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bookmarkStart w:id="409" w:name="_GoBack"/>
    </w:p>
    <w:p>
      <w:pPr>
        <w:adjustRightInd/>
        <w:spacing w:line="360" w:lineRule="auto"/>
        <w:jc w:val="both"/>
        <w:rPr>
          <w:rFonts w:hint="eastAsia" w:ascii="仿宋" w:hAnsi="仿宋" w:eastAsia="仿宋" w:cs="仿宋"/>
          <w:b/>
          <w:color w:val="000000" w:themeColor="text1"/>
          <w:sz w:val="48"/>
          <w:szCs w:val="48"/>
          <w:highlight w:val="none"/>
          <w14:textFill>
            <w14:solidFill>
              <w14:schemeClr w14:val="tx1"/>
            </w14:solidFill>
          </w14:textFill>
        </w:rPr>
      </w:pPr>
    </w:p>
    <w:p>
      <w:pPr>
        <w:adjustRightInd/>
        <w:spacing w:line="360" w:lineRule="auto"/>
        <w:jc w:val="center"/>
        <w:rPr>
          <w:rFonts w:hint="eastAsia" w:ascii="仿宋" w:hAnsi="仿宋" w:eastAsia="仿宋" w:cs="仿宋"/>
          <w:b/>
          <w:color w:val="000000" w:themeColor="text1"/>
          <w:sz w:val="44"/>
          <w:szCs w:val="44"/>
          <w:highlight w:val="none"/>
          <w:lang w:eastAsia="zh-CN"/>
          <w14:textFill>
            <w14:solidFill>
              <w14:schemeClr w14:val="tx1"/>
            </w14:solidFill>
          </w14:textFill>
        </w:rPr>
      </w:pPr>
      <w:r>
        <w:rPr>
          <w:rFonts w:hint="eastAsia" w:ascii="仿宋" w:hAnsi="仿宋" w:eastAsia="仿宋" w:cs="仿宋"/>
          <w:b/>
          <w:color w:val="000000" w:themeColor="text1"/>
          <w:sz w:val="44"/>
          <w:szCs w:val="44"/>
          <w:highlight w:val="none"/>
          <w:lang w:eastAsia="zh-CN"/>
          <w14:textFill>
            <w14:solidFill>
              <w14:schemeClr w14:val="tx1"/>
            </w14:solidFill>
          </w14:textFill>
        </w:rPr>
        <w:t>塘栖镇城乡自建房排查及鉴定服务采购项目</w:t>
      </w:r>
    </w:p>
    <w:p>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p>
    <w:p>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14:textFill>
            <w14:solidFill>
              <w14:schemeClr w14:val="tx1"/>
            </w14:solidFill>
          </w14:textFill>
        </w:rPr>
        <w:t>招标文件</w:t>
      </w:r>
    </w:p>
    <w:p>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（电子招投标）</w:t>
      </w:r>
    </w:p>
    <w:p>
      <w:pPr>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（项目编号：</w:t>
      </w:r>
      <w:r>
        <w:rPr>
          <w:rFonts w:hint="eastAsia" w:ascii="仿宋" w:hAnsi="仿宋" w:eastAsia="仿宋" w:cs="仿宋"/>
          <w:b/>
          <w:color w:val="000000" w:themeColor="text1"/>
          <w:sz w:val="36"/>
          <w:szCs w:val="36"/>
          <w:highlight w:val="none"/>
          <w:lang w:eastAsia="zh-CN"/>
          <w14:textFill>
            <w14:solidFill>
              <w14:schemeClr w14:val="tx1"/>
            </w14:solidFill>
          </w14:textFill>
        </w:rPr>
        <w:t>TYZFCG2022-093</w:t>
      </w:r>
      <w:r>
        <w:rPr>
          <w:rFonts w:hint="eastAsia" w:ascii="仿宋" w:hAnsi="仿宋" w:eastAsia="仿宋" w:cs="仿宋"/>
          <w:b/>
          <w:color w:val="000000" w:themeColor="text1"/>
          <w:sz w:val="36"/>
          <w:szCs w:val="36"/>
          <w:highlight w:val="none"/>
          <w14:textFill>
            <w14:solidFill>
              <w14:schemeClr w14:val="tx1"/>
            </w14:solidFill>
          </w14:textFill>
        </w:rPr>
        <w:t>）</w:t>
      </w:r>
    </w:p>
    <w:p>
      <w:pPr>
        <w:snapToGrid w:val="0"/>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2"/>
          <w:sz w:val="28"/>
          <w:szCs w:val="20"/>
          <w:highlight w:val="none"/>
          <w:lang w:val="en-US" w:eastAsia="zh-CN" w:bidi="ar-SA"/>
          <w14:textFill>
            <w14:solidFill>
              <w14:schemeClr w14:val="tx1"/>
            </w14:solidFill>
          </w14:textFill>
        </w:rPr>
        <w:drawing>
          <wp:inline distT="0" distB="0" distL="114300" distR="114300">
            <wp:extent cx="3599180" cy="288036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lum/>
                    </a:blip>
                    <a:stretch>
                      <a:fillRect/>
                    </a:stretch>
                  </pic:blipFill>
                  <pic:spPr>
                    <a:xfrm>
                      <a:off x="0" y="0"/>
                      <a:ext cx="3599180" cy="2880360"/>
                    </a:xfrm>
                    <a:prstGeom prst="rect">
                      <a:avLst/>
                    </a:prstGeom>
                    <a:noFill/>
                    <a:ln>
                      <a:noFill/>
                    </a:ln>
                  </pic:spPr>
                </pic:pic>
              </a:graphicData>
            </a:graphic>
          </wp:inline>
        </w:drawing>
      </w:r>
    </w:p>
    <w:p>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w:t>
      </w:r>
    </w:p>
    <w:p>
      <w:pPr>
        <w:adjustRightInd w:val="0"/>
        <w:snapToGrid w:val="0"/>
        <w:spacing w:line="360" w:lineRule="auto"/>
        <w:jc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采购人：</w:t>
      </w:r>
      <w:r>
        <w:rPr>
          <w:rFonts w:hint="eastAsia" w:ascii="仿宋" w:hAnsi="仿宋" w:eastAsia="仿宋" w:cs="仿宋"/>
          <w:b/>
          <w:color w:val="000000" w:themeColor="text1"/>
          <w:sz w:val="36"/>
          <w:szCs w:val="36"/>
          <w:highlight w:val="none"/>
          <w:lang w:eastAsia="zh-CN"/>
          <w14:textFill>
            <w14:solidFill>
              <w14:schemeClr w14:val="tx1"/>
            </w14:solidFill>
          </w14:textFill>
        </w:rPr>
        <w:t>杭州市临平区塘栖镇人民政府</w:t>
      </w:r>
    </w:p>
    <w:p>
      <w:pPr>
        <w:adjustRightInd w:val="0"/>
        <w:snapToGrid w:val="0"/>
        <w:spacing w:line="360" w:lineRule="auto"/>
        <w:jc w:val="center"/>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采购代理机构：</w:t>
      </w:r>
      <w:r>
        <w:rPr>
          <w:rFonts w:hint="eastAsia" w:ascii="仿宋" w:hAnsi="仿宋" w:eastAsia="仿宋" w:cs="仿宋"/>
          <w:b/>
          <w:color w:val="000000" w:themeColor="text1"/>
          <w:sz w:val="36"/>
          <w:szCs w:val="36"/>
          <w:highlight w:val="none"/>
          <w:lang w:eastAsia="zh-CN"/>
          <w14:textFill>
            <w14:solidFill>
              <w14:schemeClr w14:val="tx1"/>
            </w14:solidFill>
          </w14:textFill>
        </w:rPr>
        <w:t>天阳建设管理有限公司</w:t>
      </w:r>
    </w:p>
    <w:p>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w:t>
      </w:r>
      <w:r>
        <w:rPr>
          <w:rFonts w:hint="eastAsia" w:ascii="仿宋" w:hAnsi="仿宋" w:eastAsia="仿宋" w:cs="仿宋"/>
          <w:bCs/>
          <w:color w:val="000000" w:themeColor="text1"/>
          <w:sz w:val="32"/>
          <w:szCs w:val="32"/>
          <w:highlight w:val="none"/>
          <w14:textFill>
            <w14:solidFill>
              <w14:schemeClr w14:val="tx1"/>
            </w14:solidFill>
          </w14:textFill>
        </w:rPr>
        <w:t>〇</w:t>
      </w:r>
      <w:r>
        <w:rPr>
          <w:rFonts w:hint="eastAsia" w:ascii="仿宋" w:hAnsi="仿宋" w:eastAsia="仿宋" w:cs="仿宋"/>
          <w:bCs/>
          <w:color w:val="000000" w:themeColor="text1"/>
          <w:sz w:val="32"/>
          <w:szCs w:val="32"/>
          <w:highlight w:val="none"/>
          <w14:textFill>
            <w14:solidFill>
              <w14:schemeClr w14:val="tx1"/>
            </w14:solidFill>
          </w14:textFill>
        </w:rPr>
        <w:t>二</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二</w:t>
      </w:r>
      <w:r>
        <w:rPr>
          <w:rFonts w:hint="eastAsia" w:ascii="仿宋" w:hAnsi="仿宋" w:eastAsia="仿宋" w:cs="仿宋"/>
          <w:bCs/>
          <w:color w:val="000000" w:themeColor="text1"/>
          <w:sz w:val="32"/>
          <w:szCs w:val="32"/>
          <w:highlight w:val="none"/>
          <w14:textFill>
            <w14:solidFill>
              <w14:schemeClr w14:val="tx1"/>
            </w14:solidFill>
          </w14:textFill>
        </w:rPr>
        <w:t xml:space="preserve"> </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eastAsia="zh-CN"/>
          <w14:textFill>
            <w14:solidFill>
              <w14:schemeClr w14:val="tx1"/>
            </w14:solidFill>
          </w14:textFill>
        </w:rPr>
        <w:t>十一</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eastAsia="zh-CN"/>
          <w14:textFill>
            <w14:solidFill>
              <w14:schemeClr w14:val="tx1"/>
            </w14:solidFill>
          </w14:textFill>
        </w:rPr>
        <w:t>二十五</w:t>
      </w:r>
      <w:r>
        <w:rPr>
          <w:rFonts w:hint="eastAsia" w:ascii="仿宋" w:hAnsi="仿宋" w:eastAsia="仿宋" w:cs="仿宋"/>
          <w:bCs/>
          <w:color w:val="000000" w:themeColor="text1"/>
          <w:sz w:val="32"/>
          <w:szCs w:val="32"/>
          <w:highlight w:val="none"/>
          <w14:textFill>
            <w14:solidFill>
              <w14:schemeClr w14:val="tx1"/>
            </w14:solidFill>
          </w14:textFill>
        </w:rPr>
        <w:t>日</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w:t>
      </w:r>
      <w:r>
        <w:rPr>
          <w:rFonts w:hint="eastAsia" w:ascii="仿宋" w:hAnsi="仿宋" w:eastAsia="仿宋" w:cs="仿宋"/>
          <w:b/>
          <w:color w:val="000000" w:themeColor="text1"/>
          <w:sz w:val="48"/>
          <w:szCs w:val="48"/>
          <w:highlight w:val="none"/>
          <w14:textFill>
            <w14:solidFill>
              <w14:schemeClr w14:val="tx1"/>
            </w14:solidFill>
          </w14:textFill>
        </w:rPr>
        <w:t xml:space="preserve">  </w:t>
      </w:r>
      <w:r>
        <w:rPr>
          <w:rFonts w:hint="eastAsia" w:ascii="仿宋" w:hAnsi="仿宋" w:eastAsia="仿宋" w:cs="仿宋"/>
          <w:b/>
          <w:color w:val="000000" w:themeColor="text1"/>
          <w:sz w:val="48"/>
          <w:szCs w:val="48"/>
          <w:highlight w:val="none"/>
          <w14:textFill>
            <w14:solidFill>
              <w14:schemeClr w14:val="tx1"/>
            </w14:solidFill>
          </w14:textFill>
        </w:rPr>
        <w:t>录</w:t>
      </w: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w:t>
      </w:r>
      <w:r>
        <w:rPr>
          <w:rFonts w:hint="eastAsia"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招标公告</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w:t>
      </w:r>
      <w:r>
        <w:rPr>
          <w:rFonts w:hint="eastAsia"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投标人须知</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w:t>
      </w:r>
      <w:r>
        <w:rPr>
          <w:rFonts w:hint="eastAsia"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采购需求</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w:t>
      </w:r>
      <w:r>
        <w:rPr>
          <w:rFonts w:hint="eastAsia"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评标办法</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w:t>
      </w:r>
      <w:r>
        <w:rPr>
          <w:rFonts w:hint="eastAsia"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拟签订的合同文本</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w:t>
      </w:r>
      <w:r>
        <w:rPr>
          <w:rFonts w:hint="eastAsia"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应提交的有关格式范例</w:t>
      </w: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rPr>
          <w:rFonts w:hint="eastAsia" w:ascii="仿宋" w:hAnsi="仿宋" w:eastAsia="仿宋" w:cs="仿宋"/>
          <w:color w:val="000000" w:themeColor="text1"/>
          <w:sz w:val="24"/>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14:textFill>
            <w14:solidFill>
              <w14:schemeClr w14:val="tx1"/>
            </w14:solidFill>
          </w14:textFill>
        </w:rPr>
        <w:t>第一部分</w:t>
      </w:r>
      <w:r>
        <w:rPr>
          <w:rFonts w:hint="eastAsia" w:ascii="仿宋" w:hAnsi="仿宋" w:eastAsia="仿宋" w:cs="仿宋"/>
          <w:b/>
          <w:color w:val="000000" w:themeColor="text1"/>
          <w:sz w:val="36"/>
          <w:szCs w:val="20"/>
          <w:highlight w:val="none"/>
          <w14:textFill>
            <w14:solidFill>
              <w14:schemeClr w14:val="tx1"/>
            </w14:solidFill>
          </w14:textFill>
        </w:rPr>
        <w:t xml:space="preserve"> </w:t>
      </w:r>
      <w:r>
        <w:rPr>
          <w:rFonts w:hint="eastAsia" w:ascii="仿宋" w:hAnsi="仿宋" w:eastAsia="仿宋" w:cs="仿宋"/>
          <w:b/>
          <w:color w:val="000000" w:themeColor="text1"/>
          <w:sz w:val="36"/>
          <w:szCs w:val="20"/>
          <w:highlight w:val="none"/>
          <w14:textFill>
            <w14:solidFill>
              <w14:schemeClr w14:val="tx1"/>
            </w14:solidFill>
          </w14:textFill>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color="auto"/>
          <w:lang w:eastAsia="zh-CN"/>
          <w14:textFill>
            <w14:solidFill>
              <w14:schemeClr w14:val="tx1"/>
            </w14:solidFill>
          </w14:textFill>
        </w:rPr>
        <w:t>塘栖镇城乡自建房排查及鉴定服务采购项目</w:t>
      </w:r>
      <w:r>
        <w:rPr>
          <w:rFonts w:hint="eastAsia" w:ascii="仿宋" w:hAnsi="仿宋" w:eastAsia="仿宋" w:cs="仿宋"/>
          <w:color w:val="000000" w:themeColor="text1"/>
          <w:sz w:val="24"/>
          <w:highlight w:val="none"/>
          <w14:textFill>
            <w14:solidFill>
              <w14:schemeClr w14:val="tx1"/>
            </w14:solidFill>
          </w14:textFill>
        </w:rPr>
        <w:t>招标项目的潜在投标人应在政采云平台（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HYPERLINK "https://www.zcygov.cn/）获取（下载）招标文件，并于2021年"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77"/>
          <w:rFonts w:hint="eastAsia" w:ascii="仿宋" w:hAnsi="仿宋" w:eastAsia="仿宋" w:cs="仿宋"/>
          <w:color w:val="000000" w:themeColor="text1"/>
          <w:kern w:val="2"/>
          <w:sz w:val="24"/>
          <w:szCs w:val="24"/>
          <w:highlight w:val="none"/>
          <w14:textFill>
            <w14:solidFill>
              <w14:schemeClr w14:val="tx1"/>
            </w14:solidFill>
          </w14:textFill>
        </w:rPr>
        <w:t>https://www.zcygov.cn/）获取（下载）招标文件，并于</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12</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16</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w:t>
      </w:r>
      <w:r>
        <w:rPr>
          <w:rFonts w:hint="eastAsia" w:ascii="仿宋" w:hAnsi="仿宋" w:eastAsia="仿宋" w:cs="仿宋"/>
          <w:bCs/>
          <w:color w:val="000000" w:themeColor="text1"/>
          <w:sz w:val="24"/>
          <w:highlight w:val="none"/>
          <w:u w:val="single"/>
          <w14:textFill>
            <w14:solidFill>
              <w14:schemeClr w14:val="tx1"/>
            </w14:solidFill>
          </w14:textFill>
        </w:rPr>
        <w:t>00秒</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一、项目基本情况</w:t>
      </w:r>
      <w:r>
        <w:rPr>
          <w:rFonts w:hint="eastAsia" w:ascii="仿宋" w:hAnsi="仿宋" w:eastAsia="仿宋" w:cs="仿宋"/>
          <w:b/>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TYZFCG2022-</w:t>
      </w:r>
      <w:r>
        <w:rPr>
          <w:rFonts w:hint="eastAsia" w:ascii="仿宋" w:hAnsi="仿宋" w:eastAsia="仿宋" w:cs="仿宋"/>
          <w:color w:val="000000" w:themeColor="text1"/>
          <w:sz w:val="24"/>
          <w:highlight w:val="none"/>
          <w:lang w:eastAsia="zh-CN"/>
          <w14:textFill>
            <w14:solidFill>
              <w14:schemeClr w14:val="tx1"/>
            </w14:solidFill>
          </w14:textFill>
        </w:rPr>
        <w:t>093</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项目名称：</w:t>
      </w:r>
      <w:r>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t>塘栖镇城乡自建房排查及鉴定服务采购项目</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预</w:t>
      </w:r>
      <w:r>
        <w:rPr>
          <w:rFonts w:hint="eastAsia" w:ascii="仿宋" w:hAnsi="仿宋" w:eastAsia="仿宋" w:cs="仿宋"/>
          <w:b/>
          <w:color w:val="000000" w:themeColor="text1"/>
          <w:sz w:val="24"/>
          <w:highlight w:val="none"/>
          <w14:textFill>
            <w14:solidFill>
              <w14:schemeClr w14:val="tx1"/>
            </w14:solidFill>
          </w14:textFill>
        </w:rPr>
        <w:t>算金额（元）：</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6000000</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numPr>
          <w:ilvl w:val="0"/>
          <w:numId w:val="1"/>
        </w:numPr>
        <w:spacing w:line="360" w:lineRule="auto"/>
        <w:ind w:firstLine="48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标项1 </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3410000</w:t>
      </w:r>
      <w:r>
        <w:rPr>
          <w:rFonts w:hint="eastAsia" w:ascii="仿宋" w:hAnsi="仿宋" w:eastAsia="仿宋" w:cs="仿宋"/>
          <w:color w:val="000000" w:themeColor="text1"/>
          <w:sz w:val="24"/>
          <w:highlight w:val="none"/>
          <w14:textFill>
            <w14:solidFill>
              <w14:schemeClr w14:val="tx1"/>
            </w14:solidFill>
          </w14:textFill>
        </w:rPr>
        <w:t xml:space="preserve"> </w:t>
      </w:r>
    </w:p>
    <w:p>
      <w:pPr>
        <w:numPr>
          <w:ilvl w:val="0"/>
          <w:numId w:val="0"/>
        </w:num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房屋</w:t>
      </w:r>
      <w:r>
        <w:rPr>
          <w:rFonts w:hint="eastAsia" w:ascii="仿宋" w:hAnsi="仿宋" w:eastAsia="仿宋" w:cs="仿宋"/>
          <w:b w:val="0"/>
          <w:i w:val="0"/>
          <w:color w:val="000000" w:themeColor="text1"/>
          <w:sz w:val="24"/>
          <w:szCs w:val="24"/>
          <w:highlight w:val="none"/>
          <w14:textFill>
            <w14:solidFill>
              <w14:schemeClr w14:val="tx1"/>
            </w14:solidFill>
          </w14:textFill>
        </w:rPr>
        <w:t>安全隐患</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排查：柴家坞村 塘北村 超山村  超丁村 泰山村 邵家坝村  唐家埭村 三文村 乐苑社区 广济社区 三文村 合计12277户  </w:t>
      </w:r>
    </w:p>
    <w:p>
      <w:pPr>
        <w:numPr>
          <w:ilvl w:val="0"/>
          <w:numId w:val="0"/>
        </w:num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房屋</w:t>
      </w:r>
      <w:r>
        <w:rPr>
          <w:rFonts w:hint="eastAsia" w:ascii="仿宋" w:hAnsi="仿宋" w:eastAsia="仿宋" w:cs="仿宋"/>
          <w:b w:val="0"/>
          <w:i w:val="0"/>
          <w:color w:val="000000" w:themeColor="text1"/>
          <w:sz w:val="24"/>
          <w:szCs w:val="24"/>
          <w:highlight w:val="none"/>
          <w14:textFill>
            <w14:solidFill>
              <w14:schemeClr w14:val="tx1"/>
            </w14:solidFill>
          </w14:textFill>
        </w:rPr>
        <w:t>安全隐患</w:t>
      </w:r>
      <w:r>
        <w:rPr>
          <w:rFonts w:hint="eastAsia" w:ascii="仿宋" w:hAnsi="仿宋" w:eastAsia="仿宋" w:cs="仿宋"/>
          <w:color w:val="000000" w:themeColor="text1"/>
          <w:sz w:val="24"/>
          <w:highlight w:val="none"/>
          <w:lang w:val="en-US" w:eastAsia="zh-CN"/>
          <w14:textFill>
            <w14:solidFill>
              <w14:schemeClr w14:val="tx1"/>
            </w14:solidFill>
          </w14:textFill>
        </w:rPr>
        <w:t>鉴定：柴家坞村 塘北村 超山村  超丁村 泰山村 邵家坝村 河西埭村 唐家埭村 三文村 乐苑社区 广济社区 莫家桥村 合计2328户</w:t>
      </w:r>
    </w:p>
    <w:p>
      <w:pPr>
        <w:numPr>
          <w:ilvl w:val="0"/>
          <w:numId w:val="1"/>
        </w:numPr>
        <w:spacing w:line="360" w:lineRule="auto"/>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标项2</w:t>
      </w:r>
    </w:p>
    <w:p>
      <w:pPr>
        <w:spacing w:line="360" w:lineRule="auto"/>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2590000</w:t>
      </w:r>
      <w:r>
        <w:rPr>
          <w:rFonts w:hint="eastAsia" w:ascii="仿宋" w:hAnsi="仿宋" w:eastAsia="仿宋" w:cs="仿宋"/>
          <w:color w:val="000000" w:themeColor="text1"/>
          <w:sz w:val="24"/>
          <w:highlight w:val="none"/>
          <w14:textFill>
            <w14:solidFill>
              <w14:schemeClr w14:val="tx1"/>
            </w14:solidFill>
          </w14:textFill>
        </w:rPr>
        <w:t xml:space="preserve"> </w:t>
      </w:r>
    </w:p>
    <w:p>
      <w:pPr>
        <w:numPr>
          <w:ilvl w:val="0"/>
          <w:numId w:val="0"/>
        </w:num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1）</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房屋</w:t>
      </w:r>
      <w:r>
        <w:rPr>
          <w:rFonts w:hint="eastAsia" w:ascii="仿宋" w:hAnsi="仿宋" w:eastAsia="仿宋" w:cs="仿宋"/>
          <w:b w:val="0"/>
          <w:i w:val="0"/>
          <w:color w:val="000000" w:themeColor="text1"/>
          <w:sz w:val="24"/>
          <w:szCs w:val="24"/>
          <w:highlight w:val="none"/>
          <w14:textFill>
            <w14:solidFill>
              <w14:schemeClr w14:val="tx1"/>
            </w14:solidFill>
          </w14:textFill>
        </w:rPr>
        <w:t>安全隐患</w:t>
      </w:r>
      <w:r>
        <w:rPr>
          <w:rFonts w:hint="eastAsia" w:ascii="仿宋" w:hAnsi="仿宋" w:eastAsia="仿宋" w:cs="仿宋"/>
          <w:color w:val="000000" w:themeColor="text1"/>
          <w:sz w:val="24"/>
          <w:highlight w:val="none"/>
          <w:lang w:val="en-US" w:eastAsia="zh-CN"/>
          <w14:textFill>
            <w14:solidFill>
              <w14:schemeClr w14:val="tx1"/>
            </w14:solidFill>
          </w14:textFill>
        </w:rPr>
        <w:t>排查：西苑村、丁河村、丁山河村、河西埭村、宏畔村、莫家桥村、三星村、塘栖村、西河村，合计14540户 ；</w:t>
      </w:r>
    </w:p>
    <w:p>
      <w:pPr>
        <w:numPr>
          <w:ilvl w:val="0"/>
          <w:numId w:val="0"/>
        </w:num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2）</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房屋</w:t>
      </w:r>
      <w:r>
        <w:rPr>
          <w:rFonts w:hint="eastAsia" w:ascii="仿宋" w:hAnsi="仿宋" w:eastAsia="仿宋" w:cs="仿宋"/>
          <w:b w:val="0"/>
          <w:i w:val="0"/>
          <w:color w:val="000000" w:themeColor="text1"/>
          <w:sz w:val="24"/>
          <w:szCs w:val="24"/>
          <w:highlight w:val="none"/>
          <w14:textFill>
            <w14:solidFill>
              <w14:schemeClr w14:val="tx1"/>
            </w14:solidFill>
          </w14:textFill>
        </w:rPr>
        <w:t>安全隐患</w:t>
      </w:r>
      <w:r>
        <w:rPr>
          <w:rFonts w:hint="eastAsia" w:ascii="仿宋" w:hAnsi="仿宋" w:eastAsia="仿宋" w:cs="仿宋"/>
          <w:color w:val="000000" w:themeColor="text1"/>
          <w:sz w:val="24"/>
          <w:highlight w:val="none"/>
          <w:lang w:val="en-US" w:eastAsia="zh-CN"/>
          <w14:textFill>
            <w14:solidFill>
              <w14:schemeClr w14:val="tx1"/>
            </w14:solidFill>
          </w14:textFill>
        </w:rPr>
        <w:t>鉴定：西苑村、丁河村、丁山河村、河西埭村、宏畔村、莫家桥村、三星村、塘栖村、西河村，合计1552户 。</w:t>
      </w:r>
    </w:p>
    <w:p>
      <w:pPr>
        <w:pStyle w:val="5"/>
        <w:spacing w:line="360" w:lineRule="auto"/>
        <w:ind w:firstLine="480"/>
        <w:rPr>
          <w:rFonts w:hint="eastAsia" w:ascii="仿宋" w:hAnsi="仿宋" w:eastAsia="仿宋" w:cs="仿宋"/>
          <w:bCs/>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塘栖镇城乡自建房排查及鉴定服务采购项目，主要内容：</w:t>
      </w:r>
      <w:r>
        <w:rPr>
          <w:rFonts w:hint="eastAsia" w:ascii="仿宋" w:hAnsi="仿宋" w:eastAsia="仿宋" w:cs="仿宋"/>
          <w:b w:val="0"/>
          <w:i w:val="0"/>
          <w:color w:val="000000" w:themeColor="text1"/>
          <w:sz w:val="24"/>
          <w:szCs w:val="24"/>
          <w:highlight w:val="none"/>
          <w14:textFill>
            <w14:solidFill>
              <w14:schemeClr w14:val="tx1"/>
            </w14:solidFill>
          </w14:textFill>
        </w:rPr>
        <w:t>浙江省农村房屋安全隐患排查整治工作实施方案的要求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，对农村辖区内所有房屋进行排查，建立“一房一档”信息，并按要求录入</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房屋建筑和市政设施调查系统（浙江省）</w:t>
      </w:r>
      <w:r>
        <w:rPr>
          <w:rFonts w:hint="eastAsia" w:ascii="仿宋" w:hAnsi="仿宋" w:eastAsia="仿宋" w:cs="仿宋"/>
          <w:bCs/>
          <w:color w:val="000000" w:themeColor="text1"/>
          <w:kern w:val="2"/>
          <w:sz w:val="24"/>
          <w:szCs w:val="24"/>
          <w:highlight w:val="none"/>
          <w14:textFill>
            <w14:solidFill>
              <w14:schemeClr w14:val="tx1"/>
            </w14:solidFill>
          </w14:textFill>
        </w:rPr>
        <w:t>。</w:t>
      </w:r>
      <w:r>
        <w:rPr>
          <w:rFonts w:hint="eastAsia" w:ascii="仿宋" w:hAnsi="仿宋" w:eastAsia="仿宋" w:cs="仿宋"/>
          <w:bCs/>
          <w:color w:val="000000" w:themeColor="text1"/>
          <w:kern w:val="2"/>
          <w:sz w:val="24"/>
          <w:szCs w:val="24"/>
          <w:highlight w:val="none"/>
          <w14:textFill>
            <w14:solidFill>
              <w14:schemeClr w14:val="tx1"/>
            </w14:solidFill>
          </w14:textFill>
        </w:rPr>
        <w:t>详见招标文件第三部分采购需求。</w:t>
      </w:r>
    </w:p>
    <w:p>
      <w:pPr>
        <w:pStyle w:val="85"/>
        <w:ind w:firstLine="482"/>
        <w:outlineLvl w:val="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合同履约期限：</w:t>
      </w:r>
      <w:r>
        <w:rPr>
          <w:rFonts w:hint="eastAsia" w:ascii="仿宋" w:hAnsi="仿宋" w:eastAsia="仿宋" w:cs="仿宋"/>
          <w:b w:val="0"/>
          <w:bCs w:val="0"/>
          <w:color w:val="000000" w:themeColor="text1"/>
          <w:sz w:val="24"/>
          <w:szCs w:val="24"/>
          <w:highlight w:val="none"/>
          <w14:textFill>
            <w14:solidFill>
              <w14:schemeClr w14:val="tx1"/>
            </w14:solidFill>
          </w14:textFill>
        </w:rPr>
        <w:t>全面排查</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鉴定</w:t>
      </w:r>
      <w:r>
        <w:rPr>
          <w:rFonts w:hint="eastAsia" w:ascii="仿宋" w:hAnsi="仿宋" w:eastAsia="仿宋" w:cs="仿宋"/>
          <w:b w:val="0"/>
          <w:bCs w:val="0"/>
          <w:color w:val="000000" w:themeColor="text1"/>
          <w:sz w:val="24"/>
          <w:szCs w:val="24"/>
          <w:highlight w:val="none"/>
          <w14:textFill>
            <w14:solidFill>
              <w14:schemeClr w14:val="tx1"/>
            </w14:solidFill>
          </w14:textFill>
        </w:rPr>
        <w:t>于202</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14:textFill>
            <w14:solidFill>
              <w14:schemeClr w14:val="tx1"/>
            </w14:solidFill>
          </w14:textFill>
        </w:rPr>
        <w:t>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b w:val="0"/>
          <w:bCs w:val="0"/>
          <w:color w:val="000000" w:themeColor="text1"/>
          <w:sz w:val="24"/>
          <w:szCs w:val="24"/>
          <w:highlight w:val="none"/>
          <w14:textFill>
            <w14:solidFill>
              <w14:schemeClr w14:val="tx1"/>
            </w14:solidFill>
          </w14:textFill>
        </w:rPr>
        <w:t>月31日前完成</w:t>
      </w:r>
    </w:p>
    <w:p>
      <w:pPr>
        <w:pStyle w:val="5"/>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r>
        <w:rPr>
          <w:rFonts w:hint="eastAsia" w:ascii="仿宋" w:hAnsi="仿宋" w:eastAsia="仿宋" w:cs="仿宋"/>
          <w:color w:val="000000" w:themeColor="text1"/>
          <w:kern w:val="0"/>
          <w:sz w:val="24"/>
          <w:highlight w:val="none"/>
          <w14:textFill>
            <w14:solidFill>
              <w14:schemeClr w14:val="tx1"/>
            </w14:solidFill>
          </w14:textFill>
        </w:rPr>
        <w:sym w:font="Wingdings" w:char="F0FE"/>
      </w:r>
      <w:r>
        <w:rPr>
          <w:rFonts w:hint="eastAsia" w:ascii="仿宋" w:hAnsi="仿宋" w:eastAsia="仿宋" w:cs="仿宋"/>
          <w:b/>
          <w:color w:val="000000" w:themeColor="text1"/>
          <w:sz w:val="24"/>
          <w:highlight w:val="none"/>
          <w14:textFill>
            <w14:solidFill>
              <w14:schemeClr w14:val="tx1"/>
            </w14:solidFill>
          </w14:textFill>
        </w:rPr>
        <w:t>是，</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w:t>
      </w:r>
      <w:r>
        <w:rPr>
          <w:rFonts w:hint="eastAsia" w:ascii="仿宋" w:hAnsi="仿宋" w:eastAsia="仿宋" w:cs="仿宋"/>
          <w:b/>
          <w:color w:val="000000" w:themeColor="text1"/>
          <w:sz w:val="24"/>
          <w:highlight w:val="none"/>
          <w14:textFill>
            <w14:solidFill>
              <w14:schemeClr w14:val="tx1"/>
            </w14:solidFill>
          </w14:textFill>
        </w:rPr>
        <w:t>申请人的资格要求：</w:t>
      </w:r>
    </w:p>
    <w:p>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w:t>
      </w:r>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落实政府采购政策需满足的资格要求：</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无；</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F0FE"/>
      </w:r>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F0FE"/>
      </w:r>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F0FE"/>
      </w:r>
      <w:r>
        <w:rPr>
          <w:rFonts w:hint="eastAsia" w:ascii="仿宋" w:hAnsi="仿宋" w:eastAsia="仿宋" w:cs="仿宋"/>
          <w:color w:val="000000" w:themeColor="text1"/>
          <w:sz w:val="24"/>
          <w:highlight w:val="none"/>
          <w14:textFill>
            <w14:solidFill>
              <w14:schemeClr w14:val="tx1"/>
            </w14:solidFill>
          </w14:textFill>
        </w:rPr>
        <w:t>服务全部由符合政策要求的小微企业承接，提供中小企业声明函；</w:t>
      </w:r>
    </w:p>
    <w:p>
      <w:pPr>
        <w:rPr>
          <w:rFonts w:hint="eastAsia" w:ascii="仿宋" w:hAnsi="仿宋" w:eastAsia="仿宋" w:cs="仿宋"/>
          <w:color w:val="000000" w:themeColor="text1"/>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w:t>
      </w:r>
      <w:r>
        <w:rPr>
          <w:rFonts w:hint="eastAsia" w:ascii="仿宋" w:hAnsi="仿宋" w:eastAsia="仿宋" w:cs="仿宋"/>
          <w:color w:val="000000" w:themeColor="text1"/>
          <w:sz w:val="24"/>
          <w:highlight w:val="none"/>
          <w14:textFill>
            <w14:solidFill>
              <w14:schemeClr w14:val="tx1"/>
            </w14:solidFill>
          </w14:textFill>
        </w:rPr>
        <w:t>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要求合同分包，提供分包意向协议和中小企业声明函，分包意向协议中中小企业合同金额应当达到</w:t>
      </w:r>
      <w:r>
        <w:rPr>
          <w:rFonts w:hint="eastAsia" w:ascii="仿宋" w:hAnsi="仿宋" w:eastAsia="仿宋" w:cs="仿宋"/>
          <w:color w:val="000000" w:themeColor="text1"/>
          <w:sz w:val="24"/>
          <w:highlight w:val="none"/>
          <w14:textFill>
            <w14:solidFill>
              <w14:schemeClr w14:val="tx1"/>
            </w14:solidFill>
          </w14:textFill>
        </w:rPr>
        <w:t>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3.本项目的特定资格要求：</w:t>
      </w:r>
      <w:r>
        <w:rPr>
          <w:rFonts w:hint="eastAsia" w:ascii="仿宋" w:hAnsi="仿宋" w:eastAsia="仿宋" w:cs="仿宋"/>
          <w:color w:val="000000" w:themeColor="text1"/>
          <w:sz w:val="24"/>
          <w:highlight w:val="none"/>
          <w:lang w:val="en-US" w:eastAsia="zh-CN"/>
          <w14:textFill>
            <w14:solidFill>
              <w14:schemeClr w14:val="tx1"/>
            </w14:solidFill>
          </w14:textFill>
        </w:rPr>
        <w:t>具有</w:t>
      </w:r>
      <w:r>
        <w:rPr>
          <w:rFonts w:hint="eastAsia" w:ascii="仿宋" w:hAnsi="仿宋" w:eastAsia="仿宋" w:cs="仿宋"/>
          <w:color w:val="000000" w:themeColor="text1"/>
          <w:sz w:val="24"/>
          <w:highlight w:val="none"/>
          <w14:textFill>
            <w14:solidFill>
              <w14:schemeClr w14:val="tx1"/>
            </w14:solidFill>
          </w14:textFill>
        </w:rPr>
        <w:t>建设行政主管部门颁发</w:t>
      </w:r>
      <w:r>
        <w:rPr>
          <w:rFonts w:hint="eastAsia" w:ascii="仿宋" w:hAnsi="仿宋" w:eastAsia="仿宋"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工程质量检测机构资质</w:t>
      </w:r>
      <w:r>
        <w:rPr>
          <w:rFonts w:hint="eastAsia" w:ascii="仿宋" w:hAnsi="仿宋" w:eastAsia="仿宋" w:cs="仿宋"/>
          <w:color w:val="000000" w:themeColor="text1"/>
          <w:sz w:val="24"/>
          <w:highlight w:val="none"/>
          <w:lang w:val="en-US" w:eastAsia="zh-CN"/>
          <w14:textFill>
            <w14:solidFill>
              <w14:schemeClr w14:val="tx1"/>
            </w14:solidFill>
          </w14:textFill>
        </w:rPr>
        <w:t>证书</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同时</w:t>
      </w:r>
      <w:r>
        <w:rPr>
          <w:rFonts w:hint="eastAsia" w:ascii="仿宋" w:hAnsi="仿宋" w:eastAsia="仿宋" w:cs="仿宋"/>
          <w:color w:val="000000" w:themeColor="text1"/>
          <w:sz w:val="24"/>
          <w:highlight w:val="none"/>
          <w14:textFill>
            <w14:solidFill>
              <w14:schemeClr w14:val="tx1"/>
            </w14:solidFill>
          </w14:textFill>
        </w:rPr>
        <w:t>包含见证取样检测</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房建</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和地基基础检测和</w:t>
      </w:r>
      <w:r>
        <w:rPr>
          <w:rFonts w:hint="eastAsia" w:ascii="仿宋" w:hAnsi="仿宋" w:eastAsia="仿宋" w:cs="仿宋"/>
          <w:color w:val="000000" w:themeColor="text1"/>
          <w:sz w:val="24"/>
          <w:highlight w:val="none"/>
          <w:lang w:val="en-US" w:eastAsia="zh-CN"/>
          <w14:textFill>
            <w14:solidFill>
              <w14:schemeClr w14:val="tx1"/>
            </w14:solidFill>
          </w14:textFill>
        </w:rPr>
        <w:t>主体</w:t>
      </w:r>
      <w:r>
        <w:rPr>
          <w:rFonts w:hint="eastAsia" w:ascii="仿宋" w:hAnsi="仿宋" w:eastAsia="仿宋" w:cs="仿宋"/>
          <w:color w:val="000000" w:themeColor="text1"/>
          <w:sz w:val="24"/>
          <w:highlight w:val="none"/>
          <w14:textFill>
            <w14:solidFill>
              <w14:schemeClr w14:val="tx1"/>
            </w14:solidFill>
          </w14:textFill>
        </w:rPr>
        <w:t>结构</w:t>
      </w:r>
      <w:r>
        <w:rPr>
          <w:rFonts w:hint="eastAsia" w:ascii="仿宋" w:hAnsi="仿宋" w:eastAsia="仿宋" w:cs="仿宋"/>
          <w:color w:val="000000" w:themeColor="text1"/>
          <w:sz w:val="24"/>
          <w:highlight w:val="none"/>
          <w:lang w:val="en-US" w:eastAsia="zh-CN"/>
          <w14:textFill>
            <w14:solidFill>
              <w14:schemeClr w14:val="tx1"/>
            </w14:solidFill>
          </w14:textFill>
        </w:rPr>
        <w:t>工程现场</w:t>
      </w:r>
      <w:r>
        <w:rPr>
          <w:rFonts w:hint="eastAsia" w:ascii="仿宋" w:hAnsi="仿宋" w:eastAsia="仿宋" w:cs="仿宋"/>
          <w:color w:val="000000" w:themeColor="text1"/>
          <w:sz w:val="24"/>
          <w:highlight w:val="none"/>
          <w14:textFill>
            <w14:solidFill>
              <w14:schemeClr w14:val="tx1"/>
            </w14:solidFill>
          </w14:textFill>
        </w:rPr>
        <w:t>检测)；</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单位负责人为同一人或者存在直接控股、管理关系的不同供应商，不得参加同一合同项下的政府采购活动；</w:t>
      </w:r>
      <w:r>
        <w:rPr>
          <w:rFonts w:hint="eastAsia" w:ascii="仿宋" w:hAnsi="仿宋" w:eastAsia="仿宋" w:cs="仿宋"/>
          <w:color w:val="000000" w:themeColor="text1"/>
          <w:sz w:val="24"/>
          <w:highlight w:val="none"/>
          <w14:textFill>
            <w14:solidFill>
              <w14:schemeClr w14:val="tx1"/>
            </w14:solidFill>
          </w14:textFill>
        </w:rPr>
        <w:t>为采购项目提供整体设计、规范编制或者项目管理、监理、检测等服务后</w:t>
      </w:r>
      <w:r>
        <w:rPr>
          <w:rFonts w:hint="eastAsia" w:ascii="仿宋" w:hAnsi="仿宋" w:eastAsia="仿宋" w:cs="仿宋"/>
          <w:color w:val="000000" w:themeColor="text1"/>
          <w:sz w:val="24"/>
          <w:highlight w:val="none"/>
          <w14:textFill>
            <w14:solidFill>
              <w14:schemeClr w14:val="tx1"/>
            </w14:solidFill>
          </w14:textFill>
        </w:rPr>
        <w:t>不得</w:t>
      </w:r>
      <w:r>
        <w:rPr>
          <w:rFonts w:hint="eastAsia" w:ascii="仿宋" w:hAnsi="仿宋" w:eastAsia="仿宋" w:cs="仿宋"/>
          <w:color w:val="000000" w:themeColor="text1"/>
          <w:sz w:val="24"/>
          <w:highlight w:val="none"/>
          <w14:textFill>
            <w14:solidFill>
              <w14:schemeClr w14:val="tx1"/>
            </w14:solidFill>
          </w14:textFill>
        </w:rPr>
        <w:t>再参加该采购项目的其他采购活动。</w:t>
      </w:r>
    </w:p>
    <w:p>
      <w:pPr>
        <w:snapToGrid w:val="0"/>
        <w:spacing w:line="360" w:lineRule="auto"/>
        <w:ind w:firstLine="482" w:firstLineChars="200"/>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5.投标人可以同时参与两个标项的投标但只能中其中一个标项，中标顺序以开标先后顺序为准，投标人如在标项1中推荐为第一中标候选人的，标项2就自动放弃中标资格，评标委员会不推荐其中标资格。</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w:t>
      </w:r>
      <w:r>
        <w:rPr>
          <w:rFonts w:hint="eastAsia" w:ascii="仿宋" w:hAnsi="仿宋" w:eastAsia="仿宋" w:cs="仿宋"/>
          <w:b/>
          <w:color w:val="000000" w:themeColor="text1"/>
          <w:sz w:val="24"/>
          <w:highlight w:val="none"/>
          <w14:textFill>
            <w14:solidFill>
              <w14:schemeClr w14:val="tx1"/>
            </w14:solidFill>
          </w14:textFill>
        </w:rPr>
        <w:t>、获取招标文件</w:t>
      </w:r>
      <w:r>
        <w:rPr>
          <w:rFonts w:hint="eastAsia" w:ascii="仿宋" w:hAnsi="仿宋" w:eastAsia="仿宋" w:cs="仿宋"/>
          <w:b/>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12</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16</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w:t>
      </w:r>
      <w:r>
        <w:rPr>
          <w:rFonts w:hint="eastAsia" w:ascii="仿宋" w:hAnsi="仿宋" w:eastAsia="仿宋" w:cs="仿宋"/>
          <w:color w:val="000000" w:themeColor="text1"/>
          <w:sz w:val="24"/>
          <w:highlight w:val="none"/>
          <w14:textFill>
            <w14:solidFill>
              <w14:schemeClr w14:val="tx1"/>
            </w14:solidFill>
          </w14:textFill>
        </w:rPr>
        <w:t xml:space="preserve">00:00至12:00 </w:t>
      </w:r>
      <w:r>
        <w:rPr>
          <w:rFonts w:hint="eastAsia" w:ascii="仿宋" w:hAnsi="仿宋" w:eastAsia="仿宋" w:cs="仿宋"/>
          <w:color w:val="000000" w:themeColor="text1"/>
          <w:sz w:val="24"/>
          <w:highlight w:val="none"/>
          <w14:textFill>
            <w14:solidFill>
              <w14:schemeClr w14:val="tx1"/>
            </w14:solidFill>
          </w14:textFill>
        </w:rPr>
        <w:t>，下午</w:t>
      </w:r>
      <w:r>
        <w:rPr>
          <w:rFonts w:hint="eastAsia" w:ascii="仿宋" w:hAnsi="仿宋" w:eastAsia="仿宋" w:cs="仿宋"/>
          <w:color w:val="000000" w:themeColor="text1"/>
          <w:sz w:val="24"/>
          <w:highlight w:val="none"/>
          <w14:textFill>
            <w14:solidFill>
              <w14:schemeClr w14:val="tx1"/>
            </w14:solidFill>
          </w14:textFill>
        </w:rPr>
        <w:t>12:00至23:59（北京时间，线上获取法定节假日均可，线下获取文件法定节假日除外）</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获取网址</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政采云平台（</w:t>
      </w:r>
      <w:r>
        <w:rPr>
          <w:rFonts w:hint="eastAsia" w:ascii="仿宋" w:hAnsi="仿宋" w:eastAsia="仿宋" w:cs="仿宋"/>
          <w:color w:val="000000" w:themeColor="text1"/>
          <w:sz w:val="24"/>
          <w:highlight w:val="none"/>
          <w14:textFill>
            <w14:solidFill>
              <w14:schemeClr w14:val="tx1"/>
            </w14:solidFill>
          </w14:textFill>
        </w:rPr>
        <w:t xml:space="preserve">https://www.zcygov.cn/） </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供应商登录政采云平台</w:t>
      </w:r>
      <w:r>
        <w:rPr>
          <w:rFonts w:hint="eastAsia" w:ascii="仿宋" w:hAnsi="仿宋" w:eastAsia="仿宋" w:cs="仿宋"/>
          <w:color w:val="000000" w:themeColor="text1"/>
          <w:sz w:val="24"/>
          <w:highlight w:val="none"/>
          <w14:textFill>
            <w14:solidFill>
              <w14:schemeClr w14:val="tx1"/>
            </w14:solidFill>
          </w14:textFill>
        </w:rPr>
        <w:t xml:space="preserve">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w:t>
      </w:r>
      <w:r>
        <w:rPr>
          <w:rFonts w:hint="eastAsia" w:ascii="仿宋" w:hAnsi="仿宋" w:eastAsia="仿宋" w:cs="仿宋"/>
          <w:b/>
          <w:color w:val="000000" w:themeColor="text1"/>
          <w:sz w:val="24"/>
          <w:highlight w:val="none"/>
          <w14:textFill>
            <w14:solidFill>
              <w14:schemeClr w14:val="tx1"/>
            </w14:solidFill>
          </w14:textFill>
        </w:rPr>
        <w:t>提交投标文件截止时间、开标时间和地点</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12</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16</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（北京时间）</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投标网址：</w:t>
      </w:r>
      <w:r>
        <w:rPr>
          <w:rFonts w:hint="eastAsia" w:ascii="仿宋" w:hAnsi="仿宋" w:eastAsia="仿宋" w:cs="仿宋"/>
          <w:color w:val="000000" w:themeColor="text1"/>
          <w:sz w:val="24"/>
          <w:highlight w:val="none"/>
          <w:lang w:val="en-US"/>
          <w14:textFill>
            <w14:solidFill>
              <w14:schemeClr w14:val="tx1"/>
            </w14:solidFill>
          </w14:textFill>
        </w:rPr>
        <w:t>政采云平台</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https://www.zcygov.cn/） </w:t>
      </w:r>
    </w:p>
    <w:p>
      <w:pPr>
        <w:spacing w:line="360" w:lineRule="auto"/>
        <w:ind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12</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16</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开标网址：</w:t>
      </w:r>
      <w:r>
        <w:rPr>
          <w:rFonts w:hint="eastAsia" w:ascii="仿宋" w:hAnsi="仿宋" w:eastAsia="仿宋" w:cs="仿宋"/>
          <w:color w:val="000000" w:themeColor="text1"/>
          <w:sz w:val="24"/>
          <w:highlight w:val="none"/>
          <w14:textFill>
            <w14:solidFill>
              <w14:schemeClr w14:val="tx1"/>
            </w14:solidFill>
          </w14:textFill>
        </w:rPr>
        <w:t>政</w:t>
      </w:r>
      <w:r>
        <w:rPr>
          <w:rFonts w:hint="eastAsia" w:ascii="仿宋" w:hAnsi="仿宋" w:eastAsia="仿宋" w:cs="仿宋"/>
          <w:color w:val="000000" w:themeColor="text1"/>
          <w:sz w:val="24"/>
          <w:highlight w:val="none"/>
          <w14:textFill>
            <w14:solidFill>
              <w14:schemeClr w14:val="tx1"/>
            </w14:solidFill>
          </w14:textFill>
        </w:rPr>
        <w:t>采云平台（</w:t>
      </w:r>
      <w:r>
        <w:rPr>
          <w:rFonts w:hint="eastAsia" w:ascii="仿宋" w:hAnsi="仿宋" w:eastAsia="仿宋" w:cs="仿宋"/>
          <w:color w:val="000000" w:themeColor="text1"/>
          <w:sz w:val="24"/>
          <w:highlight w:val="none"/>
          <w14:textFill>
            <w14:solidFill>
              <w14:schemeClr w14:val="tx1"/>
            </w14:solidFill>
          </w14:textFill>
        </w:rPr>
        <w:t>https://www.zcygov.cn/）</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五、公告期限</w:t>
      </w:r>
      <w:r>
        <w:rPr>
          <w:rFonts w:hint="eastAsia" w:ascii="仿宋" w:hAnsi="仿宋" w:eastAsia="仿宋" w:cs="仿宋"/>
          <w:b/>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w:t>
      </w:r>
      <w:r>
        <w:rPr>
          <w:rFonts w:hint="eastAsia" w:ascii="仿宋" w:hAnsi="仿宋" w:eastAsia="仿宋" w:cs="仿宋"/>
          <w:color w:val="000000" w:themeColor="text1"/>
          <w:sz w:val="24"/>
          <w:highlight w:val="none"/>
          <w14:textFill>
            <w14:solidFill>
              <w14:schemeClr w14:val="tx1"/>
            </w14:solidFill>
          </w14:textFill>
        </w:rPr>
        <w:t>5个工作日。</w:t>
      </w:r>
    </w:p>
    <w:p>
      <w:pPr>
        <w:numPr>
          <w:ilvl w:val="0"/>
          <w:numId w:val="2"/>
        </w:num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其他补充事宜</w:t>
      </w:r>
    </w:p>
    <w:p>
      <w:pPr>
        <w:spacing w:line="360" w:lineRule="auto"/>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七、对本次采购提出询问、质疑、投诉，请按以下方式联系</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w:t>
      </w:r>
      <w:r>
        <w:rPr>
          <w:rFonts w:hint="eastAsia" w:ascii="仿宋" w:hAnsi="仿宋" w:eastAsia="仿宋" w:cs="仿宋"/>
          <w:color w:val="000000" w:themeColor="text1"/>
          <w:sz w:val="24"/>
          <w:highlight w:val="none"/>
          <w:lang w:eastAsia="zh-CN"/>
          <w14:textFill>
            <w14:solidFill>
              <w14:schemeClr w14:val="tx1"/>
            </w14:solidFill>
          </w14:textFill>
        </w:rPr>
        <w:t>杭州市临平区塘栖镇人民政府</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杭州市临平区塘栖镇人民路300号</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w:t>
      </w:r>
      <w:r>
        <w:rPr>
          <w:rFonts w:hint="eastAsia" w:ascii="仿宋" w:hAnsi="仿宋" w:eastAsia="仿宋" w:cs="仿宋"/>
          <w:color w:val="000000" w:themeColor="text1"/>
          <w:sz w:val="24"/>
          <w:highlight w:val="none"/>
          <w14:textFill>
            <w14:solidFill>
              <w14:schemeClr w14:val="tx1"/>
            </w14:solidFill>
          </w14:textFill>
        </w:rPr>
        <w:t xml:space="preserve">    真：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项目联系人（询问）：沈建平</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w:t>
      </w:r>
      <w:r>
        <w:rPr>
          <w:rFonts w:hint="eastAsia" w:ascii="仿宋" w:hAnsi="仿宋" w:eastAsia="仿宋" w:cs="仿宋"/>
          <w:color w:val="000000" w:themeColor="text1"/>
          <w:sz w:val="24"/>
          <w:highlight w:val="none"/>
          <w14:textFill>
            <w14:solidFill>
              <w14:schemeClr w14:val="tx1"/>
            </w14:solidFill>
          </w14:textFill>
        </w:rPr>
        <w:t xml:space="preserve">0571-86372157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沈滨</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w:t>
      </w:r>
      <w:r>
        <w:rPr>
          <w:rFonts w:hint="eastAsia" w:ascii="仿宋" w:hAnsi="仿宋" w:eastAsia="仿宋" w:cs="仿宋"/>
          <w:color w:val="000000" w:themeColor="text1"/>
          <w:sz w:val="24"/>
          <w:highlight w:val="none"/>
          <w14:textFill>
            <w14:solidFill>
              <w14:schemeClr w14:val="tx1"/>
            </w14:solidFill>
          </w14:textFill>
        </w:rPr>
        <w:t>0571-86371758</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 天阳建设管理有限公司</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地址：杭州市临平区南苑街道玩月街88号1幢10楼</w:t>
      </w:r>
    </w:p>
    <w:p>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eastAsia="zh-CN"/>
          <w14:textFill>
            <w14:solidFill>
              <w14:schemeClr w14:val="tx1"/>
            </w14:solidFill>
          </w14:textFill>
        </w:rPr>
        <w:t>姚正华</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项</w:t>
      </w:r>
      <w:r>
        <w:rPr>
          <w:rFonts w:hint="eastAsia" w:ascii="仿宋" w:hAnsi="仿宋" w:eastAsia="仿宋" w:cs="仿宋"/>
          <w:color w:val="000000" w:themeColor="text1"/>
          <w:sz w:val="24"/>
          <w:highlight w:val="none"/>
          <w14:textFill>
            <w14:solidFill>
              <w14:schemeClr w14:val="tx1"/>
            </w14:solidFill>
          </w14:textFill>
        </w:rPr>
        <w:t>目联系方式（询问）：0571-86235827</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highlight w:val="none"/>
          <w:lang w:eastAsia="zh-CN"/>
          <w14:textFill>
            <w14:solidFill>
              <w14:schemeClr w14:val="tx1"/>
            </w14:solidFill>
          </w14:textFill>
        </w:rPr>
        <w:t>丁敏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w:t>
      </w:r>
      <w:r>
        <w:rPr>
          <w:rFonts w:hint="eastAsia" w:ascii="仿宋" w:hAnsi="仿宋" w:eastAsia="仿宋" w:cs="仿宋"/>
          <w:color w:val="000000" w:themeColor="text1"/>
          <w:sz w:val="24"/>
          <w:highlight w:val="none"/>
          <w:lang w:val="en-US" w:eastAsia="zh-CN"/>
          <w14:textFill>
            <w14:solidFill>
              <w14:schemeClr w14:val="tx1"/>
            </w14:solidFill>
          </w14:textFill>
        </w:rPr>
        <w:t>15068790754</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14:textFill>
            <w14:solidFill>
              <w14:schemeClr w14:val="tx1"/>
            </w14:solidFill>
          </w14:textFill>
        </w:rPr>
        <w:t xml:space="preserve">    3.同级政府采购监督管理部门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 杭州市临平区财政局</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联系人：俞征</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监督投诉电话：0571-89185312</w:t>
      </w:r>
    </w:p>
    <w:p>
      <w:pPr>
        <w:pStyle w:val="2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地址：杭州市临平区临平东湖中路236号临平财税大楼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w:t>
      </w:r>
      <w:r>
        <w:rPr>
          <w:rFonts w:hint="eastAsia" w:ascii="仿宋" w:hAnsi="仿宋" w:eastAsia="仿宋" w:cs="仿宋"/>
          <w:color w:val="000000" w:themeColor="text1"/>
          <w:sz w:val="24"/>
          <w:highlight w:val="none"/>
          <w14:textFill>
            <w14:solidFill>
              <w14:schemeClr w14:val="tx1"/>
            </w14:solidFill>
          </w14:textFill>
        </w:rPr>
        <w:t>https://www.zcygov.cn/），点击右侧咨询小采，获取采小蜜智能服务管家帮助，或拨打政</w:t>
      </w:r>
      <w:r>
        <w:rPr>
          <w:rFonts w:hint="eastAsia" w:ascii="仿宋" w:hAnsi="仿宋" w:eastAsia="仿宋" w:cs="仿宋"/>
          <w:color w:val="000000" w:themeColor="text1"/>
          <w:sz w:val="24"/>
          <w:highlight w:val="none"/>
          <w14:textFill>
            <w14:solidFill>
              <w14:schemeClr w14:val="tx1"/>
            </w14:solidFill>
          </w14:textFill>
        </w:rPr>
        <w:t>采云服务热线</w:t>
      </w:r>
      <w:r>
        <w:rPr>
          <w:rFonts w:hint="eastAsia" w:ascii="仿宋" w:hAnsi="仿宋" w:eastAsia="仿宋" w:cs="仿宋"/>
          <w:color w:val="000000" w:themeColor="text1"/>
          <w:sz w:val="24"/>
          <w:highlight w:val="none"/>
          <w14:textFill>
            <w14:solidFill>
              <w14:schemeClr w14:val="tx1"/>
            </w14:solidFill>
          </w14:textFill>
        </w:rPr>
        <w:t>400-881-7190获取热线服务帮助。</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w:t>
      </w:r>
      <w:r>
        <w:rPr>
          <w:rFonts w:hint="eastAsia" w:ascii="仿宋" w:hAnsi="仿宋" w:eastAsia="仿宋" w:cs="仿宋"/>
          <w:color w:val="000000" w:themeColor="text1"/>
          <w:sz w:val="24"/>
          <w:highlight w:val="none"/>
          <w14:textFill>
            <w14:solidFill>
              <w14:schemeClr w14:val="tx1"/>
            </w14:solidFill>
          </w14:textFill>
        </w:rPr>
        <w:t>汇信</w:t>
      </w:r>
      <w:r>
        <w:rPr>
          <w:rFonts w:hint="eastAsia" w:ascii="仿宋" w:hAnsi="仿宋" w:eastAsia="仿宋" w:cs="仿宋"/>
          <w:color w:val="000000" w:themeColor="text1"/>
          <w:sz w:val="24"/>
          <w:highlight w:val="none"/>
          <w14:textFill>
            <w14:solidFill>
              <w14:schemeClr w14:val="tx1"/>
            </w14:solidFill>
          </w14:textFill>
        </w:rPr>
        <w:t>CA 400-888-4636；天谷CA 400-087-8198。</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9"/>
    </w:p>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 w:hAnsi="仿宋" w:eastAsia="仿宋" w:cs="仿宋"/>
                <w:b/>
                <w:color w:val="000000" w:themeColor="text1"/>
                <w:kern w:val="0"/>
                <w:sz w:val="24"/>
                <w:szCs w:val="20"/>
                <w:highlight w:val="none"/>
                <w:lang w:val="zh-CN"/>
                <w14:textFill>
                  <w14:solidFill>
                    <w14:schemeClr w14:val="tx1"/>
                  </w14:solidFill>
                </w14:textFill>
              </w:rPr>
            </w:pPr>
            <w:r>
              <w:rPr>
                <w:rFonts w:hint="eastAsia" w:ascii="仿宋" w:hAnsi="仿宋" w:eastAsia="仿宋" w:cs="仿宋"/>
                <w:color w:val="000000" w:themeColor="text1"/>
                <w:kern w:val="0"/>
                <w:sz w:val="24"/>
                <w:szCs w:val="20"/>
                <w:highlight w:val="none"/>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4"/>
                <w:szCs w:val="20"/>
                <w:highlight w:val="none"/>
                <w14:textFill>
                  <w14:solidFill>
                    <w14:schemeClr w14:val="tx1"/>
                  </w14:solidFill>
                </w14:textFill>
              </w:rPr>
              <w:t>开标一览表（报价表）</w:t>
            </w:r>
            <w:r>
              <w:rPr>
                <w:rFonts w:hint="eastAsia" w:ascii="仿宋" w:hAnsi="仿宋" w:eastAsia="仿宋" w:cs="仿宋"/>
                <w:color w:val="000000" w:themeColor="text1"/>
                <w:sz w:val="24"/>
                <w:szCs w:val="20"/>
                <w:highlight w:val="none"/>
                <w14:textFill>
                  <w14:solidFill>
                    <w14:schemeClr w14:val="tx1"/>
                  </w14:solidFill>
                </w14:textFill>
              </w:rPr>
              <w:t>是报价的唯一载体</w:t>
            </w:r>
            <w:r>
              <w:rPr>
                <w:rFonts w:hint="eastAsia" w:ascii="仿宋" w:hAnsi="仿宋" w:eastAsia="仿宋" w:cs="仿宋"/>
                <w:color w:val="000000" w:themeColor="text1"/>
                <w:kern w:val="0"/>
                <w:sz w:val="24"/>
                <w:szCs w:val="20"/>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szCs w:val="20"/>
                <w:highlight w:val="none"/>
                <w:lang w:val="zh-CN"/>
                <w14:textFill>
                  <w14:solidFill>
                    <w14:schemeClr w14:val="tx1"/>
                  </w14:solidFill>
                </w14:textFill>
              </w:rPr>
              <w:t>提醒：验收时检测费用由采购人承担，不包含在投标总价中。</w:t>
            </w:r>
          </w:p>
          <w:p>
            <w:pPr>
              <w:snapToGrid w:val="0"/>
              <w:spacing w:before="0" w:beforeAutospacing="0" w:after="0" w:afterAutospacing="0" w:line="360" w:lineRule="auto"/>
              <w:ind w:left="0" w:right="0"/>
              <w:jc w:val="left"/>
              <w:rPr>
                <w:rFonts w:hint="eastAsia" w:ascii="仿宋" w:hAnsi="仿宋" w:eastAsia="仿宋" w:cs="仿宋"/>
                <w:b/>
                <w:color w:val="000000" w:themeColor="text1"/>
                <w:kern w:val="0"/>
                <w:sz w:val="24"/>
                <w:szCs w:val="20"/>
                <w:highlight w:val="none"/>
                <w:lang w:val="zh-CN"/>
                <w14:textFill>
                  <w14:solidFill>
                    <w14:schemeClr w14:val="tx1"/>
                  </w14:solidFill>
                </w14:textFill>
              </w:rPr>
            </w:pPr>
            <w:r>
              <w:rPr>
                <w:rFonts w:hint="eastAsia" w:ascii="仿宋" w:hAnsi="仿宋" w:eastAsia="仿宋" w:cs="仿宋"/>
                <w:b/>
                <w:color w:val="000000" w:themeColor="text1"/>
                <w:kern w:val="0"/>
                <w:sz w:val="24"/>
                <w:szCs w:val="20"/>
                <w:highlight w:val="none"/>
                <w:lang w:val="zh-CN"/>
                <w14:textFill>
                  <w14:solidFill>
                    <w14:schemeClr w14:val="tx1"/>
                  </w14:solidFill>
                </w14:textFill>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 w:hAnsi="仿宋" w:eastAsia="仿宋" w:cs="仿宋"/>
                <w:b/>
                <w:color w:val="000000" w:themeColor="text1"/>
                <w:kern w:val="0"/>
                <w:sz w:val="24"/>
                <w:szCs w:val="20"/>
                <w:highlight w:val="none"/>
                <w:lang w:val="zh-CN"/>
                <w14:textFill>
                  <w14:solidFill>
                    <w14:schemeClr w14:val="tx1"/>
                  </w14:solidFill>
                </w14:textFill>
              </w:rPr>
            </w:pPr>
            <w:r>
              <w:rPr>
                <w:rFonts w:hint="eastAsia" w:ascii="仿宋" w:hAnsi="仿宋" w:eastAsia="仿宋" w:cs="仿宋"/>
                <w:b/>
                <w:color w:val="000000" w:themeColor="text1"/>
                <w:kern w:val="0"/>
                <w:sz w:val="24"/>
                <w:szCs w:val="20"/>
                <w:highlight w:val="none"/>
                <w:lang w:val="zh-CN"/>
                <w14:textFill>
                  <w14:solidFill>
                    <w14:schemeClr w14:val="tx1"/>
                  </w14:solidFill>
                </w14:textFill>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 w:hAnsi="仿宋" w:eastAsia="仿宋" w:cs="仿宋"/>
                <w:color w:val="000000" w:themeColor="text1"/>
                <w:kern w:val="0"/>
                <w:sz w:val="24"/>
                <w:szCs w:val="20"/>
                <w:highlight w:val="none"/>
                <w:lang w:val="zh-CN"/>
                <w14:textFill>
                  <w14:solidFill>
                    <w14:schemeClr w14:val="tx1"/>
                  </w14:solidFill>
                </w14:textFill>
              </w:rPr>
            </w:pPr>
            <w:r>
              <w:rPr>
                <w:rFonts w:hint="eastAsia" w:ascii="仿宋" w:hAnsi="仿宋" w:eastAsia="仿宋" w:cs="仿宋"/>
                <w:b/>
                <w:color w:val="000000" w:themeColor="text1"/>
                <w:kern w:val="0"/>
                <w:sz w:val="24"/>
                <w:szCs w:val="20"/>
                <w:highlight w:val="none"/>
                <w:lang w:val="zh-CN"/>
                <w14:textFill>
                  <w14:solidFill>
                    <w14:schemeClr w14:val="tx1"/>
                  </w14:solidFill>
                </w14:textFill>
              </w:rPr>
              <w:t>投标报价超过招标文件中规定的预算金额或者最高限价的</w:t>
            </w:r>
            <w:r>
              <w:rPr>
                <w:rFonts w:hint="eastAsia" w:ascii="仿宋" w:hAnsi="仿宋" w:eastAsia="仿宋" w:cs="仿宋"/>
                <w:b/>
                <w:color w:val="000000" w:themeColor="text1"/>
                <w:kern w:val="0"/>
                <w:sz w:val="24"/>
                <w:szCs w:val="20"/>
                <w:highlight w:val="none"/>
                <w:lang w:val="zh-CN"/>
                <w14:textFill>
                  <w14:solidFill>
                    <w14:schemeClr w14:val="tx1"/>
                  </w14:solidFill>
                </w14:textFill>
              </w:rPr>
              <w:t>;</w:t>
            </w:r>
          </w:p>
          <w:p>
            <w:pPr>
              <w:spacing w:before="0" w:beforeAutospacing="0" w:after="0" w:afterAutospacing="0" w:line="360" w:lineRule="auto"/>
              <w:ind w:left="0" w:right="0" w:firstLine="241" w:firstLineChars="10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pPr>
              <w:spacing w:before="0" w:beforeAutospacing="0" w:after="0" w:afterAutospacing="0" w:line="360" w:lineRule="auto"/>
              <w:ind w:left="0" w:right="0" w:firstLine="241" w:firstLineChars="10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w:t>
            </w:r>
            <w:r>
              <w:rPr>
                <w:rFonts w:hint="eastAsia" w:ascii="仿宋" w:hAnsi="仿宋" w:eastAsia="仿宋" w:cs="仿宋"/>
                <w:color w:val="000000" w:themeColor="text1"/>
                <w:kern w:val="0"/>
                <w:sz w:val="24"/>
                <w:szCs w:val="20"/>
                <w:highlight w:val="none"/>
                <w14:textFill>
                  <w14:solidFill>
                    <w14:schemeClr w14:val="tx1"/>
                  </w14:solidFill>
                </w14:textFill>
              </w:rPr>
              <w:t xml:space="preserve"> A</w:t>
            </w:r>
            <w:r>
              <w:rPr>
                <w:rFonts w:hint="eastAsia" w:ascii="仿宋" w:hAnsi="仿宋" w:eastAsia="仿宋" w:cs="仿宋"/>
                <w:color w:val="000000" w:themeColor="text1"/>
                <w:sz w:val="24"/>
                <w:szCs w:val="20"/>
                <w:highlight w:val="none"/>
                <w14:textFill>
                  <w14:solidFill>
                    <w14:schemeClr w14:val="tx1"/>
                  </w14:solidFill>
                </w14:textFill>
              </w:rPr>
              <w:t>同意将非主体、非关键性的</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工作分包。</w:t>
            </w:r>
            <w:r>
              <w:rPr>
                <w:rFonts w:hint="eastAsia" w:ascii="仿宋" w:hAnsi="仿宋" w:eastAsia="仿宋" w:cs="仿宋"/>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color w:val="000000" w:themeColor="text1"/>
                <w:kern w:val="0"/>
                <w:sz w:val="24"/>
                <w:szCs w:val="20"/>
                <w:highlight w:val="none"/>
                <w14:textFill>
                  <w14:solidFill>
                    <w14:schemeClr w14:val="tx1"/>
                  </w14:solidFill>
                </w14:textFill>
              </w:rPr>
              <w:t xml:space="preserve"> B</w:t>
            </w:r>
            <w:r>
              <w:rPr>
                <w:rFonts w:hint="eastAsia" w:ascii="仿宋" w:hAnsi="仿宋" w:eastAsia="仿宋" w:cs="仿宋"/>
                <w:color w:val="000000" w:themeColor="text1"/>
                <w:sz w:val="24"/>
                <w:szCs w:val="20"/>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（1）资格证明文件：见招标文件第二部分11.1。</w:t>
            </w:r>
          </w:p>
          <w:p>
            <w:pPr>
              <w:spacing w:before="0" w:beforeAutospacing="0" w:after="0" w:afterAutospacing="0" w:line="360" w:lineRule="auto"/>
              <w:ind w:left="0" w:right="0"/>
              <w:rPr>
                <w:rFonts w:hint="eastAsia" w:ascii="仿宋" w:hAnsi="仿宋" w:eastAsia="仿宋" w:cs="仿宋"/>
                <w:snapToGrid w:val="0"/>
                <w:color w:val="000000" w:themeColor="text1"/>
                <w:kern w:val="0"/>
                <w:sz w:val="20"/>
                <w:szCs w:val="21"/>
                <w:highlight w:val="none"/>
                <w14:textFill>
                  <w14:solidFill>
                    <w14:schemeClr w14:val="tx1"/>
                  </w14:solidFill>
                </w14:textFill>
              </w:rPr>
            </w:pPr>
            <w:r>
              <w:rPr>
                <w:rFonts w:hint="eastAsia" w:ascii="仿宋" w:hAnsi="仿宋" w:eastAsia="仿宋" w:cs="仿宋"/>
                <w:color w:val="000000" w:themeColor="text1"/>
                <w:kern w:val="0"/>
                <w:sz w:val="24"/>
                <w:szCs w:val="20"/>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color w:val="000000" w:themeColor="text1"/>
                <w:kern w:val="0"/>
                <w:sz w:val="24"/>
                <w:szCs w:val="20"/>
                <w:highlight w:val="none"/>
                <w14:textFill>
                  <w14:solidFill>
                    <w14:schemeClr w14:val="tx1"/>
                  </w14:solidFill>
                </w14:textFill>
              </w:rPr>
              <w:t>A</w:t>
            </w:r>
            <w:r>
              <w:rPr>
                <w:rFonts w:hint="eastAsia" w:ascii="仿宋" w:hAnsi="仿宋" w:eastAsia="仿宋" w:cs="仿宋"/>
                <w:color w:val="000000" w:themeColor="text1"/>
                <w:sz w:val="24"/>
                <w:szCs w:val="20"/>
                <w:highlight w:val="none"/>
                <w14:textFill>
                  <w14:solidFill>
                    <w14:schemeClr w14:val="tx1"/>
                  </w14:solidFill>
                </w14:textFill>
              </w:rPr>
              <w:t>不组织。</w:t>
            </w:r>
          </w:p>
          <w:p>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w:t>
            </w:r>
            <w:r>
              <w:rPr>
                <w:rFonts w:hint="eastAsia" w:ascii="仿宋" w:hAnsi="仿宋" w:eastAsia="仿宋" w:cs="仿宋"/>
                <w:color w:val="000000" w:themeColor="text1"/>
                <w:kern w:val="0"/>
                <w:sz w:val="24"/>
                <w:szCs w:val="20"/>
                <w:highlight w:val="none"/>
                <w14:textFill>
                  <w14:solidFill>
                    <w14:schemeClr w14:val="tx1"/>
                  </w14:solidFill>
                </w14:textFill>
              </w:rPr>
              <w:t>B组织，</w:t>
            </w:r>
            <w:r>
              <w:rPr>
                <w:rFonts w:hint="eastAsia" w:ascii="仿宋" w:hAnsi="仿宋" w:eastAsia="仿宋" w:cs="仿宋"/>
                <w:color w:val="000000" w:themeColor="text1"/>
                <w:sz w:val="24"/>
                <w:szCs w:val="20"/>
                <w:highlight w:val="none"/>
                <w14:textFill>
                  <w14:solidFill>
                    <w14:schemeClr w14:val="tx1"/>
                  </w14:solidFill>
                </w14:textFill>
              </w:rPr>
              <w:t>时间：</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,地点：</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，联系人：</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，联系方式：</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color w:val="000000" w:themeColor="text1"/>
                <w:kern w:val="0"/>
                <w:sz w:val="24"/>
                <w:szCs w:val="20"/>
                <w:highlight w:val="none"/>
                <w14:textFill>
                  <w14:solidFill>
                    <w14:schemeClr w14:val="tx1"/>
                  </w14:solidFill>
                </w14:textFill>
              </w:rPr>
              <w:t>A</w:t>
            </w:r>
            <w:r>
              <w:rPr>
                <w:rFonts w:hint="eastAsia" w:ascii="仿宋" w:hAnsi="仿宋" w:eastAsia="仿宋" w:cs="仿宋"/>
                <w:color w:val="000000" w:themeColor="text1"/>
                <w:sz w:val="24"/>
                <w:szCs w:val="20"/>
                <w:highlight w:val="none"/>
                <w14:textFill>
                  <w14:solidFill>
                    <w14:schemeClr w14:val="tx1"/>
                  </w14:solidFill>
                </w14:textFill>
              </w:rPr>
              <w:t>不要求提供。</w:t>
            </w:r>
          </w:p>
          <w:p>
            <w:pPr>
              <w:spacing w:before="0" w:beforeAutospacing="0" w:after="0" w:afterAutospacing="0" w:line="360" w:lineRule="auto"/>
              <w:ind w:left="0" w:right="0"/>
              <w:rPr>
                <w:rFonts w:hint="eastAsia" w:ascii="仿宋" w:hAnsi="仿宋" w:eastAsia="仿宋" w:cs="仿宋"/>
                <w:color w:val="000000" w:themeColor="text1"/>
                <w:kern w:val="0"/>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w:t>
            </w:r>
            <w:r>
              <w:rPr>
                <w:rFonts w:hint="eastAsia" w:ascii="仿宋" w:hAnsi="仿宋" w:eastAsia="仿宋" w:cs="仿宋"/>
                <w:color w:val="000000" w:themeColor="text1"/>
                <w:kern w:val="0"/>
                <w:sz w:val="24"/>
                <w:szCs w:val="20"/>
                <w:highlight w:val="none"/>
                <w14:textFill>
                  <w14:solidFill>
                    <w14:schemeClr w14:val="tx1"/>
                  </w14:solidFill>
                </w14:textFill>
              </w:rPr>
              <w:t>B要求提供，</w:t>
            </w:r>
          </w:p>
          <w:p>
            <w:pPr>
              <w:spacing w:before="0" w:beforeAutospacing="0" w:after="0" w:afterAutospacing="0" w:line="360" w:lineRule="auto"/>
              <w:ind w:left="0" w:right="0"/>
              <w:rPr>
                <w:rFonts w:hint="eastAsia" w:ascii="仿宋" w:hAnsi="仿宋" w:eastAsia="仿宋" w:cs="仿宋"/>
                <w:color w:val="000000" w:themeColor="text1"/>
                <w:kern w:val="0"/>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（1）</w:t>
            </w:r>
            <w:r>
              <w:rPr>
                <w:rFonts w:hint="eastAsia" w:ascii="仿宋" w:hAnsi="仿宋" w:eastAsia="仿宋" w:cs="仿宋"/>
                <w:snapToGrid w:val="0"/>
                <w:color w:val="000000" w:themeColor="text1"/>
                <w:kern w:val="28"/>
                <w:sz w:val="24"/>
                <w:szCs w:val="20"/>
                <w:highlight w:val="none"/>
                <w14:textFill>
                  <w14:solidFill>
                    <w14:schemeClr w14:val="tx1"/>
                  </w14:solidFill>
                </w14:textFill>
              </w:rPr>
              <w:t>样品：</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0"/>
                <w:highlight w:val="none"/>
                <w14:textFill>
                  <w14:solidFill>
                    <w14:schemeClr w14:val="tx1"/>
                  </w14:solidFill>
                </w14:textFill>
              </w:rPr>
              <w:t>；</w:t>
            </w:r>
          </w:p>
          <w:p>
            <w:pPr>
              <w:spacing w:before="0" w:beforeAutospacing="0" w:after="0" w:afterAutospacing="0" w:line="360" w:lineRule="auto"/>
              <w:ind w:left="0" w:right="0"/>
              <w:rPr>
                <w:rFonts w:hint="eastAsia" w:ascii="仿宋" w:hAnsi="仿宋" w:eastAsia="仿宋" w:cs="仿宋"/>
                <w:color w:val="000000" w:themeColor="text1"/>
                <w:kern w:val="0"/>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（2）</w:t>
            </w:r>
            <w:r>
              <w:rPr>
                <w:rFonts w:hint="eastAsia" w:ascii="仿宋" w:hAnsi="仿宋" w:eastAsia="仿宋" w:cs="仿宋"/>
                <w:snapToGrid w:val="0"/>
                <w:color w:val="000000" w:themeColor="text1"/>
                <w:kern w:val="28"/>
                <w:sz w:val="24"/>
                <w:szCs w:val="20"/>
                <w:highlight w:val="none"/>
                <w14:textFill>
                  <w14:solidFill>
                    <w14:schemeClr w14:val="tx1"/>
                  </w14:solidFill>
                </w14:textFill>
              </w:rPr>
              <w:t>样品制作的标准和要求：</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0"/>
                <w:highlight w:val="none"/>
                <w14:textFill>
                  <w14:solidFill>
                    <w14:schemeClr w14:val="tx1"/>
                  </w14:solidFill>
                </w14:textFill>
              </w:rPr>
              <w:t>；</w:t>
            </w:r>
          </w:p>
          <w:p>
            <w:pPr>
              <w:spacing w:before="0" w:beforeAutospacing="0" w:after="0" w:afterAutospacing="0" w:line="360" w:lineRule="auto"/>
              <w:ind w:left="0" w:right="0"/>
              <w:rPr>
                <w:rFonts w:hint="eastAsia" w:ascii="仿宋" w:hAnsi="仿宋" w:eastAsia="仿宋" w:cs="仿宋"/>
                <w:color w:val="000000" w:themeColor="text1"/>
                <w:kern w:val="0"/>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szCs w:val="20"/>
                <w:highlight w:val="none"/>
                <w14:textFill>
                  <w14:solidFill>
                    <w14:schemeClr w14:val="tx1"/>
                  </w14:solidFill>
                </w14:textFill>
              </w:rPr>
              <w:t>：详见</w:t>
            </w:r>
            <w:r>
              <w:rPr>
                <w:rFonts w:hint="eastAsia" w:ascii="仿宋" w:hAnsi="仿宋" w:eastAsia="仿宋" w:cs="仿宋"/>
                <w:color w:val="000000" w:themeColor="text1"/>
                <w:sz w:val="24"/>
                <w:szCs w:val="20"/>
                <w:highlight w:val="none"/>
                <w:u w:val="single"/>
                <w14:textFill>
                  <w14:solidFill>
                    <w14:schemeClr w14:val="tx1"/>
                  </w14:solidFill>
                </w14:textFill>
              </w:rPr>
              <w:t>评标办法</w:t>
            </w:r>
            <w:r>
              <w:rPr>
                <w:rFonts w:hint="eastAsia" w:ascii="仿宋" w:hAnsi="仿宋" w:eastAsia="仿宋" w:cs="仿宋"/>
                <w:color w:val="000000" w:themeColor="text1"/>
                <w:kern w:val="0"/>
                <w:sz w:val="24"/>
                <w:szCs w:val="20"/>
                <w:highlight w:val="none"/>
                <w14:textFill>
                  <w14:solidFill>
                    <w14:schemeClr w14:val="tx1"/>
                  </w14:solidFill>
                </w14:textFill>
              </w:rPr>
              <w:t>；</w:t>
            </w:r>
          </w:p>
          <w:p>
            <w:pPr>
              <w:spacing w:before="0" w:beforeAutospacing="0" w:after="0" w:afterAutospacing="0" w:line="360" w:lineRule="auto"/>
              <w:ind w:left="0" w:right="0"/>
              <w:rPr>
                <w:rFonts w:hint="eastAsia" w:ascii="仿宋" w:hAnsi="仿宋" w:eastAsia="仿宋" w:cs="仿宋"/>
                <w:color w:val="000000" w:themeColor="text1"/>
                <w:kern w:val="0"/>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（4）是否需要随样品提交检测报告：</w:t>
            </w:r>
            <w:r>
              <w:rPr>
                <w:rFonts w:hint="eastAsia" w:ascii="仿宋" w:hAnsi="仿宋" w:eastAsia="仿宋" w:cs="仿宋"/>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color w:val="000000" w:themeColor="text1"/>
                <w:kern w:val="0"/>
                <w:sz w:val="24"/>
                <w:szCs w:val="20"/>
                <w:highlight w:val="none"/>
                <w14:textFill>
                  <w14:solidFill>
                    <w14:schemeClr w14:val="tx1"/>
                  </w14:solidFill>
                </w14:textFill>
              </w:rPr>
              <w:t>否；</w:t>
            </w:r>
            <w:r>
              <w:rPr>
                <w:rFonts w:hint="eastAsia" w:ascii="仿宋" w:hAnsi="仿宋" w:eastAsia="仿宋" w:cs="仿宋"/>
                <w:color w:val="000000" w:themeColor="text1"/>
                <w:kern w:val="0"/>
                <w:sz w:val="24"/>
                <w:szCs w:val="20"/>
                <w:highlight w:val="none"/>
                <w14:textFill>
                  <w14:solidFill>
                    <w14:schemeClr w14:val="tx1"/>
                  </w14:solidFill>
                </w14:textFill>
              </w:rPr>
              <w:t>☐</w:t>
            </w:r>
            <w:r>
              <w:rPr>
                <w:rFonts w:hint="eastAsia" w:ascii="仿宋" w:hAnsi="仿宋" w:eastAsia="仿宋" w:cs="仿宋"/>
                <w:color w:val="000000" w:themeColor="text1"/>
                <w:kern w:val="0"/>
                <w:sz w:val="24"/>
                <w:szCs w:val="20"/>
                <w:highlight w:val="none"/>
                <w14:textFill>
                  <w14:solidFill>
                    <w14:schemeClr w14:val="tx1"/>
                  </w14:solidFill>
                </w14:textFill>
              </w:rPr>
              <w:t>是，检测机构的要求</w:t>
            </w:r>
            <w:r>
              <w:rPr>
                <w:rFonts w:hint="eastAsia" w:ascii="仿宋" w:hAnsi="仿宋" w:eastAsia="仿宋" w:cs="仿宋"/>
                <w:color w:val="000000" w:themeColor="text1"/>
                <w:sz w:val="24"/>
                <w:szCs w:val="20"/>
                <w:highlight w:val="none"/>
                <w14:textFill>
                  <w14:solidFill>
                    <w14:schemeClr w14:val="tx1"/>
                  </w14:solidFill>
                </w14:textFill>
              </w:rPr>
              <w:t>：</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0"/>
                <w:highlight w:val="none"/>
                <w14:textFill>
                  <w14:solidFill>
                    <w14:schemeClr w14:val="tx1"/>
                  </w14:solidFill>
                </w14:textFill>
              </w:rPr>
              <w:t>；检测内容</w:t>
            </w:r>
            <w:r>
              <w:rPr>
                <w:rFonts w:hint="eastAsia" w:ascii="仿宋" w:hAnsi="仿宋" w:eastAsia="仿宋" w:cs="仿宋"/>
                <w:color w:val="000000" w:themeColor="text1"/>
                <w:sz w:val="24"/>
                <w:szCs w:val="20"/>
                <w:highlight w:val="none"/>
                <w14:textFill>
                  <w14:solidFill>
                    <w14:schemeClr w14:val="tx1"/>
                  </w14:solidFill>
                </w14:textFill>
              </w:rPr>
              <w:t>：</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0"/>
                <w:highlight w:val="none"/>
                <w14:textFill>
                  <w14:solidFill>
                    <w14:schemeClr w14:val="tx1"/>
                  </w14:solidFill>
                </w14:textFill>
              </w:rPr>
              <w:t>。</w:t>
            </w:r>
          </w:p>
          <w:p>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（5）提供样品的时间：</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0"/>
                <w:highlight w:val="none"/>
                <w14:textFill>
                  <w14:solidFill>
                    <w14:schemeClr w14:val="tx1"/>
                  </w14:solidFill>
                </w14:textFill>
              </w:rPr>
              <w:t>；地点：</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0"/>
                <w:highlight w:val="none"/>
                <w14:textFill>
                  <w14:solidFill>
                    <w14:schemeClr w14:val="tx1"/>
                  </w14:solidFill>
                </w14:textFill>
              </w:rPr>
              <w:t>；联系人</w:t>
            </w:r>
            <w:r>
              <w:rPr>
                <w:rFonts w:hint="eastAsia" w:ascii="仿宋" w:hAnsi="仿宋" w:eastAsia="仿宋" w:cs="仿宋"/>
                <w:color w:val="000000" w:themeColor="text1"/>
                <w:sz w:val="24"/>
                <w:szCs w:val="20"/>
                <w:highlight w:val="none"/>
                <w14:textFill>
                  <w14:solidFill>
                    <w14:schemeClr w14:val="tx1"/>
                  </w14:solidFill>
                </w14:textFill>
              </w:rPr>
              <w:t>：</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r>
              <w:rPr>
                <w:rFonts w:hint="eastAsia" w:ascii="仿宋" w:hAnsi="仿宋" w:eastAsia="仿宋" w:cs="仿宋"/>
                <w:color w:val="000000" w:themeColor="text1"/>
                <w:kern w:val="28"/>
                <w:sz w:val="24"/>
                <w:szCs w:val="20"/>
                <w:highlight w:val="none"/>
                <w14:textFill>
                  <w14:solidFill>
                    <w14:schemeClr w14:val="tx1"/>
                  </w14:solidFill>
                </w14:textFill>
              </w:rPr>
              <w:t>联系电话：</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w:t>
            </w:r>
            <w:r>
              <w:rPr>
                <w:rFonts w:hint="eastAsia" w:ascii="仿宋" w:hAnsi="仿宋" w:eastAsia="仿宋" w:cs="仿宋"/>
                <w:color w:val="000000" w:themeColor="text1"/>
                <w:sz w:val="24"/>
                <w:szCs w:val="20"/>
                <w:highlight w:val="none"/>
                <w:lang w:val="en-US" w:eastAsia="zh-CN"/>
                <w14:textFill>
                  <w14:solidFill>
                    <w14:schemeClr w14:val="tx1"/>
                  </w14:solidFill>
                </w14:textFill>
              </w:rPr>
              <w:t>6</w:t>
            </w:r>
            <w:r>
              <w:rPr>
                <w:rFonts w:hint="eastAsia" w:ascii="仿宋" w:hAnsi="仿宋" w:eastAsia="仿宋" w:cs="仿宋"/>
                <w:color w:val="000000" w:themeColor="text1"/>
                <w:sz w:val="24"/>
                <w:szCs w:val="20"/>
                <w:highlight w:val="none"/>
                <w14:textFill>
                  <w14:solidFill>
                    <w14:schemeClr w14:val="tx1"/>
                  </w14:solidFill>
                </w14:textFill>
              </w:rPr>
              <w:t>）采购活动结束后，</w:t>
            </w:r>
            <w:r>
              <w:rPr>
                <w:rFonts w:hint="eastAsia" w:ascii="仿宋" w:hAnsi="仿宋" w:eastAsia="仿宋" w:cs="仿宋"/>
                <w:color w:val="000000" w:themeColor="text1"/>
                <w:sz w:val="24"/>
                <w:szCs w:val="20"/>
                <w:highlight w:val="none"/>
                <w14:textFill>
                  <w14:solidFill>
                    <w14:schemeClr w14:val="tx1"/>
                  </w14:solidFill>
                </w14:textFill>
              </w:rPr>
              <w:t>未中标投标人的“样品”由投标人在中标公告结束后</w:t>
            </w:r>
            <w:r>
              <w:rPr>
                <w:rFonts w:hint="eastAsia" w:ascii="仿宋" w:hAnsi="仿宋" w:eastAsia="仿宋" w:cs="仿宋"/>
                <w:b/>
                <w:color w:val="000000" w:themeColor="text1"/>
                <w:sz w:val="24"/>
                <w:szCs w:val="20"/>
                <w:highlight w:val="none"/>
                <w14:textFill>
                  <w14:solidFill>
                    <w14:schemeClr w14:val="tx1"/>
                  </w14:solidFill>
                </w14:textFill>
              </w:rPr>
              <w:t>三个工作日</w:t>
            </w:r>
            <w:r>
              <w:rPr>
                <w:rFonts w:hint="eastAsia" w:ascii="仿宋" w:hAnsi="仿宋" w:eastAsia="仿宋" w:cs="仿宋"/>
                <w:color w:val="000000" w:themeColor="text1"/>
                <w:sz w:val="24"/>
                <w:szCs w:val="20"/>
                <w:highlight w:val="none"/>
                <w14:textFill>
                  <w14:solidFill>
                    <w14:schemeClr w14:val="tx1"/>
                  </w14:solidFill>
                </w14:textFill>
              </w:rPr>
              <w:t>内从采购人处自行领回，逾期采购人将不予保管</w:t>
            </w:r>
            <w:r>
              <w:rPr>
                <w:rFonts w:hint="eastAsia" w:ascii="仿宋" w:hAnsi="仿宋" w:eastAsia="仿宋" w:cs="仿宋"/>
                <w:color w:val="000000" w:themeColor="text1"/>
                <w:sz w:val="24"/>
                <w:szCs w:val="20"/>
                <w:highlight w:val="none"/>
                <w14:textFill>
                  <w14:solidFill>
                    <w14:schemeClr w14:val="tx1"/>
                  </w14:solidFill>
                </w14:textFill>
              </w:rPr>
              <w:t>；</w:t>
            </w:r>
            <w:r>
              <w:rPr>
                <w:rFonts w:hint="eastAsia" w:ascii="仿宋" w:hAnsi="仿宋" w:eastAsia="仿宋" w:cs="仿宋"/>
                <w:color w:val="000000" w:themeColor="text1"/>
                <w:sz w:val="24"/>
                <w:szCs w:val="20"/>
                <w:highlight w:val="none"/>
                <w14:textFill>
                  <w14:solidFill>
                    <w14:schemeClr w14:val="tx1"/>
                  </w14:solidFill>
                </w14:textFill>
              </w:rPr>
              <w:t>对于中标人提供的样品，采购人将进行保管、封存，并作为履约验收的参考。</w:t>
            </w:r>
          </w:p>
          <w:p>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Cs/>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color w:val="000000" w:themeColor="text1"/>
                <w:kern w:val="0"/>
                <w:sz w:val="24"/>
                <w:szCs w:val="20"/>
                <w:highlight w:val="none"/>
                <w14:textFill>
                  <w14:solidFill>
                    <w14:schemeClr w14:val="tx1"/>
                  </w14:solidFill>
                </w14:textFill>
              </w:rPr>
              <w:t>A</w:t>
            </w:r>
            <w:r>
              <w:rPr>
                <w:rFonts w:hint="eastAsia" w:ascii="仿宋" w:hAnsi="仿宋" w:eastAsia="仿宋" w:cs="仿宋"/>
                <w:color w:val="000000" w:themeColor="text1"/>
                <w:sz w:val="24"/>
                <w:szCs w:val="20"/>
                <w:highlight w:val="none"/>
                <w14:textFill>
                  <w14:solidFill>
                    <w14:schemeClr w14:val="tx1"/>
                  </w14:solidFill>
                </w14:textFill>
              </w:rPr>
              <w:t>不组织。</w:t>
            </w:r>
          </w:p>
          <w:p>
            <w:pPr>
              <w:spacing w:before="0" w:beforeAutospacing="0" w:after="0" w:afterAutospacing="0" w:line="360" w:lineRule="auto"/>
              <w:ind w:left="0" w:right="0"/>
              <w:rPr>
                <w:rFonts w:hint="eastAsia" w:ascii="仿宋" w:hAnsi="仿宋" w:eastAsia="仿宋" w:cs="仿宋"/>
                <w:color w:val="000000" w:themeColor="text1"/>
                <w:kern w:val="0"/>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w:t>
            </w:r>
            <w:r>
              <w:rPr>
                <w:rFonts w:hint="eastAsia" w:ascii="仿宋" w:hAnsi="仿宋" w:eastAsia="仿宋" w:cs="仿宋"/>
                <w:color w:val="000000" w:themeColor="text1"/>
                <w:kern w:val="0"/>
                <w:sz w:val="24"/>
                <w:szCs w:val="20"/>
                <w:highlight w:val="none"/>
                <w14:textFill>
                  <w14:solidFill>
                    <w14:schemeClr w14:val="tx1"/>
                  </w14:solidFill>
                </w14:textFill>
              </w:rPr>
              <w:t>B组织。</w:t>
            </w:r>
          </w:p>
          <w:p>
            <w:pPr>
              <w:snapToGrid w:val="0"/>
              <w:spacing w:before="0" w:beforeAutospacing="0" w:after="0" w:afterAutospacing="0" w:line="360" w:lineRule="auto"/>
              <w:ind w:left="0" w:right="0"/>
              <w:rPr>
                <w:rFonts w:hint="eastAsia" w:ascii="仿宋" w:hAnsi="仿宋" w:eastAsia="仿宋" w:cs="仿宋"/>
                <w:color w:val="000000" w:themeColor="text1"/>
                <w:kern w:val="0"/>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（1）在评标时安排每个投标人进行方案讲解演示。每个投标人时间不超过20分钟，讲解次序以</w:t>
            </w:r>
            <w:r>
              <w:rPr>
                <w:rFonts w:hint="eastAsia" w:ascii="仿宋" w:hAnsi="仿宋" w:eastAsia="仿宋" w:cs="仿宋"/>
                <w:color w:val="000000" w:themeColor="text1"/>
                <w:kern w:val="0"/>
                <w:sz w:val="24"/>
                <w:szCs w:val="20"/>
                <w:highlight w:val="none"/>
                <w:lang w:val="en-US" w:eastAsia="zh-CN"/>
                <w14:textFill>
                  <w14:solidFill>
                    <w14:schemeClr w14:val="tx1"/>
                  </w14:solidFill>
                </w14:textFill>
              </w:rPr>
              <w:t>投标人现场抽签</w:t>
            </w:r>
            <w:r>
              <w:rPr>
                <w:rFonts w:hint="eastAsia" w:ascii="仿宋" w:hAnsi="仿宋" w:eastAsia="仿宋" w:cs="仿宋"/>
                <w:color w:val="000000" w:themeColor="text1"/>
                <w:kern w:val="0"/>
                <w:sz w:val="24"/>
                <w:szCs w:val="20"/>
                <w:highlight w:val="none"/>
                <w14:textFill>
                  <w14:solidFill>
                    <w14:schemeClr w14:val="tx1"/>
                  </w14:solidFill>
                </w14:textFill>
              </w:rPr>
              <w:t>为准，讲解演示人员不超过3人。讲解演示结束后按要求解答评标委员会提问。</w:t>
            </w:r>
          </w:p>
          <w:p>
            <w:pPr>
              <w:snapToGrid w:val="0"/>
              <w:spacing w:before="0" w:beforeAutospacing="0" w:after="0" w:afterAutospacing="0" w:line="360" w:lineRule="auto"/>
              <w:ind w:left="0" w:right="0"/>
              <w:rPr>
                <w:rFonts w:hint="eastAsia" w:ascii="仿宋" w:hAnsi="仿宋" w:eastAsia="仿宋" w:cs="仿宋"/>
                <w:color w:val="000000" w:themeColor="text1"/>
                <w:kern w:val="0"/>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（2）方案讲解演示方式：</w:t>
            </w:r>
          </w:p>
          <w:p>
            <w:pPr>
              <w:snapToGrid w:val="0"/>
              <w:spacing w:before="0" w:beforeAutospacing="0" w:after="0" w:afterAutospacing="0" w:line="360" w:lineRule="auto"/>
              <w:ind w:left="0" w:right="0"/>
              <w:rPr>
                <w:rFonts w:hint="eastAsia" w:ascii="仿宋" w:hAnsi="仿宋" w:eastAsia="仿宋" w:cs="仿宋"/>
                <w:color w:val="000000" w:themeColor="text1"/>
                <w:kern w:val="0"/>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0"/>
                <w:highlight w:val="none"/>
                <w14:textFill>
                  <w14:solidFill>
                    <w14:schemeClr w14:val="tx1"/>
                  </w14:solidFill>
                </w14:textFill>
              </w:rPr>
              <w:t>交易中心现场讲解演示。现场讲解地点为</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0"/>
                <w:highlight w:val="none"/>
                <w14:textFill>
                  <w14:solidFill>
                    <w14:schemeClr w14:val="tx1"/>
                  </w14:solidFill>
                </w14:textFill>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lang w:val="zh-CN"/>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000000" w:themeColor="text1"/>
                <w:kern w:val="0"/>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color w:val="000000" w:themeColor="text1"/>
                <w:kern w:val="0"/>
                <w:sz w:val="24"/>
                <w:szCs w:val="20"/>
                <w:highlight w:val="none"/>
                <w14:textFill>
                  <w14:solidFill>
                    <w14:schemeClr w14:val="tx1"/>
                  </w14:solidFill>
                </w14:textFill>
              </w:rPr>
              <w:t>本项目不允许采购进口产品。</w:t>
            </w:r>
          </w:p>
          <w:p>
            <w:pPr>
              <w:spacing w:before="0" w:beforeAutospacing="0" w:after="0" w:afterAutospacing="0" w:line="360" w:lineRule="auto"/>
              <w:ind w:left="0" w:right="0"/>
              <w:rPr>
                <w:rFonts w:hint="eastAsia" w:ascii="仿宋" w:hAnsi="仿宋" w:eastAsia="仿宋" w:cs="仿宋"/>
                <w:b w:val="0"/>
                <w:bCs w:val="0"/>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w:t>
            </w:r>
            <w:r>
              <w:rPr>
                <w:rFonts w:hint="eastAsia" w:ascii="仿宋" w:hAnsi="仿宋" w:eastAsia="仿宋" w:cs="仿宋"/>
                <w:color w:val="000000" w:themeColor="text1"/>
                <w:kern w:val="0"/>
                <w:sz w:val="24"/>
                <w:szCs w:val="20"/>
                <w:highlight w:val="none"/>
                <w14:textFill>
                  <w14:solidFill>
                    <w14:schemeClr w14:val="tx1"/>
                  </w14:solidFill>
                </w14:textFill>
              </w:rPr>
              <w:t>可以就</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0"/>
                <w:highlight w:val="none"/>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w:t>
            </w:r>
            <w:r>
              <w:rPr>
                <w:rFonts w:hint="eastAsia" w:ascii="仿宋" w:hAnsi="仿宋" w:eastAsia="仿宋" w:cs="仿宋"/>
                <w:color w:val="000000" w:themeColor="text1"/>
                <w:kern w:val="0"/>
                <w:sz w:val="24"/>
                <w:szCs w:val="20"/>
                <w:highlight w:val="none"/>
                <w14:textFill>
                  <w14:solidFill>
                    <w14:schemeClr w14:val="tx1"/>
                  </w14:solidFill>
                </w14:textFill>
              </w:rPr>
              <w:t>A</w:t>
            </w:r>
            <w:r>
              <w:rPr>
                <w:rFonts w:hint="eastAsia" w:ascii="仿宋" w:hAnsi="仿宋" w:eastAsia="仿宋" w:cs="仿宋"/>
                <w:color w:val="000000" w:themeColor="text1"/>
                <w:sz w:val="24"/>
                <w:szCs w:val="20"/>
                <w:highlight w:val="none"/>
                <w14:textFill>
                  <w14:solidFill>
                    <w14:schemeClr w14:val="tx1"/>
                  </w14:solidFill>
                </w14:textFill>
              </w:rPr>
              <w:t>货物类，单一产品或</w:t>
            </w:r>
            <w:r>
              <w:rPr>
                <w:rFonts w:hint="eastAsia" w:ascii="仿宋" w:hAnsi="仿宋" w:eastAsia="仿宋" w:cs="仿宋"/>
                <w:color w:val="000000" w:themeColor="text1"/>
                <w:kern w:val="0"/>
                <w:sz w:val="24"/>
                <w:szCs w:val="20"/>
                <w:highlight w:val="none"/>
                <w14:textFill>
                  <w14:solidFill>
                    <w14:schemeClr w14:val="tx1"/>
                  </w14:solidFill>
                </w14:textFill>
              </w:rPr>
              <w:t>核心产品为：</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p>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color w:val="000000" w:themeColor="text1"/>
                <w:kern w:val="0"/>
                <w:sz w:val="24"/>
                <w:szCs w:val="20"/>
                <w:highlight w:val="none"/>
                <w14:textFill>
                  <w14:solidFill>
                    <w14:schemeClr w14:val="tx1"/>
                  </w14:solidFill>
                </w14:textFill>
              </w:rPr>
              <w:t>B</w:t>
            </w:r>
            <w:r>
              <w:rPr>
                <w:rFonts w:hint="eastAsia" w:ascii="仿宋" w:hAnsi="仿宋" w:eastAsia="仿宋" w:cs="仿宋"/>
                <w:color w:val="000000" w:themeColor="text1"/>
                <w:sz w:val="24"/>
                <w:szCs w:val="20"/>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 w:hAnsi="仿宋" w:eastAsia="仿宋" w:cs="仿宋"/>
                <w:color w:val="000000" w:themeColor="text1"/>
                <w:kern w:val="0"/>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（1）标的：</w:t>
            </w:r>
            <w:r>
              <w:rPr>
                <w:rFonts w:hint="eastAsia" w:ascii="仿宋" w:hAnsi="仿宋" w:eastAsia="仿宋" w:cs="仿宋"/>
                <w:color w:val="000000" w:themeColor="text1"/>
                <w:kern w:val="0"/>
                <w:sz w:val="24"/>
                <w:szCs w:val="20"/>
                <w:highlight w:val="none"/>
                <w:u w:val="single" w:color="auto"/>
                <w:lang w:val="en-US" w:eastAsia="zh-CN"/>
                <w14:textFill>
                  <w14:solidFill>
                    <w14:schemeClr w14:val="tx1"/>
                  </w14:solidFill>
                </w14:textFill>
              </w:rPr>
              <w:t>排查及鉴定服务</w:t>
            </w:r>
            <w:r>
              <w:rPr>
                <w:rFonts w:hint="eastAsia" w:ascii="仿宋" w:hAnsi="仿宋" w:eastAsia="仿宋" w:cs="仿宋"/>
                <w:color w:val="000000" w:themeColor="text1"/>
                <w:kern w:val="0"/>
                <w:sz w:val="24"/>
                <w:szCs w:val="20"/>
                <w:highlight w:val="none"/>
                <w14:textFill>
                  <w14:solidFill>
                    <w14:schemeClr w14:val="tx1"/>
                  </w14:solidFill>
                </w14:textFill>
              </w:rPr>
              <w:t xml:space="preserve"> ，属于</w:t>
            </w:r>
            <w:r>
              <w:rPr>
                <w:rFonts w:hint="eastAsia" w:ascii="仿宋" w:hAnsi="仿宋" w:eastAsia="仿宋" w:cs="仿宋"/>
                <w:color w:val="000000" w:themeColor="text1"/>
                <w:kern w:val="0"/>
                <w:sz w:val="24"/>
                <w:szCs w:val="20"/>
                <w:highlight w:val="none"/>
                <w:u w:val="single" w:color="auto"/>
                <w14:textFill>
                  <w14:solidFill>
                    <w14:schemeClr w14:val="tx1"/>
                  </w14:solidFill>
                </w14:textFill>
              </w:rPr>
              <w:t>其他未列明</w:t>
            </w:r>
            <w:r>
              <w:rPr>
                <w:rFonts w:hint="eastAsia" w:ascii="仿宋" w:hAnsi="仿宋" w:eastAsia="仿宋" w:cs="仿宋"/>
                <w:color w:val="000000" w:themeColor="text1"/>
                <w:kern w:val="0"/>
                <w:sz w:val="24"/>
                <w:szCs w:val="20"/>
                <w:highlight w:val="none"/>
                <w14:textFill>
                  <w14:solidFill>
                    <w14:schemeClr w14:val="tx1"/>
                  </w14:solidFill>
                </w14:textFill>
              </w:rPr>
              <w:t>行业；</w:t>
            </w:r>
          </w:p>
          <w:p>
            <w:pPr>
              <w:pStyle w:val="619"/>
              <w:widowControl/>
              <w:adjustRightInd w:val="0"/>
              <w:spacing w:before="0" w:beforeAutospacing="0" w:after="0" w:afterAutospacing="0" w:line="360" w:lineRule="auto"/>
              <w:ind w:left="0" w:right="0"/>
              <w:jc w:val="both"/>
              <w:rPr>
                <w:rFonts w:hint="eastAsia" w:ascii="仿宋" w:hAnsi="仿宋" w:eastAsia="仿宋" w:cs="仿宋"/>
                <w:color w:val="000000" w:themeColor="text1"/>
                <w:spacing w:val="6"/>
                <w:sz w:val="20"/>
                <w:szCs w:val="21"/>
                <w:highlight w:val="none"/>
                <w14:textFill>
                  <w14:solidFill>
                    <w14:schemeClr w14:val="tx1"/>
                  </w14:solidFill>
                </w14:textFill>
              </w:rPr>
            </w:pPr>
            <w:r>
              <w:rPr>
                <w:rFonts w:hint="eastAsia" w:ascii="仿宋" w:hAnsi="仿宋" w:eastAsia="仿宋" w:cs="仿宋"/>
                <w:color w:val="000000" w:themeColor="text1"/>
                <w:spacing w:val="6"/>
                <w:sz w:val="20"/>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pStyle w:val="3"/>
              <w:spacing w:before="0" w:beforeAutospacing="0" w:after="0" w:afterAutospacing="0"/>
              <w:ind w:right="0"/>
              <w:rPr>
                <w:rFonts w:hint="eastAsia" w:ascii="仿宋" w:hAnsi="仿宋" w:eastAsia="仿宋" w:cs="仿宋"/>
                <w:color w:val="000000" w:themeColor="text1"/>
                <w:sz w:val="20"/>
                <w:szCs w:val="20"/>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0"/>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00" w:firstLineChars="200"/>
              <w:rPr>
                <w:rFonts w:hint="eastAsia" w:ascii="仿宋" w:hAnsi="仿宋" w:eastAsia="仿宋" w:cs="仿宋"/>
                <w:color w:val="000000" w:themeColor="text1"/>
                <w:sz w:val="20"/>
                <w:szCs w:val="20"/>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00" w:firstLineChars="200"/>
              <w:rPr>
                <w:rFonts w:hint="eastAsia" w:ascii="仿宋" w:hAnsi="仿宋" w:eastAsia="仿宋" w:cs="仿宋"/>
                <w:color w:val="000000" w:themeColor="text1"/>
                <w:sz w:val="20"/>
                <w:szCs w:val="20"/>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before="0" w:beforeAutospacing="0" w:after="0" w:afterAutospacing="0" w:line="36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备份投标文件送达地点：</w:t>
            </w:r>
            <w:r>
              <w:rPr>
                <w:rFonts w:hint="eastAsia" w:ascii="仿宋" w:hAnsi="仿宋" w:eastAsia="仿宋" w:cs="仿宋"/>
                <w:b w:val="0"/>
                <w:bCs w:val="0"/>
                <w:color w:val="000000" w:themeColor="text1"/>
                <w:sz w:val="24"/>
                <w:szCs w:val="20"/>
                <w:highlight w:val="none"/>
                <w:u w:val="single" w:color="auto"/>
                <w:lang w:eastAsia="zh-CN"/>
                <w14:textFill>
                  <w14:solidFill>
                    <w14:schemeClr w14:val="tx1"/>
                  </w14:solidFill>
                </w14:textFill>
              </w:rPr>
              <w:t>天阳建设管理有限公司</w:t>
            </w:r>
            <w:r>
              <w:rPr>
                <w:rFonts w:hint="eastAsia" w:ascii="仿宋" w:hAnsi="仿宋" w:eastAsia="仿宋" w:cs="仿宋"/>
                <w:color w:val="000000" w:themeColor="text1"/>
                <w:sz w:val="24"/>
                <w:szCs w:val="20"/>
                <w:highlight w:val="none"/>
                <w:u w:val="single" w:color="auto"/>
                <w:lang w:eastAsia="zh-CN"/>
                <w14:textFill>
                  <w14:solidFill>
                    <w14:schemeClr w14:val="tx1"/>
                  </w14:solidFill>
                </w14:textFill>
              </w:rPr>
              <w:t>（</w:t>
            </w:r>
            <w:r>
              <w:rPr>
                <w:rFonts w:hint="eastAsia" w:ascii="仿宋" w:hAnsi="仿宋" w:eastAsia="仿宋" w:cs="仿宋"/>
                <w:color w:val="000000" w:themeColor="text1"/>
                <w:sz w:val="24"/>
                <w:szCs w:val="20"/>
                <w:highlight w:val="none"/>
                <w:u w:val="single" w:color="auto"/>
                <w14:textFill>
                  <w14:solidFill>
                    <w14:schemeClr w14:val="tx1"/>
                  </w14:solidFill>
                </w14:textFill>
              </w:rPr>
              <w:t>杭州市临平区南苑街道玩月街88号</w:t>
            </w:r>
            <w:r>
              <w:rPr>
                <w:rFonts w:hint="eastAsia" w:ascii="仿宋" w:hAnsi="仿宋" w:eastAsia="仿宋" w:cs="仿宋"/>
                <w:color w:val="000000" w:themeColor="text1"/>
                <w:sz w:val="24"/>
                <w:szCs w:val="20"/>
                <w:highlight w:val="none"/>
                <w:u w:val="single" w:color="auto"/>
                <w:lang w:val="en-US" w:eastAsia="zh-CN"/>
                <w14:textFill>
                  <w14:solidFill>
                    <w14:schemeClr w14:val="tx1"/>
                  </w14:solidFill>
                </w14:textFill>
              </w:rPr>
              <w:t>国贸中心</w:t>
            </w:r>
            <w:r>
              <w:rPr>
                <w:rFonts w:hint="eastAsia" w:ascii="仿宋" w:hAnsi="仿宋" w:eastAsia="仿宋" w:cs="仿宋"/>
                <w:color w:val="000000" w:themeColor="text1"/>
                <w:sz w:val="24"/>
                <w:szCs w:val="20"/>
                <w:highlight w:val="none"/>
                <w:u w:val="single" w:color="auto"/>
                <w14:textFill>
                  <w14:solidFill>
                    <w14:schemeClr w14:val="tx1"/>
                  </w14:solidFill>
                </w14:textFill>
              </w:rPr>
              <w:t>10楼</w:t>
            </w:r>
            <w:r>
              <w:rPr>
                <w:rFonts w:hint="eastAsia" w:ascii="仿宋" w:hAnsi="仿宋" w:eastAsia="仿宋" w:cs="仿宋"/>
                <w:color w:val="000000" w:themeColor="text1"/>
                <w:sz w:val="24"/>
                <w:szCs w:val="20"/>
                <w:highlight w:val="none"/>
                <w:u w:val="singl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pPr>
              <w:pStyle w:val="32"/>
              <w:spacing w:before="0" w:beforeAutospacing="0" w:after="0" w:afterAutospacing="0" w:line="360" w:lineRule="auto"/>
              <w:ind w:left="0" w:right="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采购人、采购机构不强制或变相强制投标人提交备份投标文件。</w:t>
            </w:r>
          </w:p>
          <w:p>
            <w:pPr>
              <w:spacing w:before="0" w:beforeAutospacing="0" w:after="0" w:afterAutospacing="0" w:line="360" w:lineRule="auto"/>
              <w:ind w:left="0" w:right="0" w:firstLine="482" w:firstLineChars="20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投标人递交以介质存储的数据电文形式的备份投标文件出现下列情况之一的，将被拒收：</w:t>
            </w:r>
          </w:p>
          <w:p>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1、未按规定密封或标记的投标文件；</w:t>
            </w:r>
          </w:p>
          <w:p>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2、由于包装不妥，在送交途中严重破损或失散的；</w:t>
            </w:r>
          </w:p>
          <w:p>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3、未成功</w:t>
            </w:r>
            <w:r>
              <w:rPr>
                <w:rFonts w:hint="eastAsia" w:ascii="仿宋" w:hAnsi="仿宋" w:eastAsia="仿宋" w:cs="仿宋"/>
                <w:b/>
                <w:color w:val="000000" w:themeColor="text1"/>
                <w:sz w:val="24"/>
                <w:szCs w:val="20"/>
                <w:highlight w:val="none"/>
                <w:lang w:eastAsia="zh-CN"/>
                <w14:textFill>
                  <w14:solidFill>
                    <w14:schemeClr w14:val="tx1"/>
                  </w14:solidFill>
                </w14:textFill>
              </w:rPr>
              <w:t>获取招标文件</w:t>
            </w:r>
            <w:r>
              <w:rPr>
                <w:rFonts w:hint="eastAsia" w:ascii="仿宋" w:hAnsi="仿宋" w:eastAsia="仿宋" w:cs="仿宋"/>
                <w:b/>
                <w:color w:val="000000" w:themeColor="text1"/>
                <w:sz w:val="24"/>
                <w:szCs w:val="20"/>
                <w:highlight w:val="none"/>
                <w14:textFill>
                  <w14:solidFill>
                    <w14:schemeClr w14:val="tx1"/>
                  </w14:solidFill>
                </w14:textFill>
              </w:rPr>
              <w:t>的；</w:t>
            </w:r>
          </w:p>
          <w:p>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4、超过投标截止时间送达的；</w:t>
            </w:r>
          </w:p>
          <w:p>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5、以介质存储的数据电文形式的备份投标文件，未采用DVD光盘形式提供的。</w:t>
            </w:r>
          </w:p>
          <w:p>
            <w:pPr>
              <w:pStyle w:val="32"/>
              <w:spacing w:before="0" w:beforeAutospacing="0" w:after="0" w:afterAutospacing="0" w:line="360" w:lineRule="auto"/>
              <w:ind w:left="0" w:right="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000000" w:sz="8" w:space="0"/>
              <w:left w:val="single" w:color="000000" w:sz="8" w:space="0"/>
              <w:bottom w:val="nil"/>
              <w:right w:val="single" w:color="000000" w:sz="8"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13</w:t>
            </w:r>
          </w:p>
        </w:tc>
        <w:tc>
          <w:tcPr>
            <w:tcW w:w="1843" w:type="dxa"/>
            <w:vMerge w:val="restart"/>
            <w:tcBorders>
              <w:top w:val="single" w:color="000000" w:sz="8" w:space="0"/>
              <w:left w:val="single" w:color="000000" w:sz="8" w:space="0"/>
              <w:bottom w:val="nil"/>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特别说明</w:t>
            </w:r>
          </w:p>
        </w:tc>
        <w:tc>
          <w:tcPr>
            <w:tcW w:w="6095" w:type="dxa"/>
            <w:tcBorders>
              <w:top w:val="single" w:color="000000" w:sz="8" w:space="0"/>
              <w:left w:val="single" w:color="000000" w:sz="8" w:space="0"/>
              <w:bottom w:val="nil"/>
              <w:right w:val="single" w:color="000000" w:sz="8" w:space="0"/>
            </w:tcBorders>
            <w:vAlign w:val="center"/>
          </w:tcPr>
          <w:p>
            <w:pPr>
              <w:spacing w:before="0" w:beforeAutospacing="0" w:after="0" w:afterAutospacing="0" w:line="360" w:lineRule="auto"/>
              <w:ind w:left="0" w:right="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000000" w:themeColor="text1"/>
                <w:kern w:val="0"/>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top w:val="nil"/>
              <w:left w:val="single" w:color="000000" w:sz="8" w:space="0"/>
              <w:bottom w:val="single" w:color="000000" w:sz="8" w:space="0"/>
              <w:right w:val="single" w:color="000000" w:sz="8"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843" w:type="dxa"/>
            <w:vMerge w:val="continue"/>
            <w:tcBorders>
              <w:top w:val="nil"/>
              <w:left w:val="single" w:color="000000" w:sz="8"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tc>
        <w:tc>
          <w:tcPr>
            <w:tcW w:w="6095" w:type="dxa"/>
            <w:tcBorders>
              <w:top w:val="nil"/>
              <w:left w:val="single" w:color="000000" w:sz="8"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联合体投标的，联合体各方均需按招标文件第四部分评标标准要求提供资信证明文件，否则视为不符合要求。</w:t>
            </w:r>
          </w:p>
          <w:p>
            <w:pPr>
              <w:spacing w:before="0" w:beforeAutospacing="0" w:after="0" w:afterAutospacing="0" w:line="360" w:lineRule="auto"/>
              <w:ind w:left="0" w:right="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联合体投标的，联合体中有一方或者联合体成员根据分工按招标文件第四部分评标标准要求提供资信证明文件的，视为不符合要求。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000000" w:sz="8"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lang w:val="en-US" w:eastAsia="zh-CN"/>
                <w14:textFill>
                  <w14:solidFill>
                    <w14:schemeClr w14:val="tx1"/>
                  </w14:solidFill>
                </w14:textFill>
              </w:rPr>
            </w:pPr>
          </w:p>
          <w:p>
            <w:pPr>
              <w:snapToGrid w:val="0"/>
              <w:spacing w:before="0" w:beforeAutospacing="0" w:after="0" w:afterAutospacing="0" w:line="360" w:lineRule="auto"/>
              <w:ind w:left="0" w:right="0"/>
              <w:jc w:val="both"/>
              <w:rPr>
                <w:rFonts w:hint="eastAsia" w:ascii="仿宋" w:hAnsi="仿宋" w:eastAsia="仿宋" w:cs="仿宋"/>
                <w:color w:val="000000" w:themeColor="text1"/>
                <w:sz w:val="24"/>
                <w:szCs w:val="20"/>
                <w:highlight w:val="none"/>
                <w:lang w:val="en-US" w:eastAsia="zh-CN"/>
                <w14:textFill>
                  <w14:solidFill>
                    <w14:schemeClr w14:val="tx1"/>
                  </w14:solidFill>
                </w14:textFill>
              </w:rPr>
            </w:pPr>
          </w:p>
          <w:p>
            <w:pPr>
              <w:snapToGrid w:val="0"/>
              <w:spacing w:before="0" w:beforeAutospacing="0" w:after="0" w:afterAutospacing="0" w:line="360" w:lineRule="auto"/>
              <w:ind w:left="0" w:right="0"/>
              <w:jc w:val="both"/>
              <w:rPr>
                <w:rFonts w:hint="eastAsia" w:ascii="仿宋" w:hAnsi="仿宋" w:eastAsia="仿宋" w:cs="仿宋"/>
                <w:color w:val="000000" w:themeColor="text1"/>
                <w:sz w:val="24"/>
                <w:szCs w:val="20"/>
                <w:highlight w:val="none"/>
                <w:lang w:val="en-US" w:eastAsia="zh-CN"/>
                <w14:textFill>
                  <w14:solidFill>
                    <w14:schemeClr w14:val="tx1"/>
                  </w14:solidFill>
                </w14:textFill>
              </w:rPr>
            </w:pPr>
          </w:p>
          <w:p>
            <w:pPr>
              <w:snapToGrid w:val="0"/>
              <w:spacing w:before="0" w:beforeAutospacing="0" w:after="0" w:afterAutospacing="0" w:line="360" w:lineRule="auto"/>
              <w:ind w:left="0" w:right="0"/>
              <w:jc w:val="both"/>
              <w:rPr>
                <w:rFonts w:hint="eastAsia" w:ascii="仿宋" w:hAnsi="仿宋" w:eastAsia="仿宋" w:cs="仿宋"/>
                <w:color w:val="000000" w:themeColor="text1"/>
                <w:sz w:val="24"/>
                <w:szCs w:val="20"/>
                <w:highlight w:val="none"/>
                <w:lang w:val="en-US" w:eastAsia="zh-CN"/>
                <w14:textFill>
                  <w14:solidFill>
                    <w14:schemeClr w14:val="tx1"/>
                  </w14:solidFill>
                </w14:textFill>
              </w:rPr>
            </w:pPr>
          </w:p>
          <w:p>
            <w:pPr>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0"/>
                <w:highlight w:val="none"/>
                <w:lang w:val="en-US" w:eastAsia="zh-CN"/>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b/>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中标服务费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5"/>
              <w:snapToGrid w:val="0"/>
              <w:spacing w:before="0" w:beforeAutospacing="0" w:after="0" w:afterAutospacing="0"/>
              <w:ind w:left="0" w:right="0" w:firstLine="0" w:firstLineChars="0"/>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的招标代理费用由中标单位支付，代理费用付款按《招标代理服务收费管理暂行办法》的通知（余计价格[2002]1980号）文件直接支付给分散采购招标代理单位，投标人在报价时应综合考虑该笔费用，但不单列进投标总价。</w:t>
            </w:r>
            <w:r>
              <w:rPr>
                <w:rFonts w:hint="eastAsia" w:ascii="仿宋" w:hAnsi="仿宋" w:eastAsia="仿宋" w:cs="仿宋"/>
                <w:b/>
                <w:color w:val="000000" w:themeColor="text1"/>
                <w:sz w:val="24"/>
                <w:szCs w:val="24"/>
                <w:highlight w:val="none"/>
                <w14:textFill>
                  <w14:solidFill>
                    <w14:schemeClr w14:val="tx1"/>
                  </w14:solidFill>
                </w14:textFill>
              </w:rPr>
              <w:t>招标代理服务费：</w:t>
            </w:r>
            <w:r>
              <w:rPr>
                <w:rFonts w:hint="eastAsia" w:ascii="仿宋" w:hAnsi="仿宋" w:eastAsia="仿宋" w:cs="仿宋"/>
                <w:b/>
                <w:color w:val="000000" w:themeColor="text1"/>
                <w:sz w:val="24"/>
                <w:szCs w:val="24"/>
                <w:highlight w:val="none"/>
                <w:lang w:eastAsia="zh-CN"/>
                <w14:textFill>
                  <w14:solidFill>
                    <w14:schemeClr w14:val="tx1"/>
                  </w14:solidFill>
                </w14:textFill>
              </w:rPr>
              <w:t>标项</w:t>
            </w:r>
            <w:r>
              <w:rPr>
                <w:rFonts w:hint="eastAsia" w:ascii="仿宋" w:hAnsi="仿宋" w:eastAsia="仿宋" w:cs="仿宋"/>
                <w:b/>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color w:val="000000" w:themeColor="text1"/>
                <w:sz w:val="24"/>
                <w:szCs w:val="24"/>
                <w:highlight w:val="none"/>
                <w:u w:val="single" w:color="auto"/>
                <w:lang w:val="en-US" w:eastAsia="zh-CN"/>
                <w14:textFill>
                  <w14:solidFill>
                    <w14:schemeClr w14:val="tx1"/>
                  </w14:solidFill>
                </w14:textFill>
              </w:rPr>
              <w:t>37280</w:t>
            </w:r>
            <w:r>
              <w:rPr>
                <w:rFonts w:hint="eastAsia" w:ascii="仿宋" w:hAnsi="仿宋" w:eastAsia="仿宋" w:cs="仿宋"/>
                <w:b/>
                <w:color w:val="000000" w:themeColor="text1"/>
                <w:sz w:val="24"/>
                <w:szCs w:val="24"/>
                <w:highlight w:val="none"/>
                <w14:textFill>
                  <w14:solidFill>
                    <w14:schemeClr w14:val="tx1"/>
                  </w14:solidFill>
                </w14:textFill>
              </w:rPr>
              <w:t>元</w:t>
            </w:r>
            <w:r>
              <w:rPr>
                <w:rFonts w:hint="eastAsia" w:ascii="仿宋" w:hAnsi="仿宋" w:eastAsia="仿宋" w:cs="仿宋"/>
                <w:snapToGrid w:val="0"/>
                <w:color w:val="000000" w:themeColor="text1"/>
                <w:kern w:val="28"/>
                <w:sz w:val="24"/>
                <w:szCs w:val="24"/>
                <w:highlight w:val="none"/>
                <w:lang w:eastAsia="zh-CN"/>
                <w14:textFill>
                  <w14:solidFill>
                    <w14:schemeClr w14:val="tx1"/>
                  </w14:solidFill>
                </w14:textFill>
              </w:rPr>
              <w:t>、</w:t>
            </w:r>
            <w:r>
              <w:rPr>
                <w:rFonts w:hint="eastAsia" w:ascii="仿宋" w:hAnsi="仿宋" w:eastAsia="仿宋" w:cs="仿宋"/>
                <w:b/>
                <w:bCs/>
                <w:snapToGrid w:val="0"/>
                <w:color w:val="000000" w:themeColor="text1"/>
                <w:kern w:val="28"/>
                <w:sz w:val="24"/>
                <w:szCs w:val="24"/>
                <w:highlight w:val="none"/>
                <w:lang w:eastAsia="zh-CN"/>
                <w14:textFill>
                  <w14:solidFill>
                    <w14:schemeClr w14:val="tx1"/>
                  </w14:solidFill>
                </w14:textFill>
              </w:rPr>
              <w:t>标项</w:t>
            </w:r>
            <w:r>
              <w:rPr>
                <w:rFonts w:hint="eastAsia" w:ascii="仿宋" w:hAnsi="仿宋" w:eastAsia="仿宋" w:cs="仿宋"/>
                <w:b/>
                <w:bCs/>
                <w:snapToGrid w:val="0"/>
                <w:color w:val="000000" w:themeColor="text1"/>
                <w:kern w:val="28"/>
                <w:sz w:val="24"/>
                <w:szCs w:val="24"/>
                <w:highlight w:val="none"/>
                <w:lang w:val="en-US" w:eastAsia="zh-CN"/>
                <w14:textFill>
                  <w14:solidFill>
                    <w14:schemeClr w14:val="tx1"/>
                  </w14:solidFill>
                </w14:textFill>
              </w:rPr>
              <w:t>2:</w:t>
            </w:r>
            <w:r>
              <w:rPr>
                <w:rFonts w:hint="eastAsia" w:ascii="仿宋" w:hAnsi="仿宋" w:eastAsia="仿宋" w:cs="仿宋"/>
                <w:b/>
                <w:color w:val="000000" w:themeColor="text1"/>
                <w:sz w:val="24"/>
                <w:szCs w:val="24"/>
                <w:highlight w:val="none"/>
                <w:u w:val="single"/>
                <w:lang w:val="en-US" w:eastAsia="zh-CN"/>
                <w14:textFill>
                  <w14:solidFill>
                    <w14:schemeClr w14:val="tx1"/>
                  </w14:solidFill>
                </w14:textFill>
              </w:rPr>
              <w:t>30720</w:t>
            </w:r>
            <w:r>
              <w:rPr>
                <w:rFonts w:hint="eastAsia" w:ascii="仿宋" w:hAnsi="仿宋" w:eastAsia="仿宋" w:cs="仿宋"/>
                <w:b/>
                <w:bCs/>
                <w:snapToGrid w:val="0"/>
                <w:color w:val="000000" w:themeColor="text1"/>
                <w:kern w:val="28"/>
                <w:sz w:val="24"/>
                <w:szCs w:val="24"/>
                <w:highlight w:val="none"/>
                <w:lang w:val="en-US" w:eastAsia="zh-CN"/>
                <w14:textFill>
                  <w14:solidFill>
                    <w14:schemeClr w14:val="tx1"/>
                  </w14:solidFill>
                </w14:textFill>
              </w:rPr>
              <w:t>元</w:t>
            </w:r>
            <w:r>
              <w:rPr>
                <w:rFonts w:hint="eastAsia" w:ascii="仿宋" w:hAnsi="仿宋" w:eastAsia="仿宋" w:cs="仿宋"/>
                <w:snapToGrid w:val="0"/>
                <w:color w:val="000000" w:themeColor="text1"/>
                <w:kern w:val="28"/>
                <w:sz w:val="24"/>
                <w:szCs w:val="24"/>
                <w:highlight w:val="none"/>
                <w:lang w:val="en-US" w:eastAsia="zh-CN"/>
                <w14:textFill>
                  <w14:solidFill>
                    <w14:schemeClr w14:val="tx1"/>
                  </w14:solidFill>
                </w14:textFill>
              </w:rPr>
              <w:t>，</w:t>
            </w:r>
            <w:r>
              <w:rPr>
                <w:rFonts w:hint="eastAsia" w:ascii="仿宋" w:hAnsi="仿宋" w:eastAsia="仿宋" w:cs="仿宋"/>
                <w:snapToGrid w:val="0"/>
                <w:color w:val="000000" w:themeColor="text1"/>
                <w:kern w:val="28"/>
                <w:sz w:val="24"/>
                <w:szCs w:val="24"/>
                <w:highlight w:val="none"/>
                <w14:textFill>
                  <w14:solidFill>
                    <w14:schemeClr w14:val="tx1"/>
                  </w14:solidFill>
                </w14:textFill>
              </w:rPr>
              <w:t>中标服务费的交纳方式：以转帐或支票的形式支付，开户名：天阳建设管理有限公司；开户行名称：中信银行临平支行； 帐号：7331410195700021726</w:t>
            </w:r>
          </w:p>
          <w:p>
            <w:pPr>
              <w:pStyle w:val="19"/>
              <w:ind w:left="0" w:leftChars="0" w:right="0" w:rightChars="0"/>
              <w:rPr>
                <w:rFonts w:hint="eastAsia" w:ascii="仿宋" w:hAnsi="仿宋" w:eastAsia="仿宋" w:cs="仿宋"/>
                <w:color w:val="000000" w:themeColor="text1"/>
                <w:kern w:val="0"/>
                <w:sz w:val="24"/>
                <w:szCs w:val="20"/>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中标单位需在领取中标通知书时缴纳中标服务费，缴纳时注明招标编号。</w:t>
            </w:r>
          </w:p>
        </w:tc>
      </w:tr>
    </w:tbl>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p>
    <w:bookmarkEnd w:id="10"/>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bookmarkStart w:id="11" w:name="_Toc164416483"/>
      <w:bookmarkStart w:id="12" w:name="第三部分"/>
    </w:p>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1. </w:t>
      </w:r>
      <w:r>
        <w:rPr>
          <w:rFonts w:hint="eastAsia" w:ascii="仿宋" w:hAnsi="仿宋" w:eastAsia="仿宋" w:cs="仿宋"/>
          <w:b/>
          <w:color w:val="000000" w:themeColor="text1"/>
          <w:sz w:val="24"/>
          <w:highlight w:val="none"/>
          <w14:textFill>
            <w14:solidFill>
              <w14:schemeClr w14:val="tx1"/>
            </w14:solidFill>
          </w14:textFill>
        </w:rPr>
        <w:t>适用范围</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 </w:t>
      </w:r>
      <w:r>
        <w:rPr>
          <w:rFonts w:hint="eastAsia" w:ascii="仿宋" w:hAnsi="仿宋" w:eastAsia="仿宋" w:cs="仿宋"/>
          <w:color w:val="000000" w:themeColor="text1"/>
          <w:sz w:val="24"/>
          <w:highlight w:val="none"/>
          <w14:textFill>
            <w14:solidFill>
              <w14:schemeClr w14:val="tx1"/>
            </w14:solidFill>
          </w14:textFill>
        </w:rPr>
        <w:t>“采购人”系指招标公告中载明的本项目的采购人。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2.2 </w:t>
      </w:r>
      <w:r>
        <w:rPr>
          <w:rFonts w:hint="eastAsia" w:ascii="仿宋" w:hAnsi="仿宋" w:eastAsia="仿宋" w:cs="仿宋"/>
          <w:color w:val="000000" w:themeColor="text1"/>
          <w:sz w:val="24"/>
          <w:highlight w:val="none"/>
          <w14:textFill>
            <w14:solidFill>
              <w14:schemeClr w14:val="tx1"/>
            </w14:solidFill>
          </w14:textFill>
        </w:rPr>
        <w:t>“采购机构”系指招标公告中载明的本项目的采购机构。</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2.3 </w:t>
      </w:r>
      <w:r>
        <w:rPr>
          <w:rFonts w:hint="eastAsia" w:ascii="仿宋" w:hAnsi="仿宋" w:eastAsia="仿宋" w:cs="仿宋"/>
          <w:color w:val="000000" w:themeColor="text1"/>
          <w:sz w:val="24"/>
          <w:highlight w:val="none"/>
          <w14:textFill>
            <w14:solidFill>
              <w14:schemeClr w14:val="tx1"/>
            </w14:solidFill>
          </w14:textFill>
        </w:rPr>
        <w:t>“投标人”系指是指响应招标、参加投标竞争的法人、其他组织或者自然人。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2.4 </w:t>
      </w:r>
      <w:r>
        <w:rPr>
          <w:rFonts w:hint="eastAsia" w:ascii="仿宋" w:hAnsi="仿宋" w:eastAsia="仿宋" w:cs="仿宋"/>
          <w:color w:val="000000" w:themeColor="text1"/>
          <w:sz w:val="24"/>
          <w:highlight w:val="none"/>
          <w14:textFill>
            <w14:solidFill>
              <w14:schemeClr w14:val="tx1"/>
            </w14:solidFill>
          </w14:textFill>
        </w:rPr>
        <w:t>“负责人”系指法人企业的法定负责人，或其他组织为法律、行政法规规定代表单位行使职权的主要负责人，或自然人本人。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s="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w:t>
      </w: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2.7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系指实质性要求条款，“★”系产品采购项目中单一产品或核心产品，“</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系指适用本项目的要求，“</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系指不适用本项目的要求。</w:t>
      </w:r>
    </w:p>
    <w:p>
      <w:pPr>
        <w:spacing w:line="360" w:lineRule="auto"/>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3.1 </w:t>
      </w:r>
      <w:r>
        <w:rPr>
          <w:rFonts w:hint="eastAsia" w:ascii="仿宋" w:hAnsi="仿宋" w:eastAsia="仿宋" w:cs="仿宋"/>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3.2 </w:t>
      </w:r>
      <w:r>
        <w:rPr>
          <w:rFonts w:hint="eastAsia" w:ascii="仿宋" w:hAnsi="仿宋" w:eastAsia="仿宋" w:cs="仿宋"/>
          <w:color w:val="000000" w:themeColor="text1"/>
          <w:sz w:val="24"/>
          <w:highlight w:val="none"/>
          <w14:textFill>
            <w14:solidFill>
              <w14:schemeClr w14:val="tx1"/>
            </w14:solidFill>
          </w14:textFill>
        </w:rPr>
        <w:t>支持绿色发展</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w:t>
      </w:r>
      <w:r>
        <w:rPr>
          <w:rFonts w:hint="eastAsia" w:ascii="仿宋" w:hAnsi="仿宋" w:eastAsia="仿宋" w:cs="仿宋"/>
          <w:color w:val="000000" w:themeColor="text1"/>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3.2.2 </w:t>
      </w:r>
      <w:r>
        <w:rPr>
          <w:rFonts w:hint="eastAsia" w:ascii="仿宋" w:hAnsi="仿宋" w:eastAsia="仿宋" w:cs="仿宋"/>
          <w:color w:val="000000" w:themeColor="text1"/>
          <w:sz w:val="24"/>
          <w:highlight w:val="none"/>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w:t>
      </w:r>
      <w:r>
        <w:rPr>
          <w:rFonts w:hint="eastAsia" w:ascii="仿宋" w:hAnsi="仿宋" w:eastAsia="仿宋" w:cs="仿宋"/>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w:t>
      </w:r>
      <w:r>
        <w:rPr>
          <w:rFonts w:hint="eastAsia" w:ascii="仿宋" w:hAnsi="仿宋" w:eastAsia="仿宋" w:cs="仿宋"/>
          <w:color w:val="000000" w:themeColor="text1"/>
          <w:sz w:val="24"/>
          <w:highlight w:val="none"/>
          <w14:textFill>
            <w14:solidFill>
              <w14:schemeClr w14:val="tx1"/>
            </w14:solidFill>
          </w14:textFill>
        </w:rPr>
        <w:t>对于</w:t>
      </w:r>
      <w:r>
        <w:rPr>
          <w:rFonts w:hint="eastAsia" w:ascii="仿宋" w:hAnsi="仿宋" w:eastAsia="仿宋" w:cs="仿宋"/>
          <w:color w:val="000000" w:themeColor="text1"/>
          <w:sz w:val="24"/>
          <w:highlight w:val="none"/>
          <w14:textFill>
            <w14:solidFill>
              <w14:schemeClr w14:val="tx1"/>
            </w14:solidFill>
          </w14:textFill>
        </w:rPr>
        <w:t>未预留份</w:t>
      </w:r>
      <w:r>
        <w:rPr>
          <w:rFonts w:hint="eastAsia" w:ascii="仿宋" w:hAnsi="仿宋" w:eastAsia="仿宋" w:cs="仿宋"/>
          <w:color w:val="000000" w:themeColor="text1"/>
          <w:sz w:val="24"/>
          <w:highlight w:val="none"/>
          <w14:textFill>
            <w14:solidFill>
              <w14:schemeClr w14:val="tx1"/>
            </w14:solidFill>
          </w14:textFill>
        </w:rPr>
        <w:t>额专门面向中小企业的政府采购货物或服务项目，以及预留份额政府</w:t>
      </w:r>
      <w:r>
        <w:rPr>
          <w:rFonts w:hint="eastAsia" w:ascii="仿宋" w:hAnsi="仿宋" w:eastAsia="仿宋" w:cs="仿宋"/>
          <w:color w:val="000000" w:themeColor="text1"/>
          <w:sz w:val="24"/>
          <w:highlight w:val="none"/>
          <w14:textFill>
            <w14:solidFill>
              <w14:schemeClr w14:val="tx1"/>
            </w14:solidFill>
          </w14:textFill>
        </w:rPr>
        <w:t>采购货物或服务项目中的非预留部分标项，对小型和微型企业的投标报价给予</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w:t>
      </w:r>
      <w:r>
        <w:rPr>
          <w:rFonts w:hint="eastAsia" w:ascii="仿宋" w:hAnsi="仿宋" w:eastAsia="仿宋" w:cs="仿宋"/>
          <w:color w:val="000000" w:themeColor="text1"/>
          <w:sz w:val="24"/>
          <w:highlight w:val="none"/>
          <w14:textFill>
            <w14:solidFill>
              <w14:schemeClr w14:val="tx1"/>
            </w14:solidFill>
          </w14:textFill>
        </w:rPr>
        <w:t>政府</w:t>
      </w:r>
      <w:r>
        <w:rPr>
          <w:rFonts w:hint="eastAsia" w:ascii="仿宋" w:hAnsi="仿宋" w:eastAsia="仿宋" w:cs="仿宋"/>
          <w:color w:val="000000" w:themeColor="text1"/>
          <w:sz w:val="24"/>
          <w:highlight w:val="none"/>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货物或服务</w:t>
      </w:r>
      <w:r>
        <w:rPr>
          <w:rFonts w:hint="eastAsia" w:ascii="仿宋" w:hAnsi="仿宋" w:eastAsia="仿宋" w:cs="仿宋"/>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%的扣除，用</w:t>
      </w:r>
      <w:r>
        <w:rPr>
          <w:rFonts w:hint="eastAsia" w:ascii="仿宋" w:hAnsi="仿宋" w:eastAsia="仿宋" w:cs="仿宋"/>
          <w:color w:val="000000" w:themeColor="text1"/>
          <w:sz w:val="24"/>
          <w:highlight w:val="none"/>
          <w14:textFill>
            <w14:solidFill>
              <w14:schemeClr w14:val="tx1"/>
            </w14:solidFill>
          </w14:textFill>
        </w:rPr>
        <w:t>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w:t>
      </w:r>
      <w:r>
        <w:rPr>
          <w:rFonts w:hint="eastAsia" w:ascii="仿宋" w:hAnsi="仿宋" w:eastAsia="仿宋" w:cs="仿宋"/>
          <w:color w:val="000000" w:themeColor="text1"/>
          <w:sz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 采购人优先采购被认定</w:t>
      </w:r>
      <w:r>
        <w:rPr>
          <w:rFonts w:hint="eastAsia" w:ascii="仿宋" w:hAnsi="仿宋" w:eastAsia="仿宋" w:cs="仿宋"/>
          <w:color w:val="000000" w:themeColor="text1"/>
          <w:sz w:val="24"/>
          <w:highlight w:val="none"/>
          <w14:textFill>
            <w14:solidFill>
              <w14:schemeClr w14:val="tx1"/>
            </w14:solidFill>
          </w14:textFill>
        </w:rPr>
        <w:t>为首台套产品和“制造精品”的自主创新产品。</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w:t>
      </w:r>
      <w:r>
        <w:rPr>
          <w:rFonts w:hint="eastAsia" w:ascii="仿宋" w:hAnsi="仿宋" w:eastAsia="仿宋" w:cs="仿宋"/>
          <w:color w:val="000000" w:themeColor="text1"/>
          <w:sz w:val="24"/>
          <w:highlight w:val="none"/>
          <w14:textFill>
            <w14:solidFill>
              <w14:schemeClr w14:val="tx1"/>
            </w14:solidFill>
          </w14:textFill>
        </w:rPr>
        <w:t>被纳入《首台套产品推广应用指导目录》之日起</w:t>
      </w:r>
      <w:r>
        <w:rPr>
          <w:rFonts w:hint="eastAsia" w:ascii="仿宋" w:hAnsi="仿宋" w:eastAsia="仿宋" w:cs="仿宋"/>
          <w:color w:val="000000" w:themeColor="text1"/>
          <w:sz w:val="24"/>
          <w:highlight w:val="none"/>
          <w14:textFill>
            <w14:solidFill>
              <w14:schemeClr w14:val="tx1"/>
            </w14:solidFill>
          </w14:textFill>
        </w:rPr>
        <w:t>2年内，以及产品核心技术高于国内领先水平，并具有明晰自主知识产权的“制造精品”产品，</w:t>
      </w:r>
      <w:r>
        <w:rPr>
          <w:rFonts w:hint="eastAsia" w:ascii="仿宋" w:hAnsi="仿宋" w:eastAsia="仿宋" w:cs="仿宋"/>
          <w:color w:val="000000" w:themeColor="text1"/>
          <w:sz w:val="24"/>
          <w:highlight w:val="none"/>
          <w14:textFill>
            <w14:solidFill>
              <w14:schemeClr w14:val="tx1"/>
            </w14:solidFill>
          </w14:textFill>
        </w:rPr>
        <w:t>自认定之日起</w:t>
      </w:r>
      <w:r>
        <w:rPr>
          <w:rFonts w:hint="eastAsia" w:ascii="仿宋" w:hAnsi="仿宋" w:eastAsia="仿宋" w:cs="仿宋"/>
          <w:color w:val="000000" w:themeColor="text1"/>
          <w:sz w:val="24"/>
          <w:highlight w:val="none"/>
          <w14:textFill>
            <w14:solidFill>
              <w14:schemeClr w14:val="tx1"/>
            </w14:solidFill>
          </w14:textFill>
        </w:rPr>
        <w:t>2年内视同已具备相应销售业绩，参加政府采购活动</w:t>
      </w:r>
      <w:r>
        <w:rPr>
          <w:rFonts w:hint="eastAsia" w:ascii="仿宋" w:hAnsi="仿宋" w:eastAsia="仿宋" w:cs="仿宋"/>
          <w:color w:val="000000" w:themeColor="text1"/>
          <w:sz w:val="24"/>
          <w:highlight w:val="none"/>
          <w14:textFill>
            <w14:solidFill>
              <w14:schemeClr w14:val="tx1"/>
            </w14:solidFill>
          </w14:textFill>
        </w:rPr>
        <w:t>时业绩分值为满分。</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s="仿宋"/>
          <w:color w:val="000000" w:themeColor="text1"/>
          <w:sz w:val="24"/>
          <w:highlight w:val="none"/>
          <w14:textFill>
            <w14:solidFill>
              <w14:schemeClr w14:val="tx1"/>
            </w14:solidFill>
          </w14:textFill>
        </w:rPr>
        <w:t>登录</w:t>
      </w:r>
      <w:r>
        <w:rPr>
          <w:rFonts w:hint="eastAsia" w:ascii="仿宋" w:hAnsi="仿宋" w:eastAsia="仿宋" w:cs="仿宋"/>
          <w:color w:val="000000" w:themeColor="text1"/>
          <w:sz w:val="24"/>
          <w:highlight w:val="none"/>
          <w14:textFill>
            <w14:solidFill>
              <w14:schemeClr w14:val="tx1"/>
            </w14:solidFill>
          </w14:textFill>
        </w:rPr>
        <w:t>杭州市政府采购网“中小企业信用融资”模块，查看信用融资政策文件及各相关银行服务方案。</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highlight w:val="none"/>
          <w14:textFill>
            <w14:solidFill>
              <w14:schemeClr w14:val="tx1"/>
            </w14:solidFill>
          </w14:textFill>
        </w:rPr>
        <w:t xml:space="preserve">4. </w:t>
      </w:r>
      <w:r>
        <w:rPr>
          <w:rFonts w:hint="eastAsia" w:ascii="仿宋" w:hAnsi="仿宋" w:eastAsia="仿宋" w:cs="仿宋"/>
          <w:b/>
          <w:color w:val="000000" w:themeColor="text1"/>
          <w:sz w:val="24"/>
          <w:highlight w:val="none"/>
          <w14:textFill>
            <w14:solidFill>
              <w14:schemeClr w14:val="tx1"/>
            </w14:solidFill>
          </w14:textFill>
        </w:rPr>
        <w:t>询问、质疑、投诉</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4.1供应商询问</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w:t>
      </w:r>
      <w:r>
        <w:rPr>
          <w:rFonts w:hint="eastAsia" w:ascii="仿宋" w:hAnsi="仿宋" w:eastAsia="仿宋" w:cs="仿宋"/>
          <w:color w:val="000000" w:themeColor="text1"/>
          <w:kern w:val="0"/>
          <w:sz w:val="24"/>
          <w:highlight w:val="none"/>
          <w:lang w:val="zh-CN"/>
          <w14:textFill>
            <w14:solidFill>
              <w14:schemeClr w14:val="tx1"/>
            </w14:solidFill>
          </w14:textFill>
        </w:rPr>
        <w:t>3个工作日内对供应</w:t>
      </w:r>
      <w:r>
        <w:rPr>
          <w:rFonts w:hint="eastAsia" w:ascii="仿宋" w:hAnsi="仿宋" w:eastAsia="仿宋" w:cs="仿宋"/>
          <w:color w:val="000000" w:themeColor="text1"/>
          <w:kern w:val="0"/>
          <w:sz w:val="24"/>
          <w:highlight w:val="none"/>
          <w:lang w:val="zh-CN"/>
          <w14:textFill>
            <w14:solidFill>
              <w14:schemeClr w14:val="tx1"/>
            </w14:solidFill>
          </w14:textFill>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4.2供应商质疑</w:t>
      </w:r>
    </w:p>
    <w:p>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仿宋" w:hAnsi="仿宋" w:eastAsia="仿宋" w:cs="仿宋"/>
          <w:color w:val="000000" w:themeColor="text1"/>
          <w:kern w:val="2"/>
          <w:sz w:val="24"/>
          <w:highlight w:val="none"/>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4.2.2.3对采购结果提出质疑的，质疑期限自采购结果公告期限届满之日起计算。</w:t>
      </w:r>
    </w:p>
    <w:p>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zh-CN"/>
          <w14:textFill>
            <w14:solidFill>
              <w14:schemeClr w14:val="tx1"/>
            </w14:solidFill>
          </w14:textFill>
        </w:rPr>
        <w:t>4.2.3.1</w:t>
      </w:r>
      <w:r>
        <w:rPr>
          <w:rFonts w:hint="eastAsia" w:ascii="仿宋" w:hAnsi="仿宋" w:eastAsia="仿宋" w:cs="仿宋"/>
          <w:color w:val="000000" w:themeColor="text1"/>
          <w:kern w:val="0"/>
          <w:sz w:val="24"/>
          <w:highlight w:val="none"/>
          <w:lang w:val="zh-CN"/>
          <w14:textFill>
            <w14:solidFill>
              <w14:schemeClr w14:val="tx1"/>
            </w14:solidFill>
          </w14:textFill>
        </w:rPr>
        <w:t>供应商的姓名或者名称、地址、邮编、联系人及联系电话；</w:t>
      </w:r>
    </w:p>
    <w:p>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zh-CN"/>
          <w14:textFill>
            <w14:solidFill>
              <w14:schemeClr w14:val="tx1"/>
            </w14:solidFill>
          </w14:textFill>
        </w:rPr>
        <w:t>4.2.3.2</w:t>
      </w:r>
      <w:r>
        <w:rPr>
          <w:rFonts w:hint="eastAsia" w:ascii="仿宋" w:hAnsi="仿宋" w:eastAsia="仿宋" w:cs="仿宋"/>
          <w:color w:val="000000" w:themeColor="text1"/>
          <w:kern w:val="0"/>
          <w:sz w:val="24"/>
          <w:highlight w:val="none"/>
          <w:lang w:val="zh-CN"/>
          <w14:textFill>
            <w14:solidFill>
              <w14:schemeClr w14:val="tx1"/>
            </w14:solidFill>
          </w14:textFill>
        </w:rPr>
        <w:t>质疑项目的名称、编号；</w:t>
      </w:r>
    </w:p>
    <w:p>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zh-CN"/>
          <w14:textFill>
            <w14:solidFill>
              <w14:schemeClr w14:val="tx1"/>
            </w14:solidFill>
          </w14:textFill>
        </w:rPr>
        <w:t>4.2.3.3</w:t>
      </w:r>
      <w:r>
        <w:rPr>
          <w:rFonts w:hint="eastAsia" w:ascii="仿宋" w:hAnsi="仿宋" w:eastAsia="仿宋" w:cs="仿宋"/>
          <w:color w:val="000000" w:themeColor="text1"/>
          <w:kern w:val="0"/>
          <w:sz w:val="24"/>
          <w:highlight w:val="none"/>
          <w:lang w:val="zh-CN"/>
          <w14:textFill>
            <w14:solidFill>
              <w14:schemeClr w14:val="tx1"/>
            </w14:solidFill>
          </w14:textFill>
        </w:rPr>
        <w:t>具体、明确的质疑事项和与质疑事项相关的请求；</w:t>
      </w:r>
    </w:p>
    <w:p>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zh-CN"/>
          <w14:textFill>
            <w14:solidFill>
              <w14:schemeClr w14:val="tx1"/>
            </w14:solidFill>
          </w14:textFill>
        </w:rPr>
        <w:t>4.2.3.4</w:t>
      </w:r>
      <w:r>
        <w:rPr>
          <w:rFonts w:hint="eastAsia" w:ascii="仿宋" w:hAnsi="仿宋" w:eastAsia="仿宋" w:cs="仿宋"/>
          <w:color w:val="000000" w:themeColor="text1"/>
          <w:kern w:val="0"/>
          <w:sz w:val="24"/>
          <w:highlight w:val="none"/>
          <w:lang w:val="zh-CN"/>
          <w14:textFill>
            <w14:solidFill>
              <w14:schemeClr w14:val="tx1"/>
            </w14:solidFill>
          </w14:textFill>
        </w:rPr>
        <w:t>事实依据；</w:t>
      </w:r>
    </w:p>
    <w:p>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zh-CN"/>
          <w14:textFill>
            <w14:solidFill>
              <w14:schemeClr w14:val="tx1"/>
            </w14:solidFill>
          </w14:textFill>
        </w:rPr>
        <w:t>4.2.3.5</w:t>
      </w:r>
      <w:r>
        <w:rPr>
          <w:rFonts w:hint="eastAsia" w:ascii="仿宋" w:hAnsi="仿宋" w:eastAsia="仿宋" w:cs="仿宋"/>
          <w:color w:val="000000" w:themeColor="text1"/>
          <w:kern w:val="0"/>
          <w:sz w:val="24"/>
          <w:highlight w:val="none"/>
          <w:lang w:val="zh-CN"/>
          <w14:textFill>
            <w14:solidFill>
              <w14:schemeClr w14:val="tx1"/>
            </w14:solidFill>
          </w14:textFill>
        </w:rPr>
        <w:t>必要的法律依据；</w:t>
      </w:r>
    </w:p>
    <w:p>
      <w:pPr>
        <w:pStyle w:val="32"/>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4.2.3.6</w:t>
      </w:r>
      <w:r>
        <w:rPr>
          <w:rFonts w:hint="eastAsia" w:ascii="仿宋" w:hAnsi="仿宋" w:eastAsia="仿宋" w:cs="仿宋"/>
          <w:color w:val="000000" w:themeColor="text1"/>
          <w:kern w:val="0"/>
          <w:sz w:val="24"/>
          <w:highlight w:val="none"/>
          <w:lang w:val="zh-CN"/>
          <w14:textFill>
            <w14:solidFill>
              <w14:schemeClr w14:val="tx1"/>
            </w14:solidFill>
          </w14:textFill>
        </w:rPr>
        <w:t>提出质疑的日期。</w:t>
      </w:r>
    </w:p>
    <w:p>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w:t>
      </w:r>
      <w:r>
        <w:rPr>
          <w:rFonts w:hint="eastAsia" w:ascii="仿宋" w:hAnsi="仿宋" w:eastAsia="仿宋" w:cs="仿宋"/>
          <w:color w:val="000000" w:themeColor="text1"/>
          <w:highlight w:val="none"/>
          <w14:textFill>
            <w14:solidFill>
              <w14:schemeClr w14:val="tx1"/>
            </w14:solidFill>
          </w14:textFill>
        </w:rPr>
        <w:t>2。</w:t>
      </w:r>
    </w:p>
    <w:p>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lang w:val="zh-CN"/>
          <w14:textFill>
            <w14:solidFill>
              <w14:schemeClr w14:val="tx1"/>
            </w14:solidFill>
          </w14:textFill>
        </w:rPr>
        <w:t>4.2</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hint="eastAsia" w:ascii="仿宋" w:hAnsi="仿宋" w:eastAsia="仿宋" w:cs="仿宋"/>
          <w:color w:val="000000" w:themeColor="text1"/>
          <w:highlight w:val="none"/>
          <w14:textFill>
            <w14:solidFill>
              <w14:schemeClr w14:val="tx1"/>
            </w14:solidFill>
          </w14:textFill>
        </w:rPr>
        <w:t>2021〕17号）,</w:t>
      </w:r>
      <w:r>
        <w:rPr>
          <w:rFonts w:hint="eastAsia" w:ascii="仿宋" w:hAnsi="仿宋" w:eastAsia="仿宋" w:cs="仿宋"/>
          <w:color w:val="000000" w:themeColor="text1"/>
          <w:highlight w:val="none"/>
          <w14:textFill>
            <w14:solidFill>
              <w14:schemeClr w14:val="tx1"/>
            </w14:solidFill>
          </w14:textFill>
        </w:rPr>
        <w:t>采购人或者采购机构在质疑回复后</w:t>
      </w:r>
      <w:r>
        <w:rPr>
          <w:rFonts w:hint="eastAsia" w:ascii="仿宋" w:hAnsi="仿宋" w:eastAsia="仿宋" w:cs="仿宋"/>
          <w:color w:val="000000" w:themeColor="text1"/>
          <w:highlight w:val="none"/>
          <w14:textFill>
            <w14:solidFill>
              <w14:schemeClr w14:val="tx1"/>
            </w14:solidFill>
          </w14:textFill>
        </w:rPr>
        <w:t>5个工作日内，在浙江政府采购网的“其他公告”栏目公开质疑答复，答复内容应当完整。质疑</w:t>
      </w:r>
      <w:r>
        <w:rPr>
          <w:rFonts w:hint="eastAsia" w:ascii="仿宋" w:hAnsi="仿宋" w:eastAsia="仿宋" w:cs="仿宋"/>
          <w:color w:val="000000" w:themeColor="text1"/>
          <w:highlight w:val="none"/>
          <w14:textFill>
            <w14:solidFill>
              <w14:schemeClr w14:val="tx1"/>
            </w14:solidFill>
          </w14:textFill>
        </w:rPr>
        <w:t>函作为附件上传。</w:t>
      </w:r>
    </w:p>
    <w:p>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lang w:val="zh-CN"/>
          <w14:textFill>
            <w14:solidFill>
              <w14:schemeClr w14:val="tx1"/>
            </w14:solidFill>
          </w14:textFill>
        </w:rPr>
        <w:t>4.2</w:t>
      </w:r>
      <w:r>
        <w:rPr>
          <w:rFonts w:hint="eastAsia" w:ascii="仿宋" w:hAnsi="仿宋" w:eastAsia="仿宋" w:cs="仿宋"/>
          <w:color w:val="000000" w:themeColor="text1"/>
          <w:highlight w:val="none"/>
          <w14:textFill>
            <w14:solidFill>
              <w14:schemeClr w14:val="tx1"/>
            </w14:solidFill>
          </w14:textFill>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4.3供应商投诉</w:t>
      </w:r>
    </w:p>
    <w:p>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4.3.1质疑供应商对采购人、采购机构的答复不满意或者采购人、采购机构未在规定的时间内</w:t>
      </w:r>
      <w:r>
        <w:rPr>
          <w:rFonts w:hint="eastAsia" w:ascii="仿宋" w:hAnsi="仿宋" w:eastAsia="仿宋" w:cs="仿宋"/>
          <w:color w:val="000000" w:themeColor="text1"/>
          <w:highlight w:val="none"/>
          <w14:textFill>
            <w14:solidFill>
              <w14:schemeClr w14:val="tx1"/>
            </w14:solidFill>
          </w14:textFill>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4.3.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4.3.3供应</w:t>
      </w:r>
      <w:r>
        <w:rPr>
          <w:rFonts w:hint="eastAsia" w:ascii="仿宋" w:hAnsi="仿宋" w:eastAsia="仿宋" w:cs="仿宋"/>
          <w:color w:val="000000" w:themeColor="text1"/>
          <w:highlight w:val="none"/>
          <w14:textFill>
            <w14:solidFill>
              <w14:schemeClr w14:val="tx1"/>
            </w14:solidFill>
          </w14:textFill>
        </w:rPr>
        <w:t>商投诉应当有明确的请求和必要的证明材料。</w:t>
      </w:r>
    </w:p>
    <w:p>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4.3.</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w:t>
      </w:r>
      <w:r>
        <w:rPr>
          <w:rFonts w:hint="eastAsia" w:ascii="仿宋" w:hAnsi="仿宋" w:eastAsia="仿宋" w:cs="仿宋"/>
          <w:color w:val="000000" w:themeColor="text1"/>
          <w:highlight w:val="none"/>
          <w14:textFill>
            <w14:solidFill>
              <w14:schemeClr w14:val="tx1"/>
            </w14:solidFill>
          </w14:textFill>
        </w:rPr>
        <w:t>3。</w:t>
      </w:r>
    </w:p>
    <w:p>
      <w:pPr>
        <w:pStyle w:val="85"/>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5.1 </w:t>
      </w:r>
      <w:r>
        <w:rPr>
          <w:rFonts w:hint="eastAsia" w:ascii="仿宋" w:hAnsi="仿宋" w:eastAsia="仿宋" w:cs="仿宋"/>
          <w:color w:val="000000" w:themeColor="text1"/>
          <w:sz w:val="24"/>
          <w:szCs w:val="24"/>
          <w:highlight w:val="none"/>
          <w14:textFill>
            <w14:solidFill>
              <w14:schemeClr w14:val="tx1"/>
            </w14:solidFill>
          </w14:textFill>
        </w:rPr>
        <w:t>招标文件包括下列文件及附件：</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w:t>
      </w:r>
      <w:r>
        <w:rPr>
          <w:rFonts w:hint="eastAsia" w:ascii="仿宋" w:hAnsi="仿宋" w:eastAsia="仿宋" w:cs="仿宋"/>
          <w:color w:val="000000" w:themeColor="text1"/>
          <w:sz w:val="24"/>
          <w:szCs w:val="24"/>
          <w:highlight w:val="none"/>
          <w14:textFill>
            <w14:solidFill>
              <w14:schemeClr w14:val="tx1"/>
            </w14:solidFill>
          </w14:textFill>
        </w:rPr>
        <w:t>办</w:t>
      </w:r>
      <w:r>
        <w:rPr>
          <w:rFonts w:hint="eastAsia" w:ascii="仿宋" w:hAnsi="仿宋" w:eastAsia="仿宋" w:cs="仿宋"/>
          <w:color w:val="000000" w:themeColor="text1"/>
          <w:sz w:val="24"/>
          <w:szCs w:val="24"/>
          <w:highlight w:val="none"/>
          <w14:textFill>
            <w14:solidFill>
              <w14:schemeClr w14:val="tx1"/>
            </w14:solidFill>
          </w14:textFill>
        </w:rPr>
        <w:t>法；</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w:t>
      </w:r>
      <w:r>
        <w:rPr>
          <w:rFonts w:hint="eastAsia" w:ascii="仿宋" w:hAnsi="仿宋" w:eastAsia="仿宋" w:cs="仿宋"/>
          <w:color w:val="000000" w:themeColor="text1"/>
          <w:sz w:val="24"/>
          <w:szCs w:val="24"/>
          <w:highlight w:val="none"/>
          <w14:textFill>
            <w14:solidFill>
              <w14:schemeClr w14:val="tx1"/>
            </w14:solidFill>
          </w14:textFill>
        </w:rPr>
        <w:t>拟签订的合同文本；</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6. </w:t>
      </w:r>
      <w:r>
        <w:rPr>
          <w:rFonts w:hint="eastAsia" w:ascii="仿宋" w:hAnsi="仿宋" w:eastAsia="仿宋" w:cs="仿宋"/>
          <w:b/>
          <w:color w:val="000000" w:themeColor="text1"/>
          <w:sz w:val="24"/>
          <w:szCs w:val="24"/>
          <w:highlight w:val="none"/>
          <w14:textFill>
            <w14:solidFill>
              <w14:schemeClr w14:val="tx1"/>
            </w14:solidFill>
          </w14:textFill>
        </w:rPr>
        <w:t>招标文件的澄清、修改</w:t>
      </w:r>
    </w:p>
    <w:p>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6.2 </w:t>
      </w:r>
      <w:r>
        <w:rPr>
          <w:rFonts w:hint="eastAsia" w:ascii="仿宋" w:hAnsi="仿宋" w:eastAsia="仿宋" w:cs="仿宋"/>
          <w:color w:val="000000" w:themeColor="text1"/>
          <w:highlight w:val="none"/>
          <w14:textFill>
            <w14:solidFill>
              <w14:schemeClr w14:val="tx1"/>
            </w14:solidFill>
          </w14:textFill>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hint="eastAsia"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7. </w:t>
      </w:r>
      <w:r>
        <w:rPr>
          <w:rFonts w:hint="eastAsia" w:ascii="仿宋" w:hAnsi="仿宋" w:eastAsia="仿宋" w:cs="仿宋"/>
          <w:b/>
          <w:color w:val="000000" w:themeColor="text1"/>
          <w:sz w:val="24"/>
          <w:szCs w:val="24"/>
          <w:highlight w:val="none"/>
          <w14:textFill>
            <w14:solidFill>
              <w14:schemeClr w14:val="tx1"/>
            </w14:solidFill>
          </w14:textFill>
        </w:rPr>
        <w:t>招标文件的获取</w:t>
      </w:r>
    </w:p>
    <w:p>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pPr>
        <w:pStyle w:val="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10. </w:t>
      </w:r>
      <w:r>
        <w:rPr>
          <w:rFonts w:hint="eastAsia" w:ascii="仿宋" w:hAnsi="仿宋" w:eastAsia="仿宋" w:cs="仿宋"/>
          <w:b/>
          <w:color w:val="000000" w:themeColor="text1"/>
          <w:sz w:val="24"/>
          <w:szCs w:val="24"/>
          <w:highlight w:val="none"/>
          <w14:textFill>
            <w14:solidFill>
              <w14:schemeClr w14:val="tx1"/>
            </w14:solidFill>
          </w14:textFill>
        </w:rPr>
        <w:t>投标文件的语言</w:t>
      </w:r>
    </w:p>
    <w:p>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11. </w:t>
      </w:r>
      <w:r>
        <w:rPr>
          <w:rFonts w:hint="eastAsia" w:ascii="仿宋" w:hAnsi="仿宋" w:eastAsia="仿宋" w:cs="仿宋"/>
          <w:b/>
          <w:color w:val="000000" w:themeColor="text1"/>
          <w:sz w:val="24"/>
          <w:szCs w:val="24"/>
          <w:highlight w:val="none"/>
          <w14:textFill>
            <w14:solidFill>
              <w14:schemeClr w14:val="tx1"/>
            </w14:solidFill>
          </w14:textFill>
        </w:rPr>
        <w:t>投标文件的组成</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11.1.2落实政府采购政</w:t>
      </w:r>
      <w:r>
        <w:rPr>
          <w:rFonts w:hint="eastAsia" w:ascii="仿宋" w:hAnsi="仿宋" w:eastAsia="仿宋" w:cs="仿宋"/>
          <w:color w:val="000000" w:themeColor="text1"/>
          <w:sz w:val="24"/>
          <w:highlight w:val="none"/>
          <w14:textFill>
            <w14:solidFill>
              <w14:schemeClr w14:val="tx1"/>
            </w14:solidFill>
          </w14:textFill>
        </w:rPr>
        <w:t>策需满足的资格要求</w:t>
      </w:r>
      <w:r>
        <w:rPr>
          <w:rFonts w:hint="eastAsia" w:ascii="仿宋" w:hAnsi="仿宋" w:eastAsia="仿宋" w:cs="仿宋"/>
          <w:color w:val="000000" w:themeColor="text1"/>
          <w:sz w:val="24"/>
          <w:highlight w:val="none"/>
          <w14:textFill>
            <w14:solidFill>
              <w14:schemeClr w14:val="tx1"/>
            </w14:solidFill>
          </w14:textFill>
        </w:rPr>
        <w:t>（如有)</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11.1.3本项目的特定资格要求</w:t>
      </w:r>
      <w:r>
        <w:rPr>
          <w:rFonts w:hint="eastAsia" w:ascii="仿宋" w:hAnsi="仿宋" w:eastAsia="仿宋" w:cs="仿宋"/>
          <w:color w:val="000000" w:themeColor="text1"/>
          <w:sz w:val="24"/>
          <w:highlight w:val="none"/>
          <w14:textFill>
            <w14:solidFill>
              <w14:schemeClr w14:val="tx1"/>
            </w14:solidFill>
          </w14:textFill>
        </w:rPr>
        <w:t>（如有)</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11.2.3联合协议</w:t>
      </w:r>
      <w:r>
        <w:rPr>
          <w:rFonts w:hint="eastAsia" w:ascii="仿宋" w:hAnsi="仿宋" w:eastAsia="仿宋" w:cs="仿宋"/>
          <w:color w:val="000000" w:themeColor="text1"/>
          <w:sz w:val="24"/>
          <w:highlight w:val="none"/>
          <w14:textFill>
            <w14:solidFill>
              <w14:schemeClr w14:val="tx1"/>
            </w14:solidFill>
          </w14:textFill>
        </w:rPr>
        <w:t>（如有)</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11.2.4分包意向协议</w:t>
      </w:r>
      <w:r>
        <w:rPr>
          <w:rFonts w:hint="eastAsia" w:ascii="仿宋" w:hAnsi="仿宋" w:eastAsia="仿宋" w:cs="仿宋"/>
          <w:color w:val="000000" w:themeColor="text1"/>
          <w:sz w:val="24"/>
          <w:highlight w:val="none"/>
          <w14:textFill>
            <w14:solidFill>
              <w14:schemeClr w14:val="tx1"/>
            </w14:solidFill>
          </w14:textFill>
        </w:rPr>
        <w:t>（如有)</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11.2.5符合性审查资料；</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11.2.6评标标准相应的商务技术资料；</w:t>
      </w:r>
    </w:p>
    <w:p>
      <w:pPr>
        <w:snapToGrid w:val="0"/>
        <w:spacing w:line="360" w:lineRule="auto"/>
        <w:ind w:left="0" w:leftChars="0" w:firstLine="960" w:firstLineChars="4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11.2.7投标标的清单；</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0" w:firstLineChars="0"/>
        <w:jc w:val="both"/>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 xml:space="preserve"> 11.2.</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0"/>
          <w:highlight w:val="none"/>
          <w:lang w:val="zh-CN"/>
          <w14:textFill>
            <w14:solidFill>
              <w14:schemeClr w14:val="tx1"/>
            </w14:solidFill>
          </w14:textFill>
        </w:rPr>
        <w:t>投标</w:t>
      </w:r>
      <w:r>
        <w:rPr>
          <w:rFonts w:hint="eastAsia" w:ascii="仿宋" w:hAnsi="仿宋" w:eastAsia="仿宋" w:cs="仿宋"/>
          <w:color w:val="000000" w:themeColor="text1"/>
          <w:sz w:val="24"/>
          <w:szCs w:val="20"/>
          <w:highlight w:val="none"/>
          <w:lang w:val="en-US" w:eastAsia="zh-CN"/>
          <w14:textFill>
            <w14:solidFill>
              <w14:schemeClr w14:val="tx1"/>
            </w14:solidFill>
          </w14:textFill>
        </w:rPr>
        <w:t>人</w:t>
      </w:r>
      <w:r>
        <w:rPr>
          <w:rFonts w:hint="eastAsia" w:ascii="仿宋" w:hAnsi="仿宋" w:eastAsia="仿宋" w:cs="仿宋"/>
          <w:color w:val="000000" w:themeColor="text1"/>
          <w:sz w:val="24"/>
          <w:szCs w:val="20"/>
          <w:highlight w:val="none"/>
          <w:lang w:val="zh-CN"/>
          <w14:textFill>
            <w14:solidFill>
              <w14:schemeClr w14:val="tx1"/>
            </w14:solidFill>
          </w14:textFill>
        </w:rPr>
        <w:t>认为需要的其他文件资料</w:t>
      </w:r>
      <w:r>
        <w:rPr>
          <w:rFonts w:hint="eastAsia" w:ascii="仿宋" w:hAnsi="仿宋" w:eastAsia="仿宋" w:cs="仿宋"/>
          <w:color w:val="000000" w:themeColor="text1"/>
          <w:sz w:val="24"/>
          <w:szCs w:val="20"/>
          <w:highlight w:val="none"/>
          <w:lang w:val="zh-CN" w:eastAsia="zh-CN"/>
          <w14:textFill>
            <w14:solidFill>
              <w14:schemeClr w14:val="tx1"/>
            </w14:solidFill>
          </w14:textFill>
        </w:rPr>
        <w:t>（如有）</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11.3.2中小企业声明函</w:t>
      </w:r>
      <w:r>
        <w:rPr>
          <w:rFonts w:hint="eastAsia" w:ascii="仿宋" w:hAnsi="仿宋" w:eastAsia="仿宋" w:cs="仿宋"/>
          <w:color w:val="000000" w:themeColor="text1"/>
          <w:sz w:val="24"/>
          <w:highlight w:val="none"/>
          <w:lang w:eastAsia="zh-CN"/>
          <w14:textFill>
            <w14:solidFill>
              <w14:schemeClr w14:val="tx1"/>
            </w14:solidFill>
          </w14:textFill>
        </w:rPr>
        <w:t>；</w:t>
      </w:r>
    </w:p>
    <w:p>
      <w:pPr>
        <w:snapToGrid w:val="0"/>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11.3.3</w:t>
      </w:r>
      <w:r>
        <w:rPr>
          <w:rFonts w:hint="eastAsia" w:ascii="仿宋" w:hAnsi="仿宋" w:eastAsia="仿宋" w:cs="仿宋"/>
          <w:color w:val="000000" w:themeColor="text1"/>
          <w:sz w:val="24"/>
          <w:highlight w:val="none"/>
          <w14:textFill>
            <w14:solidFill>
              <w14:schemeClr w14:val="tx1"/>
            </w14:solidFill>
          </w14:textFill>
        </w:rPr>
        <w:t>投标人针对报价需要说明的其他文件和说明</w:t>
      </w:r>
      <w:r>
        <w:rPr>
          <w:rFonts w:hint="eastAsia" w:ascii="仿宋" w:hAnsi="仿宋" w:eastAsia="仿宋" w:cs="仿宋"/>
          <w:color w:val="000000" w:themeColor="text1"/>
          <w:sz w:val="24"/>
          <w:highlight w:val="none"/>
          <w:lang w:eastAsia="zh-CN"/>
          <w14:textFill>
            <w14:solidFill>
              <w14:schemeClr w14:val="tx1"/>
            </w14:solidFill>
          </w14:textFill>
        </w:rPr>
        <w:t>（如有）</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pPr>
        <w:pStyle w:val="85"/>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投标文件的编制</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 w:hAnsi="仿宋" w:eastAsia="仿宋" w:cs="仿宋"/>
          <w:color w:val="000000" w:themeColor="text1"/>
          <w:kern w:val="0"/>
          <w:sz w:val="24"/>
          <w:highlight w:val="none"/>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w:t>
      </w:r>
      <w:r>
        <w:rPr>
          <w:rFonts w:hint="eastAsia" w:ascii="仿宋" w:hAnsi="仿宋" w:eastAsia="仿宋" w:cs="仿宋"/>
          <w:color w:val="000000" w:themeColor="text1"/>
          <w:kern w:val="0"/>
          <w:sz w:val="24"/>
          <w:highlight w:val="none"/>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w:t>
      </w:r>
      <w:r>
        <w:rPr>
          <w:rFonts w:hint="eastAsia" w:ascii="仿宋" w:hAnsi="仿宋" w:eastAsia="仿宋" w:cs="仿宋"/>
          <w:color w:val="000000" w:themeColor="text1"/>
          <w:kern w:val="0"/>
          <w:sz w:val="24"/>
          <w:highlight w:val="none"/>
          <w:lang w:val="zh-CN"/>
          <w14:textFill>
            <w14:solidFill>
              <w14:schemeClr w14:val="tx1"/>
            </w14:solidFill>
          </w14:textFill>
        </w:rPr>
        <w:t>采云电子交易客户端”需要提前申领</w:t>
      </w:r>
      <w:r>
        <w:rPr>
          <w:rFonts w:hint="eastAsia" w:ascii="仿宋" w:hAnsi="仿宋" w:eastAsia="仿宋" w:cs="仿宋"/>
          <w:color w:val="000000" w:themeColor="text1"/>
          <w:kern w:val="0"/>
          <w:sz w:val="24"/>
          <w:highlight w:val="none"/>
          <w:lang w:val="zh-CN"/>
          <w14:textFill>
            <w14:solidFill>
              <w14:schemeClr w14:val="tx1"/>
            </w14:solidFill>
          </w14:textFill>
        </w:rPr>
        <w:t>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pPr>
        <w:pStyle w:val="85"/>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pPr>
        <w:pStyle w:val="8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 xml:space="preserve">14. </w:t>
      </w:r>
      <w:r>
        <w:rPr>
          <w:rFonts w:hint="eastAsia" w:ascii="仿宋" w:hAnsi="仿宋" w:eastAsia="仿宋" w:cs="仿宋"/>
          <w:b/>
          <w:color w:val="000000" w:themeColor="text1"/>
          <w:szCs w:val="24"/>
          <w:highlight w:val="none"/>
          <w14:textFill>
            <w14:solidFill>
              <w14:schemeClr w14:val="tx1"/>
            </w14:solidFill>
          </w14:textFill>
        </w:rPr>
        <w:t>投标文件的提交、补充、修改、撤回</w:t>
      </w:r>
    </w:p>
    <w:p>
      <w:pPr>
        <w:pStyle w:val="85"/>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 xml:space="preserve">14.1 </w:t>
      </w:r>
      <w:r>
        <w:rPr>
          <w:rFonts w:hint="eastAsia" w:ascii="仿宋" w:hAnsi="仿宋" w:eastAsia="仿宋" w:cs="仿宋"/>
          <w:color w:val="000000" w:themeColor="text1"/>
          <w:szCs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pPr>
        <w:pStyle w:val="32"/>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w:t>
      </w:r>
      <w:r>
        <w:rPr>
          <w:rFonts w:hint="eastAsia" w:ascii="仿宋" w:hAnsi="仿宋" w:eastAsia="仿宋" w:cs="仿宋"/>
          <w:b/>
          <w:color w:val="000000" w:themeColor="text1"/>
          <w:sz w:val="24"/>
          <w:szCs w:val="24"/>
          <w:highlight w:val="none"/>
          <w14:textFill>
            <w14:solidFill>
              <w14:schemeClr w14:val="tx1"/>
            </w14:solidFill>
          </w14:textFill>
        </w:rPr>
        <w:t>在投标截止时间前半小时内</w:t>
      </w:r>
      <w:r>
        <w:rPr>
          <w:rFonts w:hint="eastAsia" w:ascii="仿宋" w:hAnsi="仿宋" w:eastAsia="仿宋" w:cs="仿宋"/>
          <w:color w:val="000000" w:themeColor="text1"/>
          <w:sz w:val="24"/>
          <w:szCs w:val="24"/>
          <w:highlight w:val="none"/>
          <w14:textFill>
            <w14:solidFill>
              <w14:schemeClr w14:val="tx1"/>
            </w14:solidFill>
          </w14:textFill>
        </w:rPr>
        <w:t>递交备份投标文件1份</w:t>
      </w:r>
      <w:r>
        <w:rPr>
          <w:rFonts w:hint="eastAsia" w:ascii="仿宋" w:hAnsi="仿宋" w:eastAsia="仿宋" w:cs="仿宋"/>
          <w:color w:val="000000" w:themeColor="text1"/>
          <w:sz w:val="24"/>
          <w:szCs w:val="24"/>
          <w:highlight w:val="none"/>
          <w:lang w:val="en-US" w:eastAsia="zh-CN"/>
          <w14:textFill>
            <w14:solidFill>
              <w14:schemeClr w14:val="tx1"/>
            </w14:solidFill>
          </w14:textFill>
        </w:rPr>
        <w:t>至天阳建设管理有限公司</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但采购人、采购机构不强制或变相强制投标人提交备份投标文件。</w:t>
      </w:r>
    </w:p>
    <w:p>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w:t>
      </w:r>
      <w:r>
        <w:rPr>
          <w:rFonts w:hint="eastAsia" w:ascii="仿宋" w:hAnsi="仿宋" w:eastAsia="仿宋" w:cs="仿宋"/>
          <w:color w:val="000000" w:themeColor="text1"/>
          <w:sz w:val="24"/>
          <w:szCs w:val="24"/>
          <w:highlight w:val="none"/>
          <w14:textFill>
            <w14:solidFill>
              <w14:schemeClr w14:val="tx1"/>
            </w14:solidFill>
          </w14:textFill>
        </w:rPr>
        <w:t>采云投标客户端”制作生成，并储存在</w:t>
      </w:r>
      <w:r>
        <w:rPr>
          <w:rFonts w:hint="eastAsia" w:ascii="仿宋" w:hAnsi="仿宋" w:eastAsia="仿宋" w:cs="仿宋"/>
          <w:color w:val="000000" w:themeColor="text1"/>
          <w:sz w:val="24"/>
          <w:highlight w:val="none"/>
          <w14:textFill>
            <w14:solidFill>
              <w14:schemeClr w14:val="tx1"/>
            </w14:solidFill>
          </w14:textFill>
        </w:rPr>
        <w:t>DVD光盘</w:t>
      </w:r>
      <w:r>
        <w:rPr>
          <w:rFonts w:hint="eastAsia" w:ascii="仿宋" w:hAnsi="仿宋" w:eastAsia="仿宋" w:cs="仿宋"/>
          <w:color w:val="000000" w:themeColor="text1"/>
          <w:sz w:val="24"/>
          <w:szCs w:val="24"/>
          <w:highlight w:val="none"/>
          <w14:textFill>
            <w14:solidFill>
              <w14:schemeClr w14:val="tx1"/>
            </w14:solidFill>
          </w14:textFill>
        </w:rPr>
        <w:t>中。备份投标文件应当密封包装并在包装上加盖公章并注明投标项目名称，投标人名称</w:t>
      </w:r>
      <w:r>
        <w:rPr>
          <w:rFonts w:hint="eastAsia" w:ascii="仿宋" w:hAnsi="仿宋" w:eastAsia="仿宋" w:cs="仿宋"/>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79" w:firstLineChars="19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w:t>
      </w:r>
      <w:r>
        <w:rPr>
          <w:rFonts w:hint="eastAsia" w:ascii="仿宋" w:hAnsi="仿宋" w:eastAsia="仿宋" w:cs="仿宋"/>
          <w:b/>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投标人仅提交备份投标文件，没有在电子交易平台传输递交投标文件的，投标无效。</w:t>
      </w:r>
    </w:p>
    <w:p>
      <w:pPr>
        <w:pStyle w:val="8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pPr>
        <w:pStyle w:val="24"/>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w:t>
      </w:r>
      <w:r>
        <w:rPr>
          <w:rFonts w:hint="eastAsia" w:ascii="仿宋" w:hAnsi="仿宋" w:eastAsia="仿宋" w:cs="仿宋"/>
          <w:color w:val="000000" w:themeColor="text1"/>
          <w:highlight w:val="none"/>
          <w:lang w:val="en-US" w:eastAsia="zh-CN"/>
          <w14:textFill>
            <w14:solidFill>
              <w14:schemeClr w14:val="tx1"/>
            </w14:solidFill>
          </w14:textFill>
        </w:rPr>
        <w:t>4.2</w:t>
      </w:r>
      <w:r>
        <w:rPr>
          <w:rFonts w:hint="eastAsia" w:ascii="仿宋" w:hAnsi="仿宋" w:eastAsia="仿宋" w:cs="仿宋"/>
          <w:color w:val="000000" w:themeColor="text1"/>
          <w:highlight w:val="none"/>
          <w14:textFill>
            <w14:solidFill>
              <w14:schemeClr w14:val="tx1"/>
            </w14:solidFill>
          </w14:textFill>
        </w:rPr>
        <w:t>规定</w:t>
      </w:r>
      <w:r>
        <w:rPr>
          <w:rFonts w:hint="eastAsia" w:ascii="仿宋" w:hAnsi="仿宋" w:eastAsia="仿宋" w:cs="仿宋"/>
          <w:color w:val="000000" w:themeColor="text1"/>
          <w:szCs w:val="21"/>
          <w:highlight w:val="none"/>
          <w14:textFill>
            <w14:solidFill>
              <w14:schemeClr w14:val="tx1"/>
            </w14:solidFill>
          </w14:textFill>
        </w:rPr>
        <w:t>的情形之一的，投标无效：</w:t>
      </w:r>
    </w:p>
    <w:p>
      <w:pPr>
        <w:pStyle w:val="8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pPr>
        <w:pStyle w:val="8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pPr>
        <w:pStyle w:val="8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hint="eastAsia" w:ascii="仿宋" w:hAnsi="仿宋" w:eastAsia="仿宋" w:cs="仿宋"/>
          <w:b/>
          <w:color w:val="000000" w:themeColor="text1"/>
          <w:sz w:val="32"/>
          <w:highlight w:val="none"/>
          <w14:textFill>
            <w14:solidFill>
              <w14:schemeClr w14:val="tx1"/>
            </w14:solidFill>
          </w14:textFill>
        </w:rPr>
      </w:pPr>
    </w:p>
    <w:p>
      <w:pPr>
        <w:pStyle w:val="85"/>
        <w:spacing w:before="0"/>
        <w:ind w:firstLine="1928" w:firstLineChars="60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pPr>
        <w:pStyle w:val="240"/>
        <w:spacing w:before="0" w:line="360" w:lineRule="auto"/>
        <w:ind w:left="0" w:firstLine="241"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r>
        <w:rPr>
          <w:rFonts w:hint="eastAsia" w:ascii="仿宋" w:hAnsi="仿宋" w:eastAsia="仿宋" w:cs="仿宋"/>
          <w:color w:val="000000" w:themeColor="text1"/>
          <w:sz w:val="24"/>
          <w:highlight w:val="none"/>
          <w14:textFill>
            <w14:solidFill>
              <w14:schemeClr w14:val="tx1"/>
            </w14:solidFill>
          </w14:textFill>
        </w:rPr>
        <w:t xml:space="preserve"> </w:t>
      </w:r>
    </w:p>
    <w:p>
      <w:pPr>
        <w:pStyle w:val="240"/>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18.3</w:t>
      </w:r>
      <w:r>
        <w:rPr>
          <w:rFonts w:hint="eastAsia" w:ascii="仿宋" w:hAnsi="仿宋" w:eastAsia="仿宋" w:cs="仿宋"/>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　</w:t>
      </w:r>
      <w:r>
        <w:rPr>
          <w:rFonts w:hint="eastAsia" w:ascii="仿宋" w:hAnsi="仿宋" w:eastAsia="仿宋" w:cs="仿宋"/>
          <w:b/>
          <w:color w:val="000000" w:themeColor="text1"/>
          <w:sz w:val="24"/>
          <w:szCs w:val="20"/>
          <w:highlight w:val="none"/>
          <w14:textFill>
            <w14:solidFill>
              <w14:schemeClr w14:val="tx1"/>
            </w14:solidFill>
          </w14:textFill>
        </w:rPr>
        <w:t>19、资格审查</w:t>
      </w:r>
    </w:p>
    <w:p>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19.2</w:t>
      </w:r>
      <w:r>
        <w:rPr>
          <w:rFonts w:hint="eastAsia" w:ascii="仿宋" w:hAnsi="仿宋" w:eastAsia="仿宋" w:cs="仿宋"/>
          <w:color w:val="000000" w:themeColor="text1"/>
          <w:sz w:val="24"/>
          <w:highlight w:val="none"/>
          <w14:textFill>
            <w14:solidFill>
              <w14:schemeClr w14:val="tx1"/>
            </w14:solidFill>
          </w14:textFill>
        </w:rPr>
        <w:t>采购人或采购机构依据法律法规和招标文件的规定，对投标人的基本资格条件、特定资格条件进行审查。</w:t>
      </w:r>
    </w:p>
    <w:p>
      <w:pPr>
        <w:pStyle w:val="8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19.3投标人未按照招标文件要求提供与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14:textFill>
            <w14:solidFill>
              <w14:schemeClr w14:val="tx1"/>
            </w14:solidFill>
          </w14:textFill>
        </w:rPr>
        <w:t>投标人不具备招标文件中规定的资格要求，其投标无效。</w:t>
      </w:r>
    </w:p>
    <w:p>
      <w:pPr>
        <w:pStyle w:val="8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4对未通过资格审查的投标人，采购人或采购机构告知其未通过的原因。</w:t>
      </w:r>
    </w:p>
    <w:p>
      <w:pPr>
        <w:pStyle w:val="8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5合格投标人不足3家的，不再评标。</w:t>
      </w:r>
    </w:p>
    <w:p>
      <w:pPr>
        <w:pStyle w:val="8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pPr>
        <w:pStyle w:val="85"/>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85"/>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pPr>
        <w:pStyle w:val="85"/>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3" w:name="_Toc91899903"/>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w:t>
      </w:r>
      <w:r>
        <w:rPr>
          <w:rFonts w:hint="eastAsia" w:ascii="仿宋" w:hAnsi="仿宋" w:eastAsia="仿宋" w:cs="仿宋"/>
          <w:b/>
          <w:color w:val="000000" w:themeColor="text1"/>
          <w:sz w:val="36"/>
          <w:szCs w:val="36"/>
          <w:highlight w:val="none"/>
          <w14:textFill>
            <w14:solidFill>
              <w14:schemeClr w14:val="tx1"/>
            </w14:solidFill>
          </w14:textFill>
        </w:rPr>
        <w:t xml:space="preserve"> </w:t>
      </w:r>
      <w:r>
        <w:rPr>
          <w:rFonts w:hint="eastAsia" w:ascii="仿宋" w:hAnsi="仿宋" w:eastAsia="仿宋" w:cs="仿宋"/>
          <w:b/>
          <w:color w:val="000000" w:themeColor="text1"/>
          <w:sz w:val="36"/>
          <w:szCs w:val="36"/>
          <w:highlight w:val="none"/>
          <w14:textFill>
            <w14:solidFill>
              <w14:schemeClr w14:val="tx1"/>
            </w14:solidFill>
          </w14:textFill>
        </w:rPr>
        <w:t>标</w:t>
      </w:r>
    </w:p>
    <w:p>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22. </w:t>
      </w:r>
      <w:r>
        <w:rPr>
          <w:rFonts w:hint="eastAsia" w:ascii="仿宋" w:hAnsi="仿宋" w:eastAsia="仿宋" w:cs="仿宋"/>
          <w:b/>
          <w:color w:val="000000" w:themeColor="text1"/>
          <w:highlight w:val="none"/>
          <w14:textFill>
            <w14:solidFill>
              <w14:schemeClr w14:val="tx1"/>
            </w14:solidFill>
          </w14:textFill>
        </w:rPr>
        <w:t>确定中标供应商</w:t>
      </w:r>
    </w:p>
    <w:p>
      <w:pPr>
        <w:pStyle w:val="85"/>
        <w:snapToGrid w:val="0"/>
        <w:spacing w:before="0"/>
        <w:ind w:firstLine="48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5"/>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 xml:space="preserve">23. </w:t>
      </w:r>
      <w:r>
        <w:rPr>
          <w:rFonts w:hint="eastAsia" w:ascii="仿宋" w:hAnsi="仿宋" w:eastAsia="仿宋" w:cs="仿宋"/>
          <w:b/>
          <w:color w:val="000000" w:themeColor="text1"/>
          <w:szCs w:val="24"/>
          <w:highlight w:val="none"/>
          <w14:textFill>
            <w14:solidFill>
              <w14:schemeClr w14:val="tx1"/>
            </w14:solidFill>
          </w14:textFill>
        </w:rPr>
        <w:t>中标通知与中标结果公告</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23.1自中标人确定之日起2个工作日内，采购机构通过电子交易平台向中标人发出中标通知书，</w:t>
      </w:r>
      <w:r>
        <w:rPr>
          <w:rFonts w:hint="eastAsia" w:ascii="仿宋" w:hAnsi="仿宋" w:eastAsia="仿宋" w:cs="仿宋"/>
          <w:color w:val="000000" w:themeColor="text1"/>
          <w:sz w:val="24"/>
          <w:highlight w:val="none"/>
          <w14:textFill>
            <w14:solidFill>
              <w14:schemeClr w14:val="tx1"/>
            </w14:solidFill>
          </w14:textFill>
        </w:rPr>
        <w:t>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w:t>
      </w:r>
      <w:r>
        <w:rPr>
          <w:rFonts w:hint="eastAsia" w:ascii="仿宋" w:hAnsi="仿宋" w:eastAsia="仿宋" w:cs="仿宋"/>
          <w:color w:val="000000" w:themeColor="text1"/>
          <w:sz w:val="24"/>
          <w:highlight w:val="none"/>
          <w14:textFill>
            <w14:solidFill>
              <w14:schemeClr w14:val="tx1"/>
            </w14:solidFill>
          </w14:textFill>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25. </w:t>
      </w:r>
      <w:r>
        <w:rPr>
          <w:rFonts w:hint="eastAsia" w:ascii="仿宋" w:hAnsi="仿宋" w:eastAsia="仿宋" w:cs="仿宋"/>
          <w:b/>
          <w:color w:val="000000" w:themeColor="text1"/>
          <w:highlight w:val="none"/>
          <w14:textFill>
            <w14:solidFill>
              <w14:schemeClr w14:val="tx1"/>
            </w14:solidFill>
          </w14:textFill>
        </w:rPr>
        <w:t>合同的签订</w:t>
      </w:r>
    </w:p>
    <w:p>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 xml:space="preserve"> 采购人与中标人应当通过电子交易平台在中标通知书发出之日起</w:t>
      </w:r>
      <w:r>
        <w:rPr>
          <w:rFonts w:hint="eastAsia" w:ascii="仿宋" w:hAnsi="仿宋" w:eastAsia="仿宋" w:cs="仿宋"/>
          <w:color w:val="000000" w:themeColor="text1"/>
          <w:kern w:val="0"/>
          <w:sz w:val="24"/>
          <w:highlight w:val="none"/>
          <w:lang w:eastAsia="zh-CN"/>
          <w14:textFill>
            <w14:solidFill>
              <w14:schemeClr w14:val="tx1"/>
            </w14:solidFill>
          </w14:textFill>
        </w:rPr>
        <w:t>十日</w:t>
      </w:r>
      <w:r>
        <w:rPr>
          <w:rFonts w:hint="eastAsia" w:ascii="仿宋" w:hAnsi="仿宋" w:eastAsia="仿宋" w:cs="仿宋"/>
          <w:color w:val="000000" w:themeColor="text1"/>
          <w:kern w:val="0"/>
          <w:sz w:val="24"/>
          <w:highlight w:val="none"/>
          <w14:textFill>
            <w14:solidFill>
              <w14:schemeClr w14:val="tx1"/>
            </w14:solidFill>
          </w14:textFill>
        </w:rPr>
        <w:t>内，按照招标文件确定的事项签订政府采购合同，并在</w:t>
      </w:r>
      <w:r>
        <w:rPr>
          <w:rFonts w:hint="eastAsia" w:ascii="仿宋" w:hAnsi="仿宋" w:eastAsia="仿宋" w:cs="仿宋"/>
          <w:color w:val="000000" w:themeColor="text1"/>
          <w:kern w:val="0"/>
          <w:sz w:val="24"/>
          <w:highlight w:val="none"/>
          <w14:textFill>
            <w14:solidFill>
              <w14:schemeClr w14:val="tx1"/>
            </w14:solidFill>
          </w14:textFill>
        </w:rPr>
        <w:t>合同签订之日起2个工作日</w:t>
      </w:r>
      <w:r>
        <w:rPr>
          <w:rFonts w:hint="eastAsia" w:ascii="仿宋" w:hAnsi="仿宋" w:eastAsia="仿宋" w:cs="仿宋"/>
          <w:color w:val="000000" w:themeColor="text1"/>
          <w:kern w:val="0"/>
          <w:sz w:val="24"/>
          <w:highlight w:val="none"/>
          <w14:textFill>
            <w14:solidFill>
              <w14:schemeClr w14:val="tx1"/>
            </w14:solidFill>
          </w14:textFill>
        </w:rPr>
        <w:t>内依法发布合同公告。</w:t>
      </w:r>
    </w:p>
    <w:p>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25.2</w:t>
      </w:r>
      <w:r>
        <w:rPr>
          <w:rFonts w:hint="eastAsia" w:ascii="仿宋" w:hAnsi="仿宋" w:eastAsia="仿宋" w:cs="仿宋"/>
          <w:color w:val="000000" w:themeColor="text1"/>
          <w:sz w:val="24"/>
          <w:szCs w:val="24"/>
          <w:highlight w:val="none"/>
          <w:lang w:val="en-US" w:eastAsia="zh-CN"/>
          <w14:textFill>
            <w14:solidFill>
              <w14:schemeClr w14:val="tx1"/>
            </w14:solidFill>
          </w14:textFill>
        </w:rPr>
        <w:t>本</w:t>
      </w:r>
      <w:r>
        <w:rPr>
          <w:rFonts w:hint="eastAsia" w:ascii="仿宋" w:hAnsi="仿宋" w:eastAsia="仿宋" w:cs="仿宋"/>
          <w:color w:val="000000" w:themeColor="text1"/>
          <w:sz w:val="24"/>
          <w:szCs w:val="24"/>
          <w:highlight w:val="none"/>
          <w14:textFill>
            <w14:solidFill>
              <w14:schemeClr w14:val="tx1"/>
            </w14:solidFill>
          </w14:textFill>
        </w:rPr>
        <w:t>合同签订依据为相关法律法规文件、招标文件、乙方投标文件等，合同条款有与前者冲突的，以前者为准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85"/>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w:t>
      </w:r>
      <w:r>
        <w:rPr>
          <w:rFonts w:hint="eastAsia" w:ascii="仿宋" w:hAnsi="仿宋" w:eastAsia="仿宋" w:cs="仿宋"/>
          <w:color w:val="000000" w:themeColor="text1"/>
          <w:kern w:val="0"/>
          <w:highlight w:val="none"/>
          <w:lang w:val="en-US" w:eastAsia="zh-CN"/>
          <w14:textFill>
            <w14:solidFill>
              <w14:schemeClr w14:val="tx1"/>
            </w14:solidFill>
          </w14:textFill>
        </w:rPr>
        <w:t>3</w:t>
      </w:r>
      <w:r>
        <w:rPr>
          <w:rFonts w:hint="eastAsia" w:ascii="仿宋" w:hAnsi="仿宋" w:eastAsia="仿宋" w:cs="仿宋"/>
          <w:color w:val="000000" w:themeColor="text1"/>
          <w:kern w:val="0"/>
          <w:highlight w:val="none"/>
          <w:lang w:val="zh-CN"/>
          <w14:textFill>
            <w14:solidFill>
              <w14:schemeClr w14:val="tx1"/>
            </w14:solidFill>
          </w14:textFill>
        </w:rPr>
        <w:t>中标人按规定的日期、时间、地点，由法定代表人或其授权代表与采购人代表签订合同。如中标人为联合体的，由联合体成员各方法定代表</w:t>
      </w:r>
      <w:r>
        <w:rPr>
          <w:rFonts w:hint="eastAsia" w:ascii="仿宋" w:hAnsi="仿宋" w:eastAsia="仿宋" w:cs="仿宋"/>
          <w:color w:val="000000" w:themeColor="text1"/>
          <w:kern w:val="0"/>
          <w:highlight w:val="none"/>
          <w:lang w:val="zh-CN"/>
          <w14:textFill>
            <w14:solidFill>
              <w14:schemeClr w14:val="tx1"/>
            </w14:solidFill>
          </w14:textFill>
        </w:rPr>
        <w:t>人或其授权代表与采购人代表签订合同。</w:t>
      </w:r>
    </w:p>
    <w:p>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如签订合同并生效后，供应商无故拒绝或延期，除按照合同条款处理外，列入不良行为记录一次，并给予通报。</w:t>
      </w:r>
    </w:p>
    <w:p>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中标供应</w:t>
      </w:r>
      <w:r>
        <w:rPr>
          <w:rFonts w:hint="eastAsia" w:ascii="仿宋" w:hAnsi="仿宋" w:eastAsia="仿宋" w:cs="仿宋"/>
          <w:color w:val="000000" w:themeColor="text1"/>
          <w:highlight w:val="none"/>
          <w14:textFill>
            <w14:solidFill>
              <w14:schemeClr w14:val="tx1"/>
            </w14:solidFill>
          </w14:textFill>
        </w:rPr>
        <w:t>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采购合同由采购人与中标供应商根据</w:t>
      </w:r>
      <w:r>
        <w:rPr>
          <w:rFonts w:hint="eastAsia" w:ascii="仿宋" w:hAnsi="仿宋" w:eastAsia="仿宋" w:cs="仿宋"/>
          <w:color w:val="000000" w:themeColor="text1"/>
          <w:highlight w:val="none"/>
          <w14:textFill>
            <w14:solidFill>
              <w14:schemeClr w14:val="tx1"/>
            </w14:solidFill>
          </w14:textFill>
        </w:rPr>
        <w:t>招标文件、投标文件等内容通过政府采购电子交易平台在线签订，自动备案。</w:t>
      </w:r>
    </w:p>
    <w:p>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26. </w:t>
      </w:r>
      <w:r>
        <w:rPr>
          <w:rFonts w:hint="eastAsia" w:ascii="仿宋" w:hAnsi="仿宋" w:eastAsia="仿宋" w:cs="仿宋"/>
          <w:b/>
          <w:color w:val="000000" w:themeColor="text1"/>
          <w:highlight w:val="none"/>
          <w14:textFill>
            <w14:solidFill>
              <w14:schemeClr w14:val="tx1"/>
            </w14:solidFill>
          </w14:textFill>
        </w:rPr>
        <w:t>履约保证金</w:t>
      </w:r>
    </w:p>
    <w:p>
      <w:pPr>
        <w:tabs>
          <w:tab w:val="left" w:pos="0"/>
        </w:tabs>
        <w:spacing w:line="360" w:lineRule="auto"/>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w:t>
      </w:r>
      <w:r>
        <w:rPr>
          <w:rFonts w:hint="eastAsia" w:ascii="仿宋" w:hAnsi="仿宋" w:eastAsia="仿宋" w:cs="仿宋"/>
          <w:color w:val="000000" w:themeColor="text1"/>
          <w:kern w:val="0"/>
          <w:sz w:val="24"/>
          <w:highlight w:val="none"/>
          <w14:textFill>
            <w14:solidFill>
              <w14:schemeClr w14:val="tx1"/>
            </w14:solidFill>
          </w14:textFill>
        </w:rPr>
        <w:t>交</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杭州市政府采购网公布的供应商履约评价为满分的供应商，采购单位应当免收履约保证金。确需收履约保证金的，</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鼓励和支持供应商以银行、保险公</w:t>
      </w:r>
      <w:r>
        <w:rPr>
          <w:rFonts w:hint="eastAsia" w:ascii="仿宋" w:hAnsi="仿宋" w:eastAsia="仿宋" w:cs="仿宋"/>
          <w:color w:val="000000" w:themeColor="text1"/>
          <w:sz w:val="24"/>
          <w:highlight w:val="none"/>
          <w14:textFill>
            <w14:solidFill>
              <w14:schemeClr w14:val="tx1"/>
            </w14:solidFill>
          </w14:textFill>
        </w:rPr>
        <w:t>司出具的保函形式提供履约保证金。</w:t>
      </w:r>
      <w:r>
        <w:rPr>
          <w:rFonts w:hint="eastAsia" w:ascii="仿宋" w:hAnsi="仿宋" w:eastAsia="仿宋" w:cs="仿宋"/>
          <w:b/>
          <w:color w:val="000000" w:themeColor="text1"/>
          <w:sz w:val="24"/>
          <w:highlight w:val="none"/>
          <w14:textFill>
            <w14:solidFill>
              <w14:schemeClr w14:val="tx1"/>
            </w14:solidFill>
          </w14:textFill>
        </w:rPr>
        <w:t>采购人不得拒收履约保函。</w:t>
      </w:r>
    </w:p>
    <w:p>
      <w:pPr>
        <w:pStyle w:val="3"/>
        <w:ind w:left="0" w:firstLine="480" w:firstLineChars="20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供应商</w:t>
      </w:r>
      <w:r>
        <w:rPr>
          <w:rFonts w:hint="eastAsia" w:ascii="仿宋" w:hAnsi="仿宋" w:eastAsia="仿宋" w:cs="仿宋"/>
          <w:b w:val="0"/>
          <w:bCs w:val="0"/>
          <w:snapToGrid w:val="0"/>
          <w:color w:val="000000" w:themeColor="text1"/>
          <w:kern w:val="28"/>
          <w:sz w:val="24"/>
          <w:highlight w:val="none"/>
          <w:lang w:val="en-US"/>
          <w14:textFill>
            <w14:solidFill>
              <w14:schemeClr w14:val="tx1"/>
            </w14:solidFill>
          </w14:textFill>
        </w:rPr>
        <w:t>可</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000000" w:themeColor="text1"/>
          <w:sz w:val="32"/>
          <w:highlight w:val="none"/>
          <w14:textFill>
            <w14:solidFill>
              <w14:schemeClr w14:val="tx1"/>
            </w14:solidFill>
          </w14:textFill>
        </w:rPr>
      </w:pPr>
    </w:p>
    <w:p>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pPr>
        <w:pStyle w:val="85"/>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14:textFill>
            <w14:solidFill>
              <w14:schemeClr w14:val="tx1"/>
            </w14:solidFill>
          </w14:textFill>
        </w:rPr>
        <w:t xml:space="preserve">7. </w:t>
      </w:r>
      <w:r>
        <w:rPr>
          <w:rFonts w:hint="eastAsia" w:ascii="仿宋" w:hAnsi="仿宋" w:eastAsia="仿宋" w:cs="仿宋"/>
          <w:b/>
          <w:color w:val="000000" w:themeColor="text1"/>
          <w:szCs w:val="24"/>
          <w:highlight w:val="none"/>
          <w14:textFill>
            <w14:solidFill>
              <w14:schemeClr w14:val="tx1"/>
            </w14:solidFill>
          </w14:textFill>
        </w:rPr>
        <w:t>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27.1电子交易平台发生故障而无法登录访问的； </w:t>
      </w:r>
    </w:p>
    <w:p>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27.2电子交易平台应用或数据库出现错误，不能进行正常操作的；</w:t>
      </w:r>
    </w:p>
    <w:p>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27.3电子交易平台发现严重安全漏洞，有潜在泄密危险的；</w:t>
      </w:r>
    </w:p>
    <w:p>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27.4病毒发作导致不能进行正常操作的； </w:t>
      </w:r>
    </w:p>
    <w:p>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27.5其他无法保证电子交易的公平、公正和安全的情况。</w:t>
      </w:r>
    </w:p>
    <w:p>
      <w:pPr>
        <w:pStyle w:val="85"/>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pPr>
        <w:pStyle w:val="24"/>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29.验收</w:t>
      </w:r>
    </w:p>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w:t>
      </w:r>
      <w:r>
        <w:rPr>
          <w:rFonts w:hint="eastAsia" w:ascii="仿宋" w:hAnsi="仿宋" w:eastAsia="仿宋" w:cs="仿宋"/>
          <w:color w:val="000000" w:themeColor="text1"/>
          <w:kern w:val="0"/>
          <w:sz w:val="24"/>
          <w:highlight w:val="none"/>
          <w14:textFill>
            <w14:solidFill>
              <w14:schemeClr w14:val="tx1"/>
            </w14:solidFill>
          </w14:textFill>
        </w:rPr>
        <w:t>验收书的参考资料一并存档。</w:t>
      </w:r>
    </w:p>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bookmarkStart w:id="14" w:name="_Hlt75236011"/>
      <w:bookmarkEnd w:id="14"/>
      <w:bookmarkStart w:id="15" w:name="_Hlt75236290"/>
      <w:bookmarkEnd w:id="15"/>
      <w:bookmarkStart w:id="16" w:name="_Hlt68072990"/>
      <w:bookmarkEnd w:id="16"/>
      <w:bookmarkStart w:id="17" w:name="_Hlt74729768"/>
      <w:bookmarkEnd w:id="17"/>
      <w:bookmarkStart w:id="18" w:name="_Hlt74730295"/>
      <w:bookmarkEnd w:id="18"/>
      <w:bookmarkStart w:id="19" w:name="_Hlt74707468"/>
      <w:bookmarkEnd w:id="19"/>
      <w:bookmarkStart w:id="20" w:name="_Hlt75236101"/>
      <w:bookmarkEnd w:id="20"/>
      <w:bookmarkStart w:id="21" w:name="_Hlt68057669"/>
      <w:bookmarkEnd w:id="21"/>
      <w:bookmarkStart w:id="22" w:name="_Hlt68072998"/>
      <w:bookmarkEnd w:id="22"/>
      <w:bookmarkStart w:id="23" w:name="_Hlt74714665"/>
      <w:bookmarkEnd w:id="23"/>
      <w:bookmarkStart w:id="24" w:name="_Hlt68403820"/>
      <w:bookmarkEnd w:id="24"/>
      <w:bookmarkStart w:id="25" w:name="_Hlt68073093"/>
      <w:bookmarkEnd w:id="25"/>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20"/>
          <w:highlight w:val="none"/>
          <w:lang w:val="en-US" w:eastAsia="zh-CN" w:bidi="ar-SA"/>
          <w14:textFill>
            <w14:solidFill>
              <w14:schemeClr w14:val="tx1"/>
            </w14:solidFill>
          </w14:textFill>
        </w:rPr>
        <w:t>十、货款支付</w:t>
      </w:r>
    </w:p>
    <w:p>
      <w:pPr>
        <w:pStyle w:val="3"/>
        <w:tabs>
          <w:tab w:val="left" w:pos="0"/>
          <w:tab w:val="clear" w:pos="432"/>
        </w:tabs>
        <w:ind w:left="237" w:leftChars="113" w:firstLine="467" w:firstLineChars="194"/>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30.1</w:t>
      </w:r>
      <w:r>
        <w:rPr>
          <w:rFonts w:hint="eastAsia" w:ascii="仿宋" w:hAnsi="仿宋" w:eastAsia="仿宋" w:cs="仿宋"/>
          <w:color w:val="000000" w:themeColor="text1"/>
          <w:sz w:val="24"/>
          <w:highlight w:val="none"/>
          <w:lang w:eastAsia="zh-CN"/>
          <w14:textFill>
            <w14:solidFill>
              <w14:schemeClr w14:val="tx1"/>
            </w14:solidFill>
          </w14:textFill>
        </w:rPr>
        <w:t>服务费用阶段支付比例：</w:t>
      </w:r>
      <w:r>
        <w:rPr>
          <w:rFonts w:hint="eastAsia" w:ascii="仿宋" w:hAnsi="仿宋" w:eastAsia="仿宋" w:cs="仿宋"/>
          <w:color w:val="000000" w:themeColor="text1"/>
          <w:sz w:val="24"/>
          <w:szCs w:val="24"/>
          <w:highlight w:val="none"/>
          <w14:textFill>
            <w14:solidFill>
              <w14:schemeClr w14:val="tx1"/>
            </w14:solidFill>
          </w14:textFill>
        </w:rPr>
        <w:t>以经塘栖镇财办根据政府采购法等相关规定审核通过的合同相应条款为准。</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30.2</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30.3</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s="仿宋"/>
          <w:color w:val="000000" w:themeColor="text1"/>
          <w:sz w:val="24"/>
          <w:highlight w:val="none"/>
          <w14:textFill>
            <w14:solidFill>
              <w14:schemeClr w14:val="tx1"/>
            </w14:solidFill>
          </w14:textFill>
        </w:rPr>
        <w:t>杭财采监〔</w:t>
      </w:r>
      <w:r>
        <w:rPr>
          <w:rFonts w:hint="eastAsia" w:ascii="仿宋" w:hAnsi="仿宋" w:eastAsia="仿宋" w:cs="仿宋"/>
          <w:color w:val="000000" w:themeColor="text1"/>
          <w:sz w:val="24"/>
          <w:highlight w:val="none"/>
          <w14:textFill>
            <w14:solidFill>
              <w14:schemeClr w14:val="tx1"/>
            </w14:solidFill>
          </w14:textFill>
        </w:rPr>
        <w:t>2021〕17号）。</w:t>
      </w:r>
    </w:p>
    <w:p>
      <w:pPr>
        <w:rPr>
          <w:rFonts w:hint="eastAsia" w:ascii="仿宋" w:hAnsi="仿宋" w:eastAsia="仿宋" w:cs="仿宋"/>
          <w:color w:val="000000" w:themeColor="text1"/>
          <w:highlight w:val="none"/>
          <w:lang w:val="en-US" w:eastAsia="zh-CN"/>
          <w14:textFill>
            <w14:solidFill>
              <w14:schemeClr w14:val="tx1"/>
            </w14:solidFill>
          </w14:textFill>
        </w:rPr>
      </w:pPr>
    </w:p>
    <w:p>
      <w:pPr>
        <w:pStyle w:val="617"/>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30.4</w:t>
      </w:r>
      <w:r>
        <w:rPr>
          <w:rFonts w:hint="eastAsia" w:ascii="仿宋" w:hAnsi="仿宋" w:eastAsia="仿宋" w:cs="仿宋"/>
          <w:color w:val="000000" w:themeColor="text1"/>
          <w:highlight w:val="none"/>
          <w:lang w:eastAsia="zh-CN"/>
          <w14:textFill>
            <w14:solidFill>
              <w14:schemeClr w14:val="tx1"/>
            </w14:solidFill>
          </w14:textFill>
        </w:rPr>
        <w:t>采购人</w:t>
      </w:r>
      <w:r>
        <w:rPr>
          <w:rFonts w:hint="eastAsia" w:ascii="仿宋" w:hAnsi="仿宋" w:eastAsia="仿宋" w:cs="仿宋"/>
          <w:color w:val="000000" w:themeColor="text1"/>
          <w:highlight w:val="none"/>
          <w14:textFill>
            <w14:solidFill>
              <w14:schemeClr w14:val="tx1"/>
            </w14:solidFill>
          </w14:textFill>
        </w:rPr>
        <w:t>应严格履行合同，及时组织验收，验收合格后及时将合同款支付完毕。对于满足合同约定支付条件的，</w:t>
      </w:r>
      <w:r>
        <w:rPr>
          <w:rFonts w:hint="eastAsia" w:ascii="仿宋" w:hAnsi="仿宋" w:eastAsia="仿宋" w:cs="仿宋"/>
          <w:color w:val="000000" w:themeColor="text1"/>
          <w:highlight w:val="none"/>
          <w:lang w:eastAsia="zh-CN"/>
          <w14:textFill>
            <w14:solidFill>
              <w14:schemeClr w14:val="tx1"/>
            </w14:solidFill>
          </w14:textFill>
        </w:rPr>
        <w:t>采购人</w:t>
      </w:r>
      <w:r>
        <w:rPr>
          <w:rFonts w:hint="eastAsia" w:ascii="仿宋" w:hAnsi="仿宋" w:eastAsia="仿宋" w:cs="仿宋"/>
          <w:color w:val="000000" w:themeColor="text1"/>
          <w:highlight w:val="none"/>
          <w14:textFill>
            <w14:solidFill>
              <w14:schemeClr w14:val="tx1"/>
            </w14:solidFill>
          </w14:textFill>
        </w:rPr>
        <w:t>自收到发票后</w:t>
      </w:r>
      <w:r>
        <w:rPr>
          <w:rFonts w:hint="eastAsia" w:ascii="仿宋" w:hAnsi="仿宋" w:eastAsia="仿宋" w:cs="仿宋"/>
          <w:color w:val="000000" w:themeColor="text1"/>
          <w:highlight w:val="none"/>
          <w:lang w:val="en-US" w:eastAsia="zh-CN"/>
          <w14:textFill>
            <w14:solidFill>
              <w14:schemeClr w14:val="tx1"/>
            </w14:solidFill>
          </w14:textFill>
        </w:rPr>
        <w:t>及时</w:t>
      </w:r>
      <w:r>
        <w:rPr>
          <w:rFonts w:hint="eastAsia" w:ascii="仿宋" w:hAnsi="仿宋" w:eastAsia="仿宋" w:cs="仿宋"/>
          <w:color w:val="000000" w:themeColor="text1"/>
          <w:highlight w:val="none"/>
          <w14:textFill>
            <w14:solidFill>
              <w14:schemeClr w14:val="tx1"/>
            </w14:solidFill>
          </w14:textFill>
        </w:rPr>
        <w:t>将资金支付到合同约定的乙方账户。</w:t>
      </w:r>
    </w:p>
    <w:p>
      <w:pPr>
        <w:pStyle w:val="3"/>
        <w:rPr>
          <w:rFonts w:hint="eastAsia" w:ascii="仿宋" w:hAnsi="仿宋" w:eastAsia="仿宋" w:cs="仿宋"/>
          <w:color w:val="000000" w:themeColor="text1"/>
          <w:highlight w:val="none"/>
          <w:lang w:val="en-US" w:eastAsia="zh-CN"/>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1"/>
    <w:bookmarkEnd w:id="12"/>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26" w:name="第四部分"/>
      <w:r>
        <w:rPr>
          <w:rFonts w:hint="eastAsia" w:ascii="仿宋" w:hAnsi="仿宋" w:eastAsia="仿宋" w:cs="仿宋"/>
          <w:b/>
          <w:color w:val="000000" w:themeColor="text1"/>
          <w:sz w:val="36"/>
          <w:szCs w:val="36"/>
          <w:highlight w:val="none"/>
          <w14:textFill>
            <w14:solidFill>
              <w14:schemeClr w14:val="tx1"/>
            </w14:solidFill>
          </w14:textFill>
        </w:rPr>
        <w:t>第三部分</w:t>
      </w:r>
      <w:r>
        <w:rPr>
          <w:rFonts w:hint="eastAsia" w:ascii="仿宋" w:hAnsi="仿宋" w:eastAsia="仿宋" w:cs="仿宋"/>
          <w:b/>
          <w:color w:val="000000" w:themeColor="text1"/>
          <w:sz w:val="36"/>
          <w:szCs w:val="36"/>
          <w:highlight w:val="none"/>
          <w14:textFill>
            <w14:solidFill>
              <w14:schemeClr w14:val="tx1"/>
            </w14:solidFill>
          </w14:textFill>
        </w:rPr>
        <w:t xml:space="preserve">   </w:t>
      </w:r>
      <w:r>
        <w:rPr>
          <w:rFonts w:hint="eastAsia" w:ascii="仿宋" w:hAnsi="仿宋" w:eastAsia="仿宋" w:cs="仿宋"/>
          <w:b/>
          <w:color w:val="000000" w:themeColor="text1"/>
          <w:sz w:val="36"/>
          <w:szCs w:val="36"/>
          <w:highlight w:val="none"/>
          <w14:textFill>
            <w14:solidFill>
              <w14:schemeClr w14:val="tx1"/>
            </w14:solidFill>
          </w14:textFill>
        </w:rPr>
        <w:t>采购需求</w:t>
      </w:r>
    </w:p>
    <w:p>
      <w:pPr>
        <w:adjustRightInd w:val="0"/>
        <w:snapToGrid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一、项目概述：</w:t>
      </w:r>
    </w:p>
    <w:p>
      <w:pPr>
        <w:numPr>
          <w:ilvl w:val="0"/>
          <w:numId w:val="0"/>
        </w:numPr>
        <w:adjustRightInd w:val="0"/>
        <w:snapToGrid w:val="0"/>
        <w:spacing w:line="36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val="0"/>
          <w:i w:val="0"/>
          <w:color w:val="000000" w:themeColor="text1"/>
          <w:sz w:val="24"/>
          <w:szCs w:val="24"/>
          <w:highlight w:val="none"/>
          <w14:textFill>
            <w14:solidFill>
              <w14:schemeClr w14:val="tx1"/>
            </w14:solidFill>
          </w14:textFill>
        </w:rPr>
        <w:t xml:space="preserve">为贯彻落实省政府办公厅印发的关于浙江省农村房屋安全隐患排查整治工作实施方案的要求（以下简称省实施方案），进一步消除安全隐患，切实保障人民群众生命财产安全， </w:t>
      </w:r>
      <w:r>
        <w:rPr>
          <w:rFonts w:hint="eastAsia" w:ascii="仿宋" w:hAnsi="仿宋" w:eastAsia="仿宋" w:cs="仿宋"/>
          <w:b w:val="0"/>
          <w:i w:val="0"/>
          <w:color w:val="000000" w:themeColor="text1"/>
          <w:sz w:val="24"/>
          <w:szCs w:val="24"/>
          <w:highlight w:val="none"/>
          <w:lang w:eastAsia="zh-CN"/>
          <w14:textFill>
            <w14:solidFill>
              <w14:schemeClr w14:val="tx1"/>
            </w14:solidFill>
          </w14:textFill>
        </w:rPr>
        <w:t>杭州市临平区塘栖镇人民政府</w:t>
      </w:r>
      <w:r>
        <w:rPr>
          <w:rFonts w:hint="eastAsia" w:ascii="仿宋" w:hAnsi="仿宋" w:eastAsia="仿宋" w:cs="仿宋"/>
          <w:b w:val="0"/>
          <w:i w:val="0"/>
          <w:color w:val="000000" w:themeColor="text1"/>
          <w:sz w:val="24"/>
          <w:szCs w:val="24"/>
          <w:highlight w:val="none"/>
          <w14:textFill>
            <w14:solidFill>
              <w14:schemeClr w14:val="tx1"/>
            </w14:solidFill>
          </w14:textFill>
        </w:rPr>
        <w:t>拟以公开招标的方式，为</w:t>
      </w:r>
      <w:r>
        <w:rPr>
          <w:rFonts w:hint="eastAsia" w:ascii="仿宋" w:hAnsi="仿宋" w:eastAsia="仿宋" w:cs="仿宋"/>
          <w:b w:val="0"/>
          <w:i w:val="0"/>
          <w:color w:val="000000" w:themeColor="text1"/>
          <w:sz w:val="24"/>
          <w:szCs w:val="24"/>
          <w:highlight w:val="none"/>
          <w:lang w:eastAsia="zh-CN"/>
          <w14:textFill>
            <w14:solidFill>
              <w14:schemeClr w14:val="tx1"/>
            </w14:solidFill>
          </w14:textFill>
        </w:rPr>
        <w:t>杭州市临平区塘栖镇</w:t>
      </w:r>
      <w:r>
        <w:rPr>
          <w:rFonts w:hint="eastAsia" w:ascii="仿宋" w:hAnsi="仿宋" w:eastAsia="仿宋" w:cs="仿宋"/>
          <w:b w:val="0"/>
          <w:i w:val="0"/>
          <w:color w:val="000000" w:themeColor="text1"/>
          <w:sz w:val="24"/>
          <w:szCs w:val="24"/>
          <w:highlight w:val="none"/>
          <w14:textFill>
            <w14:solidFill>
              <w14:schemeClr w14:val="tx1"/>
            </w14:solidFill>
          </w14:textFill>
        </w:rPr>
        <w:t>工作职能范围</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内</w:t>
      </w:r>
      <w:r>
        <w:rPr>
          <w:rFonts w:hint="eastAsia" w:ascii="仿宋" w:hAnsi="仿宋" w:eastAsia="仿宋" w:cs="仿宋"/>
          <w:b w:val="0"/>
          <w:i w:val="0"/>
          <w:color w:val="000000" w:themeColor="text1"/>
          <w:sz w:val="24"/>
          <w:szCs w:val="24"/>
          <w:highlight w:val="none"/>
          <w14:textFill>
            <w14:solidFill>
              <w14:schemeClr w14:val="tx1"/>
            </w14:solidFill>
          </w14:textFill>
        </w:rPr>
        <w:t>农村房屋提供安全隐患排查</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及鉴定</w:t>
      </w:r>
      <w:r>
        <w:rPr>
          <w:rFonts w:hint="eastAsia" w:ascii="仿宋" w:hAnsi="仿宋" w:eastAsia="仿宋" w:cs="仿宋"/>
          <w:b w:val="0"/>
          <w:i w:val="0"/>
          <w:color w:val="000000" w:themeColor="text1"/>
          <w:sz w:val="24"/>
          <w:szCs w:val="24"/>
          <w:highlight w:val="none"/>
          <w14:textFill>
            <w14:solidFill>
              <w14:schemeClr w14:val="tx1"/>
            </w14:solidFill>
          </w14:textFill>
        </w:rPr>
        <w:t>服务</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p>
    <w:p>
      <w:pPr>
        <w:numPr>
          <w:ilvl w:val="0"/>
          <w:numId w:val="3"/>
        </w:numPr>
        <w:adjustRightInd w:val="0"/>
        <w:snapToGrid w:val="0"/>
        <w:spacing w:line="36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排查及鉴定范围</w:t>
      </w:r>
    </w:p>
    <w:p>
      <w:pPr>
        <w:numPr>
          <w:ilvl w:val="0"/>
          <w:numId w:val="0"/>
        </w:numPr>
        <w:adjustRightInd w:val="0"/>
        <w:snapToGrid w:val="0"/>
        <w:spacing w:line="36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标项1</w:t>
      </w:r>
    </w:p>
    <w:tbl>
      <w:tblPr>
        <w:tblStyle w:val="63"/>
        <w:tblpPr w:leftFromText="180" w:rightFromText="180" w:vertAnchor="text" w:horzAnchor="page" w:tblpX="1984" w:tblpY="435"/>
        <w:tblOverlap w:val="never"/>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70"/>
        <w:gridCol w:w="3153"/>
        <w:gridCol w:w="791"/>
        <w:gridCol w:w="832"/>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序号</w:t>
            </w:r>
          </w:p>
        </w:tc>
        <w:tc>
          <w:tcPr>
            <w:tcW w:w="1170"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名称</w:t>
            </w:r>
          </w:p>
        </w:tc>
        <w:tc>
          <w:tcPr>
            <w:tcW w:w="3153"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范围</w:t>
            </w:r>
          </w:p>
        </w:tc>
        <w:tc>
          <w:tcPr>
            <w:tcW w:w="791" w:type="dxa"/>
            <w:vAlign w:val="top"/>
          </w:tcPr>
          <w:p>
            <w:pPr>
              <w:pStyle w:val="24"/>
              <w:numPr>
                <w:ilvl w:val="0"/>
                <w:numId w:val="0"/>
              </w:numPr>
              <w:spacing w:before="0" w:beforeAutospacing="0" w:after="0" w:afterAutospacing="0"/>
              <w:ind w:left="0" w:leftChars="0" w:right="0" w:firstLine="0" w:firstLineChars="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单位</w:t>
            </w:r>
          </w:p>
        </w:tc>
        <w:tc>
          <w:tcPr>
            <w:tcW w:w="832" w:type="dxa"/>
            <w:vAlign w:val="top"/>
          </w:tcPr>
          <w:p>
            <w:pPr>
              <w:pStyle w:val="24"/>
              <w:numPr>
                <w:ilvl w:val="0"/>
                <w:numId w:val="0"/>
              </w:numPr>
              <w:spacing w:before="0" w:beforeAutospacing="0" w:after="0" w:afterAutospacing="0"/>
              <w:ind w:left="0" w:leftChars="0" w:right="0" w:firstLine="0" w:firstLineChars="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数量</w:t>
            </w:r>
          </w:p>
        </w:tc>
        <w:tc>
          <w:tcPr>
            <w:tcW w:w="1594" w:type="dxa"/>
            <w:vAlign w:val="top"/>
          </w:tcPr>
          <w:p>
            <w:pPr>
              <w:pStyle w:val="24"/>
              <w:numPr>
                <w:ilvl w:val="0"/>
                <w:numId w:val="0"/>
              </w:numPr>
              <w:spacing w:before="0" w:beforeAutospacing="0" w:after="0" w:afterAutospacing="0"/>
              <w:ind w:left="0" w:leftChars="0" w:right="0" w:firstLine="0" w:firstLineChars="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最高综合单价（元/户）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1</w:t>
            </w:r>
          </w:p>
        </w:tc>
        <w:tc>
          <w:tcPr>
            <w:tcW w:w="1170"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房屋</w:t>
            </w:r>
            <w:r>
              <w:rPr>
                <w:rFonts w:hint="eastAsia" w:ascii="仿宋" w:hAnsi="仿宋" w:eastAsia="仿宋" w:cs="仿宋"/>
                <w:b w:val="0"/>
                <w:i w:val="0"/>
                <w:color w:val="000000" w:themeColor="text1"/>
                <w:sz w:val="24"/>
                <w:szCs w:val="24"/>
                <w:highlight w:val="none"/>
                <w14:textFill>
                  <w14:solidFill>
                    <w14:schemeClr w14:val="tx1"/>
                  </w14:solidFill>
                </w14:textFill>
              </w:rPr>
              <w:t>安全隐患</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排查</w:t>
            </w:r>
          </w:p>
        </w:tc>
        <w:tc>
          <w:tcPr>
            <w:tcW w:w="3153" w:type="dxa"/>
            <w:vAlign w:val="top"/>
          </w:tcPr>
          <w:p>
            <w:pPr>
              <w:numPr>
                <w:ilvl w:val="0"/>
                <w:numId w:val="0"/>
              </w:numPr>
              <w:spacing w:before="0" w:beforeAutospacing="0" w:after="0" w:afterAutospacing="0" w:line="360" w:lineRule="auto"/>
              <w:ind w:left="0" w:right="0"/>
              <w:rPr>
                <w:rFonts w:hint="eastAsia" w:ascii="仿宋" w:hAnsi="仿宋" w:eastAsia="仿宋" w:cs="仿宋"/>
                <w:b w:val="0"/>
                <w:i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柴家坞村 塘北村 超山村  超丁村 泰山村 邵家坝村  唐家埭村 三文村 乐苑社区 广济社区 三文村 </w:t>
            </w:r>
          </w:p>
        </w:tc>
        <w:tc>
          <w:tcPr>
            <w:tcW w:w="791"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户</w:t>
            </w:r>
          </w:p>
        </w:tc>
        <w:tc>
          <w:tcPr>
            <w:tcW w:w="832"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12277</w:t>
            </w:r>
          </w:p>
        </w:tc>
        <w:tc>
          <w:tcPr>
            <w:tcW w:w="1594"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 xml:space="preserve">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2</w:t>
            </w:r>
          </w:p>
        </w:tc>
        <w:tc>
          <w:tcPr>
            <w:tcW w:w="1170"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房屋</w:t>
            </w:r>
            <w:r>
              <w:rPr>
                <w:rFonts w:hint="eastAsia" w:ascii="仿宋" w:hAnsi="仿宋" w:eastAsia="仿宋" w:cs="仿宋"/>
                <w:b w:val="0"/>
                <w:i w:val="0"/>
                <w:color w:val="000000" w:themeColor="text1"/>
                <w:sz w:val="24"/>
                <w:szCs w:val="24"/>
                <w:highlight w:val="none"/>
                <w14:textFill>
                  <w14:solidFill>
                    <w14:schemeClr w14:val="tx1"/>
                  </w14:solidFill>
                </w14:textFill>
              </w:rPr>
              <w:t>安全隐患</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鉴定</w:t>
            </w:r>
          </w:p>
        </w:tc>
        <w:tc>
          <w:tcPr>
            <w:tcW w:w="3153" w:type="dxa"/>
            <w:vAlign w:val="top"/>
          </w:tcPr>
          <w:p>
            <w:pPr>
              <w:numPr>
                <w:ilvl w:val="0"/>
                <w:numId w:val="0"/>
              </w:numPr>
              <w:spacing w:before="0" w:beforeAutospacing="0" w:after="0" w:afterAutospacing="0" w:line="360" w:lineRule="auto"/>
              <w:ind w:left="0" w:right="0"/>
              <w:rPr>
                <w:rFonts w:hint="eastAsia" w:ascii="仿宋" w:hAnsi="仿宋" w:eastAsia="仿宋" w:cs="仿宋"/>
                <w:b w:val="0"/>
                <w:i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柴家坞村 塘北村 超山村  超丁村 泰山村 邵家坝村 河西埭村 唐家埭村 三文村 乐苑社区 广济社区 莫家桥村</w:t>
            </w:r>
          </w:p>
        </w:tc>
        <w:tc>
          <w:tcPr>
            <w:tcW w:w="791"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户</w:t>
            </w:r>
          </w:p>
        </w:tc>
        <w:tc>
          <w:tcPr>
            <w:tcW w:w="832"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2328</w:t>
            </w:r>
          </w:p>
        </w:tc>
        <w:tc>
          <w:tcPr>
            <w:tcW w:w="1594"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 xml:space="preserve"> 1196</w:t>
            </w:r>
          </w:p>
        </w:tc>
      </w:tr>
    </w:tbl>
    <w:p>
      <w:pPr>
        <w:numPr>
          <w:ilvl w:val="0"/>
          <w:numId w:val="0"/>
        </w:numPr>
        <w:adjustRightInd w:val="0"/>
        <w:snapToGrid w:val="0"/>
        <w:spacing w:line="36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pPr>
        <w:numPr>
          <w:ilvl w:val="0"/>
          <w:numId w:val="0"/>
        </w:numPr>
        <w:adjustRightInd w:val="0"/>
        <w:snapToGrid w:val="0"/>
        <w:spacing w:line="36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标项2</w:t>
      </w:r>
    </w:p>
    <w:tbl>
      <w:tblPr>
        <w:tblStyle w:val="63"/>
        <w:tblpPr w:leftFromText="180" w:rightFromText="180" w:vertAnchor="text" w:horzAnchor="page" w:tblpX="1984" w:tblpY="435"/>
        <w:tblOverlap w:val="never"/>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70"/>
        <w:gridCol w:w="3153"/>
        <w:gridCol w:w="791"/>
        <w:gridCol w:w="832"/>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序号</w:t>
            </w:r>
          </w:p>
        </w:tc>
        <w:tc>
          <w:tcPr>
            <w:tcW w:w="1170"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名称</w:t>
            </w:r>
          </w:p>
        </w:tc>
        <w:tc>
          <w:tcPr>
            <w:tcW w:w="3153"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范围</w:t>
            </w:r>
          </w:p>
        </w:tc>
        <w:tc>
          <w:tcPr>
            <w:tcW w:w="791" w:type="dxa"/>
            <w:vAlign w:val="top"/>
          </w:tcPr>
          <w:p>
            <w:pPr>
              <w:pStyle w:val="24"/>
              <w:numPr>
                <w:ilvl w:val="0"/>
                <w:numId w:val="0"/>
              </w:numPr>
              <w:spacing w:before="0" w:beforeAutospacing="0" w:after="0" w:afterAutospacing="0"/>
              <w:ind w:left="0" w:leftChars="0" w:right="0" w:firstLine="0" w:firstLineChars="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单位</w:t>
            </w:r>
          </w:p>
        </w:tc>
        <w:tc>
          <w:tcPr>
            <w:tcW w:w="832" w:type="dxa"/>
            <w:vAlign w:val="top"/>
          </w:tcPr>
          <w:p>
            <w:pPr>
              <w:pStyle w:val="24"/>
              <w:numPr>
                <w:ilvl w:val="0"/>
                <w:numId w:val="0"/>
              </w:numPr>
              <w:spacing w:before="0" w:beforeAutospacing="0" w:after="0" w:afterAutospacing="0"/>
              <w:ind w:left="0" w:leftChars="0" w:right="0" w:firstLine="0" w:firstLineChars="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数量</w:t>
            </w:r>
          </w:p>
        </w:tc>
        <w:tc>
          <w:tcPr>
            <w:tcW w:w="1594" w:type="dxa"/>
            <w:vAlign w:val="top"/>
          </w:tcPr>
          <w:p>
            <w:pPr>
              <w:pStyle w:val="24"/>
              <w:numPr>
                <w:ilvl w:val="0"/>
                <w:numId w:val="0"/>
              </w:numPr>
              <w:spacing w:before="0" w:beforeAutospacing="0" w:after="0" w:afterAutospacing="0"/>
              <w:ind w:left="0" w:leftChars="0" w:right="0" w:firstLine="0" w:firstLineChars="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最高综合单价（元/户）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1</w:t>
            </w:r>
          </w:p>
        </w:tc>
        <w:tc>
          <w:tcPr>
            <w:tcW w:w="1170"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房屋</w:t>
            </w:r>
            <w:r>
              <w:rPr>
                <w:rFonts w:hint="eastAsia" w:ascii="仿宋" w:hAnsi="仿宋" w:eastAsia="仿宋" w:cs="仿宋"/>
                <w:b w:val="0"/>
                <w:i w:val="0"/>
                <w:color w:val="000000" w:themeColor="text1"/>
                <w:sz w:val="24"/>
                <w:szCs w:val="24"/>
                <w:highlight w:val="none"/>
                <w14:textFill>
                  <w14:solidFill>
                    <w14:schemeClr w14:val="tx1"/>
                  </w14:solidFill>
                </w14:textFill>
              </w:rPr>
              <w:t>安全隐患</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排查</w:t>
            </w:r>
          </w:p>
        </w:tc>
        <w:tc>
          <w:tcPr>
            <w:tcW w:w="3153" w:type="dxa"/>
            <w:vAlign w:val="top"/>
          </w:tcPr>
          <w:p>
            <w:pPr>
              <w:numPr>
                <w:ilvl w:val="0"/>
                <w:numId w:val="0"/>
              </w:numPr>
              <w:spacing w:before="0" w:beforeAutospacing="0" w:after="0" w:afterAutospacing="0" w:line="360" w:lineRule="auto"/>
              <w:ind w:left="0" w:right="0"/>
              <w:rPr>
                <w:rFonts w:hint="eastAsia" w:ascii="仿宋" w:hAnsi="仿宋" w:eastAsia="仿宋" w:cs="仿宋"/>
                <w:b w:val="0"/>
                <w:i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西苑村、丁河村、丁山河村、河西埭村、宏畔村、莫家桥村、三星村、塘栖村、西河村</w:t>
            </w:r>
          </w:p>
        </w:tc>
        <w:tc>
          <w:tcPr>
            <w:tcW w:w="791"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户</w:t>
            </w:r>
          </w:p>
        </w:tc>
        <w:tc>
          <w:tcPr>
            <w:tcW w:w="832"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14540</w:t>
            </w:r>
          </w:p>
        </w:tc>
        <w:tc>
          <w:tcPr>
            <w:tcW w:w="1594"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 xml:space="preserve">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2</w:t>
            </w:r>
          </w:p>
        </w:tc>
        <w:tc>
          <w:tcPr>
            <w:tcW w:w="1170"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房屋</w:t>
            </w:r>
            <w:r>
              <w:rPr>
                <w:rFonts w:hint="eastAsia" w:ascii="仿宋" w:hAnsi="仿宋" w:eastAsia="仿宋" w:cs="仿宋"/>
                <w:b w:val="0"/>
                <w:i w:val="0"/>
                <w:color w:val="000000" w:themeColor="text1"/>
                <w:sz w:val="24"/>
                <w:szCs w:val="24"/>
                <w:highlight w:val="none"/>
                <w14:textFill>
                  <w14:solidFill>
                    <w14:schemeClr w14:val="tx1"/>
                  </w14:solidFill>
                </w14:textFill>
              </w:rPr>
              <w:t>安全隐患</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鉴定</w:t>
            </w:r>
          </w:p>
        </w:tc>
        <w:tc>
          <w:tcPr>
            <w:tcW w:w="3153"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西苑村、丁河村、丁山河村、河西埭村、宏畔村、莫家桥村、三星村、塘栖村、西河村</w:t>
            </w:r>
          </w:p>
        </w:tc>
        <w:tc>
          <w:tcPr>
            <w:tcW w:w="791"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户</w:t>
            </w:r>
          </w:p>
        </w:tc>
        <w:tc>
          <w:tcPr>
            <w:tcW w:w="832"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1552</w:t>
            </w:r>
          </w:p>
        </w:tc>
        <w:tc>
          <w:tcPr>
            <w:tcW w:w="1594"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1196</w:t>
            </w:r>
          </w:p>
        </w:tc>
      </w:tr>
    </w:tbl>
    <w:p>
      <w:pPr>
        <w:numPr>
          <w:ilvl w:val="0"/>
          <w:numId w:val="0"/>
        </w:numPr>
        <w:adjustRightInd w:val="0"/>
        <w:snapToGrid w:val="0"/>
        <w:spacing w:line="36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pPr>
        <w:pStyle w:val="24"/>
        <w:numPr>
          <w:ilvl w:val="0"/>
          <w:numId w:val="0"/>
        </w:num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val="0"/>
          <w:i w:val="0"/>
          <w:color w:val="000000" w:themeColor="text1"/>
          <w:sz w:val="24"/>
          <w:szCs w:val="24"/>
          <w:highlight w:val="none"/>
          <w14:textFill>
            <w14:solidFill>
              <w14:schemeClr w14:val="tx1"/>
            </w14:solidFill>
          </w14:textFill>
        </w:rPr>
        <w:t>排查整治工作内容</w:t>
      </w:r>
      <w:r>
        <w:rPr>
          <w:rFonts w:hint="eastAsia" w:ascii="仿宋" w:hAnsi="仿宋" w:eastAsia="仿宋" w:cs="仿宋"/>
          <w:b w:val="0"/>
          <w:i w:val="0"/>
          <w:color w:val="000000" w:themeColor="text1"/>
          <w:sz w:val="24"/>
          <w:szCs w:val="24"/>
          <w:highlight w:val="none"/>
          <w14:textFill>
            <w14:solidFill>
              <w14:schemeClr w14:val="tx1"/>
            </w14:solidFill>
          </w14:textFill>
        </w:rPr>
        <w:br w:type="textWrapping"/>
      </w:r>
      <w:r>
        <w:rPr>
          <w:rFonts w:hint="eastAsia" w:ascii="仿宋" w:hAnsi="仿宋" w:eastAsia="仿宋" w:cs="仿宋"/>
          <w:b w:val="0"/>
          <w:i w:val="0"/>
          <w:color w:val="000000" w:themeColor="text1"/>
          <w:sz w:val="24"/>
          <w:szCs w:val="24"/>
          <w:highlight w:val="none"/>
          <w14:textFill>
            <w14:solidFill>
              <w14:schemeClr w14:val="tx1"/>
            </w14:solidFill>
          </w14:textFill>
        </w:rPr>
        <w:t>（一） 突出排查重点</w:t>
      </w:r>
      <w:r>
        <w:rPr>
          <w:rFonts w:hint="eastAsia" w:ascii="仿宋" w:hAnsi="仿宋" w:eastAsia="仿宋" w:cs="仿宋"/>
          <w:b w:val="0"/>
          <w:i w:val="0"/>
          <w:color w:val="000000" w:themeColor="text1"/>
          <w:sz w:val="24"/>
          <w:szCs w:val="24"/>
          <w:highlight w:val="none"/>
          <w14:textFill>
            <w14:solidFill>
              <w14:schemeClr w14:val="tx1"/>
            </w14:solidFill>
          </w14:textFill>
        </w:rPr>
        <w:br w:type="textWrapping"/>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val="0"/>
          <w:i w:val="0"/>
          <w:color w:val="000000" w:themeColor="text1"/>
          <w:sz w:val="24"/>
          <w:szCs w:val="24"/>
          <w:highlight w:val="none"/>
          <w14:textFill>
            <w14:solidFill>
              <w14:schemeClr w14:val="tx1"/>
            </w14:solidFill>
          </w14:textFill>
        </w:rPr>
        <w:t>根据《浙江省房屋使用安全管理条例》（以下简称《条例》）的规定时间前，完成对用作生产经营的农村自建房和人员聚集使用的农村公共房屋进行重点排查，及时报告排查发现的安全隐患情况，并根据主管部门的要求督促存在安全隐患的农房产权人（使用人）委托具有资质的鉴定机构开展房屋安全鉴定与农村危房确认。对用作生产经营的农村自建房，通过实地调查取证， 按照农村房屋安全信息采集表（自建房）的要求，利用原有农房信息管理系统信息完成复核、补充、上传。对非自建房的农村公共建筑，按照农村房屋安全信息采集表（非自建房）的要求录入非自建房“一房一档”信息。</w:t>
      </w:r>
      <w:r>
        <w:rPr>
          <w:rFonts w:hint="eastAsia" w:ascii="仿宋" w:hAnsi="仿宋" w:eastAsia="仿宋" w:cs="仿宋"/>
          <w:b w:val="0"/>
          <w:i w:val="0"/>
          <w:color w:val="000000" w:themeColor="text1"/>
          <w:sz w:val="24"/>
          <w:szCs w:val="24"/>
          <w:highlight w:val="none"/>
          <w14:textFill>
            <w14:solidFill>
              <w14:schemeClr w14:val="tx1"/>
            </w14:solidFill>
          </w14:textFill>
        </w:rPr>
        <w:br w:type="textWrapping"/>
      </w:r>
      <w:r>
        <w:rPr>
          <w:rFonts w:hint="eastAsia" w:ascii="仿宋" w:hAnsi="仿宋" w:eastAsia="仿宋" w:cs="仿宋"/>
          <w:b w:val="0"/>
          <w:i w:val="0"/>
          <w:color w:val="000000" w:themeColor="text1"/>
          <w:sz w:val="24"/>
          <w:szCs w:val="24"/>
          <w:highlight w:val="none"/>
          <w14:textFill>
            <w14:solidFill>
              <w14:schemeClr w14:val="tx1"/>
            </w14:solidFill>
          </w14:textFill>
        </w:rPr>
        <w:t>（二） 逐户排查录入</w:t>
      </w:r>
      <w:r>
        <w:rPr>
          <w:rFonts w:hint="eastAsia" w:ascii="仿宋" w:hAnsi="仿宋" w:eastAsia="仿宋" w:cs="仿宋"/>
          <w:b w:val="0"/>
          <w:i w:val="0"/>
          <w:color w:val="000000" w:themeColor="text1"/>
          <w:sz w:val="24"/>
          <w:szCs w:val="24"/>
          <w:highlight w:val="none"/>
          <w14:textFill>
            <w14:solidFill>
              <w14:schemeClr w14:val="tx1"/>
            </w14:solidFill>
          </w14:textFill>
        </w:rPr>
        <w:br w:type="textWrapping"/>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val="0"/>
          <w:i w:val="0"/>
          <w:color w:val="000000" w:themeColor="text1"/>
          <w:sz w:val="24"/>
          <w:szCs w:val="24"/>
          <w:highlight w:val="none"/>
          <w14:textFill>
            <w14:solidFill>
              <w14:schemeClr w14:val="tx1"/>
            </w14:solidFill>
          </w14:textFill>
        </w:rPr>
        <w:t>在全面排查阶段，在现有农房信息管理系统农村自建房信息的基础上， 依托农房信息管理系统APP，逐户对原有农村自建房档案进行复核，并需重新拍摄房屋正面照片上传。对于非自建房的其他建筑，通过农房信息管理系统APP实地采集信息（包含房屋正面照片），录入非自建房“一房一档”信息，按照排查职责分工核实后上传。对排查中发现存在重大安全隐患的房屋，要及时报告相关部门立即采取有效的安全防范措施， 严防发生安全事故，做到即查即治， 确保人员安全。</w:t>
      </w:r>
      <w:r>
        <w:rPr>
          <w:rFonts w:hint="eastAsia" w:ascii="仿宋" w:hAnsi="仿宋" w:eastAsia="仿宋" w:cs="仿宋"/>
          <w:b w:val="0"/>
          <w:i w:val="0"/>
          <w:color w:val="000000" w:themeColor="text1"/>
          <w:sz w:val="24"/>
          <w:szCs w:val="24"/>
          <w:highlight w:val="none"/>
          <w14:textFill>
            <w14:solidFill>
              <w14:schemeClr w14:val="tx1"/>
            </w14:solidFill>
          </w14:textFill>
        </w:rPr>
        <w:br w:type="textWrapping"/>
      </w:r>
      <w:r>
        <w:rPr>
          <w:rFonts w:hint="eastAsia" w:ascii="仿宋" w:hAnsi="仿宋" w:eastAsia="仿宋" w:cs="仿宋"/>
          <w:b w:val="0"/>
          <w:i w:val="0"/>
          <w:color w:val="000000" w:themeColor="text1"/>
          <w:sz w:val="24"/>
          <w:szCs w:val="24"/>
          <w:highlight w:val="none"/>
          <w14:textFill>
            <w14:solidFill>
              <w14:schemeClr w14:val="tx1"/>
            </w14:solidFill>
          </w14:textFill>
        </w:rPr>
        <w:t>（三） 为政府部门实施治理改造提供协助</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val="0"/>
          <w:i w:val="0"/>
          <w:color w:val="000000" w:themeColor="text1"/>
          <w:sz w:val="24"/>
          <w:szCs w:val="24"/>
          <w:highlight w:val="none"/>
          <w14:textFill>
            <w14:solidFill>
              <w14:schemeClr w14:val="tx1"/>
            </w14:solidFill>
          </w14:textFill>
        </w:rPr>
        <w:t>在排查中发现的违法新建、改建、扩建行为，非法宗教集聚点和未经批准的幼托、培训教育、养老机构等非法经营场所，要及时报告相关部门立即依法依规进行处理。对鉴定确认的农村危房，录入</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房屋建筑和市政设施调查系统（浙江省）</w:t>
      </w:r>
      <w:r>
        <w:rPr>
          <w:rFonts w:hint="eastAsia" w:ascii="仿宋" w:hAnsi="仿宋" w:eastAsia="仿宋" w:cs="仿宋"/>
          <w:b w:val="0"/>
          <w:i w:val="0"/>
          <w:color w:val="000000" w:themeColor="text1"/>
          <w:sz w:val="24"/>
          <w:szCs w:val="24"/>
          <w:highlight w:val="none"/>
          <w14:textFill>
            <w14:solidFill>
              <w14:schemeClr w14:val="tx1"/>
            </w14:solidFill>
          </w14:textFill>
        </w:rPr>
        <w:t>中的“常态化治理改造”模块，协助政府部门实行信息化监管，销号整治。在危房确认之日起三日内，协助政府部门向房屋产权人（使用人）发出督促解危通知书，提出危房处理意见和解危期限，做好农房治理改造工作。对危房产权人（使用人）未及时采取维修加固、拆除等解危措施的，及时报告相关部门依法进行处理。</w:t>
      </w:r>
      <w:r>
        <w:rPr>
          <w:rFonts w:hint="eastAsia" w:ascii="仿宋" w:hAnsi="仿宋" w:eastAsia="仿宋" w:cs="仿宋"/>
          <w:b w:val="0"/>
          <w:i w:val="0"/>
          <w:color w:val="000000" w:themeColor="text1"/>
          <w:sz w:val="24"/>
          <w:szCs w:val="24"/>
          <w:highlight w:val="none"/>
          <w14:textFill>
            <w14:solidFill>
              <w14:schemeClr w14:val="tx1"/>
            </w14:solidFill>
          </w14:textFill>
        </w:rPr>
        <w:br w:type="textWrapping"/>
      </w:r>
      <w:r>
        <w:rPr>
          <w:rFonts w:hint="eastAsia" w:ascii="仿宋" w:hAnsi="仿宋" w:eastAsia="仿宋" w:cs="仿宋"/>
          <w:b w:val="0"/>
          <w:i w:val="0"/>
          <w:color w:val="000000" w:themeColor="text1"/>
          <w:sz w:val="24"/>
          <w:szCs w:val="24"/>
          <w:highlight w:val="none"/>
          <w14:textFill>
            <w14:solidFill>
              <w14:schemeClr w14:val="tx1"/>
            </w14:solidFill>
          </w14:textFill>
        </w:rPr>
        <w:t>（四） 协助政府部门健全管理机制</w:t>
      </w:r>
      <w:r>
        <w:rPr>
          <w:rFonts w:hint="eastAsia" w:ascii="仿宋" w:hAnsi="仿宋" w:eastAsia="仿宋" w:cs="仿宋"/>
          <w:b w:val="0"/>
          <w:i w:val="0"/>
          <w:color w:val="000000" w:themeColor="text1"/>
          <w:sz w:val="24"/>
          <w:szCs w:val="24"/>
          <w:highlight w:val="none"/>
          <w14:textFill>
            <w14:solidFill>
              <w14:schemeClr w14:val="tx1"/>
            </w14:solidFill>
          </w14:textFill>
        </w:rPr>
        <w:br w:type="textWrapping"/>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val="0"/>
          <w:i w:val="0"/>
          <w:color w:val="000000" w:themeColor="text1"/>
          <w:sz w:val="24"/>
          <w:szCs w:val="24"/>
          <w:highlight w:val="none"/>
          <w14:textFill>
            <w14:solidFill>
              <w14:schemeClr w14:val="tx1"/>
            </w14:solidFill>
          </w14:textFill>
        </w:rPr>
        <w:t>结合当地实际，坚持问题导向和目标导向相结合，协助政府部门进一步建立健全农村危房常态化发现机制、改造机制，做到发现一户、及时鉴定和治理改造一户；进一步建立健全农房建设管理机制，完善建设用地、规划、设计、施工、验收等全过程监管制度；进一步健全乡镇街道农房管理机构，下沉监管力量，提高农房建设管理水平。</w:t>
      </w:r>
      <w:r>
        <w:rPr>
          <w:rFonts w:hint="eastAsia" w:ascii="仿宋" w:hAnsi="仿宋" w:eastAsia="仿宋" w:cs="仿宋"/>
          <w:b w:val="0"/>
          <w:i w:val="0"/>
          <w:color w:val="000000" w:themeColor="text1"/>
          <w:sz w:val="24"/>
          <w:szCs w:val="24"/>
          <w:highlight w:val="none"/>
          <w14:textFill>
            <w14:solidFill>
              <w14:schemeClr w14:val="tx1"/>
            </w14:solidFill>
          </w14:textFill>
        </w:rPr>
        <w:br w:type="textWrapping"/>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val="0"/>
          <w:i w:val="0"/>
          <w:color w:val="000000" w:themeColor="text1"/>
          <w:sz w:val="24"/>
          <w:szCs w:val="24"/>
          <w:highlight w:val="none"/>
          <w14:textFill>
            <w14:solidFill>
              <w14:schemeClr w14:val="tx1"/>
            </w14:solidFill>
          </w14:textFill>
        </w:rPr>
        <w:t>、 项目排查要求</w:t>
      </w:r>
      <w:r>
        <w:rPr>
          <w:rFonts w:hint="eastAsia" w:ascii="仿宋" w:hAnsi="仿宋" w:eastAsia="仿宋" w:cs="仿宋"/>
          <w:b w:val="0"/>
          <w:i w:val="0"/>
          <w:color w:val="000000" w:themeColor="text1"/>
          <w:sz w:val="24"/>
          <w:szCs w:val="24"/>
          <w:highlight w:val="none"/>
          <w14:textFill>
            <w14:solidFill>
              <w14:schemeClr w14:val="tx1"/>
            </w14:solidFill>
          </w14:textFill>
        </w:rPr>
        <w:br w:type="textWrapping"/>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val="0"/>
          <w:i w:val="0"/>
          <w:color w:val="000000" w:themeColor="text1"/>
          <w:sz w:val="24"/>
          <w:szCs w:val="24"/>
          <w:highlight w:val="none"/>
          <w14:textFill>
            <w14:solidFill>
              <w14:schemeClr w14:val="tx1"/>
            </w14:solidFill>
          </w14:textFill>
        </w:rPr>
        <w:t>1.明确排查标准。根据《浙江省房屋使用安全管理条例》要求，排查人员现场检查每户房屋的安全情况，对农村房屋深入排查，对发现的疑似危房做到边排查、边建档。对涉及公共安全的、从事生产经营或公益事业活动的， 应该排查后即通知采购方或项目委托人，由房屋安全责任人委托房屋安全鉴定，做到“应鉴定、必鉴定”，切实维护公共安全。</w:t>
      </w:r>
      <w:r>
        <w:rPr>
          <w:rFonts w:hint="eastAsia" w:ascii="仿宋" w:hAnsi="仿宋" w:eastAsia="仿宋" w:cs="仿宋"/>
          <w:b w:val="0"/>
          <w:i w:val="0"/>
          <w:color w:val="000000" w:themeColor="text1"/>
          <w:sz w:val="24"/>
          <w:szCs w:val="24"/>
          <w:highlight w:val="none"/>
          <w14:textFill>
            <w14:solidFill>
              <w14:schemeClr w14:val="tx1"/>
            </w14:solidFill>
          </w14:textFill>
        </w:rPr>
        <w:br w:type="textWrapping"/>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val="0"/>
          <w:i w:val="0"/>
          <w:color w:val="000000" w:themeColor="text1"/>
          <w:sz w:val="24"/>
          <w:szCs w:val="24"/>
          <w:highlight w:val="none"/>
          <w14:textFill>
            <w14:solidFill>
              <w14:schemeClr w14:val="tx1"/>
            </w14:solidFill>
          </w14:textFill>
        </w:rPr>
        <w:t>2.注重排查质量。农村房屋建设地域广、地点分散、建设条件差、专业技术人员少，供应商要充分发挥专业技术人员和机构的优势，开展专业化排查。</w:t>
      </w:r>
      <w:r>
        <w:rPr>
          <w:rFonts w:hint="eastAsia" w:ascii="仿宋" w:hAnsi="仿宋" w:eastAsia="仿宋" w:cs="仿宋"/>
          <w:b w:val="0"/>
          <w:i w:val="0"/>
          <w:color w:val="000000" w:themeColor="text1"/>
          <w:sz w:val="24"/>
          <w:szCs w:val="24"/>
          <w:highlight w:val="none"/>
          <w14:textFill>
            <w14:solidFill>
              <w14:schemeClr w14:val="tx1"/>
            </w14:solidFill>
          </w14:textFill>
        </w:rPr>
        <w:br w:type="textWrapping"/>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val="0"/>
          <w:i w:val="0"/>
          <w:color w:val="000000" w:themeColor="text1"/>
          <w:sz w:val="24"/>
          <w:szCs w:val="24"/>
          <w:highlight w:val="none"/>
          <w14:textFill>
            <w14:solidFill>
              <w14:schemeClr w14:val="tx1"/>
            </w14:solidFill>
          </w14:textFill>
        </w:rPr>
        <w:t>3.房屋信息采集。收集整理现场采集的房屋信息，根据自建房和非自建房类别据实录入“农村房屋安全信息采集表”。</w:t>
      </w:r>
      <w:r>
        <w:rPr>
          <w:rFonts w:hint="eastAsia" w:ascii="仿宋" w:hAnsi="仿宋" w:eastAsia="仿宋" w:cs="仿宋"/>
          <w:b w:val="0"/>
          <w:i w:val="0"/>
          <w:color w:val="000000" w:themeColor="text1"/>
          <w:sz w:val="24"/>
          <w:szCs w:val="24"/>
          <w:highlight w:val="none"/>
          <w14:textFill>
            <w14:solidFill>
              <w14:schemeClr w14:val="tx1"/>
            </w14:solidFill>
          </w14:textFill>
        </w:rPr>
        <w:br w:type="textWrapping"/>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val="0"/>
          <w:i w:val="0"/>
          <w:color w:val="000000" w:themeColor="text1"/>
          <w:sz w:val="24"/>
          <w:szCs w:val="24"/>
          <w:highlight w:val="none"/>
          <w14:textFill>
            <w14:solidFill>
              <w14:schemeClr w14:val="tx1"/>
            </w14:solidFill>
          </w14:textFill>
        </w:rPr>
        <w:t>4.对排查资料进行严格保密，未经采购方同意，不得将排查信息及结果以任何形式透漏给第三方。</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24"/>
        <w:widowControl w:val="0"/>
        <w:numPr>
          <w:ilvl w:val="0"/>
          <w:numId w:val="0"/>
        </w:numPr>
        <w:adjustRightInd w:val="0"/>
        <w:spacing w:line="480" w:lineRule="exact"/>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val="0"/>
          <w:i w:val="0"/>
          <w:color w:val="000000" w:themeColor="text1"/>
          <w:sz w:val="24"/>
          <w:szCs w:val="24"/>
          <w:highlight w:val="none"/>
          <w14:textFill>
            <w14:solidFill>
              <w14:schemeClr w14:val="tx1"/>
            </w14:solidFill>
          </w14:textFill>
        </w:rPr>
        <w:t>、 人员</w:t>
      </w:r>
      <w:r>
        <w:rPr>
          <w:rFonts w:hint="eastAsia" w:ascii="仿宋" w:hAnsi="仿宋" w:eastAsia="仿宋" w:cs="仿宋"/>
          <w:b w:val="0"/>
          <w:i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i w:val="0"/>
          <w:color w:val="000000" w:themeColor="text1"/>
          <w:sz w:val="24"/>
          <w:szCs w:val="24"/>
          <w:highlight w:val="none"/>
          <w14:textFill>
            <w14:solidFill>
              <w14:schemeClr w14:val="tx1"/>
            </w14:solidFill>
          </w14:textFill>
        </w:rPr>
        <w:t>设备要求</w:t>
      </w:r>
      <w:r>
        <w:rPr>
          <w:rFonts w:hint="eastAsia" w:ascii="仿宋" w:hAnsi="仿宋" w:eastAsia="仿宋" w:cs="仿宋"/>
          <w:b w:val="0"/>
          <w:i w:val="0"/>
          <w:color w:val="000000" w:themeColor="text1"/>
          <w:sz w:val="24"/>
          <w:szCs w:val="24"/>
          <w:highlight w:val="none"/>
          <w14:textFill>
            <w14:solidFill>
              <w14:schemeClr w14:val="tx1"/>
            </w14:solidFill>
          </w14:textFill>
        </w:rPr>
        <w:br w:type="textWrapping"/>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val="0"/>
          <w:i w:val="0"/>
          <w:color w:val="000000" w:themeColor="text1"/>
          <w:sz w:val="24"/>
          <w:szCs w:val="24"/>
          <w:highlight w:val="none"/>
          <w14:textFill>
            <w14:solidFill>
              <w14:schemeClr w14:val="tx1"/>
            </w14:solidFill>
          </w14:textFill>
        </w:rPr>
        <w:t>1.供应商须根据项目实际情况配备专业技术人员、设备、交通工具，确保项目可以顺利及时地完成。</w:t>
      </w:r>
      <w:r>
        <w:rPr>
          <w:rFonts w:hint="eastAsia" w:ascii="仿宋" w:hAnsi="仿宋" w:eastAsia="仿宋" w:cs="仿宋"/>
          <w:b w:val="0"/>
          <w:i w:val="0"/>
          <w:color w:val="000000" w:themeColor="text1"/>
          <w:sz w:val="24"/>
          <w:szCs w:val="24"/>
          <w:highlight w:val="none"/>
          <w14:textFill>
            <w14:solidFill>
              <w14:schemeClr w14:val="tx1"/>
            </w14:solidFill>
          </w14:textFill>
        </w:rPr>
        <w:br w:type="textWrapping"/>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val="0"/>
          <w:i w:val="0"/>
          <w:color w:val="000000" w:themeColor="text1"/>
          <w:sz w:val="24"/>
          <w:szCs w:val="24"/>
          <w:highlight w:val="none"/>
          <w14:textFill>
            <w14:solidFill>
              <w14:schemeClr w14:val="tx1"/>
            </w14:solidFill>
          </w14:textFill>
        </w:rPr>
        <w:t>2.供应商投标时应确定项目负责人、项目组成员，所报人员未经采购人和具体项目委托人同意不得更换</w:t>
      </w:r>
      <w:r>
        <w:rPr>
          <w:rFonts w:hint="eastAsia" w:ascii="仿宋" w:hAnsi="仿宋" w:eastAsia="仿宋" w:cs="仿宋"/>
          <w:b w:val="0"/>
          <w:i w:val="0"/>
          <w:color w:val="000000" w:themeColor="text1"/>
          <w:sz w:val="24"/>
          <w:szCs w:val="24"/>
          <w:highlight w:val="none"/>
          <w14:textFill>
            <w14:solidFill>
              <w14:schemeClr w14:val="tx1"/>
            </w14:solidFill>
          </w14:textFill>
        </w:rPr>
        <w:t>；项目负责人</w:t>
      </w:r>
      <w:r>
        <w:rPr>
          <w:rFonts w:hint="eastAsia" w:ascii="仿宋" w:hAnsi="仿宋" w:eastAsia="仿宋" w:cs="仿宋"/>
          <w:b w:val="0"/>
          <w:i w:val="0"/>
          <w:color w:val="000000" w:themeColor="text1"/>
          <w:sz w:val="24"/>
          <w:szCs w:val="24"/>
          <w:highlight w:val="none"/>
          <w14:textFill>
            <w14:solidFill>
              <w14:schemeClr w14:val="tx1"/>
            </w14:solidFill>
          </w14:textFill>
        </w:rPr>
        <w:t>应具备</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贰级及以上注册</w:t>
      </w:r>
      <w:r>
        <w:rPr>
          <w:rFonts w:hint="eastAsia" w:ascii="仿宋" w:hAnsi="仿宋" w:eastAsia="仿宋" w:cs="仿宋"/>
          <w:b w:val="0"/>
          <w:i w:val="0"/>
          <w:color w:val="000000" w:themeColor="text1"/>
          <w:sz w:val="24"/>
          <w:szCs w:val="24"/>
          <w:highlight w:val="none"/>
          <w14:textFill>
            <w14:solidFill>
              <w14:schemeClr w14:val="tx1"/>
            </w14:solidFill>
          </w14:textFill>
        </w:rPr>
        <w:t>结构工程师</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资格</w:t>
      </w:r>
      <w:r>
        <w:rPr>
          <w:rFonts w:hint="eastAsia" w:ascii="仿宋" w:hAnsi="仿宋" w:eastAsia="仿宋" w:cs="仿宋"/>
          <w:b w:val="0"/>
          <w:i w:val="0"/>
          <w:color w:val="000000" w:themeColor="text1"/>
          <w:sz w:val="24"/>
          <w:szCs w:val="24"/>
          <w:highlight w:val="none"/>
          <w14:textFill>
            <w14:solidFill>
              <w14:schemeClr w14:val="tx1"/>
            </w14:solidFill>
          </w14:textFill>
        </w:rPr>
        <w:t>。</w:t>
      </w:r>
      <w:r>
        <w:rPr>
          <w:rFonts w:hint="eastAsia" w:ascii="仿宋" w:hAnsi="仿宋" w:eastAsia="仿宋" w:cs="仿宋"/>
          <w:b w:val="0"/>
          <w:i w:val="0"/>
          <w:color w:val="000000" w:themeColor="text1"/>
          <w:sz w:val="24"/>
          <w:szCs w:val="24"/>
          <w:highlight w:val="none"/>
          <w14:textFill>
            <w14:solidFill>
              <w14:schemeClr w14:val="tx1"/>
            </w14:solidFill>
          </w14:textFill>
        </w:rPr>
        <w:br w:type="textWrapping"/>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val="0"/>
          <w:i w:val="0"/>
          <w:color w:val="000000" w:themeColor="text1"/>
          <w:sz w:val="24"/>
          <w:szCs w:val="24"/>
          <w:highlight w:val="none"/>
          <w14:textFill>
            <w14:solidFill>
              <w14:schemeClr w14:val="tx1"/>
            </w14:solidFill>
          </w14:textFill>
        </w:rPr>
        <w:t>3.供应商需承担由于自身安全措施不力造成的事故责任和因此发生的费用及后果，供应商拟派项目工作人员的人身安全由供应商负责。凡在调查走访过程中发生安全责任事故或其他责任事故，均由供应商承担责任。</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val="0"/>
          <w:i w:val="0"/>
          <w:color w:val="000000" w:themeColor="text1"/>
          <w:sz w:val="24"/>
          <w:szCs w:val="24"/>
          <w:highlight w:val="none"/>
          <w14:textFill>
            <w14:solidFill>
              <w14:schemeClr w14:val="tx1"/>
            </w14:solidFill>
          </w14:textFill>
        </w:rPr>
        <w:t>、 投标报价</w:t>
      </w:r>
      <w:r>
        <w:rPr>
          <w:rFonts w:hint="eastAsia" w:ascii="仿宋" w:hAnsi="仿宋" w:eastAsia="仿宋" w:cs="仿宋"/>
          <w:b w:val="0"/>
          <w:i w:val="0"/>
          <w:color w:val="000000" w:themeColor="text1"/>
          <w:sz w:val="24"/>
          <w:szCs w:val="24"/>
          <w:highlight w:val="none"/>
          <w14:textFill>
            <w14:solidFill>
              <w14:schemeClr w14:val="tx1"/>
            </w14:solidFill>
          </w14:textFill>
        </w:rPr>
        <w:br w:type="textWrapping"/>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val="0"/>
          <w:i w:val="0"/>
          <w:color w:val="000000" w:themeColor="text1"/>
          <w:sz w:val="24"/>
          <w:szCs w:val="24"/>
          <w:highlight w:val="none"/>
          <w14:textFill>
            <w14:solidFill>
              <w14:schemeClr w14:val="tx1"/>
            </w14:solidFill>
          </w14:textFill>
        </w:rPr>
        <w:t>投标报价为完成本次采购项目的最终结算单价（ 单位：元/户） ，其组成包括但不限于人工费、资料费、管理费、办公费、交通费、车辆和设备使用折旧损耗及维护费、消耗品、税费、利润、招标代理费、政策性文件规定及合同期内的风险费用以及成果文件制作、申报、验收等一切应有费用。本项目各区块最终排查工作服务费结算价款=各区块实际排查的农村房屋户数×中标</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综合</w:t>
      </w:r>
      <w:r>
        <w:rPr>
          <w:rFonts w:hint="eastAsia" w:ascii="仿宋" w:hAnsi="仿宋" w:eastAsia="仿宋" w:cs="仿宋"/>
          <w:b w:val="0"/>
          <w:i w:val="0"/>
          <w:color w:val="000000" w:themeColor="text1"/>
          <w:sz w:val="24"/>
          <w:szCs w:val="24"/>
          <w:highlight w:val="none"/>
          <w14:textFill>
            <w14:solidFill>
              <w14:schemeClr w14:val="tx1"/>
            </w14:solidFill>
          </w14:textFill>
        </w:rPr>
        <w:t>单价。</w:t>
      </w:r>
    </w:p>
    <w:p>
      <w:pPr>
        <w:adjustRightInd w:val="0"/>
        <w:snapToGrid w:val="0"/>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b/>
          <w:bCs/>
          <w:color w:val="000000" w:themeColor="text1"/>
          <w:sz w:val="24"/>
          <w:szCs w:val="24"/>
          <w:highlight w:val="none"/>
          <w14:textFill>
            <w14:solidFill>
              <w14:schemeClr w14:val="tx1"/>
            </w14:solidFill>
          </w14:textFill>
        </w:rPr>
        <w:t>期要求</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14:textFill>
            <w14:solidFill>
              <w14:schemeClr w14:val="tx1"/>
            </w14:solidFill>
          </w14:textFill>
        </w:rPr>
        <w:t>全面排查</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鉴定</w:t>
      </w:r>
      <w:r>
        <w:rPr>
          <w:rFonts w:hint="eastAsia" w:ascii="仿宋" w:hAnsi="仿宋" w:eastAsia="仿宋" w:cs="仿宋"/>
          <w:b w:val="0"/>
          <w:bCs w:val="0"/>
          <w:color w:val="000000" w:themeColor="text1"/>
          <w:sz w:val="24"/>
          <w:szCs w:val="24"/>
          <w:highlight w:val="none"/>
          <w14:textFill>
            <w14:solidFill>
              <w14:schemeClr w14:val="tx1"/>
            </w14:solidFill>
          </w14:textFill>
        </w:rPr>
        <w:t>于202</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14:textFill>
            <w14:solidFill>
              <w14:schemeClr w14:val="tx1"/>
            </w14:solidFill>
          </w14:textFill>
        </w:rPr>
        <w:t>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b w:val="0"/>
          <w:bCs w:val="0"/>
          <w:color w:val="000000" w:themeColor="text1"/>
          <w:sz w:val="24"/>
          <w:szCs w:val="24"/>
          <w:highlight w:val="none"/>
          <w14:textFill>
            <w14:solidFill>
              <w14:schemeClr w14:val="tx1"/>
            </w14:solidFill>
          </w14:textFill>
        </w:rPr>
        <w:t>月31日前完成</w:t>
      </w:r>
    </w:p>
    <w:p>
      <w:pPr>
        <w:adjustRightInd w:val="0"/>
        <w:snapToGrid w:val="0"/>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八</w:t>
      </w:r>
      <w:r>
        <w:rPr>
          <w:rFonts w:hint="eastAsia" w:ascii="仿宋" w:hAnsi="仿宋" w:eastAsia="仿宋" w:cs="仿宋"/>
          <w:b/>
          <w:bCs/>
          <w:color w:val="000000" w:themeColor="text1"/>
          <w:sz w:val="24"/>
          <w:szCs w:val="24"/>
          <w:highlight w:val="none"/>
          <w14:textFill>
            <w14:solidFill>
              <w14:schemeClr w14:val="tx1"/>
            </w14:solidFill>
          </w14:textFill>
        </w:rPr>
        <w:t>、履约保证金</w:t>
      </w:r>
      <w:r>
        <w:rPr>
          <w:rFonts w:hint="eastAsia" w:ascii="仿宋" w:hAnsi="仿宋" w:eastAsia="仿宋" w:cs="仿宋"/>
          <w:b/>
          <w:bCs/>
          <w:color w:val="000000" w:themeColor="text1"/>
          <w:sz w:val="24"/>
          <w:szCs w:val="24"/>
          <w:highlight w:val="none"/>
          <w:lang w:eastAsia="zh-CN"/>
          <w14:textFill>
            <w14:solidFill>
              <w14:schemeClr w14:val="tx1"/>
            </w14:solidFill>
          </w14:textFill>
        </w:rPr>
        <w:t>（不超过合同金额</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p>
      <w:pPr>
        <w:adjustRightInd w:val="0"/>
        <w:snapToGrid w:val="0"/>
        <w:spacing w:line="360" w:lineRule="auto"/>
        <w:ind w:firstLine="352" w:firstLineChars="147"/>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在合同签订以后七日内，供应商向采购人缴纳中标总额</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Cs/>
          <w:color w:val="000000" w:themeColor="text1"/>
          <w:sz w:val="24"/>
          <w:szCs w:val="24"/>
          <w:highlight w:val="none"/>
          <w14:textFill>
            <w14:solidFill>
              <w14:schemeClr w14:val="tx1"/>
            </w14:solidFill>
          </w14:textFill>
        </w:rPr>
        <w:t>%的履约保证金，验收合格后退还。</w:t>
      </w:r>
    </w:p>
    <w:p>
      <w:pPr>
        <w:numPr>
          <w:ilvl w:val="0"/>
          <w:numId w:val="0"/>
        </w:numPr>
        <w:adjustRightInd w:val="0"/>
        <w:snapToGrid w:val="0"/>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八、</w:t>
      </w:r>
      <w:r>
        <w:rPr>
          <w:rFonts w:hint="eastAsia" w:ascii="仿宋" w:hAnsi="仿宋" w:eastAsia="仿宋" w:cs="仿宋"/>
          <w:b/>
          <w:bCs/>
          <w:color w:val="000000" w:themeColor="text1"/>
          <w:sz w:val="24"/>
          <w:szCs w:val="24"/>
          <w:highlight w:val="none"/>
          <w14:textFill>
            <w14:solidFill>
              <w14:schemeClr w14:val="tx1"/>
            </w14:solidFill>
          </w14:textFill>
        </w:rPr>
        <w:t>货款支付：</w:t>
      </w:r>
    </w:p>
    <w:p>
      <w:pPr>
        <w:numPr>
          <w:ilvl w:val="0"/>
          <w:numId w:val="4"/>
        </w:numPr>
        <w:adjustRightInd w:val="0"/>
        <w:snapToGrid w:val="0"/>
        <w:spacing w:line="360" w:lineRule="auto"/>
        <w:ind w:firstLine="352" w:firstLineChars="147"/>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以经塘栖镇财办根据政府采购法等相关规定审核通过的合同相应条款为准；</w:t>
      </w:r>
    </w:p>
    <w:p>
      <w:pPr>
        <w:numPr>
          <w:ilvl w:val="0"/>
          <w:numId w:val="4"/>
        </w:numPr>
        <w:adjustRightInd w:val="0"/>
        <w:snapToGrid w:val="0"/>
        <w:spacing w:line="360" w:lineRule="auto"/>
        <w:ind w:firstLine="352" w:firstLineChars="147"/>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甲方付款前，乙方必须提交符合要求的发票。</w:t>
      </w:r>
    </w:p>
    <w:p>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九、验收要求：</w:t>
      </w:r>
    </w:p>
    <w:p>
      <w:pPr>
        <w:adjustRightInd w:val="0"/>
        <w:snapToGrid w:val="0"/>
        <w:spacing w:line="360" w:lineRule="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采购人</w:t>
      </w:r>
      <w:r>
        <w:rPr>
          <w:rFonts w:hint="eastAsia" w:ascii="仿宋" w:hAnsi="仿宋" w:eastAsia="仿宋" w:cs="仿宋"/>
          <w:color w:val="000000" w:themeColor="text1"/>
          <w:kern w:val="0"/>
          <w:sz w:val="24"/>
          <w:highlight w:val="none"/>
          <w:lang w:val="en-US" w:eastAsia="zh-CN"/>
          <w14:textFill>
            <w14:solidFill>
              <w14:schemeClr w14:val="tx1"/>
            </w14:solidFill>
          </w14:textFill>
        </w:rPr>
        <w:t>委托</w:t>
      </w:r>
      <w:r>
        <w:rPr>
          <w:rFonts w:hint="eastAsia" w:ascii="仿宋" w:hAnsi="仿宋" w:eastAsia="仿宋" w:cs="仿宋"/>
          <w:color w:val="000000" w:themeColor="text1"/>
          <w:kern w:val="0"/>
          <w:sz w:val="24"/>
          <w:highlight w:val="none"/>
          <w14:textFill>
            <w14:solidFill>
              <w14:schemeClr w14:val="tx1"/>
            </w14:solidFill>
          </w14:textFill>
        </w:rPr>
        <w:t>第三方机构参与验收。参与验收的第三方机构的意见作为</w:t>
      </w:r>
      <w:r>
        <w:rPr>
          <w:rFonts w:hint="eastAsia" w:ascii="仿宋" w:hAnsi="仿宋" w:eastAsia="仿宋" w:cs="仿宋"/>
          <w:color w:val="000000" w:themeColor="text1"/>
          <w:kern w:val="0"/>
          <w:sz w:val="24"/>
          <w:highlight w:val="none"/>
          <w14:textFill>
            <w14:solidFill>
              <w14:schemeClr w14:val="tx1"/>
            </w14:solidFill>
          </w14:textFill>
        </w:rPr>
        <w:t>验收书的参考资料一并存档。</w:t>
      </w:r>
    </w:p>
    <w:p>
      <w:pPr>
        <w:adjustRightInd w:val="0"/>
        <w:snapToGrid w:val="0"/>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十、采购人认为必须说明的其他内容：</w:t>
      </w:r>
      <w:r>
        <w:rPr>
          <w:rFonts w:hint="eastAsia" w:ascii="仿宋" w:hAnsi="仿宋" w:eastAsia="仿宋" w:cs="仿宋"/>
          <w:b/>
          <w:bCs/>
          <w:color w:val="000000" w:themeColor="text1"/>
          <w:sz w:val="24"/>
          <w:highlight w:val="none"/>
          <w:lang w:val="en-US" w:eastAsia="zh-CN"/>
          <w14:textFill>
            <w14:solidFill>
              <w14:schemeClr w14:val="tx1"/>
            </w14:solidFill>
          </w14:textFill>
        </w:rPr>
        <w:t>投标人可以同时参与两个标项的投标但只能中其中一个标项，中标顺序以开标先后顺序为准，投标人如在标项1中推荐为第一中标候选人的，标项2就自动放弃中标资格，评标委员会不推荐其中标资格。</w:t>
      </w:r>
    </w:p>
    <w:p>
      <w:pPr>
        <w:pStyle w:val="618"/>
        <w:ind w:firstLine="0" w:firstLineChars="0"/>
        <w:outlineLvl w:val="0"/>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带“</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”条款为实质性条款，投标人须</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将相应内容填写至</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符合性审查资料</w:t>
      </w:r>
      <w:r>
        <w:rPr>
          <w:rFonts w:hint="eastAsia" w:ascii="仿宋" w:hAnsi="仿宋" w:eastAsia="仿宋" w:cs="仿宋"/>
          <w:b/>
          <w:bCs/>
          <w:color w:val="000000" w:themeColor="text1"/>
          <w:sz w:val="24"/>
          <w:szCs w:val="24"/>
          <w:highlight w:val="none"/>
          <w14:textFill>
            <w14:solidFill>
              <w14:schemeClr w14:val="tx1"/>
            </w14:solidFill>
          </w14:textFill>
        </w:rPr>
        <w:t>》，如有任意一条未响应或不满足，将被视为</w:t>
      </w:r>
      <w:r>
        <w:rPr>
          <w:rFonts w:hint="eastAsia" w:ascii="仿宋" w:hAnsi="仿宋" w:eastAsia="仿宋" w:cs="仿宋"/>
          <w:b/>
          <w:bCs/>
          <w:color w:val="000000" w:themeColor="text1"/>
          <w:sz w:val="24"/>
          <w:szCs w:val="24"/>
          <w:highlight w:val="none"/>
          <w:lang w:eastAsia="zh-CN"/>
          <w14:textFill>
            <w14:solidFill>
              <w14:schemeClr w14:val="tx1"/>
            </w14:solidFill>
          </w14:textFill>
        </w:rPr>
        <w:t>投标</w:t>
      </w:r>
      <w:r>
        <w:rPr>
          <w:rFonts w:hint="eastAsia" w:ascii="仿宋" w:hAnsi="仿宋" w:eastAsia="仿宋" w:cs="仿宋"/>
          <w:b/>
          <w:bCs/>
          <w:color w:val="000000" w:themeColor="text1"/>
          <w:sz w:val="24"/>
          <w:szCs w:val="24"/>
          <w:highlight w:val="none"/>
          <w14:textFill>
            <w14:solidFill>
              <w14:schemeClr w14:val="tx1"/>
            </w14:solidFill>
          </w14:textFill>
        </w:rPr>
        <w:t>无效</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p>
      <w:pPr>
        <w:spacing w:line="360" w:lineRule="auto"/>
        <w:ind w:firstLine="120" w:firstLineChars="50"/>
        <w:rPr>
          <w:rFonts w:hint="eastAsia" w:ascii="仿宋" w:hAnsi="仿宋" w:eastAsia="仿宋" w:cs="仿宋"/>
          <w:b/>
          <w:color w:val="000000" w:themeColor="text1"/>
          <w:sz w:val="24"/>
          <w:szCs w:val="24"/>
          <w:highlight w:val="none"/>
          <w14:textFill>
            <w14:solidFill>
              <w14:schemeClr w14:val="tx1"/>
            </w14:solidFill>
          </w14:textFill>
        </w:rPr>
      </w:pP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pPr>
        <w:pStyle w:val="24"/>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r>
        <w:rPr>
          <w:rFonts w:hint="eastAsia" w:ascii="仿宋" w:hAnsi="仿宋" w:eastAsia="仿宋" w:cs="仿宋"/>
          <w:b/>
          <w:color w:val="000000" w:themeColor="text1"/>
          <w:sz w:val="36"/>
          <w:szCs w:val="36"/>
          <w:highlight w:val="none"/>
          <w14:textFill>
            <w14:solidFill>
              <w14:schemeClr w14:val="tx1"/>
            </w14:solidFill>
          </w14:textFill>
        </w:rPr>
        <w:t>第四部分</w:t>
      </w:r>
      <w:r>
        <w:rPr>
          <w:rFonts w:hint="eastAsia" w:ascii="仿宋" w:hAnsi="仿宋" w:eastAsia="仿宋" w:cs="仿宋"/>
          <w:b/>
          <w:color w:val="000000" w:themeColor="text1"/>
          <w:sz w:val="36"/>
          <w:szCs w:val="36"/>
          <w:highlight w:val="none"/>
          <w14:textFill>
            <w14:solidFill>
              <w14:schemeClr w14:val="tx1"/>
            </w14:solidFill>
          </w14:textFill>
        </w:rPr>
        <w:t xml:space="preserve">   </w:t>
      </w:r>
      <w:bookmarkStart w:id="27" w:name="_Toc184312072"/>
      <w:bookmarkEnd w:id="27"/>
      <w:bookmarkStart w:id="28" w:name="_Toc184310339"/>
      <w:bookmarkEnd w:id="28"/>
      <w:bookmarkStart w:id="29" w:name="_Toc184314411"/>
      <w:bookmarkEnd w:id="29"/>
      <w:bookmarkStart w:id="30" w:name="_Toc184312073"/>
      <w:bookmarkEnd w:id="30"/>
      <w:bookmarkStart w:id="31" w:name="_Toc184313246"/>
      <w:bookmarkEnd w:id="31"/>
      <w:bookmarkStart w:id="32" w:name="_Toc184314418"/>
      <w:bookmarkEnd w:id="32"/>
      <w:bookmarkStart w:id="33" w:name="_Toc184310290"/>
      <w:bookmarkEnd w:id="33"/>
      <w:bookmarkStart w:id="34" w:name="_Toc184314474"/>
      <w:bookmarkEnd w:id="34"/>
      <w:bookmarkStart w:id="35" w:name="_Toc184308038"/>
      <w:bookmarkEnd w:id="35"/>
      <w:bookmarkStart w:id="36" w:name="_Toc184313260"/>
      <w:bookmarkEnd w:id="36"/>
      <w:bookmarkStart w:id="37" w:name="_Toc184308105"/>
      <w:bookmarkEnd w:id="37"/>
      <w:bookmarkStart w:id="38" w:name="_Toc184308043"/>
      <w:bookmarkEnd w:id="38"/>
      <w:bookmarkStart w:id="39" w:name="_Toc184308104"/>
      <w:bookmarkEnd w:id="39"/>
      <w:bookmarkStart w:id="40" w:name="_Toc184310274"/>
      <w:bookmarkEnd w:id="40"/>
      <w:bookmarkStart w:id="41" w:name="_Toc184310335"/>
      <w:bookmarkEnd w:id="41"/>
      <w:bookmarkStart w:id="42" w:name="_Toc184314417"/>
      <w:bookmarkEnd w:id="42"/>
      <w:bookmarkStart w:id="43" w:name="_Toc184310342"/>
      <w:bookmarkEnd w:id="43"/>
      <w:bookmarkStart w:id="44" w:name="_Toc184310279"/>
      <w:bookmarkEnd w:id="44"/>
      <w:bookmarkStart w:id="45" w:name="_Toc184313244"/>
      <w:bookmarkEnd w:id="45"/>
      <w:bookmarkStart w:id="46" w:name="_Toc184314416"/>
      <w:bookmarkEnd w:id="46"/>
      <w:bookmarkStart w:id="47" w:name="_Toc184310312"/>
      <w:bookmarkEnd w:id="47"/>
      <w:bookmarkStart w:id="48" w:name="_Toc184310316"/>
      <w:bookmarkEnd w:id="48"/>
      <w:bookmarkStart w:id="49" w:name="_Toc184308044"/>
      <w:bookmarkEnd w:id="49"/>
      <w:bookmarkStart w:id="50" w:name="_Toc184312076"/>
      <w:bookmarkEnd w:id="50"/>
      <w:bookmarkStart w:id="51" w:name="_Toc184310272"/>
      <w:bookmarkEnd w:id="51"/>
      <w:bookmarkStart w:id="52" w:name="_Toc184314415"/>
      <w:bookmarkEnd w:id="52"/>
      <w:bookmarkStart w:id="53" w:name="_Toc184308041"/>
      <w:bookmarkEnd w:id="53"/>
      <w:bookmarkStart w:id="54" w:name="_Toc184312111"/>
      <w:bookmarkEnd w:id="54"/>
      <w:bookmarkStart w:id="55" w:name="_Toc184314414"/>
      <w:bookmarkEnd w:id="55"/>
      <w:bookmarkStart w:id="56" w:name="_Toc184310280"/>
      <w:bookmarkEnd w:id="56"/>
      <w:bookmarkStart w:id="57" w:name="_Toc184314472"/>
      <w:bookmarkEnd w:id="57"/>
      <w:bookmarkStart w:id="58" w:name="_Toc184312077"/>
      <w:bookmarkEnd w:id="58"/>
      <w:bookmarkStart w:id="59" w:name="_Toc184310318"/>
      <w:bookmarkEnd w:id="59"/>
      <w:bookmarkStart w:id="60" w:name="_Toc184312074"/>
      <w:bookmarkEnd w:id="60"/>
      <w:bookmarkStart w:id="61" w:name="_Toc184312075"/>
      <w:bookmarkEnd w:id="61"/>
      <w:bookmarkStart w:id="62" w:name="_Toc184313245"/>
      <w:bookmarkEnd w:id="62"/>
      <w:bookmarkStart w:id="63" w:name="_Toc184313282"/>
      <w:bookmarkEnd w:id="63"/>
      <w:bookmarkStart w:id="64" w:name="_Toc184310276"/>
      <w:bookmarkEnd w:id="64"/>
      <w:bookmarkStart w:id="65" w:name="_Toc184314448"/>
      <w:bookmarkEnd w:id="65"/>
      <w:bookmarkStart w:id="66" w:name="_Toc184310278"/>
      <w:bookmarkEnd w:id="66"/>
      <w:bookmarkStart w:id="67" w:name="_Toc184310344"/>
      <w:bookmarkEnd w:id="67"/>
      <w:bookmarkStart w:id="68" w:name="_Toc184314433"/>
      <w:bookmarkEnd w:id="68"/>
      <w:bookmarkStart w:id="69" w:name="_Toc184312092"/>
      <w:bookmarkEnd w:id="69"/>
      <w:bookmarkStart w:id="70" w:name="_Toc184308075"/>
      <w:bookmarkEnd w:id="70"/>
      <w:bookmarkStart w:id="71" w:name="_Toc184312082"/>
      <w:bookmarkEnd w:id="71"/>
      <w:bookmarkStart w:id="72" w:name="_Toc184308042"/>
      <w:bookmarkEnd w:id="72"/>
      <w:bookmarkStart w:id="73" w:name="_Toc184308059"/>
      <w:bookmarkEnd w:id="73"/>
      <w:bookmarkStart w:id="74" w:name="_Toc184314425"/>
      <w:bookmarkEnd w:id="74"/>
      <w:bookmarkStart w:id="75" w:name="_Toc184313261"/>
      <w:bookmarkEnd w:id="75"/>
      <w:bookmarkStart w:id="76" w:name="_Toc184308106"/>
      <w:bookmarkEnd w:id="76"/>
      <w:bookmarkStart w:id="77" w:name="_Toc184310277"/>
      <w:bookmarkEnd w:id="77"/>
      <w:bookmarkStart w:id="78" w:name="_Toc184308060"/>
      <w:bookmarkEnd w:id="78"/>
      <w:bookmarkStart w:id="79" w:name="_Toc184308062"/>
      <w:bookmarkEnd w:id="79"/>
      <w:bookmarkStart w:id="80" w:name="_Toc184313276"/>
      <w:bookmarkEnd w:id="80"/>
      <w:bookmarkStart w:id="81" w:name="_Toc184314477"/>
      <w:bookmarkEnd w:id="81"/>
      <w:bookmarkStart w:id="82" w:name="_Toc184310332"/>
      <w:bookmarkEnd w:id="82"/>
      <w:bookmarkStart w:id="83" w:name="_Toc184310287"/>
      <w:bookmarkEnd w:id="83"/>
      <w:bookmarkStart w:id="84" w:name="_Toc184310295"/>
      <w:bookmarkEnd w:id="84"/>
      <w:bookmarkStart w:id="85" w:name="_Toc184314471"/>
      <w:bookmarkEnd w:id="85"/>
      <w:bookmarkStart w:id="86" w:name="_Toc184308080"/>
      <w:bookmarkEnd w:id="86"/>
      <w:bookmarkStart w:id="87" w:name="_Toc184308096"/>
      <w:bookmarkEnd w:id="87"/>
      <w:bookmarkStart w:id="88" w:name="_Toc184308050"/>
      <w:bookmarkEnd w:id="88"/>
      <w:bookmarkStart w:id="89" w:name="_Toc184313309"/>
      <w:bookmarkEnd w:id="89"/>
      <w:bookmarkStart w:id="90" w:name="_Toc184308045"/>
      <w:bookmarkEnd w:id="90"/>
      <w:bookmarkStart w:id="91" w:name="_Toc184313284"/>
      <w:bookmarkEnd w:id="91"/>
      <w:bookmarkStart w:id="92" w:name="_Toc184312110"/>
      <w:bookmarkEnd w:id="92"/>
      <w:bookmarkStart w:id="93" w:name="_Toc184312089"/>
      <w:bookmarkEnd w:id="93"/>
      <w:bookmarkStart w:id="94" w:name="_Toc184313265"/>
      <w:bookmarkEnd w:id="94"/>
      <w:bookmarkStart w:id="95" w:name="_Toc184312125"/>
      <w:bookmarkEnd w:id="95"/>
      <w:bookmarkStart w:id="96" w:name="_Toc184310320"/>
      <w:bookmarkEnd w:id="96"/>
      <w:bookmarkStart w:id="97" w:name="_Toc184313243"/>
      <w:bookmarkEnd w:id="97"/>
      <w:bookmarkStart w:id="98" w:name="_Toc184313278"/>
      <w:bookmarkEnd w:id="98"/>
      <w:bookmarkStart w:id="99" w:name="_Toc184314435"/>
      <w:bookmarkEnd w:id="99"/>
      <w:bookmarkStart w:id="100" w:name="_Toc184310294"/>
      <w:bookmarkEnd w:id="100"/>
      <w:bookmarkStart w:id="101" w:name="_Toc184314437"/>
      <w:bookmarkEnd w:id="101"/>
      <w:bookmarkStart w:id="102" w:name="_Toc184308073"/>
      <w:bookmarkEnd w:id="102"/>
      <w:bookmarkStart w:id="103" w:name="_Toc184314424"/>
      <w:bookmarkEnd w:id="103"/>
      <w:bookmarkStart w:id="104" w:name="_Toc184310304"/>
      <w:bookmarkEnd w:id="104"/>
      <w:bookmarkStart w:id="105" w:name="_Toc184310321"/>
      <w:bookmarkEnd w:id="105"/>
      <w:bookmarkStart w:id="106" w:name="_Toc184314427"/>
      <w:bookmarkEnd w:id="106"/>
      <w:bookmarkStart w:id="107" w:name="_Toc184313290"/>
      <w:bookmarkEnd w:id="107"/>
      <w:bookmarkStart w:id="108" w:name="_Toc184312090"/>
      <w:bookmarkEnd w:id="108"/>
      <w:bookmarkStart w:id="109" w:name="_Toc184313296"/>
      <w:bookmarkEnd w:id="109"/>
      <w:bookmarkStart w:id="110" w:name="_Toc184313300"/>
      <w:bookmarkEnd w:id="110"/>
      <w:bookmarkStart w:id="111" w:name="_Toc184308036"/>
      <w:bookmarkEnd w:id="111"/>
      <w:bookmarkStart w:id="112" w:name="_Toc184314412"/>
      <w:bookmarkEnd w:id="112"/>
      <w:bookmarkStart w:id="113" w:name="_Toc184308098"/>
      <w:bookmarkEnd w:id="113"/>
      <w:bookmarkStart w:id="114" w:name="_Toc184313305"/>
      <w:bookmarkEnd w:id="114"/>
      <w:bookmarkStart w:id="115" w:name="_Toc184312129"/>
      <w:bookmarkEnd w:id="115"/>
      <w:bookmarkStart w:id="116" w:name="_Toc184308097"/>
      <w:bookmarkEnd w:id="116"/>
      <w:bookmarkStart w:id="117" w:name="_Toc184312134"/>
      <w:bookmarkEnd w:id="117"/>
      <w:bookmarkStart w:id="118" w:name="_Toc184308103"/>
      <w:bookmarkEnd w:id="118"/>
      <w:bookmarkStart w:id="119" w:name="_Toc184313304"/>
      <w:bookmarkEnd w:id="119"/>
      <w:bookmarkStart w:id="120" w:name="_Toc184314468"/>
      <w:bookmarkEnd w:id="120"/>
      <w:bookmarkStart w:id="121" w:name="_Toc184314469"/>
      <w:bookmarkEnd w:id="121"/>
      <w:bookmarkStart w:id="122" w:name="_Toc184308068"/>
      <w:bookmarkEnd w:id="122"/>
      <w:bookmarkStart w:id="123" w:name="_Toc184312091"/>
      <w:bookmarkEnd w:id="123"/>
      <w:bookmarkStart w:id="124" w:name="_Toc184308046"/>
      <w:bookmarkEnd w:id="124"/>
      <w:bookmarkStart w:id="125" w:name="_Toc184312130"/>
      <w:bookmarkEnd w:id="125"/>
      <w:bookmarkStart w:id="126" w:name="_Toc184312132"/>
      <w:bookmarkEnd w:id="126"/>
      <w:bookmarkStart w:id="127" w:name="_Toc184313299"/>
      <w:bookmarkEnd w:id="127"/>
      <w:bookmarkStart w:id="128" w:name="_Toc184314470"/>
      <w:bookmarkEnd w:id="128"/>
      <w:bookmarkStart w:id="129" w:name="_Toc184313285"/>
      <w:bookmarkEnd w:id="129"/>
      <w:bookmarkStart w:id="130" w:name="_Toc184310340"/>
      <w:bookmarkEnd w:id="130"/>
      <w:bookmarkStart w:id="131" w:name="_Toc184308076"/>
      <w:bookmarkEnd w:id="131"/>
      <w:bookmarkStart w:id="132" w:name="_Toc184312109"/>
      <w:bookmarkEnd w:id="132"/>
      <w:bookmarkStart w:id="133" w:name="_Toc184310330"/>
      <w:bookmarkEnd w:id="133"/>
      <w:bookmarkStart w:id="134" w:name="_Toc184314481"/>
      <w:bookmarkEnd w:id="134"/>
      <w:bookmarkStart w:id="135" w:name="_Toc184312128"/>
      <w:bookmarkEnd w:id="135"/>
      <w:bookmarkStart w:id="136" w:name="_Toc184312122"/>
      <w:bookmarkEnd w:id="136"/>
      <w:bookmarkStart w:id="137" w:name="_Toc184310329"/>
      <w:bookmarkEnd w:id="137"/>
      <w:bookmarkStart w:id="138" w:name="_Toc184308037"/>
      <w:bookmarkEnd w:id="138"/>
      <w:bookmarkStart w:id="139" w:name="_Toc184310334"/>
      <w:bookmarkEnd w:id="139"/>
      <w:bookmarkStart w:id="140" w:name="_Toc184314452"/>
      <w:bookmarkEnd w:id="140"/>
      <w:bookmarkStart w:id="141" w:name="_Toc184308092"/>
      <w:bookmarkEnd w:id="141"/>
      <w:bookmarkStart w:id="142" w:name="_Toc184308099"/>
      <w:bookmarkEnd w:id="142"/>
      <w:bookmarkStart w:id="143" w:name="_Toc184313297"/>
      <w:bookmarkEnd w:id="143"/>
      <w:bookmarkStart w:id="144" w:name="_Toc184313286"/>
      <w:bookmarkEnd w:id="144"/>
      <w:bookmarkStart w:id="145" w:name="_Toc184310338"/>
      <w:bookmarkEnd w:id="145"/>
      <w:bookmarkStart w:id="146" w:name="_Toc184312133"/>
      <w:bookmarkEnd w:id="146"/>
      <w:bookmarkStart w:id="147" w:name="_Toc184308095"/>
      <w:bookmarkEnd w:id="147"/>
      <w:bookmarkStart w:id="148" w:name="_Toc184308089"/>
      <w:bookmarkEnd w:id="148"/>
      <w:bookmarkStart w:id="149" w:name="_Toc184313288"/>
      <w:bookmarkEnd w:id="149"/>
      <w:bookmarkStart w:id="150" w:name="_Toc184308090"/>
      <w:bookmarkEnd w:id="150"/>
      <w:bookmarkStart w:id="151" w:name="_Toc184312120"/>
      <w:bookmarkEnd w:id="151"/>
      <w:bookmarkStart w:id="152" w:name="_Toc184310326"/>
      <w:bookmarkEnd w:id="152"/>
      <w:bookmarkStart w:id="153" w:name="_Toc184313294"/>
      <w:bookmarkEnd w:id="153"/>
      <w:bookmarkStart w:id="154" w:name="_Toc184314457"/>
      <w:bookmarkEnd w:id="154"/>
      <w:bookmarkStart w:id="155" w:name="_Toc184310331"/>
      <w:bookmarkEnd w:id="155"/>
      <w:bookmarkStart w:id="156" w:name="_Toc184308091"/>
      <w:bookmarkEnd w:id="156"/>
      <w:bookmarkStart w:id="157" w:name="_Toc184314463"/>
      <w:bookmarkEnd w:id="157"/>
      <w:bookmarkStart w:id="158" w:name="_Toc184308094"/>
      <w:bookmarkEnd w:id="158"/>
      <w:bookmarkStart w:id="159" w:name="_Toc184312127"/>
      <w:bookmarkEnd w:id="159"/>
      <w:bookmarkStart w:id="160" w:name="_Toc184310333"/>
      <w:bookmarkEnd w:id="160"/>
      <w:bookmarkStart w:id="161" w:name="_Toc184314467"/>
      <w:bookmarkEnd w:id="161"/>
      <w:bookmarkStart w:id="162" w:name="_Toc184312121"/>
      <w:bookmarkEnd w:id="162"/>
      <w:bookmarkStart w:id="163" w:name="_Toc184312107"/>
      <w:bookmarkEnd w:id="163"/>
      <w:bookmarkStart w:id="164" w:name="_Toc184312123"/>
      <w:bookmarkEnd w:id="164"/>
      <w:bookmarkStart w:id="165" w:name="_Toc184314466"/>
      <w:bookmarkEnd w:id="165"/>
      <w:bookmarkStart w:id="166" w:name="_Toc184314476"/>
      <w:bookmarkEnd w:id="166"/>
      <w:bookmarkStart w:id="167" w:name="_Toc184313298"/>
      <w:bookmarkEnd w:id="167"/>
      <w:bookmarkStart w:id="168" w:name="_Toc184308088"/>
      <w:bookmarkEnd w:id="168"/>
      <w:bookmarkStart w:id="169" w:name="_Toc184310325"/>
      <w:bookmarkEnd w:id="169"/>
      <w:bookmarkStart w:id="170" w:name="_Toc184312114"/>
      <w:bookmarkEnd w:id="170"/>
      <w:bookmarkStart w:id="171" w:name="_Toc184313248"/>
      <w:bookmarkEnd w:id="171"/>
      <w:bookmarkStart w:id="172" w:name="_Toc184312137"/>
      <w:bookmarkEnd w:id="172"/>
      <w:bookmarkStart w:id="173" w:name="_Toc184313241"/>
      <w:bookmarkEnd w:id="173"/>
      <w:bookmarkStart w:id="174" w:name="_Toc184308085"/>
      <w:bookmarkEnd w:id="174"/>
      <w:bookmarkStart w:id="175" w:name="_Toc184308093"/>
      <w:bookmarkEnd w:id="175"/>
      <w:bookmarkStart w:id="176" w:name="_Toc184308087"/>
      <w:bookmarkEnd w:id="176"/>
      <w:bookmarkStart w:id="177" w:name="_Toc184313250"/>
      <w:bookmarkEnd w:id="177"/>
      <w:bookmarkStart w:id="178" w:name="_Toc184308077"/>
      <w:bookmarkEnd w:id="178"/>
      <w:bookmarkStart w:id="179" w:name="_Toc184312105"/>
      <w:bookmarkEnd w:id="179"/>
      <w:bookmarkStart w:id="180" w:name="_Toc184314422"/>
      <w:bookmarkEnd w:id="180"/>
      <w:bookmarkStart w:id="181" w:name="_Toc184310313"/>
      <w:bookmarkEnd w:id="181"/>
      <w:bookmarkStart w:id="182" w:name="_Toc184314464"/>
      <w:bookmarkEnd w:id="182"/>
      <w:bookmarkStart w:id="183" w:name="_Toc184310327"/>
      <w:bookmarkEnd w:id="183"/>
      <w:bookmarkStart w:id="184" w:name="_Toc184314423"/>
      <w:bookmarkEnd w:id="184"/>
      <w:bookmarkStart w:id="185" w:name="_Toc184314480"/>
      <w:bookmarkEnd w:id="185"/>
      <w:bookmarkStart w:id="186" w:name="_Toc184314461"/>
      <w:bookmarkEnd w:id="186"/>
      <w:bookmarkStart w:id="187" w:name="_Toc184314479"/>
      <w:bookmarkEnd w:id="187"/>
      <w:bookmarkStart w:id="188" w:name="_Toc184313301"/>
      <w:bookmarkEnd w:id="188"/>
      <w:bookmarkStart w:id="189" w:name="_Toc184312093"/>
      <w:bookmarkEnd w:id="189"/>
      <w:bookmarkStart w:id="190" w:name="_Toc184314462"/>
      <w:bookmarkEnd w:id="190"/>
      <w:bookmarkStart w:id="191" w:name="_Toc184308063"/>
      <w:bookmarkEnd w:id="191"/>
      <w:bookmarkStart w:id="192" w:name="_Toc184312071"/>
      <w:bookmarkEnd w:id="192"/>
      <w:bookmarkStart w:id="193" w:name="_Toc184314451"/>
      <w:bookmarkEnd w:id="193"/>
      <w:bookmarkStart w:id="194" w:name="_Toc184310286"/>
      <w:bookmarkEnd w:id="194"/>
      <w:bookmarkStart w:id="195" w:name="_Toc184313252"/>
      <w:bookmarkEnd w:id="195"/>
      <w:bookmarkStart w:id="196" w:name="_Toc184310324"/>
      <w:bookmarkEnd w:id="196"/>
      <w:bookmarkStart w:id="197" w:name="_Toc184312080"/>
      <w:bookmarkEnd w:id="197"/>
      <w:bookmarkStart w:id="198" w:name="_Toc184314465"/>
      <w:bookmarkEnd w:id="198"/>
      <w:bookmarkStart w:id="199" w:name="_Toc184313242"/>
      <w:bookmarkEnd w:id="199"/>
      <w:bookmarkStart w:id="200" w:name="_Toc184312108"/>
      <w:bookmarkEnd w:id="200"/>
      <w:bookmarkStart w:id="201" w:name="_Toc184312119"/>
      <w:bookmarkEnd w:id="201"/>
      <w:bookmarkStart w:id="202" w:name="_Toc184313302"/>
      <w:bookmarkEnd w:id="202"/>
      <w:bookmarkStart w:id="203" w:name="_Toc184308102"/>
      <w:bookmarkEnd w:id="203"/>
      <w:bookmarkStart w:id="204" w:name="_Toc184313289"/>
      <w:bookmarkEnd w:id="204"/>
      <w:bookmarkStart w:id="205" w:name="_Toc184312124"/>
      <w:bookmarkEnd w:id="205"/>
      <w:bookmarkStart w:id="206" w:name="_Toc184312118"/>
      <w:bookmarkEnd w:id="206"/>
      <w:bookmarkStart w:id="207" w:name="_Toc184312113"/>
      <w:bookmarkEnd w:id="207"/>
      <w:bookmarkStart w:id="208" w:name="_Toc184314456"/>
      <w:bookmarkEnd w:id="208"/>
      <w:bookmarkStart w:id="209" w:name="_Toc184314419"/>
      <w:bookmarkEnd w:id="209"/>
      <w:bookmarkStart w:id="210" w:name="_Toc184312136"/>
      <w:bookmarkEnd w:id="210"/>
      <w:bookmarkStart w:id="211" w:name="_Toc184314436"/>
      <w:bookmarkEnd w:id="211"/>
      <w:bookmarkStart w:id="212" w:name="_Toc184308072"/>
      <w:bookmarkEnd w:id="212"/>
      <w:bookmarkStart w:id="213" w:name="_Toc184310309"/>
      <w:bookmarkEnd w:id="213"/>
      <w:bookmarkStart w:id="214" w:name="_Toc184312126"/>
      <w:bookmarkEnd w:id="214"/>
      <w:bookmarkStart w:id="215" w:name="_Toc184313293"/>
      <w:bookmarkEnd w:id="215"/>
      <w:bookmarkStart w:id="216" w:name="_Toc184308051"/>
      <w:bookmarkEnd w:id="216"/>
      <w:bookmarkStart w:id="217" w:name="_Toc184308107"/>
      <w:bookmarkEnd w:id="217"/>
      <w:bookmarkStart w:id="218" w:name="_Toc184310307"/>
      <w:bookmarkEnd w:id="218"/>
      <w:bookmarkStart w:id="219" w:name="_Toc184313310"/>
      <w:bookmarkEnd w:id="219"/>
      <w:bookmarkStart w:id="220" w:name="_Toc184314421"/>
      <w:bookmarkEnd w:id="220"/>
      <w:bookmarkStart w:id="221" w:name="_Toc184312138"/>
      <w:bookmarkEnd w:id="221"/>
      <w:bookmarkStart w:id="222" w:name="_Toc184314460"/>
      <w:bookmarkEnd w:id="222"/>
      <w:bookmarkStart w:id="223" w:name="_Toc184310319"/>
      <w:bookmarkEnd w:id="223"/>
      <w:bookmarkStart w:id="224" w:name="_Toc184313274"/>
      <w:bookmarkEnd w:id="224"/>
      <w:bookmarkStart w:id="225" w:name="_Toc184310328"/>
      <w:bookmarkEnd w:id="225"/>
      <w:bookmarkStart w:id="226" w:name="_Toc184310323"/>
      <w:bookmarkEnd w:id="226"/>
      <w:bookmarkStart w:id="227" w:name="_Toc184312104"/>
      <w:bookmarkEnd w:id="227"/>
      <w:bookmarkStart w:id="228" w:name="_Toc184308086"/>
      <w:bookmarkEnd w:id="228"/>
      <w:bookmarkStart w:id="229" w:name="_Toc184313295"/>
      <w:bookmarkEnd w:id="229"/>
      <w:bookmarkStart w:id="230" w:name="_Toc184312099"/>
      <w:bookmarkEnd w:id="230"/>
      <w:bookmarkStart w:id="231" w:name="_Toc184314444"/>
      <w:bookmarkEnd w:id="231"/>
      <w:bookmarkStart w:id="232" w:name="_Toc184314482"/>
      <w:bookmarkEnd w:id="232"/>
      <w:bookmarkStart w:id="233" w:name="_Toc184310284"/>
      <w:bookmarkEnd w:id="233"/>
      <w:bookmarkStart w:id="234" w:name="_Toc184308079"/>
      <w:bookmarkEnd w:id="234"/>
      <w:bookmarkStart w:id="235" w:name="_Toc184312079"/>
      <w:bookmarkEnd w:id="235"/>
      <w:bookmarkStart w:id="236" w:name="_Toc184312139"/>
      <w:bookmarkEnd w:id="236"/>
      <w:bookmarkStart w:id="237" w:name="_Toc184308108"/>
      <w:bookmarkEnd w:id="237"/>
      <w:bookmarkStart w:id="238" w:name="_Toc184312096"/>
      <w:bookmarkEnd w:id="238"/>
      <w:bookmarkStart w:id="239" w:name="_Toc184314420"/>
      <w:bookmarkEnd w:id="239"/>
      <w:bookmarkStart w:id="240" w:name="_Toc184308100"/>
      <w:bookmarkEnd w:id="240"/>
      <w:bookmarkStart w:id="241" w:name="_Toc184312102"/>
      <w:bookmarkEnd w:id="241"/>
      <w:bookmarkStart w:id="242" w:name="_Toc184310283"/>
      <w:bookmarkEnd w:id="242"/>
      <w:bookmarkStart w:id="243" w:name="_Toc184313238"/>
      <w:bookmarkEnd w:id="243"/>
      <w:bookmarkStart w:id="244" w:name="_Toc184314445"/>
      <w:bookmarkEnd w:id="244"/>
      <w:bookmarkStart w:id="245" w:name="_Toc184313308"/>
      <w:bookmarkEnd w:id="245"/>
      <w:bookmarkStart w:id="246" w:name="_Toc184310306"/>
      <w:bookmarkEnd w:id="246"/>
      <w:bookmarkStart w:id="247" w:name="_Toc184310337"/>
      <w:bookmarkEnd w:id="247"/>
      <w:bookmarkStart w:id="248" w:name="_Toc184308084"/>
      <w:bookmarkEnd w:id="248"/>
      <w:bookmarkStart w:id="249" w:name="_Toc184313249"/>
      <w:bookmarkEnd w:id="249"/>
      <w:bookmarkStart w:id="250" w:name="_Toc184314442"/>
      <w:bookmarkEnd w:id="250"/>
      <w:bookmarkStart w:id="251" w:name="_Toc184313239"/>
      <w:bookmarkEnd w:id="251"/>
      <w:bookmarkStart w:id="252" w:name="_Toc184313247"/>
      <w:bookmarkEnd w:id="252"/>
      <w:bookmarkStart w:id="253" w:name="_Toc184314441"/>
      <w:bookmarkEnd w:id="253"/>
      <w:bookmarkStart w:id="254" w:name="_Toc184314410"/>
      <w:bookmarkEnd w:id="254"/>
      <w:bookmarkStart w:id="255" w:name="_Toc184313279"/>
      <w:bookmarkEnd w:id="255"/>
      <w:bookmarkStart w:id="256" w:name="_Toc184312131"/>
      <w:bookmarkEnd w:id="256"/>
      <w:bookmarkStart w:id="257" w:name="_Toc184310285"/>
      <w:bookmarkEnd w:id="257"/>
      <w:bookmarkStart w:id="258" w:name="_Toc184314453"/>
      <w:bookmarkEnd w:id="258"/>
      <w:bookmarkStart w:id="259" w:name="_Toc184314440"/>
      <w:bookmarkEnd w:id="259"/>
      <w:bookmarkStart w:id="260" w:name="_Toc184313272"/>
      <w:bookmarkEnd w:id="260"/>
      <w:bookmarkStart w:id="261" w:name="_Toc184310303"/>
      <w:bookmarkEnd w:id="261"/>
      <w:bookmarkStart w:id="262" w:name="_Toc184308048"/>
      <w:bookmarkEnd w:id="262"/>
      <w:bookmarkStart w:id="263" w:name="_Toc184313291"/>
      <w:bookmarkEnd w:id="263"/>
      <w:bookmarkStart w:id="264" w:name="_Toc184308071"/>
      <w:bookmarkEnd w:id="264"/>
      <w:bookmarkStart w:id="265" w:name="_Toc184308070"/>
      <w:bookmarkEnd w:id="265"/>
      <w:bookmarkStart w:id="266" w:name="_Toc184310343"/>
      <w:bookmarkEnd w:id="266"/>
      <w:bookmarkStart w:id="267" w:name="_Toc184310311"/>
      <w:bookmarkEnd w:id="267"/>
      <w:bookmarkStart w:id="268" w:name="_Toc184313264"/>
      <w:bookmarkEnd w:id="268"/>
      <w:bookmarkStart w:id="269" w:name="_Toc184312078"/>
      <w:bookmarkEnd w:id="269"/>
      <w:bookmarkStart w:id="270" w:name="_Toc184308083"/>
      <w:bookmarkEnd w:id="270"/>
      <w:bookmarkStart w:id="271" w:name="_Toc184312081"/>
      <w:bookmarkEnd w:id="271"/>
      <w:bookmarkStart w:id="272" w:name="_Toc184313270"/>
      <w:bookmarkEnd w:id="272"/>
      <w:bookmarkStart w:id="273" w:name="_Toc184312101"/>
      <w:bookmarkEnd w:id="273"/>
      <w:bookmarkStart w:id="274" w:name="_Toc184313258"/>
      <w:bookmarkEnd w:id="274"/>
      <w:bookmarkStart w:id="275" w:name="_Toc184313255"/>
      <w:bookmarkEnd w:id="275"/>
      <w:bookmarkStart w:id="276" w:name="_Toc184313240"/>
      <w:bookmarkEnd w:id="276"/>
      <w:bookmarkStart w:id="277" w:name="_Toc184314439"/>
      <w:bookmarkEnd w:id="277"/>
      <w:bookmarkStart w:id="278" w:name="_Toc184313268"/>
      <w:bookmarkEnd w:id="278"/>
      <w:bookmarkStart w:id="279" w:name="_Toc184310305"/>
      <w:bookmarkEnd w:id="279"/>
      <w:bookmarkStart w:id="280" w:name="_Toc184313283"/>
      <w:bookmarkEnd w:id="280"/>
      <w:bookmarkStart w:id="281" w:name="_Toc184308069"/>
      <w:bookmarkEnd w:id="281"/>
      <w:bookmarkStart w:id="282" w:name="_Toc184310300"/>
      <w:bookmarkEnd w:id="282"/>
      <w:bookmarkStart w:id="283" w:name="_Toc184308082"/>
      <w:bookmarkEnd w:id="283"/>
      <w:bookmarkStart w:id="284" w:name="_Toc184308078"/>
      <w:bookmarkEnd w:id="284"/>
      <w:bookmarkStart w:id="285" w:name="_Toc184313281"/>
      <w:bookmarkEnd w:id="285"/>
      <w:bookmarkStart w:id="286" w:name="_Toc184310308"/>
      <w:bookmarkEnd w:id="286"/>
      <w:bookmarkStart w:id="287" w:name="_Toc184313269"/>
      <w:bookmarkEnd w:id="287"/>
      <w:bookmarkStart w:id="288" w:name="_Toc184313271"/>
      <w:bookmarkEnd w:id="288"/>
      <w:bookmarkStart w:id="289" w:name="_Toc184310310"/>
      <w:bookmarkEnd w:id="289"/>
      <w:bookmarkStart w:id="290" w:name="_Toc184310293"/>
      <w:bookmarkEnd w:id="290"/>
      <w:bookmarkStart w:id="291" w:name="_Toc184314426"/>
      <w:bookmarkEnd w:id="291"/>
      <w:bookmarkStart w:id="292" w:name="_Toc184313257"/>
      <w:bookmarkEnd w:id="292"/>
      <w:bookmarkStart w:id="293" w:name="_Toc184313267"/>
      <w:bookmarkEnd w:id="293"/>
      <w:bookmarkStart w:id="294" w:name="_Toc184308047"/>
      <w:bookmarkEnd w:id="294"/>
      <w:bookmarkStart w:id="295" w:name="_Toc184310302"/>
      <w:bookmarkEnd w:id="295"/>
      <w:bookmarkStart w:id="296" w:name="_Toc184312100"/>
      <w:bookmarkEnd w:id="296"/>
      <w:bookmarkStart w:id="297" w:name="_Toc184308052"/>
      <w:bookmarkEnd w:id="297"/>
      <w:bookmarkStart w:id="298" w:name="_Toc184312103"/>
      <w:bookmarkEnd w:id="298"/>
      <w:bookmarkStart w:id="299" w:name="_Toc184310282"/>
      <w:bookmarkEnd w:id="299"/>
      <w:bookmarkStart w:id="300" w:name="_Toc184310301"/>
      <w:bookmarkEnd w:id="300"/>
      <w:bookmarkStart w:id="301" w:name="_Toc184314443"/>
      <w:bookmarkEnd w:id="301"/>
      <w:bookmarkStart w:id="302" w:name="_Toc184313273"/>
      <w:bookmarkEnd w:id="302"/>
      <w:bookmarkStart w:id="303" w:name="_Toc184314446"/>
      <w:bookmarkEnd w:id="303"/>
      <w:bookmarkStart w:id="304" w:name="_Toc184314475"/>
      <w:bookmarkEnd w:id="304"/>
      <w:bookmarkStart w:id="305" w:name="_Toc184312083"/>
      <w:bookmarkEnd w:id="305"/>
      <w:bookmarkStart w:id="306" w:name="_Toc184308065"/>
      <w:bookmarkEnd w:id="306"/>
      <w:bookmarkStart w:id="307" w:name="_Toc184312088"/>
      <w:bookmarkEnd w:id="307"/>
      <w:bookmarkStart w:id="308" w:name="_Toc184310291"/>
      <w:bookmarkEnd w:id="308"/>
      <w:bookmarkStart w:id="309" w:name="_Toc184314473"/>
      <w:bookmarkEnd w:id="309"/>
      <w:bookmarkStart w:id="310" w:name="_Toc184310341"/>
      <w:bookmarkEnd w:id="310"/>
      <w:bookmarkStart w:id="311" w:name="_Toc184308057"/>
      <w:bookmarkEnd w:id="311"/>
      <w:bookmarkStart w:id="312" w:name="_Toc184312095"/>
      <w:bookmarkEnd w:id="312"/>
      <w:bookmarkStart w:id="313" w:name="_Toc184313259"/>
      <w:bookmarkEnd w:id="313"/>
      <w:bookmarkStart w:id="314" w:name="_Toc184310315"/>
      <w:bookmarkEnd w:id="314"/>
      <w:bookmarkStart w:id="315" w:name="_Toc184313254"/>
      <w:bookmarkEnd w:id="315"/>
      <w:bookmarkStart w:id="316" w:name="_Toc184312084"/>
      <w:bookmarkEnd w:id="316"/>
      <w:bookmarkStart w:id="317" w:name="_Toc184312106"/>
      <w:bookmarkEnd w:id="317"/>
      <w:bookmarkStart w:id="318" w:name="_Toc184314447"/>
      <w:bookmarkEnd w:id="318"/>
      <w:bookmarkStart w:id="319" w:name="_Toc184312098"/>
      <w:bookmarkEnd w:id="319"/>
      <w:bookmarkStart w:id="320" w:name="_Toc184308058"/>
      <w:bookmarkEnd w:id="320"/>
      <w:bookmarkStart w:id="321" w:name="_Toc184308074"/>
      <w:bookmarkEnd w:id="321"/>
      <w:bookmarkStart w:id="322" w:name="_Toc184314432"/>
      <w:bookmarkEnd w:id="322"/>
      <w:bookmarkStart w:id="323" w:name="_Toc184312068"/>
      <w:bookmarkEnd w:id="323"/>
      <w:bookmarkStart w:id="324" w:name="_Toc184308064"/>
      <w:bookmarkEnd w:id="324"/>
      <w:bookmarkStart w:id="325" w:name="_Toc184310273"/>
      <w:bookmarkEnd w:id="325"/>
      <w:bookmarkStart w:id="326" w:name="_Toc184314434"/>
      <w:bookmarkEnd w:id="326"/>
      <w:bookmarkStart w:id="327" w:name="_Toc184308055"/>
      <w:bookmarkEnd w:id="327"/>
      <w:bookmarkStart w:id="328" w:name="_Toc184312097"/>
      <w:bookmarkEnd w:id="328"/>
      <w:bookmarkStart w:id="329" w:name="_Toc184312087"/>
      <w:bookmarkEnd w:id="329"/>
      <w:bookmarkStart w:id="330" w:name="_Toc184313266"/>
      <w:bookmarkEnd w:id="330"/>
      <w:bookmarkStart w:id="331" w:name="_Toc184313256"/>
      <w:bookmarkEnd w:id="331"/>
      <w:bookmarkStart w:id="332" w:name="_Toc184308066"/>
      <w:bookmarkEnd w:id="332"/>
      <w:bookmarkStart w:id="333" w:name="_Toc184310314"/>
      <w:bookmarkEnd w:id="333"/>
      <w:bookmarkStart w:id="334" w:name="_Toc184314431"/>
      <w:bookmarkEnd w:id="334"/>
      <w:bookmarkStart w:id="335" w:name="_Toc184314438"/>
      <w:bookmarkEnd w:id="335"/>
      <w:bookmarkStart w:id="336" w:name="_Toc184308067"/>
      <w:bookmarkEnd w:id="336"/>
      <w:bookmarkStart w:id="337" w:name="_Toc184308061"/>
      <w:bookmarkEnd w:id="337"/>
      <w:bookmarkStart w:id="338" w:name="_Toc184312070"/>
      <w:bookmarkEnd w:id="338"/>
      <w:bookmarkStart w:id="339" w:name="_Toc184312135"/>
      <w:bookmarkEnd w:id="339"/>
      <w:bookmarkStart w:id="340" w:name="_Toc184310292"/>
      <w:bookmarkEnd w:id="340"/>
      <w:bookmarkStart w:id="341" w:name="_Toc184314455"/>
      <w:bookmarkEnd w:id="341"/>
      <w:bookmarkStart w:id="342" w:name="_Toc184313303"/>
      <w:bookmarkEnd w:id="342"/>
      <w:bookmarkStart w:id="343" w:name="_Toc184312117"/>
      <w:bookmarkEnd w:id="343"/>
      <w:bookmarkStart w:id="344" w:name="_Toc184312094"/>
      <w:bookmarkEnd w:id="344"/>
      <w:bookmarkStart w:id="345" w:name="_Toc184312115"/>
      <w:bookmarkEnd w:id="345"/>
      <w:bookmarkStart w:id="346" w:name="_Toc184308053"/>
      <w:bookmarkEnd w:id="346"/>
      <w:bookmarkStart w:id="347" w:name="_Toc184310281"/>
      <w:bookmarkEnd w:id="347"/>
      <w:bookmarkStart w:id="348" w:name="_Toc184314430"/>
      <w:bookmarkEnd w:id="348"/>
      <w:bookmarkStart w:id="349" w:name="_Toc184313251"/>
      <w:bookmarkEnd w:id="349"/>
      <w:bookmarkStart w:id="350" w:name="_Toc184310322"/>
      <w:bookmarkEnd w:id="350"/>
      <w:bookmarkStart w:id="351" w:name="_Toc184314454"/>
      <w:bookmarkEnd w:id="351"/>
      <w:bookmarkStart w:id="352" w:name="_Toc184313307"/>
      <w:bookmarkEnd w:id="352"/>
      <w:bookmarkStart w:id="353" w:name="_Toc184308101"/>
      <w:bookmarkEnd w:id="353"/>
      <w:bookmarkStart w:id="354" w:name="_Toc184310298"/>
      <w:bookmarkEnd w:id="354"/>
      <w:bookmarkStart w:id="355" w:name="_Toc184308081"/>
      <w:bookmarkEnd w:id="355"/>
      <w:bookmarkStart w:id="356" w:name="_Toc184310336"/>
      <w:bookmarkEnd w:id="356"/>
      <w:bookmarkStart w:id="357" w:name="_Toc184312086"/>
      <w:bookmarkEnd w:id="357"/>
      <w:bookmarkStart w:id="358" w:name="_Toc184314459"/>
      <w:bookmarkEnd w:id="358"/>
      <w:bookmarkStart w:id="359" w:name="_Toc184313292"/>
      <w:bookmarkEnd w:id="359"/>
      <w:bookmarkStart w:id="360" w:name="_Toc184313275"/>
      <w:bookmarkEnd w:id="360"/>
      <w:bookmarkStart w:id="361" w:name="_Toc184310275"/>
      <w:bookmarkEnd w:id="361"/>
      <w:bookmarkStart w:id="362" w:name="_Toc184312112"/>
      <w:bookmarkEnd w:id="362"/>
      <w:bookmarkStart w:id="363" w:name="_Toc184314429"/>
      <w:bookmarkEnd w:id="363"/>
      <w:bookmarkStart w:id="364" w:name="_Toc184308040"/>
      <w:bookmarkEnd w:id="364"/>
      <w:bookmarkStart w:id="365" w:name="_Toc184314458"/>
      <w:bookmarkEnd w:id="365"/>
      <w:bookmarkStart w:id="366" w:name="_Toc184308056"/>
      <w:bookmarkEnd w:id="366"/>
      <w:bookmarkStart w:id="367" w:name="_Toc184310317"/>
      <w:bookmarkEnd w:id="367"/>
      <w:bookmarkStart w:id="368" w:name="_Toc184308054"/>
      <w:bookmarkEnd w:id="368"/>
      <w:bookmarkStart w:id="369" w:name="_Toc184313287"/>
      <w:bookmarkEnd w:id="369"/>
      <w:bookmarkStart w:id="370" w:name="_Toc184313263"/>
      <w:bookmarkEnd w:id="370"/>
      <w:bookmarkStart w:id="371" w:name="_Toc184312116"/>
      <w:bookmarkEnd w:id="371"/>
      <w:bookmarkStart w:id="372" w:name="_Toc184314413"/>
      <w:bookmarkEnd w:id="372"/>
      <w:bookmarkStart w:id="373" w:name="_Toc184308049"/>
      <w:bookmarkEnd w:id="373"/>
      <w:bookmarkStart w:id="374" w:name="_Toc184310288"/>
      <w:bookmarkEnd w:id="374"/>
      <w:bookmarkStart w:id="375" w:name="_Toc184312069"/>
      <w:bookmarkEnd w:id="375"/>
      <w:bookmarkStart w:id="376" w:name="_Toc184313280"/>
      <w:bookmarkEnd w:id="376"/>
      <w:bookmarkStart w:id="377" w:name="_Toc184313253"/>
      <w:bookmarkEnd w:id="377"/>
      <w:bookmarkStart w:id="378" w:name="_Toc184313306"/>
      <w:bookmarkEnd w:id="378"/>
      <w:bookmarkStart w:id="379" w:name="_Toc184310296"/>
      <w:bookmarkEnd w:id="379"/>
      <w:bookmarkStart w:id="380" w:name="_Toc184308039"/>
      <w:bookmarkEnd w:id="380"/>
      <w:bookmarkStart w:id="381" w:name="_Toc184310299"/>
      <w:bookmarkEnd w:id="381"/>
      <w:bookmarkStart w:id="382" w:name="_Toc184314450"/>
      <w:bookmarkEnd w:id="382"/>
      <w:bookmarkStart w:id="383" w:name="_Toc184314449"/>
      <w:bookmarkEnd w:id="383"/>
      <w:bookmarkStart w:id="384" w:name="_Toc184312067"/>
      <w:bookmarkEnd w:id="384"/>
      <w:bookmarkStart w:id="385" w:name="_Toc184312085"/>
      <w:bookmarkEnd w:id="385"/>
      <w:bookmarkStart w:id="386" w:name="_Toc184314428"/>
      <w:bookmarkEnd w:id="386"/>
      <w:bookmarkStart w:id="387" w:name="_Toc184313262"/>
      <w:bookmarkEnd w:id="387"/>
      <w:bookmarkStart w:id="388" w:name="_Toc184310289"/>
      <w:bookmarkEnd w:id="388"/>
      <w:bookmarkStart w:id="389" w:name="_Toc184313277"/>
      <w:bookmarkEnd w:id="389"/>
      <w:bookmarkStart w:id="390" w:name="_Toc184310297"/>
      <w:bookmarkEnd w:id="390"/>
      <w:bookmarkStart w:id="391" w:name="_Toc184314478"/>
      <w:bookmarkEnd w:id="391"/>
      <w:r>
        <w:rPr>
          <w:rFonts w:hint="eastAsia" w:ascii="仿宋" w:hAnsi="仿宋" w:eastAsia="仿宋" w:cs="仿宋"/>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p>
      <w:pPr>
        <w:adjustRightInd/>
        <w:spacing w:line="440" w:lineRule="exact"/>
        <w:ind w:firstLine="602" w:firstLineChars="25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价格分</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10</w:t>
      </w:r>
      <w:r>
        <w:rPr>
          <w:rFonts w:hint="eastAsia" w:ascii="仿宋" w:hAnsi="仿宋" w:eastAsia="仿宋" w:cs="仿宋"/>
          <w:b/>
          <w:bCs/>
          <w:color w:val="000000" w:themeColor="text1"/>
          <w:sz w:val="24"/>
          <w:highlight w:val="none"/>
          <w14:textFill>
            <w14:solidFill>
              <w14:schemeClr w14:val="tx1"/>
            </w14:solidFill>
          </w14:textFill>
        </w:rPr>
        <w:t>分）：</w:t>
      </w:r>
    </w:p>
    <w:tbl>
      <w:tblPr>
        <w:tblStyle w:val="62"/>
        <w:tblpPr w:leftFromText="180" w:rightFromText="180" w:vertAnchor="text" w:horzAnchor="margin" w:tblpX="-667" w:tblpY="276"/>
        <w:tblW w:w="9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789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023" w:type="dxa"/>
            <w:vAlign w:val="center"/>
          </w:tcPr>
          <w:p>
            <w:pPr>
              <w:spacing w:before="0" w:beforeAutospacing="0" w:after="0" w:afterAutospacing="0" w:line="360" w:lineRule="auto"/>
              <w:ind w:left="0" w:right="0"/>
              <w:outlineLvl w:val="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价格分</w:t>
            </w:r>
          </w:p>
        </w:tc>
        <w:tc>
          <w:tcPr>
            <w:tcW w:w="7895" w:type="dxa"/>
            <w:vAlign w:val="top"/>
          </w:tcPr>
          <w:p>
            <w:pPr>
              <w:spacing w:before="0" w:beforeAutospacing="0" w:after="0" w:afterAutospacing="0" w:line="360" w:lineRule="auto"/>
              <w:ind w:left="0" w:right="0"/>
              <w:outlineLvl w:val="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有效投标报价的最低价作为评标基准价，其最低报价为满分；按［投标报价得分=（评标基准价/投标报价）*</w:t>
            </w:r>
            <w:r>
              <w:rPr>
                <w:rFonts w:hint="eastAsia" w:ascii="仿宋" w:hAnsi="仿宋" w:eastAsia="仿宋" w:cs="仿宋"/>
                <w:color w:val="000000" w:themeColor="text1"/>
                <w:sz w:val="24"/>
                <w:szCs w:val="20"/>
                <w:highlight w:val="none"/>
                <w:lang w:val="en-US" w:eastAsia="zh-CN"/>
                <w14:textFill>
                  <w14:solidFill>
                    <w14:schemeClr w14:val="tx1"/>
                  </w14:solidFill>
                </w14:textFill>
              </w:rPr>
              <w:t>10</w:t>
            </w:r>
            <w:r>
              <w:rPr>
                <w:rFonts w:hint="eastAsia" w:ascii="仿宋" w:hAnsi="仿宋" w:eastAsia="仿宋" w:cs="仿宋"/>
                <w:color w:val="000000" w:themeColor="text1"/>
                <w:sz w:val="24"/>
                <w:szCs w:val="20"/>
                <w:highlight w:val="none"/>
                <w14:textFill>
                  <w14:solidFill>
                    <w14:schemeClr w14:val="tx1"/>
                  </w14:solidFill>
                </w14:textFill>
              </w:rPr>
              <w:t>］的计算公式计算。</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评标过程中，不得去掉报价中的最高报价和最低报价。</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因落实政府采购政策需要进行价格调整的，以调整后的价格计算评标基准价和投标报价。</w:t>
            </w:r>
          </w:p>
        </w:tc>
        <w:tc>
          <w:tcPr>
            <w:tcW w:w="873" w:type="dxa"/>
            <w:vAlign w:val="center"/>
          </w:tcPr>
          <w:p>
            <w:pPr>
              <w:spacing w:before="0" w:beforeAutospacing="0" w:after="0" w:afterAutospacing="0" w:line="360" w:lineRule="auto"/>
              <w:ind w:left="0" w:right="0" w:firstLine="120" w:firstLineChars="50"/>
              <w:outlineLvl w:val="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lang w:val="en-US" w:eastAsia="zh-CN"/>
                <w14:textFill>
                  <w14:solidFill>
                    <w14:schemeClr w14:val="tx1"/>
                  </w14:solidFill>
                </w14:textFill>
              </w:rPr>
              <w:t>10</w:t>
            </w:r>
            <w:r>
              <w:rPr>
                <w:rFonts w:hint="eastAsia" w:ascii="仿宋" w:hAnsi="仿宋" w:eastAsia="仿宋" w:cs="仿宋"/>
                <w:color w:val="000000" w:themeColor="text1"/>
                <w:sz w:val="24"/>
                <w:szCs w:val="20"/>
                <w:highlight w:val="none"/>
                <w14:textFill>
                  <w14:solidFill>
                    <w14:schemeClr w14:val="tx1"/>
                  </w14:solidFill>
                </w14:textFill>
              </w:rPr>
              <w:t>分</w:t>
            </w:r>
          </w:p>
        </w:tc>
      </w:tr>
    </w:tbl>
    <w:p>
      <w:pPr>
        <w:adjustRightInd/>
        <w:spacing w:line="440" w:lineRule="exact"/>
        <w:ind w:firstLine="602" w:firstLineChars="25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技术分（</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75</w:t>
      </w:r>
      <w:r>
        <w:rPr>
          <w:rFonts w:hint="eastAsia" w:ascii="仿宋" w:hAnsi="仿宋" w:eastAsia="仿宋" w:cs="仿宋"/>
          <w:b/>
          <w:bCs/>
          <w:color w:val="000000" w:themeColor="text1"/>
          <w:sz w:val="24"/>
          <w:highlight w:val="none"/>
          <w14:textFill>
            <w14:solidFill>
              <w14:schemeClr w14:val="tx1"/>
            </w14:solidFill>
          </w14:textFill>
        </w:rPr>
        <w:t>分）：</w:t>
      </w:r>
    </w:p>
    <w:tbl>
      <w:tblPr>
        <w:tblStyle w:val="62"/>
        <w:tblW w:w="9778" w:type="dxa"/>
        <w:tblInd w:w="-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7"/>
        <w:gridCol w:w="7868"/>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37"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line="400" w:lineRule="exact"/>
              <w:ind w:left="0" w:right="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评分细则</w:t>
            </w:r>
          </w:p>
        </w:tc>
        <w:tc>
          <w:tcPr>
            <w:tcW w:w="7868" w:type="dxa"/>
            <w:tcBorders>
              <w:top w:val="single" w:color="000000" w:sz="4" w:space="0"/>
              <w:left w:val="nil"/>
              <w:bottom w:val="single" w:color="000000" w:sz="4" w:space="0"/>
              <w:right w:val="single" w:color="000000" w:sz="4" w:space="0"/>
            </w:tcBorders>
            <w:vAlign w:val="top"/>
          </w:tcPr>
          <w:p>
            <w:pPr>
              <w:spacing w:before="0" w:beforeAutospacing="0" w:after="0" w:afterAutospacing="0" w:line="400" w:lineRule="exact"/>
              <w:ind w:left="0" w:right="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评分细则内容</w:t>
            </w:r>
          </w:p>
        </w:tc>
        <w:tc>
          <w:tcPr>
            <w:tcW w:w="873" w:type="dxa"/>
            <w:tcBorders>
              <w:top w:val="single" w:color="000000" w:sz="4" w:space="0"/>
              <w:left w:val="nil"/>
              <w:bottom w:val="single" w:color="000000" w:sz="4" w:space="0"/>
              <w:right w:val="single" w:color="000000" w:sz="4" w:space="0"/>
            </w:tcBorders>
            <w:vAlign w:val="top"/>
          </w:tcPr>
          <w:p>
            <w:pPr>
              <w:spacing w:before="0" w:beforeAutospacing="0" w:after="0" w:afterAutospacing="0" w:line="400" w:lineRule="exact"/>
              <w:ind w:left="0" w:right="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分值(分)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3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exact"/>
              <w:ind w:left="0" w:right="3"/>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项目方案</w:t>
            </w:r>
          </w:p>
        </w:tc>
        <w:tc>
          <w:tcPr>
            <w:tcW w:w="7868" w:type="dxa"/>
            <w:tcBorders>
              <w:top w:val="single" w:color="000000" w:sz="4" w:space="0"/>
              <w:left w:val="nil"/>
              <w:bottom w:val="single" w:color="000000" w:sz="4" w:space="0"/>
              <w:right w:val="single" w:color="000000" w:sz="4" w:space="0"/>
            </w:tcBorders>
            <w:vAlign w:val="top"/>
          </w:tcPr>
          <w:p>
            <w:pPr>
              <w:spacing w:before="0" w:beforeAutospacing="0" w:after="0" w:afterAutospacing="0" w:line="320" w:lineRule="exac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根据投标人对本次安全隐患排查整治的总体思路、目标体系、重点任务、保障措施等方面</w:t>
            </w:r>
            <w:r>
              <w:rPr>
                <w:rFonts w:hint="eastAsia" w:ascii="仿宋" w:hAnsi="仿宋" w:eastAsia="仿宋" w:cs="仿宋"/>
                <w:color w:val="000000" w:themeColor="text1"/>
                <w:sz w:val="24"/>
                <w:szCs w:val="24"/>
                <w:highlight w:val="none"/>
                <w:lang w:val="en-US" w:eastAsia="zh-CN"/>
                <w14:textFill>
                  <w14:solidFill>
                    <w14:schemeClr w14:val="tx1"/>
                  </w14:solidFill>
                </w14:textFill>
              </w:rPr>
              <w:t>综合评审</w:t>
            </w:r>
            <w:r>
              <w:rPr>
                <w:rFonts w:hint="eastAsia" w:ascii="仿宋" w:hAnsi="仿宋" w:eastAsia="仿宋" w:cs="仿宋"/>
                <w:color w:val="000000" w:themeColor="text1"/>
                <w:sz w:val="24"/>
                <w:szCs w:val="24"/>
                <w:highlight w:val="none"/>
                <w14:textFill>
                  <w14:solidFill>
                    <w14:schemeClr w14:val="tx1"/>
                  </w14:solidFill>
                </w14:textFill>
              </w:rPr>
              <w:t>。</w:t>
            </w:r>
          </w:p>
          <w:p>
            <w:pPr>
              <w:spacing w:before="0" w:beforeAutospacing="0" w:after="0" w:afterAutospacing="0" w:line="320" w:lineRule="exac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1.总体思路清晰，目标明确，重点任务分析到位，保障措施完善的得6分；</w:t>
            </w:r>
          </w:p>
          <w:p>
            <w:pPr>
              <w:spacing w:before="0" w:beforeAutospacing="0" w:after="0" w:afterAutospacing="0" w:line="320" w:lineRule="exac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2.总体思路比较清晰，目标比较明确，重点任务分析比较到位，保障措施比较完善的得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p>
            <w:pPr>
              <w:spacing w:before="0" w:beforeAutospacing="0" w:after="0" w:afterAutospacing="0" w:line="320" w:lineRule="exac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3.总体思路基本清晰，目标基本明确，重点任务分析基本到位，保障措施基本完善的得2分；</w:t>
            </w:r>
          </w:p>
          <w:p>
            <w:pPr>
              <w:spacing w:before="0" w:beforeAutospacing="0" w:after="0" w:afterAutospacing="0" w:line="400" w:lineRule="exac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4.未提供不得分。</w:t>
            </w:r>
          </w:p>
        </w:tc>
        <w:tc>
          <w:tcPr>
            <w:tcW w:w="873" w:type="dxa"/>
            <w:tcBorders>
              <w:top w:val="single" w:color="000000" w:sz="4" w:space="0"/>
              <w:left w:val="nil"/>
              <w:bottom w:val="single" w:color="000000" w:sz="4" w:space="0"/>
              <w:right w:val="single" w:color="000000" w:sz="4" w:space="0"/>
            </w:tcBorders>
            <w:vAlign w:val="top"/>
          </w:tcPr>
          <w:p>
            <w:pPr>
              <w:spacing w:before="0" w:beforeAutospacing="0" w:after="0" w:afterAutospacing="0" w:line="400" w:lineRule="exact"/>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spacing w:before="0" w:beforeAutospacing="0" w:after="0" w:afterAutospacing="0" w:line="400" w:lineRule="exact"/>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spacing w:before="0" w:beforeAutospacing="0" w:after="0" w:afterAutospacing="0" w:line="400" w:lineRule="exact"/>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037" w:type="dxa"/>
            <w:vMerge w:val="restart"/>
            <w:tcBorders>
              <w:top w:val="single" w:color="000000" w:sz="4" w:space="0"/>
              <w:left w:val="single" w:color="000000" w:sz="4" w:space="0"/>
              <w:right w:val="single" w:color="auto" w:sz="4" w:space="0"/>
            </w:tcBorders>
            <w:shd w:val="clear" w:color="auto" w:fill="auto"/>
            <w:vAlign w:val="center"/>
          </w:tcPr>
          <w:p>
            <w:pPr>
              <w:spacing w:before="0" w:beforeAutospacing="0" w:after="0" w:afterAutospacing="0" w:line="360" w:lineRule="exact"/>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w:t>
            </w:r>
            <w:r>
              <w:rPr>
                <w:rFonts w:hint="eastAsia" w:ascii="仿宋" w:hAnsi="仿宋" w:eastAsia="仿宋" w:cs="仿宋"/>
                <w:color w:val="000000" w:themeColor="text1"/>
                <w:sz w:val="24"/>
                <w:szCs w:val="24"/>
                <w:highlight w:val="none"/>
                <w:lang w:val="en-US" w:eastAsia="zh-CN"/>
                <w14:textFill>
                  <w14:solidFill>
                    <w14:schemeClr w14:val="tx1"/>
                  </w14:solidFill>
                </w14:textFill>
              </w:rPr>
              <w:t>进度</w:t>
            </w:r>
            <w:r>
              <w:rPr>
                <w:rFonts w:hint="eastAsia" w:ascii="仿宋" w:hAnsi="仿宋" w:eastAsia="仿宋" w:cs="仿宋"/>
                <w:color w:val="000000" w:themeColor="text1"/>
                <w:sz w:val="24"/>
                <w:szCs w:val="24"/>
                <w:highlight w:val="none"/>
                <w14:textFill>
                  <w14:solidFill>
                    <w14:schemeClr w14:val="tx1"/>
                  </w14:solidFill>
                </w14:textFill>
              </w:rPr>
              <w:t>保证与保密承诺</w:t>
            </w:r>
          </w:p>
        </w:tc>
        <w:tc>
          <w:tcPr>
            <w:tcW w:w="7868" w:type="dxa"/>
            <w:tcBorders>
              <w:top w:val="single" w:color="000000" w:sz="4" w:space="0"/>
              <w:left w:val="nil"/>
              <w:bottom w:val="single" w:color="auto" w:sz="4" w:space="0"/>
              <w:right w:val="single" w:color="000000" w:sz="4" w:space="0"/>
            </w:tcBorders>
            <w:shd w:val="clear" w:color="auto" w:fill="FFFFFF"/>
            <w:vAlign w:val="center"/>
          </w:tcPr>
          <w:p>
            <w:pPr>
              <w:spacing w:before="0" w:beforeAutospacing="0" w:after="0" w:afterAutospacing="0"/>
              <w:ind w:left="0" w:right="-61" w:rightChars="-2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进度安排：投标人的服务计划进度安排具体，实施计划及关键节点控制措施详细缜密</w:t>
            </w:r>
            <w:r>
              <w:rPr>
                <w:rFonts w:hint="eastAsia" w:ascii="仿宋" w:hAnsi="仿宋" w:eastAsia="仿宋" w:cs="仿宋"/>
                <w:color w:val="000000" w:themeColor="text1"/>
                <w:sz w:val="24"/>
                <w:szCs w:val="24"/>
                <w:highlight w:val="none"/>
                <w:lang w:val="en-US" w:eastAsia="zh-CN"/>
                <w14:textFill>
                  <w14:solidFill>
                    <w14:schemeClr w14:val="tx1"/>
                  </w14:solidFill>
                </w14:textFill>
              </w:rPr>
              <w:t>的得6分；</w:t>
            </w:r>
            <w:r>
              <w:rPr>
                <w:rFonts w:hint="eastAsia" w:ascii="仿宋" w:hAnsi="仿宋" w:eastAsia="仿宋" w:cs="仿宋"/>
                <w:color w:val="000000" w:themeColor="text1"/>
                <w:sz w:val="24"/>
                <w:szCs w:val="24"/>
                <w:highlight w:val="none"/>
                <w14:textFill>
                  <w14:solidFill>
                    <w14:schemeClr w14:val="tx1"/>
                  </w14:solidFill>
                </w14:textFill>
              </w:rPr>
              <w:t>服务计划进度安排</w:t>
            </w:r>
            <w:r>
              <w:rPr>
                <w:rFonts w:hint="eastAsia" w:ascii="仿宋" w:hAnsi="仿宋" w:eastAsia="仿宋" w:cs="仿宋"/>
                <w:color w:val="000000" w:themeColor="text1"/>
                <w:sz w:val="24"/>
                <w:szCs w:val="24"/>
                <w:highlight w:val="none"/>
                <w:lang w:val="en-US" w:eastAsia="zh-CN"/>
                <w14:textFill>
                  <w14:solidFill>
                    <w14:schemeClr w14:val="tx1"/>
                  </w14:solidFill>
                </w14:textFill>
              </w:rPr>
              <w:t>比较</w:t>
            </w:r>
            <w:r>
              <w:rPr>
                <w:rFonts w:hint="eastAsia" w:ascii="仿宋" w:hAnsi="仿宋" w:eastAsia="仿宋" w:cs="仿宋"/>
                <w:color w:val="000000" w:themeColor="text1"/>
                <w:sz w:val="24"/>
                <w:szCs w:val="24"/>
                <w:highlight w:val="none"/>
                <w14:textFill>
                  <w14:solidFill>
                    <w14:schemeClr w14:val="tx1"/>
                  </w14:solidFill>
                </w14:textFill>
              </w:rPr>
              <w:t>具体，实施计划及关键节点控制措施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比较</w:t>
            </w:r>
            <w:r>
              <w:rPr>
                <w:rFonts w:hint="eastAsia" w:ascii="仿宋" w:hAnsi="仿宋" w:eastAsia="仿宋" w:cs="仿宋"/>
                <w:color w:val="000000" w:themeColor="text1"/>
                <w:sz w:val="24"/>
                <w:szCs w:val="24"/>
                <w:highlight w:val="none"/>
                <w14:textFill>
                  <w14:solidFill>
                    <w14:schemeClr w14:val="tx1"/>
                  </w14:solidFill>
                </w14:textFill>
              </w:rPr>
              <w:t>详细</w:t>
            </w:r>
            <w:r>
              <w:rPr>
                <w:rFonts w:hint="eastAsia" w:ascii="仿宋" w:hAnsi="仿宋" w:eastAsia="仿宋" w:cs="仿宋"/>
                <w:color w:val="000000" w:themeColor="text1"/>
                <w:sz w:val="24"/>
                <w:szCs w:val="24"/>
                <w:highlight w:val="none"/>
                <w:lang w:val="en-US" w:eastAsia="zh-CN"/>
                <w14:textFill>
                  <w14:solidFill>
                    <w14:schemeClr w14:val="tx1"/>
                  </w14:solidFill>
                </w14:textFill>
              </w:rPr>
              <w:t>的得4分；</w:t>
            </w:r>
            <w:r>
              <w:rPr>
                <w:rFonts w:hint="eastAsia" w:ascii="仿宋" w:hAnsi="仿宋" w:eastAsia="仿宋" w:cs="仿宋"/>
                <w:color w:val="000000" w:themeColor="text1"/>
                <w:sz w:val="24"/>
                <w:szCs w:val="24"/>
                <w:highlight w:val="none"/>
                <w14:textFill>
                  <w14:solidFill>
                    <w14:schemeClr w14:val="tx1"/>
                  </w14:solidFill>
                </w14:textFill>
              </w:rPr>
              <w:t>服务计划进度安排，实施计划及关键节点控制措施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一般的得2分，</w:t>
            </w:r>
            <w:r>
              <w:rPr>
                <w:rFonts w:hint="eastAsia" w:ascii="仿宋" w:hAnsi="仿宋" w:eastAsia="仿宋" w:cs="仿宋"/>
                <w:color w:val="000000" w:themeColor="text1"/>
                <w:sz w:val="24"/>
                <w:szCs w:val="24"/>
                <w:highlight w:val="none"/>
                <w14:textFill>
                  <w14:solidFill>
                    <w14:schemeClr w14:val="tx1"/>
                  </w14:solidFill>
                </w14:textFill>
              </w:rPr>
              <w:t>评委</w:t>
            </w:r>
            <w:r>
              <w:rPr>
                <w:rFonts w:hint="eastAsia" w:ascii="仿宋" w:hAnsi="仿宋" w:eastAsia="仿宋" w:cs="仿宋"/>
                <w:color w:val="000000" w:themeColor="text1"/>
                <w:sz w:val="24"/>
                <w:szCs w:val="24"/>
                <w:highlight w:val="none"/>
                <w:lang w:val="en-US" w:eastAsia="zh-CN"/>
                <w14:textFill>
                  <w14:solidFill>
                    <w14:schemeClr w14:val="tx1"/>
                  </w14:solidFill>
                </w14:textFill>
              </w:rPr>
              <w:t>综合综合评审</w:t>
            </w:r>
            <w:r>
              <w:rPr>
                <w:rFonts w:hint="eastAsia" w:ascii="仿宋" w:hAnsi="仿宋" w:eastAsia="仿宋" w:cs="仿宋"/>
                <w:color w:val="000000" w:themeColor="text1"/>
                <w:sz w:val="24"/>
                <w:szCs w:val="24"/>
                <w:highlight w:val="none"/>
                <w14:textFill>
                  <w14:solidFill>
                    <w14:schemeClr w14:val="tx1"/>
                  </w14:solidFill>
                </w14:textFill>
              </w:rPr>
              <w:t>。</w:t>
            </w:r>
          </w:p>
        </w:tc>
        <w:tc>
          <w:tcPr>
            <w:tcW w:w="873" w:type="dxa"/>
            <w:tcBorders>
              <w:top w:val="single" w:color="000000" w:sz="4" w:space="0"/>
              <w:left w:val="nil"/>
              <w:bottom w:val="single" w:color="000000" w:sz="4" w:space="0"/>
              <w:right w:val="single" w:color="000000" w:sz="4" w:space="0"/>
            </w:tcBorders>
            <w:shd w:val="clear" w:color="auto" w:fill="FFFFFF"/>
            <w:vAlign w:val="center"/>
          </w:tcPr>
          <w:p>
            <w:pPr>
              <w:spacing w:before="0" w:beforeAutospacing="0" w:after="0" w:afterAutospacing="0" w:line="360" w:lineRule="auto"/>
              <w:ind w:left="0" w:right="-61" w:rightChars="-29"/>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037" w:type="dxa"/>
            <w:vMerge w:val="continue"/>
            <w:tcBorders>
              <w:left w:val="single" w:color="000000" w:sz="4" w:space="0"/>
              <w:right w:val="single" w:color="auto" w:sz="4" w:space="0"/>
            </w:tcBorders>
            <w:shd w:val="clear" w:color="auto" w:fill="auto"/>
            <w:vAlign w:val="center"/>
          </w:tcPr>
          <w:p>
            <w:pPr>
              <w:spacing w:before="0" w:beforeAutospacing="0" w:after="0" w:afterAutospacing="0" w:line="360" w:lineRule="exact"/>
              <w:ind w:left="0" w:right="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7868" w:type="dxa"/>
            <w:tcBorders>
              <w:top w:val="single" w:color="000000" w:sz="4" w:space="0"/>
              <w:left w:val="nil"/>
              <w:bottom w:val="single" w:color="000000" w:sz="4" w:space="0"/>
              <w:right w:val="single" w:color="000000" w:sz="4" w:space="0"/>
            </w:tcBorders>
            <w:shd w:val="clear" w:color="auto" w:fill="FFFFFF"/>
            <w:vAlign w:val="center"/>
          </w:tcPr>
          <w:p>
            <w:pPr>
              <w:spacing w:before="0" w:beforeAutospacing="0" w:after="0" w:afterAutospacing="0"/>
              <w:ind w:left="0" w:right="-61" w:rightChars="-2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质量保证：</w:t>
            </w:r>
            <w:r>
              <w:rPr>
                <w:rFonts w:hint="eastAsia" w:ascii="仿宋" w:hAnsi="仿宋" w:eastAsia="仿宋" w:cs="仿宋"/>
                <w:color w:val="000000" w:themeColor="text1"/>
                <w:sz w:val="24"/>
                <w:szCs w:val="24"/>
                <w:highlight w:val="none"/>
                <w:lang w:val="en-US" w:eastAsia="zh-CN"/>
                <w14:textFill>
                  <w14:solidFill>
                    <w14:schemeClr w14:val="tx1"/>
                  </w14:solidFill>
                </w14:textFill>
              </w:rPr>
              <w:t>根据</w:t>
            </w:r>
            <w:r>
              <w:rPr>
                <w:rFonts w:hint="eastAsia" w:ascii="仿宋" w:hAnsi="仿宋" w:eastAsia="仿宋" w:cs="仿宋"/>
                <w:color w:val="000000" w:themeColor="text1"/>
                <w:sz w:val="24"/>
                <w:szCs w:val="24"/>
                <w:highlight w:val="none"/>
                <w14:textFill>
                  <w14:solidFill>
                    <w14:schemeClr w14:val="tx1"/>
                  </w14:solidFill>
                </w14:textFill>
              </w:rPr>
              <w:t>投标人提供的完成本项目质量的保障措施详细缜密</w:t>
            </w:r>
            <w:r>
              <w:rPr>
                <w:rFonts w:hint="eastAsia" w:ascii="仿宋" w:hAnsi="仿宋" w:eastAsia="仿宋" w:cs="仿宋"/>
                <w:color w:val="000000" w:themeColor="text1"/>
                <w:sz w:val="24"/>
                <w:szCs w:val="24"/>
                <w:highlight w:val="none"/>
                <w:lang w:val="en-US" w:eastAsia="zh-CN"/>
                <w14:textFill>
                  <w14:solidFill>
                    <w14:schemeClr w14:val="tx1"/>
                  </w14:solidFill>
                </w14:textFill>
              </w:rPr>
              <w:t>得当的得6分；</w:t>
            </w:r>
            <w:r>
              <w:rPr>
                <w:rFonts w:hint="eastAsia" w:ascii="仿宋" w:hAnsi="仿宋" w:eastAsia="仿宋" w:cs="仿宋"/>
                <w:color w:val="000000" w:themeColor="text1"/>
                <w:sz w:val="24"/>
                <w:szCs w:val="24"/>
                <w:highlight w:val="none"/>
                <w14:textFill>
                  <w14:solidFill>
                    <w14:schemeClr w14:val="tx1"/>
                  </w14:solidFill>
                </w14:textFill>
              </w:rPr>
              <w:t>完成本项目质量的保障措施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比较</w:t>
            </w:r>
            <w:r>
              <w:rPr>
                <w:rFonts w:hint="eastAsia" w:ascii="仿宋" w:hAnsi="仿宋" w:eastAsia="仿宋" w:cs="仿宋"/>
                <w:color w:val="000000" w:themeColor="text1"/>
                <w:sz w:val="24"/>
                <w:szCs w:val="24"/>
                <w:highlight w:val="none"/>
                <w14:textFill>
                  <w14:solidFill>
                    <w14:schemeClr w14:val="tx1"/>
                  </w14:solidFill>
                </w14:textFill>
              </w:rPr>
              <w:t>详细</w:t>
            </w:r>
            <w:r>
              <w:rPr>
                <w:rFonts w:hint="eastAsia" w:ascii="仿宋" w:hAnsi="仿宋" w:eastAsia="仿宋" w:cs="仿宋"/>
                <w:color w:val="000000" w:themeColor="text1"/>
                <w:sz w:val="24"/>
                <w:szCs w:val="24"/>
                <w:highlight w:val="none"/>
                <w:lang w:val="en-US" w:eastAsia="zh-CN"/>
                <w14:textFill>
                  <w14:solidFill>
                    <w14:schemeClr w14:val="tx1"/>
                  </w14:solidFill>
                </w14:textFill>
              </w:rPr>
              <w:t>得当的得4分；</w:t>
            </w:r>
            <w:r>
              <w:rPr>
                <w:rFonts w:hint="eastAsia" w:ascii="仿宋" w:hAnsi="仿宋" w:eastAsia="仿宋" w:cs="仿宋"/>
                <w:color w:val="000000" w:themeColor="text1"/>
                <w:sz w:val="24"/>
                <w:szCs w:val="24"/>
                <w:highlight w:val="none"/>
                <w14:textFill>
                  <w14:solidFill>
                    <w14:schemeClr w14:val="tx1"/>
                  </w14:solidFill>
                </w14:textFill>
              </w:rPr>
              <w:t>完成本项目质量的保障措施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一般的得2分，</w:t>
            </w:r>
            <w:r>
              <w:rPr>
                <w:rFonts w:hint="eastAsia" w:ascii="仿宋" w:hAnsi="仿宋" w:eastAsia="仿宋" w:cs="仿宋"/>
                <w:color w:val="000000" w:themeColor="text1"/>
                <w:sz w:val="24"/>
                <w:szCs w:val="24"/>
                <w:highlight w:val="none"/>
                <w14:textFill>
                  <w14:solidFill>
                    <w14:schemeClr w14:val="tx1"/>
                  </w14:solidFill>
                </w14:textFill>
              </w:rPr>
              <w:t>评委</w:t>
            </w:r>
            <w:r>
              <w:rPr>
                <w:rFonts w:hint="eastAsia" w:ascii="仿宋" w:hAnsi="仿宋" w:eastAsia="仿宋" w:cs="仿宋"/>
                <w:color w:val="000000" w:themeColor="text1"/>
                <w:sz w:val="24"/>
                <w:szCs w:val="24"/>
                <w:highlight w:val="none"/>
                <w:lang w:val="en-US" w:eastAsia="zh-CN"/>
                <w14:textFill>
                  <w14:solidFill>
                    <w14:schemeClr w14:val="tx1"/>
                  </w14:solidFill>
                </w14:textFill>
              </w:rPr>
              <w:t>综合综合评审</w:t>
            </w:r>
            <w:r>
              <w:rPr>
                <w:rFonts w:hint="eastAsia" w:ascii="仿宋" w:hAnsi="仿宋" w:eastAsia="仿宋" w:cs="仿宋"/>
                <w:color w:val="000000" w:themeColor="text1"/>
                <w:sz w:val="24"/>
                <w:szCs w:val="24"/>
                <w:highlight w:val="none"/>
                <w14:textFill>
                  <w14:solidFill>
                    <w14:schemeClr w14:val="tx1"/>
                  </w14:solidFill>
                </w14:textFill>
              </w:rPr>
              <w:t>。</w:t>
            </w:r>
          </w:p>
        </w:tc>
        <w:tc>
          <w:tcPr>
            <w:tcW w:w="873" w:type="dxa"/>
            <w:tcBorders>
              <w:top w:val="single" w:color="000000" w:sz="4" w:space="0"/>
              <w:left w:val="nil"/>
              <w:bottom w:val="single" w:color="000000" w:sz="4" w:space="0"/>
              <w:right w:val="single" w:color="000000" w:sz="4" w:space="0"/>
            </w:tcBorders>
            <w:shd w:val="clear" w:color="auto" w:fill="FFFFFF"/>
            <w:vAlign w:val="center"/>
          </w:tcPr>
          <w:p>
            <w:pPr>
              <w:spacing w:before="0" w:beforeAutospacing="0" w:after="0" w:afterAutospacing="0" w:line="360" w:lineRule="auto"/>
              <w:ind w:left="0" w:right="-61" w:rightChars="-29"/>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37" w:type="dxa"/>
            <w:vMerge w:val="continue"/>
            <w:tcBorders>
              <w:left w:val="single" w:color="000000" w:sz="4" w:space="0"/>
              <w:bottom w:val="single" w:color="000000" w:sz="4" w:space="0"/>
              <w:right w:val="single" w:color="auto" w:sz="4" w:space="0"/>
            </w:tcBorders>
            <w:shd w:val="clear" w:color="auto" w:fill="auto"/>
            <w:vAlign w:val="center"/>
          </w:tcPr>
          <w:p>
            <w:pPr>
              <w:spacing w:before="0" w:beforeAutospacing="0" w:after="0" w:afterAutospacing="0" w:line="360" w:lineRule="exact"/>
              <w:ind w:left="0" w:right="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7868" w:type="dxa"/>
            <w:tcBorders>
              <w:top w:val="single" w:color="000000" w:sz="4" w:space="0"/>
              <w:left w:val="nil"/>
              <w:bottom w:val="single" w:color="000000" w:sz="4" w:space="0"/>
              <w:right w:val="single" w:color="000000" w:sz="4" w:space="0"/>
            </w:tcBorders>
            <w:shd w:val="clear" w:color="auto" w:fill="FFFFFF"/>
            <w:vAlign w:val="center"/>
          </w:tcPr>
          <w:p>
            <w:pPr>
              <w:spacing w:before="0" w:beforeAutospacing="0" w:after="0" w:afterAutospacing="0"/>
              <w:ind w:left="0" w:right="-61" w:rightChars="-2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保密承诺：投标人对完成本项目保密承诺内容全面、清晰，措施详尽、可行的得6分；完成本项目保密承诺内容比较全面、清晰，措施比较详尽、可行的得4分；完成本项目保密承诺内容一般的得2分，</w:t>
            </w:r>
            <w:r>
              <w:rPr>
                <w:rFonts w:hint="eastAsia" w:ascii="仿宋" w:hAnsi="仿宋" w:eastAsia="仿宋" w:cs="仿宋"/>
                <w:color w:val="000000" w:themeColor="text1"/>
                <w:sz w:val="24"/>
                <w:szCs w:val="24"/>
                <w:highlight w:val="none"/>
                <w14:textFill>
                  <w14:solidFill>
                    <w14:schemeClr w14:val="tx1"/>
                  </w14:solidFill>
                </w14:textFill>
              </w:rPr>
              <w:t>评委</w:t>
            </w:r>
            <w:r>
              <w:rPr>
                <w:rFonts w:hint="eastAsia" w:ascii="仿宋" w:hAnsi="仿宋" w:eastAsia="仿宋" w:cs="仿宋"/>
                <w:color w:val="000000" w:themeColor="text1"/>
                <w:sz w:val="24"/>
                <w:szCs w:val="24"/>
                <w:highlight w:val="none"/>
                <w:lang w:val="en-US" w:eastAsia="zh-CN"/>
                <w14:textFill>
                  <w14:solidFill>
                    <w14:schemeClr w14:val="tx1"/>
                  </w14:solidFill>
                </w14:textFill>
              </w:rPr>
              <w:t>综合综合评审</w:t>
            </w:r>
            <w:r>
              <w:rPr>
                <w:rFonts w:hint="eastAsia" w:ascii="仿宋" w:hAnsi="仿宋" w:eastAsia="仿宋" w:cs="仿宋"/>
                <w:color w:val="000000" w:themeColor="text1"/>
                <w:sz w:val="24"/>
                <w:szCs w:val="24"/>
                <w:highlight w:val="none"/>
                <w14:textFill>
                  <w14:solidFill>
                    <w14:schemeClr w14:val="tx1"/>
                  </w14:solidFill>
                </w14:textFill>
              </w:rPr>
              <w:t>。</w:t>
            </w:r>
          </w:p>
        </w:tc>
        <w:tc>
          <w:tcPr>
            <w:tcW w:w="873" w:type="dxa"/>
            <w:tcBorders>
              <w:top w:val="single" w:color="000000" w:sz="4" w:space="0"/>
              <w:left w:val="nil"/>
              <w:bottom w:val="single" w:color="000000" w:sz="4" w:space="0"/>
              <w:right w:val="single" w:color="000000" w:sz="4" w:space="0"/>
            </w:tcBorders>
            <w:shd w:val="clear" w:color="auto" w:fill="FFFFFF"/>
            <w:vAlign w:val="center"/>
          </w:tcPr>
          <w:p>
            <w:pPr>
              <w:spacing w:before="0" w:beforeAutospacing="0" w:after="0" w:afterAutospacing="0" w:line="360" w:lineRule="auto"/>
              <w:ind w:left="0" w:right="-61" w:rightChars="-29"/>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ind w:left="0" w:right="-61" w:rightChars="-2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重点、难点进行分析及解决方案</w:t>
            </w:r>
          </w:p>
        </w:tc>
        <w:tc>
          <w:tcPr>
            <w:tcW w:w="7868" w:type="dxa"/>
            <w:tcBorders>
              <w:top w:val="single" w:color="000000" w:sz="4" w:space="0"/>
              <w:left w:val="nil"/>
              <w:bottom w:val="single" w:color="000000" w:sz="4" w:space="0"/>
              <w:right w:val="single" w:color="000000" w:sz="4" w:space="0"/>
            </w:tcBorders>
            <w:shd w:val="clear" w:color="auto" w:fill="FFFFFF"/>
            <w:vAlign w:val="center"/>
          </w:tcPr>
          <w:p>
            <w:pPr>
              <w:spacing w:before="0" w:beforeAutospacing="0" w:after="0" w:afterAutospacing="0"/>
              <w:ind w:left="0" w:right="-61" w:rightChars="-2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根据对项目需求重点、难点进行分析，进行分析后提出的切实可行、思维缜密、针对性强的解决方案等方面综合评审；</w:t>
            </w:r>
            <w:r>
              <w:rPr>
                <w:rFonts w:hint="eastAsia" w:ascii="仿宋" w:hAnsi="仿宋" w:eastAsia="仿宋" w:cs="仿宋"/>
                <w:color w:val="000000" w:themeColor="text1"/>
                <w:sz w:val="24"/>
                <w:szCs w:val="24"/>
                <w:highlight w:val="none"/>
                <w:lang w:val="zh-CN" w:eastAsia="zh-CN"/>
                <w14:textFill>
                  <w14:solidFill>
                    <w14:schemeClr w14:val="tx1"/>
                  </w14:solidFill>
                </w14:textFill>
              </w:rPr>
              <w:t>方案内容详实，逻辑缜密，具有针对性，可实施性强的得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val="zh-CN" w:eastAsia="zh-CN"/>
                <w14:textFill>
                  <w14:solidFill>
                    <w14:schemeClr w14:val="tx1"/>
                  </w14:solidFill>
                </w14:textFill>
              </w:rPr>
              <w:t>分；方案内容较详实，基本能符合采购需要，针对性，可实施性一般的得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val="zh-CN" w:eastAsia="zh-CN"/>
                <w14:textFill>
                  <w14:solidFill>
                    <w14:schemeClr w14:val="tx1"/>
                  </w14:solidFill>
                </w14:textFill>
              </w:rPr>
              <w:t>分；方案或明显存在缺陷的，得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zh-CN" w:eastAsia="zh-CN"/>
                <w14:textFill>
                  <w14:solidFill>
                    <w14:schemeClr w14:val="tx1"/>
                  </w14:solidFill>
                </w14:textFill>
              </w:rPr>
              <w:t>分；未提供相关描述不得分。</w:t>
            </w:r>
          </w:p>
        </w:tc>
        <w:tc>
          <w:tcPr>
            <w:tcW w:w="873" w:type="dxa"/>
            <w:tcBorders>
              <w:top w:val="single" w:color="000000" w:sz="4" w:space="0"/>
              <w:left w:val="nil"/>
              <w:bottom w:val="single" w:color="000000" w:sz="4" w:space="0"/>
              <w:right w:val="single" w:color="000000" w:sz="4" w:space="0"/>
            </w:tcBorders>
            <w:shd w:val="clear" w:color="auto" w:fill="FFFFFF"/>
            <w:vAlign w:val="center"/>
          </w:tcPr>
          <w:p>
            <w:pPr>
              <w:spacing w:before="0" w:beforeAutospacing="0" w:after="0" w:afterAutospacing="0"/>
              <w:ind w:left="0" w:right="-61" w:rightChars="-2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snapToGrid w:val="0"/>
              <w:spacing w:before="0" w:beforeAutospacing="0" w:after="0" w:afterAutospacing="0" w:line="300" w:lineRule="exact"/>
              <w:ind w:left="0" w:right="3"/>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风险规避措施</w:t>
            </w:r>
          </w:p>
        </w:tc>
        <w:tc>
          <w:tcPr>
            <w:tcW w:w="7868" w:type="dxa"/>
            <w:tcBorders>
              <w:top w:val="single" w:color="000000" w:sz="4" w:space="0"/>
              <w:left w:val="nil"/>
              <w:bottom w:val="single" w:color="000000" w:sz="4" w:space="0"/>
              <w:right w:val="single" w:color="000000" w:sz="4" w:space="0"/>
            </w:tcBorders>
            <w:shd w:val="clear" w:color="auto" w:fill="FFFFFF"/>
            <w:vAlign w:val="center"/>
          </w:tcPr>
          <w:p>
            <w:pPr>
              <w:numPr>
                <w:ilvl w:val="0"/>
                <w:numId w:val="0"/>
              </w:numPr>
              <w:snapToGrid w:val="0"/>
              <w:spacing w:before="0" w:beforeAutospacing="0" w:after="0" w:afterAutospacing="0" w:line="300" w:lineRule="exact"/>
              <w:ind w:left="0" w:right="3"/>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对本项目的风险分析、规避风险措施的合理性和可操作性，风险管理措施、风险管理办法的全面性等进行评审；风险分析、规避风险措施合理性的、可操作性强，风险管理措施、风险管理办法全面性的得6分，风险分析、规避风险措施一般的、可操作性一般的，风险管理措施、风险管理办法的全面性一般的得4分，部分内容缺失的得2分。</w:t>
            </w:r>
          </w:p>
        </w:tc>
        <w:tc>
          <w:tcPr>
            <w:tcW w:w="873" w:type="dxa"/>
            <w:tcBorders>
              <w:top w:val="single" w:color="000000" w:sz="4" w:space="0"/>
              <w:left w:val="nil"/>
              <w:bottom w:val="single" w:color="000000" w:sz="4" w:space="0"/>
              <w:right w:val="single" w:color="000000" w:sz="4" w:space="0"/>
            </w:tcBorders>
            <w:shd w:val="clear" w:color="auto" w:fill="FFFFFF"/>
            <w:vAlign w:val="center"/>
          </w:tcPr>
          <w:p>
            <w:pPr>
              <w:numPr>
                <w:ilvl w:val="0"/>
                <w:numId w:val="0"/>
              </w:numPr>
              <w:snapToGrid w:val="0"/>
              <w:spacing w:before="0" w:beforeAutospacing="0" w:after="0" w:afterAutospacing="0" w:line="300" w:lineRule="exact"/>
              <w:ind w:left="0" w:right="3"/>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snapToGrid w:val="0"/>
              <w:spacing w:before="0" w:beforeAutospacing="0" w:after="0" w:afterAutospacing="0" w:line="300" w:lineRule="exact"/>
              <w:ind w:left="0" w:right="3"/>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关键技术方案</w:t>
            </w:r>
          </w:p>
        </w:tc>
        <w:tc>
          <w:tcPr>
            <w:tcW w:w="7868" w:type="dxa"/>
            <w:tcBorders>
              <w:top w:val="single" w:color="000000" w:sz="4" w:space="0"/>
              <w:left w:val="nil"/>
              <w:bottom w:val="single" w:color="000000" w:sz="4" w:space="0"/>
              <w:right w:val="single" w:color="000000" w:sz="4" w:space="0"/>
            </w:tcBorders>
            <w:shd w:val="clear" w:color="auto" w:fill="FFFFFF"/>
            <w:vAlign w:val="center"/>
          </w:tcPr>
          <w:p>
            <w:pPr>
              <w:numPr>
                <w:ilvl w:val="0"/>
                <w:numId w:val="0"/>
              </w:numPr>
              <w:snapToGrid w:val="0"/>
              <w:spacing w:before="0" w:beforeAutospacing="0" w:after="0" w:afterAutospacing="0" w:line="300" w:lineRule="exact"/>
              <w:ind w:left="0" w:right="3"/>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根据投标人针对提升</w:t>
            </w:r>
            <w:r>
              <w:rPr>
                <w:rFonts w:hint="eastAsia" w:ascii="仿宋" w:hAnsi="仿宋" w:eastAsia="仿宋" w:cs="仿宋"/>
                <w:color w:val="000000" w:themeColor="text1"/>
                <w:sz w:val="24"/>
                <w:szCs w:val="24"/>
                <w:highlight w:val="none"/>
                <w:lang w:val="en-US" w:eastAsia="zh-CN"/>
                <w14:textFill>
                  <w14:solidFill>
                    <w14:schemeClr w14:val="tx1"/>
                  </w14:solidFill>
                </w14:textFill>
              </w:rPr>
              <w:t>排查</w:t>
            </w:r>
            <w:r>
              <w:rPr>
                <w:rFonts w:hint="eastAsia" w:ascii="仿宋" w:hAnsi="仿宋" w:eastAsia="仿宋" w:cs="仿宋"/>
                <w:color w:val="000000" w:themeColor="text1"/>
                <w:sz w:val="24"/>
                <w:szCs w:val="24"/>
                <w:highlight w:val="none"/>
                <w:lang w:eastAsia="zh-CN"/>
                <w14:textFill>
                  <w14:solidFill>
                    <w14:schemeClr w14:val="tx1"/>
                  </w14:solidFill>
                </w14:textFill>
              </w:rPr>
              <w:t>鉴定效率、提供的关键技术解决方案进行</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w:t>
            </w:r>
            <w:r>
              <w:rPr>
                <w:rFonts w:hint="eastAsia" w:ascii="仿宋" w:hAnsi="仿宋" w:eastAsia="仿宋" w:cs="仿宋"/>
                <w:color w:val="000000" w:themeColor="text1"/>
                <w:sz w:val="24"/>
                <w:szCs w:val="24"/>
                <w:highlight w:val="none"/>
                <w:lang w:val="zh-CN" w:eastAsia="zh-CN"/>
                <w14:textFill>
                  <w14:solidFill>
                    <w14:schemeClr w14:val="tx1"/>
                  </w14:solidFill>
                </w14:textFill>
              </w:rPr>
              <w:t>方案内容详实，逻辑缜密，具有针对性，可实施性强的得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val="zh-CN" w:eastAsia="zh-CN"/>
                <w14:textFill>
                  <w14:solidFill>
                    <w14:schemeClr w14:val="tx1"/>
                  </w14:solidFill>
                </w14:textFill>
              </w:rPr>
              <w:t>分；方案内容较详实，基本能符合采购需要，针对性，可实施性一般的得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val="zh-CN" w:eastAsia="zh-CN"/>
                <w14:textFill>
                  <w14:solidFill>
                    <w14:schemeClr w14:val="tx1"/>
                  </w14:solidFill>
                </w14:textFill>
              </w:rPr>
              <w:t>分；方案或明显存在缺陷的，得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zh-CN" w:eastAsia="zh-CN"/>
                <w14:textFill>
                  <w14:solidFill>
                    <w14:schemeClr w14:val="tx1"/>
                  </w14:solidFill>
                </w14:textFill>
              </w:rPr>
              <w:t>分；未提供相关描述不得分。</w:t>
            </w:r>
          </w:p>
        </w:tc>
        <w:tc>
          <w:tcPr>
            <w:tcW w:w="873" w:type="dxa"/>
            <w:tcBorders>
              <w:top w:val="single" w:color="000000" w:sz="4" w:space="0"/>
              <w:left w:val="nil"/>
              <w:bottom w:val="single" w:color="000000" w:sz="4" w:space="0"/>
              <w:right w:val="single" w:color="000000" w:sz="4" w:space="0"/>
            </w:tcBorders>
            <w:shd w:val="clear" w:color="auto" w:fill="FFFFFF"/>
            <w:vAlign w:val="center"/>
          </w:tcPr>
          <w:p>
            <w:pPr>
              <w:numPr>
                <w:ilvl w:val="0"/>
                <w:numId w:val="0"/>
              </w:numPr>
              <w:snapToGrid w:val="0"/>
              <w:spacing w:before="0" w:beforeAutospacing="0" w:after="0" w:afterAutospacing="0" w:line="300" w:lineRule="exact"/>
              <w:ind w:left="0" w:right="3"/>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snapToGrid w:val="0"/>
              <w:spacing w:before="0" w:beforeAutospacing="0" w:after="0" w:afterAutospacing="0" w:line="300" w:lineRule="exact"/>
              <w:ind w:left="0" w:right="3"/>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内部管理制度</w:t>
            </w:r>
          </w:p>
        </w:tc>
        <w:tc>
          <w:tcPr>
            <w:tcW w:w="7868" w:type="dxa"/>
            <w:tcBorders>
              <w:top w:val="single" w:color="000000" w:sz="4" w:space="0"/>
              <w:left w:val="nil"/>
              <w:bottom w:val="single" w:color="000000" w:sz="4" w:space="0"/>
              <w:right w:val="single" w:color="000000" w:sz="4" w:space="0"/>
            </w:tcBorders>
            <w:shd w:val="clear" w:color="auto" w:fill="FFFFFF"/>
            <w:vAlign w:val="center"/>
          </w:tcPr>
          <w:p>
            <w:pPr>
              <w:numPr>
                <w:ilvl w:val="0"/>
                <w:numId w:val="0"/>
              </w:numPr>
              <w:snapToGrid w:val="0"/>
              <w:spacing w:before="0" w:beforeAutospacing="0" w:after="0" w:afterAutospacing="0" w:line="300" w:lineRule="exact"/>
              <w:ind w:left="0" w:right="3"/>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根据投标人提供的各项公众制度、内部岗位责任制度、管理运作制度、管理人员考核制度及标准，要求符合规范，体现高标准、高档次、科学合理、详细完备进行</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内容齐全</w:t>
            </w:r>
            <w:r>
              <w:rPr>
                <w:rFonts w:hint="eastAsia" w:ascii="仿宋" w:hAnsi="仿宋" w:eastAsia="仿宋" w:cs="仿宋"/>
                <w:color w:val="000000" w:themeColor="text1"/>
                <w:sz w:val="24"/>
                <w:szCs w:val="24"/>
                <w:highlight w:val="none"/>
                <w:lang w:eastAsia="zh-CN"/>
                <w14:textFill>
                  <w14:solidFill>
                    <w14:schemeClr w14:val="tx1"/>
                  </w14:solidFill>
                </w14:textFill>
              </w:rPr>
              <w:t>要求符合规范</w:t>
            </w:r>
            <w:r>
              <w:rPr>
                <w:rFonts w:hint="eastAsia" w:ascii="仿宋" w:hAnsi="仿宋" w:eastAsia="仿宋" w:cs="仿宋"/>
                <w:color w:val="000000" w:themeColor="text1"/>
                <w:sz w:val="24"/>
                <w:szCs w:val="24"/>
                <w:highlight w:val="none"/>
                <w:lang w:val="en-US" w:eastAsia="zh-CN"/>
                <w14:textFill>
                  <w14:solidFill>
                    <w14:schemeClr w14:val="tx1"/>
                  </w14:solidFill>
                </w14:textFill>
              </w:rPr>
              <w:t>的得6分，内容基本</w:t>
            </w:r>
            <w:r>
              <w:rPr>
                <w:rFonts w:hint="eastAsia" w:ascii="仿宋" w:hAnsi="仿宋" w:eastAsia="仿宋" w:cs="仿宋"/>
                <w:color w:val="000000" w:themeColor="text1"/>
                <w:sz w:val="24"/>
                <w:szCs w:val="24"/>
                <w:highlight w:val="none"/>
                <w:lang w:eastAsia="zh-CN"/>
                <w14:textFill>
                  <w14:solidFill>
                    <w14:schemeClr w14:val="tx1"/>
                  </w14:solidFill>
                </w14:textFill>
              </w:rPr>
              <w:t>符合规范要求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的得4分，部分内容缺失的得2分。</w:t>
            </w:r>
          </w:p>
        </w:tc>
        <w:tc>
          <w:tcPr>
            <w:tcW w:w="873" w:type="dxa"/>
            <w:tcBorders>
              <w:top w:val="single" w:color="000000" w:sz="4" w:space="0"/>
              <w:left w:val="nil"/>
              <w:bottom w:val="single" w:color="000000" w:sz="4" w:space="0"/>
              <w:right w:val="single" w:color="000000" w:sz="4" w:space="0"/>
            </w:tcBorders>
            <w:shd w:val="clear" w:color="auto" w:fill="FFFFFF"/>
            <w:vAlign w:val="center"/>
          </w:tcPr>
          <w:p>
            <w:pPr>
              <w:numPr>
                <w:ilvl w:val="0"/>
                <w:numId w:val="0"/>
              </w:numPr>
              <w:snapToGrid w:val="0"/>
              <w:spacing w:before="0" w:beforeAutospacing="0" w:after="0" w:afterAutospacing="0" w:line="300" w:lineRule="exact"/>
              <w:ind w:left="0" w:right="3"/>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6" w:hRule="atLeast"/>
        </w:trPr>
        <w:tc>
          <w:tcPr>
            <w:tcW w:w="1037"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line="400" w:lineRule="exact"/>
              <w:ind w:left="0" w:right="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拟派本项目组人员</w:t>
            </w:r>
          </w:p>
        </w:tc>
        <w:tc>
          <w:tcPr>
            <w:tcW w:w="7868" w:type="dxa"/>
            <w:tcBorders>
              <w:top w:val="single" w:color="000000" w:sz="4" w:space="0"/>
              <w:left w:val="nil"/>
              <w:bottom w:val="single" w:color="000000" w:sz="4" w:space="0"/>
              <w:right w:val="single" w:color="000000" w:sz="4" w:space="0"/>
            </w:tcBorders>
            <w:vAlign w:val="top"/>
          </w:tcPr>
          <w:p>
            <w:pPr>
              <w:numPr>
                <w:ilvl w:val="0"/>
                <w:numId w:val="5"/>
              </w:numPr>
              <w:snapToGrid w:val="0"/>
              <w:spacing w:before="0" w:beforeAutospacing="0" w:after="0" w:afterAutospacing="0" w:line="300" w:lineRule="exact"/>
              <w:ind w:left="0" w:right="3"/>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项目负责人</w:t>
            </w:r>
            <w:r>
              <w:rPr>
                <w:rFonts w:hint="eastAsia" w:ascii="仿宋" w:hAnsi="仿宋" w:eastAsia="仿宋" w:cs="仿宋"/>
                <w:color w:val="000000" w:themeColor="text1"/>
                <w:sz w:val="24"/>
                <w:szCs w:val="24"/>
                <w:highlight w:val="none"/>
                <w:lang w:eastAsia="zh-CN"/>
                <w14:textFill>
                  <w14:solidFill>
                    <w14:schemeClr w14:val="tx1"/>
                  </w14:solidFill>
                </w14:textFill>
              </w:rPr>
              <w:t>：具有一级注册结构工程师得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lang w:eastAsia="zh-CN"/>
                <w14:textFill>
                  <w14:solidFill>
                    <w14:schemeClr w14:val="tx1"/>
                  </w14:solidFill>
                </w14:textFill>
              </w:rPr>
              <w:t>级注册结构工程师得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分；具有</w:t>
            </w:r>
            <w:r>
              <w:rPr>
                <w:rFonts w:hint="eastAsia" w:ascii="仿宋" w:hAnsi="仿宋" w:eastAsia="仿宋" w:cs="仿宋"/>
                <w:color w:val="000000" w:themeColor="text1"/>
                <w:sz w:val="24"/>
                <w:szCs w:val="24"/>
                <w:highlight w:val="none"/>
                <w:lang w:val="en-US" w:eastAsia="zh-CN"/>
                <w14:textFill>
                  <w14:solidFill>
                    <w14:schemeClr w14:val="tx1"/>
                  </w14:solidFill>
                </w14:textFill>
              </w:rPr>
              <w:t>建筑类</w:t>
            </w:r>
            <w:r>
              <w:rPr>
                <w:rFonts w:hint="eastAsia" w:ascii="仿宋" w:hAnsi="仿宋" w:eastAsia="仿宋" w:cs="仿宋"/>
                <w:color w:val="000000" w:themeColor="text1"/>
                <w:sz w:val="24"/>
                <w:szCs w:val="24"/>
                <w:highlight w:val="none"/>
                <w:lang w:eastAsia="zh-CN"/>
                <w14:textFill>
                  <w14:solidFill>
                    <w14:schemeClr w14:val="tx1"/>
                  </w14:solidFill>
                </w14:textFill>
              </w:rPr>
              <w:t>高级工程师职称及以上得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建筑类</w:t>
            </w:r>
            <w:r>
              <w:rPr>
                <w:rFonts w:hint="eastAsia" w:ascii="仿宋" w:hAnsi="仿宋" w:eastAsia="仿宋" w:cs="仿宋"/>
                <w:color w:val="000000" w:themeColor="text1"/>
                <w:sz w:val="24"/>
                <w:szCs w:val="24"/>
                <w:highlight w:val="none"/>
                <w:lang w:eastAsia="zh-CN"/>
                <w14:textFill>
                  <w14:solidFill>
                    <w14:schemeClr w14:val="tx1"/>
                  </w14:solidFill>
                </w14:textFill>
              </w:rPr>
              <w:t>工程师职称</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lang w:eastAsia="zh-CN"/>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分；</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 xml:space="preserve"> </w:t>
            </w:r>
          </w:p>
          <w:p>
            <w:pPr>
              <w:numPr>
                <w:ilvl w:val="0"/>
                <w:numId w:val="0"/>
              </w:numPr>
              <w:snapToGrid w:val="0"/>
              <w:spacing w:before="0" w:beforeAutospacing="0" w:after="0" w:afterAutospacing="0" w:line="300" w:lineRule="exact"/>
              <w:ind w:left="0" w:right="3"/>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技术</w:t>
            </w:r>
            <w:r>
              <w:rPr>
                <w:rFonts w:hint="eastAsia" w:ascii="仿宋" w:hAnsi="仿宋" w:eastAsia="仿宋" w:cs="仿宋"/>
                <w:color w:val="000000" w:themeColor="text1"/>
                <w:sz w:val="24"/>
                <w:szCs w:val="24"/>
                <w:highlight w:val="none"/>
                <w14:textFill>
                  <w14:solidFill>
                    <w14:schemeClr w14:val="tx1"/>
                  </w14:solidFill>
                </w14:textFill>
              </w:rPr>
              <w:t>负责人</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具有</w:t>
            </w:r>
            <w:r>
              <w:rPr>
                <w:rFonts w:hint="eastAsia" w:ascii="仿宋" w:hAnsi="仿宋" w:eastAsia="仿宋" w:cs="仿宋"/>
                <w:color w:val="000000" w:themeColor="text1"/>
                <w:sz w:val="24"/>
                <w:szCs w:val="24"/>
                <w:highlight w:val="none"/>
                <w:lang w:eastAsia="zh-CN"/>
                <w14:textFill>
                  <w14:solidFill>
                    <w14:schemeClr w14:val="tx1"/>
                  </w14:solidFill>
                </w14:textFill>
              </w:rPr>
              <w:t>建筑工程</w:t>
            </w:r>
            <w:r>
              <w:rPr>
                <w:rFonts w:hint="eastAsia" w:ascii="仿宋" w:hAnsi="仿宋" w:eastAsia="仿宋" w:cs="仿宋"/>
                <w:color w:val="000000" w:themeColor="text1"/>
                <w:sz w:val="24"/>
                <w:szCs w:val="24"/>
                <w:highlight w:val="none"/>
                <w:lang w:eastAsia="zh-CN"/>
                <w14:textFill>
                  <w14:solidFill>
                    <w14:schemeClr w14:val="tx1"/>
                  </w14:solidFill>
                </w14:textFill>
              </w:rPr>
              <w:t>结构检测岗位证书</w:t>
            </w:r>
            <w:r>
              <w:rPr>
                <w:rFonts w:hint="eastAsia" w:ascii="仿宋" w:hAnsi="仿宋" w:eastAsia="仿宋" w:cs="仿宋"/>
                <w:color w:val="000000" w:themeColor="text1"/>
                <w:sz w:val="24"/>
                <w:szCs w:val="24"/>
                <w:highlight w:val="none"/>
                <w:lang w:val="en-US" w:eastAsia="zh-CN"/>
                <w14:textFill>
                  <w14:solidFill>
                    <w14:schemeClr w14:val="tx1"/>
                  </w14:solidFill>
                </w14:textFill>
              </w:rPr>
              <w:t>的得1分，具有建筑类</w:t>
            </w:r>
            <w:r>
              <w:rPr>
                <w:rFonts w:hint="eastAsia" w:ascii="仿宋" w:hAnsi="仿宋" w:eastAsia="仿宋" w:cs="仿宋"/>
                <w:color w:val="000000" w:themeColor="text1"/>
                <w:sz w:val="24"/>
                <w:szCs w:val="24"/>
                <w:highlight w:val="none"/>
                <w:lang w:eastAsia="zh-CN"/>
                <w14:textFill>
                  <w14:solidFill>
                    <w14:schemeClr w14:val="tx1"/>
                  </w14:solidFill>
                </w14:textFill>
              </w:rPr>
              <w:t>高级工程师及以上职称</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p>
          <w:p>
            <w:pPr>
              <w:snapToGrid w:val="0"/>
              <w:spacing w:before="0" w:beforeAutospacing="0" w:after="0" w:afterAutospacing="0" w:line="300" w:lineRule="exact"/>
              <w:ind w:left="0" w:right="3"/>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3.拟派项目组人员</w:t>
            </w:r>
            <w:r>
              <w:rPr>
                <w:rFonts w:hint="eastAsia" w:ascii="仿宋" w:hAnsi="仿宋" w:eastAsia="仿宋" w:cs="仿宋"/>
                <w:color w:val="000000" w:themeColor="text1"/>
                <w:sz w:val="24"/>
                <w:szCs w:val="24"/>
                <w:highlight w:val="none"/>
                <w:lang w:eastAsia="zh-CN"/>
                <w14:textFill>
                  <w14:solidFill>
                    <w14:schemeClr w14:val="tx1"/>
                  </w14:solidFill>
                </w14:textFill>
              </w:rPr>
              <w:t>（不包括项目负责人和技术负责人），基本配备项目组人员不得少于</w:t>
            </w:r>
            <w:r>
              <w:rPr>
                <w:rFonts w:hint="eastAsia" w:ascii="仿宋" w:hAnsi="仿宋" w:eastAsia="仿宋" w:cs="仿宋"/>
                <w:color w:val="000000" w:themeColor="text1"/>
                <w:sz w:val="24"/>
                <w:szCs w:val="24"/>
                <w:highlight w:val="none"/>
                <w:lang w:val="en-US" w:eastAsia="zh-CN"/>
                <w14:textFill>
                  <w14:solidFill>
                    <w14:schemeClr w14:val="tx1"/>
                  </w14:solidFill>
                </w14:textFill>
              </w:rPr>
              <w:t>5人，具有工程师及以上职称的每个得1分，此项最高得分5分。</w:t>
            </w:r>
          </w:p>
          <w:p>
            <w:pPr>
              <w:spacing w:before="0" w:beforeAutospacing="0" w:after="0" w:afterAutospacing="0" w:line="400" w:lineRule="exac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注：投标文件中</w:t>
            </w:r>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eastAsia="zh-CN"/>
                <w14:textFill>
                  <w14:solidFill>
                    <w14:schemeClr w14:val="tx1"/>
                  </w14:solidFill>
                </w14:textFill>
              </w:rPr>
              <w:t>上述三项人员</w:t>
            </w:r>
            <w:r>
              <w:rPr>
                <w:rFonts w:hint="eastAsia" w:ascii="仿宋" w:hAnsi="仿宋" w:eastAsia="仿宋" w:cs="仿宋"/>
                <w:color w:val="000000" w:themeColor="text1"/>
                <w:sz w:val="24"/>
                <w:szCs w:val="24"/>
                <w:highlight w:val="none"/>
                <w:lang w:val="en-US" w:eastAsia="zh-CN"/>
                <w14:textFill>
                  <w14:solidFill>
                    <w14:schemeClr w14:val="tx1"/>
                  </w14:solidFill>
                </w14:textFill>
              </w:rPr>
              <w:t>相关</w:t>
            </w:r>
            <w:r>
              <w:rPr>
                <w:rFonts w:hint="eastAsia" w:ascii="仿宋" w:hAnsi="仿宋" w:eastAsia="仿宋" w:cs="仿宋"/>
                <w:color w:val="000000" w:themeColor="text1"/>
                <w:sz w:val="24"/>
                <w:szCs w:val="24"/>
                <w:highlight w:val="none"/>
                <w14:textFill>
                  <w14:solidFill>
                    <w14:schemeClr w14:val="tx1"/>
                  </w14:solidFill>
                </w14:textFill>
              </w:rPr>
              <w:t>证书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及本单位近1个月社保证明扫描件加盖电子公章</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873" w:type="dxa"/>
            <w:tcBorders>
              <w:top w:val="single" w:color="000000" w:sz="4" w:space="0"/>
              <w:left w:val="nil"/>
              <w:bottom w:val="single" w:color="000000" w:sz="4" w:space="0"/>
              <w:right w:val="single" w:color="000000" w:sz="4" w:space="0"/>
            </w:tcBorders>
            <w:vAlign w:val="top"/>
          </w:tcPr>
          <w:p>
            <w:pPr>
              <w:spacing w:before="0" w:beforeAutospacing="0" w:after="0" w:afterAutospacing="0" w:line="400" w:lineRule="exact"/>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spacing w:before="0" w:beforeAutospacing="0" w:after="0" w:afterAutospacing="0" w:line="400" w:lineRule="exact"/>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spacing w:before="0" w:beforeAutospacing="0" w:after="0" w:afterAutospacing="0" w:line="400" w:lineRule="exact"/>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spacing w:before="0" w:beforeAutospacing="0" w:after="0" w:afterAutospacing="0" w:line="400" w:lineRule="exact"/>
              <w:ind w:left="0" w:right="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037"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line="400" w:lineRule="exact"/>
              <w:ind w:left="0" w:right="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投入本项目设备</w:t>
            </w:r>
          </w:p>
        </w:tc>
        <w:tc>
          <w:tcPr>
            <w:tcW w:w="7868" w:type="dxa"/>
            <w:tcBorders>
              <w:top w:val="single" w:color="000000" w:sz="4" w:space="0"/>
              <w:left w:val="nil"/>
              <w:bottom w:val="single" w:color="000000" w:sz="4" w:space="0"/>
              <w:right w:val="single" w:color="000000" w:sz="4" w:space="0"/>
            </w:tcBorders>
            <w:vAlign w:val="top"/>
          </w:tcPr>
          <w:p>
            <w:pPr>
              <w:spacing w:before="0" w:beforeAutospacing="0" w:after="0" w:afterAutospacing="0" w:line="400" w:lineRule="exact"/>
              <w:ind w:left="0" w:right="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投标人自有检测仪器设备（全站仪，电子水准仪，钢筋位置测定仪，数字回弹仪</w:t>
            </w:r>
            <w:r>
              <w:rPr>
                <w:rFonts w:hint="eastAsia" w:ascii="仿宋" w:hAnsi="仿宋" w:eastAsia="仿宋" w:cs="仿宋"/>
                <w:i w:val="0"/>
                <w:caps w:val="0"/>
                <w:color w:val="000000" w:themeColor="text1"/>
                <w:spacing w:val="0"/>
                <w:sz w:val="24"/>
                <w:szCs w:val="24"/>
                <w:highlight w:val="none"/>
                <w:shd w:val="clear" w:color="auto" w:fill="FFFFFF"/>
                <w14:textFill>
                  <w14:solidFill>
                    <w14:schemeClr w14:val="tx1"/>
                  </w14:solidFill>
                </w14:textFill>
              </w:rPr>
              <w:t>等</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），设备齐全的得8分，每缺一个扣2分，扣完为止 。投标文件中提供设备购置发票或购货合同扫描件加盖电子公章。</w:t>
            </w:r>
          </w:p>
        </w:tc>
        <w:tc>
          <w:tcPr>
            <w:tcW w:w="873" w:type="dxa"/>
            <w:tcBorders>
              <w:top w:val="single" w:color="000000" w:sz="4" w:space="0"/>
              <w:left w:val="nil"/>
              <w:bottom w:val="single" w:color="000000" w:sz="4" w:space="0"/>
              <w:right w:val="single" w:color="000000" w:sz="4" w:space="0"/>
            </w:tcBorders>
            <w:vAlign w:val="top"/>
          </w:tcPr>
          <w:p>
            <w:pPr>
              <w:spacing w:before="0" w:beforeAutospacing="0" w:after="0" w:afterAutospacing="0" w:line="400" w:lineRule="exact"/>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spacing w:before="0" w:beforeAutospacing="0" w:after="0" w:afterAutospacing="0" w:line="400" w:lineRule="exact"/>
              <w:ind w:left="0" w:right="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beforeAutospacing="0" w:after="0" w:afterAutospacing="0" w:line="360" w:lineRule="auto"/>
              <w:ind w:left="0" w:leftChars="0" w:right="-61" w:rightChars="-29"/>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后续服务</w:t>
            </w:r>
          </w:p>
        </w:tc>
        <w:tc>
          <w:tcPr>
            <w:tcW w:w="7868" w:type="dxa"/>
            <w:tcBorders>
              <w:top w:val="single" w:color="000000" w:sz="4" w:space="0"/>
              <w:left w:val="nil"/>
              <w:bottom w:val="single" w:color="000000" w:sz="4" w:space="0"/>
              <w:right w:val="single" w:color="000000" w:sz="4" w:space="0"/>
            </w:tcBorders>
            <w:shd w:val="clear" w:color="auto" w:fill="FFFFFF"/>
            <w:vAlign w:val="center"/>
          </w:tcPr>
          <w:p>
            <w:pPr>
              <w:spacing w:before="0" w:beforeAutospacing="0" w:after="0" w:afterAutospacing="0"/>
              <w:ind w:left="0" w:leftChars="0" w:right="-61" w:rightChars="-2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投标人承诺服务期结束后，建立单独的危房数据库（包含村、名单、房屋基本信息、疑似危房等信息（具体以采购人确认为准）），并提供与本项目相关的其他技术咨询服务齐全完整得5分，内容不齐全的得3分。</w:t>
            </w:r>
          </w:p>
        </w:tc>
        <w:tc>
          <w:tcPr>
            <w:tcW w:w="873" w:type="dxa"/>
            <w:tcBorders>
              <w:top w:val="single" w:color="000000" w:sz="4" w:space="0"/>
              <w:left w:val="nil"/>
              <w:bottom w:val="single" w:color="000000" w:sz="4" w:space="0"/>
              <w:right w:val="single" w:color="000000" w:sz="4" w:space="0"/>
            </w:tcBorders>
            <w:shd w:val="clear" w:color="auto" w:fill="FFFFFF"/>
            <w:vAlign w:val="center"/>
          </w:tcPr>
          <w:p>
            <w:pPr>
              <w:spacing w:before="0" w:beforeAutospacing="0" w:after="0" w:afterAutospacing="0" w:line="360" w:lineRule="auto"/>
              <w:ind w:left="0" w:leftChars="0" w:right="-61" w:rightChars="-29"/>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r>
    </w:tbl>
    <w:p>
      <w:pPr>
        <w:adjustRightInd/>
        <w:spacing w:line="440" w:lineRule="exact"/>
        <w:ind w:firstLine="42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商务分（</w:t>
      </w:r>
      <w:r>
        <w:rPr>
          <w:rFonts w:hint="eastAsia" w:ascii="仿宋" w:hAnsi="仿宋" w:eastAsia="仿宋" w:cs="仿宋"/>
          <w:b/>
          <w:bCs/>
          <w:color w:val="000000" w:themeColor="text1"/>
          <w:sz w:val="24"/>
          <w:highlight w:val="none"/>
          <w:lang w:val="en-US" w:eastAsia="zh-CN"/>
          <w14:textFill>
            <w14:solidFill>
              <w14:schemeClr w14:val="tx1"/>
            </w14:solidFill>
          </w14:textFill>
        </w:rPr>
        <w:t>15</w:t>
      </w:r>
      <w:r>
        <w:rPr>
          <w:rFonts w:hint="eastAsia" w:ascii="仿宋" w:hAnsi="仿宋" w:eastAsia="仿宋" w:cs="仿宋"/>
          <w:b/>
          <w:bCs/>
          <w:color w:val="000000" w:themeColor="text1"/>
          <w:sz w:val="24"/>
          <w:highlight w:val="none"/>
          <w14:textFill>
            <w14:solidFill>
              <w14:schemeClr w14:val="tx1"/>
            </w14:solidFill>
          </w14:textFill>
        </w:rPr>
        <w:t>分）：</w:t>
      </w:r>
    </w:p>
    <w:tbl>
      <w:tblPr>
        <w:tblStyle w:val="62"/>
        <w:tblW w:w="9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7901"/>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93" w:type="dxa"/>
            <w:tcBorders>
              <w:top w:val="single" w:color="000000" w:sz="4" w:space="0"/>
              <w:left w:val="single" w:color="000000" w:sz="4" w:space="0"/>
              <w:bottom w:val="single" w:color="000000" w:sz="4" w:space="0"/>
              <w:right w:val="single" w:color="000000" w:sz="4" w:space="0"/>
            </w:tcBorders>
            <w:vAlign w:val="top"/>
          </w:tcPr>
          <w:p>
            <w:pPr>
              <w:adjustRightInd/>
              <w:spacing w:before="0" w:beforeAutospacing="0" w:after="0" w:afterAutospacing="0" w:line="400" w:lineRule="exact"/>
              <w:ind w:left="0" w:right="0"/>
              <w:rPr>
                <w:rFonts w:hint="eastAsia" w:ascii="仿宋" w:hAnsi="仿宋" w:eastAsia="仿宋" w:cs="仿宋"/>
                <w:b/>
                <w:bCs/>
                <w:color w:val="000000" w:themeColor="text1"/>
                <w:sz w:val="24"/>
                <w:szCs w:val="24"/>
                <w:highlight w:val="none"/>
                <w14:textFill>
                  <w14:solidFill>
                    <w14:schemeClr w14:val="tx1"/>
                  </w14:solidFill>
                </w14:textFill>
              </w:rPr>
            </w:pPr>
            <w:bookmarkStart w:id="392" w:name="scoringRules1"/>
            <w:r>
              <w:rPr>
                <w:rFonts w:hint="eastAsia" w:ascii="仿宋" w:hAnsi="仿宋" w:eastAsia="仿宋" w:cs="仿宋"/>
                <w:b/>
                <w:bCs/>
                <w:color w:val="000000" w:themeColor="text1"/>
                <w:sz w:val="24"/>
                <w:szCs w:val="24"/>
                <w:highlight w:val="none"/>
                <w14:textFill>
                  <w14:solidFill>
                    <w14:schemeClr w14:val="tx1"/>
                  </w14:solidFill>
                </w14:textFill>
              </w:rPr>
              <w:t>评分细则</w:t>
            </w:r>
            <w:bookmarkEnd w:id="392"/>
          </w:p>
        </w:tc>
        <w:tc>
          <w:tcPr>
            <w:tcW w:w="7901" w:type="dxa"/>
            <w:tcBorders>
              <w:top w:val="single" w:color="000000" w:sz="4" w:space="0"/>
              <w:left w:val="nil"/>
              <w:bottom w:val="single" w:color="000000" w:sz="4" w:space="0"/>
              <w:right w:val="single" w:color="000000" w:sz="4" w:space="0"/>
            </w:tcBorders>
            <w:vAlign w:val="top"/>
          </w:tcPr>
          <w:p>
            <w:pPr>
              <w:adjustRightInd/>
              <w:spacing w:before="0" w:beforeAutospacing="0" w:after="0" w:afterAutospacing="0" w:line="400" w:lineRule="exact"/>
              <w:ind w:left="0" w:right="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评分细则内容</w:t>
            </w:r>
          </w:p>
        </w:tc>
        <w:tc>
          <w:tcPr>
            <w:tcW w:w="851" w:type="dxa"/>
            <w:tcBorders>
              <w:top w:val="single" w:color="000000" w:sz="4" w:space="0"/>
              <w:left w:val="nil"/>
              <w:bottom w:val="single" w:color="000000" w:sz="4" w:space="0"/>
              <w:right w:val="single" w:color="000000" w:sz="4" w:space="0"/>
            </w:tcBorders>
            <w:vAlign w:val="top"/>
          </w:tcPr>
          <w:p>
            <w:pPr>
              <w:adjustRightInd/>
              <w:spacing w:before="0" w:beforeAutospacing="0" w:after="0" w:afterAutospacing="0" w:line="400" w:lineRule="exact"/>
              <w:ind w:left="0" w:right="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分值(分)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93" w:type="dxa"/>
            <w:tcBorders>
              <w:top w:val="single" w:color="000000" w:sz="4" w:space="0"/>
              <w:left w:val="single" w:color="000000" w:sz="4" w:space="0"/>
              <w:bottom w:val="single" w:color="000000" w:sz="4" w:space="0"/>
              <w:right w:val="single" w:color="000000" w:sz="4" w:space="0"/>
            </w:tcBorders>
            <w:vAlign w:val="top"/>
          </w:tcPr>
          <w:p>
            <w:pPr>
              <w:adjustRightInd/>
              <w:spacing w:before="0" w:beforeAutospacing="0" w:after="0" w:afterAutospacing="0" w:line="400" w:lineRule="exact"/>
              <w:ind w:left="0" w:right="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体系认证</w:t>
            </w:r>
          </w:p>
        </w:tc>
        <w:tc>
          <w:tcPr>
            <w:tcW w:w="7901" w:type="dxa"/>
            <w:tcBorders>
              <w:top w:val="single" w:color="000000" w:sz="4" w:space="0"/>
              <w:left w:val="nil"/>
              <w:bottom w:val="single" w:color="000000" w:sz="4" w:space="0"/>
              <w:right w:val="single" w:color="000000" w:sz="4" w:space="0"/>
            </w:tcBorders>
            <w:vAlign w:val="top"/>
          </w:tcPr>
          <w:p>
            <w:pPr>
              <w:adjustRightInd/>
              <w:spacing w:before="0" w:beforeAutospacing="0" w:after="0" w:afterAutospacing="0" w:line="400" w:lineRule="exact"/>
              <w:ind w:left="0" w:right="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投标人具备ISO质量管理体系认证、ISO环境管理体系认证、职业健康安全管理体系</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每个得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分，最多</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pPr>
              <w:adjustRightInd/>
              <w:spacing w:before="0" w:beforeAutospacing="0" w:after="0" w:afterAutospacing="0" w:line="400" w:lineRule="exact"/>
              <w:ind w:left="0" w:right="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投标文件中提供相关证明文件扫描件加盖</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电子</w:t>
            </w:r>
            <w:r>
              <w:rPr>
                <w:rFonts w:hint="eastAsia" w:ascii="仿宋" w:hAnsi="仿宋" w:eastAsia="仿宋" w:cs="仿宋"/>
                <w:color w:val="000000" w:themeColor="text1"/>
                <w:kern w:val="0"/>
                <w:sz w:val="24"/>
                <w:szCs w:val="24"/>
                <w:highlight w:val="none"/>
                <w14:textFill>
                  <w14:solidFill>
                    <w14:schemeClr w14:val="tx1"/>
                  </w14:solidFill>
                </w14:textFill>
              </w:rPr>
              <w:t>公章。</w:t>
            </w:r>
          </w:p>
        </w:tc>
        <w:tc>
          <w:tcPr>
            <w:tcW w:w="851" w:type="dxa"/>
            <w:tcBorders>
              <w:top w:val="single" w:color="000000" w:sz="4" w:space="0"/>
              <w:left w:val="nil"/>
              <w:bottom w:val="single" w:color="000000" w:sz="4" w:space="0"/>
              <w:right w:val="single" w:color="000000" w:sz="4" w:space="0"/>
            </w:tcBorders>
            <w:vAlign w:val="top"/>
          </w:tcPr>
          <w:p>
            <w:pPr>
              <w:adjustRightInd/>
              <w:spacing w:before="0" w:beforeAutospacing="0" w:after="0" w:afterAutospacing="0" w:line="400" w:lineRule="exact"/>
              <w:ind w:left="0" w:right="0"/>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93" w:type="dxa"/>
            <w:vMerge w:val="restart"/>
            <w:tcBorders>
              <w:top w:val="single" w:color="000000" w:sz="4" w:space="0"/>
              <w:left w:val="single" w:color="000000" w:sz="4" w:space="0"/>
              <w:right w:val="single" w:color="000000" w:sz="4" w:space="0"/>
            </w:tcBorders>
            <w:vAlign w:val="top"/>
          </w:tcPr>
          <w:p>
            <w:pPr>
              <w:adjustRightInd/>
              <w:spacing w:before="0" w:beforeAutospacing="0" w:after="0" w:afterAutospacing="0" w:line="400" w:lineRule="exact"/>
              <w:ind w:left="0" w:right="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p>
            <w:pPr>
              <w:adjustRightInd/>
              <w:spacing w:before="0" w:beforeAutospacing="0" w:after="0" w:afterAutospacing="0" w:line="400" w:lineRule="exact"/>
              <w:ind w:left="0" w:right="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行业资信技术能力</w:t>
            </w:r>
          </w:p>
          <w:p>
            <w:pPr>
              <w:adjustRightInd/>
              <w:spacing w:before="0" w:beforeAutospacing="0" w:after="0" w:afterAutospacing="0" w:line="400" w:lineRule="exact"/>
              <w:ind w:left="0" w:right="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c>
          <w:tcPr>
            <w:tcW w:w="7901" w:type="dxa"/>
            <w:tcBorders>
              <w:top w:val="single" w:color="000000" w:sz="4" w:space="0"/>
              <w:left w:val="nil"/>
              <w:bottom w:val="single" w:color="000000" w:sz="4" w:space="0"/>
              <w:right w:val="single" w:color="000000" w:sz="4" w:space="0"/>
            </w:tcBorders>
            <w:vAlign w:val="center"/>
          </w:tcPr>
          <w:p>
            <w:pPr>
              <w:adjustRightInd/>
              <w:spacing w:before="0" w:beforeAutospacing="0" w:after="0" w:afterAutospacing="0" w:line="400" w:lineRule="exact"/>
              <w:ind w:left="0" w:right="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企业进入省高级人民法院对外委托机构信息平台中具有建设工程质量检测鉴定能力的得4分（被暂停的除外）。（以省高级人民法院对外委托机构信息平台的企业信息网页扫描件加盖电子公章，未提供不得分。）</w:t>
            </w:r>
          </w:p>
        </w:tc>
        <w:tc>
          <w:tcPr>
            <w:tcW w:w="851" w:type="dxa"/>
            <w:tcBorders>
              <w:top w:val="single" w:color="000000" w:sz="4" w:space="0"/>
              <w:left w:val="nil"/>
              <w:bottom w:val="single" w:color="000000" w:sz="4" w:space="0"/>
              <w:right w:val="single" w:color="000000" w:sz="4" w:space="0"/>
            </w:tcBorders>
            <w:vAlign w:val="center"/>
          </w:tcPr>
          <w:p>
            <w:pPr>
              <w:adjustRightInd/>
              <w:spacing w:before="0" w:beforeAutospacing="0" w:after="0" w:afterAutospacing="0" w:line="400" w:lineRule="exact"/>
              <w:ind w:left="0" w:right="0"/>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93" w:type="dxa"/>
            <w:vMerge w:val="continue"/>
            <w:tcBorders>
              <w:left w:val="single" w:color="000000" w:sz="4" w:space="0"/>
              <w:bottom w:val="single" w:color="000000" w:sz="4" w:space="0"/>
              <w:right w:val="single" w:color="000000" w:sz="4" w:space="0"/>
            </w:tcBorders>
            <w:vAlign w:val="top"/>
          </w:tcPr>
          <w:p>
            <w:pPr>
              <w:adjustRightInd/>
              <w:spacing w:before="0" w:beforeAutospacing="0" w:after="0" w:afterAutospacing="0" w:line="400" w:lineRule="exact"/>
              <w:ind w:left="0" w:right="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c>
          <w:tcPr>
            <w:tcW w:w="7901" w:type="dxa"/>
            <w:tcBorders>
              <w:top w:val="single" w:color="000000" w:sz="4" w:space="0"/>
              <w:left w:val="nil"/>
              <w:bottom w:val="single" w:color="000000" w:sz="4" w:space="0"/>
              <w:right w:val="single" w:color="000000" w:sz="4" w:space="0"/>
            </w:tcBorders>
            <w:vAlign w:val="center"/>
          </w:tcPr>
          <w:p>
            <w:pPr>
              <w:adjustRightInd/>
              <w:spacing w:before="0" w:beforeAutospacing="0" w:after="0" w:afterAutospacing="0" w:line="400" w:lineRule="exact"/>
              <w:ind w:left="0" w:right="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房屋安全鉴定单位列入2022年度杭州市房屋安全鉴定单位备案名录库得4分。（以杭州市住房保障和房产管理局网上备案名录网页截图或扫描件加盖电子公章，未提供不得分。）</w:t>
            </w:r>
          </w:p>
        </w:tc>
        <w:tc>
          <w:tcPr>
            <w:tcW w:w="851" w:type="dxa"/>
            <w:tcBorders>
              <w:top w:val="single" w:color="000000" w:sz="4" w:space="0"/>
              <w:left w:val="nil"/>
              <w:bottom w:val="single" w:color="000000" w:sz="4" w:space="0"/>
              <w:right w:val="single" w:color="000000" w:sz="4" w:space="0"/>
            </w:tcBorders>
            <w:vAlign w:val="center"/>
          </w:tcPr>
          <w:p>
            <w:pPr>
              <w:adjustRightInd/>
              <w:spacing w:before="0" w:beforeAutospacing="0" w:after="0" w:afterAutospacing="0" w:line="400" w:lineRule="exact"/>
              <w:ind w:left="0" w:right="0"/>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93" w:type="dxa"/>
            <w:tcBorders>
              <w:top w:val="single" w:color="000000" w:sz="4" w:space="0"/>
              <w:left w:val="single" w:color="000000" w:sz="4" w:space="0"/>
              <w:bottom w:val="single" w:color="000000" w:sz="4" w:space="0"/>
              <w:right w:val="single" w:color="000000" w:sz="4" w:space="0"/>
            </w:tcBorders>
            <w:vAlign w:val="top"/>
          </w:tcPr>
          <w:p>
            <w:pPr>
              <w:adjustRightInd/>
              <w:spacing w:before="0" w:beforeAutospacing="0" w:after="0" w:afterAutospacing="0" w:line="400" w:lineRule="exact"/>
              <w:ind w:left="0" w:right="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业绩</w:t>
            </w:r>
          </w:p>
        </w:tc>
        <w:tc>
          <w:tcPr>
            <w:tcW w:w="7901"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300" w:lineRule="exact"/>
              <w:ind w:left="0" w:right="3"/>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根据自201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年1月1日以来（以合同签订时间为准），投标人完成的类似项目每个</w:t>
            </w:r>
            <w:r>
              <w:rPr>
                <w:rFonts w:hint="eastAsia" w:ascii="仿宋" w:hAnsi="仿宋" w:eastAsia="仿宋" w:cs="仿宋"/>
                <w:color w:val="000000" w:themeColor="text1"/>
                <w:sz w:val="24"/>
                <w:szCs w:val="24"/>
                <w:highlight w:val="none"/>
                <w:lang w:val="en-US" w:eastAsia="zh-CN"/>
                <w14:textFill>
                  <w14:solidFill>
                    <w14:schemeClr w14:val="tx1"/>
                  </w14:solidFill>
                </w14:textFill>
              </w:rPr>
              <w:t>得0.25分，最高1分。</w:t>
            </w:r>
          </w:p>
          <w:p>
            <w:pPr>
              <w:widowControl/>
              <w:spacing w:before="0" w:beforeAutospacing="0" w:after="0" w:afterAutospacing="0" w:line="400" w:lineRule="exact"/>
              <w:ind w:left="0" w:right="0"/>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投标文件中提供合同</w:t>
            </w:r>
            <w:r>
              <w:rPr>
                <w:rFonts w:hint="eastAsia" w:ascii="仿宋" w:hAnsi="仿宋" w:eastAsia="仿宋" w:cs="仿宋"/>
                <w:color w:val="000000" w:themeColor="text1"/>
                <w:sz w:val="24"/>
                <w:szCs w:val="24"/>
                <w:highlight w:val="none"/>
                <w:lang w:val="en-US" w:eastAsia="zh-CN"/>
                <w14:textFill>
                  <w14:solidFill>
                    <w14:schemeClr w14:val="tx1"/>
                  </w14:solidFill>
                </w14:textFill>
              </w:rPr>
              <w:t>扫描件并加盖电子公章</w:t>
            </w:r>
            <w:r>
              <w:rPr>
                <w:rFonts w:hint="eastAsia" w:ascii="仿宋" w:hAnsi="仿宋" w:eastAsia="仿宋" w:cs="仿宋"/>
                <w:color w:val="000000" w:themeColor="text1"/>
                <w:sz w:val="24"/>
                <w:szCs w:val="24"/>
                <w:highlight w:val="none"/>
                <w14:textFill>
                  <w14:solidFill>
                    <w14:schemeClr w14:val="tx1"/>
                  </w14:solidFill>
                </w14:textFill>
              </w:rPr>
              <w:t>。</w:t>
            </w:r>
          </w:p>
        </w:tc>
        <w:tc>
          <w:tcPr>
            <w:tcW w:w="851" w:type="dxa"/>
            <w:tcBorders>
              <w:top w:val="single" w:color="000000" w:sz="4" w:space="0"/>
              <w:left w:val="nil"/>
              <w:bottom w:val="single" w:color="000000" w:sz="4" w:space="0"/>
              <w:right w:val="single" w:color="000000" w:sz="4" w:space="0"/>
            </w:tcBorders>
            <w:vAlign w:val="top"/>
          </w:tcPr>
          <w:p>
            <w:pPr>
              <w:adjustRightInd/>
              <w:spacing w:before="0" w:beforeAutospacing="0" w:after="0" w:afterAutospacing="0" w:line="400" w:lineRule="exact"/>
              <w:ind w:left="0" w:right="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r>
    </w:tbl>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p>
    <w:p>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w:t>
      </w:r>
      <w:r>
        <w:rPr>
          <w:rFonts w:hint="eastAsia" w:ascii="仿宋" w:hAnsi="仿宋" w:eastAsia="仿宋" w:cs="仿宋"/>
          <w:b/>
          <w:color w:val="000000" w:themeColor="text1"/>
          <w:kern w:val="0"/>
          <w:sz w:val="24"/>
          <w:highlight w:val="none"/>
          <w14:textFill>
            <w14:solidFill>
              <w14:schemeClr w14:val="tx1"/>
            </w14:solidFill>
          </w14:textFill>
        </w:rPr>
        <w:t>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w:t>
      </w:r>
      <w:r>
        <w:rPr>
          <w:rFonts w:hint="eastAsia" w:ascii="仿宋" w:hAnsi="仿宋" w:eastAsia="仿宋" w:cs="仿宋"/>
          <w:color w:val="000000" w:themeColor="text1"/>
          <w:kern w:val="0"/>
          <w:sz w:val="24"/>
          <w:highlight w:val="none"/>
          <w14:textFill>
            <w14:solidFill>
              <w14:schemeClr w14:val="tx1"/>
            </w14:solidFill>
          </w14:textFill>
        </w:rPr>
        <w:t>不</w:t>
      </w:r>
      <w:r>
        <w:rPr>
          <w:rFonts w:hint="eastAsia" w:ascii="仿宋" w:hAnsi="仿宋" w:eastAsia="仿宋" w:cs="仿宋"/>
          <w:color w:val="000000" w:themeColor="text1"/>
          <w:kern w:val="0"/>
          <w:sz w:val="24"/>
          <w:highlight w:val="none"/>
          <w14:textFill>
            <w14:solidFill>
              <w14:schemeClr w14:val="tx1"/>
            </w14:solidFill>
          </w14:textFill>
        </w:rPr>
        <w:t>满足招标文件的实质性要求</w:t>
      </w:r>
      <w:r>
        <w:rPr>
          <w:rFonts w:hint="eastAsia" w:ascii="仿宋" w:hAnsi="仿宋" w:eastAsia="仿宋" w:cs="仿宋"/>
          <w:color w:val="000000" w:themeColor="text1"/>
          <w:kern w:val="0"/>
          <w:sz w:val="24"/>
          <w:highlight w:val="none"/>
          <w14:textFill>
            <w14:solidFill>
              <w14:schemeClr w14:val="tx1"/>
            </w14:solidFill>
          </w14:textFill>
        </w:rPr>
        <w:t>的，投标无效。</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 xml:space="preserve">3.2 </w:t>
      </w:r>
      <w:r>
        <w:rPr>
          <w:rFonts w:hint="eastAsia" w:ascii="仿宋" w:hAnsi="仿宋" w:eastAsia="仿宋" w:cs="仿宋"/>
          <w:b/>
          <w:color w:val="000000" w:themeColor="text1"/>
          <w:kern w:val="0"/>
          <w:sz w:val="24"/>
          <w:highlight w:val="none"/>
          <w14:textFill>
            <w14:solidFill>
              <w14:schemeClr w14:val="tx1"/>
            </w14:solidFill>
          </w14:textFill>
        </w:rPr>
        <w:t>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pPr>
        <w:pStyle w:val="85"/>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w:t>
      </w:r>
      <w:r>
        <w:rPr>
          <w:rFonts w:hint="eastAsia" w:ascii="仿宋" w:hAnsi="仿宋" w:eastAsia="仿宋" w:cs="仿宋"/>
          <w:color w:val="000000" w:themeColor="text1"/>
          <w:kern w:val="0"/>
          <w:szCs w:val="24"/>
          <w:highlight w:val="none"/>
          <w14:textFill>
            <w14:solidFill>
              <w14:schemeClr w14:val="tx1"/>
            </w14:solidFill>
          </w14:textFill>
        </w:rPr>
        <w:t>规定的顺序修正。修正后的报价按照财政部第</w:t>
      </w:r>
      <w:r>
        <w:rPr>
          <w:rFonts w:hint="eastAsia" w:ascii="仿宋" w:hAnsi="仿宋" w:eastAsia="仿宋" w:cs="仿宋"/>
          <w:color w:val="000000" w:themeColor="text1"/>
          <w:kern w:val="0"/>
          <w:szCs w:val="24"/>
          <w:highlight w:val="none"/>
          <w14:textFill>
            <w14:solidFill>
              <w14:schemeClr w14:val="tx1"/>
            </w14:solidFill>
          </w14:textFill>
        </w:rPr>
        <w:t xml:space="preserve">87号令 </w:t>
      </w:r>
      <w:r>
        <w:rPr>
          <w:rFonts w:hint="eastAsia" w:ascii="仿宋" w:hAnsi="仿宋" w:eastAsia="仿宋" w:cs="仿宋"/>
          <w:color w:val="000000" w:themeColor="text1"/>
          <w:kern w:val="0"/>
          <w:szCs w:val="24"/>
          <w:highlight w:val="none"/>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14:textFill>
            <w14:solidFill>
              <w14:schemeClr w14:val="tx1"/>
            </w14:solidFill>
          </w14:textFill>
        </w:rPr>
        <w:t>投标报价超过招标文件中规定的预算金额或者最高限价的，投标无效。</w:t>
      </w:r>
    </w:p>
    <w:p>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w:t>
      </w:r>
      <w:r>
        <w:rPr>
          <w:rFonts w:hint="eastAsia" w:ascii="仿宋" w:hAnsi="仿宋" w:eastAsia="仿宋" w:cs="仿宋"/>
          <w:color w:val="000000" w:themeColor="text1"/>
          <w:kern w:val="0"/>
          <w:szCs w:val="24"/>
          <w:highlight w:val="none"/>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color w:val="000000" w:themeColor="text1"/>
          <w:kern w:val="0"/>
          <w:szCs w:val="24"/>
          <w:highlight w:val="none"/>
          <w14:textFill>
            <w14:solidFill>
              <w14:schemeClr w14:val="tx1"/>
            </w14:solidFill>
          </w14:textFill>
        </w:rPr>
        <w:t>;投标人不能证明其报价合理性的，评标委员会应当将其作为无效投标处理。</w:t>
      </w:r>
    </w:p>
    <w:p>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w:t>
      </w:r>
      <w:r>
        <w:rPr>
          <w:rFonts w:hint="eastAsia" w:ascii="仿宋" w:hAnsi="仿宋" w:eastAsia="仿宋" w:cs="仿宋"/>
          <w:color w:val="000000" w:themeColor="text1"/>
          <w:kern w:val="0"/>
          <w:szCs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00" w:themeColor="text1"/>
          <w:kern w:val="0"/>
          <w:szCs w:val="24"/>
          <w:highlight w:val="none"/>
          <w:lang w:val="en-US" w:eastAsia="zh-CN"/>
          <w14:textFill>
            <w14:solidFill>
              <w14:schemeClr w14:val="tx1"/>
            </w14:solidFill>
          </w14:textFill>
        </w:rPr>
        <w:t>20</w:t>
      </w:r>
      <w:r>
        <w:rPr>
          <w:rFonts w:hint="eastAsia" w:ascii="仿宋" w:hAnsi="仿宋" w:eastAsia="仿宋" w:cs="仿宋"/>
          <w:color w:val="000000" w:themeColor="text1"/>
          <w:kern w:val="0"/>
          <w:szCs w:val="24"/>
          <w:highlight w:val="none"/>
          <w14:textFill>
            <w14:solidFill>
              <w14:schemeClr w14:val="tx1"/>
            </w14:solidFill>
          </w14:textFill>
        </w:rPr>
        <w:t>%的扣除，用扣除后的价格参与评审。接受大中型企业与小</w:t>
      </w:r>
      <w:r>
        <w:rPr>
          <w:rFonts w:hint="eastAsia" w:ascii="仿宋" w:hAnsi="仿宋" w:eastAsia="仿宋" w:cs="仿宋"/>
          <w:color w:val="000000" w:themeColor="text1"/>
          <w:kern w:val="0"/>
          <w:szCs w:val="24"/>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hint="eastAsia" w:ascii="仿宋" w:hAnsi="仿宋" w:eastAsia="仿宋" w:cs="仿宋"/>
          <w:color w:val="000000" w:themeColor="text1"/>
          <w:kern w:val="0"/>
          <w:szCs w:val="24"/>
          <w:highlight w:val="none"/>
          <w14:textFill>
            <w14:solidFill>
              <w14:schemeClr w14:val="tx1"/>
            </w14:solidFill>
          </w14:textFill>
        </w:rPr>
        <w:t>30%以上的，对联合体或者大中型企业的报价给予</w:t>
      </w:r>
      <w:r>
        <w:rPr>
          <w:rFonts w:hint="eastAsia" w:ascii="仿宋" w:hAnsi="仿宋" w:eastAsia="仿宋" w:cs="仿宋"/>
          <w:color w:val="000000" w:themeColor="text1"/>
          <w:kern w:val="0"/>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Cs w:val="24"/>
          <w:highlight w:val="none"/>
          <w14:textFill>
            <w14:solidFill>
              <w14:schemeClr w14:val="tx1"/>
            </w14:solidFill>
          </w14:textFill>
        </w:rPr>
        <w:t>%的扣除，用扣</w:t>
      </w:r>
      <w:r>
        <w:rPr>
          <w:rFonts w:hint="eastAsia" w:ascii="仿宋" w:hAnsi="仿宋" w:eastAsia="仿宋" w:cs="仿宋"/>
          <w:color w:val="000000" w:themeColor="text1"/>
          <w:kern w:val="0"/>
          <w:szCs w:val="24"/>
          <w:highlight w:val="none"/>
          <w14:textFill>
            <w14:solidFill>
              <w14:schemeClr w14:val="tx1"/>
            </w14:solidFill>
          </w14:textFill>
        </w:rPr>
        <w:t>除后的价格参加评审。组成联合体或者接受分包的小</w:t>
      </w:r>
      <w:r>
        <w:rPr>
          <w:rFonts w:hint="eastAsia" w:ascii="仿宋" w:hAnsi="仿宋" w:eastAsia="仿宋" w:cs="仿宋"/>
          <w:color w:val="000000" w:themeColor="text1"/>
          <w:kern w:val="0"/>
          <w:szCs w:val="24"/>
          <w:highlight w:val="none"/>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w:t>
      </w:r>
      <w:r>
        <w:rPr>
          <w:rFonts w:hint="eastAsia" w:ascii="仿宋" w:hAnsi="仿宋" w:eastAsia="仿宋" w:cs="仿宋"/>
          <w:b/>
          <w:color w:val="000000" w:themeColor="text1"/>
          <w:kern w:val="0"/>
          <w:sz w:val="24"/>
          <w:highlight w:val="none"/>
          <w14:textFill>
            <w14:solidFill>
              <w14:schemeClr w14:val="tx1"/>
            </w14:solidFill>
          </w14:textFill>
        </w:rPr>
        <w:t>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pPr>
        <w:pStyle w:val="85"/>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w:t>
      </w:r>
      <w:r>
        <w:rPr>
          <w:rFonts w:hint="eastAsia" w:ascii="仿宋" w:hAnsi="仿宋" w:eastAsia="仿宋" w:cs="仿宋"/>
          <w:b/>
          <w:color w:val="000000" w:themeColor="text1"/>
          <w:kern w:val="0"/>
          <w:szCs w:val="24"/>
          <w:highlight w:val="none"/>
          <w14:textFill>
            <w14:solidFill>
              <w14:schemeClr w14:val="tx1"/>
            </w14:solidFill>
          </w14:textFill>
        </w:rPr>
        <w:t>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有下列情况之一的，投标无效：</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仿宋"/>
          <w:color w:val="000000" w:themeColor="text1"/>
          <w:kern w:val="0"/>
          <w:sz w:val="24"/>
          <w:highlight w:val="none"/>
          <w14:textFill>
            <w14:solidFill>
              <w14:schemeClr w14:val="tx1"/>
            </w14:solidFill>
          </w14:textFill>
        </w:rPr>
        <w:t>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4.2.6投标文件出现不是唯一的、有选择性投标报价的;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w:t>
      </w:r>
      <w:r>
        <w:rPr>
          <w:rFonts w:hint="eastAsia" w:ascii="仿宋" w:hAnsi="仿宋" w:eastAsia="仿宋" w:cs="仿宋"/>
          <w:color w:val="000000" w:themeColor="text1"/>
          <w:kern w:val="0"/>
          <w:sz w:val="24"/>
          <w:highlight w:val="none"/>
          <w:lang w:val="en-US" w:eastAsia="zh-CN"/>
          <w14:textFill>
            <w14:solidFill>
              <w14:schemeClr w14:val="tx1"/>
            </w14:solidFill>
          </w14:textFill>
        </w:rPr>
        <w:t>未</w:t>
      </w:r>
      <w:r>
        <w:rPr>
          <w:rFonts w:hint="eastAsia" w:ascii="仿宋" w:hAnsi="仿宋" w:eastAsia="仿宋" w:cs="仿宋"/>
          <w:color w:val="000000" w:themeColor="text1"/>
          <w:kern w:val="0"/>
          <w:sz w:val="24"/>
          <w:highlight w:val="none"/>
          <w14:textFill>
            <w14:solidFill>
              <w14:schemeClr w14:val="tx1"/>
            </w14:solidFill>
          </w14:textFill>
        </w:rPr>
        <w:t>在电子交易平台传输递交投标文件的，投标无效；</w:t>
      </w:r>
    </w:p>
    <w:p>
      <w:pPr>
        <w:pStyle w:val="3"/>
        <w:ind w:left="862" w:leftChars="205"/>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 xml:space="preserve">4.2.13 </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投标文件不满足招标文件的带“▲”</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号</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实质性要求的；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废标后，采购机构应当将废标理由通知所有投标人。</w:t>
      </w:r>
    </w:p>
    <w:p>
      <w:pPr>
        <w:pStyle w:val="24"/>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7.1未确定中标或者中标人的，终止本次政府采购活动，重新开展政府采购</w:t>
      </w:r>
      <w:r>
        <w:rPr>
          <w:rFonts w:hint="eastAsia" w:ascii="仿宋" w:hAnsi="仿宋" w:eastAsia="仿宋" w:cs="仿宋"/>
          <w:color w:val="000000" w:themeColor="text1"/>
          <w:highlight w:val="none"/>
          <w14:textFill>
            <w14:solidFill>
              <w14:schemeClr w14:val="tx1"/>
            </w14:solidFill>
          </w14:textFill>
        </w:rPr>
        <w:t>活动。</w:t>
      </w:r>
    </w:p>
    <w:p>
      <w:pPr>
        <w:pStyle w:val="24"/>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w:t>
      </w:r>
      <w:r>
        <w:rPr>
          <w:rFonts w:hint="eastAsia" w:ascii="仿宋" w:hAnsi="仿宋" w:eastAsia="仿宋" w:cs="仿宋"/>
          <w:color w:val="000000" w:themeColor="text1"/>
          <w:highlight w:val="none"/>
          <w14:textFill>
            <w14:solidFill>
              <w14:schemeClr w14:val="tx1"/>
            </w14:solidFill>
          </w14:textFill>
        </w:rPr>
        <w:t>商造成损失的，由责任人承担赔偿责任。</w:t>
      </w:r>
    </w:p>
    <w:p>
      <w:pPr>
        <w:pStyle w:val="24"/>
        <w:snapToGrid w:val="0"/>
        <w:spacing w:line="360" w:lineRule="auto"/>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w:t>
      </w:r>
      <w:r>
        <w:rPr>
          <w:rFonts w:hint="eastAsia" w:ascii="仿宋" w:hAnsi="仿宋" w:eastAsia="仿宋" w:cs="仿宋"/>
          <w:color w:val="000000" w:themeColor="text1"/>
          <w:highlight w:val="none"/>
          <w14:textFill>
            <w14:solidFill>
              <w14:schemeClr w14:val="tx1"/>
            </w14:solidFill>
          </w14:textFill>
        </w:rPr>
        <w:t>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的行为，经改正后仍然影响或者可能影响中标、成交结果或者依法被认定为中标、成交无效的，依照</w:t>
      </w:r>
      <w:r>
        <w:rPr>
          <w:rFonts w:hint="eastAsia" w:ascii="仿宋" w:hAnsi="仿宋" w:eastAsia="仿宋" w:cs="仿宋"/>
          <w:color w:val="000000" w:themeColor="text1"/>
          <w:highlight w:val="none"/>
          <w14:textFill>
            <w14:solidFill>
              <w14:schemeClr w14:val="tx1"/>
            </w14:solidFill>
          </w14:textFill>
        </w:rPr>
        <w:t>7.1-7.4规定处理。</w:t>
      </w:r>
      <w:bookmarkEnd w:id="26"/>
      <w:bookmarkStart w:id="393" w:name="第五部分"/>
      <w:bookmarkStart w:id="394" w:name="_Toc86217003"/>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w:t>
      </w:r>
      <w:r>
        <w:rPr>
          <w:rFonts w:hint="eastAsia" w:ascii="仿宋" w:hAnsi="仿宋" w:eastAsia="仿宋" w:cs="仿宋"/>
          <w:b/>
          <w:color w:val="000000" w:themeColor="text1"/>
          <w:sz w:val="36"/>
          <w:szCs w:val="36"/>
          <w:highlight w:val="none"/>
          <w14:textFill>
            <w14:solidFill>
              <w14:schemeClr w14:val="tx1"/>
            </w14:solidFill>
          </w14:textFill>
        </w:rPr>
        <w:t xml:space="preserve"> </w:t>
      </w:r>
      <w:r>
        <w:rPr>
          <w:rFonts w:hint="eastAsia" w:ascii="仿宋" w:hAnsi="仿宋" w:eastAsia="仿宋" w:cs="仿宋"/>
          <w:b/>
          <w:color w:val="000000" w:themeColor="text1"/>
          <w:sz w:val="36"/>
          <w:szCs w:val="36"/>
          <w:highlight w:val="none"/>
          <w14:textFill>
            <w14:solidFill>
              <w14:schemeClr w14:val="tx1"/>
            </w14:solidFill>
          </w14:textFill>
        </w:rPr>
        <w:t>拟签订的合同文本</w:t>
      </w:r>
    </w:p>
    <w:p>
      <w:pPr>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480" w:lineRule="auto"/>
        <w:jc w:val="center"/>
        <w:rPr>
          <w:rFonts w:hint="eastAsia" w:ascii="仿宋" w:hAnsi="仿宋" w:eastAsia="仿宋" w:cs="仿宋"/>
          <w:b/>
          <w:color w:val="000000" w:themeColor="text1"/>
          <w:sz w:val="28"/>
          <w:szCs w:val="28"/>
          <w:highlight w:val="none"/>
          <w14:textFill>
            <w14:solidFill>
              <w14:schemeClr w14:val="tx1"/>
            </w14:solidFill>
          </w14:textFill>
        </w:rPr>
      </w:pPr>
    </w:p>
    <w:p>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pPr>
        <w:pStyle w:val="385"/>
        <w:rPr>
          <w:rFonts w:hint="eastAsia" w:ascii="仿宋" w:hAnsi="仿宋" w:eastAsia="仿宋" w:cs="仿宋"/>
          <w:color w:val="000000" w:themeColor="text1"/>
          <w:szCs w:val="24"/>
          <w:highlight w:val="none"/>
          <w14:textFill>
            <w14:solidFill>
              <w14:schemeClr w14:val="tx1"/>
            </w14:solidFill>
          </w14:textFill>
        </w:rPr>
      </w:pPr>
    </w:p>
    <w:p>
      <w:pPr>
        <w:pStyle w:val="385"/>
        <w:jc w:val="center"/>
        <w:rPr>
          <w:rFonts w:hint="eastAsia" w:ascii="仿宋" w:hAnsi="仿宋" w:eastAsia="仿宋" w:cs="仿宋"/>
          <w:color w:val="000000" w:themeColor="text1"/>
          <w:szCs w:val="24"/>
          <w:highlight w:val="none"/>
          <w14:textFill>
            <w14:solidFill>
              <w14:schemeClr w14:val="tx1"/>
            </w14:solidFill>
          </w14:textFill>
        </w:rPr>
      </w:pPr>
    </w:p>
    <w:p>
      <w:pPr>
        <w:pStyle w:val="385"/>
        <w:rPr>
          <w:rFonts w:hint="eastAsia" w:ascii="仿宋" w:hAnsi="仿宋" w:eastAsia="仿宋" w:cs="仿宋"/>
          <w:color w:val="000000" w:themeColor="text1"/>
          <w:szCs w:val="24"/>
          <w:highlight w:val="none"/>
          <w14:textFill>
            <w14:solidFill>
              <w14:schemeClr w14:val="tx1"/>
            </w14:solidFill>
          </w14:textFill>
        </w:rPr>
      </w:pPr>
    </w:p>
    <w:p>
      <w:pPr>
        <w:pStyle w:val="385"/>
        <w:rPr>
          <w:rFonts w:hint="eastAsia" w:ascii="仿宋" w:hAnsi="仿宋" w:eastAsia="仿宋" w:cs="仿宋"/>
          <w:color w:val="000000" w:themeColor="text1"/>
          <w:szCs w:val="24"/>
          <w:highlight w:val="none"/>
          <w14:textFill>
            <w14:solidFill>
              <w14:schemeClr w14:val="tx1"/>
            </w14:solidFill>
          </w14:textFill>
        </w:rPr>
      </w:pPr>
    </w:p>
    <w:p>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Style w:val="282"/>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pPr>
        <w:pStyle w:val="282"/>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widowControl/>
        <w:jc w:val="left"/>
        <w:rPr>
          <w:rFonts w:hint="eastAsia" w:ascii="仿宋" w:hAnsi="仿宋" w:eastAsia="仿宋" w:cs="仿宋"/>
          <w:color w:val="000000" w:themeColor="text1"/>
          <w:kern w:val="0"/>
          <w:sz w:val="24"/>
          <w:highlight w:val="none"/>
          <w14:textFill>
            <w14:solidFill>
              <w14:schemeClr w14:val="tx1"/>
            </w14:solidFill>
          </w14:textFill>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32"/>
        <w:adjustRightInd w:val="0"/>
        <w:snapToGrid w:val="0"/>
        <w:spacing w:line="360" w:lineRule="auto"/>
        <w:ind w:left="0" w:leftChars="0" w:right="0"/>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甲方：（买方）</w:t>
      </w:r>
    </w:p>
    <w:p>
      <w:pPr>
        <w:pStyle w:val="32"/>
        <w:adjustRightInd w:val="0"/>
        <w:snapToGrid w:val="0"/>
        <w:spacing w:line="360" w:lineRule="auto"/>
        <w:ind w:left="0" w:leftChars="0" w:right="0"/>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乙方：（卖方）</w:t>
      </w:r>
    </w:p>
    <w:p>
      <w:pPr>
        <w:pStyle w:val="32"/>
        <w:adjustRightInd w:val="0"/>
        <w:snapToGrid w:val="0"/>
        <w:spacing w:line="360" w:lineRule="auto"/>
        <w:ind w:left="0" w:leftChars="0" w:right="0"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合同签订依据为相关法律法规文件、采购文件、投标文件等、合同条款有与前者有冲突的，以前者为准。</w:t>
      </w:r>
    </w:p>
    <w:p>
      <w:pPr>
        <w:pStyle w:val="32"/>
        <w:adjustRightInd w:val="0"/>
        <w:snapToGrid w:val="0"/>
        <w:spacing w:line="360" w:lineRule="auto"/>
        <w:ind w:left="0" w:leftChars="0" w:right="0" w:firstLine="482" w:firstLineChars="200"/>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甲、乙双方根据                  项目（项目编号：</w:t>
      </w:r>
      <w:r>
        <w:rPr>
          <w:rFonts w:hint="eastAsia" w:ascii="仿宋" w:hAnsi="仿宋" w:eastAsia="仿宋" w:cs="仿宋"/>
          <w:b/>
          <w:bCs/>
          <w:color w:val="000000" w:themeColor="text1"/>
          <w:sz w:val="24"/>
          <w:szCs w:val="24"/>
          <w:highlight w:val="none"/>
          <w:lang w:eastAsia="zh-CN"/>
          <w14:textFill>
            <w14:solidFill>
              <w14:schemeClr w14:val="tx1"/>
            </w14:solidFill>
          </w14:textFill>
        </w:rPr>
        <w:t>HZLP</w:t>
      </w:r>
      <w:r>
        <w:rPr>
          <w:rFonts w:hint="eastAsia" w:ascii="仿宋" w:hAnsi="仿宋" w:eastAsia="仿宋" w:cs="仿宋"/>
          <w:b/>
          <w:bCs/>
          <w:color w:val="000000" w:themeColor="text1"/>
          <w:sz w:val="24"/>
          <w:szCs w:val="24"/>
          <w:highlight w:val="none"/>
          <w14:textFill>
            <w14:solidFill>
              <w14:schemeClr w14:val="tx1"/>
            </w14:solidFill>
          </w14:textFill>
        </w:rPr>
        <w:t>ZFCG-20  -    ）公开招标的结果，签署本合同。</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标的</w:t>
      </w:r>
    </w:p>
    <w:p>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标的</w:t>
      </w: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r>
        <w:rPr>
          <w:rFonts w:hint="eastAsia" w:ascii="仿宋" w:hAnsi="仿宋" w:eastAsia="仿宋" w:cs="仿宋"/>
          <w:color w:val="000000" w:themeColor="text1"/>
          <w:sz w:val="24"/>
          <w:highlight w:val="none"/>
          <w14:textFill>
            <w14:solidFill>
              <w14:schemeClr w14:val="tx1"/>
            </w14:solidFill>
          </w14:textFill>
        </w:rPr>
        <w:t>标的</w:t>
      </w:r>
      <w:r>
        <w:rPr>
          <w:rFonts w:hint="eastAsia" w:ascii="仿宋" w:hAnsi="仿宋" w:eastAsia="仿宋" w:cs="仿宋"/>
          <w:color w:val="000000" w:themeColor="text1"/>
          <w:sz w:val="24"/>
          <w:highlight w:val="none"/>
          <w14:textFill>
            <w14:solidFill>
              <w14:schemeClr w14:val="tx1"/>
            </w14:solidFill>
          </w14:textFill>
        </w:rPr>
        <w:t>数量：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1.3 </w:t>
      </w:r>
      <w:r>
        <w:rPr>
          <w:rFonts w:hint="eastAsia" w:ascii="仿宋" w:hAnsi="仿宋" w:eastAsia="仿宋" w:cs="仿宋"/>
          <w:color w:val="000000" w:themeColor="text1"/>
          <w:sz w:val="24"/>
          <w:highlight w:val="none"/>
          <w14:textFill>
            <w14:solidFill>
              <w14:schemeClr w14:val="tx1"/>
            </w14:solidFill>
          </w14:textFill>
        </w:rPr>
        <w:t>标的质量：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pStyle w:val="32"/>
        <w:adjustRightInd w:val="0"/>
        <w:snapToGrid w:val="0"/>
        <w:spacing w:line="360" w:lineRule="auto"/>
        <w:ind w:left="0" w:leftChars="0" w:right="0" w:firstLine="482" w:firstLineChars="200"/>
        <w:outlineLvl w:val="9"/>
        <w:rPr>
          <w:rFonts w:hint="eastAsia" w:ascii="仿宋" w:hAnsi="仿宋" w:eastAsia="仿宋" w:cs="仿宋"/>
          <w:b/>
          <w:bCs/>
          <w:color w:val="000000" w:themeColor="text1"/>
          <w:sz w:val="24"/>
          <w:szCs w:val="24"/>
          <w:highlight w:val="none"/>
          <w14:textFill>
            <w14:solidFill>
              <w14:schemeClr w14:val="tx1"/>
            </w14:solidFill>
          </w14:textFill>
        </w:rPr>
      </w:pPr>
    </w:p>
    <w:p>
      <w:pPr>
        <w:pStyle w:val="32"/>
        <w:adjustRightInd w:val="0"/>
        <w:snapToGrid w:val="0"/>
        <w:spacing w:line="360" w:lineRule="auto"/>
        <w:ind w:left="0" w:leftChars="0" w:right="0" w:firstLine="482" w:firstLineChars="200"/>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价款</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本合同总价为：￥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分项价格：</w:t>
      </w:r>
    </w:p>
    <w:tbl>
      <w:tblPr>
        <w:tblStyle w:val="63"/>
        <w:tblpPr w:leftFromText="180" w:rightFromText="180" w:vertAnchor="text" w:horzAnchor="page" w:tblpX="1400" w:tblpY="435"/>
        <w:tblOverlap w:val="never"/>
        <w:tblW w:w="10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331"/>
        <w:gridCol w:w="2183"/>
        <w:gridCol w:w="1923"/>
        <w:gridCol w:w="1077"/>
        <w:gridCol w:w="159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98"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序号</w:t>
            </w:r>
          </w:p>
        </w:tc>
        <w:tc>
          <w:tcPr>
            <w:tcW w:w="1331"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名称</w:t>
            </w:r>
          </w:p>
        </w:tc>
        <w:tc>
          <w:tcPr>
            <w:tcW w:w="2183"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范围</w:t>
            </w:r>
          </w:p>
        </w:tc>
        <w:tc>
          <w:tcPr>
            <w:tcW w:w="1923" w:type="dxa"/>
            <w:vAlign w:val="top"/>
          </w:tcPr>
          <w:p>
            <w:pPr>
              <w:pStyle w:val="24"/>
              <w:numPr>
                <w:ilvl w:val="0"/>
                <w:numId w:val="0"/>
              </w:numPr>
              <w:spacing w:before="0" w:beforeAutospacing="0" w:after="0" w:afterAutospacing="0"/>
              <w:ind w:left="0" w:leftChars="0" w:right="0" w:firstLine="0" w:firstLineChars="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单位</w:t>
            </w:r>
          </w:p>
        </w:tc>
        <w:tc>
          <w:tcPr>
            <w:tcW w:w="1077" w:type="dxa"/>
            <w:vAlign w:val="top"/>
          </w:tcPr>
          <w:p>
            <w:pPr>
              <w:pStyle w:val="24"/>
              <w:numPr>
                <w:ilvl w:val="0"/>
                <w:numId w:val="0"/>
              </w:numPr>
              <w:spacing w:before="0" w:beforeAutospacing="0" w:after="0" w:afterAutospacing="0"/>
              <w:ind w:left="0" w:leftChars="0" w:right="0" w:firstLine="0" w:firstLineChars="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数量</w:t>
            </w:r>
          </w:p>
        </w:tc>
        <w:tc>
          <w:tcPr>
            <w:tcW w:w="1595" w:type="dxa"/>
            <w:vAlign w:val="top"/>
          </w:tcPr>
          <w:p>
            <w:pPr>
              <w:pStyle w:val="24"/>
              <w:numPr>
                <w:ilvl w:val="0"/>
                <w:numId w:val="0"/>
              </w:numPr>
              <w:spacing w:before="0" w:beforeAutospacing="0" w:after="0" w:afterAutospacing="0"/>
              <w:ind w:left="0" w:leftChars="0" w:right="0" w:firstLine="0" w:firstLineChars="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综合单价（元/户）</w:t>
            </w:r>
          </w:p>
        </w:tc>
        <w:tc>
          <w:tcPr>
            <w:tcW w:w="1337" w:type="dxa"/>
            <w:vAlign w:val="top"/>
          </w:tcPr>
          <w:p>
            <w:pPr>
              <w:pStyle w:val="24"/>
              <w:numPr>
                <w:ilvl w:val="0"/>
                <w:numId w:val="0"/>
              </w:numPr>
              <w:spacing w:before="0" w:beforeAutospacing="0" w:after="0" w:afterAutospacing="0"/>
              <w:ind w:left="0" w:leftChars="0" w:right="0" w:firstLine="0" w:firstLineChars="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8"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1</w:t>
            </w:r>
          </w:p>
        </w:tc>
        <w:tc>
          <w:tcPr>
            <w:tcW w:w="1331"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c>
          <w:tcPr>
            <w:tcW w:w="2183" w:type="dxa"/>
            <w:vAlign w:val="top"/>
          </w:tcPr>
          <w:p>
            <w:pPr>
              <w:numPr>
                <w:ilvl w:val="0"/>
                <w:numId w:val="0"/>
              </w:numPr>
              <w:spacing w:before="0" w:beforeAutospacing="0" w:after="0" w:afterAutospacing="0" w:line="360" w:lineRule="auto"/>
              <w:ind w:left="0" w:right="0"/>
              <w:rPr>
                <w:rFonts w:hint="eastAsia" w:ascii="仿宋" w:hAnsi="仿宋" w:eastAsia="仿宋" w:cs="仿宋"/>
                <w:b w:val="0"/>
                <w:i w:val="0"/>
                <w:color w:val="000000" w:themeColor="text1"/>
                <w:sz w:val="24"/>
                <w:szCs w:val="24"/>
                <w:highlight w:val="none"/>
                <w14:textFill>
                  <w14:solidFill>
                    <w14:schemeClr w14:val="tx1"/>
                  </w14:solidFill>
                </w14:textFill>
              </w:rPr>
            </w:pPr>
          </w:p>
        </w:tc>
        <w:tc>
          <w:tcPr>
            <w:tcW w:w="1923"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c>
          <w:tcPr>
            <w:tcW w:w="1077"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c>
          <w:tcPr>
            <w:tcW w:w="1595"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c>
          <w:tcPr>
            <w:tcW w:w="1337"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8"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2</w:t>
            </w:r>
          </w:p>
        </w:tc>
        <w:tc>
          <w:tcPr>
            <w:tcW w:w="1331"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c>
          <w:tcPr>
            <w:tcW w:w="2183"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14:textFill>
                  <w14:solidFill>
                    <w14:schemeClr w14:val="tx1"/>
                  </w14:solidFill>
                </w14:textFill>
              </w:rPr>
            </w:pPr>
          </w:p>
        </w:tc>
        <w:tc>
          <w:tcPr>
            <w:tcW w:w="1923"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c>
          <w:tcPr>
            <w:tcW w:w="1077"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14:textFill>
                  <w14:solidFill>
                    <w14:schemeClr w14:val="tx1"/>
                  </w14:solidFill>
                </w14:textFill>
              </w:rPr>
            </w:pPr>
          </w:p>
        </w:tc>
        <w:tc>
          <w:tcPr>
            <w:tcW w:w="1595"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c>
          <w:tcPr>
            <w:tcW w:w="1337" w:type="dxa"/>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29" w:type="dxa"/>
            <w:gridSpan w:val="2"/>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投标报价（小写）</w:t>
            </w:r>
          </w:p>
        </w:tc>
        <w:tc>
          <w:tcPr>
            <w:tcW w:w="8115" w:type="dxa"/>
            <w:gridSpan w:val="5"/>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029" w:type="dxa"/>
            <w:gridSpan w:val="2"/>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投标报价（</w:t>
            </w:r>
            <w:r>
              <w:rPr>
                <w:rFonts w:hint="eastAsia" w:ascii="仿宋" w:hAnsi="仿宋" w:eastAsia="仿宋" w:cs="仿宋"/>
                <w:b/>
                <w:color w:val="000000" w:themeColor="text1"/>
                <w:sz w:val="24"/>
                <w:szCs w:val="20"/>
                <w:highlight w:val="none"/>
                <w:lang w:val="en-US" w:eastAsia="zh-CN"/>
                <w14:textFill>
                  <w14:solidFill>
                    <w14:schemeClr w14:val="tx1"/>
                  </w14:solidFill>
                </w14:textFill>
              </w:rPr>
              <w:t>大</w:t>
            </w:r>
            <w:r>
              <w:rPr>
                <w:rFonts w:hint="eastAsia" w:ascii="仿宋" w:hAnsi="仿宋" w:eastAsia="仿宋" w:cs="仿宋"/>
                <w:b/>
                <w:color w:val="000000" w:themeColor="text1"/>
                <w:sz w:val="24"/>
                <w:szCs w:val="20"/>
                <w:highlight w:val="none"/>
                <w14:textFill>
                  <w14:solidFill>
                    <w14:schemeClr w14:val="tx1"/>
                  </w14:solidFill>
                </w14:textFill>
              </w:rPr>
              <w:t>写）</w:t>
            </w:r>
          </w:p>
        </w:tc>
        <w:tc>
          <w:tcPr>
            <w:tcW w:w="8115" w:type="dxa"/>
            <w:gridSpan w:val="5"/>
            <w:vAlign w:val="top"/>
          </w:tcPr>
          <w:p>
            <w:pPr>
              <w:pStyle w:val="24"/>
              <w:numPr>
                <w:ilvl w:val="0"/>
                <w:numId w:val="0"/>
              </w:numPr>
              <w:spacing w:before="0" w:beforeAutospacing="0" w:after="0" w:afterAutospacing="0"/>
              <w:ind w:left="0" w:right="0"/>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r>
    </w:tbl>
    <w:p>
      <w:pPr>
        <w:spacing w:line="360" w:lineRule="auto"/>
        <w:ind w:firstLine="480" w:firstLineChars="200"/>
        <w:rPr>
          <w:rFonts w:hint="eastAsia" w:ascii="仿宋" w:hAnsi="仿宋" w:eastAsia="仿宋" w:cs="仿宋"/>
          <w:color w:val="000000" w:themeColor="text1"/>
          <w:kern w:val="0"/>
          <w:sz w:val="24"/>
          <w:szCs w:val="20"/>
          <w:highlight w:val="none"/>
          <w14:textFill>
            <w14:solidFill>
              <w14:schemeClr w14:val="tx1"/>
            </w14:solidFill>
          </w14:textFill>
        </w:rPr>
      </w:pPr>
    </w:p>
    <w:p>
      <w:pPr>
        <w:pStyle w:val="32"/>
        <w:adjustRightInd w:val="0"/>
        <w:snapToGrid w:val="0"/>
        <w:spacing w:line="360" w:lineRule="auto"/>
        <w:ind w:left="0" w:leftChars="0" w:right="0"/>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szCs w:val="24"/>
          <w:highlight w:val="none"/>
          <w14:textFill>
            <w14:solidFill>
              <w14:schemeClr w14:val="tx1"/>
            </w14:solidFill>
          </w14:textFill>
        </w:rPr>
        <w:t>技术资料</w:t>
      </w:r>
    </w:p>
    <w:p>
      <w:pPr>
        <w:pStyle w:val="32"/>
        <w:adjustRightInd w:val="0"/>
        <w:snapToGrid w:val="0"/>
        <w:spacing w:line="360" w:lineRule="auto"/>
        <w:ind w:left="0" w:leftChars="0" w:right="0"/>
        <w:outlineLvl w:val="9"/>
        <w:rPr>
          <w:rFonts w:hint="eastAsia" w:ascii="仿宋" w:hAnsi="仿宋" w:eastAsia="仿宋" w:cs="仿宋"/>
          <w:bCs w:val="0"/>
          <w:color w:val="000000" w:themeColor="text1"/>
          <w:kern w:val="0"/>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  </w:t>
      </w:r>
      <w:r>
        <w:rPr>
          <w:rFonts w:hint="eastAsia" w:ascii="仿宋" w:hAnsi="仿宋" w:eastAsia="仿宋" w:cs="仿宋"/>
          <w:bCs w:val="0"/>
          <w:color w:val="000000" w:themeColor="text1"/>
          <w:kern w:val="0"/>
          <w:sz w:val="24"/>
          <w:szCs w:val="20"/>
          <w:highlight w:val="none"/>
          <w:lang w:val="en-US" w:eastAsia="zh-CN" w:bidi="ar-SA"/>
          <w14:textFill>
            <w14:solidFill>
              <w14:schemeClr w14:val="tx1"/>
            </w14:solidFill>
          </w14:textFill>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仿宋"/>
          <w:b w:val="0"/>
          <w:color w:val="000000" w:themeColor="text1"/>
          <w:sz w:val="24"/>
          <w:szCs w:val="20"/>
          <w:highlight w:val="none"/>
          <w14:textFill>
            <w14:solidFill>
              <w14:schemeClr w14:val="tx1"/>
            </w14:solidFill>
          </w14:textFill>
        </w:rPr>
      </w:pPr>
      <w:r>
        <w:rPr>
          <w:rFonts w:hint="eastAsia" w:ascii="仿宋" w:hAnsi="仿宋" w:eastAsia="仿宋" w:cs="仿宋"/>
          <w:bCs w:val="0"/>
          <w:color w:val="000000" w:themeColor="text1"/>
          <w:kern w:val="0"/>
          <w:sz w:val="24"/>
          <w:szCs w:val="20"/>
          <w:highlight w:val="none"/>
          <w:lang w:val="en-US" w:eastAsia="zh-CN"/>
          <w14:textFill>
            <w14:solidFill>
              <w14:schemeClr w14:val="tx1"/>
            </w14:solidFill>
          </w14:textFill>
        </w:rPr>
        <w:t>3.2</w:t>
      </w:r>
      <w:r>
        <w:rPr>
          <w:rFonts w:hint="eastAsia" w:ascii="仿宋" w:hAnsi="仿宋" w:eastAsia="仿宋" w:cs="仿宋"/>
          <w:bCs w:val="0"/>
          <w:color w:val="000000" w:themeColor="text1"/>
          <w:kern w:val="0"/>
          <w:sz w:val="24"/>
          <w:szCs w:val="20"/>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仿宋"/>
          <w:bCs w:val="0"/>
          <w:color w:val="000000" w:themeColor="text1"/>
          <w:sz w:val="24"/>
          <w:szCs w:val="20"/>
          <w:highlight w:val="none"/>
          <w14:textFill>
            <w14:solidFill>
              <w14:schemeClr w14:val="tx1"/>
            </w14:solidFill>
          </w14:textFill>
        </w:rPr>
        <w:t>。</w:t>
      </w:r>
    </w:p>
    <w:p>
      <w:pPr>
        <w:adjustRightInd w:val="0"/>
        <w:snapToGrid w:val="0"/>
        <w:spacing w:line="360" w:lineRule="auto"/>
        <w:ind w:left="0" w:leftChars="0" w:right="0" w:firstLine="354" w:firstLineChars="147"/>
        <w:outlineLvl w:val="9"/>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4</w:t>
      </w:r>
      <w:r>
        <w:rPr>
          <w:rFonts w:hint="eastAsia" w:ascii="仿宋" w:hAnsi="仿宋" w:eastAsia="仿宋" w:cs="仿宋"/>
          <w:b/>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权利担保</w:t>
      </w:r>
    </w:p>
    <w:p>
      <w:pPr>
        <w:adjustRightInd w:val="0"/>
        <w:snapToGrid/>
        <w:spacing w:line="360" w:lineRule="auto"/>
        <w:ind w:left="0" w:leftChars="0" w:right="0" w:firstLine="480" w:firstLineChars="200"/>
        <w:outlineLvl w:val="9"/>
        <w:rPr>
          <w:rFonts w:hint="eastAsia" w:ascii="仿宋" w:hAnsi="仿宋" w:eastAsia="仿宋" w:cs="仿宋"/>
          <w:bCs w:val="0"/>
          <w:color w:val="000000" w:themeColor="text1"/>
          <w:sz w:val="24"/>
          <w:szCs w:val="20"/>
          <w:highlight w:val="none"/>
          <w14:textFill>
            <w14:solidFill>
              <w14:schemeClr w14:val="tx1"/>
            </w14:solidFill>
          </w14:textFill>
        </w:rPr>
      </w:pPr>
      <w:r>
        <w:rPr>
          <w:rFonts w:hint="eastAsia" w:ascii="仿宋" w:hAnsi="仿宋" w:eastAsia="仿宋" w:cs="仿宋"/>
          <w:bCs w:val="0"/>
          <w:color w:val="000000" w:themeColor="text1"/>
          <w:sz w:val="24"/>
          <w:szCs w:val="20"/>
          <w:highlight w:val="none"/>
          <w:lang w:val="en-US" w:eastAsia="zh-CN"/>
          <w14:textFill>
            <w14:solidFill>
              <w14:schemeClr w14:val="tx1"/>
            </w14:solidFill>
          </w14:textFill>
        </w:rPr>
        <w:t>4.1</w:t>
      </w:r>
      <w:r>
        <w:rPr>
          <w:rFonts w:hint="eastAsia" w:ascii="仿宋" w:hAnsi="仿宋" w:eastAsia="仿宋" w:cs="仿宋"/>
          <w:bCs w:val="0"/>
          <w:color w:val="000000" w:themeColor="text1"/>
          <w:sz w:val="24"/>
          <w:szCs w:val="20"/>
          <w:highlight w:val="none"/>
          <w14:textFill>
            <w14:solidFill>
              <w14:schemeClr w14:val="tx1"/>
            </w14:solidFill>
          </w14:textFill>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仿宋"/>
          <w:bCs w:val="0"/>
          <w:color w:val="000000" w:themeColor="text1"/>
          <w:sz w:val="24"/>
          <w:szCs w:val="20"/>
          <w:highlight w:val="none"/>
          <w14:textFill>
            <w14:solidFill>
              <w14:schemeClr w14:val="tx1"/>
            </w14:solidFill>
          </w14:textFill>
        </w:rPr>
      </w:pPr>
      <w:r>
        <w:rPr>
          <w:rFonts w:hint="eastAsia" w:ascii="仿宋" w:hAnsi="仿宋" w:eastAsia="仿宋" w:cs="仿宋"/>
          <w:bCs w:val="0"/>
          <w:color w:val="000000" w:themeColor="text1"/>
          <w:sz w:val="24"/>
          <w:szCs w:val="20"/>
          <w:highlight w:val="none"/>
          <w:lang w:val="en-US" w:eastAsia="zh-CN"/>
          <w14:textFill>
            <w14:solidFill>
              <w14:schemeClr w14:val="tx1"/>
            </w14:solidFill>
          </w14:textFill>
        </w:rPr>
        <w:t>4.2</w:t>
      </w:r>
      <w:r>
        <w:rPr>
          <w:rFonts w:hint="eastAsia" w:ascii="仿宋" w:hAnsi="仿宋" w:eastAsia="仿宋" w:cs="仿宋"/>
          <w:bCs w:val="0"/>
          <w:color w:val="000000" w:themeColor="text1"/>
          <w:sz w:val="24"/>
          <w:szCs w:val="20"/>
          <w:highlight w:val="none"/>
          <w14:textFill>
            <w14:solidFill>
              <w14:schemeClr w14:val="tx1"/>
            </w14:solidFill>
          </w14:textFill>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5</w:t>
      </w:r>
      <w:r>
        <w:rPr>
          <w:rFonts w:hint="eastAsia" w:ascii="仿宋" w:hAnsi="仿宋" w:eastAsia="仿宋" w:cs="仿宋"/>
          <w:b/>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履约保证金</w:t>
      </w:r>
    </w:p>
    <w:p>
      <w:pPr>
        <w:pStyle w:val="617"/>
        <w:spacing w:before="0" w:beforeAutospacing="0" w:after="0" w:afterAutospacing="0"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5.</w:t>
      </w:r>
      <w:r>
        <w:rPr>
          <w:rFonts w:hint="eastAsia" w:ascii="仿宋" w:hAnsi="仿宋" w:eastAsia="仿宋" w:cs="仿宋"/>
          <w:color w:val="000000" w:themeColor="text1"/>
          <w:highlight w:val="none"/>
          <w14:textFill>
            <w14:solidFill>
              <w14:schemeClr w14:val="tx1"/>
            </w14:solidFill>
          </w14:textFill>
        </w:rPr>
        <w:t xml:space="preserve">1 </w:t>
      </w:r>
      <w:r>
        <w:rPr>
          <w:rFonts w:hint="eastAsia" w:ascii="仿宋" w:hAnsi="仿宋" w:eastAsia="仿宋" w:cs="仿宋"/>
          <w:color w:val="000000" w:themeColor="text1"/>
          <w:highlight w:val="none"/>
          <w14:textFill>
            <w14:solidFill>
              <w14:schemeClr w14:val="tx1"/>
            </w14:solidFill>
          </w14:textFill>
        </w:rPr>
        <w:t>采购文件要求乙方提交履约保证金的，乙方应按</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的方式，以支票、汇票、本票或者金融机构、担保机构出具的保函等非现金形式，提交不超过合同</w:t>
      </w:r>
      <w:r>
        <w:rPr>
          <w:rFonts w:hint="eastAsia" w:ascii="仿宋" w:hAnsi="仿宋" w:eastAsia="仿宋" w:cs="仿宋"/>
          <w:color w:val="000000" w:themeColor="text1"/>
          <w:highlight w:val="none"/>
          <w14:textFill>
            <w14:solidFill>
              <w14:schemeClr w14:val="tx1"/>
            </w14:solidFill>
          </w14:textFill>
        </w:rPr>
        <w:t>金额</w:t>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%的履约保证金</w:t>
      </w:r>
      <w:r>
        <w:rPr>
          <w:rFonts w:hint="eastAsia" w:ascii="仿宋" w:hAnsi="仿宋" w:eastAsia="仿宋" w:cs="仿宋"/>
          <w:color w:val="000000" w:themeColor="text1"/>
          <w:highlight w:val="none"/>
          <w14:textFill>
            <w14:solidFill>
              <w14:schemeClr w14:val="tx1"/>
            </w14:solidFill>
          </w14:textFill>
        </w:rPr>
        <w:t>；鼓励和支持乙方以银行、保险公司出具的保函形式提供履约保证。</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.2  </w:t>
      </w:r>
      <w:r>
        <w:rPr>
          <w:rFonts w:hint="eastAsia" w:ascii="仿宋" w:hAnsi="仿宋" w:eastAsia="仿宋" w:cs="仿宋"/>
          <w:color w:val="000000" w:themeColor="text1"/>
          <w:sz w:val="24"/>
          <w:highlight w:val="none"/>
          <w14:textFill>
            <w14:solidFill>
              <w14:schemeClr w14:val="tx1"/>
            </w14:solidFill>
          </w14:textFill>
        </w:rPr>
        <w:t>履约保证金在</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期间内不予退还。乙方在前述约定期间届满前能履行完合同约定义务事项的，甲方在前述约定期间届满之日起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个工作日内，</w:t>
      </w:r>
      <w:r>
        <w:rPr>
          <w:rFonts w:hint="eastAsia" w:ascii="仿宋" w:hAnsi="仿宋" w:eastAsia="仿宋" w:cs="仿宋"/>
          <w:color w:val="000000" w:themeColor="text1"/>
          <w:sz w:val="24"/>
          <w:highlight w:val="none"/>
          <w:lang w:val="en-US" w:eastAsia="zh-CN"/>
          <w14:textFill>
            <w14:solidFill>
              <w14:schemeClr w14:val="tx1"/>
            </w14:solidFill>
          </w14:textFill>
        </w:rPr>
        <w:t>以</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方式将履约保证金退还乙方，逾期退还的，乙方可要求甲方支付违约金，违约金按每迟延退还一日的应退还而未退还金额的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0.05</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20</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3 </w:t>
      </w:r>
      <w:r>
        <w:rPr>
          <w:rFonts w:hint="eastAsia" w:ascii="仿宋" w:hAnsi="仿宋" w:eastAsia="仿宋" w:cs="仿宋"/>
          <w:color w:val="000000" w:themeColor="text1"/>
          <w:sz w:val="24"/>
          <w:highlight w:val="none"/>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履行完合同约定义务事项后及时退还，延迟退还的，应当按照合同约定和法律规定承担相应的赔偿责任。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5.5</w:t>
      </w:r>
      <w:r>
        <w:rPr>
          <w:rFonts w:hint="eastAsia" w:ascii="仿宋" w:hAnsi="仿宋" w:eastAsia="仿宋" w:cs="仿宋"/>
          <w:color w:val="000000" w:themeColor="text1"/>
          <w:sz w:val="24"/>
          <w:highlight w:val="none"/>
          <w14:textFill>
            <w14:solidFill>
              <w14:schemeClr w14:val="tx1"/>
            </w14:solidFill>
          </w14:textFill>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val="0"/>
          <w:color w:val="000000" w:themeColor="text1"/>
          <w:sz w:val="24"/>
          <w:szCs w:val="24"/>
          <w:highlight w:val="none"/>
          <w14:textFill>
            <w14:solidFill>
              <w14:schemeClr w14:val="tx1"/>
            </w14:solidFill>
          </w14:textFill>
        </w:rPr>
        <w:t>转包</w:t>
      </w:r>
      <w:r>
        <w:rPr>
          <w:rFonts w:hint="eastAsia" w:ascii="仿宋" w:hAnsi="仿宋" w:eastAsia="仿宋" w:cs="仿宋"/>
          <w:b/>
          <w:color w:val="000000" w:themeColor="text1"/>
          <w:sz w:val="24"/>
          <w:szCs w:val="24"/>
          <w:highlight w:val="none"/>
          <w14:textFill>
            <w14:solidFill>
              <w14:schemeClr w14:val="tx1"/>
            </w14:solidFill>
          </w14:textFill>
        </w:rPr>
        <w:t>或分包</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质保期：产品验收合格使用之日起，质保期</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4"/>
          <w:szCs w:val="24"/>
          <w:highlight w:val="none"/>
          <w:u w:val="single" w:color="auto"/>
          <w:lang w:val="en-US" w:eastAsia="zh-CN"/>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年（具体再参照乙方按投标文件承诺确定），质保期内的维修费用（包括材料）全部由乙方负责。超过质保期的，维修时只收部件成本费。</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8</w:t>
      </w:r>
      <w:r>
        <w:rPr>
          <w:rFonts w:hint="eastAsia" w:ascii="仿宋" w:hAnsi="仿宋" w:eastAsia="仿宋" w:cs="仿宋"/>
          <w:b/>
          <w:color w:val="000000" w:themeColor="text1"/>
          <w:sz w:val="24"/>
          <w:highlight w:val="none"/>
          <w14:textFill>
            <w14:solidFill>
              <w14:schemeClr w14:val="tx1"/>
            </w14:solidFill>
          </w14:textFill>
        </w:rPr>
        <w:t>.履行期限、地点和方式</w:t>
      </w:r>
    </w:p>
    <w:p>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1 履行期限：</w:t>
      </w:r>
      <w:r>
        <w:rPr>
          <w:rFonts w:hint="eastAsia" w:ascii="仿宋" w:hAnsi="仿宋" w:eastAsia="仿宋" w:cs="仿宋"/>
          <w:color w:val="000000" w:themeColor="text1"/>
          <w:sz w:val="24"/>
          <w:highlight w:val="none"/>
          <w:u w:val="single" w:color="auto"/>
          <w14:textFill>
            <w14:solidFill>
              <w14:schemeClr w14:val="tx1"/>
            </w14:solidFill>
          </w14:textFill>
        </w:rPr>
        <w:t>全面排查</w:t>
      </w:r>
      <w:r>
        <w:rPr>
          <w:rFonts w:hint="eastAsia" w:ascii="仿宋" w:hAnsi="仿宋" w:eastAsia="仿宋" w:cs="仿宋"/>
          <w:color w:val="000000" w:themeColor="text1"/>
          <w:sz w:val="24"/>
          <w:highlight w:val="none"/>
          <w:u w:val="single" w:color="auto"/>
          <w:lang w:val="en-US" w:eastAsia="zh-CN"/>
          <w14:textFill>
            <w14:solidFill>
              <w14:schemeClr w14:val="tx1"/>
            </w14:solidFill>
          </w14:textFill>
        </w:rPr>
        <w:t>鉴定</w:t>
      </w:r>
      <w:r>
        <w:rPr>
          <w:rFonts w:hint="eastAsia" w:ascii="仿宋" w:hAnsi="仿宋" w:eastAsia="仿宋" w:cs="仿宋"/>
          <w:color w:val="000000" w:themeColor="text1"/>
          <w:sz w:val="24"/>
          <w:highlight w:val="none"/>
          <w:u w:val="single" w:color="auto"/>
          <w14:textFill>
            <w14:solidFill>
              <w14:schemeClr w14:val="tx1"/>
            </w14:solidFill>
          </w14:textFill>
        </w:rPr>
        <w:t>于202</w:t>
      </w:r>
      <w:r>
        <w:rPr>
          <w:rFonts w:hint="eastAsia" w:ascii="仿宋" w:hAnsi="仿宋" w:eastAsia="仿宋" w:cs="仿宋"/>
          <w:color w:val="000000" w:themeColor="text1"/>
          <w:sz w:val="24"/>
          <w:highlight w:val="none"/>
          <w:u w:val="single" w:color="auto"/>
          <w:lang w:val="en-US" w:eastAsia="zh-CN"/>
          <w14:textFill>
            <w14:solidFill>
              <w14:schemeClr w14:val="tx1"/>
            </w14:solidFill>
          </w14:textFill>
        </w:rPr>
        <w:t>2</w:t>
      </w:r>
      <w:r>
        <w:rPr>
          <w:rFonts w:hint="eastAsia" w:ascii="仿宋" w:hAnsi="仿宋" w:eastAsia="仿宋" w:cs="仿宋"/>
          <w:color w:val="000000" w:themeColor="text1"/>
          <w:sz w:val="24"/>
          <w:highlight w:val="none"/>
          <w:u w:val="single" w:color="auto"/>
          <w14:textFill>
            <w14:solidFill>
              <w14:schemeClr w14:val="tx1"/>
            </w14:solidFill>
          </w14:textFill>
        </w:rPr>
        <w:t>年</w:t>
      </w:r>
      <w:r>
        <w:rPr>
          <w:rFonts w:hint="eastAsia" w:ascii="仿宋" w:hAnsi="仿宋" w:eastAsia="仿宋" w:cs="仿宋"/>
          <w:color w:val="000000" w:themeColor="text1"/>
          <w:sz w:val="24"/>
          <w:highlight w:val="none"/>
          <w:u w:val="single" w:color="auto"/>
          <w:lang w:val="en-US" w:eastAsia="zh-CN"/>
          <w14:textFill>
            <w14:solidFill>
              <w14:schemeClr w14:val="tx1"/>
            </w14:solidFill>
          </w14:textFill>
        </w:rPr>
        <w:t>12</w:t>
      </w:r>
      <w:r>
        <w:rPr>
          <w:rFonts w:hint="eastAsia" w:ascii="仿宋" w:hAnsi="仿宋" w:eastAsia="仿宋" w:cs="仿宋"/>
          <w:color w:val="000000" w:themeColor="text1"/>
          <w:sz w:val="24"/>
          <w:highlight w:val="none"/>
          <w:u w:val="single" w:color="auto"/>
          <w14:textFill>
            <w14:solidFill>
              <w14:schemeClr w14:val="tx1"/>
            </w14:solidFill>
          </w14:textFill>
        </w:rPr>
        <w:t>月31日前完成</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2 履行地点：</w:t>
      </w:r>
      <w:r>
        <w:rPr>
          <w:rFonts w:hint="eastAsia" w:ascii="仿宋" w:hAnsi="仿宋" w:eastAsia="仿宋" w:cs="仿宋"/>
          <w:color w:val="000000" w:themeColor="text1"/>
          <w:sz w:val="24"/>
          <w:highlight w:val="none"/>
          <w:u w:val="single" w:color="auto"/>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3 履行方式：</w:t>
      </w:r>
      <w:r>
        <w:rPr>
          <w:rFonts w:hint="eastAsia" w:ascii="仿宋" w:hAnsi="仿宋" w:eastAsia="仿宋" w:cs="仿宋"/>
          <w:color w:val="000000" w:themeColor="text1"/>
          <w:sz w:val="24"/>
          <w:highlight w:val="none"/>
          <w:u w:val="single" w:color="auto"/>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highlight w:val="none"/>
          <w14:textFill>
            <w14:solidFill>
              <w14:schemeClr w14:val="tx1"/>
            </w14:solidFill>
          </w14:textFill>
        </w:rPr>
        <w:t>付款方式、时间和条件</w:t>
      </w:r>
    </w:p>
    <w:p>
      <w:pPr>
        <w:pStyle w:val="617"/>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9.</w:t>
      </w: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甲方应严格履行合同，及时组织验收，验收合格后及时将合同款支付完毕。对于满足合同约定支付条件的，甲方自收到发票后</w:t>
      </w:r>
      <w:r>
        <w:rPr>
          <w:rFonts w:hint="eastAsia" w:ascii="仿宋" w:hAnsi="仿宋" w:eastAsia="仿宋" w:cs="仿宋"/>
          <w:color w:val="000000" w:themeColor="text1"/>
          <w:highlight w:val="none"/>
          <w:lang w:val="en-US" w:eastAsia="zh-CN"/>
          <w14:textFill>
            <w14:solidFill>
              <w14:schemeClr w14:val="tx1"/>
            </w14:solidFill>
          </w14:textFill>
        </w:rPr>
        <w:t>及时</w:t>
      </w:r>
      <w:r>
        <w:rPr>
          <w:rFonts w:hint="eastAsia" w:ascii="仿宋" w:hAnsi="仿宋" w:eastAsia="仿宋" w:cs="仿宋"/>
          <w:color w:val="000000" w:themeColor="text1"/>
          <w:highlight w:val="none"/>
          <w14:textFill>
            <w14:solidFill>
              <w14:schemeClr w14:val="tx1"/>
            </w14:solidFill>
          </w14:textFill>
        </w:rPr>
        <w:t>将资金支付到合同约定的乙方账户，有条件的甲方可以即时支付。甲方不得以机构变动、人员更替、政策调整、单位放假等为由延迟付款。</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.2甲方在政府采购合同中约定预付款，预付款比例</w:t>
      </w:r>
      <w:r>
        <w:rPr>
          <w:rFonts w:hint="eastAsia" w:ascii="仿宋" w:hAnsi="仿宋" w:eastAsia="仿宋" w:cs="仿宋"/>
          <w:color w:val="000000" w:themeColor="text1"/>
          <w:sz w:val="24"/>
          <w:highlight w:val="none"/>
          <w14:textFill>
            <w14:solidFill>
              <w14:schemeClr w14:val="tx1"/>
            </w14:solidFill>
          </w14:textFill>
        </w:rPr>
        <w:t>为</w:t>
      </w:r>
      <w:r>
        <w:rPr>
          <w:rFonts w:hint="eastAsia" w:ascii="仿宋" w:hAnsi="仿宋" w:eastAsia="仿宋" w:cs="仿宋"/>
          <w:color w:val="000000" w:themeColor="text1"/>
          <w:sz w:val="24"/>
          <w:highlight w:val="none"/>
          <w14:textFill>
            <w14:solidFill>
              <w14:schemeClr w14:val="tx1"/>
            </w14:solidFill>
          </w14:textFill>
        </w:rPr>
        <w:t>合同金额的</w:t>
      </w:r>
      <w:r>
        <w:rPr>
          <w:rFonts w:hint="eastAsia" w:ascii="仿宋" w:hAnsi="仿宋" w:eastAsia="仿宋" w:cs="仿宋"/>
          <w:color w:val="000000" w:themeColor="text1"/>
          <w:sz w:val="24"/>
          <w:highlight w:val="none"/>
          <w:lang w:val="en-US" w:eastAsia="zh-CN"/>
          <w14:textFill>
            <w14:solidFill>
              <w14:schemeClr w14:val="tx1"/>
            </w14:solidFill>
          </w14:textFill>
        </w:rPr>
        <w:t>40</w:t>
      </w:r>
      <w:r>
        <w:rPr>
          <w:rFonts w:hint="eastAsia" w:ascii="仿宋" w:hAnsi="仿宋" w:eastAsia="仿宋" w:cs="仿宋"/>
          <w:color w:val="000000" w:themeColor="text1"/>
          <w:sz w:val="24"/>
          <w:highlight w:val="none"/>
          <w14:textFill>
            <w14:solidFill>
              <w14:schemeClr w14:val="tx1"/>
            </w14:solidFill>
          </w14:textFill>
        </w:rPr>
        <w:t>％；项目分年安排预算的，每年预付款比例</w:t>
      </w:r>
      <w:r>
        <w:rPr>
          <w:rFonts w:hint="eastAsia" w:ascii="仿宋" w:hAnsi="仿宋" w:eastAsia="仿宋" w:cs="仿宋"/>
          <w:color w:val="000000" w:themeColor="text1"/>
          <w:sz w:val="24"/>
          <w:highlight w:val="none"/>
          <w14:textFill>
            <w14:solidFill>
              <w14:schemeClr w14:val="tx1"/>
            </w14:solidFill>
          </w14:textFill>
        </w:rPr>
        <w:t>为</w:t>
      </w:r>
      <w:r>
        <w:rPr>
          <w:rFonts w:hint="eastAsia" w:ascii="仿宋" w:hAnsi="仿宋" w:eastAsia="仿宋" w:cs="仿宋"/>
          <w:color w:val="000000" w:themeColor="text1"/>
          <w:sz w:val="24"/>
          <w:highlight w:val="none"/>
          <w14:textFill>
            <w14:solidFill>
              <w14:schemeClr w14:val="tx1"/>
            </w14:solidFill>
          </w14:textFill>
        </w:rPr>
        <w:t>项目年度计划支付资金额的</w:t>
      </w:r>
      <w:r>
        <w:rPr>
          <w:rFonts w:hint="eastAsia" w:ascii="仿宋" w:hAnsi="仿宋" w:eastAsia="仿宋" w:cs="仿宋"/>
          <w:color w:val="000000" w:themeColor="text1"/>
          <w:sz w:val="24"/>
          <w:highlight w:val="none"/>
          <w:lang w:val="en-US" w:eastAsia="zh-CN"/>
          <w14:textFill>
            <w14:solidFill>
              <w14:schemeClr w14:val="tx1"/>
            </w14:solidFill>
          </w14:textFill>
        </w:rPr>
        <w:t>40</w:t>
      </w:r>
      <w:r>
        <w:rPr>
          <w:rFonts w:hint="eastAsia" w:ascii="仿宋" w:hAnsi="仿宋" w:eastAsia="仿宋" w:cs="仿宋"/>
          <w:color w:val="000000" w:themeColor="text1"/>
          <w:sz w:val="24"/>
          <w:highlight w:val="none"/>
          <w14:textFill>
            <w14:solidFill>
              <w14:schemeClr w14:val="tx1"/>
            </w14:solidFill>
          </w14:textFill>
        </w:rPr>
        <w:t>％。采购项目实施以人工投入为主的，可适当降低预付款比例，但不低于</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%。甲方可以根据项目特点、乙方信用等实际情况提高预付款比例，最高预付比例可以达到</w:t>
      </w:r>
      <w:r>
        <w:rPr>
          <w:rFonts w:hint="eastAsia" w:ascii="仿宋" w:hAnsi="仿宋" w:eastAsia="仿宋" w:cs="仿宋"/>
          <w:color w:val="000000" w:themeColor="text1"/>
          <w:sz w:val="24"/>
          <w:highlight w:val="none"/>
          <w:lang w:val="en-US" w:eastAsia="zh-CN"/>
          <w14:textFill>
            <w14:solidFill>
              <w14:schemeClr w14:val="tx1"/>
            </w14:solidFill>
          </w14:textFill>
        </w:rPr>
        <w:t>70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甲方迟延支付乙方款项的，向乙方支付逾期利息。双方可以在合同专用条款中约定逾期利率，约定利率不得低于合同订立时</w:t>
      </w:r>
      <w:r>
        <w:rPr>
          <w:rFonts w:hint="eastAsia" w:ascii="仿宋" w:hAnsi="仿宋" w:eastAsia="仿宋" w:cs="仿宋"/>
          <w:color w:val="000000" w:themeColor="text1"/>
          <w:sz w:val="24"/>
          <w:highlight w:val="none"/>
          <w14:textFill>
            <w14:solidFill>
              <w14:schemeClr w14:val="tx1"/>
            </w14:solidFill>
          </w14:textFill>
        </w:rPr>
        <w:t>1年</w:t>
      </w:r>
      <w:r>
        <w:rPr>
          <w:rFonts w:hint="eastAsia" w:ascii="仿宋" w:hAnsi="仿宋" w:eastAsia="仿宋" w:cs="仿宋"/>
          <w:color w:val="000000" w:themeColor="text1"/>
          <w:sz w:val="24"/>
          <w:highlight w:val="none"/>
          <w14:textFill>
            <w14:solidFill>
              <w14:schemeClr w14:val="tx1"/>
            </w14:solidFill>
          </w14:textFill>
        </w:rPr>
        <w:t>期贷款市场报价利率；未作约定的，按照每日利率万分之五支付逾期利息。</w:t>
      </w:r>
    </w:p>
    <w:p>
      <w:pPr>
        <w:numPr>
          <w:ilvl w:val="0"/>
          <w:numId w:val="0"/>
        </w:numPr>
        <w:adjustRightInd w:val="0"/>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9</w:t>
      </w:r>
      <w:r>
        <w:rPr>
          <w:rFonts w:hint="eastAsia" w:ascii="仿宋" w:hAnsi="仿宋" w:eastAsia="仿宋" w:cs="仿宋"/>
          <w:color w:val="000000" w:themeColor="text1"/>
          <w:sz w:val="24"/>
          <w:highlight w:val="none"/>
          <w14:textFill>
            <w14:solidFill>
              <w14:schemeClr w14:val="tx1"/>
            </w14:solidFill>
          </w14:textFill>
        </w:rPr>
        <w:t>.4资金支付的方式、时间和条</w:t>
      </w:r>
      <w:r>
        <w:rPr>
          <w:rFonts w:hint="eastAsia" w:ascii="仿宋" w:hAnsi="仿宋" w:eastAsia="仿宋" w:cs="仿宋"/>
          <w:color w:val="000000" w:themeColor="text1"/>
          <w:sz w:val="24"/>
          <w:highlight w:val="none"/>
          <w:lang w:val="en-US" w:eastAsia="zh-CN"/>
          <w14:textFill>
            <w14:solidFill>
              <w14:schemeClr w14:val="tx1"/>
            </w14:solidFill>
          </w14:textFill>
        </w:rPr>
        <w:t>件：1）</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以经塘栖镇财办根据政府采购法等相关规定审核通过的合同相应条款为准；2）</w:t>
      </w:r>
      <w:r>
        <w:rPr>
          <w:rFonts w:hint="eastAsia" w:ascii="仿宋" w:hAnsi="仿宋" w:eastAsia="仿宋" w:cs="仿宋"/>
          <w:bCs/>
          <w:color w:val="000000" w:themeColor="text1"/>
          <w:sz w:val="24"/>
          <w:szCs w:val="24"/>
          <w:highlight w:val="none"/>
          <w14:textFill>
            <w14:solidFill>
              <w14:schemeClr w14:val="tx1"/>
            </w14:solidFill>
          </w14:textFill>
        </w:rPr>
        <w:t>甲方付款前，乙方必须提交符合要求的发票。</w:t>
      </w:r>
    </w:p>
    <w:p>
      <w:pPr>
        <w:spacing w:line="360" w:lineRule="auto"/>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s="仿宋"/>
          <w:color w:val="000000" w:themeColor="text1"/>
          <w:sz w:val="24"/>
          <w:highlight w:val="none"/>
          <w14:textFill>
            <w14:solidFill>
              <w14:schemeClr w14:val="tx1"/>
            </w14:solidFill>
          </w14:textFill>
        </w:rPr>
        <w:t>杭财采监〔</w:t>
      </w:r>
      <w:r>
        <w:rPr>
          <w:rFonts w:hint="eastAsia" w:ascii="仿宋" w:hAnsi="仿宋" w:eastAsia="仿宋" w:cs="仿宋"/>
          <w:color w:val="000000" w:themeColor="text1"/>
          <w:sz w:val="24"/>
          <w:highlight w:val="none"/>
          <w14:textFill>
            <w14:solidFill>
              <w14:schemeClr w14:val="tx1"/>
            </w14:solidFill>
          </w14:textFill>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 xml:space="preserve"> 10</w:t>
      </w:r>
      <w:r>
        <w:rPr>
          <w:rFonts w:hint="eastAsia" w:ascii="仿宋" w:hAnsi="仿宋" w:eastAsia="仿宋" w:cs="仿宋"/>
          <w:b/>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税费</w:t>
      </w:r>
    </w:p>
    <w:p>
      <w:pPr>
        <w:adjustRightInd w:val="0"/>
        <w:snapToGrid/>
        <w:spacing w:line="360" w:lineRule="auto"/>
        <w:ind w:left="0" w:leftChars="0" w:right="0" w:firstLine="480" w:firstLineChars="200"/>
        <w:outlineLvl w:val="9"/>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b/>
          <w:color w:val="000000" w:themeColor="text1"/>
          <w:sz w:val="24"/>
          <w:szCs w:val="24"/>
          <w:highlight w:val="none"/>
          <w14:textFill>
            <w14:solidFill>
              <w14:schemeClr w14:val="tx1"/>
            </w14:solidFill>
          </w14:textFill>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 xml:space="preserve"> 11.1</w:t>
      </w:r>
      <w:r>
        <w:rPr>
          <w:rFonts w:hint="eastAsia" w:ascii="仿宋" w:hAnsi="仿宋" w:eastAsia="仿宋" w:cs="仿宋"/>
          <w:bCs/>
          <w:color w:val="000000" w:themeColor="text1"/>
          <w:sz w:val="24"/>
          <w:szCs w:val="24"/>
          <w:highlight w:val="none"/>
          <w14:textFill>
            <w14:solidFill>
              <w14:schemeClr w14:val="tx1"/>
            </w14:solidFill>
          </w14:textFill>
        </w:rPr>
        <w:t>乙方应按招标文件规定的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bCs/>
          <w:color w:val="000000" w:themeColor="text1"/>
          <w:sz w:val="24"/>
          <w:szCs w:val="24"/>
          <w:highlight w:val="none"/>
          <w14:textFill>
            <w14:solidFill>
              <w14:schemeClr w14:val="tx1"/>
            </w14:solidFill>
          </w14:textFill>
        </w:rPr>
        <w:t>要求、质量标准向甲方提供</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服务工作</w:t>
      </w:r>
      <w:r>
        <w:rPr>
          <w:rFonts w:hint="eastAsia" w:ascii="仿宋" w:hAnsi="仿宋" w:eastAsia="仿宋" w:cs="仿宋"/>
          <w:bCs/>
          <w:color w:val="000000" w:themeColor="text1"/>
          <w:sz w:val="24"/>
          <w:szCs w:val="24"/>
          <w:highlight w:val="none"/>
          <w14:textFill>
            <w14:solidFill>
              <w14:schemeClr w14:val="tx1"/>
            </w14:solidFill>
          </w14:textFill>
        </w:rPr>
        <w:t>。</w:t>
      </w:r>
    </w:p>
    <w:p>
      <w:pPr>
        <w:adjustRightInd w:val="0"/>
        <w:snapToGrid w:val="0"/>
        <w:spacing w:line="360" w:lineRule="auto"/>
        <w:ind w:left="0" w:leftChars="0" w:right="0" w:firstLine="354" w:firstLineChars="147"/>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12.</w:t>
      </w:r>
      <w:r>
        <w:rPr>
          <w:rFonts w:hint="eastAsia" w:ascii="仿宋" w:hAnsi="仿宋" w:eastAsia="仿宋" w:cs="仿宋"/>
          <w:b/>
          <w:color w:val="000000" w:themeColor="text1"/>
          <w:sz w:val="24"/>
          <w:szCs w:val="24"/>
          <w:highlight w:val="none"/>
          <w14:textFill>
            <w14:solidFill>
              <w14:schemeClr w14:val="tx1"/>
            </w14:solidFill>
          </w14:textFill>
        </w:rPr>
        <w:t>违约责任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r>
        <w:rPr>
          <w:rFonts w:hint="eastAsia" w:ascii="仿宋" w:hAnsi="仿宋" w:eastAsia="仿宋" w:cs="仿宋"/>
          <w:color w:val="000000" w:themeColor="text1"/>
          <w:sz w:val="24"/>
          <w:highlight w:val="none"/>
          <w14:textFill>
            <w14:solidFill>
              <w14:schemeClr w14:val="tx1"/>
            </w14:solidFill>
          </w14:textFill>
        </w:rPr>
        <w:t xml:space="preserve">1 </w:t>
      </w:r>
      <w:r>
        <w:rPr>
          <w:rFonts w:hint="eastAsia" w:ascii="仿宋" w:hAnsi="仿宋" w:eastAsia="仿宋" w:cs="仿宋"/>
          <w:color w:val="000000" w:themeColor="text1"/>
          <w:sz w:val="24"/>
          <w:highlight w:val="none"/>
          <w14:textFill>
            <w14:solidFill>
              <w14:schemeClr w14:val="tx1"/>
            </w14:solidFill>
          </w14:textFill>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0.05</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20</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r>
        <w:rPr>
          <w:rFonts w:hint="eastAsia" w:ascii="仿宋" w:hAnsi="仿宋" w:eastAsia="仿宋" w:cs="仿宋"/>
          <w:color w:val="000000" w:themeColor="text1"/>
          <w:sz w:val="24"/>
          <w:highlight w:val="none"/>
          <w14:textFill>
            <w14:solidFill>
              <w14:schemeClr w14:val="tx1"/>
            </w14:solidFill>
          </w14:textFill>
        </w:rPr>
        <w:t xml:space="preserve">.2 </w:t>
      </w:r>
      <w:r>
        <w:rPr>
          <w:rFonts w:hint="eastAsia" w:ascii="仿宋" w:hAnsi="仿宋" w:eastAsia="仿宋" w:cs="仿宋"/>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0.05</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20</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r>
        <w:rPr>
          <w:rFonts w:hint="eastAsia" w:ascii="仿宋" w:hAnsi="仿宋" w:eastAsia="仿宋" w:cs="仿宋"/>
          <w:color w:val="000000" w:themeColor="text1"/>
          <w:sz w:val="24"/>
          <w:highlight w:val="none"/>
          <w14:textFill>
            <w14:solidFill>
              <w14:schemeClr w14:val="tx1"/>
            </w14:solidFill>
          </w14:textFill>
        </w:rPr>
        <w:t xml:space="preserve">3 </w:t>
      </w:r>
      <w:r>
        <w:rPr>
          <w:rFonts w:hint="eastAsia" w:ascii="仿宋" w:hAnsi="仿宋" w:eastAsia="仿宋" w:cs="仿宋"/>
          <w:color w:val="000000" w:themeColor="text1"/>
          <w:sz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r>
        <w:rPr>
          <w:rFonts w:hint="eastAsia" w:ascii="仿宋" w:hAnsi="仿宋" w:eastAsia="仿宋" w:cs="仿宋"/>
          <w:color w:val="000000" w:themeColor="text1"/>
          <w:sz w:val="24"/>
          <w:highlight w:val="none"/>
          <w14:textFill>
            <w14:solidFill>
              <w14:schemeClr w14:val="tx1"/>
            </w14:solidFill>
          </w14:textFill>
        </w:rPr>
        <w:t xml:space="preserve">.4 </w:t>
      </w:r>
      <w:r>
        <w:rPr>
          <w:rFonts w:hint="eastAsia" w:ascii="仿宋" w:hAnsi="仿宋" w:eastAsia="仿宋" w:cs="仿宋"/>
          <w:color w:val="000000" w:themeColor="text1"/>
          <w:sz w:val="24"/>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r>
        <w:rPr>
          <w:rFonts w:hint="eastAsia" w:ascii="仿宋" w:hAnsi="仿宋" w:eastAsia="仿宋" w:cs="仿宋"/>
          <w:color w:val="000000" w:themeColor="text1"/>
          <w:sz w:val="24"/>
          <w:highlight w:val="none"/>
          <w14:textFill>
            <w14:solidFill>
              <w14:schemeClr w14:val="tx1"/>
            </w14:solidFill>
          </w14:textFill>
        </w:rPr>
        <w:t xml:space="preserve">.5 </w:t>
      </w:r>
      <w:r>
        <w:rPr>
          <w:rFonts w:hint="eastAsia" w:ascii="仿宋" w:hAnsi="仿宋" w:eastAsia="仿宋" w:cs="仿宋"/>
          <w:color w:val="000000" w:themeColor="text1"/>
          <w:sz w:val="24"/>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r>
        <w:rPr>
          <w:rFonts w:hint="eastAsia" w:ascii="仿宋" w:hAnsi="仿宋" w:eastAsia="仿宋" w:cs="仿宋"/>
          <w:color w:val="000000" w:themeColor="text1"/>
          <w:sz w:val="24"/>
          <w:highlight w:val="none"/>
          <w14:textFill>
            <w14:solidFill>
              <w14:schemeClr w14:val="tx1"/>
            </w14:solidFill>
          </w14:textFill>
        </w:rPr>
        <w:t xml:space="preserve">.6 </w:t>
      </w:r>
      <w:r>
        <w:rPr>
          <w:rFonts w:hint="eastAsia" w:ascii="仿宋" w:hAnsi="仿宋" w:eastAsia="仿宋" w:cs="仿宋"/>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r>
        <w:rPr>
          <w:rFonts w:hint="eastAsia" w:ascii="仿宋" w:hAnsi="仿宋" w:eastAsia="仿宋" w:cs="仿宋"/>
          <w:color w:val="000000" w:themeColor="text1"/>
          <w:sz w:val="24"/>
          <w:highlight w:val="none"/>
          <w14:textFill>
            <w14:solidFill>
              <w14:schemeClr w14:val="tx1"/>
            </w14:solidFill>
          </w14:textFill>
        </w:rPr>
        <w:t>.7违约责任</w:t>
      </w:r>
      <w:r>
        <w:rPr>
          <w:rFonts w:hint="eastAsia" w:ascii="仿宋" w:hAnsi="仿宋" w:eastAsia="仿宋" w:cs="仿宋"/>
          <w:color w:val="000000" w:themeColor="text1"/>
          <w:sz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另有约定的</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color="auto"/>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从其约定。</w:t>
      </w:r>
    </w:p>
    <w:p>
      <w:pPr>
        <w:adjustRightInd w:val="0"/>
        <w:snapToGrid/>
        <w:spacing w:line="360" w:lineRule="auto"/>
        <w:ind w:left="0" w:leftChars="0" w:right="0" w:firstLine="0" w:firstLineChars="0"/>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13.</w:t>
      </w:r>
      <w:r>
        <w:rPr>
          <w:rFonts w:hint="eastAsia" w:ascii="仿宋" w:hAnsi="仿宋" w:eastAsia="仿宋" w:cs="仿宋"/>
          <w:b/>
          <w:bCs/>
          <w:color w:val="000000" w:themeColor="text1"/>
          <w:sz w:val="24"/>
          <w:highlight w:val="none"/>
          <w14:textFill>
            <w14:solidFill>
              <w14:schemeClr w14:val="tx1"/>
            </w14:solidFill>
          </w14:textFill>
        </w:rPr>
        <w:t>不可抗力事件处理</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13.1</w:t>
      </w:r>
      <w:r>
        <w:rPr>
          <w:rFonts w:hint="eastAsia" w:ascii="仿宋" w:hAnsi="仿宋" w:eastAsia="仿宋" w:cs="仿宋"/>
          <w:color w:val="000000" w:themeColor="text1"/>
          <w:sz w:val="24"/>
          <w:highlight w:val="none"/>
          <w14:textFill>
            <w14:solidFill>
              <w14:schemeClr w14:val="tx1"/>
            </w14:solidFill>
          </w14:textFill>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13.2</w:t>
      </w:r>
      <w:r>
        <w:rPr>
          <w:rFonts w:hint="eastAsia" w:ascii="仿宋" w:hAnsi="仿宋" w:eastAsia="仿宋" w:cs="仿宋"/>
          <w:color w:val="000000" w:themeColor="text1"/>
          <w:sz w:val="24"/>
          <w:highlight w:val="none"/>
          <w14:textFill>
            <w14:solidFill>
              <w14:schemeClr w14:val="tx1"/>
            </w14:solidFill>
          </w14:textFill>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13.3</w:t>
      </w:r>
      <w:r>
        <w:rPr>
          <w:rFonts w:hint="eastAsia" w:ascii="仿宋" w:hAnsi="仿宋" w:eastAsia="仿宋" w:cs="仿宋"/>
          <w:color w:val="000000" w:themeColor="text1"/>
          <w:sz w:val="24"/>
          <w:highlight w:val="none"/>
          <w14:textFill>
            <w14:solidFill>
              <w14:schemeClr w14:val="tx1"/>
            </w14:solidFill>
          </w14:textFill>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14.</w:t>
      </w:r>
      <w:r>
        <w:rPr>
          <w:rFonts w:hint="eastAsia" w:ascii="仿宋" w:hAnsi="仿宋" w:eastAsia="仿宋" w:cs="仿宋"/>
          <w:b/>
          <w:bCs/>
          <w:color w:val="000000" w:themeColor="text1"/>
          <w:sz w:val="24"/>
          <w:highlight w:val="none"/>
          <w14:textFill>
            <w14:solidFill>
              <w14:schemeClr w14:val="tx1"/>
            </w14:solidFill>
          </w14:textFill>
        </w:rPr>
        <w:t>诉讼</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15.</w:t>
      </w:r>
      <w:r>
        <w:rPr>
          <w:rFonts w:hint="eastAsia" w:ascii="仿宋" w:hAnsi="仿宋" w:eastAsia="仿宋" w:cs="仿宋"/>
          <w:b/>
          <w:bCs/>
          <w:color w:val="000000" w:themeColor="text1"/>
          <w:sz w:val="24"/>
          <w:highlight w:val="none"/>
          <w14:textFill>
            <w14:solidFill>
              <w14:schemeClr w14:val="tx1"/>
            </w14:solidFill>
          </w14:textFill>
        </w:rPr>
        <w:t>合同生效及其它</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15.1</w:t>
      </w:r>
      <w:r>
        <w:rPr>
          <w:rFonts w:hint="eastAsia" w:ascii="仿宋" w:hAnsi="仿宋" w:eastAsia="仿宋" w:cs="仿宋"/>
          <w:color w:val="000000" w:themeColor="text1"/>
          <w:sz w:val="24"/>
          <w:highlight w:val="none"/>
          <w14:textFill>
            <w14:solidFill>
              <w14:schemeClr w14:val="tx1"/>
            </w14:solidFill>
          </w14:textFill>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15.2</w:t>
      </w:r>
      <w:r>
        <w:rPr>
          <w:rFonts w:hint="eastAsia" w:ascii="仿宋" w:hAnsi="仿宋" w:eastAsia="仿宋" w:cs="仿宋"/>
          <w:color w:val="000000" w:themeColor="text1"/>
          <w:sz w:val="24"/>
          <w:highlight w:val="none"/>
          <w14:textFill>
            <w14:solidFill>
              <w14:schemeClr w14:val="tx1"/>
            </w14:solidFill>
          </w14:textFill>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15.3</w:t>
      </w:r>
      <w:r>
        <w:rPr>
          <w:rFonts w:hint="eastAsia" w:ascii="仿宋" w:hAnsi="仿宋" w:eastAsia="仿宋" w:cs="仿宋"/>
          <w:color w:val="000000" w:themeColor="text1"/>
          <w:sz w:val="24"/>
          <w:highlight w:val="none"/>
          <w14:textFill>
            <w14:solidFill>
              <w14:schemeClr w14:val="tx1"/>
            </w14:solidFill>
          </w14:textFill>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lang w:eastAsia="zh-CN"/>
          <w14:textFill>
            <w14:solidFill>
              <w14:schemeClr w14:val="tx1"/>
            </w14:solidFill>
          </w14:textFill>
        </w:rPr>
        <w:t>1</w:t>
      </w:r>
      <w:r>
        <w:rPr>
          <w:rFonts w:hint="eastAsia" w:ascii="仿宋" w:hAnsi="仿宋" w:eastAsia="仿宋" w:cs="仿宋"/>
          <w:b/>
          <w:bCs/>
          <w:color w:val="000000" w:themeColor="text1"/>
          <w:sz w:val="24"/>
          <w:highlight w:val="none"/>
          <w:lang w:val="en-US" w:eastAsia="zh-CN"/>
          <w14:textFill>
            <w14:solidFill>
              <w14:schemeClr w14:val="tx1"/>
            </w14:solidFill>
          </w14:textFill>
        </w:rPr>
        <w:t>5.4</w:t>
      </w:r>
      <w:r>
        <w:rPr>
          <w:rFonts w:hint="eastAsia" w:ascii="仿宋" w:hAnsi="仿宋" w:eastAsia="仿宋" w:cs="仿宋"/>
          <w:b/>
          <w:bCs/>
          <w:color w:val="000000" w:themeColor="text1"/>
          <w:sz w:val="24"/>
          <w:highlight w:val="none"/>
          <w:lang w:val="zh-CN"/>
          <w14:textFill>
            <w14:solidFill>
              <w14:schemeClr w14:val="tx1"/>
            </w14:solidFill>
          </w14:textFill>
        </w:rPr>
        <w:t>本合同</w:t>
      </w:r>
      <w:r>
        <w:rPr>
          <w:rFonts w:hint="eastAsia" w:ascii="仿宋" w:hAnsi="仿宋" w:eastAsia="仿宋" w:cs="仿宋"/>
          <w:b/>
          <w:bCs/>
          <w:color w:val="000000" w:themeColor="text1"/>
          <w:sz w:val="24"/>
          <w:highlight w:val="none"/>
          <w14:textFill>
            <w14:solidFill>
              <w14:schemeClr w14:val="tx1"/>
            </w14:solidFill>
          </w14:textFill>
        </w:rPr>
        <w:t>（□是  □</w:t>
      </w:r>
      <w:r>
        <w:rPr>
          <w:rFonts w:hint="eastAsia" w:ascii="仿宋" w:hAnsi="仿宋" w:eastAsia="仿宋" w:cs="仿宋"/>
          <w:b/>
          <w:bCs/>
          <w:color w:val="000000" w:themeColor="text1"/>
          <w:sz w:val="24"/>
          <w:highlight w:val="none"/>
          <w:lang w:val="zh-CN"/>
          <w14:textFill>
            <w14:solidFill>
              <w14:schemeClr w14:val="tx1"/>
            </w14:solidFill>
          </w14:textFill>
        </w:rPr>
        <w:t>否</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zh-CN"/>
          <w14:textFill>
            <w14:solidFill>
              <w14:schemeClr w14:val="tx1"/>
            </w14:solidFill>
          </w14:textFill>
        </w:rPr>
        <w:t>为可融资合同</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zh-CN"/>
          <w14:textFill>
            <w14:solidFill>
              <w14:schemeClr w14:val="tx1"/>
            </w14:solidFill>
          </w14:textFill>
        </w:rPr>
        <w:t>关于中小企业信用融资事项</w:t>
      </w:r>
      <w:r>
        <w:rPr>
          <w:rFonts w:hint="eastAsia" w:ascii="仿宋" w:hAnsi="仿宋" w:eastAsia="仿宋" w:cs="仿宋"/>
          <w:b/>
          <w:bCs/>
          <w:color w:val="000000" w:themeColor="text1"/>
          <w:sz w:val="24"/>
          <w:highlight w:val="none"/>
          <w14:textFill>
            <w14:solidFill>
              <w14:schemeClr w14:val="tx1"/>
            </w14:solidFill>
          </w14:textFill>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15.5</w:t>
      </w:r>
      <w:r>
        <w:rPr>
          <w:rFonts w:hint="eastAsia" w:ascii="仿宋" w:hAnsi="仿宋" w:eastAsia="仿宋" w:cs="仿宋"/>
          <w:color w:val="000000" w:themeColor="text1"/>
          <w:sz w:val="24"/>
          <w:highlight w:val="none"/>
          <w14:textFill>
            <w14:solidFill>
              <w14:schemeClr w14:val="tx1"/>
            </w14:solidFill>
          </w14:textFill>
        </w:rPr>
        <w:t>本合同未尽事宜，</w:t>
      </w:r>
      <w:r>
        <w:rPr>
          <w:rFonts w:hint="eastAsia" w:ascii="仿宋" w:hAnsi="仿宋" w:eastAsia="仿宋" w:cs="仿宋"/>
          <w:color w:val="000000" w:themeColor="text1"/>
          <w:sz w:val="24"/>
          <w:highlight w:val="none"/>
          <w14:textFill>
            <w14:solidFill>
              <w14:schemeClr w14:val="tx1"/>
            </w14:solidFill>
          </w14:textFill>
        </w:rPr>
        <w:t>遵照《</w:t>
      </w:r>
      <w:r>
        <w:rPr>
          <w:rFonts w:hint="eastAsia" w:ascii="仿宋" w:hAnsi="仿宋" w:eastAsia="仿宋" w:cs="仿宋"/>
          <w:color w:val="000000" w:themeColor="text1"/>
          <w:sz w:val="24"/>
          <w:highlight w:val="none"/>
          <w:lang w:val="en-US" w:eastAsia="zh-CN"/>
          <w14:textFill>
            <w14:solidFill>
              <w14:schemeClr w14:val="tx1"/>
            </w14:solidFill>
          </w14:textFill>
        </w:rPr>
        <w:t>民法典</w:t>
      </w:r>
      <w:r>
        <w:rPr>
          <w:rFonts w:hint="eastAsia" w:ascii="仿宋" w:hAnsi="仿宋" w:eastAsia="仿宋" w:cs="仿宋"/>
          <w:color w:val="000000" w:themeColor="text1"/>
          <w:sz w:val="24"/>
          <w:highlight w:val="none"/>
          <w14:textFill>
            <w14:solidFill>
              <w14:schemeClr w14:val="tx1"/>
            </w14:solidFill>
          </w14:textFill>
        </w:rPr>
        <w:t>》有关条</w:t>
      </w:r>
      <w:r>
        <w:rPr>
          <w:rFonts w:hint="eastAsia" w:ascii="仿宋" w:hAnsi="仿宋" w:eastAsia="仿宋" w:cs="仿宋"/>
          <w:color w:val="000000" w:themeColor="text1"/>
          <w:sz w:val="24"/>
          <w:highlight w:val="none"/>
          <w14:textFill>
            <w14:solidFill>
              <w14:schemeClr w14:val="tx1"/>
            </w14:solidFill>
          </w14:textFill>
        </w:rPr>
        <w:t>文执行。</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15.6</w:t>
      </w:r>
      <w:r>
        <w:rPr>
          <w:rFonts w:hint="eastAsia" w:ascii="仿宋" w:hAnsi="仿宋" w:eastAsia="仿宋" w:cs="仿宋"/>
          <w:color w:val="000000" w:themeColor="text1"/>
          <w:sz w:val="24"/>
          <w:szCs w:val="24"/>
          <w:highlight w:val="none"/>
          <w:lang w:val="en-US" w:eastAsia="zh-CN"/>
          <w14:textFill>
            <w14:solidFill>
              <w14:schemeClr w14:val="tx1"/>
            </w14:solidFill>
          </w14:textFill>
        </w:rPr>
        <w:t>本</w:t>
      </w:r>
      <w:r>
        <w:rPr>
          <w:rFonts w:hint="eastAsia" w:ascii="仿宋" w:hAnsi="仿宋" w:eastAsia="仿宋" w:cs="仿宋"/>
          <w:color w:val="000000" w:themeColor="text1"/>
          <w:sz w:val="24"/>
          <w:szCs w:val="24"/>
          <w:highlight w:val="none"/>
          <w14:textFill>
            <w14:solidFill>
              <w14:schemeClr w14:val="tx1"/>
            </w14:solidFill>
          </w14:textFill>
        </w:rPr>
        <w:t>合同签订依据为相关法律法规文件、招标文件、乙方投标文件等，合同条款有与前者冲突的，以前者为准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adjustRightInd w:val="0"/>
        <w:snapToGrid/>
        <w:spacing w:line="360" w:lineRule="auto"/>
        <w:ind w:left="0" w:leftChars="0" w:right="0" w:firstLine="480" w:firstLineChars="20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15.7</w:t>
      </w:r>
      <w:r>
        <w:rPr>
          <w:rFonts w:hint="eastAsia" w:ascii="仿宋" w:hAnsi="仿宋" w:eastAsia="仿宋" w:cs="仿宋"/>
          <w:color w:val="000000" w:themeColor="text1"/>
          <w:sz w:val="24"/>
          <w:highlight w:val="none"/>
          <w14:textFill>
            <w14:solidFill>
              <w14:schemeClr w14:val="tx1"/>
            </w14:solidFill>
          </w14:textFill>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p>
    <w:p>
      <w:pPr>
        <w:adjustRightInd w:val="0"/>
        <w:snapToGrid/>
        <w:spacing w:line="360" w:lineRule="auto"/>
        <w:ind w:left="0" w:leftChars="0" w:right="0" w:firstLine="0" w:firstLineChars="0"/>
        <w:outlineLvl w:val="9"/>
        <w:rPr>
          <w:rFonts w:hint="eastAsia" w:ascii="仿宋" w:hAnsi="仿宋" w:eastAsia="仿宋" w:cs="仿宋"/>
          <w:color w:val="000000" w:themeColor="text1"/>
          <w:sz w:val="24"/>
          <w:highlight w:val="none"/>
          <w14:textFill>
            <w14:solidFill>
              <w14:schemeClr w14:val="tx1"/>
            </w14:solidFill>
          </w14:textFill>
        </w:rPr>
      </w:pPr>
    </w:p>
    <w:p>
      <w:pPr>
        <w:adjustRightInd w:val="0"/>
        <w:snapToGrid/>
        <w:spacing w:line="360" w:lineRule="auto"/>
        <w:ind w:left="0" w:leftChars="0" w:right="0" w:firstLine="0" w:firstLineChars="0"/>
        <w:jc w:val="center"/>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签约时间：      年    月   日</w:t>
      </w:r>
    </w:p>
    <w:p>
      <w:pPr>
        <w:wordWrap/>
        <w:spacing w:line="360" w:lineRule="auto"/>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签约地点： </w:t>
      </w:r>
    </w:p>
    <w:p>
      <w:pPr>
        <w:wordWrap/>
        <w:spacing w:line="360" w:lineRule="auto"/>
        <w:jc w:val="both"/>
        <w:rPr>
          <w:rFonts w:hint="eastAsia" w:ascii="仿宋" w:hAnsi="仿宋" w:eastAsia="仿宋" w:cs="仿宋"/>
          <w:color w:val="000000" w:themeColor="text1"/>
          <w:sz w:val="24"/>
          <w:highlight w:val="none"/>
          <w14:textFill>
            <w14:solidFill>
              <w14:schemeClr w14:val="tx1"/>
            </w14:solidFill>
          </w14:textFill>
        </w:rPr>
      </w:pPr>
    </w:p>
    <w:p>
      <w:pPr>
        <w:wordWrap/>
        <w:spacing w:line="360" w:lineRule="auto"/>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b/>
          <w:bCs/>
          <w:color w:val="000000" w:themeColor="text1"/>
          <w:sz w:val="24"/>
          <w:highlight w:val="none"/>
          <w14:textFill>
            <w14:solidFill>
              <w14:schemeClr w14:val="tx1"/>
            </w14:solidFill>
          </w14:textFill>
        </w:rPr>
      </w:pPr>
      <w:bookmarkStart w:id="395" w:name="_Toc326765771"/>
      <w:bookmarkStart w:id="396" w:name="_Toc328381300"/>
      <w:bookmarkStart w:id="397" w:name="_Toc339872468"/>
      <w:bookmarkStart w:id="398" w:name="_Toc349721554"/>
      <w:bookmarkStart w:id="399" w:name="_Toc350327365"/>
      <w:bookmarkStart w:id="400" w:name="_Toc868"/>
      <w:r>
        <w:rPr>
          <w:rFonts w:hint="eastAsia" w:ascii="仿宋" w:hAnsi="仿宋" w:eastAsia="仿宋" w:cs="仿宋"/>
          <w:b/>
          <w:bCs/>
          <w:color w:val="000000" w:themeColor="text1"/>
          <w:sz w:val="24"/>
          <w:highlight w:val="none"/>
          <w14:textFill>
            <w14:solidFill>
              <w14:schemeClr w14:val="tx1"/>
            </w14:solidFill>
          </w14:textFill>
        </w:rPr>
        <w:t xml:space="preserve"> 此仅为合同书样本，中标单位需根据实际情况和采购人签订相应的合同！</w:t>
      </w:r>
      <w:bookmarkEnd w:id="395"/>
      <w:bookmarkEnd w:id="396"/>
      <w:bookmarkEnd w:id="397"/>
      <w:bookmarkEnd w:id="398"/>
      <w:bookmarkEnd w:id="399"/>
      <w:bookmarkEnd w:id="400"/>
    </w:p>
    <w:p>
      <w:pPr>
        <w:snapToGrid/>
        <w:spacing w:before="0" w:beforeLines="0" w:after="0" w:line="360" w:lineRule="auto"/>
        <w:rPr>
          <w:rFonts w:hint="eastAsia" w:ascii="仿宋" w:hAnsi="仿宋" w:eastAsia="仿宋" w:cs="仿宋"/>
          <w:b/>
          <w:bCs/>
          <w:color w:val="000000" w:themeColor="text1"/>
          <w:sz w:val="24"/>
          <w:highlight w:val="none"/>
          <w14:textFill>
            <w14:solidFill>
              <w14:schemeClr w14:val="tx1"/>
            </w14:solidFill>
          </w14:textFill>
        </w:rPr>
        <w:sectPr>
          <w:pgSz w:w="11906" w:h="16838"/>
          <w:pgMar w:top="1558" w:right="1531" w:bottom="468" w:left="1531" w:header="851" w:footer="851" w:gutter="0"/>
          <w:pgBorders>
            <w:top w:val="none" w:sz="0" w:space="0"/>
            <w:left w:val="none" w:sz="0" w:space="0"/>
            <w:bottom w:val="none" w:sz="0" w:space="0"/>
            <w:right w:val="none" w:sz="0" w:space="0"/>
          </w:pgBorders>
          <w:cols w:space="720" w:num="1"/>
          <w:titlePg/>
          <w:docGrid w:type="lines" w:linePitch="312" w:charSpace="0"/>
        </w:sectPr>
      </w:pPr>
      <w:bookmarkStart w:id="401" w:name="_Toc194217895"/>
    </w:p>
    <w:bookmarkEnd w:id="401"/>
    <w:p>
      <w:pPr>
        <w:pStyle w:val="3"/>
        <w:rPr>
          <w:rFonts w:hint="eastAsia" w:ascii="仿宋" w:hAnsi="仿宋" w:eastAsia="仿宋" w:cs="仿宋"/>
          <w:color w:val="000000" w:themeColor="text1"/>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93"/>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394"/>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符合参加政府采购活动应当具备的一般条件的承诺函……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2）落实政府采购政策需满足的资格要求……</w:t>
      </w:r>
      <w:r>
        <w:rPr>
          <w:rFonts w:hint="eastAsia" w:ascii="仿宋" w:hAnsi="仿宋" w:eastAsia="仿宋" w:cs="仿宋"/>
          <w:color w:val="000000" w:themeColor="text1"/>
          <w:sz w:val="24"/>
          <w:highlight w:val="none"/>
          <w14:textFill>
            <w14:solidFill>
              <w14:schemeClr w14:val="tx1"/>
            </w14:solidFill>
          </w14:textFill>
        </w:rPr>
        <w:t>…………………………（页码）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3）本项目的特定资格要求……</w:t>
      </w:r>
      <w:r>
        <w:rPr>
          <w:rFonts w:hint="eastAsia" w:ascii="仿宋" w:hAnsi="仿宋" w:eastAsia="仿宋" w:cs="仿宋"/>
          <w:color w:val="000000" w:themeColor="text1"/>
          <w:sz w:val="24"/>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w:t>
      </w:r>
      <w:r>
        <w:rPr>
          <w:rFonts w:hint="eastAsia" w:ascii="仿宋" w:hAnsi="仿宋" w:eastAsia="仿宋" w:cs="仿宋"/>
          <w:color w:val="000000" w:themeColor="text1"/>
          <w:sz w:val="24"/>
          <w:highlight w:val="none"/>
          <w:lang w:val="en-US" w:eastAsia="zh-CN"/>
          <w14:textFill>
            <w14:solidFill>
              <w14:schemeClr w14:val="tx1"/>
            </w14:solidFill>
          </w14:textFill>
        </w:rPr>
        <w:t>项目编号</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】政府采购活动，郑重承诺：</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w:t>
      </w:r>
      <w:r>
        <w:rPr>
          <w:rFonts w:hint="eastAsia" w:ascii="仿宋" w:hAnsi="仿宋" w:eastAsia="仿宋" w:cs="仿宋"/>
          <w:color w:val="000000" w:themeColor="text1"/>
          <w:sz w:val="24"/>
          <w:szCs w:val="24"/>
          <w:highlight w:val="none"/>
          <w14:textFill>
            <w14:solidFill>
              <w14:schemeClr w14:val="tx1"/>
            </w14:solidFill>
          </w14:textFill>
        </w:rPr>
        <w:t>符合参与政府采购活动的资格条件并且没有税收缴纳、社会保障等方面的失信记录的承诺函</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二</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未被信用中国（</w:t>
      </w:r>
      <w:r>
        <w:rPr>
          <w:rFonts w:hint="eastAsia" w:ascii="仿宋" w:hAnsi="仿宋" w:eastAsia="仿宋" w:cs="仿宋"/>
          <w:color w:val="000000" w:themeColor="text1"/>
          <w:sz w:val="24"/>
          <w:highlight w:val="none"/>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3"/>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3"/>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3"/>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二、落实政府采购政策需满足的资格要求</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落实政府采购政策需满足的资格要求选择提供相应的材料；未要求的，无需提供</w:t>
      </w:r>
      <w:r>
        <w:rPr>
          <w:rFonts w:hint="eastAsia" w:ascii="仿宋" w:hAnsi="仿宋" w:eastAsia="仿宋" w:cs="仿宋"/>
          <w:color w:val="000000" w:themeColor="text1"/>
          <w:sz w:val="24"/>
          <w:highlight w:val="none"/>
          <w14:textFill>
            <w14:solidFill>
              <w14:schemeClr w14:val="tx1"/>
            </w14:solidFill>
          </w14:textFill>
        </w:rPr>
        <w:t>）</w:t>
      </w:r>
    </w:p>
    <w:p>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w:t>
      </w:r>
    </w:p>
    <w:p>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要求以联合体形式参加的，提供联合协议和中小企业声明函（附件</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（项目名称）【招标编号：</w:t>
      </w:r>
      <w:r>
        <w:rPr>
          <w:rFonts w:hint="eastAsia" w:ascii="仿宋" w:hAnsi="仿宋" w:eastAsia="仿宋" w:cs="仿宋"/>
          <w:color w:val="000000" w:themeColor="text1"/>
          <w:sz w:val="24"/>
          <w:highlight w:val="none"/>
          <w14:textFill>
            <w14:solidFill>
              <w14:schemeClr w14:val="tx1"/>
            </w14:solidFill>
          </w14:textFill>
        </w:rPr>
        <w:t>（采购编号）</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投标。</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w:t>
      </w:r>
      <w:r>
        <w:rPr>
          <w:rFonts w:hint="eastAsia" w:ascii="仿宋" w:hAnsi="仿宋" w:eastAsia="仿宋" w:cs="仿宋"/>
          <w:color w:val="000000" w:themeColor="text1"/>
          <w:sz w:val="24"/>
          <w:highlight w:val="none"/>
          <w14:textFill>
            <w14:solidFill>
              <w14:schemeClr w14:val="tx1"/>
            </w14:solidFill>
          </w14:textFill>
        </w:rPr>
        <w:t>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w:t>
      </w:r>
      <w:r>
        <w:rPr>
          <w:rFonts w:hint="eastAsia" w:ascii="仿宋" w:hAnsi="仿宋" w:eastAsia="仿宋" w:cs="仿宋"/>
          <w:color w:val="000000" w:themeColor="text1"/>
          <w:kern w:val="0"/>
          <w:sz w:val="24"/>
          <w:highlight w:val="none"/>
          <w:lang w:val="zh-CN"/>
          <w14:textFill>
            <w14:solidFill>
              <w14:schemeClr w14:val="tx1"/>
            </w14:solidFill>
          </w14:textFill>
        </w:rPr>
        <w:t>他供应商另外组成联合体参加同一合同项下的政府采购活动。</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w:t>
      </w:r>
      <w:r>
        <w:rPr>
          <w:rFonts w:hint="eastAsia" w:ascii="仿宋" w:hAnsi="仿宋" w:eastAsia="仿宋" w:cs="仿宋"/>
          <w:color w:val="000000" w:themeColor="text1"/>
          <w:kern w:val="0"/>
          <w:sz w:val="24"/>
          <w:highlight w:val="none"/>
          <w:lang w:val="zh-CN"/>
          <w14:textFill>
            <w14:solidFill>
              <w14:schemeClr w14:val="tx1"/>
            </w14:solidFill>
          </w14:textFill>
        </w:rPr>
        <w:t>(电子签名/公章)：</w:t>
      </w: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w:t>
      </w:r>
      <w:r>
        <w:rPr>
          <w:rFonts w:hint="eastAsia" w:ascii="仿宋" w:hAnsi="仿宋" w:eastAsia="仿宋" w:cs="仿宋"/>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要求合同分包的，提供分包意向协议和中小企业声明函（附件</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（项目名称）【招标编号：</w:t>
      </w:r>
      <w:r>
        <w:rPr>
          <w:rFonts w:hint="eastAsia" w:ascii="仿宋" w:hAnsi="仿宋" w:eastAsia="仿宋" w:cs="仿宋"/>
          <w:color w:val="000000" w:themeColor="text1"/>
          <w:sz w:val="24"/>
          <w:highlight w:val="none"/>
          <w14:textFill>
            <w14:solidFill>
              <w14:schemeClr w14:val="tx1"/>
            </w14:solidFill>
          </w14:textFill>
        </w:rPr>
        <w:t>（采购编号）</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pPr>
        <w:pStyle w:val="3"/>
        <w:ind w:left="664" w:leftChars="316" w:firstLine="229" w:firstLineChars="9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七、其他</w:t>
      </w:r>
    </w:p>
    <w:p>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w:t>
      </w:r>
      <w:r>
        <w:rPr>
          <w:rFonts w:hint="eastAsia" w:ascii="仿宋" w:hAnsi="仿宋" w:eastAsia="仿宋" w:cs="仿宋"/>
          <w:color w:val="000000" w:themeColor="text1"/>
          <w:sz w:val="24"/>
          <w:highlight w:val="none"/>
          <w14:textFill>
            <w14:solidFill>
              <w14:schemeClr w14:val="tx1"/>
            </w14:solidFill>
          </w14:textFill>
        </w:rPr>
        <w:t>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ind w:firstLine="5640" w:firstLineChars="235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三、本项目的特定资格要求</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w:t>
      </w:r>
      <w:r>
        <w:rPr>
          <w:rFonts w:hint="eastAsia" w:ascii="仿宋" w:hAnsi="仿宋" w:eastAsia="仿宋" w:cs="仿宋"/>
          <w:color w:val="000000" w:themeColor="text1"/>
          <w:sz w:val="24"/>
          <w:highlight w:val="none"/>
          <w14:textFill>
            <w14:solidFill>
              <w14:schemeClr w14:val="tx1"/>
            </w14:solidFill>
          </w14:textFill>
        </w:rPr>
        <w:t>提供相应的材料；未要求的，无需提供</w:t>
      </w:r>
      <w:r>
        <w:rPr>
          <w:rFonts w:hint="eastAsia" w:ascii="仿宋" w:hAnsi="仿宋" w:eastAsia="仿宋" w:cs="仿宋"/>
          <w:color w:val="000000" w:themeColor="text1"/>
          <w:sz w:val="24"/>
          <w:highlight w:val="none"/>
          <w14:textFill>
            <w14:solidFill>
              <w14:schemeClr w14:val="tx1"/>
            </w14:solidFill>
          </w14:textFill>
        </w:rPr>
        <w:t>）</w:t>
      </w: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pPr>
        <w:pStyle w:val="3"/>
        <w:rPr>
          <w:rFonts w:hint="eastAsia" w:ascii="仿宋" w:hAnsi="仿宋" w:eastAsia="仿宋" w:cs="仿宋"/>
          <w:color w:val="000000" w:themeColor="text1"/>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1）投标函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3）联合协议</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4）分包意向协议</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5）符合性审查资料</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6）评标标准相应的商务技术资料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投标标的清单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）商务技术偏离表</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jc w:val="both"/>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szCs w:val="24"/>
          <w:highlight w:val="none"/>
          <w:lang w:val="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人</w:t>
      </w:r>
      <w:r>
        <w:rPr>
          <w:rFonts w:hint="eastAsia" w:ascii="仿宋" w:hAnsi="仿宋" w:eastAsia="仿宋" w:cs="仿宋"/>
          <w:color w:val="000000" w:themeColor="text1"/>
          <w:sz w:val="24"/>
          <w:szCs w:val="24"/>
          <w:highlight w:val="none"/>
          <w:lang w:val="zh-CN"/>
          <w14:textFill>
            <w14:solidFill>
              <w14:schemeClr w14:val="tx1"/>
            </w14:solidFill>
          </w14:textFill>
        </w:rPr>
        <w:t>认为需要的其他文件资料</w:t>
      </w:r>
      <w:r>
        <w:rPr>
          <w:rFonts w:hint="eastAsia" w:ascii="仿宋" w:hAnsi="仿宋" w:eastAsia="仿宋" w:cs="仿宋"/>
          <w:color w:val="000000" w:themeColor="text1"/>
          <w:sz w:val="24"/>
          <w:szCs w:val="24"/>
          <w:highlight w:val="none"/>
          <w:lang w:val="zh-CN" w:eastAsia="zh-CN"/>
          <w14:textFill>
            <w14:solidFill>
              <w14:schemeClr w14:val="tx1"/>
            </w14:solidFill>
          </w14:textFill>
        </w:rPr>
        <w:t>（如有）</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我方参加你方组织的（项目名称）【招标编号：</w:t>
      </w:r>
      <w:r>
        <w:rPr>
          <w:rFonts w:hint="eastAsia" w:ascii="仿宋" w:hAnsi="仿宋" w:eastAsia="仿宋" w:cs="仿宋"/>
          <w:color w:val="000000" w:themeColor="text1"/>
          <w:sz w:val="24"/>
          <w:highlight w:val="none"/>
          <w14:textFill>
            <w14:solidFill>
              <w14:schemeClr w14:val="tx1"/>
            </w14:solidFill>
          </w14:textFill>
        </w:rPr>
        <w:t>（采购编号）</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w:t>
      </w:r>
      <w:r>
        <w:rPr>
          <w:rFonts w:hint="eastAsia" w:ascii="仿宋" w:hAnsi="仿宋" w:eastAsia="仿宋" w:cs="仿宋"/>
          <w:color w:val="000000" w:themeColor="text1"/>
          <w:sz w:val="24"/>
          <w:highlight w:val="none"/>
          <w14:textFill>
            <w14:solidFill>
              <w14:schemeClr w14:val="tx1"/>
            </w14:solidFill>
          </w14:textFill>
        </w:rPr>
        <w:t>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w:t>
      </w:r>
      <w:r>
        <w:rPr>
          <w:rFonts w:hint="eastAsia" w:ascii="仿宋" w:hAnsi="仿宋" w:eastAsia="仿宋" w:cs="仿宋"/>
          <w:color w:val="000000" w:themeColor="text1"/>
          <w:sz w:val="24"/>
          <w:highlight w:val="none"/>
          <w14:textFill>
            <w14:solidFill>
              <w14:schemeClr w14:val="tx1"/>
            </w14:solidFill>
          </w14:textFill>
        </w:rPr>
        <w:t>承诺函；</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2.1.2落实政府采购政策需满足的资格要求</w:t>
      </w:r>
      <w:r>
        <w:rPr>
          <w:rFonts w:hint="eastAsia" w:ascii="仿宋" w:hAnsi="仿宋" w:eastAsia="仿宋" w:cs="仿宋"/>
          <w:color w:val="000000" w:themeColor="text1"/>
          <w:sz w:val="24"/>
          <w:highlight w:val="none"/>
          <w14:textFill>
            <w14:solidFill>
              <w14:schemeClr w14:val="tx1"/>
            </w14:solidFill>
          </w14:textFill>
        </w:rPr>
        <w:t>（如果有）；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2.1.3本项目的特定资格要求</w:t>
      </w:r>
      <w:r>
        <w:rPr>
          <w:rFonts w:hint="eastAsia" w:ascii="仿宋" w:hAnsi="仿宋" w:eastAsia="仿宋" w:cs="仿宋"/>
          <w:color w:val="000000" w:themeColor="text1"/>
          <w:sz w:val="24"/>
          <w:highlight w:val="none"/>
          <w14:textFill>
            <w14:solidFill>
              <w14:schemeClr w14:val="tx1"/>
            </w14:solidFill>
          </w14:textFill>
        </w:rPr>
        <w:t>（如果有）。</w:t>
      </w:r>
    </w:p>
    <w:p>
      <w:pP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2.2.3联合协议</w:t>
      </w:r>
      <w:r>
        <w:rPr>
          <w:rFonts w:hint="eastAsia" w:ascii="仿宋" w:hAnsi="仿宋" w:eastAsia="仿宋" w:cs="仿宋"/>
          <w:color w:val="000000" w:themeColor="text1"/>
          <w:sz w:val="24"/>
          <w:highlight w:val="none"/>
          <w14:textFill>
            <w14:solidFill>
              <w14:schemeClr w14:val="tx1"/>
            </w14:solidFill>
          </w14:textFill>
        </w:rPr>
        <w:t>（如果有）；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2.2.4分包意向协议</w:t>
      </w:r>
      <w:r>
        <w:rPr>
          <w:rFonts w:hint="eastAsia" w:ascii="仿宋" w:hAnsi="仿宋" w:eastAsia="仿宋" w:cs="仿宋"/>
          <w:color w:val="000000" w:themeColor="text1"/>
          <w:sz w:val="24"/>
          <w:highlight w:val="none"/>
          <w14:textFill>
            <w14:solidFill>
              <w14:schemeClr w14:val="tx1"/>
            </w14:solidFill>
          </w14:textFill>
        </w:rPr>
        <w:t>（如果有）；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2.2.5符合性审查资料；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2.2.6评标标准相应的商务技术资料；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2.3.2中小企业声明函</w:t>
      </w:r>
      <w:r>
        <w:rPr>
          <w:rFonts w:hint="eastAsia" w:ascii="仿宋" w:hAnsi="仿宋" w:eastAsia="仿宋" w:cs="仿宋"/>
          <w:color w:val="000000" w:themeColor="text1"/>
          <w:sz w:val="24"/>
          <w:highlight w:val="none"/>
          <w14:textFill>
            <w14:solidFill>
              <w14:schemeClr w14:val="tx1"/>
            </w14:solidFill>
          </w14:textFill>
        </w:rPr>
        <w:t>（如果有）。</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pStyle w:val="3"/>
        <w:rPr>
          <w:rFonts w:hint="eastAsia" w:ascii="仿宋" w:hAnsi="仿宋" w:eastAsia="仿宋" w:cs="仿宋"/>
          <w:color w:val="000000" w:themeColor="text1"/>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r>
        <w:rPr>
          <w:rFonts w:hint="eastAsia" w:ascii="仿宋" w:hAnsi="仿宋" w:eastAsia="仿宋" w:cs="仿宋"/>
          <w:color w:val="000000" w:themeColor="text1"/>
          <w:highlight w:val="none"/>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w:t>
      </w:r>
      <w:r>
        <w:rPr>
          <w:rFonts w:hint="eastAsia" w:ascii="仿宋" w:hAnsi="仿宋" w:eastAsia="仿宋" w:cs="仿宋"/>
          <w:color w:val="000000" w:themeColor="text1"/>
          <w:sz w:val="24"/>
          <w:highlight w:val="none"/>
          <w14:textFill>
            <w14:solidFill>
              <w14:schemeClr w14:val="tx1"/>
            </w14:solidFill>
          </w14:textFill>
        </w:rPr>
        <w:t>（采购编号）</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w:t>
      </w:r>
      <w:r>
        <w:rPr>
          <w:rFonts w:hint="eastAsia" w:ascii="仿宋" w:hAnsi="仿宋" w:eastAsia="仿宋" w:cs="仿宋"/>
          <w:color w:val="000000" w:themeColor="text1"/>
          <w:sz w:val="24"/>
          <w:highlight w:val="none"/>
          <w14:textFill>
            <w14:solidFill>
              <w14:schemeClr w14:val="tx1"/>
            </w14:solidFill>
          </w14:textFill>
        </w:rPr>
        <w:t>（采购编号）</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w:t>
      </w:r>
      <w:r>
        <w:rPr>
          <w:rFonts w:hint="eastAsia" w:ascii="仿宋" w:hAnsi="仿宋" w:eastAsia="仿宋" w:cs="仿宋"/>
          <w:color w:val="000000" w:themeColor="text1"/>
          <w:kern w:val="0"/>
          <w:sz w:val="24"/>
          <w:highlight w:val="none"/>
          <w:lang w:val="zh-CN"/>
          <w14:textFill>
            <w14:solidFill>
              <w14:schemeClr w14:val="tx1"/>
            </w14:solidFill>
          </w14:textFill>
        </w:rPr>
        <w:t>(电子签名/公章)：</w:t>
      </w: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w:t>
      </w:r>
      <w:r>
        <w:rPr>
          <w:rFonts w:hint="eastAsia" w:ascii="仿宋" w:hAnsi="仿宋" w:eastAsia="仿宋" w:cs="仿宋"/>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87"/>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before="0" w:beforeAutospacing="0" w:after="0" w:afterAutospacing="0" w:line="360" w:lineRule="auto"/>
              <w:ind w:left="0" w:right="0"/>
              <w:rPr>
                <w:rFonts w:hint="eastAsia" w:ascii="仿宋" w:hAnsi="仿宋" w:eastAsia="仿宋" w:cs="仿宋"/>
                <w:bCs/>
                <w:color w:val="000000" w:themeColor="text1"/>
                <w:sz w:val="24"/>
                <w:szCs w:val="20"/>
                <w:highlight w:val="none"/>
                <w14:textFill>
                  <w14:solidFill>
                    <w14:schemeClr w14:val="tx1"/>
                  </w14:solidFill>
                </w14:textFill>
              </w:rPr>
            </w:pPr>
            <w:r>
              <w:rPr>
                <w:rFonts w:hint="eastAsia" w:ascii="仿宋" w:hAnsi="仿宋" w:eastAsia="仿宋" w:cs="仿宋"/>
                <w:bCs/>
                <w:color w:val="000000" w:themeColor="text1"/>
                <w:sz w:val="24"/>
                <w:szCs w:val="20"/>
                <w:highlight w:val="none"/>
                <w14:textFill>
                  <w14:solidFill>
                    <w14:schemeClr w14:val="tx1"/>
                  </w14:solidFill>
                </w14:textFill>
              </w:rPr>
              <w:t>正面：                                 反面：</w:t>
            </w:r>
          </w:p>
          <w:p>
            <w:pPr>
              <w:pStyle w:val="87"/>
              <w:adjustRightInd w:val="0"/>
              <w:spacing w:before="0" w:beforeAutospacing="0" w:after="0" w:afterAutospacing="0" w:line="360" w:lineRule="auto"/>
              <w:ind w:left="0" w:right="0"/>
              <w:rPr>
                <w:rFonts w:hint="eastAsia" w:ascii="仿宋" w:hAnsi="仿宋" w:eastAsia="仿宋" w:cs="仿宋"/>
                <w:bCs/>
                <w:color w:val="000000" w:themeColor="text1"/>
                <w:sz w:val="24"/>
                <w:szCs w:val="20"/>
                <w:highlight w:val="none"/>
                <w14:textFill>
                  <w14:solidFill>
                    <w14:schemeClr w14:val="tx1"/>
                  </w14:solidFill>
                </w14:textFill>
              </w:rPr>
            </w:pPr>
          </w:p>
        </w:tc>
      </w:tr>
    </w:tbl>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3"/>
        <w:rPr>
          <w:rFonts w:hint="eastAsia" w:ascii="仿宋" w:hAnsi="仿宋" w:eastAsia="仿宋" w:cs="仿宋"/>
          <w:color w:val="000000" w:themeColor="text1"/>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w:t>
      </w: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（项目名称）【招标编号：</w:t>
      </w:r>
      <w:r>
        <w:rPr>
          <w:rFonts w:hint="eastAsia" w:ascii="仿宋" w:hAnsi="仿宋" w:eastAsia="仿宋" w:cs="仿宋"/>
          <w:color w:val="000000" w:themeColor="text1"/>
          <w:sz w:val="24"/>
          <w:highlight w:val="none"/>
          <w14:textFill>
            <w14:solidFill>
              <w14:schemeClr w14:val="tx1"/>
            </w14:solidFill>
          </w14:textFill>
        </w:rPr>
        <w:t>（采购编号）</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投标。</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14:textFill>
            <w14:solidFill>
              <w14:schemeClr w14:val="tx1"/>
            </w14:solidFill>
          </w14:textFill>
        </w:rPr>
        <w:t>提供的全部货物由小微企业制造，其合同份额占到合同总金额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w:t>
      </w:r>
      <w:r>
        <w:rPr>
          <w:rFonts w:hint="eastAsia" w:ascii="仿宋" w:hAnsi="仿宋" w:eastAsia="仿宋" w:cs="仿宋"/>
          <w:b/>
          <w:color w:val="000000" w:themeColor="text1"/>
          <w:kern w:val="0"/>
          <w:sz w:val="24"/>
          <w:highlight w:val="none"/>
          <w:lang w:val="zh-CN"/>
          <w14:textFill>
            <w14:solidFill>
              <w14:schemeClr w14:val="tx1"/>
            </w14:solidFill>
          </w14:textFill>
        </w:rPr>
        <w:t xml:space="preserve"> 30%以上</w:t>
      </w:r>
      <w:r>
        <w:rPr>
          <w:rFonts w:hint="eastAsia" w:ascii="仿宋" w:hAnsi="仿宋" w:eastAsia="仿宋" w:cs="仿宋"/>
          <w:b/>
          <w:color w:val="000000" w:themeColor="text1"/>
          <w:kern w:val="0"/>
          <w:sz w:val="24"/>
          <w:highlight w:val="none"/>
          <w:lang w:val="zh-CN"/>
          <w14:textFill>
            <w14:solidFill>
              <w14:schemeClr w14:val="tx1"/>
            </w14:solidFill>
          </w14:textFill>
        </w:rPr>
        <w:t>，对联合体报价给予</w:t>
      </w:r>
      <w:r>
        <w:rPr>
          <w:rFonts w:hint="eastAsia" w:ascii="仿宋" w:hAnsi="仿宋" w:eastAsia="仿宋" w:cs="仿宋"/>
          <w:b/>
          <w:color w:val="000000" w:themeColor="text1"/>
          <w:kern w:val="0"/>
          <w:sz w:val="24"/>
          <w:highlight w:val="none"/>
          <w:lang w:val="en-US" w:eastAsia="zh-CN"/>
          <w14:textFill>
            <w14:solidFill>
              <w14:schemeClr w14:val="tx1"/>
            </w14:solidFill>
          </w14:textFill>
        </w:rPr>
        <w:t>6</w:t>
      </w:r>
      <w:r>
        <w:rPr>
          <w:rFonts w:hint="eastAsia" w:ascii="仿宋" w:hAnsi="仿宋" w:eastAsia="仿宋" w:cs="仿宋"/>
          <w:b/>
          <w:color w:val="000000" w:themeColor="text1"/>
          <w:kern w:val="0"/>
          <w:sz w:val="24"/>
          <w:highlight w:val="none"/>
          <w:lang w:val="zh-CN"/>
          <w14:textFill>
            <w14:solidFill>
              <w14:schemeClr w14:val="tx1"/>
            </w14:solidFill>
          </w14:textFill>
        </w:rPr>
        <w:t>%的扣除</w:t>
      </w:r>
      <w:r>
        <w:rPr>
          <w:rFonts w:hint="eastAsia" w:ascii="仿宋" w:hAnsi="仿宋" w:eastAsia="仿宋" w:cs="仿宋"/>
          <w:b/>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w:t>
      </w:r>
      <w:r>
        <w:rPr>
          <w:rFonts w:hint="eastAsia" w:ascii="仿宋" w:hAnsi="仿宋" w:eastAsia="仿宋" w:cs="仿宋"/>
          <w:color w:val="000000" w:themeColor="text1"/>
          <w:sz w:val="24"/>
          <w:highlight w:val="none"/>
          <w14:textFill>
            <w14:solidFill>
              <w14:schemeClr w14:val="tx1"/>
            </w14:solidFill>
          </w14:textFill>
        </w:rPr>
        <w:t>事项对采购人承担连带责任。</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w:t>
      </w:r>
      <w:r>
        <w:rPr>
          <w:rFonts w:hint="eastAsia" w:ascii="仿宋" w:hAnsi="仿宋" w:eastAsia="仿宋" w:cs="仿宋"/>
          <w:color w:val="000000" w:themeColor="text1"/>
          <w:kern w:val="0"/>
          <w:sz w:val="24"/>
          <w:highlight w:val="none"/>
          <w:lang w:val="zh-CN"/>
          <w14:textFill>
            <w14:solidFill>
              <w14:schemeClr w14:val="tx1"/>
            </w14:solidFill>
          </w14:textFill>
        </w:rPr>
        <w:t>他供应商另外组成联合体参加同一合同项下的政府采购活动。</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w:t>
      </w:r>
      <w:r>
        <w:rPr>
          <w:rFonts w:hint="eastAsia" w:ascii="仿宋" w:hAnsi="仿宋" w:eastAsia="仿宋" w:cs="仿宋"/>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snapToGrid w:val="0"/>
        <w:spacing w:line="360" w:lineRule="auto"/>
        <w:ind w:right="480"/>
        <w:rPr>
          <w:rFonts w:hint="eastAsia" w:ascii="仿宋" w:hAnsi="仿宋" w:eastAsia="仿宋" w:cs="仿宋"/>
          <w:b/>
          <w:color w:val="000000" w:themeColor="text1"/>
          <w:kern w:val="0"/>
          <w:sz w:val="32"/>
          <w:szCs w:val="32"/>
          <w:highlight w:val="none"/>
          <w:lang w:val="zh-CN"/>
          <w14:textFill>
            <w14:solidFill>
              <w14:schemeClr w14:val="tx1"/>
            </w14:solidFill>
          </w14:textFill>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四、分包意向协议</w:t>
      </w:r>
    </w:p>
    <w:p>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（项目名称）【招标编号：</w:t>
      </w:r>
      <w:r>
        <w:rPr>
          <w:rFonts w:hint="eastAsia" w:ascii="仿宋" w:hAnsi="仿宋" w:eastAsia="仿宋" w:cs="仿宋"/>
          <w:color w:val="000000" w:themeColor="text1"/>
          <w:sz w:val="24"/>
          <w:highlight w:val="none"/>
          <w14:textFill>
            <w14:solidFill>
              <w14:schemeClr w14:val="tx1"/>
            </w14:solidFill>
          </w14:textFill>
        </w:rPr>
        <w:t>（采购编号）</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pPr>
        <w:pStyle w:val="3"/>
        <w:ind w:left="664" w:leftChars="316" w:firstLine="229" w:firstLineChars="9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七、其他</w:t>
      </w:r>
    </w:p>
    <w:p>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（分包供应商名称）提供的货物全部由小微企业制造，</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w:t>
      </w:r>
      <w:r>
        <w:rPr>
          <w:rFonts w:hint="eastAsia" w:ascii="仿宋" w:hAnsi="仿宋" w:eastAsia="仿宋" w:cs="仿宋"/>
          <w:b/>
          <w:color w:val="000000" w:themeColor="text1"/>
          <w:kern w:val="0"/>
          <w:sz w:val="24"/>
          <w:highlight w:val="none"/>
          <w:lang w:val="zh-CN"/>
          <w14:textFill>
            <w14:solidFill>
              <w14:schemeClr w14:val="tx1"/>
            </w14:solidFill>
          </w14:textFill>
        </w:rPr>
        <w:t xml:space="preserve"> 30%以上</w:t>
      </w:r>
      <w:r>
        <w:rPr>
          <w:rFonts w:hint="eastAsia" w:ascii="仿宋" w:hAnsi="仿宋" w:eastAsia="仿宋" w:cs="仿宋"/>
          <w:b/>
          <w:color w:val="000000" w:themeColor="text1"/>
          <w:kern w:val="0"/>
          <w:sz w:val="24"/>
          <w:highlight w:val="none"/>
          <w:lang w:val="zh-CN"/>
          <w14:textFill>
            <w14:solidFill>
              <w14:schemeClr w14:val="tx1"/>
            </w14:solidFill>
          </w14:textFill>
        </w:rPr>
        <w:t>的，对大中型企业的报</w:t>
      </w:r>
      <w:r>
        <w:rPr>
          <w:rFonts w:hint="eastAsia" w:ascii="仿宋" w:hAnsi="仿宋" w:eastAsia="仿宋" w:cs="仿宋"/>
          <w:b/>
          <w:color w:val="000000" w:themeColor="text1"/>
          <w:kern w:val="0"/>
          <w:sz w:val="24"/>
          <w:highlight w:val="none"/>
          <w:lang w:val="zh-CN"/>
          <w14:textFill>
            <w14:solidFill>
              <w14:schemeClr w14:val="tx1"/>
            </w14:solidFill>
          </w14:textFill>
        </w:rPr>
        <w:t>价给予</w:t>
      </w:r>
      <w:r>
        <w:rPr>
          <w:rFonts w:hint="eastAsia" w:ascii="仿宋" w:hAnsi="仿宋" w:eastAsia="仿宋" w:cs="仿宋"/>
          <w:b/>
          <w:color w:val="000000" w:themeColor="text1"/>
          <w:kern w:val="0"/>
          <w:sz w:val="24"/>
          <w:highlight w:val="none"/>
          <w:lang w:val="en-US" w:eastAsia="zh-CN"/>
          <w14:textFill>
            <w14:solidFill>
              <w14:schemeClr w14:val="tx1"/>
            </w14:solidFill>
          </w14:textFill>
        </w:rPr>
        <w:t>6</w:t>
      </w:r>
      <w:r>
        <w:rPr>
          <w:rFonts w:hint="eastAsia" w:ascii="仿宋" w:hAnsi="仿宋" w:eastAsia="仿宋" w:cs="仿宋"/>
          <w:b/>
          <w:color w:val="000000" w:themeColor="text1"/>
          <w:kern w:val="0"/>
          <w:sz w:val="24"/>
          <w:highlight w:val="none"/>
          <w:lang w:val="zh-CN"/>
          <w14:textFill>
            <w14:solidFill>
              <w14:schemeClr w14:val="tx1"/>
            </w14:solidFill>
          </w14:textFill>
        </w:rPr>
        <w:t>%的扣除</w:t>
      </w:r>
      <w:r>
        <w:rPr>
          <w:rFonts w:hint="eastAsia" w:ascii="仿宋" w:hAnsi="仿宋" w:eastAsia="仿宋" w:cs="仿宋"/>
          <w:b/>
          <w:color w:val="000000" w:themeColor="text1"/>
          <w:kern w:val="0"/>
          <w:sz w:val="24"/>
          <w:highlight w:val="none"/>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ind w:firstLine="5640" w:firstLineChars="235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五、符合性审查资料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投标文件中的</w:t>
            </w:r>
          </w:p>
          <w:p>
            <w:pPr>
              <w:snapToGrid w:val="0"/>
              <w:spacing w:before="0" w:beforeAutospacing="0" w:after="0" w:afterAutospacing="0" w:line="240" w:lineRule="atLeast"/>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p>
        </w:tc>
        <w:tc>
          <w:tcPr>
            <w:tcW w:w="4991" w:type="dxa"/>
            <w:vAlign w:val="top"/>
          </w:tcPr>
          <w:p>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
                <w:color w:val="000000" w:themeColor="text1"/>
                <w:sz w:val="24"/>
                <w:szCs w:val="20"/>
                <w:highlight w:val="none"/>
                <w14:textFill>
                  <w14:solidFill>
                    <w14:schemeClr w14:val="tx1"/>
                  </w14:solidFill>
                </w14:textFill>
              </w:rPr>
            </w:pPr>
          </w:p>
          <w:p>
            <w:pPr>
              <w:spacing w:before="0" w:beforeAutospacing="0" w:after="0" w:afterAutospacing="0"/>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见投标文件</w:t>
            </w:r>
          </w:p>
          <w:p>
            <w:pPr>
              <w:spacing w:before="0" w:beforeAutospacing="0" w:after="0" w:afterAutospacing="0"/>
              <w:ind w:left="0" w:right="0"/>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第</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w:t>
            </w:r>
          </w:p>
        </w:tc>
        <w:tc>
          <w:tcPr>
            <w:tcW w:w="4991" w:type="dxa"/>
            <w:vAlign w:val="top"/>
          </w:tcPr>
          <w:p>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节能产品认证证书（本项目</w:t>
            </w:r>
            <w:r>
              <w:rPr>
                <w:rFonts w:hint="eastAsia" w:ascii="仿宋" w:hAnsi="仿宋" w:eastAsia="仿宋" w:cs="仿宋"/>
                <w:color w:val="000000" w:themeColor="text1"/>
                <w:sz w:val="24"/>
                <w:szCs w:val="20"/>
                <w:highlight w:val="none"/>
                <w14:textFill>
                  <w14:solidFill>
                    <w14:schemeClr w14:val="tx1"/>
                  </w14:solidFill>
                </w14:textFill>
              </w:rPr>
              <w:t>拟采购的产品不属于政府强制采购的节能产品品目清单范围的</w:t>
            </w:r>
            <w:r>
              <w:rPr>
                <w:rFonts w:hint="eastAsia" w:ascii="仿宋" w:hAnsi="仿宋" w:eastAsia="仿宋" w:cs="仿宋"/>
                <w:color w:val="000000" w:themeColor="text1"/>
                <w:sz w:val="24"/>
                <w:szCs w:val="20"/>
                <w:highlight w:val="none"/>
                <w14:textFill>
                  <w14:solidFill>
                    <w14:schemeClr w14:val="tx1"/>
                  </w14:solidFill>
                </w14:textFill>
              </w:rPr>
              <w:t>，无需提供）</w:t>
            </w:r>
          </w:p>
        </w:tc>
        <w:tc>
          <w:tcPr>
            <w:tcW w:w="1418" w:type="dxa"/>
            <w:vAlign w:val="top"/>
          </w:tcPr>
          <w:p>
            <w:pPr>
              <w:spacing w:before="0" w:beforeAutospacing="0" w:after="0" w:afterAutospacing="0"/>
              <w:ind w:left="0" w:right="0"/>
              <w:rPr>
                <w:rFonts w:hint="eastAsia" w:ascii="仿宋" w:hAnsi="仿宋" w:eastAsia="仿宋" w:cs="仿宋"/>
                <w:color w:val="000000" w:themeColor="text1"/>
                <w:sz w:val="24"/>
                <w:szCs w:val="20"/>
                <w:highlight w:val="none"/>
                <w14:textFill>
                  <w14:solidFill>
                    <w14:schemeClr w14:val="tx1"/>
                  </w14:solidFill>
                </w14:textFill>
              </w:rPr>
            </w:pPr>
          </w:p>
          <w:p>
            <w:pPr>
              <w:spacing w:before="0" w:beforeAutospacing="0" w:after="0" w:afterAutospacing="0"/>
              <w:ind w:left="0" w:right="0"/>
              <w:rPr>
                <w:rFonts w:hint="eastAsia" w:ascii="仿宋" w:hAnsi="仿宋" w:eastAsia="仿宋" w:cs="仿宋"/>
                <w:color w:val="000000" w:themeColor="text1"/>
                <w:sz w:val="24"/>
                <w:szCs w:val="20"/>
                <w:highlight w:val="none"/>
                <w14:textFill>
                  <w14:solidFill>
                    <w14:schemeClr w14:val="tx1"/>
                  </w14:solidFill>
                </w14:textFill>
              </w:rPr>
            </w:pPr>
          </w:p>
          <w:p>
            <w:pPr>
              <w:spacing w:before="0" w:beforeAutospacing="0" w:after="0" w:afterAutospacing="0"/>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见投标文件</w:t>
            </w:r>
          </w:p>
          <w:p>
            <w:pPr>
              <w:pStyle w:val="3"/>
              <w:spacing w:before="0" w:beforeAutospacing="0" w:after="0" w:afterAutospacing="0"/>
              <w:ind w:right="0"/>
              <w:rPr>
                <w:rFonts w:hint="eastAsia" w:ascii="仿宋" w:hAnsi="仿宋" w:eastAsia="仿宋" w:cs="仿宋"/>
                <w:color w:val="000000" w:themeColor="text1"/>
                <w:sz w:val="20"/>
                <w:szCs w:val="20"/>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第</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3</w:t>
            </w:r>
          </w:p>
        </w:tc>
        <w:tc>
          <w:tcPr>
            <w:tcW w:w="4991" w:type="dxa"/>
            <w:vAlign w:val="top"/>
          </w:tcPr>
          <w:p>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投标函</w:t>
            </w:r>
          </w:p>
        </w:tc>
        <w:tc>
          <w:tcPr>
            <w:tcW w:w="1418" w:type="dxa"/>
            <w:vAlign w:val="top"/>
          </w:tcPr>
          <w:p>
            <w:pPr>
              <w:spacing w:before="0" w:beforeAutospacing="0" w:after="0" w:afterAutospacing="0"/>
              <w:ind w:left="0" w:right="0"/>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见投标文件第</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4</w:t>
            </w:r>
          </w:p>
        </w:tc>
        <w:tc>
          <w:tcPr>
            <w:tcW w:w="4991" w:type="dxa"/>
            <w:vAlign w:val="top"/>
          </w:tcPr>
          <w:p>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见投标文件第</w:t>
            </w:r>
            <w:r>
              <w:rPr>
                <w:rFonts w:hint="eastAsia" w:ascii="仿宋" w:hAnsi="仿宋" w:eastAsia="仿宋" w:cs="仿宋"/>
                <w:color w:val="000000" w:themeColor="text1"/>
                <w:sz w:val="24"/>
                <w:szCs w:val="20"/>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页</w:t>
            </w:r>
          </w:p>
        </w:tc>
      </w:tr>
    </w:tbl>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3"/>
        <w:rPr>
          <w:rFonts w:hint="eastAsia" w:ascii="仿宋" w:hAnsi="仿宋" w:eastAsia="仿宋" w:cs="仿宋"/>
          <w:color w:val="000000" w:themeColor="text1"/>
          <w:highlight w:val="none"/>
          <w14:textFill>
            <w14:solidFill>
              <w14:schemeClr w14:val="tx1"/>
            </w14:solidFill>
          </w14:textFill>
        </w:rPr>
      </w:pPr>
    </w:p>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六、评标标准相应的商务技术资料</w:t>
      </w: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备注（如果有）</w:t>
            </w:r>
          </w:p>
          <w:p>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r>
    </w:tbl>
    <w:p>
      <w:pPr>
        <w:pStyle w:val="3"/>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3"/>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vAlign w:val="top"/>
          </w:tcPr>
          <w:p>
            <w:pPr>
              <w:spacing w:before="0" w:beforeAutospacing="0" w:after="0" w:afterAutospacing="0"/>
              <w:ind w:left="0" w:right="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vAlign w:val="top"/>
          </w:tcPr>
          <w:p>
            <w:pPr>
              <w:spacing w:before="0" w:beforeAutospacing="0" w:after="0" w:afterAutospacing="0"/>
              <w:ind w:left="0" w:right="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vAlign w:val="top"/>
          </w:tcPr>
          <w:p>
            <w:pPr>
              <w:spacing w:before="0" w:beforeAutospacing="0" w:after="0" w:afterAutospacing="0"/>
              <w:ind w:left="0" w:right="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vAlign w:val="top"/>
          </w:tcPr>
          <w:p>
            <w:pPr>
              <w:spacing w:before="0" w:beforeAutospacing="0" w:after="0" w:afterAutospacing="0"/>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top"/>
          </w:tcPr>
          <w:p>
            <w:pPr>
              <w:spacing w:before="0" w:beforeAutospacing="0" w:after="0" w:afterAutospacing="0"/>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top"/>
          </w:tcPr>
          <w:p>
            <w:pPr>
              <w:spacing w:before="0" w:beforeAutospacing="0" w:after="0" w:afterAutospacing="0"/>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vAlign w:val="top"/>
          </w:tcPr>
          <w:p>
            <w:pPr>
              <w:spacing w:before="0" w:beforeAutospacing="0" w:after="0" w:afterAutospacing="0"/>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top"/>
          </w:tcPr>
          <w:p>
            <w:pPr>
              <w:spacing w:before="0" w:beforeAutospacing="0" w:after="0" w:afterAutospacing="0"/>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top"/>
          </w:tcPr>
          <w:p>
            <w:pPr>
              <w:spacing w:before="0" w:beforeAutospacing="0" w:after="0" w:afterAutospacing="0"/>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vAlign w:val="top"/>
          </w:tcPr>
          <w:p>
            <w:pPr>
              <w:spacing w:before="0" w:beforeAutospacing="0" w:after="0" w:afterAutospacing="0"/>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top"/>
          </w:tcPr>
          <w:p>
            <w:pPr>
              <w:spacing w:before="0" w:beforeAutospacing="0" w:after="0" w:afterAutospacing="0"/>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top"/>
          </w:tcPr>
          <w:p>
            <w:pPr>
              <w:spacing w:before="0" w:beforeAutospacing="0" w:after="0" w:afterAutospacing="0"/>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九</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一、不向项目有关人员及部门赠送礼金礼物、有价证券、回扣以及中介费、介绍费、咨询费等好处费；</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二、不为项目有关人员及部门报销应由你方单位或个人支付的费用；</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三、不向项目有关人员及部门提供有可能影响公正的宴请和健身娱乐等活动；</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等法律法规，诚实守信，合法经营，坚决抵制各种违法违纪行为。</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1）开标一览表（报价表）……</w:t>
      </w:r>
      <w:r>
        <w:rPr>
          <w:rFonts w:hint="eastAsia" w:ascii="仿宋" w:hAnsi="仿宋" w:eastAsia="仿宋" w:cs="仿宋"/>
          <w:color w:val="000000" w:themeColor="text1"/>
          <w:sz w:val="24"/>
          <w:highlight w:val="none"/>
          <w14:textFill>
            <w14:solidFill>
              <w14:schemeClr w14:val="tx1"/>
            </w14:solidFill>
          </w14:textFill>
        </w:rPr>
        <w:t>………………………………………………（页码）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2）中小企业声明函……</w:t>
      </w:r>
      <w:r>
        <w:rPr>
          <w:rFonts w:hint="eastAsia" w:ascii="仿宋" w:hAnsi="仿宋" w:eastAsia="仿宋" w:cs="仿宋"/>
          <w:color w:val="000000" w:themeColor="text1"/>
          <w:sz w:val="24"/>
          <w:highlight w:val="none"/>
          <w14:textFill>
            <w14:solidFill>
              <w14:schemeClr w14:val="tx1"/>
            </w14:solidFill>
          </w14:textFill>
        </w:rPr>
        <w:t>………………………………………………………（页码）</w:t>
      </w:r>
    </w:p>
    <w:p>
      <w:pPr>
        <w:snapToGrid w:val="0"/>
        <w:spacing w:line="360" w:lineRule="auto"/>
        <w:ind w:right="480"/>
        <w:jc w:val="both"/>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投标人针对报价需要说明的其他文件和说明</w:t>
      </w:r>
      <w:r>
        <w:rPr>
          <w:rFonts w:hint="eastAsia" w:ascii="仿宋" w:hAnsi="仿宋" w:eastAsia="仿宋" w:cs="仿宋"/>
          <w:color w:val="000000" w:themeColor="text1"/>
          <w:sz w:val="24"/>
          <w:highlight w:val="none"/>
          <w:lang w:eastAsia="zh-CN"/>
          <w14:textFill>
            <w14:solidFill>
              <w14:schemeClr w14:val="tx1"/>
            </w14:solidFill>
          </w14:textFill>
        </w:rPr>
        <w:t>（如有）</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（页码）</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376"/>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76"/>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482"/>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项目编号</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（采购编号）</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开标一览表（报价表）(单位均为人民币元)</w:t>
      </w:r>
    </w:p>
    <w:p>
      <w:pPr>
        <w:numPr>
          <w:ilvl w:val="0"/>
          <w:numId w:val="0"/>
        </w:numPr>
        <w:adjustRightInd w:val="0"/>
        <w:snapToGrid w:val="0"/>
        <w:spacing w:line="36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标项1</w:t>
      </w:r>
    </w:p>
    <w:tbl>
      <w:tblPr>
        <w:tblStyle w:val="63"/>
        <w:tblpPr w:leftFromText="180" w:rightFromText="180" w:vertAnchor="text" w:horzAnchor="page" w:tblpX="1400" w:tblpY="435"/>
        <w:tblOverlap w:val="never"/>
        <w:tblW w:w="13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666"/>
        <w:gridCol w:w="4893"/>
        <w:gridCol w:w="941"/>
        <w:gridCol w:w="873"/>
        <w:gridCol w:w="2768"/>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序号</w:t>
            </w:r>
          </w:p>
        </w:tc>
        <w:tc>
          <w:tcPr>
            <w:tcW w:w="1666"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名称</w:t>
            </w:r>
          </w:p>
        </w:tc>
        <w:tc>
          <w:tcPr>
            <w:tcW w:w="4893"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范围</w:t>
            </w:r>
          </w:p>
        </w:tc>
        <w:tc>
          <w:tcPr>
            <w:tcW w:w="941"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单位</w:t>
            </w:r>
          </w:p>
        </w:tc>
        <w:tc>
          <w:tcPr>
            <w:tcW w:w="873"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数量</w:t>
            </w:r>
          </w:p>
        </w:tc>
        <w:tc>
          <w:tcPr>
            <w:tcW w:w="2768"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综合单价（元/户）</w:t>
            </w:r>
          </w:p>
        </w:tc>
        <w:tc>
          <w:tcPr>
            <w:tcW w:w="1868"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1</w:t>
            </w:r>
          </w:p>
        </w:tc>
        <w:tc>
          <w:tcPr>
            <w:tcW w:w="1666"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房屋</w:t>
            </w:r>
            <w:r>
              <w:rPr>
                <w:rFonts w:hint="eastAsia" w:ascii="仿宋" w:hAnsi="仿宋" w:eastAsia="仿宋" w:cs="仿宋"/>
                <w:b w:val="0"/>
                <w:i w:val="0"/>
                <w:color w:val="000000" w:themeColor="text1"/>
                <w:sz w:val="24"/>
                <w:szCs w:val="24"/>
                <w:highlight w:val="none"/>
                <w14:textFill>
                  <w14:solidFill>
                    <w14:schemeClr w14:val="tx1"/>
                  </w14:solidFill>
                </w14:textFill>
              </w:rPr>
              <w:t>安全隐患</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排查</w:t>
            </w:r>
          </w:p>
        </w:tc>
        <w:tc>
          <w:tcPr>
            <w:tcW w:w="4893" w:type="dxa"/>
            <w:vAlign w:val="top"/>
          </w:tcPr>
          <w:p>
            <w:pPr>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柴家坞村 塘北村 超山村  超丁村 泰山村 邵家坝村  唐家埭村 三文村 乐苑社区 广济社区 三文村 </w:t>
            </w:r>
          </w:p>
        </w:tc>
        <w:tc>
          <w:tcPr>
            <w:tcW w:w="941"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户</w:t>
            </w:r>
          </w:p>
        </w:tc>
        <w:tc>
          <w:tcPr>
            <w:tcW w:w="873"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12277</w:t>
            </w:r>
          </w:p>
        </w:tc>
        <w:tc>
          <w:tcPr>
            <w:tcW w:w="2768"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c>
          <w:tcPr>
            <w:tcW w:w="1868"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2</w:t>
            </w:r>
          </w:p>
        </w:tc>
        <w:tc>
          <w:tcPr>
            <w:tcW w:w="1666"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房屋</w:t>
            </w:r>
            <w:r>
              <w:rPr>
                <w:rFonts w:hint="eastAsia" w:ascii="仿宋" w:hAnsi="仿宋" w:eastAsia="仿宋" w:cs="仿宋"/>
                <w:b w:val="0"/>
                <w:i w:val="0"/>
                <w:color w:val="000000" w:themeColor="text1"/>
                <w:sz w:val="24"/>
                <w:szCs w:val="24"/>
                <w:highlight w:val="none"/>
                <w14:textFill>
                  <w14:solidFill>
                    <w14:schemeClr w14:val="tx1"/>
                  </w14:solidFill>
                </w14:textFill>
              </w:rPr>
              <w:t>安全隐患</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鉴定</w:t>
            </w:r>
          </w:p>
        </w:tc>
        <w:tc>
          <w:tcPr>
            <w:tcW w:w="4893" w:type="dxa"/>
            <w:vAlign w:val="top"/>
          </w:tcPr>
          <w:p>
            <w:pPr>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柴家坞村 塘北村 超山村  超丁村 泰山村 邵家坝村 河西埭村 唐家埭村 三文村 乐苑社区 广济社区 莫家桥村</w:t>
            </w:r>
          </w:p>
        </w:tc>
        <w:tc>
          <w:tcPr>
            <w:tcW w:w="941"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户</w:t>
            </w:r>
          </w:p>
        </w:tc>
        <w:tc>
          <w:tcPr>
            <w:tcW w:w="873"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2328</w:t>
            </w:r>
          </w:p>
        </w:tc>
        <w:tc>
          <w:tcPr>
            <w:tcW w:w="2768"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c>
          <w:tcPr>
            <w:tcW w:w="1868" w:type="dxa"/>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gridSpan w:val="2"/>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投标报价（小写）</w:t>
            </w:r>
          </w:p>
        </w:tc>
        <w:tc>
          <w:tcPr>
            <w:tcW w:w="11343" w:type="dxa"/>
            <w:gridSpan w:val="5"/>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gridSpan w:val="2"/>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投标报价（</w:t>
            </w:r>
            <w:r>
              <w:rPr>
                <w:rFonts w:hint="eastAsia" w:ascii="仿宋" w:hAnsi="仿宋" w:eastAsia="仿宋" w:cs="仿宋"/>
                <w:b/>
                <w:color w:val="000000" w:themeColor="text1"/>
                <w:sz w:val="24"/>
                <w:szCs w:val="20"/>
                <w:highlight w:val="none"/>
                <w:lang w:val="en-US" w:eastAsia="zh-CN"/>
                <w14:textFill>
                  <w14:solidFill>
                    <w14:schemeClr w14:val="tx1"/>
                  </w14:solidFill>
                </w14:textFill>
              </w:rPr>
              <w:t>大</w:t>
            </w:r>
            <w:r>
              <w:rPr>
                <w:rFonts w:hint="eastAsia" w:ascii="仿宋" w:hAnsi="仿宋" w:eastAsia="仿宋" w:cs="仿宋"/>
                <w:b/>
                <w:color w:val="000000" w:themeColor="text1"/>
                <w:sz w:val="24"/>
                <w:szCs w:val="20"/>
                <w:highlight w:val="none"/>
                <w14:textFill>
                  <w14:solidFill>
                    <w14:schemeClr w14:val="tx1"/>
                  </w14:solidFill>
                </w14:textFill>
              </w:rPr>
              <w:t>写）</w:t>
            </w:r>
          </w:p>
        </w:tc>
        <w:tc>
          <w:tcPr>
            <w:tcW w:w="11343" w:type="dxa"/>
            <w:gridSpan w:val="5"/>
            <w:vAlign w:val="top"/>
          </w:tcPr>
          <w:p>
            <w:pPr>
              <w:pStyle w:val="24"/>
              <w:widowControl w:val="0"/>
              <w:numPr>
                <w:ilvl w:val="0"/>
                <w:numId w:val="0"/>
              </w:numPr>
              <w:wordWrap/>
              <w:adjustRightInd w:val="0"/>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r>
    </w:tbl>
    <w:p>
      <w:pPr>
        <w:numPr>
          <w:ilvl w:val="0"/>
          <w:numId w:val="0"/>
        </w:numPr>
        <w:adjustRightInd w:val="0"/>
        <w:snapToGrid w:val="0"/>
        <w:spacing w:line="36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pPr>
        <w:numPr>
          <w:ilvl w:val="0"/>
          <w:numId w:val="0"/>
        </w:numPr>
        <w:adjustRightInd w:val="0"/>
        <w:snapToGrid w:val="0"/>
        <w:spacing w:line="36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标项2</w:t>
      </w:r>
    </w:p>
    <w:tbl>
      <w:tblPr>
        <w:tblStyle w:val="63"/>
        <w:tblpPr w:leftFromText="180" w:rightFromText="180" w:vertAnchor="text" w:horzAnchor="page" w:tblpX="1400" w:tblpY="435"/>
        <w:tblOverlap w:val="never"/>
        <w:tblW w:w="13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666"/>
        <w:gridCol w:w="4893"/>
        <w:gridCol w:w="941"/>
        <w:gridCol w:w="873"/>
        <w:gridCol w:w="2768"/>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序号</w:t>
            </w:r>
          </w:p>
        </w:tc>
        <w:tc>
          <w:tcPr>
            <w:tcW w:w="1666"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名称</w:t>
            </w:r>
          </w:p>
        </w:tc>
        <w:tc>
          <w:tcPr>
            <w:tcW w:w="4893"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范围</w:t>
            </w:r>
          </w:p>
        </w:tc>
        <w:tc>
          <w:tcPr>
            <w:tcW w:w="941"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单位</w:t>
            </w:r>
          </w:p>
        </w:tc>
        <w:tc>
          <w:tcPr>
            <w:tcW w:w="873"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数量</w:t>
            </w:r>
          </w:p>
        </w:tc>
        <w:tc>
          <w:tcPr>
            <w:tcW w:w="2768"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综合单价（元/户）</w:t>
            </w:r>
          </w:p>
        </w:tc>
        <w:tc>
          <w:tcPr>
            <w:tcW w:w="1868"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1</w:t>
            </w:r>
          </w:p>
        </w:tc>
        <w:tc>
          <w:tcPr>
            <w:tcW w:w="1666"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房屋</w:t>
            </w:r>
            <w:r>
              <w:rPr>
                <w:rFonts w:hint="eastAsia" w:ascii="仿宋" w:hAnsi="仿宋" w:eastAsia="仿宋" w:cs="仿宋"/>
                <w:b w:val="0"/>
                <w:i w:val="0"/>
                <w:color w:val="000000" w:themeColor="text1"/>
                <w:sz w:val="24"/>
                <w:szCs w:val="24"/>
                <w:highlight w:val="none"/>
                <w14:textFill>
                  <w14:solidFill>
                    <w14:schemeClr w14:val="tx1"/>
                  </w14:solidFill>
                </w14:textFill>
              </w:rPr>
              <w:t>安全隐患</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排查</w:t>
            </w:r>
          </w:p>
        </w:tc>
        <w:tc>
          <w:tcPr>
            <w:tcW w:w="4893" w:type="dxa"/>
            <w:vAlign w:val="top"/>
          </w:tcPr>
          <w:p>
            <w:pPr>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西苑村、丁河村、丁山河村、河西埭村、宏畔村、莫家桥村、三星村、塘栖村、西河村</w:t>
            </w:r>
          </w:p>
        </w:tc>
        <w:tc>
          <w:tcPr>
            <w:tcW w:w="941"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户</w:t>
            </w:r>
          </w:p>
        </w:tc>
        <w:tc>
          <w:tcPr>
            <w:tcW w:w="873"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14540</w:t>
            </w:r>
          </w:p>
        </w:tc>
        <w:tc>
          <w:tcPr>
            <w:tcW w:w="2768"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c>
          <w:tcPr>
            <w:tcW w:w="1868"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2</w:t>
            </w:r>
          </w:p>
        </w:tc>
        <w:tc>
          <w:tcPr>
            <w:tcW w:w="1666"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房</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屋</w:t>
            </w:r>
            <w:r>
              <w:rPr>
                <w:rFonts w:hint="eastAsia" w:ascii="仿宋" w:hAnsi="仿宋" w:eastAsia="仿宋" w:cs="仿宋"/>
                <w:b w:val="0"/>
                <w:i w:val="0"/>
                <w:color w:val="000000" w:themeColor="text1"/>
                <w:sz w:val="24"/>
                <w:szCs w:val="24"/>
                <w:highlight w:val="none"/>
                <w14:textFill>
                  <w14:solidFill>
                    <w14:schemeClr w14:val="tx1"/>
                  </w14:solidFill>
                </w14:textFill>
              </w:rPr>
              <w:t>安全隐患</w:t>
            </w: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鉴定</w:t>
            </w:r>
          </w:p>
        </w:tc>
        <w:tc>
          <w:tcPr>
            <w:tcW w:w="4893"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西苑村、丁河村、丁山河村、河西埭村、宏畔村、莫家桥村、三星村、塘栖村、西河村</w:t>
            </w:r>
          </w:p>
        </w:tc>
        <w:tc>
          <w:tcPr>
            <w:tcW w:w="941"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t>户</w:t>
            </w:r>
          </w:p>
        </w:tc>
        <w:tc>
          <w:tcPr>
            <w:tcW w:w="873"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1552</w:t>
            </w:r>
          </w:p>
        </w:tc>
        <w:tc>
          <w:tcPr>
            <w:tcW w:w="2768"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c>
          <w:tcPr>
            <w:tcW w:w="1868" w:type="dxa"/>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gridSpan w:val="2"/>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投标报价（小写）</w:t>
            </w:r>
          </w:p>
        </w:tc>
        <w:tc>
          <w:tcPr>
            <w:tcW w:w="11343" w:type="dxa"/>
            <w:gridSpan w:val="5"/>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gridSpan w:val="2"/>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投标报价（</w:t>
            </w:r>
            <w:r>
              <w:rPr>
                <w:rFonts w:hint="eastAsia" w:ascii="仿宋" w:hAnsi="仿宋" w:eastAsia="仿宋" w:cs="仿宋"/>
                <w:b/>
                <w:color w:val="000000" w:themeColor="text1"/>
                <w:sz w:val="24"/>
                <w:szCs w:val="20"/>
                <w:highlight w:val="none"/>
                <w:lang w:val="en-US" w:eastAsia="zh-CN"/>
                <w14:textFill>
                  <w14:solidFill>
                    <w14:schemeClr w14:val="tx1"/>
                  </w14:solidFill>
                </w14:textFill>
              </w:rPr>
              <w:t>大</w:t>
            </w:r>
            <w:r>
              <w:rPr>
                <w:rFonts w:hint="eastAsia" w:ascii="仿宋" w:hAnsi="仿宋" w:eastAsia="仿宋" w:cs="仿宋"/>
                <w:b/>
                <w:color w:val="000000" w:themeColor="text1"/>
                <w:sz w:val="24"/>
                <w:szCs w:val="20"/>
                <w:highlight w:val="none"/>
                <w14:textFill>
                  <w14:solidFill>
                    <w14:schemeClr w14:val="tx1"/>
                  </w14:solidFill>
                </w14:textFill>
              </w:rPr>
              <w:t>写）</w:t>
            </w:r>
          </w:p>
        </w:tc>
        <w:tc>
          <w:tcPr>
            <w:tcW w:w="11343" w:type="dxa"/>
            <w:gridSpan w:val="5"/>
            <w:vAlign w:val="top"/>
          </w:tcPr>
          <w:p>
            <w:pPr>
              <w:pStyle w:val="24"/>
              <w:widowControl w:val="0"/>
              <w:numPr>
                <w:ilvl w:val="0"/>
                <w:numId w:val="0"/>
              </w:numPr>
              <w:wordWrap/>
              <w:adjustRightInd w:val="0"/>
              <w:snapToGrid/>
              <w:spacing w:before="0" w:beforeAutospacing="0" w:after="0" w:afterAutospacing="0" w:line="320" w:lineRule="exact"/>
              <w:ind w:left="0" w:leftChars="0" w:right="0" w:firstLine="0" w:firstLineChars="0"/>
              <w:jc w:val="both"/>
              <w:textAlignment w:val="auto"/>
              <w:outlineLvl w:val="9"/>
              <w:rPr>
                <w:rFonts w:hint="eastAsia" w:ascii="仿宋" w:hAnsi="仿宋" w:eastAsia="仿宋" w:cs="仿宋"/>
                <w:b w:val="0"/>
                <w:i w:val="0"/>
                <w:color w:val="000000" w:themeColor="text1"/>
                <w:sz w:val="24"/>
                <w:szCs w:val="24"/>
                <w:highlight w:val="none"/>
                <w:lang w:val="en-US" w:eastAsia="zh-CN"/>
                <w14:textFill>
                  <w14:solidFill>
                    <w14:schemeClr w14:val="tx1"/>
                  </w14:solidFill>
                </w14:textFill>
              </w:rPr>
            </w:pPr>
          </w:p>
        </w:tc>
      </w:tr>
    </w:tbl>
    <w:p>
      <w:pPr>
        <w:snapToGrid w:val="0"/>
        <w:spacing w:line="360" w:lineRule="auto"/>
        <w:ind w:left="48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pPr>
        <w:spacing w:line="360" w:lineRule="auto"/>
        <w:ind w:left="-2" w:firstLine="480" w:firstLineChars="2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不得出现“</w:t>
      </w:r>
      <w:r>
        <w:rPr>
          <w:rFonts w:hint="eastAsia" w:ascii="仿宋" w:hAnsi="仿宋" w:eastAsia="仿宋" w:cs="仿宋"/>
          <w:b/>
          <w:color w:val="000000" w:themeColor="text1"/>
          <w:kern w:val="0"/>
          <w:sz w:val="24"/>
          <w:highlight w:val="none"/>
          <w:lang w:val="zh-CN"/>
          <w14:textFill>
            <w14:solidFill>
              <w14:schemeClr w14:val="tx1"/>
            </w14:solidFill>
          </w14:textFill>
        </w:rPr>
        <w:t>0元”“免费赠送”等形式的无偿报价</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；采购内容未包含在《开标一览表（报价表）》名称栏中，投标人不能作出合理解释的，视为投标文件含有采购人不能接受的附加条件的，投标无效。</w:t>
      </w:r>
    </w:p>
    <w:p>
      <w:pPr>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2"/>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w:t>
      </w:r>
      <w:r>
        <w:rPr>
          <w:rFonts w:hint="eastAsia" w:ascii="仿宋" w:hAnsi="仿宋" w:eastAsia="仿宋" w:cs="仿宋"/>
          <w:color w:val="000000" w:themeColor="text1"/>
          <w:kern w:val="0"/>
          <w:sz w:val="24"/>
          <w:highlight w:val="none"/>
          <w:lang w:val="zh-CN"/>
          <w14:textFill>
            <w14:solidFill>
              <w14:schemeClr w14:val="tx1"/>
            </w14:solidFill>
          </w14:textFill>
        </w:rPr>
        <w:t>提供</w:t>
      </w:r>
      <w:r>
        <w:rPr>
          <w:rFonts w:hint="eastAsia" w:ascii="仿宋" w:hAnsi="仿宋" w:eastAsia="仿宋" w:cs="仿宋"/>
          <w:color w:val="000000" w:themeColor="text1"/>
          <w:kern w:val="0"/>
          <w:sz w:val="24"/>
          <w:highlight w:val="none"/>
          <w:lang w:val="zh-CN"/>
          <w14:textFill>
            <w14:solidFill>
              <w14:schemeClr w14:val="tx1"/>
            </w14:solidFill>
          </w14:textFill>
        </w:rPr>
        <w:t>的中小企业</w:t>
      </w:r>
      <w:r>
        <w:rPr>
          <w:rFonts w:hint="eastAsia" w:ascii="仿宋" w:hAnsi="仿宋" w:eastAsia="仿宋" w:cs="仿宋"/>
          <w:color w:val="000000" w:themeColor="text1"/>
          <w:kern w:val="0"/>
          <w:sz w:val="24"/>
          <w:highlight w:val="none"/>
          <w:lang w:val="zh-CN"/>
          <w14:textFill>
            <w14:solidFill>
              <w14:schemeClr w14:val="tx1"/>
            </w14:solidFill>
          </w14:textFill>
        </w:rPr>
        <w:t>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、特别提示：采购机构将对项目名称和项目编号，中标供应商名称、地址和中标金额，主要中标标的名称、服务范围、服务要求、服务时间、服务标准等予以公示。</w:t>
      </w:r>
    </w:p>
    <w:p>
      <w:pPr>
        <w:rPr>
          <w:rFonts w:hint="eastAsia" w:ascii="仿宋" w:hAnsi="仿宋" w:eastAsia="仿宋" w:cs="仿宋"/>
          <w:color w:val="000000" w:themeColor="text1"/>
          <w:kern w:val="0"/>
          <w:sz w:val="24"/>
          <w:highlight w:val="none"/>
          <w:lang w:val="zh-CN"/>
          <w14:textFill>
            <w14:solidFill>
              <w14:schemeClr w14:val="tx1"/>
            </w14:solidFill>
          </w14:textFill>
        </w:rPr>
      </w:pPr>
    </w:p>
    <w:p>
      <w:pPr>
        <w:pStyle w:val="3"/>
        <w:rPr>
          <w:rFonts w:hint="eastAsia" w:ascii="仿宋" w:hAnsi="仿宋" w:eastAsia="仿宋" w:cs="仿宋"/>
          <w:color w:val="000000" w:themeColor="text1"/>
          <w:highlight w:val="none"/>
          <w14:textFill>
            <w14:solidFill>
              <w14:schemeClr w14:val="tx1"/>
            </w14:solidFill>
          </w14:textFill>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376"/>
        <w:tabs>
          <w:tab w:val="clear" w:pos="720"/>
        </w:tabs>
        <w:snapToGrid w:val="0"/>
        <w:spacing w:before="120" w:after="120"/>
        <w:ind w:firstLine="643"/>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中小企业声明函</w:t>
      </w:r>
    </w:p>
    <w:p>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b/>
          <w:color w:val="000000" w:themeColor="text1"/>
          <w:sz w:val="24"/>
          <w:highlight w:val="none"/>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w:t>
      </w:r>
    </w:p>
    <w:p>
      <w:pPr>
        <w:tabs>
          <w:tab w:val="left" w:pos="8085"/>
        </w:tabs>
        <w:spacing w:line="360" w:lineRule="auto"/>
        <w:ind w:firstLine="1285" w:firstLineChars="40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pPr>
        <w:tabs>
          <w:tab w:val="left" w:pos="8085"/>
        </w:tabs>
        <w:spacing w:line="360" w:lineRule="auto"/>
        <w:ind w:firstLine="1285" w:firstLineChars="40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政府采购支持中小企业信用融资相关事项通知</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一、适用对象</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二、相关信息获取方式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　政府采购信用融资操作流程：</w:t>
      </w:r>
    </w:p>
    <w:p>
      <w:pPr>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（一）线上融资模式：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1.供应商根据合作银行提供的方案，自行选择金融产品，并办理开户等手续；</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2.供应商中标后，可通过杭州市政府采购网或“浙里办”测算授信额度；</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4.审批通过后，在线办理放贷手续。</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（二）线下融资模式：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4.审批通过后，合作银行应按照合作备忘录中约定的审批放款期限和优惠利率及时予以放款。</w:t>
      </w:r>
    </w:p>
    <w:p>
      <w:pPr>
        <w:pStyle w:val="3"/>
        <w:numPr>
          <w:ilvl w:val="0"/>
          <w:numId w:val="0"/>
        </w:numPr>
        <w:ind w:firstLine="960" w:firstLineChars="400"/>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（三）杭州e融平台申请融资</w:t>
      </w:r>
    </w:p>
    <w:p>
      <w:pPr>
        <w:pStyle w:val="3"/>
        <w:numPr>
          <w:ilvl w:val="0"/>
          <w:numId w:val="0"/>
        </w:numPr>
        <w:ind w:firstLine="960" w:firstLineChars="400"/>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四、注意事项</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left="5060" w:hanging="5060" w:hangingChars="2100"/>
        <w:rPr>
          <w:rFonts w:hint="eastAsia" w:ascii="仿宋" w:hAnsi="仿宋" w:eastAsia="仿宋" w:cs="仿宋"/>
          <w:b/>
          <w:bCs/>
          <w:color w:val="000000" w:themeColor="text1"/>
          <w:kern w:val="0"/>
          <w:sz w:val="24"/>
          <w:highlight w:val="none"/>
          <w14:textFill>
            <w14:solidFill>
              <w14:schemeClr w14:val="tx1"/>
            </w14:solidFill>
          </w14:textFill>
        </w:rPr>
      </w:pPr>
    </w:p>
    <w:p>
      <w:pPr>
        <w:pStyle w:val="2"/>
        <w:pageBreakBefore/>
        <w:widowControl/>
        <w:spacing w:before="100" w:beforeAutospacing="1" w:after="100" w:afterAutospacing="1" w:line="360" w:lineRule="auto"/>
        <w:ind w:left="1290" w:firstLine="3092" w:firstLineChars="700"/>
        <w:rPr>
          <w:rFonts w:hint="eastAsia" w:ascii="仿宋" w:hAnsi="仿宋" w:eastAsia="仿宋" w:cs="仿宋"/>
          <w:color w:val="000000" w:themeColor="text1"/>
          <w:highlight w:val="none"/>
          <w14:textFill>
            <w14:solidFill>
              <w14:schemeClr w14:val="tx1"/>
            </w14:solidFill>
          </w14:textFill>
        </w:rPr>
      </w:pPr>
      <w:bookmarkStart w:id="402" w:name="_Toc465665161"/>
      <w:r>
        <w:rPr>
          <w:rFonts w:hint="eastAsia" w:ascii="仿宋" w:hAnsi="仿宋" w:eastAsia="仿宋" w:cs="仿宋"/>
          <w:color w:val="000000" w:themeColor="text1"/>
          <w:highlight w:val="none"/>
          <w14:textFill>
            <w14:solidFill>
              <w14:schemeClr w14:val="tx1"/>
            </w14:solidFill>
          </w14:textFill>
        </w:rPr>
        <w:t>附件</w:t>
      </w:r>
      <w:bookmarkEnd w:id="402"/>
    </w:p>
    <w:p>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w:t>
      </w:r>
      <w:r>
        <w:rPr>
          <w:rFonts w:hint="eastAsia" w:ascii="仿宋" w:hAnsi="仿宋" w:eastAsia="仿宋" w:cs="仿宋"/>
          <w:b/>
          <w:color w:val="000000" w:themeColor="text1"/>
          <w:spacing w:val="6"/>
          <w:sz w:val="32"/>
          <w:szCs w:val="32"/>
          <w:highlight w:val="none"/>
          <w14:textFill>
            <w14:solidFill>
              <w14:schemeClr w14:val="tx1"/>
            </w14:solidFill>
          </w14:textFill>
        </w:rPr>
        <w:t>1：</w:t>
      </w: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403" w:name="OLE_LINK14"/>
      <w:bookmarkStart w:id="404" w:name="OLE_LINK13"/>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403"/>
    <w:bookmarkEnd w:id="404"/>
    <w:p>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民政部</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中国残疾人联合会关于促进残疾人就业政府采购政策的通知》（财库〔</w:t>
      </w:r>
      <w:r>
        <w:rPr>
          <w:rFonts w:hint="eastAsia" w:ascii="仿宋" w:hAnsi="仿宋" w:eastAsia="仿宋" w:cs="仿宋"/>
          <w:color w:val="000000" w:themeColor="text1"/>
          <w:sz w:val="24"/>
          <w:highlight w:val="none"/>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w:t>
      </w:r>
      <w:r>
        <w:rPr>
          <w:rFonts w:hint="eastAsia" w:ascii="仿宋" w:hAnsi="仿宋" w:eastAsia="仿宋" w:cs="仿宋"/>
          <w:b/>
          <w:color w:val="000000" w:themeColor="text1"/>
          <w:spacing w:val="6"/>
          <w:sz w:val="32"/>
          <w:szCs w:val="32"/>
          <w:highlight w:val="none"/>
          <w14:textFill>
            <w14:solidFill>
              <w14:schemeClr w14:val="tx1"/>
            </w14:solidFill>
          </w14:textFill>
        </w:rPr>
        <w:t>2：质疑函范本及制作说明</w:t>
      </w: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w:t>
      </w:r>
      <w:r>
        <w:rPr>
          <w:rFonts w:hint="eastAsia" w:ascii="仿宋" w:hAnsi="仿宋" w:eastAsia="仿宋" w:cs="仿宋"/>
          <w:color w:val="000000" w:themeColor="text1"/>
          <w:sz w:val="24"/>
          <w:highlight w:val="none"/>
          <w14:textFill>
            <w14:solidFill>
              <w14:schemeClr w14:val="tx1"/>
            </w14:solidFill>
          </w14:textFill>
        </w:rPr>
        <w:t>2</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w:t>
      </w:r>
      <w:r>
        <w:rPr>
          <w:rFonts w:hint="eastAsia" w:ascii="仿宋" w:hAnsi="仿宋" w:eastAsia="仿宋" w:cs="仿宋"/>
          <w:color w:val="000000" w:themeColor="text1"/>
          <w:sz w:val="24"/>
          <w:highlight w:val="none"/>
          <w14:textFill>
            <w14:solidFill>
              <w14:schemeClr w14:val="tx1"/>
            </w14:solidFill>
          </w14:textFill>
        </w:rPr>
        <w:t xml:space="preserve">(签章)：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w:t>
      </w:r>
      <w:r>
        <w:rPr>
          <w:rFonts w:hint="eastAsia" w:ascii="仿宋" w:hAnsi="仿宋" w:eastAsia="仿宋" w:cs="仿宋"/>
          <w:color w:val="000000" w:themeColor="text1"/>
          <w:sz w:val="24"/>
          <w:highlight w:val="none"/>
          <w14:textFill>
            <w14:solidFill>
              <w14:schemeClr w14:val="tx1"/>
            </w14:solidFill>
          </w14:textFill>
        </w:rPr>
        <w:t>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w:t>
      </w:r>
      <w:r>
        <w:rPr>
          <w:rFonts w:hint="eastAsia" w:ascii="仿宋" w:hAnsi="仿宋" w:eastAsia="仿宋" w:cs="仿宋"/>
          <w:color w:val="000000" w:themeColor="text1"/>
          <w:sz w:val="24"/>
          <w:highlight w:val="none"/>
          <w14:textFill>
            <w14:solidFill>
              <w14:schemeClr w14:val="tx1"/>
            </w14:solidFill>
          </w14:textFill>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pPr>
        <w:pStyle w:val="3"/>
        <w:rPr>
          <w:rFonts w:hint="eastAsia" w:ascii="仿宋" w:hAnsi="仿宋" w:eastAsia="仿宋" w:cs="仿宋"/>
          <w:color w:val="000000" w:themeColor="text1"/>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w:t>
      </w:r>
      <w:r>
        <w:rPr>
          <w:rFonts w:hint="eastAsia" w:ascii="仿宋" w:hAnsi="仿宋" w:eastAsia="仿宋" w:cs="仿宋"/>
          <w:b/>
          <w:color w:val="000000" w:themeColor="text1"/>
          <w:spacing w:val="6"/>
          <w:sz w:val="32"/>
          <w:szCs w:val="32"/>
          <w:highlight w:val="none"/>
          <w14:textFill>
            <w14:solidFill>
              <w14:schemeClr w14:val="tx1"/>
            </w14:solidFill>
          </w14:textFill>
        </w:rPr>
        <w:t>3：投诉书范本及制作说明</w:t>
      </w: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r>
        <w:rPr>
          <w:rFonts w:hint="eastAsia" w:ascii="仿宋" w:hAnsi="仿宋" w:eastAsia="仿宋" w:cs="仿宋"/>
          <w:color w:val="000000" w:themeColor="text1"/>
          <w:sz w:val="24"/>
          <w:highlight w:val="none"/>
          <w14:textFill>
            <w14:solidFill>
              <w14:schemeClr w14:val="tx1"/>
            </w14:solidFill>
          </w14:textFill>
        </w:rPr>
        <w:t>/主要负责人：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w:t>
      </w:r>
      <w:r>
        <w:rPr>
          <w:rFonts w:hint="eastAsia" w:ascii="仿宋" w:hAnsi="仿宋" w:eastAsia="仿宋" w:cs="仿宋"/>
          <w:color w:val="000000" w:themeColor="text1"/>
          <w:sz w:val="24"/>
          <w:highlight w:val="none"/>
          <w14:textFill>
            <w14:solidFill>
              <w14:schemeClr w14:val="tx1"/>
            </w14:solidFill>
          </w14:textFill>
        </w:rPr>
        <w:t>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dotted"/>
          <w14:textFill>
            <w14:solidFill>
              <w14:schemeClr w14:val="tx1"/>
            </w14:solidFill>
          </w14:textFill>
        </w:rPr>
        <w:t>是</w:t>
      </w:r>
      <w:r>
        <w:rPr>
          <w:rFonts w:hint="eastAsia" w:ascii="仿宋" w:hAnsi="仿宋" w:eastAsia="仿宋" w:cs="仿宋"/>
          <w:color w:val="000000" w:themeColor="text1"/>
          <w:sz w:val="24"/>
          <w:highlight w:val="none"/>
          <w:u w:val="dotted"/>
          <w14:textFill>
            <w14:solidFill>
              <w14:schemeClr w14:val="tx1"/>
            </w14:solidFill>
          </w14:textFill>
        </w:rPr>
        <w:t xml:space="preserve">/否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dotted"/>
          <w14:textFill>
            <w14:solidFill>
              <w14:schemeClr w14:val="tx1"/>
            </w14:solidFill>
          </w14:textFill>
        </w:rPr>
        <w:t>是</w:t>
      </w:r>
      <w:r>
        <w:rPr>
          <w:rFonts w:hint="eastAsia" w:ascii="仿宋" w:hAnsi="仿宋" w:eastAsia="仿宋" w:cs="仿宋"/>
          <w:color w:val="000000" w:themeColor="text1"/>
          <w:sz w:val="24"/>
          <w:highlight w:val="none"/>
          <w:u w:val="dotted"/>
          <w14:textFill>
            <w14:solidFill>
              <w14:schemeClr w14:val="tx1"/>
            </w14:solidFill>
          </w14:textFill>
        </w:rPr>
        <w:t xml:space="preserve">/否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w:t>
      </w:r>
      <w:r>
        <w:rPr>
          <w:rFonts w:hint="eastAsia" w:ascii="仿宋" w:hAnsi="仿宋" w:eastAsia="仿宋" w:cs="仿宋"/>
          <w:color w:val="000000" w:themeColor="text1"/>
          <w:sz w:val="24"/>
          <w:highlight w:val="none"/>
          <w:u w:val="dotted"/>
          <w14:textFill>
            <w14:solidFill>
              <w14:schemeClr w14:val="tx1"/>
            </w14:solidFill>
          </w14:textFill>
        </w:rPr>
        <w:t>/代理机构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,就质疑事项</w:t>
      </w:r>
      <w:r>
        <w:rPr>
          <w:rFonts w:hint="eastAsia" w:ascii="仿宋" w:hAnsi="仿宋" w:eastAsia="仿宋" w:cs="仿宋"/>
          <w:color w:val="000000" w:themeColor="text1"/>
          <w:sz w:val="24"/>
          <w:highlight w:val="none"/>
          <w14:textFill>
            <w14:solidFill>
              <w14:schemeClr w14:val="tx1"/>
            </w14:solidFill>
          </w14:textFill>
        </w:rPr>
        <w:t>作出了答复</w:t>
      </w:r>
      <w:r>
        <w:rPr>
          <w:rFonts w:hint="eastAsia" w:ascii="仿宋" w:hAnsi="仿宋" w:eastAsia="仿宋" w:cs="仿宋"/>
          <w:color w:val="000000" w:themeColor="text1"/>
          <w:sz w:val="24"/>
          <w:highlight w:val="none"/>
          <w14:textFill>
            <w14:solidFill>
              <w14:schemeClr w14:val="tx1"/>
            </w14:solidFill>
          </w14:textFill>
        </w:rPr>
        <w:t>/没有在法定期限内</w:t>
      </w:r>
      <w:r>
        <w:rPr>
          <w:rFonts w:hint="eastAsia" w:ascii="仿宋" w:hAnsi="仿宋" w:eastAsia="仿宋" w:cs="仿宋"/>
          <w:color w:val="000000" w:themeColor="text1"/>
          <w:sz w:val="24"/>
          <w:highlight w:val="none"/>
          <w14:textFill>
            <w14:solidFill>
              <w14:schemeClr w14:val="tx1"/>
            </w14:solidFill>
          </w14:textFill>
        </w:rPr>
        <w:t>作出答复。</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w:t>
      </w:r>
      <w:r>
        <w:rPr>
          <w:rFonts w:hint="eastAsia" w:ascii="仿宋" w:hAnsi="仿宋" w:eastAsia="仿宋" w:cs="仿宋"/>
          <w:color w:val="000000" w:themeColor="text1"/>
          <w:sz w:val="24"/>
          <w:highlight w:val="none"/>
          <w14:textFill>
            <w14:solidFill>
              <w14:schemeClr w14:val="tx1"/>
            </w14:solidFill>
          </w14:textFill>
        </w:rPr>
        <w:t xml:space="preserve">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w:t>
      </w:r>
      <w:r>
        <w:rPr>
          <w:rFonts w:hint="eastAsia" w:ascii="仿宋" w:hAnsi="仿宋" w:eastAsia="仿宋" w:cs="仿宋"/>
          <w:color w:val="000000" w:themeColor="text1"/>
          <w:sz w:val="24"/>
          <w:highlight w:val="none"/>
          <w14:textFill>
            <w14:solidFill>
              <w14:schemeClr w14:val="tx1"/>
            </w14:solidFill>
          </w14:textFill>
        </w:rPr>
        <w:t>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w:t>
      </w:r>
      <w:r>
        <w:rPr>
          <w:rFonts w:hint="eastAsia" w:ascii="仿宋" w:hAnsi="仿宋" w:eastAsia="仿宋" w:cs="仿宋"/>
          <w:color w:val="000000" w:themeColor="text1"/>
          <w:sz w:val="24"/>
          <w:highlight w:val="none"/>
          <w14:textFill>
            <w14:solidFill>
              <w14:schemeClr w14:val="tx1"/>
            </w14:solidFill>
          </w14:textFill>
        </w:rPr>
        <w:t xml:space="preserve">(签章)：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w:t>
      </w:r>
      <w:r>
        <w:rPr>
          <w:rFonts w:hint="eastAsia" w:ascii="仿宋" w:hAnsi="仿宋" w:eastAsia="仿宋" w:cs="仿宋"/>
          <w:b/>
          <w:color w:val="000000" w:themeColor="text1"/>
          <w:spacing w:val="6"/>
          <w:sz w:val="32"/>
          <w:szCs w:val="32"/>
          <w:highlight w:val="none"/>
          <w14:textFill>
            <w14:solidFill>
              <w14:schemeClr w14:val="tx1"/>
            </w14:solidFill>
          </w14:textFill>
        </w:rPr>
        <w:t>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(投标人全称)</w:t>
      </w:r>
      <w:r>
        <w:rPr>
          <w:rFonts w:hint="eastAsia" w:ascii="仿宋" w:hAnsi="仿宋" w:eastAsia="仿宋" w:cs="仿宋"/>
          <w:color w:val="000000" w:themeColor="text1"/>
          <w:sz w:val="24"/>
          <w:highlight w:val="none"/>
          <w14:textFill>
            <w14:solidFill>
              <w14:schemeClr w14:val="tx1"/>
            </w14:solidFill>
          </w14:textFill>
        </w:rPr>
        <w:t>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w:t>
      </w:r>
      <w:r>
        <w:rPr>
          <w:rFonts w:hint="eastAsia" w:ascii="仿宋" w:hAnsi="仿宋" w:eastAsia="仿宋" w:cs="仿宋"/>
          <w:color w:val="000000" w:themeColor="text1"/>
          <w:sz w:val="24"/>
          <w:highlight w:val="none"/>
          <w14:textFill>
            <w14:solidFill>
              <w14:schemeClr w14:val="tx1"/>
            </w14:solidFill>
          </w14:textFill>
        </w:rPr>
        <w:t>（项目名称）项目</w:t>
      </w:r>
      <w:r>
        <w:rPr>
          <w:rFonts w:hint="eastAsia" w:ascii="仿宋" w:hAnsi="仿宋" w:eastAsia="仿宋" w:cs="仿宋"/>
          <w:color w:val="000000" w:themeColor="text1"/>
          <w:sz w:val="24"/>
          <w:highlight w:val="none"/>
          <w14:textFill>
            <w14:solidFill>
              <w14:schemeClr w14:val="tx1"/>
            </w14:solidFill>
          </w14:textFill>
        </w:rPr>
        <w:t>【招标编号：（采购编号）</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我方所使用的“</w:t>
      </w:r>
      <w:r>
        <w:rPr>
          <w:rFonts w:hint="eastAsia" w:ascii="仿宋" w:hAnsi="仿宋" w:eastAsia="仿宋" w:cs="仿宋"/>
          <w:color w:val="000000" w:themeColor="text1"/>
          <w:sz w:val="24"/>
          <w:highlight w:val="none"/>
          <w14:textFill>
            <w14:solidFill>
              <w14:schemeClr w14:val="tx1"/>
            </w14:solidFill>
          </w14:textFill>
        </w:rPr>
        <w:t>XX</w:t>
      </w:r>
      <w:r>
        <w:rPr>
          <w:rFonts w:hint="eastAsia" w:ascii="仿宋" w:hAnsi="仿宋" w:eastAsia="仿宋" w:cs="仿宋"/>
          <w:color w:val="000000" w:themeColor="text1"/>
          <w:sz w:val="24"/>
          <w:highlight w:val="none"/>
          <w14:textFill>
            <w14:solidFill>
              <w14:schemeClr w14:val="tx1"/>
            </w14:solidFill>
          </w14:textFill>
        </w:rPr>
        <w:t>专用章”与法定名称章具有同等的法律效力，对使用“</w:t>
      </w:r>
      <w:r>
        <w:rPr>
          <w:rFonts w:hint="eastAsia" w:ascii="仿宋" w:hAnsi="仿宋" w:eastAsia="仿宋" w:cs="仿宋"/>
          <w:color w:val="000000" w:themeColor="text1"/>
          <w:sz w:val="24"/>
          <w:highlight w:val="none"/>
          <w14:textFill>
            <w14:solidFill>
              <w14:schemeClr w14:val="tx1"/>
            </w14:solidFill>
          </w14:textFill>
        </w:rPr>
        <w:t>XX</w:t>
      </w:r>
      <w:r>
        <w:rPr>
          <w:rFonts w:hint="eastAsia" w:ascii="仿宋" w:hAnsi="仿宋" w:eastAsia="仿宋" w:cs="仿宋"/>
          <w:color w:val="000000" w:themeColor="text1"/>
          <w:sz w:val="24"/>
          <w:highlight w:val="none"/>
          <w14:textFill>
            <w14:solidFill>
              <w14:schemeClr w14:val="tx1"/>
            </w14:solidFill>
          </w14:textFill>
        </w:rPr>
        <w:t>专用章”的行为予以完全承认，并愿意承担相应责任。</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pP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000000" w:themeColor="text1"/>
          <w:sz w:val="24"/>
          <w:highlight w:val="none"/>
          <w14:textFill>
            <w14:solidFill>
              <w14:schemeClr w14:val="tx1"/>
            </w14:solidFill>
          </w14:textFill>
        </w:rPr>
        <w:t>投标单位法定名称章（印模）</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投标单位“</w:t>
      </w:r>
      <w:r>
        <w:rPr>
          <w:rFonts w:hint="eastAsia" w:ascii="仿宋" w:hAnsi="仿宋" w:eastAsia="仿宋" w:cs="仿宋"/>
          <w:color w:val="000000" w:themeColor="text1"/>
          <w:sz w:val="24"/>
          <w:highlight w:val="none"/>
          <w14:textFill>
            <w14:solidFill>
              <w14:schemeClr w14:val="tx1"/>
            </w14:solidFill>
          </w14:textFill>
        </w:rPr>
        <w:t>XX</w:t>
      </w:r>
      <w:r>
        <w:rPr>
          <w:rFonts w:hint="eastAsia" w:ascii="仿宋" w:hAnsi="仿宋" w:eastAsia="仿宋" w:cs="仿宋"/>
          <w:color w:val="000000" w:themeColor="text1"/>
          <w:sz w:val="24"/>
          <w:highlight w:val="none"/>
          <w14:textFill>
            <w14:solidFill>
              <w14:schemeClr w14:val="tx1"/>
            </w14:solidFill>
          </w14:textFill>
        </w:rPr>
        <w:t>专用章”（印模）</w:t>
      </w: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w:t>
      </w:r>
      <w:r>
        <w:rPr>
          <w:rFonts w:hint="eastAsia" w:ascii="仿宋" w:hAnsi="仿宋" w:eastAsia="仿宋" w:cs="仿宋"/>
          <w:b/>
          <w:color w:val="000000" w:themeColor="text1"/>
          <w:spacing w:val="6"/>
          <w:sz w:val="32"/>
          <w:szCs w:val="32"/>
          <w:highlight w:val="none"/>
          <w14:textFill>
            <w14:solidFill>
              <w14:schemeClr w14:val="tx1"/>
            </w14:solidFill>
          </w14:textFill>
        </w:rPr>
        <w:t>5</w:t>
      </w:r>
      <w:r>
        <w:rPr>
          <w:rFonts w:hint="eastAsia" w:ascii="仿宋" w:hAnsi="仿宋" w:eastAsia="仿宋" w:cs="仿宋"/>
          <w:b/>
          <w:color w:val="000000" w:themeColor="text1"/>
          <w:spacing w:val="6"/>
          <w:sz w:val="32"/>
          <w:szCs w:val="32"/>
          <w:highlight w:val="none"/>
          <w14:textFill>
            <w14:solidFill>
              <w14:schemeClr w14:val="tx1"/>
            </w14:solidFill>
          </w14:textFill>
        </w:rPr>
        <w:t>：</w:t>
      </w:r>
      <w:r>
        <w:rPr>
          <w:rFonts w:hint="eastAsia" w:ascii="仿宋" w:hAnsi="仿宋" w:eastAsia="仿宋" w:cs="仿宋"/>
          <w:b/>
          <w:color w:val="000000" w:themeColor="text1"/>
          <w:sz w:val="32"/>
          <w:szCs w:val="32"/>
          <w:highlight w:val="none"/>
          <w14:textFill>
            <w14:solidFill>
              <w14:schemeClr w14:val="tx1"/>
            </w14:solidFill>
          </w14:textFill>
        </w:rPr>
        <w:t>中小企业声明函</w:t>
      </w:r>
    </w:p>
    <w:p>
      <w:pPr>
        <w:spacing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p>
      <w:pPr>
        <w:spacing w:line="360" w:lineRule="auto"/>
        <w:jc w:val="both"/>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2"/>
          <w:szCs w:val="32"/>
          <w:highlight w:val="none"/>
          <w14:textFill>
            <w14:solidFill>
              <w14:schemeClr w14:val="tx1"/>
            </w14:solidFill>
          </w14:textFill>
        </w:rPr>
        <w:t>小企业声明函</w:t>
      </w:r>
      <w:r>
        <w:rPr>
          <w:rFonts w:hint="eastAsia" w:ascii="仿宋" w:hAnsi="仿宋" w:eastAsia="仿宋" w:cs="仿宋"/>
          <w:b/>
          <w:color w:val="000000" w:themeColor="text1"/>
          <w:sz w:val="32"/>
          <w:szCs w:val="32"/>
          <w:highlight w:val="none"/>
          <w14:textFill>
            <w14:solidFill>
              <w14:schemeClr w14:val="tx1"/>
            </w14:solidFill>
          </w14:textFill>
        </w:rPr>
        <w:t>（工程、服务）</w:t>
      </w:r>
    </w:p>
    <w:p>
      <w:pPr>
        <w:spacing w:line="360" w:lineRule="auto"/>
        <w:rPr>
          <w:rFonts w:hint="eastAsia" w:ascii="仿宋" w:hAnsi="仿宋" w:eastAsia="仿宋" w:cs="仿宋"/>
          <w:color w:val="000000" w:themeColor="text1"/>
          <w:highlight w:val="none"/>
          <w14:textFill>
            <w14:solidFill>
              <w14:schemeClr w14:val="tx1"/>
            </w14:solidFill>
          </w14:textFill>
        </w:rPr>
      </w:pPr>
    </w:p>
    <w:p>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本公司（联合体）郑重声明，根据《政府采购促进中小企业发展管理办法》（财库﹝</w:t>
      </w:r>
      <w:r>
        <w:rPr>
          <w:rFonts w:hint="eastAsia" w:ascii="仿宋" w:hAnsi="仿宋" w:eastAsia="仿宋" w:cs="仿宋"/>
          <w:color w:val="000000" w:themeColor="text1"/>
          <w:sz w:val="24"/>
          <w:highlight w:val="none"/>
          <w14:textFill>
            <w14:solidFill>
              <w14:schemeClr w14:val="tx1"/>
            </w14:solidFill>
          </w14:textFill>
        </w:rPr>
        <w:t xml:space="preserve">2020﹞46 </w:t>
      </w:r>
      <w:r>
        <w:rPr>
          <w:rFonts w:hint="eastAsia" w:ascii="仿宋" w:hAnsi="仿宋" w:eastAsia="仿宋" w:cs="仿宋"/>
          <w:color w:val="000000" w:themeColor="text1"/>
          <w:sz w:val="24"/>
          <w:highlight w:val="none"/>
          <w14:textFill>
            <w14:solidFill>
              <w14:schemeClr w14:val="tx1"/>
            </w14:solidFill>
          </w14:textFill>
        </w:rPr>
        <w:t>号）的规定，本公司（联合体）参加</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（单位名称）</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期：</w:t>
      </w:r>
    </w:p>
    <w:p>
      <w:pPr>
        <w:spacing w:line="360" w:lineRule="auto"/>
        <w:ind w:firstLine="310"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hint="eastAsia" w:ascii="仿宋" w:hAnsi="仿宋" w:eastAsia="仿宋" w:cs="仿宋"/>
          <w:color w:val="000000" w:themeColor="text1"/>
          <w:highlight w:val="none"/>
          <w:lang w:val="en-US"/>
          <w14:textFill>
            <w14:solidFill>
              <w14:schemeClr w14:val="tx1"/>
            </w14:solidFill>
          </w14:textFill>
        </w:rPr>
      </w:pPr>
    </w:p>
    <w:p>
      <w:pPr>
        <w:spacing w:line="360" w:lineRule="auto"/>
        <w:rPr>
          <w:rFonts w:hint="eastAsia" w:ascii="仿宋" w:hAnsi="仿宋" w:eastAsia="仿宋" w:cs="仿宋"/>
          <w:bCs/>
          <w:color w:val="000000" w:themeColor="text1"/>
          <w:sz w:val="24"/>
          <w:highlight w:val="none"/>
          <w14:textFill>
            <w14:solidFill>
              <w14:schemeClr w14:val="tx1"/>
            </w14:solidFill>
          </w14:textFill>
        </w:rPr>
      </w:pPr>
    </w:p>
    <w:bookmarkEnd w:id="409"/>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ingFang SC">
    <w:altName w:val="Segoe Print"/>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164085800"/>
    <w:bookmarkStart w:id="406" w:name="_Toc36110187"/>
    <w:bookmarkStart w:id="407" w:name="_Toc131845147"/>
    <w:bookmarkStart w:id="408" w:name="_Toc91899912"/>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separate"/>
    </w:r>
    <w:r>
      <w:rPr>
        <w:rStyle w:val="73"/>
      </w:rPr>
      <w:t>8</w: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D9D1F"/>
    <w:multiLevelType w:val="singleLevel"/>
    <w:tmpl w:val="629D9D1F"/>
    <w:lvl w:ilvl="0" w:tentative="0">
      <w:start w:val="6"/>
      <w:numFmt w:val="chineseCounting"/>
      <w:suff w:val="nothing"/>
      <w:lvlText w:val="%1、"/>
      <w:lvlJc w:val="left"/>
    </w:lvl>
  </w:abstractNum>
  <w:abstractNum w:abstractNumId="1">
    <w:nsid w:val="632C0A35"/>
    <w:multiLevelType w:val="singleLevel"/>
    <w:tmpl w:val="632C0A35"/>
    <w:lvl w:ilvl="0" w:tentative="0">
      <w:start w:val="2"/>
      <w:numFmt w:val="chineseCounting"/>
      <w:suff w:val="nothing"/>
      <w:lvlText w:val="%1、"/>
      <w:lvlJc w:val="left"/>
    </w:lvl>
  </w:abstractNum>
  <w:abstractNum w:abstractNumId="2">
    <w:nsid w:val="632C130D"/>
    <w:multiLevelType w:val="singleLevel"/>
    <w:tmpl w:val="632C130D"/>
    <w:lvl w:ilvl="0" w:tentative="0">
      <w:start w:val="1"/>
      <w:numFmt w:val="decimal"/>
      <w:suff w:val="nothing"/>
      <w:lvlText w:val="%1."/>
      <w:lvlJc w:val="left"/>
    </w:lvl>
  </w:abstractNum>
  <w:abstractNum w:abstractNumId="3">
    <w:nsid w:val="632D2570"/>
    <w:multiLevelType w:val="singleLevel"/>
    <w:tmpl w:val="632D2570"/>
    <w:lvl w:ilvl="0" w:tentative="0">
      <w:start w:val="1"/>
      <w:numFmt w:val="decimal"/>
      <w:suff w:val="nothing"/>
      <w:lvlText w:val="%1、"/>
      <w:lvlJc w:val="left"/>
    </w:lvl>
  </w:abstractNum>
  <w:abstractNum w:abstractNumId="4">
    <w:nsid w:val="6346756C"/>
    <w:multiLevelType w:val="singleLevel"/>
    <w:tmpl w:val="6346756C"/>
    <w:lvl w:ilvl="0" w:tentative="0">
      <w:start w:val="1"/>
      <w:numFmt w:val="decimal"/>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GY1MmEyNmIzOWVmY2Y1Mjg1NGNjNzFjMzI3M2RmZ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49"/>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827F58"/>
    <w:rsid w:val="02DC4B10"/>
    <w:rsid w:val="02DD76CE"/>
    <w:rsid w:val="02F36323"/>
    <w:rsid w:val="02F5619C"/>
    <w:rsid w:val="0326446A"/>
    <w:rsid w:val="032D5555"/>
    <w:rsid w:val="035D4591"/>
    <w:rsid w:val="036634D2"/>
    <w:rsid w:val="03C35E9F"/>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3F5B0F"/>
    <w:rsid w:val="06493CA7"/>
    <w:rsid w:val="065A6178"/>
    <w:rsid w:val="06667154"/>
    <w:rsid w:val="066F1CF3"/>
    <w:rsid w:val="06930BB8"/>
    <w:rsid w:val="07245D42"/>
    <w:rsid w:val="07264C62"/>
    <w:rsid w:val="072A2FCD"/>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AEE5A69"/>
    <w:rsid w:val="0B30404E"/>
    <w:rsid w:val="0B4C6C14"/>
    <w:rsid w:val="0B631A88"/>
    <w:rsid w:val="0B683D45"/>
    <w:rsid w:val="0B7F3F11"/>
    <w:rsid w:val="0B884417"/>
    <w:rsid w:val="0BF6188C"/>
    <w:rsid w:val="0BF73C91"/>
    <w:rsid w:val="0C170175"/>
    <w:rsid w:val="0C571A41"/>
    <w:rsid w:val="0C5C1171"/>
    <w:rsid w:val="0C5C1BCC"/>
    <w:rsid w:val="0C5E1CBC"/>
    <w:rsid w:val="0C615B50"/>
    <w:rsid w:val="0C8445DA"/>
    <w:rsid w:val="0C87121B"/>
    <w:rsid w:val="0CA04344"/>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C16EA"/>
    <w:rsid w:val="110F1D40"/>
    <w:rsid w:val="11266F33"/>
    <w:rsid w:val="118963A1"/>
    <w:rsid w:val="11C6522A"/>
    <w:rsid w:val="11E104CC"/>
    <w:rsid w:val="11E20309"/>
    <w:rsid w:val="11FE0013"/>
    <w:rsid w:val="12255233"/>
    <w:rsid w:val="12530213"/>
    <w:rsid w:val="127723A9"/>
    <w:rsid w:val="12862074"/>
    <w:rsid w:val="12883966"/>
    <w:rsid w:val="129E45B4"/>
    <w:rsid w:val="12BB25D2"/>
    <w:rsid w:val="12D81596"/>
    <w:rsid w:val="12E8703C"/>
    <w:rsid w:val="13072A44"/>
    <w:rsid w:val="135F4BE2"/>
    <w:rsid w:val="137A4BC0"/>
    <w:rsid w:val="139B1A0A"/>
    <w:rsid w:val="139D25C7"/>
    <w:rsid w:val="13BF3CE4"/>
    <w:rsid w:val="141008D8"/>
    <w:rsid w:val="14125FE6"/>
    <w:rsid w:val="146D271E"/>
    <w:rsid w:val="14982588"/>
    <w:rsid w:val="149A5AD9"/>
    <w:rsid w:val="14A7619D"/>
    <w:rsid w:val="14BB7B9C"/>
    <w:rsid w:val="150536C3"/>
    <w:rsid w:val="150C1963"/>
    <w:rsid w:val="151447A0"/>
    <w:rsid w:val="15170225"/>
    <w:rsid w:val="154A6454"/>
    <w:rsid w:val="15762120"/>
    <w:rsid w:val="16A8729C"/>
    <w:rsid w:val="16B33777"/>
    <w:rsid w:val="16BC70A7"/>
    <w:rsid w:val="16C6339E"/>
    <w:rsid w:val="172F2D79"/>
    <w:rsid w:val="17557BEF"/>
    <w:rsid w:val="175F3F5B"/>
    <w:rsid w:val="17D349C1"/>
    <w:rsid w:val="1830729E"/>
    <w:rsid w:val="1870062C"/>
    <w:rsid w:val="18817102"/>
    <w:rsid w:val="18830A15"/>
    <w:rsid w:val="18852B28"/>
    <w:rsid w:val="188B5321"/>
    <w:rsid w:val="196453DF"/>
    <w:rsid w:val="19932372"/>
    <w:rsid w:val="19A20DD5"/>
    <w:rsid w:val="19AE03F1"/>
    <w:rsid w:val="1A071A03"/>
    <w:rsid w:val="1A1F16AE"/>
    <w:rsid w:val="1A3B5C77"/>
    <w:rsid w:val="1A4878A3"/>
    <w:rsid w:val="1A65423B"/>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767BD0"/>
    <w:rsid w:val="1C88086E"/>
    <w:rsid w:val="1D266CE1"/>
    <w:rsid w:val="1D3963AF"/>
    <w:rsid w:val="1D6A673C"/>
    <w:rsid w:val="1D7D3E6D"/>
    <w:rsid w:val="1D9247AE"/>
    <w:rsid w:val="1DB567EC"/>
    <w:rsid w:val="1DBD4C56"/>
    <w:rsid w:val="1DE54FD0"/>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8A67B8"/>
    <w:rsid w:val="20973DEB"/>
    <w:rsid w:val="20B26522"/>
    <w:rsid w:val="20B44310"/>
    <w:rsid w:val="20D53965"/>
    <w:rsid w:val="211116EB"/>
    <w:rsid w:val="2133151A"/>
    <w:rsid w:val="216133FC"/>
    <w:rsid w:val="21D56769"/>
    <w:rsid w:val="21E52EF3"/>
    <w:rsid w:val="21FB5D7B"/>
    <w:rsid w:val="220B1C3D"/>
    <w:rsid w:val="22112672"/>
    <w:rsid w:val="221D1D20"/>
    <w:rsid w:val="22334A87"/>
    <w:rsid w:val="22681CF7"/>
    <w:rsid w:val="22BE6801"/>
    <w:rsid w:val="233500BF"/>
    <w:rsid w:val="23377FF7"/>
    <w:rsid w:val="236B425F"/>
    <w:rsid w:val="23836192"/>
    <w:rsid w:val="23901F29"/>
    <w:rsid w:val="239C0061"/>
    <w:rsid w:val="23B908A4"/>
    <w:rsid w:val="23BE5BB1"/>
    <w:rsid w:val="23D46191"/>
    <w:rsid w:val="23E95BEF"/>
    <w:rsid w:val="23F23D7D"/>
    <w:rsid w:val="23FD0064"/>
    <w:rsid w:val="245375B0"/>
    <w:rsid w:val="24642C0A"/>
    <w:rsid w:val="24B22173"/>
    <w:rsid w:val="24B95AD9"/>
    <w:rsid w:val="24BE24DA"/>
    <w:rsid w:val="24CF5825"/>
    <w:rsid w:val="24D663E6"/>
    <w:rsid w:val="24D77F2B"/>
    <w:rsid w:val="253E1FB4"/>
    <w:rsid w:val="258B00E2"/>
    <w:rsid w:val="25A917A6"/>
    <w:rsid w:val="25BE27CC"/>
    <w:rsid w:val="25D51B6A"/>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9F7086"/>
    <w:rsid w:val="28C32028"/>
    <w:rsid w:val="28CC490F"/>
    <w:rsid w:val="28DE40AA"/>
    <w:rsid w:val="28F72945"/>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4E7785"/>
    <w:rsid w:val="2C8A5C2E"/>
    <w:rsid w:val="2CE40F12"/>
    <w:rsid w:val="2CE82D6F"/>
    <w:rsid w:val="2CF24727"/>
    <w:rsid w:val="2D343236"/>
    <w:rsid w:val="2D491B1B"/>
    <w:rsid w:val="2D5E3AFE"/>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96747"/>
    <w:rsid w:val="33263B3F"/>
    <w:rsid w:val="33401FA5"/>
    <w:rsid w:val="336963EB"/>
    <w:rsid w:val="33757D46"/>
    <w:rsid w:val="33816EEB"/>
    <w:rsid w:val="33EB55CD"/>
    <w:rsid w:val="33EC4C02"/>
    <w:rsid w:val="340D2360"/>
    <w:rsid w:val="3410665D"/>
    <w:rsid w:val="34211214"/>
    <w:rsid w:val="342E63AB"/>
    <w:rsid w:val="34950E68"/>
    <w:rsid w:val="34986E94"/>
    <w:rsid w:val="34A064BE"/>
    <w:rsid w:val="34AF62C9"/>
    <w:rsid w:val="34CB4388"/>
    <w:rsid w:val="34FA6E12"/>
    <w:rsid w:val="358D5588"/>
    <w:rsid w:val="363A3B40"/>
    <w:rsid w:val="365302AE"/>
    <w:rsid w:val="36607A0A"/>
    <w:rsid w:val="366E227C"/>
    <w:rsid w:val="366F2E0D"/>
    <w:rsid w:val="367B6A5C"/>
    <w:rsid w:val="36A74ADA"/>
    <w:rsid w:val="36AD60D5"/>
    <w:rsid w:val="36B224F9"/>
    <w:rsid w:val="36C450EA"/>
    <w:rsid w:val="36EC0CC9"/>
    <w:rsid w:val="373F410B"/>
    <w:rsid w:val="37EE7094"/>
    <w:rsid w:val="38120769"/>
    <w:rsid w:val="38174620"/>
    <w:rsid w:val="38296C89"/>
    <w:rsid w:val="383002EB"/>
    <w:rsid w:val="38586797"/>
    <w:rsid w:val="38A058F5"/>
    <w:rsid w:val="38BC0149"/>
    <w:rsid w:val="38BC34BF"/>
    <w:rsid w:val="38D87D1C"/>
    <w:rsid w:val="38EC33C3"/>
    <w:rsid w:val="39636459"/>
    <w:rsid w:val="396B7F6C"/>
    <w:rsid w:val="398029E4"/>
    <w:rsid w:val="398A029A"/>
    <w:rsid w:val="39B417A9"/>
    <w:rsid w:val="39FC5695"/>
    <w:rsid w:val="3A006D8E"/>
    <w:rsid w:val="3A23749D"/>
    <w:rsid w:val="3A3651E5"/>
    <w:rsid w:val="3A744481"/>
    <w:rsid w:val="3A8C7BEF"/>
    <w:rsid w:val="3A906246"/>
    <w:rsid w:val="3B2349B7"/>
    <w:rsid w:val="3B3D2948"/>
    <w:rsid w:val="3B616CFF"/>
    <w:rsid w:val="3B6259F6"/>
    <w:rsid w:val="3B661580"/>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E1CAE"/>
    <w:rsid w:val="40A0133A"/>
    <w:rsid w:val="40C31A53"/>
    <w:rsid w:val="40FF545D"/>
    <w:rsid w:val="410067C8"/>
    <w:rsid w:val="41586BC4"/>
    <w:rsid w:val="418F0D2A"/>
    <w:rsid w:val="41D01505"/>
    <w:rsid w:val="42474939"/>
    <w:rsid w:val="424C3C57"/>
    <w:rsid w:val="42562163"/>
    <w:rsid w:val="42613FF3"/>
    <w:rsid w:val="42660D96"/>
    <w:rsid w:val="428667D2"/>
    <w:rsid w:val="4290720E"/>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6F5BF8"/>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031DE"/>
    <w:rsid w:val="49F6167F"/>
    <w:rsid w:val="4A064FA0"/>
    <w:rsid w:val="4A16615C"/>
    <w:rsid w:val="4A4424D7"/>
    <w:rsid w:val="4AB82D0F"/>
    <w:rsid w:val="4AEB7664"/>
    <w:rsid w:val="4AFD7C19"/>
    <w:rsid w:val="4B0567D1"/>
    <w:rsid w:val="4B236AAE"/>
    <w:rsid w:val="4B707271"/>
    <w:rsid w:val="4B9739F7"/>
    <w:rsid w:val="4BBE5243"/>
    <w:rsid w:val="4BE87A96"/>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5167AE"/>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1A30"/>
    <w:rsid w:val="57D95FDD"/>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449E7"/>
    <w:rsid w:val="5A792B1F"/>
    <w:rsid w:val="5A874767"/>
    <w:rsid w:val="5AAD6F28"/>
    <w:rsid w:val="5AD63A24"/>
    <w:rsid w:val="5B024457"/>
    <w:rsid w:val="5B091AC4"/>
    <w:rsid w:val="5B2E1A1D"/>
    <w:rsid w:val="5B843A1C"/>
    <w:rsid w:val="5B873E3F"/>
    <w:rsid w:val="5BAE5879"/>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232584"/>
    <w:rsid w:val="603354CB"/>
    <w:rsid w:val="607330CE"/>
    <w:rsid w:val="60825176"/>
    <w:rsid w:val="60846A3F"/>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6671FB"/>
    <w:rsid w:val="62885958"/>
    <w:rsid w:val="629058F8"/>
    <w:rsid w:val="62F40B65"/>
    <w:rsid w:val="62FC2CFE"/>
    <w:rsid w:val="63024505"/>
    <w:rsid w:val="632B2BBA"/>
    <w:rsid w:val="635B1DB5"/>
    <w:rsid w:val="63711FED"/>
    <w:rsid w:val="63880DDC"/>
    <w:rsid w:val="638D750D"/>
    <w:rsid w:val="63AC6CC0"/>
    <w:rsid w:val="64055776"/>
    <w:rsid w:val="64240056"/>
    <w:rsid w:val="643E143A"/>
    <w:rsid w:val="648B6EEF"/>
    <w:rsid w:val="64C158BF"/>
    <w:rsid w:val="64CE2EAA"/>
    <w:rsid w:val="653C3090"/>
    <w:rsid w:val="655940FA"/>
    <w:rsid w:val="65854376"/>
    <w:rsid w:val="658767BE"/>
    <w:rsid w:val="65892531"/>
    <w:rsid w:val="66125E6A"/>
    <w:rsid w:val="66195831"/>
    <w:rsid w:val="662E75B1"/>
    <w:rsid w:val="66342C2E"/>
    <w:rsid w:val="663E784C"/>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886ED6"/>
    <w:rsid w:val="6AB70F1E"/>
    <w:rsid w:val="6ADE0BD1"/>
    <w:rsid w:val="6AE96859"/>
    <w:rsid w:val="6B147746"/>
    <w:rsid w:val="6B24787C"/>
    <w:rsid w:val="6B573233"/>
    <w:rsid w:val="6B5B6274"/>
    <w:rsid w:val="6B795CEF"/>
    <w:rsid w:val="6B856CB2"/>
    <w:rsid w:val="6B8E6844"/>
    <w:rsid w:val="6B935D53"/>
    <w:rsid w:val="6BE96690"/>
    <w:rsid w:val="6C196F71"/>
    <w:rsid w:val="6C226FCB"/>
    <w:rsid w:val="6C31226F"/>
    <w:rsid w:val="6C406744"/>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8335BD"/>
    <w:rsid w:val="6E8E12EF"/>
    <w:rsid w:val="6E972936"/>
    <w:rsid w:val="6ED446C5"/>
    <w:rsid w:val="6EFA5469"/>
    <w:rsid w:val="6F2A7D94"/>
    <w:rsid w:val="6F8331F1"/>
    <w:rsid w:val="6F8E0E92"/>
    <w:rsid w:val="6FAE1A09"/>
    <w:rsid w:val="6FD75BF8"/>
    <w:rsid w:val="707723D0"/>
    <w:rsid w:val="70F5661B"/>
    <w:rsid w:val="71360107"/>
    <w:rsid w:val="713B688E"/>
    <w:rsid w:val="71565065"/>
    <w:rsid w:val="716F408D"/>
    <w:rsid w:val="71D43752"/>
    <w:rsid w:val="71F1796A"/>
    <w:rsid w:val="72154626"/>
    <w:rsid w:val="72262B5D"/>
    <w:rsid w:val="72283FF7"/>
    <w:rsid w:val="722E7212"/>
    <w:rsid w:val="723A0474"/>
    <w:rsid w:val="725923E4"/>
    <w:rsid w:val="72864BF7"/>
    <w:rsid w:val="729023FC"/>
    <w:rsid w:val="72D539CF"/>
    <w:rsid w:val="73C0646E"/>
    <w:rsid w:val="742222F5"/>
    <w:rsid w:val="74476126"/>
    <w:rsid w:val="74706664"/>
    <w:rsid w:val="747F3682"/>
    <w:rsid w:val="749C4185"/>
    <w:rsid w:val="75067759"/>
    <w:rsid w:val="752E6DCD"/>
    <w:rsid w:val="75342268"/>
    <w:rsid w:val="754A11EA"/>
    <w:rsid w:val="7551380D"/>
    <w:rsid w:val="75600BE5"/>
    <w:rsid w:val="7564475C"/>
    <w:rsid w:val="7583797F"/>
    <w:rsid w:val="75D20F1D"/>
    <w:rsid w:val="75DA2C18"/>
    <w:rsid w:val="75DE31F0"/>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295334"/>
    <w:rsid w:val="78510AC5"/>
    <w:rsid w:val="78590B7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90271"/>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2CC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9"/>
    <w:qFormat/>
    <w:uiPriority w:val="0"/>
    <w:pPr>
      <w:ind w:left="100" w:leftChars="2500"/>
    </w:pPr>
    <w:rPr>
      <w:rFonts w:ascii="宋体"/>
      <w:sz w:val="24"/>
      <w:szCs w:val="21"/>
      <w:lang w:val="zh-CN"/>
    </w:rPr>
  </w:style>
  <w:style w:type="paragraph" w:styleId="36">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7">
    <w:name w:val="endnote text"/>
    <w:basedOn w:val="1"/>
    <w:link w:val="940"/>
    <w:qFormat/>
    <w:uiPriority w:val="0"/>
    <w:rPr>
      <w:lang w:val="zh-CN"/>
    </w:rPr>
  </w:style>
  <w:style w:type="paragraph" w:styleId="38">
    <w:name w:val="Balloon Text"/>
    <w:basedOn w:val="1"/>
    <w:link w:val="716"/>
    <w:qFormat/>
    <w:uiPriority w:val="0"/>
    <w:rPr>
      <w:sz w:val="18"/>
      <w:szCs w:val="18"/>
    </w:rPr>
  </w:style>
  <w:style w:type="paragraph" w:styleId="39">
    <w:name w:val="footer"/>
    <w:basedOn w:val="1"/>
    <w:link w:val="891"/>
    <w:qFormat/>
    <w:uiPriority w:val="99"/>
    <w:pPr>
      <w:tabs>
        <w:tab w:val="center" w:pos="4153"/>
        <w:tab w:val="right" w:pos="8306"/>
      </w:tabs>
      <w:snapToGrid w:val="0"/>
      <w:jc w:val="left"/>
    </w:pPr>
    <w:rPr>
      <w:sz w:val="18"/>
      <w:szCs w:val="18"/>
    </w:rPr>
  </w:style>
  <w:style w:type="paragraph" w:styleId="40">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9"/>
    <w:qFormat/>
    <w:uiPriority w:val="0"/>
    <w:pPr>
      <w:spacing w:after="120" w:line="480" w:lineRule="auto"/>
    </w:pPr>
  </w:style>
  <w:style w:type="paragraph" w:styleId="56">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2"/>
    <w:qFormat/>
    <w:uiPriority w:val="0"/>
    <w:rPr>
      <w:b/>
      <w:bCs/>
    </w:rPr>
  </w:style>
  <w:style w:type="paragraph" w:styleId="60">
    <w:name w:val="Body Text First Indent"/>
    <w:basedOn w:val="23"/>
    <w:link w:val="834"/>
    <w:qFormat/>
    <w:uiPriority w:val="0"/>
    <w:pPr>
      <w:ind w:firstLine="420"/>
    </w:pPr>
    <w:rPr>
      <w:rFonts w:hAnsi="Calibri" w:cs="Times New Roman"/>
      <w:szCs w:val="20"/>
    </w:rPr>
  </w:style>
  <w:style w:type="paragraph" w:styleId="61">
    <w:name w:val="Body Text First Indent 2"/>
    <w:basedOn w:val="24"/>
    <w:link w:val="65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 Char Char Char Char Char Char Char Char Char Char Char Char"/>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4"/>
    <w:qFormat/>
    <w:uiPriority w:val="0"/>
    <w:pPr>
      <w:spacing w:before="156" w:line="360" w:lineRule="auto"/>
      <w:ind w:firstLine="510" w:firstLineChars="200"/>
    </w:pPr>
    <w:rPr>
      <w:sz w:val="24"/>
      <w:szCs w:val="20"/>
    </w:rPr>
  </w:style>
  <w:style w:type="paragraph" w:customStyle="1" w:styleId="86">
    <w:name w:val="无间隔1"/>
    <w:link w:val="672"/>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0"/>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5"/>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7"/>
    <w:qFormat/>
    <w:uiPriority w:val="0"/>
    <w:pPr>
      <w:adjustRightInd/>
      <w:spacing w:line="360" w:lineRule="auto"/>
      <w:ind w:firstLine="480" w:firstLineChars="200"/>
    </w:pPr>
    <w:rPr>
      <w:kern w:val="0"/>
      <w:sz w:val="24"/>
    </w:rPr>
  </w:style>
  <w:style w:type="paragraph" w:customStyle="1" w:styleId="98">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8"/>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0"/>
    <w:qFormat/>
    <w:uiPriority w:val="0"/>
    <w:pPr>
      <w:tabs>
        <w:tab w:val="left" w:pos="2356"/>
      </w:tabs>
    </w:pPr>
  </w:style>
  <w:style w:type="paragraph" w:customStyle="1" w:styleId="103">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3"/>
    <w:qFormat/>
    <w:uiPriority w:val="0"/>
    <w:pPr>
      <w:adjustRightInd/>
    </w:pPr>
    <w:rPr>
      <w:rFonts w:ascii="宋体" w:hAnsi="Courier New"/>
      <w:kern w:val="0"/>
      <w:sz w:val="20"/>
      <w:szCs w:val="20"/>
    </w:rPr>
  </w:style>
  <w:style w:type="paragraph" w:customStyle="1" w:styleId="106">
    <w:name w:val="正文说明"/>
    <w:basedOn w:val="1"/>
    <w:link w:val="845"/>
    <w:qFormat/>
    <w:uiPriority w:val="0"/>
    <w:pPr>
      <w:adjustRightInd/>
      <w:spacing w:line="360" w:lineRule="auto"/>
    </w:pPr>
    <w:rPr>
      <w:kern w:val="0"/>
      <w:sz w:val="24"/>
    </w:rPr>
  </w:style>
  <w:style w:type="paragraph" w:customStyle="1" w:styleId="107">
    <w:name w:val="Table Text"/>
    <w:basedOn w:val="1"/>
    <w:link w:val="851"/>
    <w:qFormat/>
    <w:uiPriority w:val="0"/>
    <w:pPr>
      <w:widowControl/>
      <w:spacing w:before="60" w:after="60"/>
      <w:jc w:val="left"/>
    </w:pPr>
    <w:rPr>
      <w:kern w:val="0"/>
      <w:sz w:val="24"/>
    </w:rPr>
  </w:style>
  <w:style w:type="paragraph" w:customStyle="1" w:styleId="108">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1"/>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5"/>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2"/>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6"/>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2"/>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619">
    <w:name w:val="纯文本3"/>
    <w:qFormat/>
    <w:uiPriority w:val="0"/>
    <w:pPr>
      <w:adjustRightInd/>
      <w:snapToGrid w:val="0"/>
      <w:jc w:val="left"/>
    </w:pPr>
    <w:rPr>
      <w:rFonts w:ascii="Century Gothic" w:hAnsi="楷体_GB2312" w:eastAsia="Century Gothic" w:cs="Times New Roman"/>
      <w:szCs w:val="20"/>
      <w:lang w:val="en-US" w:eastAsia="zh-CN" w:bidi="ar-SA"/>
    </w:rPr>
  </w:style>
  <w:style w:type="paragraph" w:customStyle="1" w:styleId="620">
    <w:name w:val="表格内容"/>
    <w:qFormat/>
    <w:uiPriority w:val="2"/>
    <w:pPr>
      <w:jc w:val="center"/>
    </w:pPr>
    <w:rPr>
      <w:rFonts w:ascii="Times New Roman" w:hAnsi="Times New Roman" w:eastAsia="宋体" w:cs="Times New Roman"/>
      <w:szCs w:val="21"/>
      <w:lang w:val="en-US" w:eastAsia="zh-CN" w:bidi="ar-SA"/>
    </w:rPr>
  </w:style>
  <w:style w:type="character" w:customStyle="1" w:styleId="621">
    <w:name w:val="表格非标题文字 Char"/>
    <w:link w:val="80"/>
    <w:qFormat/>
    <w:uiPriority w:val="0"/>
    <w:rPr>
      <w:rFonts w:ascii="Futura Bk" w:hAnsi="Futura Bk"/>
      <w:kern w:val="2"/>
      <w:sz w:val="18"/>
      <w:szCs w:val="21"/>
      <w:lang w:val="en-US" w:eastAsia="zh-CN" w:bidi="ar-SA"/>
    </w:rPr>
  </w:style>
  <w:style w:type="character" w:customStyle="1" w:styleId="622">
    <w:name w:val="*正文 Char"/>
    <w:link w:val="81"/>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2"/>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59"/>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3"/>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4"/>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1"/>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5"/>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6"/>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6"/>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8"/>
    <w:qFormat/>
    <w:uiPriority w:val="0"/>
    <w:rPr>
      <w:rFonts w:ascii="Arial" w:hAnsi="Arial" w:eastAsia="黑体"/>
      <w:b/>
      <w:bCs/>
      <w:kern w:val="2"/>
      <w:sz w:val="24"/>
      <w:szCs w:val="24"/>
    </w:rPr>
  </w:style>
  <w:style w:type="character" w:customStyle="1" w:styleId="680">
    <w:name w:val="纯文本 Char_0"/>
    <w:link w:val="87"/>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89"/>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0"/>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5"/>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38"/>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1"/>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2"/>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29"/>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4"/>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5"/>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6"/>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7"/>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8"/>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99"/>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4"/>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1"/>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2"/>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58"/>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6"/>
    <w:qFormat/>
    <w:uiPriority w:val="0"/>
    <w:rPr>
      <w:rFonts w:ascii="黑体" w:hAnsi="Courier New" w:eastAsia="黑体"/>
    </w:rPr>
  </w:style>
  <w:style w:type="character" w:customStyle="1" w:styleId="819">
    <w:name w:val="正文文本 2 Char1"/>
    <w:link w:val="55"/>
    <w:qFormat/>
    <w:uiPriority w:val="0"/>
    <w:rPr>
      <w:kern w:val="2"/>
      <w:sz w:val="21"/>
      <w:szCs w:val="24"/>
    </w:rPr>
  </w:style>
  <w:style w:type="character" w:customStyle="1" w:styleId="820">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9"/>
    <w:qFormat/>
    <w:uiPriority w:val="0"/>
    <w:rPr>
      <w:b/>
      <w:bCs/>
      <w:kern w:val="2"/>
      <w:sz w:val="24"/>
      <w:szCs w:val="24"/>
    </w:rPr>
  </w:style>
  <w:style w:type="character" w:customStyle="1" w:styleId="823">
    <w:name w:val="正文文本缩进 2 Char"/>
    <w:link w:val="36"/>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49"/>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4"/>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5"/>
    <w:qFormat/>
    <w:uiPriority w:val="0"/>
    <w:rPr>
      <w:rFonts w:ascii="宋体" w:hAnsi="Courier New"/>
    </w:rPr>
  </w:style>
  <w:style w:type="character" w:customStyle="1" w:styleId="834">
    <w:name w:val="正文首行缩进 Char"/>
    <w:link w:val="60"/>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6"/>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7"/>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qFormat/>
    <w:uiPriority w:val="0"/>
    <w:rPr>
      <w:kern w:val="2"/>
      <w:sz w:val="21"/>
      <w:szCs w:val="24"/>
    </w:rPr>
  </w:style>
  <w:style w:type="character" w:customStyle="1" w:styleId="856">
    <w:name w:val="签名 Char"/>
    <w:link w:val="41"/>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08"/>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09"/>
    <w:qFormat/>
    <w:uiPriority w:val="0"/>
    <w:rPr>
      <w:rFonts w:ascii="宋体"/>
    </w:rPr>
  </w:style>
  <w:style w:type="character" w:customStyle="1" w:styleId="867">
    <w:name w:val="标题 8 Char"/>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2"/>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0"/>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39"/>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1"/>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0"/>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2"/>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3"/>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4"/>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5"/>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6"/>
    <w:qFormat/>
    <w:uiPriority w:val="0"/>
    <w:rPr>
      <w:rFonts w:cs="宋体"/>
      <w:kern w:val="2"/>
      <w:sz w:val="24"/>
    </w:rPr>
  </w:style>
  <w:style w:type="character" w:customStyle="1" w:styleId="9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37"/>
    <w:qFormat/>
    <w:uiPriority w:val="0"/>
    <w:rPr>
      <w:kern w:val="2"/>
      <w:sz w:val="21"/>
      <w:szCs w:val="24"/>
      <w:lang w:val="zh-CN"/>
    </w:rPr>
  </w:style>
  <w:style w:type="character" w:customStyle="1" w:styleId="941">
    <w:name w:val="无间隔 Char"/>
    <w:link w:val="166"/>
    <w:qFormat/>
    <w:uiPriority w:val="99"/>
    <w:rPr>
      <w:kern w:val="2"/>
      <w:sz w:val="21"/>
      <w:szCs w:val="22"/>
    </w:rPr>
  </w:style>
  <w:style w:type="character" w:customStyle="1" w:styleId="942">
    <w:name w:val="标准文本 Char Char"/>
    <w:link w:val="605"/>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character" w:customStyle="1" w:styleId="959">
    <w:name w:val="fontstyle01"/>
    <w:basedOn w:val="69"/>
    <w:qFormat/>
    <w:uiPriority w:val="0"/>
    <w:rPr>
      <w:rFonts w:ascii="宋体" w:hAnsi="宋体" w:eastAsia="宋体" w:cs="宋体"/>
      <w:b w:val="0"/>
      <w:color w:val="000000"/>
      <w:sz w:val="22"/>
      <w:szCs w:val="22"/>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34455</Words>
  <Characters>36190</Characters>
  <Lines>287</Lines>
  <Paragraphs>81</Paragraphs>
  <TotalTime>6</TotalTime>
  <ScaleCrop>false</ScaleCrop>
  <LinksUpToDate>false</LinksUpToDate>
  <CharactersWithSpaces>42384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天阳建设管理有限公司</cp:lastModifiedBy>
  <cp:lastPrinted>2022-02-24T05:45:00Z</cp:lastPrinted>
  <dcterms:modified xsi:type="dcterms:W3CDTF">2022-11-25T03:06:23Z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