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b/>
          <w:sz w:val="44"/>
          <w:szCs w:val="44"/>
        </w:rPr>
      </w:pPr>
    </w:p>
    <w:p>
      <w:pPr>
        <w:adjustRightInd/>
        <w:spacing w:line="360" w:lineRule="auto"/>
        <w:jc w:val="center"/>
        <w:rPr>
          <w:rFonts w:ascii="仿宋" w:hAnsi="仿宋" w:eastAsia="仿宋" w:cs="仿宋"/>
          <w:b/>
          <w:bCs/>
          <w:i w:val="0"/>
          <w:caps w:val="0"/>
          <w:color w:val="000000"/>
          <w:spacing w:val="0"/>
          <w:sz w:val="44"/>
          <w:szCs w:val="44"/>
        </w:rPr>
      </w:pPr>
      <w:r>
        <w:rPr>
          <w:rFonts w:ascii="仿宋" w:hAnsi="仿宋" w:eastAsia="仿宋" w:cs="仿宋"/>
          <w:b/>
          <w:bCs/>
          <w:i w:val="0"/>
          <w:caps w:val="0"/>
          <w:color w:val="000000"/>
          <w:spacing w:val="0"/>
          <w:sz w:val="44"/>
          <w:szCs w:val="44"/>
        </w:rPr>
        <w:t>星桥街道星灿街社会公共服务综合楼项目立体车库采购项目</w:t>
      </w:r>
    </w:p>
    <w:p>
      <w:pPr>
        <w:adjustRightInd/>
        <w:spacing w:line="360" w:lineRule="auto"/>
        <w:jc w:val="center"/>
        <w:rPr>
          <w:rFonts w:ascii="仿宋" w:hAnsi="仿宋" w:eastAsia="仿宋" w:cs="仿宋_GB2312"/>
          <w:b/>
          <w:bCs/>
          <w:sz w:val="48"/>
          <w:szCs w:val="48"/>
        </w:rPr>
      </w:pPr>
      <w:r>
        <w:rPr>
          <w:rFonts w:hint="eastAsia" w:ascii="仿宋" w:hAnsi="仿宋" w:eastAsia="仿宋" w:cs="仿宋_GB2312"/>
          <w:b/>
          <w:bCs/>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jc w:val="center"/>
        <w:rPr>
          <w:rFonts w:hint="eastAsia" w:ascii="宋体" w:hAnsi="宋体" w:cs="宋体"/>
          <w:b/>
          <w:color w:val="000000"/>
          <w:sz w:val="36"/>
          <w:szCs w:val="36"/>
          <w:highlight w:val="none"/>
        </w:rPr>
      </w:pPr>
      <w:r>
        <w:rPr>
          <w:rFonts w:hint="eastAsia" w:ascii="宋体" w:hAnsi="宋体" w:cs="宋体"/>
          <w:b/>
          <w:color w:val="000000"/>
          <w:sz w:val="36"/>
          <w:szCs w:val="36"/>
          <w:highlight w:val="none"/>
        </w:rPr>
        <w:t>（项目编号：</w:t>
      </w:r>
      <w:r>
        <w:rPr>
          <w:rFonts w:hint="eastAsia" w:ascii="宋体" w:hAnsi="宋体" w:cs="宋体"/>
          <w:b/>
          <w:color w:val="000000"/>
          <w:sz w:val="36"/>
          <w:szCs w:val="36"/>
          <w:highlight w:val="none"/>
          <w:lang w:eastAsia="zh-CN"/>
        </w:rPr>
        <w:t>TYZFCG2022-066</w:t>
      </w:r>
      <w:r>
        <w:rPr>
          <w:rFonts w:hint="eastAsia" w:ascii="宋体" w:hAnsi="宋体" w:cs="宋体"/>
          <w:b/>
          <w:color w:val="000000"/>
          <w:sz w:val="36"/>
          <w:szCs w:val="36"/>
          <w:highlight w:val="none"/>
        </w:rPr>
        <w:t>）</w:t>
      </w:r>
    </w:p>
    <w:p>
      <w:pPr>
        <w:snapToGrid w:val="0"/>
        <w:spacing w:line="360" w:lineRule="auto"/>
        <w:jc w:val="center"/>
        <w:rPr>
          <w:rFonts w:ascii="仿宋" w:hAnsi="仿宋" w:eastAsia="仿宋" w:cs="仿宋_GB2312"/>
          <w:sz w:val="30"/>
          <w:szCs w:val="30"/>
        </w:rPr>
      </w:pP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napToGrid w:val="0"/>
        <w:spacing w:line="360" w:lineRule="auto"/>
        <w:jc w:val="both"/>
        <w:rPr>
          <w:rFonts w:hint="eastAsia" w:ascii="宋体" w:hAnsi="宋体" w:cs="宋体"/>
          <w:b/>
          <w:color w:val="000000"/>
          <w:sz w:val="36"/>
          <w:szCs w:val="36"/>
          <w:highlight w:val="none"/>
          <w:lang w:val="en-US" w:eastAsia="zh-CN"/>
        </w:rPr>
      </w:pPr>
    </w:p>
    <w:p>
      <w:pPr>
        <w:snapToGrid w:val="0"/>
        <w:spacing w:line="360" w:lineRule="auto"/>
        <w:jc w:val="center"/>
        <w:rPr>
          <w:rFonts w:hint="eastAsia" w:ascii="宋体" w:hAnsi="宋体" w:cs="宋体"/>
          <w:b/>
          <w:color w:val="000000"/>
          <w:sz w:val="36"/>
          <w:szCs w:val="36"/>
          <w:highlight w:val="none"/>
          <w:lang w:val="en-US" w:eastAsia="zh-CN"/>
        </w:rPr>
      </w:pPr>
      <w:r>
        <w:rPr>
          <w:rFonts w:hint="eastAsia" w:ascii="宋体" w:hAnsi="宋体" w:cs="宋体"/>
          <w:b/>
          <w:color w:val="000000"/>
          <w:sz w:val="36"/>
          <w:szCs w:val="36"/>
          <w:highlight w:val="none"/>
          <w:lang w:val="en-US" w:eastAsia="zh-CN"/>
        </w:rPr>
        <w:t>采购人：杭州市临平区人民政府星桥街道办事处</w:t>
      </w:r>
    </w:p>
    <w:p>
      <w:pPr>
        <w:snapToGrid w:val="0"/>
        <w:spacing w:line="360" w:lineRule="auto"/>
        <w:jc w:val="center"/>
        <w:rPr>
          <w:rFonts w:hint="eastAsia" w:ascii="宋体" w:hAnsi="宋体" w:cs="宋体"/>
          <w:b/>
          <w:color w:val="000000"/>
          <w:sz w:val="36"/>
          <w:szCs w:val="36"/>
          <w:highlight w:val="none"/>
          <w:lang w:val="en-US" w:eastAsia="zh-CN"/>
        </w:rPr>
      </w:pPr>
      <w:r>
        <w:rPr>
          <w:rFonts w:hint="eastAsia" w:ascii="宋体" w:hAnsi="宋体" w:cs="宋体"/>
          <w:b/>
          <w:color w:val="000000"/>
          <w:sz w:val="36"/>
          <w:szCs w:val="36"/>
          <w:highlight w:val="none"/>
          <w:lang w:val="en-US" w:eastAsia="zh-CN"/>
        </w:rPr>
        <w:t>采购代理机构：天阳建设管理有限公司</w:t>
      </w:r>
    </w:p>
    <w:p>
      <w:pPr>
        <w:snapToGrid w:val="0"/>
        <w:spacing w:line="360" w:lineRule="auto"/>
        <w:jc w:val="center"/>
        <w:rPr>
          <w:rFonts w:hint="eastAsia" w:ascii="宋体" w:hAnsi="宋体" w:cs="宋体"/>
          <w:b/>
          <w:color w:val="000000"/>
          <w:sz w:val="36"/>
          <w:szCs w:val="36"/>
          <w:highlight w:val="none"/>
          <w:lang w:val="en-US" w:eastAsia="zh-CN"/>
        </w:rPr>
      </w:pPr>
      <w:r>
        <w:rPr>
          <w:rFonts w:hint="eastAsia" w:ascii="宋体" w:hAnsi="宋体" w:cs="宋体"/>
          <w:b/>
          <w:color w:val="000000"/>
          <w:sz w:val="36"/>
          <w:szCs w:val="36"/>
          <w:highlight w:val="none"/>
          <w:lang w:val="en-US" w:eastAsia="zh-CN"/>
        </w:rPr>
        <w:t>二〇二二年十月二十日</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highlight w:val="none"/>
          <w:u w:val="single"/>
        </w:rPr>
      </w:pPr>
      <w:r>
        <w:rPr>
          <w:rFonts w:hint="eastAsia" w:ascii="仿宋_GB2312" w:hAnsi="仿宋" w:eastAsia="仿宋_GB2312" w:cs="仿宋_GB2312"/>
          <w:sz w:val="24"/>
          <w:u w:val="single" w:color="auto"/>
        </w:rPr>
        <w:t>（</w:t>
      </w:r>
      <w:r>
        <w:rPr>
          <w:rFonts w:ascii="仿宋" w:hAnsi="仿宋" w:eastAsia="仿宋" w:cs="仿宋"/>
          <w:i w:val="0"/>
          <w:caps w:val="0"/>
          <w:color w:val="000000"/>
          <w:spacing w:val="0"/>
          <w:sz w:val="27"/>
          <w:szCs w:val="27"/>
          <w:u w:val="single" w:color="auto"/>
        </w:rPr>
        <w:t>星桥街道星灿街社会公共服务综合楼项目立体车库采购项目</w:t>
      </w:r>
      <w:r>
        <w:rPr>
          <w:rFonts w:hint="eastAsia" w:ascii="仿宋_GB2312" w:hAnsi="仿宋" w:eastAsia="仿宋_GB2312" w:cs="仿宋_GB2312"/>
          <w:sz w:val="24"/>
          <w:u w:val="single" w:color="auto"/>
        </w:rPr>
        <w:t>）</w:t>
      </w:r>
      <w:r>
        <w:rPr>
          <w:rFonts w:hint="eastAsia" w:ascii="仿宋_GB2312" w:hAnsi="仿宋" w:eastAsia="仿宋_GB2312"/>
          <w:sz w:val="24"/>
        </w:rPr>
        <w:t>招标项目的潜在投标人应在政采云平台（</w:t>
      </w:r>
      <w:r>
        <w:rPr>
          <w:highlight w:val="none"/>
        </w:rPr>
        <w:fldChar w:fldCharType="begin"/>
      </w:r>
      <w:r>
        <w:rPr>
          <w:highlight w:val="none"/>
        </w:rPr>
        <w:instrText xml:space="preserve">HYPERLINK "https://www.zcygov.cn/）获取（下载）招标文件，并于2021年" </w:instrText>
      </w:r>
      <w:r>
        <w:rPr>
          <w:highlight w:val="none"/>
        </w:rPr>
        <w:fldChar w:fldCharType="separate"/>
      </w:r>
      <w:r>
        <w:rPr>
          <w:rStyle w:val="78"/>
          <w:rFonts w:ascii="仿宋_GB2312" w:hAnsi="仿宋" w:eastAsia="仿宋_GB2312" w:cs="Times New Roman"/>
          <w:color w:val="auto"/>
          <w:kern w:val="2"/>
          <w:sz w:val="24"/>
          <w:szCs w:val="24"/>
          <w:highlight w:val="none"/>
        </w:rPr>
        <w:t>https://www.zcygov.cn/）获取（下载）招标文件，并于</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2</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11</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10</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9</w:t>
      </w:r>
      <w:r>
        <w:rPr>
          <w:rFonts w:hint="eastAsia" w:ascii="仿宋_GB2312" w:hAnsi="仿宋" w:eastAsia="仿宋_GB2312"/>
          <w:sz w:val="24"/>
          <w:highlight w:val="none"/>
          <w:u w:val="single"/>
        </w:rPr>
        <w:t>点</w:t>
      </w:r>
      <w:r>
        <w:rPr>
          <w:rFonts w:hint="eastAsia" w:ascii="仿宋_GB2312" w:hAnsi="仿宋" w:eastAsia="仿宋_GB2312"/>
          <w:sz w:val="24"/>
          <w:highlight w:val="none"/>
          <w:u w:val="single"/>
          <w:lang w:val="en-US" w:eastAsia="zh-CN"/>
        </w:rPr>
        <w:t>30</w:t>
      </w:r>
      <w:r>
        <w:rPr>
          <w:rFonts w:hint="eastAsia" w:ascii="仿宋_GB2312" w:hAnsi="仿宋" w:eastAsia="仿宋_GB2312"/>
          <w:sz w:val="24"/>
          <w:highlight w:val="none"/>
          <w:u w:val="single"/>
        </w:rPr>
        <w:t>分</w:t>
      </w:r>
      <w:r>
        <w:rPr>
          <w:rFonts w:hint="eastAsia" w:ascii="仿宋_GB2312" w:hAnsi="仿宋" w:eastAsia="仿宋_GB2312"/>
          <w:bCs/>
          <w:sz w:val="24"/>
          <w:highlight w:val="none"/>
          <w:u w:val="single"/>
        </w:rPr>
        <w:t>00秒</w:t>
      </w:r>
      <w:r>
        <w:rPr>
          <w:highlight w:val="none"/>
        </w:rPr>
        <w:fldChar w:fldCharType="end"/>
      </w:r>
      <w:r>
        <w:rPr>
          <w:rFonts w:hint="eastAsia" w:ascii="仿宋_GB2312" w:hAnsi="仿宋" w:eastAsia="仿宋_GB2312"/>
          <w:bCs/>
          <w:sz w:val="24"/>
          <w:highlight w:val="none"/>
        </w:rPr>
        <w:t>（北京时间）前</w:t>
      </w:r>
      <w:r>
        <w:rPr>
          <w:rFonts w:hint="eastAsia" w:ascii="仿宋_GB2312" w:hAnsi="仿宋" w:eastAsia="仿宋_GB2312"/>
          <w:sz w:val="24"/>
          <w:highlight w:val="none"/>
        </w:rPr>
        <w:t>递交（上传）投标文件。</w:t>
      </w:r>
    </w:p>
    <w:p>
      <w:pPr>
        <w:spacing w:line="360" w:lineRule="auto"/>
        <w:rPr>
          <w:rFonts w:ascii="仿宋_GB2312" w:hAnsi="仿宋" w:eastAsia="仿宋_GB2312"/>
          <w:b/>
          <w:sz w:val="24"/>
        </w:rPr>
      </w:pPr>
      <w:r>
        <w:rPr>
          <w:rFonts w:hint="eastAsia" w:ascii="仿宋_GB2312" w:hAnsi="仿宋" w:eastAsia="仿宋_GB2312"/>
          <w:b/>
          <w:sz w:val="24"/>
          <w:highlight w:val="none"/>
        </w:rPr>
        <w:t>一、项目基本情况</w:t>
      </w:r>
      <w:r>
        <w:rPr>
          <w:rFonts w:ascii="仿宋_GB2312" w:hAnsi="仿宋" w:eastAsia="仿宋_GB2312"/>
          <w:b/>
          <w:sz w:val="24"/>
          <w:highlight w:val="none"/>
        </w:rPr>
        <w:t xml:space="preserve">     </w:t>
      </w:r>
      <w:r>
        <w:rPr>
          <w:rFonts w:ascii="仿宋_GB2312" w:hAnsi="仿宋" w:eastAsia="仿宋_GB2312"/>
          <w:b/>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sz w:val="24"/>
        </w:rPr>
        <w:t>TYZFCG2022-066</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项目名称：</w:t>
      </w:r>
      <w:r>
        <w:rPr>
          <w:rFonts w:ascii="仿宋" w:hAnsi="仿宋" w:eastAsia="仿宋" w:cs="仿宋"/>
          <w:i w:val="0"/>
          <w:caps w:val="0"/>
          <w:color w:val="000000"/>
          <w:spacing w:val="0"/>
          <w:sz w:val="27"/>
          <w:szCs w:val="27"/>
        </w:rPr>
        <w:t>星桥街道星灿街社会公共服务综合楼项目立体车库采购项目</w:t>
      </w:r>
    </w:p>
    <w:p>
      <w:pPr>
        <w:spacing w:line="360" w:lineRule="auto"/>
        <w:rPr>
          <w:rFonts w:ascii="仿宋_GB2312" w:hAnsi="仿宋" w:eastAsia="仿宋_GB2312"/>
          <w:color w:val="auto"/>
          <w:sz w:val="24"/>
          <w:lang w:val="en-US"/>
        </w:rPr>
      </w:pPr>
      <w:r>
        <w:rPr>
          <w:rFonts w:ascii="仿宋_GB2312" w:hAnsi="仿宋" w:eastAsia="仿宋_GB2312"/>
          <w:sz w:val="24"/>
        </w:rPr>
        <w:t xml:space="preserve">  </w:t>
      </w:r>
      <w:r>
        <w:rPr>
          <w:rFonts w:ascii="仿宋_GB2312" w:hAnsi="仿宋" w:eastAsia="仿宋_GB2312"/>
          <w:color w:val="auto"/>
          <w:sz w:val="24"/>
        </w:rPr>
        <w:t xml:space="preserve"> </w:t>
      </w:r>
      <w:r>
        <w:rPr>
          <w:rFonts w:ascii="仿宋_GB2312" w:hAnsi="仿宋" w:eastAsia="仿宋_GB2312"/>
          <w:b/>
          <w:color w:val="auto"/>
          <w:sz w:val="24"/>
        </w:rPr>
        <w:t xml:space="preserve"> 预算金额（元）：</w:t>
      </w:r>
      <w:r>
        <w:rPr>
          <w:rFonts w:hint="eastAsia" w:ascii="仿宋_GB2312" w:hAnsi="仿宋" w:eastAsia="仿宋_GB2312"/>
          <w:color w:val="auto"/>
          <w:sz w:val="24"/>
          <w:lang w:val="en-US" w:eastAsia="zh-CN"/>
        </w:rPr>
        <w:t>30000000</w:t>
      </w:r>
    </w:p>
    <w:p>
      <w:pPr>
        <w:spacing w:line="360" w:lineRule="auto"/>
        <w:ind w:firstLine="480"/>
        <w:rPr>
          <w:rFonts w:ascii="仿宋_GB2312" w:hAnsi="仿宋" w:eastAsia="仿宋_GB2312"/>
          <w:color w:val="auto"/>
          <w:sz w:val="24"/>
        </w:rPr>
      </w:pPr>
      <w:r>
        <w:rPr>
          <w:rFonts w:hint="eastAsia" w:ascii="仿宋_GB2312" w:hAnsi="仿宋" w:eastAsia="仿宋_GB2312"/>
          <w:b/>
          <w:color w:val="auto"/>
          <w:sz w:val="24"/>
        </w:rPr>
        <w:t>最高限价（元）：</w:t>
      </w:r>
      <w:r>
        <w:rPr>
          <w:rFonts w:hint="eastAsia" w:ascii="仿宋_GB2312" w:hAnsi="仿宋" w:eastAsia="仿宋_GB2312"/>
          <w:color w:val="auto"/>
          <w:sz w:val="24"/>
          <w:lang w:val="en-US" w:eastAsia="zh-CN"/>
        </w:rPr>
        <w:t>28500000</w:t>
      </w:r>
      <w:r>
        <w:rPr>
          <w:rFonts w:hint="eastAsia" w:ascii="仿宋_GB2312" w:hAnsi="仿宋" w:eastAsia="仿宋_GB2312"/>
          <w:color w:val="auto"/>
          <w:sz w:val="24"/>
        </w:rPr>
        <w:t xml:space="preserve"> </w:t>
      </w:r>
    </w:p>
    <w:p>
      <w:pPr>
        <w:numPr>
          <w:ilvl w:val="0"/>
          <w:numId w:val="0"/>
        </w:numPr>
        <w:spacing w:line="360" w:lineRule="auto"/>
        <w:rPr>
          <w:rFonts w:ascii="仿宋_GB2312" w:hAnsi="仿宋" w:eastAsia="仿宋_GB2312"/>
          <w:bCs/>
          <w:color w:val="auto"/>
          <w:kern w:val="2"/>
          <w:sz w:val="24"/>
          <w:szCs w:val="24"/>
        </w:rPr>
      </w:pPr>
      <w:r>
        <w:rPr>
          <w:rFonts w:hint="eastAsia" w:ascii="仿宋_GB2312" w:hAnsi="仿宋" w:eastAsia="仿宋_GB2312"/>
          <w:b/>
          <w:color w:val="auto"/>
          <w:sz w:val="24"/>
          <w:lang w:val="en-US" w:eastAsia="zh-CN"/>
        </w:rPr>
        <w:t xml:space="preserve">    </w:t>
      </w:r>
      <w:r>
        <w:rPr>
          <w:rFonts w:hint="eastAsia" w:ascii="仿宋_GB2312" w:hAnsi="仿宋" w:eastAsia="仿宋_GB2312"/>
          <w:b/>
          <w:color w:val="auto"/>
          <w:sz w:val="24"/>
        </w:rPr>
        <w:t>采购需求：</w:t>
      </w:r>
      <w:r>
        <w:rPr>
          <w:rFonts w:hint="eastAsia" w:ascii="仿宋" w:hAnsi="仿宋" w:eastAsia="仿宋" w:cs="仿宋_GB2312"/>
          <w:snapToGrid w:val="0"/>
          <w:color w:val="auto"/>
          <w:kern w:val="28"/>
          <w:sz w:val="24"/>
          <w:szCs w:val="20"/>
          <w:lang w:val="en-US" w:eastAsia="zh-CN"/>
        </w:rPr>
        <w:t>本</w:t>
      </w:r>
      <w:r>
        <w:rPr>
          <w:rFonts w:hint="eastAsia" w:ascii="仿宋" w:hAnsi="仿宋" w:eastAsia="仿宋" w:cs="仿宋_GB2312"/>
          <w:snapToGrid w:val="0"/>
          <w:color w:val="auto"/>
          <w:kern w:val="28"/>
          <w:sz w:val="24"/>
          <w:szCs w:val="20"/>
        </w:rPr>
        <w:t>项目内容</w:t>
      </w:r>
      <w:r>
        <w:rPr>
          <w:rFonts w:hint="eastAsia" w:ascii="仿宋" w:hAnsi="仿宋" w:eastAsia="仿宋" w:cs="仿宋_GB2312"/>
          <w:snapToGrid w:val="0"/>
          <w:color w:val="auto"/>
          <w:kern w:val="28"/>
          <w:sz w:val="24"/>
          <w:szCs w:val="20"/>
          <w:lang w:val="en-US" w:eastAsia="zh-CN"/>
        </w:rPr>
        <w:t>分两部分，一为机械立体车库部分，</w:t>
      </w:r>
      <w:r>
        <w:rPr>
          <w:rFonts w:hint="eastAsia" w:ascii="仿宋" w:hAnsi="仿宋" w:eastAsia="仿宋" w:cs="仿宋_GB2312"/>
          <w:snapToGrid w:val="0"/>
          <w:color w:val="auto"/>
          <w:kern w:val="28"/>
          <w:sz w:val="24"/>
          <w:szCs w:val="20"/>
        </w:rPr>
        <w:t>主要需采购</w:t>
      </w:r>
      <w:r>
        <w:rPr>
          <w:rFonts w:hint="eastAsia" w:ascii="仿宋" w:hAnsi="仿宋" w:eastAsia="仿宋" w:cs="仿宋_GB2312"/>
          <w:snapToGrid w:val="0"/>
          <w:color w:val="auto"/>
          <w:kern w:val="28"/>
          <w:sz w:val="24"/>
          <w:szCs w:val="20"/>
          <w:lang w:val="en-US" w:eastAsia="zh-CN"/>
        </w:rPr>
        <w:t>10</w:t>
      </w:r>
      <w:r>
        <w:rPr>
          <w:rFonts w:hint="eastAsia" w:ascii="仿宋" w:hAnsi="仿宋" w:eastAsia="仿宋" w:cs="仿宋_GB2312"/>
          <w:snapToGrid w:val="0"/>
          <w:color w:val="auto"/>
          <w:kern w:val="28"/>
          <w:sz w:val="24"/>
          <w:szCs w:val="20"/>
        </w:rPr>
        <w:t>层</w:t>
      </w:r>
      <w:r>
        <w:rPr>
          <w:rFonts w:hint="eastAsia" w:ascii="仿宋" w:hAnsi="仿宋" w:eastAsia="仿宋" w:cs="仿宋_GB2312"/>
          <w:snapToGrid w:val="0"/>
          <w:color w:val="auto"/>
          <w:kern w:val="28"/>
          <w:sz w:val="24"/>
          <w:szCs w:val="20"/>
          <w:lang w:val="en-US" w:eastAsia="zh-CN"/>
        </w:rPr>
        <w:t>285</w:t>
      </w:r>
      <w:r>
        <w:rPr>
          <w:rFonts w:hint="eastAsia" w:ascii="仿宋" w:hAnsi="仿宋" w:eastAsia="仿宋" w:cs="仿宋_GB2312"/>
          <w:snapToGrid w:val="0"/>
          <w:color w:val="auto"/>
          <w:kern w:val="28"/>
          <w:sz w:val="24"/>
          <w:szCs w:val="20"/>
        </w:rPr>
        <w:t>个车位（</w:t>
      </w:r>
      <w:r>
        <w:rPr>
          <w:rFonts w:hint="eastAsia" w:ascii="仿宋" w:hAnsi="仿宋" w:eastAsia="仿宋" w:cs="仿宋_GB2312"/>
          <w:snapToGrid w:val="0"/>
          <w:color w:val="auto"/>
          <w:kern w:val="28"/>
          <w:sz w:val="24"/>
          <w:szCs w:val="20"/>
          <w:lang w:val="en-US" w:eastAsia="zh-CN"/>
        </w:rPr>
        <w:t>其中地下一层29车位，地上首层挑空，2-9层停车256个）平面移动</w:t>
      </w:r>
      <w:r>
        <w:rPr>
          <w:rFonts w:hint="eastAsia" w:ascii="仿宋" w:hAnsi="仿宋" w:eastAsia="仿宋" w:cs="仿宋_GB2312"/>
          <w:snapToGrid w:val="0"/>
          <w:color w:val="auto"/>
          <w:kern w:val="28"/>
          <w:sz w:val="24"/>
          <w:szCs w:val="20"/>
        </w:rPr>
        <w:t>类机械式停车设备采购</w:t>
      </w:r>
      <w:r>
        <w:rPr>
          <w:rFonts w:hint="eastAsia" w:ascii="仿宋" w:hAnsi="仿宋" w:eastAsia="仿宋" w:cs="仿宋_GB2312"/>
          <w:snapToGrid w:val="0"/>
          <w:color w:val="auto"/>
          <w:kern w:val="28"/>
          <w:sz w:val="24"/>
          <w:szCs w:val="20"/>
          <w:lang w:eastAsia="zh-CN"/>
        </w:rPr>
        <w:t>、</w:t>
      </w:r>
      <w:r>
        <w:rPr>
          <w:rFonts w:hint="eastAsia" w:ascii="仿宋" w:hAnsi="仿宋" w:eastAsia="仿宋" w:cs="仿宋_GB2312"/>
          <w:snapToGrid w:val="0"/>
          <w:color w:val="auto"/>
          <w:kern w:val="28"/>
          <w:sz w:val="24"/>
          <w:szCs w:val="20"/>
        </w:rPr>
        <w:t>安装及</w:t>
      </w:r>
      <w:r>
        <w:rPr>
          <w:rFonts w:hint="eastAsia" w:ascii="仿宋" w:hAnsi="仿宋" w:eastAsia="仿宋" w:cs="仿宋_GB2312"/>
          <w:snapToGrid w:val="0"/>
          <w:color w:val="auto"/>
          <w:kern w:val="28"/>
          <w:sz w:val="24"/>
          <w:szCs w:val="20"/>
          <w:lang w:val="en-US" w:eastAsia="zh-CN"/>
        </w:rPr>
        <w:t>质保，包括钢梁、钢柱、钢板、檩条、</w:t>
      </w:r>
      <w:r>
        <w:rPr>
          <w:rFonts w:hint="eastAsia" w:ascii="仿宋" w:hAnsi="仿宋" w:eastAsia="仿宋" w:cs="仿宋"/>
          <w:color w:val="auto"/>
          <w:sz w:val="24"/>
          <w:szCs w:val="24"/>
          <w:highlight w:val="none"/>
          <w:lang w:val="en-US" w:eastAsia="zh-CN"/>
        </w:rPr>
        <w:t>楼层板、</w:t>
      </w:r>
      <w:r>
        <w:rPr>
          <w:rFonts w:hint="eastAsia" w:ascii="仿宋" w:hAnsi="仿宋" w:eastAsia="仿宋" w:cs="仿宋_GB2312"/>
          <w:snapToGrid w:val="0"/>
          <w:color w:val="auto"/>
          <w:kern w:val="28"/>
          <w:sz w:val="24"/>
          <w:szCs w:val="20"/>
          <w:lang w:val="en-US" w:eastAsia="zh-CN"/>
        </w:rPr>
        <w:t>立体车位以及钢柱与混凝土基础连接的埋件、停车楼智能停车同步实施停车库的收费系统、 监控系统、 派库诱导等；二为其他项目清单部分，主要包括钢结构立体车库的外立面涂料、立体车库幕墙、钢结构屋面、钢结构立体车库安装（消防、电气、暖通、智能化、亮化）等（详见采购清单及图纸）。详见招标文件第三部分采购需求。</w:t>
      </w:r>
    </w:p>
    <w:p>
      <w:pPr>
        <w:pStyle w:val="88"/>
        <w:ind w:firstLine="482"/>
        <w:outlineLvl w:val="2"/>
        <w:rPr>
          <w:rFonts w:ascii="仿宋_GB2312" w:hAnsi="仿宋" w:eastAsia="仿宋_GB2312"/>
          <w:color w:val="auto"/>
        </w:rPr>
      </w:pPr>
      <w:r>
        <w:rPr>
          <w:rFonts w:hint="eastAsia" w:ascii="仿宋_GB2312" w:hAnsi="仿宋" w:eastAsia="仿宋_GB2312"/>
          <w:b/>
          <w:color w:val="auto"/>
        </w:rPr>
        <w:t>合同履约期限：</w:t>
      </w:r>
      <w:r>
        <w:rPr>
          <w:rFonts w:hint="eastAsia" w:ascii="仿宋" w:hAnsi="仿宋" w:eastAsia="仿宋" w:cs="仿宋_GB2312"/>
          <w:snapToGrid w:val="0"/>
          <w:color w:val="auto"/>
          <w:kern w:val="28"/>
          <w:sz w:val="24"/>
          <w:szCs w:val="20"/>
          <w:lang w:val="en-US" w:eastAsia="zh-CN" w:bidi="ar-SA"/>
        </w:rPr>
        <w:t>立体车库部分，合同签约后40日历天完成设计及备货工作；土建施工完成，甲方发出书面进场指令后90天内安装完成并取得浙江省或杭州市特种设备检测机构颁发的验收合格报告。</w:t>
      </w:r>
    </w:p>
    <w:p>
      <w:pPr>
        <w:pStyle w:val="7"/>
        <w:spacing w:line="360" w:lineRule="auto"/>
        <w:ind w:firstLine="480"/>
        <w:rPr>
          <w:rFonts w:hint="eastAsia" w:ascii="宋体" w:hAnsi="宋体" w:eastAsia="宋体" w:cs="Arial"/>
          <w:color w:val="auto"/>
          <w:kern w:val="0"/>
          <w:sz w:val="24"/>
        </w:rPr>
      </w:pPr>
      <w:r>
        <w:rPr>
          <w:rFonts w:hint="eastAsia" w:ascii="仿宋_GB2312" w:hAnsi="仿宋" w:eastAsia="仿宋_GB2312"/>
          <w:b/>
          <w:color w:val="auto"/>
          <w:sz w:val="24"/>
        </w:rPr>
        <w:t>本项目接受联合体投标：</w:t>
      </w:r>
      <w:r>
        <w:rPr>
          <w:rFonts w:ascii="MS Gothic" w:hAnsi="MS Gothic" w:eastAsia="MS Gothic" w:cs="Arial"/>
          <w:color w:val="auto"/>
          <w:kern w:val="0"/>
          <w:sz w:val="24"/>
        </w:rPr>
        <w:sym w:font="Wingdings" w:char="F0FE"/>
      </w:r>
      <w:r>
        <w:rPr>
          <w:rFonts w:hint="eastAsia" w:ascii="仿宋_GB2312" w:hAnsi="仿宋" w:eastAsia="仿宋_GB2312"/>
          <w:b/>
          <w:color w:val="auto"/>
          <w:sz w:val="24"/>
        </w:rPr>
        <w:t>是，</w:t>
      </w:r>
      <w:r>
        <w:rPr>
          <w:rFonts w:ascii="MS Gothic" w:hAnsi="MS Gothic" w:eastAsia="MS Gothic" w:cs="Arial"/>
          <w:color w:val="auto"/>
          <w:kern w:val="0"/>
          <w:sz w:val="24"/>
        </w:rPr>
        <w:t>☐</w:t>
      </w:r>
      <w:r>
        <w:rPr>
          <w:rFonts w:hint="eastAsia" w:ascii="仿宋_GB2312" w:hAnsi="仿宋" w:eastAsia="仿宋_GB2312"/>
          <w:b/>
          <w:color w:val="auto"/>
          <w:sz w:val="24"/>
        </w:rPr>
        <w:t>否</w:t>
      </w:r>
      <w:r>
        <w:rPr>
          <w:rFonts w:hint="eastAsia" w:ascii="宋体" w:hAnsi="宋体" w:eastAsia="宋体" w:cs="Arial"/>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w:t>
      </w:r>
      <w:r>
        <w:rPr>
          <w:rFonts w:hint="eastAsia" w:ascii="仿宋_GB2312" w:hAnsi="仿宋" w:eastAsia="仿宋_GB2312"/>
          <w:b/>
          <w:sz w:val="24"/>
          <w:highlight w:val="none"/>
        </w:rPr>
        <w:t>申请人的资格要求：</w:t>
      </w:r>
    </w:p>
    <w:p>
      <w:pPr>
        <w:spacing w:line="360" w:lineRule="auto"/>
        <w:ind w:firstLine="480"/>
        <w:rPr>
          <w:rFonts w:hint="eastAsia"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F0FE"/>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r>
        <w:rPr>
          <w:rFonts w:ascii="MS Gothic" w:hAnsi="MS Gothic" w:eastAsia="MS Gothic" w:cs="Arial"/>
          <w:kern w:val="0"/>
          <w:sz w:val="24"/>
        </w:rPr>
        <w:sym w:font="Wingdings" w:char="F0FE"/>
      </w:r>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F0FE"/>
      </w:r>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widowControl/>
        <w:numPr>
          <w:ilvl w:val="0"/>
          <w:numId w:val="1"/>
        </w:numPr>
        <w:snapToGrid w:val="0"/>
        <w:spacing w:line="440" w:lineRule="exact"/>
        <w:ind w:firstLine="480" w:firstLineChars="200"/>
        <w:rPr>
          <w:rFonts w:ascii="仿宋_GB2312" w:hAnsi="仿宋" w:eastAsia="仿宋_GB2312"/>
          <w:sz w:val="24"/>
        </w:rPr>
      </w:pPr>
      <w:r>
        <w:rPr>
          <w:rFonts w:ascii="仿宋_GB2312" w:hAnsi="仿宋" w:eastAsia="仿宋_GB2312"/>
          <w:sz w:val="24"/>
        </w:rPr>
        <w:t>本项目的特定资格要求：</w:t>
      </w:r>
    </w:p>
    <w:p>
      <w:pPr>
        <w:spacing w:line="360" w:lineRule="auto"/>
        <w:ind w:firstLine="514" w:firstLineChars="200"/>
        <w:rPr>
          <w:rFonts w:hint="eastAsia" w:ascii="仿宋" w:hAnsi="仿宋" w:eastAsia="仿宋" w:cs="宋体"/>
          <w:b/>
          <w:bCs/>
          <w:spacing w:val="8"/>
          <w:kern w:val="0"/>
          <w:sz w:val="24"/>
        </w:rPr>
      </w:pPr>
      <w:r>
        <w:rPr>
          <w:rFonts w:hint="eastAsia" w:ascii="仿宋" w:hAnsi="仿宋" w:eastAsia="仿宋" w:cs="宋体"/>
          <w:b/>
          <w:bCs/>
          <w:spacing w:val="8"/>
          <w:kern w:val="0"/>
          <w:sz w:val="24"/>
        </w:rPr>
        <w:t>1</w:t>
      </w:r>
      <w:r>
        <w:rPr>
          <w:rFonts w:hint="eastAsia" w:ascii="仿宋" w:hAnsi="仿宋" w:eastAsia="仿宋" w:cs="宋体"/>
          <w:b/>
          <w:bCs/>
          <w:spacing w:val="8"/>
          <w:kern w:val="0"/>
          <w:sz w:val="24"/>
          <w:lang w:eastAsia="zh-CN"/>
        </w:rPr>
        <w:t>）</w:t>
      </w:r>
      <w:r>
        <w:rPr>
          <w:rFonts w:hint="eastAsia" w:ascii="仿宋" w:hAnsi="仿宋" w:eastAsia="仿宋" w:cs="宋体"/>
          <w:b/>
          <w:bCs/>
          <w:spacing w:val="8"/>
          <w:kern w:val="0"/>
          <w:sz w:val="24"/>
        </w:rPr>
        <w:t>投标供应商</w:t>
      </w:r>
      <w:r>
        <w:rPr>
          <w:rFonts w:hint="eastAsia" w:ascii="仿宋" w:hAnsi="仿宋" w:eastAsia="仿宋" w:cs="宋体"/>
          <w:b/>
          <w:bCs/>
          <w:spacing w:val="8"/>
          <w:kern w:val="0"/>
          <w:sz w:val="24"/>
          <w:lang w:val="en-US" w:eastAsia="zh-CN"/>
        </w:rPr>
        <w:t>需为</w:t>
      </w:r>
      <w:r>
        <w:rPr>
          <w:rFonts w:hint="eastAsia" w:ascii="仿宋" w:hAnsi="仿宋" w:eastAsia="仿宋" w:cs="宋体"/>
          <w:b/>
          <w:bCs/>
          <w:spacing w:val="8"/>
          <w:kern w:val="0"/>
          <w:sz w:val="24"/>
        </w:rPr>
        <w:t>本项目投标产品的制造商或经销商；</w:t>
      </w:r>
    </w:p>
    <w:p>
      <w:pPr>
        <w:spacing w:line="360" w:lineRule="auto"/>
        <w:ind w:firstLine="514" w:firstLineChars="200"/>
        <w:rPr>
          <w:rFonts w:hint="eastAsia" w:ascii="仿宋" w:hAnsi="仿宋" w:eastAsia="仿宋" w:cs="宋体"/>
          <w:b/>
          <w:bCs/>
          <w:spacing w:val="8"/>
          <w:kern w:val="0"/>
          <w:sz w:val="24"/>
        </w:rPr>
      </w:pPr>
      <w:r>
        <w:rPr>
          <w:rFonts w:hint="eastAsia" w:ascii="仿宋" w:hAnsi="仿宋" w:eastAsia="仿宋" w:cs="宋体"/>
          <w:b/>
          <w:bCs/>
          <w:spacing w:val="8"/>
          <w:kern w:val="0"/>
          <w:sz w:val="24"/>
          <w:lang w:val="en-US" w:eastAsia="zh-CN"/>
        </w:rPr>
        <w:t>2）</w:t>
      </w:r>
      <w:r>
        <w:rPr>
          <w:rFonts w:hint="eastAsia" w:ascii="仿宋" w:hAnsi="仿宋" w:eastAsia="仿宋" w:cs="宋体"/>
          <w:b/>
          <w:bCs/>
          <w:spacing w:val="8"/>
          <w:kern w:val="0"/>
          <w:sz w:val="24"/>
        </w:rPr>
        <w:t>制造商投标的，必须具备有效的《中华人民共和国特种设备生产许可证》证书【许可项目包含起重机械制造（含安装、修理、改造）、许可子项目包含机械式停车设备且具备型式试验证书（</w:t>
      </w:r>
      <w:r>
        <w:rPr>
          <w:rFonts w:hint="eastAsia" w:ascii="仿宋" w:hAnsi="仿宋" w:eastAsia="仿宋" w:cs="宋体"/>
          <w:b/>
          <w:bCs/>
          <w:spacing w:val="8"/>
          <w:kern w:val="0"/>
          <w:sz w:val="24"/>
          <w:lang w:val="en-US" w:eastAsia="zh-CN"/>
        </w:rPr>
        <w:t>平面移动类</w:t>
      </w:r>
      <w:r>
        <w:rPr>
          <w:rFonts w:hint="eastAsia" w:ascii="仿宋" w:hAnsi="仿宋" w:eastAsia="仿宋" w:cs="宋体"/>
          <w:b/>
          <w:bCs/>
          <w:spacing w:val="8"/>
          <w:kern w:val="0"/>
          <w:sz w:val="24"/>
        </w:rPr>
        <w:t>）</w:t>
      </w:r>
      <w:r>
        <w:rPr>
          <w:rFonts w:hint="eastAsia" w:ascii="仿宋" w:hAnsi="仿宋" w:eastAsia="仿宋" w:cs="宋体"/>
          <w:b/>
          <w:bCs/>
          <w:spacing w:val="8"/>
          <w:kern w:val="0"/>
          <w:sz w:val="24"/>
          <w:lang w:eastAsia="zh-CN"/>
        </w:rPr>
        <w:t>】；</w:t>
      </w:r>
      <w:r>
        <w:rPr>
          <w:rFonts w:hint="eastAsia" w:ascii="仿宋" w:hAnsi="仿宋" w:eastAsia="仿宋" w:cs="宋体"/>
          <w:b/>
          <w:bCs/>
          <w:spacing w:val="8"/>
          <w:kern w:val="0"/>
          <w:sz w:val="24"/>
        </w:rPr>
        <w:t>或同时具有有效期内的《中华人民共和国特种设备制造许可证（机械式停车设备-</w:t>
      </w:r>
      <w:r>
        <w:rPr>
          <w:rFonts w:hint="eastAsia" w:ascii="仿宋" w:hAnsi="仿宋" w:eastAsia="仿宋" w:cs="宋体"/>
          <w:b/>
          <w:bCs/>
          <w:spacing w:val="8"/>
          <w:kern w:val="0"/>
          <w:sz w:val="24"/>
          <w:lang w:val="en-US" w:eastAsia="zh-CN"/>
        </w:rPr>
        <w:t>平面移动</w:t>
      </w:r>
      <w:r>
        <w:rPr>
          <w:rFonts w:hint="eastAsia" w:ascii="仿宋" w:hAnsi="仿宋" w:eastAsia="仿宋" w:cs="宋体"/>
          <w:b/>
          <w:bCs/>
          <w:spacing w:val="8"/>
          <w:kern w:val="0"/>
          <w:sz w:val="24"/>
        </w:rPr>
        <w:t>类）》和《中华人民共和国特种设备安装改造维修许可证（机械式停车设备）》证书；(如为经销商，必须提供授权制造商的相关证书)</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highlight w:val="none"/>
        </w:rPr>
      </w:pPr>
      <w:r>
        <w:rPr>
          <w:rFonts w:hint="eastAsia" w:ascii="仿宋_GB2312" w:hAnsi="仿宋" w:eastAsia="仿宋_GB2312"/>
          <w:b/>
          <w:sz w:val="24"/>
        </w:rPr>
        <w:t>三</w:t>
      </w:r>
      <w:r>
        <w:rPr>
          <w:rFonts w:hint="eastAsia" w:ascii="仿宋_GB2312" w:hAnsi="仿宋" w:eastAsia="仿宋_GB2312"/>
          <w:b/>
          <w:sz w:val="24"/>
          <w:highlight w:val="none"/>
        </w:rPr>
        <w:t>、获取招标文件</w:t>
      </w:r>
      <w:r>
        <w:rPr>
          <w:rFonts w:ascii="仿宋_GB2312" w:hAnsi="仿宋" w:eastAsia="仿宋_GB2312"/>
          <w:b/>
          <w:sz w:val="24"/>
          <w:highlight w:val="none"/>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11</w:t>
      </w:r>
      <w:r>
        <w:rPr>
          <w:rFonts w:ascii="仿宋_GB2312" w:hAnsi="仿宋" w:eastAsia="仿宋_GB2312"/>
          <w:sz w:val="24"/>
          <w:u w:val="single"/>
        </w:rPr>
        <w:t>月</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10</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lang w:val="en-US" w:eastAsia="zh-CN"/>
        </w:rPr>
        <w:t>获取网址</w:t>
      </w:r>
      <w:r>
        <w:rPr>
          <w:rFonts w:hint="eastAsia" w:ascii="仿宋_GB2312" w:hAnsi="仿宋" w:eastAsia="仿宋_GB2312"/>
          <w:b/>
          <w:sz w:val="24"/>
        </w:rPr>
        <w:t>：</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highlight w:val="cyan"/>
        </w:rPr>
      </w:pPr>
      <w:r>
        <w:rPr>
          <w:rFonts w:hint="eastAsia" w:ascii="仿宋_GB2312" w:hAnsi="仿宋" w:eastAsia="仿宋_GB2312"/>
          <w:b/>
          <w:sz w:val="24"/>
        </w:rPr>
        <w:t>四</w:t>
      </w:r>
      <w:r>
        <w:rPr>
          <w:rFonts w:hint="eastAsia" w:ascii="仿宋_GB2312" w:hAnsi="仿宋" w:eastAsia="仿宋_GB2312"/>
          <w:b/>
          <w:sz w:val="24"/>
          <w:highlight w:val="none"/>
        </w:rPr>
        <w:t>、提交投标文件截止时间、开标时间和地点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11</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10</w:t>
      </w:r>
      <w:r>
        <w:rPr>
          <w:rFonts w:hint="eastAsia" w:ascii="仿宋_GB2312" w:hAnsi="仿宋" w:eastAsia="仿宋_GB2312"/>
          <w:sz w:val="24"/>
          <w:u w:val="single"/>
        </w:rPr>
        <w:t xml:space="preserve"> 日</w:t>
      </w:r>
      <w:r>
        <w:rPr>
          <w:rFonts w:hint="eastAsia" w:ascii="仿宋_GB2312" w:hAnsi="仿宋" w:eastAsia="仿宋_GB2312"/>
          <w:sz w:val="24"/>
          <w:u w:val="single"/>
          <w:lang w:val="en-US" w:eastAsia="zh-CN"/>
        </w:rPr>
        <w:t>9</w:t>
      </w:r>
      <w:r>
        <w:rPr>
          <w:rFonts w:hint="eastAsia" w:ascii="仿宋_GB2312" w:hAnsi="仿宋" w:eastAsia="仿宋_GB2312"/>
          <w:sz w:val="24"/>
          <w:u w:val="single"/>
        </w:rPr>
        <w:t xml:space="preserve">点 </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pPr>
        <w:spacing w:line="360" w:lineRule="auto"/>
        <w:ind w:firstLine="480" w:firstLineChars="200"/>
        <w:rPr>
          <w:rFonts w:ascii="仿宋_GB2312" w:hAnsi="仿宋" w:eastAsia="仿宋_GB2312"/>
          <w:b/>
          <w:sz w:val="24"/>
          <w:highlight w:val="none"/>
        </w:rPr>
      </w:pPr>
      <w:r>
        <w:rPr>
          <w:rFonts w:hint="eastAsia" w:ascii="仿宋_GB2312" w:hAnsi="仿宋" w:eastAsia="仿宋_GB2312"/>
          <w:sz w:val="24"/>
          <w:highlight w:val="none"/>
          <w:lang w:val="en-US" w:eastAsia="zh-CN"/>
        </w:rPr>
        <w:t>投标网址：</w:t>
      </w:r>
      <w:r>
        <w:rPr>
          <w:rFonts w:hint="eastAsia" w:ascii="仿宋_GB2312" w:hAnsi="仿宋" w:eastAsia="仿宋_GB2312"/>
          <w:sz w:val="24"/>
          <w:highlight w:val="none"/>
          <w:lang w:val="en-US"/>
        </w:rPr>
        <w:t>政采云平台</w:t>
      </w:r>
      <w:r>
        <w:rPr>
          <w:rFonts w:hint="eastAsia" w:ascii="仿宋_GB2312" w:hAnsi="仿宋" w:eastAsia="仿宋_GB2312"/>
          <w:sz w:val="24"/>
          <w:highlight w:val="none"/>
        </w:rPr>
        <w:t>（</w:t>
      </w:r>
      <w:r>
        <w:rPr>
          <w:rFonts w:ascii="仿宋_GB2312" w:hAnsi="仿宋" w:eastAsia="仿宋_GB2312"/>
          <w:sz w:val="24"/>
          <w:highlight w:val="none"/>
        </w:rPr>
        <w:t xml:space="preserve">https://www.zcygov.cn/） </w:t>
      </w:r>
    </w:p>
    <w:p>
      <w:pPr>
        <w:spacing w:line="360" w:lineRule="auto"/>
        <w:ind w:firstLine="482" w:firstLineChars="200"/>
        <w:rPr>
          <w:rFonts w:ascii="仿宋_GB2312" w:hAnsi="仿宋" w:eastAsia="仿宋_GB2312"/>
          <w:bCs/>
          <w:sz w:val="24"/>
          <w:highlight w:val="none"/>
          <w:u w:val="single"/>
        </w:rPr>
      </w:pPr>
      <w:r>
        <w:rPr>
          <w:rFonts w:hint="eastAsia" w:ascii="仿宋_GB2312" w:hAnsi="仿宋" w:eastAsia="仿宋_GB2312"/>
          <w:b/>
          <w:sz w:val="24"/>
          <w:highlight w:val="none"/>
        </w:rPr>
        <w:t>开标时间：</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2</w:t>
      </w:r>
      <w:r>
        <w:rPr>
          <w:rFonts w:ascii="仿宋_GB2312" w:hAnsi="仿宋" w:eastAsia="仿宋_GB2312"/>
          <w:sz w:val="24"/>
          <w:highlight w:val="none"/>
          <w:u w:val="single"/>
        </w:rPr>
        <w:t>年</w:t>
      </w:r>
      <w:r>
        <w:rPr>
          <w:rFonts w:hint="eastAsia" w:ascii="仿宋_GB2312" w:hAnsi="仿宋" w:eastAsia="仿宋_GB2312"/>
          <w:sz w:val="24"/>
          <w:highlight w:val="none"/>
          <w:u w:val="single"/>
        </w:rPr>
        <w:t xml:space="preserve"> </w:t>
      </w:r>
      <w:r>
        <w:rPr>
          <w:rFonts w:hint="eastAsia" w:ascii="仿宋_GB2312" w:hAnsi="仿宋" w:eastAsia="仿宋_GB2312"/>
          <w:sz w:val="24"/>
          <w:highlight w:val="none"/>
          <w:u w:val="single"/>
          <w:lang w:val="en-US" w:eastAsia="zh-CN"/>
        </w:rPr>
        <w:t>11</w:t>
      </w:r>
      <w:r>
        <w:rPr>
          <w:rFonts w:hint="eastAsia" w:ascii="仿宋_GB2312" w:hAnsi="仿宋" w:eastAsia="仿宋_GB2312"/>
          <w:sz w:val="24"/>
          <w:highlight w:val="none"/>
          <w:u w:val="single"/>
        </w:rPr>
        <w:t xml:space="preserve">月 </w:t>
      </w:r>
      <w:r>
        <w:rPr>
          <w:rFonts w:hint="eastAsia" w:ascii="仿宋_GB2312" w:hAnsi="仿宋" w:eastAsia="仿宋_GB2312"/>
          <w:sz w:val="24"/>
          <w:highlight w:val="none"/>
          <w:u w:val="single"/>
          <w:lang w:val="en-US" w:eastAsia="zh-CN"/>
        </w:rPr>
        <w:t>10</w:t>
      </w:r>
      <w:r>
        <w:rPr>
          <w:rFonts w:hint="eastAsia" w:ascii="仿宋_GB2312" w:hAnsi="仿宋" w:eastAsia="仿宋_GB2312"/>
          <w:sz w:val="24"/>
          <w:highlight w:val="none"/>
          <w:u w:val="single"/>
        </w:rPr>
        <w:t xml:space="preserve">日 </w:t>
      </w:r>
      <w:r>
        <w:rPr>
          <w:rFonts w:hint="eastAsia" w:ascii="仿宋_GB2312" w:hAnsi="仿宋" w:eastAsia="仿宋_GB2312"/>
          <w:sz w:val="24"/>
          <w:highlight w:val="none"/>
          <w:u w:val="single"/>
          <w:lang w:val="en-US" w:eastAsia="zh-CN"/>
        </w:rPr>
        <w:t>9</w:t>
      </w:r>
      <w:r>
        <w:rPr>
          <w:rFonts w:hint="eastAsia" w:ascii="仿宋_GB2312" w:hAnsi="仿宋" w:eastAsia="仿宋_GB2312"/>
          <w:sz w:val="24"/>
          <w:highlight w:val="none"/>
          <w:u w:val="single"/>
        </w:rPr>
        <w:t xml:space="preserve">点 </w:t>
      </w:r>
      <w:r>
        <w:rPr>
          <w:rFonts w:hint="eastAsia" w:ascii="仿宋_GB2312" w:hAnsi="仿宋" w:eastAsia="仿宋_GB2312"/>
          <w:sz w:val="24"/>
          <w:highlight w:val="none"/>
          <w:u w:val="single"/>
          <w:lang w:val="en-US" w:eastAsia="zh-CN"/>
        </w:rPr>
        <w:t>30</w:t>
      </w:r>
      <w:r>
        <w:rPr>
          <w:rFonts w:hint="eastAsia" w:ascii="仿宋_GB2312" w:hAnsi="仿宋" w:eastAsia="仿宋_GB2312"/>
          <w:sz w:val="24"/>
          <w:highlight w:val="none"/>
          <w:u w:val="single"/>
        </w:rPr>
        <w:t>分</w:t>
      </w:r>
      <w:r>
        <w:rPr>
          <w:rFonts w:hint="eastAsia" w:ascii="仿宋_GB2312" w:hAnsi="仿宋" w:eastAsia="仿宋_GB2312"/>
          <w:bCs/>
          <w:sz w:val="24"/>
          <w:highlight w:val="none"/>
          <w:u w:val="single"/>
        </w:rPr>
        <w:t xml:space="preserve"> </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lang w:val="en-US" w:eastAsia="zh-CN"/>
        </w:rPr>
        <w:t>开标网址：</w:t>
      </w:r>
      <w:r>
        <w:rPr>
          <w:rFonts w:ascii="仿宋_GB2312" w:hAnsi="仿宋" w:eastAsia="仿宋_GB2312"/>
          <w:sz w:val="24"/>
          <w:highlight w:val="none"/>
        </w:rPr>
        <w:t>政</w:t>
      </w:r>
      <w:r>
        <w:rPr>
          <w:rFonts w:hint="eastAsia" w:ascii="仿宋_GB2312" w:hAnsi="仿宋" w:eastAsia="仿宋_GB2312"/>
          <w:sz w:val="24"/>
          <w:highlight w:val="none"/>
        </w:rPr>
        <w:t>采云平台（</w:t>
      </w:r>
      <w:r>
        <w:rPr>
          <w:rFonts w:ascii="仿宋_GB2312" w:hAnsi="仿宋" w:eastAsia="仿宋_GB2312"/>
          <w:sz w:val="24"/>
          <w:highlight w:val="none"/>
        </w:rPr>
        <w:t>https://www.zcygov.cn/）</w:t>
      </w:r>
    </w:p>
    <w:p>
      <w:pPr>
        <w:spacing w:line="360" w:lineRule="auto"/>
        <w:rPr>
          <w:rFonts w:ascii="仿宋_GB2312" w:hAnsi="仿宋" w:eastAsia="仿宋_GB2312"/>
          <w:sz w:val="24"/>
        </w:rPr>
      </w:pPr>
      <w:r>
        <w:rPr>
          <w:rFonts w:hint="eastAsia" w:ascii="仿宋_GB2312" w:hAnsi="仿宋" w:eastAsia="仿宋_GB2312"/>
          <w:b/>
          <w:sz w:val="24"/>
          <w:lang w:val="en-US" w:eastAsia="zh-CN"/>
        </w:rPr>
        <w:t xml:space="preserve">   </w:t>
      </w: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numPr>
          <w:ilvl w:val="0"/>
          <w:numId w:val="2"/>
        </w:numPr>
        <w:spacing w:line="360" w:lineRule="auto"/>
        <w:rPr>
          <w:rFonts w:hint="eastAsia" w:ascii="仿宋_GB2312" w:hAnsi="仿宋" w:eastAsia="仿宋_GB2312"/>
          <w:b/>
          <w:sz w:val="24"/>
        </w:rPr>
      </w:pPr>
      <w:r>
        <w:rPr>
          <w:rFonts w:hint="eastAsia" w:ascii="仿宋_GB2312" w:hAnsi="仿宋" w:eastAsia="仿宋_GB2312"/>
          <w:b/>
          <w:sz w:val="24"/>
        </w:rPr>
        <w:t>其他补充事宜</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lang w:val="en-US" w:eastAsia="zh-CN"/>
        </w:rPr>
        <w:t>杭州市临平区人民政府星桥街道办事处</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lang w:val="en-US" w:eastAsia="zh-CN"/>
        </w:rPr>
        <w:t xml:space="preserve">杭州市临平区远展街6号    </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rPr>
          <w:rFonts w:ascii="仿宋_GB2312" w:hAnsi="仿宋" w:eastAsia="仿宋"/>
          <w:sz w:val="24"/>
        </w:rPr>
      </w:pPr>
      <w:r>
        <w:rPr>
          <w:rFonts w:hint="eastAsia" w:ascii="仿宋_GB2312" w:hAnsi="仿宋" w:eastAsia="仿宋_GB2312"/>
          <w:sz w:val="24"/>
        </w:rPr>
        <w:t>项目联系人（询问）：</w:t>
      </w:r>
      <w:r>
        <w:rPr>
          <w:rFonts w:ascii="仿宋_GB2312" w:hAnsi="仿宋" w:eastAsia="仿宋_GB2312"/>
          <w:sz w:val="24"/>
        </w:rPr>
        <w:t xml:space="preserve"> </w:t>
      </w:r>
      <w:r>
        <w:rPr>
          <w:rFonts w:hint="eastAsia" w:ascii="仿宋_GB2312" w:hAnsi="仿宋" w:eastAsia="仿宋_GB2312"/>
          <w:sz w:val="24"/>
          <w:lang w:val="en-US" w:eastAsia="zh-CN"/>
        </w:rPr>
        <w:t>姚煜俊</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lang w:val="en-US" w:eastAsia="zh-CN"/>
        </w:rPr>
        <w:t>0571-86263011</w:t>
      </w:r>
      <w:r>
        <w:rPr>
          <w:rFonts w:hint="eastAsia"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质疑联系人：</w:t>
      </w:r>
      <w:r>
        <w:rPr>
          <w:rFonts w:hint="eastAsia" w:ascii="仿宋" w:hAnsi="仿宋" w:eastAsia="仿宋"/>
          <w:sz w:val="24"/>
        </w:rPr>
        <w:t xml:space="preserve"> </w:t>
      </w:r>
      <w:r>
        <w:rPr>
          <w:rFonts w:hint="eastAsia" w:ascii="仿宋" w:hAnsi="仿宋" w:eastAsia="仿宋"/>
          <w:sz w:val="24"/>
          <w:lang w:val="en-US" w:eastAsia="zh-CN"/>
        </w:rPr>
        <w:t>周云</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  质疑联系方式：</w:t>
      </w:r>
      <w:r>
        <w:rPr>
          <w:rFonts w:hint="eastAsia" w:ascii="仿宋_GB2312" w:hAnsi="仿宋" w:eastAsia="仿宋_GB2312"/>
          <w:sz w:val="24"/>
        </w:rPr>
        <w:t xml:space="preserve"> </w:t>
      </w:r>
      <w:r>
        <w:rPr>
          <w:rFonts w:hint="eastAsia" w:ascii="仿宋_GB2312" w:hAnsi="仿宋" w:eastAsia="仿宋_GB2312"/>
          <w:sz w:val="24"/>
          <w:lang w:val="en-US" w:eastAsia="zh-CN"/>
        </w:rPr>
        <w:t>0571-86266245</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lang w:val="en-US" w:eastAsia="zh-CN"/>
        </w:rPr>
        <w:t xml:space="preserve">   </w:t>
      </w:r>
      <w:r>
        <w:rPr>
          <w:rFonts w:hint="eastAsia" w:ascii="仿宋_GB2312" w:hAnsi="仿宋" w:eastAsia="仿宋_GB2312"/>
          <w:sz w:val="24"/>
        </w:rPr>
        <w:t>名</w:t>
      </w:r>
      <w:r>
        <w:rPr>
          <w:rFonts w:hint="eastAsia" w:ascii="仿宋_GB2312" w:hAnsi="仿宋" w:eastAsia="仿宋_GB2312"/>
          <w:sz w:val="24"/>
          <w:lang w:val="en-US" w:eastAsia="zh-CN"/>
        </w:rPr>
        <w:t xml:space="preserve">     </w:t>
      </w:r>
      <w:r>
        <w:rPr>
          <w:rFonts w:hint="eastAsia" w:ascii="仿宋_GB2312" w:hAnsi="仿宋" w:eastAsia="仿宋_GB2312"/>
          <w:sz w:val="24"/>
        </w:rPr>
        <w:t>称： 天阳建设管理有限公司</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 xml:space="preserve">   地    址： 杭州市临平区南苑街道玩月街88号1幢10楼</w:t>
      </w:r>
    </w:p>
    <w:p>
      <w:pPr>
        <w:spacing w:line="360" w:lineRule="auto"/>
        <w:ind w:firstLine="480" w:firstLineChars="200"/>
        <w:rPr>
          <w:rFonts w:hint="eastAsia" w:ascii="仿宋_GB2312" w:hAnsi="仿宋" w:eastAsia="仿宋_GB2312"/>
          <w:sz w:val="24"/>
          <w:lang w:eastAsia="zh-CN"/>
        </w:rPr>
      </w:pPr>
      <w:r>
        <w:rPr>
          <w:rFonts w:hint="eastAsia" w:ascii="仿宋_GB2312" w:hAnsi="仿宋" w:eastAsia="仿宋_GB2312"/>
          <w:sz w:val="24"/>
        </w:rPr>
        <w:t xml:space="preserve">   </w:t>
      </w:r>
      <w:r>
        <w:rPr>
          <w:rFonts w:hint="eastAsia" w:ascii="仿宋_GB2312" w:hAnsi="仿宋" w:eastAsia="仿宋_GB2312"/>
          <w:sz w:val="24"/>
          <w:lang w:val="en-US" w:eastAsia="zh-CN"/>
        </w:rPr>
        <w:t xml:space="preserve"> </w:t>
      </w:r>
      <w:r>
        <w:rPr>
          <w:rFonts w:hint="eastAsia" w:ascii="仿宋_GB2312" w:hAnsi="仿宋" w:eastAsia="仿宋_GB2312"/>
          <w:sz w:val="24"/>
        </w:rPr>
        <w:t>项目联系人（询问）：</w:t>
      </w:r>
      <w:r>
        <w:rPr>
          <w:rFonts w:hint="eastAsia" w:ascii="仿宋_GB2312" w:hAnsi="仿宋" w:eastAsia="仿宋_GB2312"/>
          <w:sz w:val="24"/>
          <w:lang w:eastAsia="zh-CN"/>
        </w:rPr>
        <w:t>姚正华</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    目联系方式（询问）：0571-86235827</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 xml:space="preserve">   质疑联系人： </w:t>
      </w:r>
      <w:r>
        <w:rPr>
          <w:rFonts w:hint="eastAsia" w:ascii="仿宋_GB2312" w:hAnsi="仿宋" w:eastAsia="仿宋_GB2312"/>
          <w:sz w:val="24"/>
          <w:lang w:eastAsia="zh-CN"/>
        </w:rPr>
        <w:t>丁敏</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 xml:space="preserve">   质疑联系方式：</w:t>
      </w:r>
      <w:r>
        <w:rPr>
          <w:rFonts w:hint="eastAsia" w:ascii="仿宋_GB2312" w:hAnsi="仿宋" w:eastAsia="仿宋_GB2312"/>
          <w:sz w:val="24"/>
          <w:lang w:val="en-US" w:eastAsia="zh-CN"/>
        </w:rPr>
        <w:t>15068790754</w:t>
      </w:r>
      <w:r>
        <w:rPr>
          <w:rFonts w:hint="eastAsia" w:ascii="仿宋_GB2312" w:hAnsi="仿宋" w:eastAsia="仿宋_GB2312"/>
          <w:sz w:val="24"/>
        </w:rPr>
        <w:br w:type="textWrapping"/>
      </w:r>
      <w:r>
        <w:rPr>
          <w:rFonts w:hint="eastAsia" w:ascii="仿宋_GB2312" w:hAnsi="仿宋" w:eastAsia="仿宋_GB2312"/>
          <w:sz w:val="24"/>
        </w:rPr>
        <w:t xml:space="preserve">    </w:t>
      </w:r>
      <w:r>
        <w:rPr>
          <w:rFonts w:hint="eastAsia" w:ascii="仿宋_GB2312" w:hAnsi="仿宋" w:eastAsia="仿宋_GB2312"/>
          <w:sz w:val="24"/>
          <w:lang w:val="en-US" w:eastAsia="zh-CN"/>
        </w:rPr>
        <w:t xml:space="preserve">   </w:t>
      </w:r>
      <w:r>
        <w:rPr>
          <w:rFonts w:hint="eastAsia" w:ascii="仿宋_GB2312" w:hAnsi="仿宋" w:eastAsia="仿宋_GB2312"/>
          <w:sz w:val="24"/>
        </w:rPr>
        <w:t xml:space="preserve">3.同级政府采购监督管理部门            </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 xml:space="preserve">   名    称： 杭州市临平区财政局 </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 xml:space="preserve">   联系人：俞征 </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    监督投诉电话：0571-89185312 </w:t>
      </w:r>
    </w:p>
    <w:p>
      <w:pPr>
        <w:pStyle w:val="25"/>
        <w:rPr>
          <w:rFonts w:hint="eastAsia"/>
        </w:rPr>
      </w:pPr>
      <w:r>
        <w:rPr>
          <w:rFonts w:hint="eastAsia" w:ascii="仿宋" w:hAnsi="仿宋" w:eastAsia="仿宋" w:cs="仿宋"/>
          <w:sz w:val="24"/>
        </w:rPr>
        <w:t xml:space="preserve"> 地址：杭州市临平区临平东湖中路236号临平财税大楼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4"/>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7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left"/>
              <w:rPr>
                <w:rFonts w:hint="eastAsia" w:ascii="仿宋_GB2312" w:hAnsi="仿宋" w:eastAsia="仿宋_GB2312" w:cs="仿宋_GB2312"/>
                <w:b/>
                <w:kern w:val="0"/>
                <w:sz w:val="24"/>
                <w:szCs w:val="20"/>
                <w:lang w:val="zh-CN"/>
              </w:rPr>
            </w:pPr>
            <w:r>
              <w:rPr>
                <w:rFonts w:hint="eastAsia" w:ascii="仿宋_GB2312" w:hAnsi="仿宋" w:eastAsia="仿宋_GB2312" w:cs="Times New Roman"/>
                <w:kern w:val="0"/>
                <w:sz w:val="24"/>
                <w:szCs w:val="20"/>
                <w:lang w:val="zh-CN"/>
              </w:rPr>
              <w:t>有关本项目实施所需的所有费用（含税费）均计入报价。</w:t>
            </w:r>
            <w:r>
              <w:rPr>
                <w:rFonts w:hint="eastAsia" w:ascii="仿宋_GB2312" w:hAnsi="仿宋" w:eastAsia="仿宋_GB2312" w:cs="仿宋_GB2312"/>
                <w:sz w:val="24"/>
                <w:szCs w:val="20"/>
              </w:rPr>
              <w:t>开标一览表（报价表）</w:t>
            </w:r>
            <w:r>
              <w:rPr>
                <w:rFonts w:hint="eastAsia" w:ascii="仿宋_GB2312" w:hAnsi="仿宋" w:eastAsia="仿宋_GB2312" w:cs="Times New Roman"/>
                <w:sz w:val="24"/>
                <w:szCs w:val="20"/>
              </w:rPr>
              <w:t>是报价的唯一载体</w:t>
            </w:r>
            <w:r>
              <w:rPr>
                <w:rFonts w:hint="eastAsia" w:ascii="仿宋_GB2312" w:hAnsi="仿宋" w:eastAsia="仿宋_GB2312" w:cs="仿宋_GB2312"/>
                <w:kern w:val="0"/>
                <w:sz w:val="24"/>
                <w:szCs w:val="20"/>
                <w:lang w:val="zh-CN"/>
              </w:rPr>
              <w:t>。投标文件中价格全部采用人民币报价。招标文件未列明，而投标人认为必需的费用也需列入报价。</w:t>
            </w:r>
            <w:r>
              <w:rPr>
                <w:rFonts w:hint="eastAsia" w:ascii="仿宋_GB2312" w:hAnsi="仿宋" w:eastAsia="仿宋_GB2312" w:cs="仿宋_GB2312"/>
                <w:b/>
                <w:kern w:val="0"/>
                <w:sz w:val="24"/>
                <w:szCs w:val="20"/>
                <w:lang w:val="zh-CN"/>
              </w:rPr>
              <w:t>提醒：验收时检测费用由采购人承担，不包含在投标总价中。</w:t>
            </w:r>
          </w:p>
          <w:p>
            <w:pPr>
              <w:snapToGrid w:val="0"/>
              <w:spacing w:before="0" w:beforeAutospacing="0" w:after="0" w:afterAutospacing="0" w:line="360" w:lineRule="auto"/>
              <w:ind w:left="0" w:right="0"/>
              <w:jc w:val="left"/>
              <w:rPr>
                <w:rFonts w:hint="eastAsia" w:ascii="仿宋_GB2312" w:hAnsi="仿宋" w:eastAsia="仿宋_GB2312" w:cs="仿宋_GB2312"/>
                <w:b/>
                <w:kern w:val="0"/>
                <w:sz w:val="24"/>
                <w:szCs w:val="20"/>
                <w:lang w:val="zh-CN"/>
              </w:rPr>
            </w:pPr>
            <w:r>
              <w:rPr>
                <w:rFonts w:hint="eastAsia" w:ascii="仿宋_GB2312" w:hAnsi="仿宋" w:eastAsia="仿宋_GB2312" w:cs="仿宋_GB2312"/>
                <w:b/>
                <w:kern w:val="0"/>
                <w:sz w:val="24"/>
                <w:szCs w:val="20"/>
                <w:lang w:val="zh-CN"/>
              </w:rPr>
              <w:t>投标报价出现下列情形的，投标无效：</w:t>
            </w:r>
          </w:p>
          <w:p>
            <w:pPr>
              <w:snapToGrid w:val="0"/>
              <w:spacing w:before="0" w:beforeAutospacing="0" w:after="0" w:afterAutospacing="0" w:line="360" w:lineRule="auto"/>
              <w:ind w:left="0" w:right="0" w:firstLine="241" w:firstLineChars="100"/>
              <w:jc w:val="left"/>
              <w:rPr>
                <w:rFonts w:hint="eastAsia" w:ascii="仿宋_GB2312" w:hAnsi="仿宋" w:eastAsia="仿宋_GB2312" w:cs="仿宋_GB2312"/>
                <w:b/>
                <w:kern w:val="0"/>
                <w:sz w:val="24"/>
                <w:szCs w:val="20"/>
                <w:lang w:val="zh-CN"/>
              </w:rPr>
            </w:pPr>
            <w:r>
              <w:rPr>
                <w:rFonts w:hint="eastAsia" w:ascii="仿宋_GB2312" w:hAnsi="仿宋" w:eastAsia="仿宋_GB2312" w:cs="仿宋_GB2312"/>
                <w:b/>
                <w:kern w:val="0"/>
                <w:sz w:val="24"/>
                <w:szCs w:val="20"/>
                <w:lang w:val="zh-CN"/>
              </w:rPr>
              <w:t>投标文件出现不是唯一的、有选择性投标报价的；</w:t>
            </w:r>
          </w:p>
          <w:p>
            <w:pPr>
              <w:snapToGrid w:val="0"/>
              <w:spacing w:before="0" w:beforeAutospacing="0" w:after="0" w:afterAutospacing="0" w:line="360" w:lineRule="auto"/>
              <w:ind w:left="0" w:right="0" w:firstLine="241" w:firstLineChars="100"/>
              <w:jc w:val="left"/>
              <w:rPr>
                <w:rFonts w:hint="eastAsia" w:ascii="仿宋_GB2312" w:hAnsi="仿宋" w:eastAsia="仿宋_GB2312" w:cs="Times New Roman"/>
                <w:kern w:val="0"/>
                <w:sz w:val="24"/>
                <w:szCs w:val="20"/>
                <w:lang w:val="zh-CN"/>
              </w:rPr>
            </w:pPr>
            <w:r>
              <w:rPr>
                <w:rFonts w:hint="eastAsia" w:ascii="仿宋_GB2312" w:hAnsi="仿宋" w:eastAsia="仿宋_GB2312" w:cs="仿宋_GB2312"/>
                <w:b/>
                <w:kern w:val="0"/>
                <w:sz w:val="24"/>
                <w:szCs w:val="20"/>
                <w:lang w:val="zh-CN"/>
              </w:rPr>
              <w:t>投标报价超过招标文件中规定的预算金额或者最高限价的</w:t>
            </w:r>
            <w:r>
              <w:rPr>
                <w:rFonts w:hint="eastAsia" w:ascii="仿宋_GB2312" w:hAnsi="仿宋" w:eastAsia="仿宋_GB2312" w:cs="Times New Roman"/>
                <w:b/>
                <w:kern w:val="0"/>
                <w:sz w:val="24"/>
                <w:szCs w:val="20"/>
                <w:lang w:val="zh-CN"/>
              </w:rPr>
              <w:t>;</w:t>
            </w:r>
          </w:p>
          <w:p>
            <w:pPr>
              <w:spacing w:before="0" w:beforeAutospacing="0" w:after="0" w:afterAutospacing="0" w:line="360" w:lineRule="auto"/>
              <w:ind w:left="0" w:right="0" w:firstLine="241" w:firstLineChars="100"/>
              <w:rPr>
                <w:rFonts w:hint="eastAsia" w:ascii="仿宋_GB2312" w:hAnsi="仿宋" w:eastAsia="仿宋_GB2312" w:cs="仿宋_GB2312"/>
                <w:b/>
                <w:sz w:val="24"/>
                <w:szCs w:val="20"/>
              </w:rPr>
            </w:pPr>
            <w:r>
              <w:rPr>
                <w:rFonts w:hint="eastAsia" w:ascii="仿宋_GB2312" w:hAnsi="仿宋" w:eastAsia="仿宋_GB2312" w:cs="Arial"/>
                <w:b/>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 w:eastAsia="仿宋_GB2312" w:cs="仿宋_GB2312"/>
                <w:b/>
                <w:sz w:val="24"/>
                <w:szCs w:val="21"/>
              </w:rPr>
              <w:t>;</w:t>
            </w:r>
          </w:p>
          <w:p>
            <w:pPr>
              <w:spacing w:before="0" w:beforeAutospacing="0" w:after="0" w:afterAutospacing="0" w:line="360" w:lineRule="auto"/>
              <w:ind w:left="0" w:right="0" w:firstLine="241" w:firstLineChars="100"/>
              <w:rPr>
                <w:rFonts w:hint="eastAsia" w:ascii="仿宋_GB2312" w:hAnsi="仿宋" w:eastAsia="仿宋_GB2312" w:cs="Times New Roman"/>
                <w:sz w:val="24"/>
                <w:szCs w:val="20"/>
              </w:rPr>
            </w:pPr>
            <w:r>
              <w:rPr>
                <w:rFonts w:hint="eastAsia" w:ascii="仿宋_GB2312" w:hAnsi="仿宋" w:eastAsia="仿宋_GB2312" w:cs="Arial"/>
                <w:b/>
                <w:kern w:val="0"/>
                <w:sz w:val="24"/>
                <w:szCs w:val="20"/>
              </w:rPr>
              <w:t>投标人对根据修正原则修正后的报价不确认的</w:t>
            </w:r>
            <w:r>
              <w:rPr>
                <w:rFonts w:hint="eastAsia" w:ascii="仿宋_GB2312" w:hAnsi="仿宋" w:eastAsia="仿宋_GB2312" w:cs="Times New Roman"/>
                <w:b/>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highlight w:val="none"/>
              </w:rPr>
            </w:pPr>
            <w:r>
              <w:rPr>
                <w:rFonts w:hint="eastAsia" w:ascii="仿宋_GB2312" w:hAnsi="仿宋" w:eastAsia="仿宋_GB2312" w:cs="仿宋_GB2312"/>
                <w:sz w:val="24"/>
                <w:szCs w:val="20"/>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firstLine="482" w:firstLineChars="200"/>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MS Gothic" w:hAnsi="MS Gothic" w:eastAsia="MS Gothic" w:cs="Arial"/>
                <w:kern w:val="0"/>
                <w:sz w:val="24"/>
                <w:szCs w:val="20"/>
                <w:highlight w:val="none"/>
              </w:rPr>
              <w:t>☐</w:t>
            </w:r>
            <w:r>
              <w:rPr>
                <w:rFonts w:hint="eastAsia" w:ascii="仿宋_GB2312" w:hAnsi="仿宋" w:eastAsia="仿宋_GB2312" w:cs="Arial"/>
                <w:kern w:val="0"/>
                <w:sz w:val="24"/>
                <w:szCs w:val="20"/>
                <w:highlight w:val="none"/>
              </w:rPr>
              <w:t>A</w:t>
            </w:r>
            <w:r>
              <w:rPr>
                <w:rFonts w:hint="eastAsia" w:ascii="仿宋_GB2312" w:hAnsi="仿宋" w:eastAsia="仿宋_GB2312" w:cs="Times New Roman"/>
                <w:sz w:val="24"/>
                <w:szCs w:val="20"/>
                <w:highlight w:val="none"/>
              </w:rPr>
              <w:t>同意将非主体、非关键性的</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sz w:val="24"/>
                <w:szCs w:val="20"/>
                <w:highlight w:val="none"/>
                <w:u w:val="single"/>
                <w:lang w:val="en-US" w:eastAsia="zh-CN"/>
              </w:rPr>
              <w:t xml:space="preserve"> /  </w:t>
            </w:r>
            <w:r>
              <w:rPr>
                <w:rFonts w:hint="eastAsia" w:ascii="仿宋_GB2312" w:hAnsi="仿宋" w:eastAsia="仿宋_GB2312" w:cs="Times New Roman"/>
                <w:sz w:val="24"/>
                <w:szCs w:val="20"/>
                <w:highlight w:val="none"/>
              </w:rPr>
              <w:t>工作分包。</w:t>
            </w:r>
          </w:p>
          <w:p>
            <w:pPr>
              <w:spacing w:before="0" w:beforeAutospacing="0" w:after="0" w:afterAutospacing="0" w:line="360" w:lineRule="auto"/>
              <w:ind w:left="0" w:right="0"/>
              <w:rPr>
                <w:rFonts w:hint="eastAsia" w:ascii="仿宋_GB2312" w:hAnsi="仿宋" w:eastAsia="仿宋_GB2312" w:cs="仿宋_GB2312"/>
                <w:sz w:val="24"/>
                <w:szCs w:val="20"/>
                <w:highlight w:val="none"/>
              </w:rPr>
            </w:pPr>
            <w:r>
              <w:rPr>
                <w:rFonts w:hint="eastAsia" w:ascii="MS Gothic" w:hAnsi="MS Gothic" w:eastAsia="MS Gothic" w:cs="Arial"/>
                <w:kern w:val="0"/>
                <w:sz w:val="24"/>
                <w:szCs w:val="20"/>
                <w:highlight w:val="none"/>
              </w:rPr>
              <w:t>☐</w:t>
            </w:r>
            <w:r>
              <w:rPr>
                <w:rFonts w:hint="eastAsia" w:ascii="仿宋_GB2312" w:hAnsi="仿宋" w:eastAsia="仿宋_GB2312" w:cs="Arial"/>
                <w:kern w:val="0"/>
                <w:sz w:val="24"/>
                <w:szCs w:val="20"/>
                <w:highlight w:val="none"/>
              </w:rPr>
              <w:t xml:space="preserve"> B</w:t>
            </w:r>
            <w:r>
              <w:rPr>
                <w:rFonts w:hint="eastAsia" w:ascii="仿宋_GB2312" w:hAnsi="仿宋" w:eastAsia="仿宋_GB2312" w:cs="Times New Roman"/>
                <w:sz w:val="24"/>
                <w:szCs w:val="20"/>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（1）资格证明文件：见招标文件第二部分11.1。</w:t>
            </w:r>
          </w:p>
          <w:p>
            <w:pPr>
              <w:spacing w:before="0" w:beforeAutospacing="0" w:after="0" w:afterAutospacing="0" w:line="360" w:lineRule="auto"/>
              <w:ind w:left="0" w:right="0"/>
              <w:rPr>
                <w:rFonts w:hint="eastAsia" w:ascii="Arial" w:hAnsi="Arial" w:eastAsia="黑体" w:cs="Arial"/>
                <w:snapToGrid w:val="0"/>
                <w:kern w:val="0"/>
                <w:sz w:val="20"/>
                <w:szCs w:val="21"/>
              </w:rPr>
            </w:pPr>
            <w:r>
              <w:rPr>
                <w:rFonts w:hint="eastAsia" w:ascii="仿宋_GB2312" w:hAnsi="仿宋" w:eastAsia="仿宋_GB2312" w:cs="Times New Roman"/>
                <w:kern w:val="0"/>
                <w:sz w:val="24"/>
                <w:szCs w:val="2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Arial"/>
                <w:kern w:val="0"/>
                <w:sz w:val="24"/>
                <w:szCs w:val="20"/>
              </w:rPr>
              <w:sym w:font="Wingdings" w:char="F0FE"/>
            </w:r>
            <w:r>
              <w:rPr>
                <w:rFonts w:hint="eastAsia" w:ascii="仿宋_GB2312" w:hAnsi="仿宋" w:eastAsia="仿宋_GB2312" w:cs="Arial"/>
                <w:kern w:val="0"/>
                <w:sz w:val="24"/>
                <w:szCs w:val="20"/>
              </w:rPr>
              <w:t>A</w:t>
            </w:r>
            <w:r>
              <w:rPr>
                <w:rFonts w:hint="eastAsia" w:ascii="仿宋_GB2312" w:hAnsi="仿宋" w:eastAsia="仿宋_GB2312" w:cs="Times New Roman"/>
                <w:sz w:val="24"/>
                <w:szCs w:val="20"/>
              </w:rPr>
              <w:t>不组织。</w:t>
            </w:r>
          </w:p>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MS Gothic" w:hAnsi="MS Gothic" w:eastAsia="MS Gothic" w:cs="Arial"/>
                <w:kern w:val="0"/>
                <w:sz w:val="24"/>
                <w:szCs w:val="20"/>
              </w:rPr>
              <w:t>☐</w:t>
            </w:r>
            <w:r>
              <w:rPr>
                <w:rFonts w:hint="eastAsia" w:ascii="仿宋_GB2312" w:hAnsi="仿宋" w:eastAsia="仿宋_GB2312" w:cs="Times New Roman"/>
                <w:kern w:val="0"/>
                <w:sz w:val="24"/>
                <w:szCs w:val="20"/>
              </w:rPr>
              <w:t>B组织，</w:t>
            </w:r>
            <w:r>
              <w:rPr>
                <w:rFonts w:hint="eastAsia" w:ascii="仿宋_GB2312" w:hAnsi="仿宋" w:eastAsia="仿宋_GB2312" w:cs="Times New Roman"/>
                <w:sz w:val="24"/>
                <w:szCs w:val="20"/>
              </w:rPr>
              <w:t>时间：</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,地点：</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，联系人：</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，联系方式：</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仿宋_GB2312" w:hAnsi="仿宋" w:eastAsia="仿宋_GB2312" w:cs="Arial"/>
                <w:kern w:val="0"/>
                <w:sz w:val="24"/>
                <w:szCs w:val="20"/>
                <w:highlight w:val="none"/>
              </w:rPr>
              <w:sym w:font="Wingdings" w:char="F0FE"/>
            </w:r>
            <w:r>
              <w:rPr>
                <w:rFonts w:hint="eastAsia" w:ascii="仿宋_GB2312" w:hAnsi="仿宋" w:eastAsia="仿宋_GB2312" w:cs="Arial"/>
                <w:kern w:val="0"/>
                <w:sz w:val="24"/>
                <w:szCs w:val="20"/>
                <w:highlight w:val="none"/>
              </w:rPr>
              <w:t>A</w:t>
            </w:r>
            <w:r>
              <w:rPr>
                <w:rFonts w:hint="eastAsia" w:ascii="仿宋_GB2312" w:hAnsi="仿宋" w:eastAsia="仿宋_GB2312" w:cs="Times New Roman"/>
                <w:sz w:val="24"/>
                <w:szCs w:val="20"/>
                <w:highlight w:val="none"/>
              </w:rPr>
              <w:t>不要求提供。</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MS Gothic" w:hAnsi="MS Gothic" w:eastAsia="MS Gothic" w:cs="Arial"/>
                <w:kern w:val="0"/>
                <w:sz w:val="24"/>
                <w:szCs w:val="20"/>
                <w:highlight w:val="none"/>
              </w:rPr>
              <w:t>☐</w:t>
            </w:r>
            <w:r>
              <w:rPr>
                <w:rFonts w:hint="eastAsia" w:ascii="仿宋_GB2312" w:hAnsi="仿宋" w:eastAsia="仿宋_GB2312" w:cs="Times New Roman"/>
                <w:kern w:val="0"/>
                <w:sz w:val="24"/>
                <w:szCs w:val="20"/>
                <w:highlight w:val="none"/>
              </w:rPr>
              <w:t>B要求提供，</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（1）</w:t>
            </w:r>
            <w:r>
              <w:rPr>
                <w:rFonts w:hint="eastAsia" w:ascii="仿宋" w:hAnsi="仿宋" w:eastAsia="仿宋" w:cs="Times New Roman"/>
                <w:snapToGrid w:val="0"/>
                <w:kern w:val="28"/>
                <w:sz w:val="24"/>
                <w:szCs w:val="20"/>
                <w:highlight w:val="none"/>
              </w:rPr>
              <w:t>样品：</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（2）</w:t>
            </w:r>
            <w:r>
              <w:rPr>
                <w:rFonts w:hint="eastAsia" w:ascii="仿宋" w:hAnsi="仿宋" w:eastAsia="仿宋" w:cs="Times New Roman"/>
                <w:snapToGrid w:val="0"/>
                <w:kern w:val="28"/>
                <w:sz w:val="24"/>
                <w:szCs w:val="20"/>
                <w:highlight w:val="none"/>
              </w:rPr>
              <w:t>样品制作的标准和要求：</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（3）样品的评审方法以及评审标准</w:t>
            </w:r>
            <w:r>
              <w:rPr>
                <w:rFonts w:hint="eastAsia" w:ascii="仿宋" w:hAnsi="仿宋" w:eastAsia="仿宋" w:cs="Times New Roman"/>
                <w:snapToGrid w:val="0"/>
                <w:kern w:val="28"/>
                <w:sz w:val="24"/>
                <w:szCs w:val="20"/>
                <w:highlight w:val="none"/>
              </w:rPr>
              <w:t>：详见</w:t>
            </w:r>
            <w:r>
              <w:rPr>
                <w:rFonts w:hint="eastAsia" w:ascii="仿宋_GB2312" w:hAnsi="仿宋" w:eastAsia="仿宋_GB2312" w:cs="Times New Roman"/>
                <w:sz w:val="24"/>
                <w:szCs w:val="20"/>
                <w:highlight w:val="none"/>
                <w:u w:val="single"/>
              </w:rPr>
              <w:t>评标办法</w:t>
            </w:r>
            <w:r>
              <w:rPr>
                <w:rFonts w:hint="eastAsia" w:ascii="仿宋_GB2312" w:hAnsi="仿宋" w:eastAsia="仿宋_GB2312" w:cs="Times New Roman"/>
                <w:kern w:val="0"/>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（4）是否需要随样品提交检测报告：</w:t>
            </w:r>
            <w:r>
              <w:rPr>
                <w:rFonts w:hint="eastAsia" w:ascii="MS Gothic" w:hAnsi="MS Gothic" w:eastAsia="仿宋_GB2312" w:cs="Arial"/>
                <w:kern w:val="0"/>
                <w:sz w:val="24"/>
                <w:szCs w:val="20"/>
                <w:highlight w:val="none"/>
              </w:rPr>
              <w:sym w:font="Wingdings" w:char="F0FE"/>
            </w:r>
            <w:r>
              <w:rPr>
                <w:rFonts w:hint="eastAsia" w:ascii="仿宋_GB2312" w:hAnsi="仿宋" w:eastAsia="仿宋_GB2312" w:cs="Times New Roman"/>
                <w:kern w:val="0"/>
                <w:sz w:val="24"/>
                <w:szCs w:val="20"/>
                <w:highlight w:val="none"/>
              </w:rPr>
              <w:t>否；</w:t>
            </w:r>
            <w:r>
              <w:rPr>
                <w:rFonts w:hint="eastAsia" w:ascii="MS Gothic" w:hAnsi="MS Gothic" w:eastAsia="仿宋_GB2312" w:cs="Arial"/>
                <w:kern w:val="0"/>
                <w:sz w:val="24"/>
                <w:szCs w:val="20"/>
                <w:highlight w:val="none"/>
              </w:rPr>
              <w:t>☐</w:t>
            </w:r>
            <w:r>
              <w:rPr>
                <w:rFonts w:hint="eastAsia" w:ascii="仿宋_GB2312" w:hAnsi="仿宋" w:eastAsia="仿宋_GB2312" w:cs="Times New Roman"/>
                <w:kern w:val="0"/>
                <w:sz w:val="24"/>
                <w:szCs w:val="20"/>
                <w:highlight w:val="none"/>
              </w:rPr>
              <w:t>是，检测机构的要求</w:t>
            </w:r>
            <w:r>
              <w:rPr>
                <w:rFonts w:hint="eastAsia" w:ascii="仿宋_GB2312" w:hAnsi="仿宋" w:eastAsia="仿宋_GB2312" w:cs="Times New Roman"/>
                <w:sz w:val="24"/>
                <w:szCs w:val="20"/>
                <w:highlight w:val="none"/>
              </w:rPr>
              <w:t>：</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；检测内容</w:t>
            </w:r>
            <w:r>
              <w:rPr>
                <w:rFonts w:hint="eastAsia" w:ascii="仿宋_GB2312" w:hAnsi="仿宋" w:eastAsia="仿宋_GB2312" w:cs="Times New Roman"/>
                <w:sz w:val="24"/>
                <w:szCs w:val="20"/>
                <w:highlight w:val="none"/>
              </w:rPr>
              <w:t>：</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仿宋_GB2312" w:hAnsi="仿宋" w:eastAsia="仿宋_GB2312" w:cs="Times New Roman"/>
                <w:sz w:val="24"/>
                <w:szCs w:val="20"/>
                <w:highlight w:val="none"/>
              </w:rPr>
              <w:t>（5）提供样品的时间：</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；地点：</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；联系人</w:t>
            </w:r>
            <w:r>
              <w:rPr>
                <w:rFonts w:hint="eastAsia" w:ascii="仿宋_GB2312" w:hAnsi="仿宋" w:eastAsia="仿宋_GB2312" w:cs="Times New Roman"/>
                <w:sz w:val="24"/>
                <w:szCs w:val="20"/>
                <w:highlight w:val="none"/>
              </w:rPr>
              <w:t>：</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sz w:val="24"/>
                <w:szCs w:val="20"/>
                <w:highlight w:val="none"/>
              </w:rPr>
              <w:t>，</w:t>
            </w:r>
            <w:r>
              <w:rPr>
                <w:rFonts w:hint="eastAsia" w:ascii="仿宋_GB2312" w:hAnsi="仿宋" w:eastAsia="仿宋_GB2312" w:cs="Times New Roman"/>
                <w:kern w:val="28"/>
                <w:sz w:val="24"/>
                <w:szCs w:val="20"/>
                <w:highlight w:val="none"/>
              </w:rPr>
              <w:t>联系电话：</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sz w:val="24"/>
                <w:szCs w:val="20"/>
                <w:highlight w:val="none"/>
              </w:rPr>
              <w:t>。请投标人在上述时间内提供样品并按规定位置安装完毕。超过截止时间的，采购人或采购代理机构将不予接收，并将清场并封闭样品现场。</w:t>
            </w:r>
          </w:p>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仿宋_GB2312" w:hAnsi="仿宋" w:eastAsia="仿宋_GB2312" w:cs="Times New Roman"/>
                <w:sz w:val="24"/>
                <w:szCs w:val="20"/>
                <w:highlight w:val="none"/>
              </w:rPr>
              <w:t>（</w:t>
            </w:r>
            <w:r>
              <w:rPr>
                <w:rFonts w:hint="eastAsia" w:ascii="仿宋_GB2312" w:hAnsi="仿宋" w:eastAsia="仿宋_GB2312" w:cs="Times New Roman"/>
                <w:sz w:val="24"/>
                <w:szCs w:val="20"/>
                <w:highlight w:val="none"/>
                <w:lang w:val="en-US" w:eastAsia="zh-CN"/>
              </w:rPr>
              <w:t>6</w:t>
            </w:r>
            <w:r>
              <w:rPr>
                <w:rFonts w:hint="eastAsia" w:ascii="仿宋_GB2312" w:hAnsi="仿宋" w:eastAsia="仿宋_GB2312" w:cs="Times New Roman"/>
                <w:sz w:val="24"/>
                <w:szCs w:val="20"/>
                <w:highlight w:val="none"/>
              </w:rPr>
              <w:t>）采购活动结束后，</w:t>
            </w:r>
            <w:r>
              <w:rPr>
                <w:rFonts w:hint="eastAsia" w:ascii="仿宋" w:hAnsi="仿宋" w:eastAsia="仿宋" w:cs="仿宋"/>
                <w:color w:val="auto"/>
                <w:sz w:val="24"/>
                <w:szCs w:val="20"/>
                <w:highlight w:val="none"/>
              </w:rPr>
              <w:t>未中标投标人的“样品”由投标人在中标公告结束后</w:t>
            </w:r>
            <w:r>
              <w:rPr>
                <w:rFonts w:hint="eastAsia" w:ascii="仿宋" w:hAnsi="仿宋" w:eastAsia="仿宋" w:cs="仿宋"/>
                <w:b/>
                <w:color w:val="auto"/>
                <w:sz w:val="24"/>
                <w:szCs w:val="20"/>
                <w:highlight w:val="none"/>
              </w:rPr>
              <w:t>三个工作日</w:t>
            </w:r>
            <w:r>
              <w:rPr>
                <w:rFonts w:hint="eastAsia" w:ascii="仿宋" w:hAnsi="仿宋" w:eastAsia="仿宋" w:cs="仿宋"/>
                <w:color w:val="auto"/>
                <w:sz w:val="24"/>
                <w:szCs w:val="20"/>
                <w:highlight w:val="none"/>
              </w:rPr>
              <w:t>内从采购人处自行领回，逾期采购人将不予保管</w:t>
            </w:r>
            <w:r>
              <w:rPr>
                <w:rFonts w:hint="eastAsia" w:ascii="仿宋" w:hAnsi="仿宋" w:eastAsia="仿宋" w:cs="仿宋"/>
                <w:sz w:val="24"/>
                <w:szCs w:val="20"/>
                <w:highlight w:val="none"/>
              </w:rPr>
              <w:t>；</w:t>
            </w:r>
            <w:r>
              <w:rPr>
                <w:rFonts w:hint="eastAsia" w:ascii="仿宋_GB2312" w:hAnsi="仿宋" w:eastAsia="仿宋_GB2312" w:cs="Times New Roman"/>
                <w:sz w:val="24"/>
                <w:szCs w:val="20"/>
                <w:highlight w:val="none"/>
              </w:rPr>
              <w:t>对于中标人提供的样品，采购人将进行保管、封存，并作为履约验收的参考。</w:t>
            </w:r>
          </w:p>
          <w:p>
            <w:pPr>
              <w:spacing w:before="0" w:beforeAutospacing="0" w:after="0" w:afterAutospacing="0" w:line="360" w:lineRule="auto"/>
              <w:ind w:left="0" w:right="0"/>
              <w:rPr>
                <w:rFonts w:hint="eastAsia" w:ascii="仿宋_GB2312" w:hAnsi="仿宋" w:eastAsia="仿宋_GB2312" w:cs="Times New Roman"/>
                <w:b/>
                <w:sz w:val="24"/>
                <w:szCs w:val="20"/>
                <w:highlight w:val="none"/>
              </w:rPr>
            </w:pPr>
            <w:r>
              <w:rPr>
                <w:rFonts w:hint="eastAsia" w:ascii="仿宋_GB2312" w:hAnsi="仿宋" w:eastAsia="仿宋_GB2312" w:cs="Times New Roman"/>
                <w:sz w:val="24"/>
                <w:szCs w:val="20"/>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Cs/>
                <w:sz w:val="24"/>
                <w:szCs w:val="20"/>
                <w:highlight w:val="none"/>
              </w:rPr>
            </w:pPr>
            <w:r>
              <w:rPr>
                <w:rFonts w:hint="eastAsia" w:ascii="仿宋_GB2312" w:hAnsi="仿宋" w:eastAsia="仿宋_GB2312" w:cs="仿宋_GB2312"/>
                <w:b/>
                <w:sz w:val="24"/>
                <w:szCs w:val="20"/>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MS Gothic" w:hAnsi="MS Gothic" w:eastAsia="MS Gothic" w:cs="Arial"/>
                <w:kern w:val="0"/>
                <w:sz w:val="24"/>
                <w:szCs w:val="20"/>
                <w:highlight w:val="none"/>
              </w:rPr>
              <w:sym w:font="Wingdings" w:char="F0FE"/>
            </w:r>
            <w:r>
              <w:rPr>
                <w:rFonts w:hint="eastAsia" w:ascii="仿宋_GB2312" w:hAnsi="仿宋" w:eastAsia="仿宋_GB2312" w:cs="Arial"/>
                <w:kern w:val="0"/>
                <w:sz w:val="24"/>
                <w:szCs w:val="20"/>
                <w:highlight w:val="none"/>
              </w:rPr>
              <w:t>A</w:t>
            </w:r>
            <w:r>
              <w:rPr>
                <w:rFonts w:hint="eastAsia" w:ascii="仿宋_GB2312" w:hAnsi="仿宋" w:eastAsia="仿宋_GB2312" w:cs="Times New Roman"/>
                <w:sz w:val="24"/>
                <w:szCs w:val="20"/>
                <w:highlight w:val="none"/>
              </w:rPr>
              <w:t>不组织。</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MS Gothic" w:hAnsi="MS Gothic" w:eastAsia="仿宋_GB2312" w:cs="Arial"/>
                <w:kern w:val="0"/>
                <w:sz w:val="24"/>
                <w:szCs w:val="20"/>
                <w:highlight w:val="none"/>
              </w:rPr>
              <w:t>☐</w:t>
            </w:r>
            <w:r>
              <w:rPr>
                <w:rFonts w:hint="eastAsia" w:ascii="仿宋_GB2312" w:hAnsi="仿宋" w:eastAsia="仿宋_GB2312" w:cs="Times New Roman"/>
                <w:kern w:val="0"/>
                <w:sz w:val="24"/>
                <w:szCs w:val="20"/>
                <w:highlight w:val="none"/>
              </w:rPr>
              <w:t>B组织。</w:t>
            </w:r>
          </w:p>
          <w:p>
            <w:pPr>
              <w:snapToGrid w:val="0"/>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（1）在评标时安排每个投标人进行方案讲解演示。每个投标人时间不超过20分钟，讲解次序以</w:t>
            </w:r>
            <w:r>
              <w:rPr>
                <w:rFonts w:hint="eastAsia" w:ascii="仿宋_GB2312" w:hAnsi="仿宋" w:eastAsia="仿宋_GB2312" w:cs="Times New Roman"/>
                <w:kern w:val="0"/>
                <w:sz w:val="24"/>
                <w:szCs w:val="20"/>
                <w:highlight w:val="none"/>
                <w:lang w:val="en-US" w:eastAsia="zh-CN"/>
              </w:rPr>
              <w:t>投标人现场抽签</w:t>
            </w:r>
            <w:r>
              <w:rPr>
                <w:rFonts w:hint="eastAsia" w:ascii="仿宋_GB2312" w:hAnsi="仿宋" w:eastAsia="仿宋_GB2312" w:cs="Times New Roman"/>
                <w:kern w:val="0"/>
                <w:sz w:val="24"/>
                <w:szCs w:val="20"/>
                <w:highlight w:val="none"/>
              </w:rPr>
              <w:t>为准，讲解演示人员不超过3人。讲解演示结束后按要求解答评标委员会提问。</w:t>
            </w:r>
          </w:p>
          <w:p>
            <w:pPr>
              <w:snapToGrid w:val="0"/>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（2）方案讲解演示方式：</w:t>
            </w:r>
          </w:p>
          <w:p>
            <w:pPr>
              <w:snapToGrid w:val="0"/>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lang w:val="en-US" w:eastAsia="zh-CN"/>
              </w:rPr>
              <w:t xml:space="preserve">    </w:t>
            </w:r>
            <w:r>
              <w:rPr>
                <w:rFonts w:hint="eastAsia" w:ascii="仿宋_GB2312" w:hAnsi="仿宋" w:eastAsia="仿宋_GB2312" w:cs="Times New Roman"/>
                <w:kern w:val="0"/>
                <w:sz w:val="24"/>
                <w:szCs w:val="20"/>
                <w:highlight w:val="none"/>
              </w:rPr>
              <w:t>交易中心现场讲解演示。现场讲解地点为</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，讲解演示所用电脑等设备由投标人自备。现场讲解演示人员进场时提供讲解人员名单（加盖公章）及身份证明，否则不得讲解演示。</w:t>
            </w:r>
          </w:p>
          <w:p>
            <w:pPr>
              <w:snapToGrid w:val="0"/>
              <w:spacing w:before="0" w:beforeAutospacing="0" w:after="0" w:afterAutospacing="0" w:line="360" w:lineRule="auto"/>
              <w:ind w:left="0" w:right="0"/>
              <w:rPr>
                <w:rFonts w:hint="eastAsia" w:ascii="仿宋_GB2312" w:hAnsi="仿宋" w:eastAsia="仿宋_GB2312" w:cs="仿宋_GB2312"/>
                <w:b/>
                <w:kern w:val="0"/>
                <w:sz w:val="24"/>
                <w:szCs w:val="20"/>
                <w:highlight w:val="none"/>
                <w:lang w:val="zh-CN"/>
              </w:rPr>
            </w:pPr>
            <w:r>
              <w:rPr>
                <w:rFonts w:hint="eastAsia" w:ascii="仿宋_GB2312" w:hAnsi="仿宋" w:eastAsia="仿宋_GB2312" w:cs="Times New Roman"/>
                <w:kern w:val="0"/>
                <w:sz w:val="24"/>
                <w:szCs w:val="20"/>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Arial"/>
                <w:kern w:val="0"/>
                <w:sz w:val="24"/>
                <w:szCs w:val="20"/>
              </w:rPr>
            </w:pPr>
            <w:r>
              <w:rPr>
                <w:rFonts w:hint="eastAsia" w:ascii="仿宋_GB2312" w:hAnsi="仿宋" w:eastAsia="仿宋_GB2312" w:cs="Arial"/>
                <w:kern w:val="0"/>
                <w:sz w:val="24"/>
                <w:szCs w:val="20"/>
              </w:rPr>
              <w:sym w:font="Wingdings" w:char="F0FE"/>
            </w:r>
            <w:r>
              <w:rPr>
                <w:rFonts w:hint="eastAsia" w:ascii="仿宋_GB2312" w:hAnsi="仿宋" w:eastAsia="仿宋_GB2312" w:cs="Arial"/>
                <w:kern w:val="0"/>
                <w:sz w:val="24"/>
                <w:szCs w:val="20"/>
              </w:rPr>
              <w:t>本项目不允许采购进口产品。</w:t>
            </w:r>
          </w:p>
          <w:p>
            <w:pPr>
              <w:spacing w:before="0" w:beforeAutospacing="0" w:after="0" w:afterAutospacing="0" w:line="360" w:lineRule="auto"/>
              <w:ind w:left="0" w:right="0"/>
              <w:rPr>
                <w:rFonts w:hint="eastAsia" w:ascii="Times New Roman" w:hAnsi="Times New Roman" w:cs="Times New Roman"/>
                <w:b w:val="0"/>
                <w:bCs w:val="0"/>
                <w:sz w:val="20"/>
                <w:szCs w:val="20"/>
              </w:rPr>
            </w:pPr>
            <w:r>
              <w:rPr>
                <w:rFonts w:hint="eastAsia" w:ascii="宋体" w:hAnsi="宋体" w:cs="宋体"/>
                <w:kern w:val="0"/>
                <w:sz w:val="24"/>
                <w:szCs w:val="20"/>
                <w:highlight w:val="none"/>
              </w:rPr>
              <w:t>☐</w:t>
            </w:r>
            <w:r>
              <w:rPr>
                <w:rFonts w:hint="eastAsia" w:ascii="仿宋" w:hAnsi="仿宋" w:eastAsia="仿宋" w:cs="仿宋"/>
                <w:kern w:val="0"/>
                <w:sz w:val="24"/>
                <w:szCs w:val="20"/>
                <w:highlight w:val="none"/>
              </w:rPr>
              <w:t>可以就</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MS Gothic" w:hAnsi="MS Gothic" w:eastAsia="MS Gothic" w:cs="Arial"/>
                <w:color w:val="auto"/>
                <w:kern w:val="0"/>
                <w:sz w:val="24"/>
                <w:szCs w:val="20"/>
                <w:highlight w:val="none"/>
              </w:rPr>
              <w:sym w:font="Wingdings" w:char="F0FE"/>
            </w:r>
            <w:r>
              <w:rPr>
                <w:rFonts w:hint="eastAsia" w:ascii="仿宋_GB2312" w:hAnsi="仿宋" w:eastAsia="仿宋_GB2312" w:cs="Arial"/>
                <w:color w:val="auto"/>
                <w:kern w:val="0"/>
                <w:sz w:val="24"/>
                <w:szCs w:val="20"/>
                <w:highlight w:val="none"/>
              </w:rPr>
              <w:t>A</w:t>
            </w:r>
            <w:r>
              <w:rPr>
                <w:rFonts w:hint="eastAsia" w:ascii="仿宋_GB2312" w:hAnsi="仿宋" w:eastAsia="仿宋_GB2312" w:cs="Times New Roman"/>
                <w:color w:val="auto"/>
                <w:sz w:val="24"/>
                <w:szCs w:val="20"/>
                <w:highlight w:val="none"/>
              </w:rPr>
              <w:t>货物类，单一产品或</w:t>
            </w:r>
            <w:r>
              <w:rPr>
                <w:rFonts w:hint="eastAsia" w:ascii="仿宋_GB2312" w:hAnsi="仿宋" w:eastAsia="仿宋_GB2312" w:cs="Times New Roman"/>
                <w:color w:val="auto"/>
                <w:kern w:val="0"/>
                <w:sz w:val="24"/>
                <w:szCs w:val="20"/>
                <w:highlight w:val="none"/>
              </w:rPr>
              <w:t>核心产品为：</w:t>
            </w:r>
            <w:r>
              <w:rPr>
                <w:rFonts w:hint="eastAsia" w:ascii="仿宋" w:hAnsi="仿宋" w:eastAsia="仿宋" w:cs="仿宋_GB2312"/>
                <w:snapToGrid w:val="0"/>
                <w:color w:val="auto"/>
                <w:kern w:val="28"/>
                <w:sz w:val="24"/>
                <w:szCs w:val="20"/>
                <w:highlight w:val="none"/>
                <w:u w:val="single" w:color="auto"/>
                <w:lang w:val="en-US" w:eastAsia="zh-CN"/>
              </w:rPr>
              <w:t>平面移动</w:t>
            </w:r>
            <w:r>
              <w:rPr>
                <w:rFonts w:hint="eastAsia" w:ascii="仿宋" w:hAnsi="仿宋" w:eastAsia="仿宋" w:cs="仿宋_GB2312"/>
                <w:snapToGrid w:val="0"/>
                <w:color w:val="auto"/>
                <w:kern w:val="28"/>
                <w:sz w:val="24"/>
                <w:szCs w:val="20"/>
                <w:highlight w:val="none"/>
                <w:u w:val="single" w:color="auto"/>
              </w:rPr>
              <w:t>类机械式停车设备</w:t>
            </w:r>
            <w:r>
              <w:rPr>
                <w:rFonts w:hint="eastAsia" w:ascii="仿宋_GB2312" w:hAnsi="仿宋" w:eastAsia="仿宋_GB2312" w:cs="Times New Roman"/>
                <w:color w:val="auto"/>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MS Gothic" w:hAnsi="MS Gothic" w:eastAsia="仿宋_GB2312" w:cs="Arial"/>
                <w:color w:val="auto"/>
                <w:kern w:val="0"/>
                <w:sz w:val="24"/>
                <w:szCs w:val="20"/>
                <w:highlight w:val="none"/>
              </w:rPr>
              <w:t>☐</w:t>
            </w:r>
            <w:r>
              <w:rPr>
                <w:rFonts w:hint="eastAsia" w:ascii="仿宋_GB2312" w:hAnsi="仿宋" w:eastAsia="仿宋_GB2312" w:cs="Arial"/>
                <w:color w:val="auto"/>
                <w:kern w:val="0"/>
                <w:sz w:val="24"/>
                <w:szCs w:val="20"/>
                <w:highlight w:val="none"/>
              </w:rPr>
              <w:t>B</w:t>
            </w:r>
            <w:r>
              <w:rPr>
                <w:rFonts w:hint="eastAsia" w:ascii="仿宋_GB2312" w:hAnsi="仿宋" w:eastAsia="仿宋_GB2312" w:cs="Times New Roman"/>
                <w:color w:val="auto"/>
                <w:sz w:val="24"/>
                <w:szCs w:val="20"/>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rPr>
                <w:rFonts w:hint="eastAsia" w:ascii="仿宋_GB2312" w:hAnsi="仿宋" w:eastAsia="仿宋_GB2312" w:cs="Arial"/>
                <w:color w:val="auto"/>
                <w:kern w:val="0"/>
                <w:sz w:val="24"/>
                <w:szCs w:val="20"/>
                <w:highlight w:val="none"/>
              </w:rPr>
            </w:pPr>
            <w:r>
              <w:rPr>
                <w:rFonts w:hint="eastAsia" w:ascii="仿宋_GB2312" w:hAnsi="仿宋" w:eastAsia="仿宋_GB2312" w:cs="Arial"/>
                <w:color w:val="auto"/>
                <w:kern w:val="0"/>
                <w:sz w:val="24"/>
                <w:szCs w:val="20"/>
                <w:highlight w:val="none"/>
              </w:rPr>
              <w:t>（1）标的：</w:t>
            </w:r>
            <w:r>
              <w:rPr>
                <w:rFonts w:hint="eastAsia" w:ascii="仿宋_GB2312" w:hAnsi="仿宋" w:eastAsia="仿宋_GB2312" w:cs="Arial"/>
                <w:color w:val="auto"/>
                <w:kern w:val="0"/>
                <w:sz w:val="24"/>
                <w:szCs w:val="20"/>
                <w:highlight w:val="none"/>
                <w:u w:val="single"/>
              </w:rPr>
              <w:t xml:space="preserve"> </w:t>
            </w:r>
            <w:r>
              <w:rPr>
                <w:rFonts w:hint="eastAsia" w:ascii="仿宋" w:hAnsi="仿宋" w:eastAsia="仿宋" w:cs="仿宋_GB2312"/>
                <w:snapToGrid w:val="0"/>
                <w:color w:val="auto"/>
                <w:kern w:val="28"/>
                <w:sz w:val="24"/>
                <w:szCs w:val="20"/>
                <w:highlight w:val="none"/>
                <w:u w:val="single" w:color="auto"/>
              </w:rPr>
              <w:t>机械式停车设备</w:t>
            </w:r>
            <w:r>
              <w:rPr>
                <w:rFonts w:hint="eastAsia" w:ascii="仿宋_GB2312" w:hAnsi="仿宋" w:eastAsia="仿宋_GB2312" w:cs="Arial"/>
                <w:color w:val="auto"/>
                <w:kern w:val="0"/>
                <w:sz w:val="24"/>
                <w:szCs w:val="20"/>
                <w:highlight w:val="none"/>
              </w:rPr>
              <w:t>，属于</w:t>
            </w:r>
            <w:r>
              <w:rPr>
                <w:rFonts w:hint="eastAsia" w:ascii="仿宋_GB2312" w:hAnsi="仿宋" w:eastAsia="仿宋_GB2312" w:cs="Arial"/>
                <w:color w:val="auto"/>
                <w:kern w:val="0"/>
                <w:sz w:val="24"/>
                <w:szCs w:val="20"/>
                <w:highlight w:val="none"/>
                <w:u w:val="single"/>
              </w:rPr>
              <w:t xml:space="preserve"> </w:t>
            </w:r>
            <w:r>
              <w:rPr>
                <w:rFonts w:hint="eastAsia" w:ascii="仿宋_GB2312" w:hAnsi="仿宋" w:eastAsia="仿宋_GB2312" w:cs="Arial"/>
                <w:color w:val="auto"/>
                <w:kern w:val="0"/>
                <w:sz w:val="24"/>
                <w:szCs w:val="20"/>
                <w:highlight w:val="none"/>
                <w:u w:val="single"/>
                <w:lang w:val="en-US" w:eastAsia="zh-CN"/>
              </w:rPr>
              <w:t>工业</w:t>
            </w:r>
            <w:r>
              <w:rPr>
                <w:rFonts w:hint="eastAsia" w:ascii="仿宋_GB2312" w:hAnsi="仿宋" w:eastAsia="仿宋_GB2312" w:cs="Arial"/>
                <w:color w:val="auto"/>
                <w:kern w:val="0"/>
                <w:sz w:val="24"/>
                <w:szCs w:val="20"/>
                <w:highlight w:val="none"/>
                <w:u w:val="single"/>
              </w:rPr>
              <w:t xml:space="preserve">  </w:t>
            </w:r>
            <w:r>
              <w:rPr>
                <w:rFonts w:hint="eastAsia" w:ascii="仿宋_GB2312" w:hAnsi="仿宋" w:eastAsia="仿宋_GB2312" w:cs="Arial"/>
                <w:color w:val="auto"/>
                <w:kern w:val="0"/>
                <w:sz w:val="24"/>
                <w:szCs w:val="20"/>
                <w:highlight w:val="none"/>
              </w:rPr>
              <w:t>行业；</w:t>
            </w:r>
          </w:p>
          <w:p>
            <w:pPr>
              <w:pStyle w:val="3"/>
              <w:spacing w:before="0" w:beforeAutospacing="0" w:after="0" w:afterAutospacing="0"/>
              <w:ind w:left="0" w:leftChars="0" w:right="0" w:firstLine="0" w:firstLineChars="0"/>
              <w:rPr>
                <w:rFonts w:hint="eastAsia" w:ascii="Times New Roman" w:hAnsi="Times New Roman" w:cs="Times New Roman"/>
                <w:color w:val="auto"/>
                <w:sz w:val="20"/>
                <w:szCs w:val="20"/>
                <w:highlight w:val="none"/>
                <w:lang w:val="en-US"/>
              </w:rPr>
            </w:pPr>
            <w:r>
              <w:rPr>
                <w:rFonts w:hint="eastAsia" w:ascii="微软雅黑" w:hAnsi="微软雅黑" w:eastAsia="微软雅黑" w:cs="微软雅黑"/>
                <w:i w:val="0"/>
                <w:caps w:val="0"/>
                <w:color w:val="auto"/>
                <w:spacing w:val="0"/>
                <w:sz w:val="22"/>
                <w:szCs w:val="22"/>
                <w:highlight w:val="none"/>
                <w:shd w:val="clear" w:color="auto" w:fill="FFFFFF"/>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rPr>
                <w:rFonts w:hint="eastAsia" w:ascii="Times New Roman" w:hAnsi="Times New Roman" w:eastAsia="仿宋" w:cs="Times New Roman"/>
                <w:sz w:val="20"/>
                <w:szCs w:val="20"/>
                <w:highlight w:val="none"/>
              </w:rPr>
            </w:pPr>
            <w:r>
              <w:rPr>
                <w:rFonts w:hint="eastAsia" w:ascii="仿宋_GB2312" w:hAnsi="仿宋" w:eastAsia="仿宋_GB2312" w:cs="Arial"/>
                <w:kern w:val="0"/>
                <w:sz w:val="24"/>
                <w:szCs w:val="20"/>
                <w:highlight w:val="none"/>
                <w:lang w:val="en-US" w:eastAsia="zh-CN"/>
              </w:rPr>
              <w:t xml:space="preserve">    </w:t>
            </w:r>
            <w:r>
              <w:rPr>
                <w:rFonts w:hint="eastAsia" w:ascii="仿宋_GB2312" w:hAnsi="仿宋" w:eastAsia="仿宋_GB2312" w:cs="Arial"/>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eastAsia" w:ascii="仿宋_GB2312" w:hAnsi="仿宋" w:eastAsia="仿宋_GB2312" w:cs="Times New Roman"/>
                <w:sz w:val="24"/>
                <w:szCs w:val="20"/>
              </w:rPr>
            </w:pPr>
            <w:r>
              <w:rPr>
                <w:rFonts w:hint="eastAsia" w:ascii="仿宋_GB2312" w:hAnsi="仿宋" w:eastAsia="仿宋_GB2312" w:cs="Times New Roman"/>
                <w:snapToGrid w:val="0"/>
                <w:kern w:val="28"/>
                <w:sz w:val="24"/>
                <w:szCs w:val="20"/>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before="0" w:beforeAutospacing="0" w:after="0" w:afterAutospacing="0" w:line="360" w:lineRule="auto"/>
              <w:ind w:left="0" w:right="0" w:firstLine="400" w:firstLineChars="200"/>
              <w:rPr>
                <w:rFonts w:hint="eastAsia" w:ascii="Times New Roman" w:hAnsi="Times New Roman" w:cs="Times New Roman"/>
                <w:sz w:val="20"/>
                <w:szCs w:val="20"/>
              </w:rPr>
            </w:pPr>
          </w:p>
        </w:tc>
        <w:tc>
          <w:tcPr>
            <w:tcW w:w="1843" w:type="dxa"/>
            <w:vMerge w:val="continue"/>
            <w:tcBorders>
              <w:left w:val="single" w:color="000000" w:sz="2" w:space="0"/>
              <w:right w:val="single" w:color="000000" w:sz="8" w:space="0"/>
            </w:tcBorders>
            <w:vAlign w:val="center"/>
          </w:tcPr>
          <w:p>
            <w:pPr>
              <w:spacing w:before="0" w:beforeAutospacing="0" w:after="0" w:afterAutospacing="0" w:line="360" w:lineRule="auto"/>
              <w:ind w:left="0" w:right="0" w:firstLine="400" w:firstLineChars="200"/>
              <w:rPr>
                <w:rFonts w:hint="eastAsia" w:ascii="Times New Roman" w:hAnsi="Times New Roman" w:cs="Times New Roman"/>
                <w:sz w:val="20"/>
                <w:szCs w:val="20"/>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eastAsia" w:ascii="仿宋_GB2312" w:hAnsi="仿宋" w:eastAsia="仿宋_GB2312" w:cs="Times New Roman"/>
                <w:snapToGrid w:val="0"/>
                <w:kern w:val="28"/>
                <w:sz w:val="24"/>
                <w:szCs w:val="20"/>
              </w:rPr>
            </w:pPr>
            <w:r>
              <w:rPr>
                <w:rFonts w:hint="eastAsia" w:ascii="仿宋_GB2312" w:hAnsi="仿宋" w:eastAsia="仿宋_GB2312" w:cs="Times New Roman"/>
                <w:snapToGrid w:val="0"/>
                <w:kern w:val="28"/>
                <w:sz w:val="24"/>
                <w:szCs w:val="20"/>
              </w:rPr>
              <w:t>供应商中标后也</w:t>
            </w:r>
            <w:bookmarkStart w:id="411" w:name="_GoBack"/>
            <w:bookmarkEnd w:id="411"/>
            <w:r>
              <w:rPr>
                <w:rFonts w:hint="eastAsia" w:ascii="仿宋_GB2312" w:hAnsi="仿宋" w:eastAsia="仿宋_GB2312" w:cs="Times New Roman"/>
                <w:snapToGrid w:val="0"/>
                <w:kern w:val="28"/>
                <w:sz w:val="24"/>
                <w:szCs w:val="20"/>
              </w:rPr>
              <w:t>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69"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备份投标文件送达</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before="0" w:beforeAutospacing="0" w:after="0" w:afterAutospacing="0" w:line="360" w:lineRule="auto"/>
              <w:ind w:left="0" w:right="0"/>
              <w:rPr>
                <w:rFonts w:hint="eastAsia" w:ascii="仿宋" w:hAnsi="仿宋" w:eastAsia="仿宋" w:cs="仿宋"/>
                <w:sz w:val="24"/>
                <w:szCs w:val="24"/>
              </w:rPr>
            </w:pPr>
            <w:r>
              <w:rPr>
                <w:rFonts w:hint="eastAsia" w:ascii="仿宋_GB2312" w:hAnsi="仿宋" w:eastAsia="仿宋_GB2312" w:cs="Times New Roman"/>
                <w:kern w:val="28"/>
                <w:sz w:val="24"/>
                <w:szCs w:val="24"/>
                <w:highlight w:val="none"/>
              </w:rPr>
              <w:t>备份投标文件送达地点：</w:t>
            </w:r>
            <w:r>
              <w:rPr>
                <w:rFonts w:hint="eastAsia" w:ascii="仿宋" w:hAnsi="仿宋" w:eastAsia="仿宋" w:cs="仿宋"/>
                <w:kern w:val="28"/>
                <w:sz w:val="24"/>
                <w:szCs w:val="24"/>
                <w:highlight w:val="none"/>
              </w:rPr>
              <w:t>杭州市临</w:t>
            </w:r>
            <w:r>
              <w:rPr>
                <w:rFonts w:hint="eastAsia" w:ascii="仿宋" w:hAnsi="仿宋" w:eastAsia="仿宋" w:cs="仿宋"/>
                <w:kern w:val="28"/>
                <w:sz w:val="24"/>
                <w:szCs w:val="24"/>
              </w:rPr>
              <w:t>平区南苑街道玩月街88号1幢10楼招标代理部前台；备份投标文件签收人员联系电话：</w:t>
            </w:r>
            <w:r>
              <w:rPr>
                <w:rFonts w:hint="eastAsia" w:ascii="仿宋" w:hAnsi="仿宋" w:eastAsia="仿宋" w:cs="仿宋"/>
                <w:kern w:val="28"/>
                <w:sz w:val="24"/>
                <w:szCs w:val="24"/>
                <w:lang w:val="en-US" w:eastAsia="zh-CN"/>
              </w:rPr>
              <w:t>丁敏</w:t>
            </w:r>
            <w:r>
              <w:rPr>
                <w:rFonts w:hint="eastAsia" w:ascii="仿宋" w:hAnsi="仿宋" w:eastAsia="仿宋" w:cs="仿宋"/>
                <w:kern w:val="28"/>
                <w:sz w:val="24"/>
                <w:szCs w:val="24"/>
              </w:rPr>
              <w:t xml:space="preserve"> 0571-86235827</w:t>
            </w:r>
            <w:r>
              <w:rPr>
                <w:rFonts w:hint="eastAsia" w:ascii="仿宋" w:hAnsi="仿宋" w:eastAsia="仿宋" w:cs="仿宋"/>
                <w:sz w:val="24"/>
                <w:szCs w:val="24"/>
              </w:rPr>
              <w:t>。</w:t>
            </w:r>
          </w:p>
          <w:p>
            <w:pPr>
              <w:pStyle w:val="34"/>
              <w:spacing w:before="0" w:beforeAutospacing="0" w:after="0" w:afterAutospacing="0" w:line="360" w:lineRule="auto"/>
              <w:ind w:left="0" w:right="0"/>
              <w:rPr>
                <w:rFonts w:hint="eastAsia" w:ascii="仿宋_GB2312" w:hAnsi="仿宋" w:eastAsia="仿宋_GB2312" w:cs="仿宋_GB2312"/>
                <w:b/>
                <w:sz w:val="24"/>
                <w:szCs w:val="24"/>
              </w:rPr>
            </w:pPr>
            <w:r>
              <w:rPr>
                <w:rFonts w:hint="eastAsia" w:ascii="仿宋_GB2312" w:hAnsi="仿宋" w:eastAsia="仿宋_GB2312" w:cs="仿宋_GB2312"/>
                <w:b/>
                <w:sz w:val="24"/>
                <w:szCs w:val="24"/>
              </w:rPr>
              <w:t>采购人、采购机构不强制或变相强制投标人提交备份投标文件。</w:t>
            </w:r>
          </w:p>
          <w:p>
            <w:pPr>
              <w:spacing w:before="0" w:beforeAutospacing="0" w:after="0" w:afterAutospacing="0" w:line="360" w:lineRule="auto"/>
              <w:ind w:left="0" w:right="0" w:firstLine="482" w:firstLineChars="20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投标人递交以介质存储的数据电文形式的备份投标文件出现下列情况之一的，将被拒收：</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1、未按规定密封或标记的投标文件；</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2、由于包装不妥，在送交途中严重破损或失散的；</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3、未成功</w:t>
            </w:r>
            <w:r>
              <w:rPr>
                <w:rFonts w:hint="eastAsia" w:ascii="宋体" w:hAnsi="宋体" w:cs="Times New Roman"/>
                <w:b/>
                <w:color w:val="000000"/>
                <w:sz w:val="24"/>
                <w:szCs w:val="20"/>
                <w:highlight w:val="none"/>
                <w:lang w:eastAsia="zh-CN"/>
              </w:rPr>
              <w:t>获取招标文件</w:t>
            </w:r>
            <w:r>
              <w:rPr>
                <w:rFonts w:hint="eastAsia" w:ascii="宋体" w:hAnsi="宋体" w:cs="Times New Roman"/>
                <w:b/>
                <w:color w:val="000000"/>
                <w:sz w:val="24"/>
                <w:szCs w:val="20"/>
                <w:highlight w:val="none"/>
              </w:rPr>
              <w:t>的；</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4、超过投标截止时间送达的；</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5、以介质存储的数据电文形式的备份投标文件，未采用DVD光盘形式提供的。</w:t>
            </w:r>
          </w:p>
          <w:p>
            <w:pPr>
              <w:pStyle w:val="34"/>
              <w:spacing w:before="0" w:beforeAutospacing="0" w:after="0" w:afterAutospacing="0" w:line="360" w:lineRule="auto"/>
              <w:ind w:left="0" w:right="0"/>
              <w:rPr>
                <w:rFonts w:hint="eastAsia" w:ascii="仿宋_GB2312" w:hAnsi="仿宋" w:eastAsia="仿宋_GB2312" w:cs="仿宋_GB2312"/>
                <w:b/>
                <w:sz w:val="24"/>
                <w:szCs w:val="24"/>
              </w:rPr>
            </w:pPr>
            <w:r>
              <w:rPr>
                <w:rFonts w:hint="eastAsia" w:ascii="宋体" w:hAnsi="宋体" w:cs="Times New Roman"/>
                <w:b/>
                <w:color w:val="000000"/>
                <w:sz w:val="24"/>
                <w:szCs w:val="20"/>
                <w:highlight w:val="none"/>
              </w:rPr>
              <w:t>注：仅提供备份投标文件的，投标无效。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kern w:val="0"/>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vMerge w:val="continue"/>
            <w:tcBorders>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sz w:val="24"/>
                <w:szCs w:val="20"/>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snapToGrid w:val="0"/>
                <w:kern w:val="28"/>
                <w:sz w:val="24"/>
                <w:szCs w:val="20"/>
              </w:rPr>
            </w:pPr>
            <w:r>
              <w:rPr>
                <w:rFonts w:hint="eastAsia" w:ascii="仿宋" w:hAnsi="仿宋" w:eastAsia="仿宋" w:cs="仿宋"/>
                <w:color w:val="0000FF"/>
                <w:kern w:val="0"/>
                <w:sz w:val="24"/>
                <w:szCs w:val="20"/>
              </w:rPr>
              <w:t>☐</w:t>
            </w:r>
            <w:r>
              <w:rPr>
                <w:rFonts w:hint="eastAsia" w:ascii="仿宋" w:hAnsi="仿宋" w:eastAsia="仿宋" w:cs="仿宋"/>
                <w:snapToGrid w:val="0"/>
                <w:kern w:val="28"/>
                <w:sz w:val="24"/>
                <w:szCs w:val="20"/>
              </w:rPr>
              <w:t>联合体投标的，联合体各方均需按招标文件第四部分评标标准要求提供资信证明文件，否则视为不符合要求。</w:t>
            </w:r>
          </w:p>
          <w:p>
            <w:pPr>
              <w:pStyle w:val="20"/>
              <w:rPr>
                <w:rFonts w:hint="eastAsia" w:ascii="仿宋" w:hAnsi="仿宋" w:eastAsia="仿宋" w:cs="仿宋"/>
                <w:snapToGrid w:val="0"/>
                <w:kern w:val="28"/>
                <w:sz w:val="24"/>
                <w:szCs w:val="20"/>
              </w:rPr>
            </w:pPr>
            <w:r>
              <w:rPr>
                <w:rFonts w:hint="eastAsia" w:ascii="仿宋" w:hAnsi="仿宋" w:eastAsia="仿宋" w:cs="仿宋"/>
                <w:color w:val="0000FF"/>
                <w:kern w:val="0"/>
                <w:sz w:val="24"/>
                <w:szCs w:val="20"/>
              </w:rPr>
              <w:sym w:font="Wingdings" w:char="F0FE"/>
            </w:r>
            <w:r>
              <w:rPr>
                <w:rFonts w:hint="eastAsia" w:ascii="仿宋" w:hAnsi="仿宋" w:eastAsia="仿宋" w:cs="仿宋"/>
                <w:snapToGrid w:val="0"/>
                <w:kern w:val="28"/>
                <w:sz w:val="24"/>
                <w:szCs w:val="20"/>
              </w:rPr>
              <w:t>联合体投标的，联合体中有一方或者联合体成员根据分工按招标文件第四部分评标标准要求提供的，视为不符合要求。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lang w:val="en-US" w:eastAsia="zh-CN"/>
              </w:rPr>
            </w:pPr>
          </w:p>
          <w:p>
            <w:pPr>
              <w:snapToGrid w:val="0"/>
              <w:spacing w:before="0" w:beforeAutospacing="0" w:after="0" w:afterAutospacing="0" w:line="360" w:lineRule="auto"/>
              <w:ind w:left="0" w:right="0"/>
              <w:jc w:val="both"/>
              <w:rPr>
                <w:rFonts w:hint="eastAsia" w:ascii="仿宋_GB2312" w:hAnsi="仿宋" w:eastAsia="仿宋_GB2312" w:cs="仿宋_GB2312"/>
                <w:sz w:val="24"/>
                <w:szCs w:val="20"/>
                <w:lang w:val="en-US" w:eastAsia="zh-CN"/>
              </w:rPr>
            </w:pPr>
          </w:p>
          <w:p>
            <w:pPr>
              <w:snapToGrid w:val="0"/>
              <w:spacing w:before="0" w:beforeAutospacing="0" w:after="0" w:afterAutospacing="0" w:line="360" w:lineRule="auto"/>
              <w:ind w:left="0" w:right="0"/>
              <w:jc w:val="both"/>
              <w:rPr>
                <w:rFonts w:hint="eastAsia" w:ascii="仿宋_GB2312" w:hAnsi="仿宋" w:eastAsia="仿宋_GB2312" w:cs="仿宋_GB2312"/>
                <w:sz w:val="24"/>
                <w:szCs w:val="20"/>
                <w:lang w:val="en-US" w:eastAsia="zh-CN"/>
              </w:rPr>
            </w:pPr>
          </w:p>
          <w:p>
            <w:pPr>
              <w:snapToGrid w:val="0"/>
              <w:spacing w:before="0" w:beforeAutospacing="0" w:after="0" w:afterAutospacing="0" w:line="360" w:lineRule="auto"/>
              <w:ind w:left="0" w:right="0"/>
              <w:jc w:val="both"/>
              <w:rPr>
                <w:rFonts w:hint="eastAsia" w:ascii="仿宋_GB2312" w:hAnsi="仿宋" w:eastAsia="仿宋_GB2312" w:cs="仿宋_GB2312"/>
                <w:sz w:val="24"/>
                <w:szCs w:val="20"/>
                <w:lang w:val="en-US" w:eastAsia="zh-CN"/>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lang w:val="en-US" w:eastAsia="zh-CN"/>
              </w:rPr>
            </w:pPr>
            <w:r>
              <w:rPr>
                <w:rFonts w:hint="eastAsia" w:ascii="仿宋_GB2312" w:hAnsi="仿宋" w:eastAsia="仿宋_GB2312" w:cs="仿宋_GB2312"/>
                <w:sz w:val="24"/>
                <w:szCs w:val="20"/>
                <w:lang w:val="en-US" w:eastAsia="zh-CN"/>
              </w:rPr>
              <w:t>14</w:t>
            </w:r>
          </w:p>
        </w:tc>
        <w:tc>
          <w:tcPr>
            <w:tcW w:w="1843" w:type="dxa"/>
            <w:tcBorders>
              <w:top w:val="single" w:color="auto" w:sz="4" w:space="0"/>
              <w:left w:val="single" w:color="000000" w:sz="2" w:space="0"/>
              <w:bottom w:val="single" w:color="000000" w:sz="8"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snapToGrid w:val="0"/>
                <w:color w:val="000000"/>
                <w:kern w:val="28"/>
                <w:sz w:val="24"/>
                <w:szCs w:val="20"/>
              </w:rPr>
              <w:t>中标服务费</w:t>
            </w:r>
          </w:p>
        </w:tc>
        <w:tc>
          <w:tcPr>
            <w:tcW w:w="6095" w:type="dxa"/>
            <w:tcBorders>
              <w:top w:val="single" w:color="000000" w:sz="8" w:space="0"/>
              <w:left w:val="single" w:color="auto" w:sz="4" w:space="0"/>
              <w:bottom w:val="single" w:color="000000" w:sz="8" w:space="0"/>
              <w:right w:val="single" w:color="000000" w:sz="8" w:space="0"/>
            </w:tcBorders>
            <w:vAlign w:val="center"/>
          </w:tcPr>
          <w:p>
            <w:pPr>
              <w:pStyle w:val="88"/>
              <w:snapToGrid w:val="0"/>
              <w:spacing w:before="0" w:beforeAutospacing="0" w:after="0" w:afterAutospacing="0"/>
              <w:ind w:left="0" w:right="0" w:firstLine="0" w:firstLineChars="0"/>
              <w:rPr>
                <w:rFonts w:hint="eastAsia" w:ascii="仿宋" w:hAnsi="仿宋" w:eastAsia="仿宋" w:cs="仿宋"/>
                <w:snapToGrid w:val="0"/>
                <w:color w:val="000000"/>
                <w:kern w:val="28"/>
                <w:sz w:val="24"/>
                <w:szCs w:val="24"/>
              </w:rPr>
            </w:pPr>
            <w:r>
              <w:rPr>
                <w:rFonts w:hint="eastAsia" w:ascii="仿宋" w:hAnsi="仿宋" w:eastAsia="仿宋" w:cs="仿宋"/>
                <w:sz w:val="24"/>
                <w:szCs w:val="24"/>
              </w:rPr>
              <w:t>本项目的招标代理费用由中标单位支付，代理费用付款按《招标代理服务收费管理暂行办法》的通知（余计价格[2002]1980号）文件直接支付给分散采购招标代理单位，投标人在报价时应综合考虑该笔费用，但不单列进投标总价。</w:t>
            </w:r>
            <w:r>
              <w:rPr>
                <w:rFonts w:hint="eastAsia" w:ascii="仿宋" w:hAnsi="仿宋" w:eastAsia="仿宋" w:cs="仿宋"/>
                <w:b/>
                <w:sz w:val="24"/>
                <w:szCs w:val="24"/>
              </w:rPr>
              <w:t>招标代理服务费：</w:t>
            </w:r>
            <w:r>
              <w:rPr>
                <w:rFonts w:hint="eastAsia" w:ascii="仿宋" w:hAnsi="仿宋" w:eastAsia="仿宋" w:cs="仿宋"/>
                <w:b/>
                <w:sz w:val="24"/>
                <w:szCs w:val="24"/>
                <w:u w:val="single" w:color="auto"/>
                <w:lang w:val="en-US" w:eastAsia="zh-CN"/>
              </w:rPr>
              <w:t>195000</w:t>
            </w:r>
            <w:r>
              <w:rPr>
                <w:rFonts w:hint="eastAsia" w:ascii="仿宋" w:hAnsi="仿宋" w:eastAsia="仿宋" w:cs="仿宋"/>
                <w:b/>
                <w:sz w:val="24"/>
                <w:szCs w:val="24"/>
              </w:rPr>
              <w:t>元</w:t>
            </w:r>
            <w:r>
              <w:rPr>
                <w:rFonts w:hint="eastAsia" w:ascii="仿宋" w:hAnsi="仿宋" w:eastAsia="仿宋" w:cs="仿宋"/>
                <w:snapToGrid w:val="0"/>
                <w:color w:val="000000"/>
                <w:kern w:val="28"/>
                <w:sz w:val="24"/>
                <w:szCs w:val="24"/>
              </w:rPr>
              <w:t>，中标服务费的交纳方式：以转帐或支票的形式支付，开户名：天阳建设管理有限公司；开户行名称：中信银行临平支行； 帐号：7331410195700021726</w:t>
            </w:r>
          </w:p>
          <w:p>
            <w:pPr>
              <w:pStyle w:val="20"/>
              <w:rPr>
                <w:rFonts w:hint="eastAsia" w:ascii="仿宋" w:hAnsi="仿宋" w:eastAsia="仿宋" w:cs="仿宋"/>
                <w:color w:val="0000FF"/>
                <w:kern w:val="0"/>
                <w:sz w:val="24"/>
                <w:szCs w:val="20"/>
              </w:rPr>
            </w:pPr>
            <w:r>
              <w:rPr>
                <w:rFonts w:hint="eastAsia" w:ascii="仿宋" w:hAnsi="仿宋" w:eastAsia="仿宋" w:cs="仿宋"/>
                <w:snapToGrid w:val="0"/>
                <w:color w:val="000000"/>
                <w:kern w:val="28"/>
                <w:sz w:val="24"/>
                <w:szCs w:val="24"/>
              </w:rPr>
              <w:t>中标单位需在领取中标通知书时缴纳中标服务费，缴纳时注明招标编号。</w:t>
            </w:r>
          </w:p>
        </w:tc>
      </w:tr>
    </w:tbl>
    <w:p>
      <w:pPr>
        <w:snapToGrid w:val="0"/>
        <w:spacing w:line="360" w:lineRule="auto"/>
        <w:jc w:val="center"/>
        <w:rPr>
          <w:rFonts w:ascii="仿宋" w:hAnsi="仿宋" w:eastAsia="仿宋" w:cs="仿宋_GB2312"/>
          <w:b/>
          <w:sz w:val="32"/>
          <w:szCs w:val="20"/>
        </w:rPr>
      </w:pPr>
    </w:p>
    <w:p>
      <w:pPr>
        <w:pStyle w:val="81"/>
      </w:pPr>
    </w:p>
    <w:bookmarkEnd w:id="10"/>
    <w:p>
      <w:pPr>
        <w:adjustRightInd/>
        <w:spacing w:line="360" w:lineRule="auto"/>
        <w:ind w:firstLine="3845" w:firstLineChars="1197"/>
        <w:outlineLvl w:val="0"/>
        <w:rPr>
          <w:rFonts w:hint="eastAsia" w:ascii="仿宋_GB2312" w:hAnsi="仿宋" w:eastAsia="仿宋_GB2312" w:cs="仿宋_GB2312"/>
          <w:b/>
          <w:sz w:val="32"/>
          <w:szCs w:val="20"/>
        </w:rPr>
      </w:pPr>
      <w:bookmarkStart w:id="11" w:name="_Toc164416483"/>
      <w:bookmarkStart w:id="12" w:name="第三部分"/>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hint="eastAsia" w:ascii="仿宋_GB2312" w:hAnsi="仿宋" w:eastAsia="仿宋_GB2312" w:cs="仿宋_GB2312"/>
          <w:b/>
          <w:sz w:val="32"/>
          <w:szCs w:val="20"/>
        </w:rPr>
      </w:pPr>
    </w:p>
    <w:p>
      <w:pPr>
        <w:pStyle w:val="26"/>
        <w:ind w:left="0" w:leftChars="0" w:firstLine="0" w:firstLineChars="0"/>
        <w:rPr>
          <w:rFonts w:hint="eastAsia"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color w:val="auto"/>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w:t>
      </w:r>
      <w:r>
        <w:rPr>
          <w:rFonts w:hint="eastAsia" w:ascii="仿宋_GB2312" w:hAnsi="仿宋" w:eastAsia="仿宋_GB2312"/>
          <w:color w:val="auto"/>
          <w:sz w:val="24"/>
        </w:rPr>
        <w:t>款，“★”系产品采购项目中单一产品或核心产品，“</w:t>
      </w:r>
      <w:r>
        <w:rPr>
          <w:rFonts w:ascii="Wingdings" w:hAnsi="Wingdings" w:eastAsia="仿宋_GB2312" w:cs="Arial"/>
          <w:color w:val="auto"/>
          <w:kern w:val="0"/>
          <w:sz w:val="24"/>
        </w:rPr>
        <w:t></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系指适用本项目的要求，“</w:t>
      </w:r>
      <w:r>
        <w:rPr>
          <w:rFonts w:ascii="MS Gothic" w:hAnsi="MS Gothic" w:eastAsia="MS Gothic" w:cs="Arial"/>
          <w:color w:val="auto"/>
          <w:kern w:val="0"/>
          <w:sz w:val="24"/>
        </w:rPr>
        <w:t>☐</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系指不适用本项目的要求。</w:t>
      </w:r>
    </w:p>
    <w:p>
      <w:pPr>
        <w:spacing w:line="360" w:lineRule="auto"/>
        <w:ind w:firstLine="241" w:firstLineChars="100"/>
        <w:rPr>
          <w:rFonts w:ascii="仿宋_GB2312" w:hAnsi="仿宋" w:eastAsia="仿宋_GB2312"/>
          <w:b/>
          <w:sz w:val="24"/>
        </w:rPr>
      </w:pPr>
      <w:r>
        <w:rPr>
          <w:rFonts w:hint="eastAsia" w:ascii="仿宋_GB2312" w:hAnsi="仿宋" w:eastAsia="仿宋_GB2312"/>
          <w:b/>
          <w:sz w:val="24"/>
          <w:lang w:val="en-US" w:eastAsia="zh-CN"/>
        </w:rPr>
        <w:t xml:space="preserve">  </w:t>
      </w: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highlight w:val="none"/>
        </w:rPr>
      </w:pPr>
      <w:r>
        <w:rPr>
          <w:rFonts w:hint="eastAsia" w:ascii="仿宋_GB2312" w:hAnsi="仿宋" w:eastAsia="仿宋_GB2312"/>
          <w:sz w:val="24"/>
          <w:lang w:val="en-US" w:eastAsia="zh-CN"/>
        </w:rPr>
        <w:t xml:space="preserve">  </w:t>
      </w: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ascii="仿宋_GB2312" w:hAnsi="仿宋" w:eastAsia="仿宋_GB2312"/>
          <w:sz w:val="24"/>
        </w:rPr>
      </w:pPr>
      <w:r>
        <w:rPr>
          <w:rFonts w:hint="eastAsia" w:ascii="仿宋_GB2312" w:hAnsi="仿宋" w:eastAsia="仿宋_GB2312"/>
          <w:sz w:val="24"/>
          <w:lang w:val="en-US" w:eastAsia="zh-CN"/>
        </w:rPr>
        <w:t xml:space="preserve"> </w:t>
      </w: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highlight w:val="none"/>
        </w:rPr>
      </w:pPr>
      <w:r>
        <w:rPr>
          <w:rFonts w:ascii="仿宋_GB2312" w:hAnsi="仿宋" w:eastAsia="仿宋_GB2312"/>
          <w:sz w:val="24"/>
        </w:rPr>
        <w:t>3.2.1</w:t>
      </w:r>
      <w:r>
        <w:rPr>
          <w:rFonts w:ascii="仿宋_GB2312" w:hAnsi="仿宋" w:eastAsia="仿宋_GB2312"/>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kern w:val="0"/>
          <w:sz w:val="24"/>
        </w:rPr>
        <w:t>3.3.2.3在服务采购项目中，服务由中小企业承接，即提供服务的人员为中小企业依照《中华人民共和</w:t>
      </w:r>
      <w:r>
        <w:rPr>
          <w:rFonts w:ascii="仿宋_GB2312" w:hAnsi="宋体" w:eastAsia="仿宋_GB2312" w:cs="宋体"/>
          <w:color w:val="auto"/>
          <w:kern w:val="0"/>
          <w:sz w:val="24"/>
          <w:highlight w:val="none"/>
        </w:rPr>
        <w:t>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3.3.3</w:t>
      </w:r>
      <w:r>
        <w:rPr>
          <w:rFonts w:hint="eastAsia" w:ascii="仿宋_GB2312" w:hAnsi="仿宋" w:eastAsia="仿宋_GB2312"/>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olor w:val="auto"/>
          <w:sz w:val="24"/>
          <w:highlight w:val="none"/>
          <w:lang w:val="en-US" w:eastAsia="zh-CN"/>
        </w:rPr>
        <w:t>20</w:t>
      </w:r>
      <w:r>
        <w:rPr>
          <w:rFonts w:ascii="仿宋_GB2312" w:hAnsi="仿宋" w:eastAsia="仿宋_GB2312"/>
          <w:color w:val="auto"/>
          <w:sz w:val="24"/>
          <w:highlight w:val="none"/>
        </w:rPr>
        <w:t>%的扣除，用扣除后的价格参与评审。接受大中型企业与小微企业组成联合体或者允许大中型企业向一家或者多家小微企业分包的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color w:val="auto"/>
          <w:sz w:val="24"/>
          <w:highlight w:val="none"/>
          <w:lang w:val="en-US" w:eastAsia="zh-CN"/>
        </w:rPr>
        <w:t>6</w:t>
      </w:r>
      <w:r>
        <w:rPr>
          <w:rFonts w:ascii="仿宋_GB2312" w:hAnsi="仿宋" w:eastAsia="仿宋_GB2312"/>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2" w:firstLineChars="200"/>
        <w:rPr>
          <w:rFonts w:ascii="仿宋_GB2312" w:hAnsi="仿宋" w:eastAsia="仿宋_GB2312"/>
          <w:b/>
          <w:bCs/>
          <w:sz w:val="24"/>
          <w:highlight w:val="none"/>
        </w:rPr>
      </w:pPr>
      <w:r>
        <w:rPr>
          <w:rFonts w:ascii="仿宋_GB2312" w:hAnsi="仿宋" w:eastAsia="仿宋_GB2312"/>
          <w:b/>
          <w:bCs/>
          <w:sz w:val="24"/>
          <w:highlight w:val="none"/>
        </w:rPr>
        <w:t>3.4.2首台套产品</w:t>
      </w:r>
      <w:r>
        <w:rPr>
          <w:rFonts w:hint="eastAsia" w:ascii="仿宋_GB2312" w:hAnsi="仿宋" w:eastAsia="仿宋_GB2312"/>
          <w:b/>
          <w:bCs/>
          <w:sz w:val="24"/>
          <w:highlight w:val="none"/>
        </w:rPr>
        <w:t>被纳入《首台套产品推广应用指导目录》之日起</w:t>
      </w:r>
      <w:r>
        <w:rPr>
          <w:rFonts w:ascii="仿宋_GB2312" w:hAnsi="仿宋" w:eastAsia="仿宋_GB2312"/>
          <w:b/>
          <w:bCs/>
          <w:sz w:val="24"/>
          <w:highlight w:val="none"/>
        </w:rPr>
        <w:t>2年内，以及产品核心技术高于国内领先水平，并具有明晰自主知识产权的“制造精品”产品，</w:t>
      </w:r>
      <w:r>
        <w:rPr>
          <w:rFonts w:hint="eastAsia" w:ascii="仿宋_GB2312" w:hAnsi="仿宋" w:eastAsia="仿宋_GB2312"/>
          <w:b/>
          <w:bCs/>
          <w:sz w:val="24"/>
          <w:highlight w:val="none"/>
        </w:rPr>
        <w:t>自认定之日起</w:t>
      </w:r>
      <w:r>
        <w:rPr>
          <w:rFonts w:ascii="仿宋_GB2312" w:hAnsi="仿宋" w:eastAsia="仿宋_GB2312"/>
          <w:b/>
          <w:bCs/>
          <w:sz w:val="24"/>
          <w:highlight w:val="none"/>
        </w:rPr>
        <w:t>2年内视同已具备相应销售业绩，参加政府采购活动</w:t>
      </w:r>
      <w:r>
        <w:rPr>
          <w:rFonts w:hint="eastAsia" w:ascii="仿宋_GB2312" w:hAnsi="仿宋" w:eastAsia="仿宋_GB2312"/>
          <w:b/>
          <w:bCs/>
          <w:sz w:val="24"/>
          <w:highlight w:val="none"/>
        </w:rPr>
        <w:t>时业绩分值为满分。</w:t>
      </w:r>
    </w:p>
    <w:p>
      <w:pPr>
        <w:spacing w:line="360" w:lineRule="auto"/>
        <w:rPr>
          <w:rFonts w:ascii="仿宋_GB2312" w:hAnsi="仿宋" w:eastAsia="仿宋_GB2312"/>
          <w:b/>
          <w:sz w:val="24"/>
        </w:rPr>
      </w:pPr>
      <w:r>
        <w:rPr>
          <w:rFonts w:hint="eastAsia" w:ascii="仿宋_GB2312" w:hAnsi="仿宋" w:eastAsia="仿宋_GB2312"/>
          <w:sz w:val="24"/>
          <w:lang w:val="en-US" w:eastAsia="zh-CN"/>
        </w:rPr>
        <w:t xml:space="preserve">   </w:t>
      </w: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4"/>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4"/>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cs="微软雅黑"/>
          <w:lang w:val="en-US" w:eastAsia="zh-CN"/>
        </w:rPr>
        <w:t xml:space="preserve"> </w:t>
      </w: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cs="微软雅黑"/>
          <w:lang w:val="en-US" w:eastAsia="zh-CN"/>
        </w:rPr>
        <w:t xml:space="preserve"> </w:t>
      </w: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lang w:val="en-US" w:eastAsia="zh-CN"/>
        </w:rPr>
        <w:t xml:space="preserve"> </w:t>
      </w: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lang w:val="en-US" w:eastAsia="zh-CN"/>
        </w:rPr>
        <w:t xml:space="preserve"> </w:t>
      </w: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lang w:val="en-US" w:eastAsia="zh-CN"/>
        </w:rPr>
        <w:t xml:space="preserve"> </w:t>
      </w:r>
      <w:r>
        <w:rPr>
          <w:rFonts w:ascii="仿宋_GB2312" w:hAnsi="仿宋" w:eastAsia="仿宋_GB2312"/>
        </w:rPr>
        <w:t>4.3.3供应</w:t>
      </w:r>
      <w:r>
        <w:rPr>
          <w:rFonts w:hint="eastAsia" w:ascii="仿宋_GB2312" w:hAnsi="仿宋" w:eastAsia="仿宋_GB2312"/>
        </w:rPr>
        <w:t>商投诉应当有明确的请求和必要的证明材料。</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lang w:val="en-US" w:eastAsia="zh-CN"/>
        </w:rPr>
        <w:t xml:space="preserve"> </w:t>
      </w:r>
      <w:r>
        <w:rPr>
          <w:rFonts w:ascii="仿宋_GB2312" w:hAnsi="仿宋" w:eastAsia="仿宋_GB2312"/>
        </w:rPr>
        <w:t>4.3.</w:t>
      </w:r>
      <w:r>
        <w:rPr>
          <w:rFonts w:hint="eastAsia" w:ascii="仿宋_GB2312" w:hAnsi="仿宋" w:eastAsia="仿宋_GB2312"/>
          <w:lang w:val="en-US" w:eastAsia="zh-CN"/>
        </w:rPr>
        <w:t>4</w:t>
      </w:r>
      <w:r>
        <w:rPr>
          <w:rFonts w:ascii="仿宋_GB2312" w:hAnsi="仿宋" w:eastAsia="仿宋_GB2312"/>
        </w:rPr>
        <w:t xml:space="preserve"> </w:t>
      </w:r>
      <w:r>
        <w:rPr>
          <w:rFonts w:hint="eastAsia" w:ascii="仿宋_GB2312" w:hAnsi="仿宋" w:eastAsia="仿宋_GB2312"/>
        </w:rPr>
        <w:t>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88"/>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88"/>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88"/>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4"/>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7"/>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rPr>
        <w:t>11.1.2落实政府采购政</w:t>
      </w:r>
      <w:r>
        <w:rPr>
          <w:rFonts w:ascii="仿宋_GB2312" w:hAnsi="仿宋" w:eastAsia="仿宋_GB2312" w:cs="仿宋_GB2312"/>
          <w:sz w:val="24"/>
          <w:highlight w:val="none"/>
        </w:rPr>
        <w:t>策需满足的资格要求</w:t>
      </w:r>
      <w:r>
        <w:rPr>
          <w:rFonts w:hint="eastAsia" w:ascii="仿宋_GB2312" w:hAnsi="仿宋" w:eastAsia="仿宋_GB2312" w:cs="仿宋_GB2312"/>
          <w:sz w:val="24"/>
          <w:highlight w:val="none"/>
        </w:rPr>
        <w:t>（如有)</w:t>
      </w:r>
      <w:r>
        <w:rPr>
          <w:rFonts w:ascii="仿宋_GB2312" w:hAnsi="仿宋" w:eastAsia="仿宋_GB2312" w:cs="仿宋_GB2312"/>
          <w:sz w:val="24"/>
          <w:highlight w:val="none"/>
        </w:rPr>
        <w:t>；</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11.1.3本项目的特定资格要求</w:t>
      </w:r>
      <w:r>
        <w:rPr>
          <w:rFonts w:hint="eastAsia" w:ascii="仿宋_GB2312" w:hAnsi="仿宋" w:eastAsia="仿宋_GB2312" w:cs="仿宋_GB2312"/>
          <w:sz w:val="24"/>
          <w:highlight w:val="none"/>
        </w:rPr>
        <w:t>（如有)</w:t>
      </w:r>
      <w:r>
        <w:rPr>
          <w:rFonts w:ascii="仿宋_GB2312" w:hAnsi="仿宋" w:eastAsia="仿宋_GB2312" w:cs="仿宋_GB2312"/>
          <w:sz w:val="24"/>
          <w:highlight w:val="none"/>
        </w:rPr>
        <w:t>。</w:t>
      </w:r>
    </w:p>
    <w:p>
      <w:pPr>
        <w:snapToGrid w:val="0"/>
        <w:spacing w:line="360" w:lineRule="auto"/>
        <w:ind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b/>
          <w:bCs/>
          <w:sz w:val="24"/>
          <w:highlight w:val="none"/>
        </w:rPr>
        <w:t>商务技术</w:t>
      </w:r>
      <w:r>
        <w:rPr>
          <w:rFonts w:hint="eastAsia" w:ascii="仿宋_GB2312" w:hAnsi="仿宋" w:eastAsia="仿宋_GB2312" w:cs="仿宋_GB2312"/>
          <w:b/>
          <w:bCs/>
          <w:sz w:val="24"/>
          <w:highlight w:val="none"/>
          <w:lang w:val="zh-CN"/>
        </w:rPr>
        <w:t>文件：</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11.2.1投标函；</w:t>
      </w:r>
      <w:r>
        <w:rPr>
          <w:rFonts w:ascii="仿宋_GB2312" w:hAnsi="仿宋" w:eastAsia="仿宋_GB2312" w:cs="仿宋_GB2312"/>
          <w:sz w:val="24"/>
          <w:highlight w:val="none"/>
          <w:lang w:val="zh-CN"/>
        </w:rPr>
        <w:t xml:space="preserve"> </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11.2.3联合协议</w:t>
      </w:r>
      <w:r>
        <w:rPr>
          <w:rFonts w:hint="eastAsia" w:ascii="仿宋_GB2312" w:hAnsi="仿宋" w:eastAsia="仿宋_GB2312" w:cs="仿宋_GB2312"/>
          <w:sz w:val="24"/>
          <w:highlight w:val="none"/>
        </w:rPr>
        <w:t>（如有)</w:t>
      </w:r>
      <w:r>
        <w:rPr>
          <w:rFonts w:ascii="仿宋_GB2312" w:hAnsi="仿宋" w:eastAsia="仿宋_GB2312" w:cs="仿宋_GB2312"/>
          <w:sz w:val="24"/>
          <w:highlight w:val="none"/>
        </w:rPr>
        <w:t>；</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11.2.4分包意向协议</w:t>
      </w:r>
      <w:r>
        <w:rPr>
          <w:rFonts w:hint="eastAsia" w:ascii="仿宋_GB2312" w:hAnsi="仿宋" w:eastAsia="仿宋_GB2312" w:cs="仿宋_GB2312"/>
          <w:sz w:val="24"/>
          <w:highlight w:val="none"/>
        </w:rPr>
        <w:t>（如有)</w:t>
      </w:r>
      <w:r>
        <w:rPr>
          <w:rFonts w:ascii="仿宋_GB2312" w:hAnsi="仿宋" w:eastAsia="仿宋_GB2312" w:cs="仿宋_GB2312"/>
          <w:sz w:val="24"/>
          <w:highlight w:val="none"/>
        </w:rPr>
        <w:t>；</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11.2.5符合性审查资料；</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11.2.6评标标准相应的商务技术资料；</w:t>
      </w:r>
    </w:p>
    <w:p>
      <w:pPr>
        <w:snapToGrid w:val="0"/>
        <w:spacing w:line="360" w:lineRule="auto"/>
        <w:ind w:left="0" w:leftChars="0" w:firstLine="960" w:firstLineChars="400"/>
        <w:rPr>
          <w:rFonts w:hint="default" w:ascii="仿宋_GB2312" w:hAnsi="仿宋" w:eastAsia="仿宋_GB2312" w:cs="仿宋_GB2312"/>
          <w:sz w:val="24"/>
          <w:highlight w:val="none"/>
          <w:lang w:val="en-US" w:eastAsia="zh-CN"/>
        </w:rPr>
      </w:pPr>
      <w:r>
        <w:rPr>
          <w:rFonts w:hint="default" w:ascii="仿宋_GB2312" w:hAnsi="仿宋" w:eastAsia="仿宋_GB2312" w:cs="仿宋_GB2312"/>
          <w:color w:val="auto"/>
          <w:sz w:val="24"/>
          <w:highlight w:val="none"/>
        </w:rPr>
        <w:t>11.2.7投标标的清单；</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w:t>
      </w:r>
      <w:r>
        <w:rPr>
          <w:rFonts w:hint="eastAsia" w:ascii="仿宋_GB2312" w:hAnsi="仿宋" w:eastAsia="仿宋_GB2312" w:cs="仿宋_GB2312"/>
          <w:sz w:val="24"/>
          <w:highlight w:val="none"/>
          <w:lang w:val="en-US" w:eastAsia="zh-CN"/>
        </w:rPr>
        <w:t>8</w:t>
      </w:r>
      <w:r>
        <w:rPr>
          <w:rFonts w:ascii="仿宋_GB2312" w:hAnsi="仿宋" w:eastAsia="仿宋_GB2312" w:cs="仿宋_GB2312"/>
          <w:sz w:val="24"/>
          <w:highlight w:val="none"/>
        </w:rPr>
        <w:t>商务技术偏离表；</w:t>
      </w:r>
    </w:p>
    <w:p>
      <w:pPr>
        <w:snapToGrid w:val="0"/>
        <w:spacing w:line="360" w:lineRule="auto"/>
        <w:ind w:firstLine="960" w:firstLineChars="400"/>
        <w:rPr>
          <w:rFonts w:hint="default"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hint="eastAsia" w:ascii="仿宋_GB2312" w:hAnsi="仿宋" w:eastAsia="仿宋_GB2312" w:cs="仿宋_GB2312"/>
          <w:sz w:val="24"/>
          <w:highlight w:val="none"/>
          <w:lang w:val="en-US" w:eastAsia="zh-CN"/>
        </w:rPr>
        <w:t>9</w:t>
      </w:r>
      <w:r>
        <w:rPr>
          <w:rFonts w:hint="default" w:ascii="仿宋_GB2312" w:hAnsi="仿宋" w:eastAsia="仿宋_GB2312" w:cs="仿宋_GB2312"/>
          <w:sz w:val="24"/>
          <w:highlight w:val="none"/>
          <w:lang w:val="zh-CN"/>
        </w:rPr>
        <w:t>政府采购供应商廉洁自律承诺书；</w:t>
      </w:r>
    </w:p>
    <w:p>
      <w:pPr>
        <w:snapToGrid w:val="0"/>
        <w:spacing w:line="360" w:lineRule="auto"/>
        <w:ind w:firstLine="0" w:firstLineChars="0"/>
        <w:jc w:val="both"/>
        <w:rPr>
          <w:rFonts w:hint="default" w:ascii="仿宋_GB2312" w:hAnsi="仿宋" w:eastAsia="仿宋_GB2312" w:cs="仿宋_GB2312"/>
          <w:color w:val="auto"/>
          <w:sz w:val="24"/>
          <w:szCs w:val="20"/>
          <w:highlight w:val="none"/>
        </w:rPr>
      </w:pPr>
      <w:r>
        <w:rPr>
          <w:rFonts w:hint="eastAsia" w:ascii="仿宋_GB2312" w:hAnsi="仿宋" w:eastAsia="仿宋_GB2312" w:cs="仿宋_GB2312"/>
          <w:sz w:val="24"/>
          <w:highlight w:val="none"/>
          <w:lang w:val="en-US" w:eastAsia="zh-CN"/>
        </w:rPr>
        <w:t xml:space="preserve">       </w:t>
      </w:r>
      <w:r>
        <w:rPr>
          <w:rFonts w:hint="default" w:ascii="仿宋_GB2312" w:hAnsi="仿宋" w:eastAsia="仿宋_GB2312" w:cs="仿宋_GB2312"/>
          <w:sz w:val="24"/>
          <w:highlight w:val="none"/>
          <w:lang w:val="zh-CN" w:eastAsia="zh-CN"/>
        </w:rPr>
        <w:t xml:space="preserve"> 11.2.</w:t>
      </w:r>
      <w:r>
        <w:rPr>
          <w:rFonts w:hint="eastAsia" w:ascii="仿宋_GB2312" w:hAnsi="仿宋" w:eastAsia="仿宋_GB2312" w:cs="仿宋_GB2312"/>
          <w:sz w:val="24"/>
          <w:highlight w:val="none"/>
          <w:lang w:val="en-US" w:eastAsia="zh-CN"/>
        </w:rPr>
        <w:t>10</w:t>
      </w:r>
      <w:r>
        <w:rPr>
          <w:rFonts w:hint="default" w:ascii="仿宋_GB2312" w:hAnsi="仿宋" w:eastAsia="仿宋_GB2312" w:cs="仿宋_GB2312"/>
          <w:color w:val="auto"/>
          <w:sz w:val="24"/>
          <w:szCs w:val="20"/>
          <w:highlight w:val="none"/>
          <w:lang w:val="zh-CN"/>
        </w:rPr>
        <w:t>投标</w:t>
      </w:r>
      <w:r>
        <w:rPr>
          <w:rFonts w:hint="default" w:ascii="仿宋_GB2312" w:hAnsi="仿宋" w:eastAsia="仿宋_GB2312" w:cs="仿宋_GB2312"/>
          <w:color w:val="auto"/>
          <w:sz w:val="24"/>
          <w:szCs w:val="20"/>
          <w:highlight w:val="none"/>
          <w:lang w:val="en-US" w:eastAsia="zh-CN"/>
        </w:rPr>
        <w:t>人</w:t>
      </w:r>
      <w:r>
        <w:rPr>
          <w:rFonts w:hint="default" w:ascii="仿宋_GB2312" w:hAnsi="仿宋" w:eastAsia="仿宋_GB2312" w:cs="仿宋_GB2312"/>
          <w:color w:val="auto"/>
          <w:sz w:val="24"/>
          <w:szCs w:val="20"/>
          <w:highlight w:val="none"/>
          <w:lang w:val="zh-CN"/>
        </w:rPr>
        <w:t>认为需要的其他文件资料</w:t>
      </w:r>
      <w:r>
        <w:rPr>
          <w:rFonts w:hint="default" w:ascii="仿宋_GB2312" w:hAnsi="仿宋" w:eastAsia="仿宋_GB2312" w:cs="仿宋_GB2312"/>
          <w:color w:val="auto"/>
          <w:sz w:val="24"/>
          <w:szCs w:val="20"/>
          <w:highlight w:val="none"/>
          <w:lang w:val="zh-CN" w:eastAsia="zh-CN"/>
        </w:rPr>
        <w:t>（如有）</w:t>
      </w:r>
      <w:r>
        <w:rPr>
          <w:rFonts w:ascii="仿宋_GB2312" w:hAnsi="仿宋" w:eastAsia="仿宋_GB2312" w:cs="仿宋_GB2312"/>
          <w:sz w:val="24"/>
          <w:highlight w:val="none"/>
        </w:rPr>
        <w:t>。</w:t>
      </w:r>
    </w:p>
    <w:p>
      <w:pPr>
        <w:snapToGrid w:val="0"/>
        <w:spacing w:line="360" w:lineRule="auto"/>
        <w:ind w:firstLine="480" w:firstLineChars="200"/>
        <w:rPr>
          <w:rFonts w:ascii="仿宋_GB2312" w:hAnsi="仿宋" w:eastAsia="仿宋_GB2312" w:cs="仿宋_GB2312"/>
          <w:sz w:val="24"/>
          <w:highlight w:val="none"/>
          <w:u w:val="single"/>
          <w:lang w:val="zh-CN"/>
        </w:rPr>
      </w:pPr>
      <w:r>
        <w:rPr>
          <w:rFonts w:ascii="仿宋_GB2312" w:hAnsi="仿宋" w:eastAsia="仿宋_GB2312" w:cs="仿宋_GB2312"/>
          <w:kern w:val="0"/>
          <w:sz w:val="24"/>
          <w:highlight w:val="none"/>
          <w:lang w:val="zh-CN"/>
        </w:rPr>
        <w:t>11.</w:t>
      </w:r>
      <w:r>
        <w:rPr>
          <w:rFonts w:ascii="仿宋_GB2312" w:hAnsi="仿宋" w:eastAsia="仿宋_GB2312" w:cs="仿宋_GB2312"/>
          <w:kern w:val="0"/>
          <w:sz w:val="24"/>
          <w:highlight w:val="none"/>
        </w:rPr>
        <w:t>3</w:t>
      </w:r>
      <w:r>
        <w:rPr>
          <w:rFonts w:hint="eastAsia" w:ascii="仿宋_GB2312" w:hAnsi="仿宋" w:eastAsia="仿宋_GB2312" w:cs="仿宋_GB2312"/>
          <w:b/>
          <w:sz w:val="24"/>
          <w:highlight w:val="none"/>
        </w:rPr>
        <w:t>报价文件：</w:t>
      </w:r>
      <w:r>
        <w:rPr>
          <w:rFonts w:ascii="仿宋_GB2312" w:hAnsi="仿宋" w:eastAsia="仿宋_GB2312" w:cs="仿宋_GB2312"/>
          <w:sz w:val="24"/>
          <w:highlight w:val="none"/>
        </w:rPr>
        <w:t xml:space="preserve"> </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11.3.1开标一览表（报价表）；</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11.3.2中小企业声明函</w:t>
      </w:r>
      <w:r>
        <w:rPr>
          <w:rFonts w:hint="eastAsia" w:ascii="仿宋_GB2312" w:hAnsi="仿宋" w:eastAsia="仿宋_GB2312" w:cs="仿宋_GB2312"/>
          <w:sz w:val="24"/>
          <w:highlight w:val="none"/>
          <w:lang w:eastAsia="zh-CN"/>
        </w:rPr>
        <w:t>；</w:t>
      </w:r>
    </w:p>
    <w:p>
      <w:pPr>
        <w:snapToGrid w:val="0"/>
        <w:ind w:firstLine="960" w:firstLineChars="400"/>
        <w:rPr>
          <w:rFonts w:ascii="仿宋_GB2312" w:hAnsi="仿宋" w:eastAsia="仿宋_GB2312" w:cs="仿宋_GB2312"/>
          <w:sz w:val="24"/>
          <w:highlight w:val="none"/>
        </w:rPr>
      </w:pPr>
      <w:r>
        <w:rPr>
          <w:rFonts w:hint="eastAsia" w:ascii="仿宋_GB2312" w:hAnsi="仿宋" w:eastAsia="仿宋_GB2312" w:cs="仿宋_GB2312"/>
          <w:sz w:val="24"/>
          <w:highlight w:val="none"/>
          <w:lang w:val="en-US" w:eastAsia="zh-CN"/>
        </w:rPr>
        <w:t>11.3.3</w:t>
      </w:r>
      <w:r>
        <w:rPr>
          <w:rFonts w:hint="default" w:ascii="仿宋_GB2312" w:hAnsi="仿宋" w:eastAsia="仿宋_GB2312" w:cs="仿宋_GB2312"/>
          <w:sz w:val="24"/>
          <w:highlight w:val="none"/>
        </w:rPr>
        <w:t>投标人针对报价需要说明的其他文件和说明</w:t>
      </w:r>
      <w:r>
        <w:rPr>
          <w:rFonts w:hint="default" w:ascii="仿宋_GB2312" w:hAnsi="仿宋" w:eastAsia="仿宋_GB2312" w:cs="仿宋_GB2312"/>
          <w:sz w:val="24"/>
          <w:highlight w:val="none"/>
          <w:lang w:eastAsia="zh-CN"/>
        </w:rPr>
        <w:t>（如有）</w:t>
      </w:r>
      <w:r>
        <w:rPr>
          <w:rFonts w:hint="default" w:ascii="仿宋_GB2312" w:hAnsi="仿宋" w:eastAsia="仿宋_GB2312" w:cs="仿宋_GB2312"/>
          <w:sz w:val="24"/>
          <w:highlight w:val="none"/>
        </w:rPr>
        <w:t>。</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88"/>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88"/>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88"/>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88"/>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88"/>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88"/>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8"/>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88"/>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4"/>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w:t>
      </w:r>
      <w:r>
        <w:rPr>
          <w:rFonts w:hint="eastAsia" w:ascii="仿宋_GB2312" w:hAnsi="仿宋" w:eastAsia="仿宋_GB2312" w:cs="仿宋_GB2312"/>
          <w:sz w:val="24"/>
          <w:szCs w:val="24"/>
        </w:rPr>
        <w:t>在</w:t>
      </w:r>
      <w:r>
        <w:rPr>
          <w:rFonts w:hint="eastAsia" w:ascii="仿宋_GB2312" w:hAnsi="仿宋" w:eastAsia="仿宋_GB2312" w:cs="仿宋_GB2312"/>
          <w:b/>
          <w:bCs/>
          <w:sz w:val="24"/>
          <w:szCs w:val="24"/>
        </w:rPr>
        <w:t>投标截止时间前半小时内</w:t>
      </w:r>
      <w:r>
        <w:rPr>
          <w:rFonts w:ascii="仿宋_GB2312" w:hAnsi="仿宋" w:eastAsia="仿宋_GB2312" w:cs="仿宋_GB2312"/>
          <w:sz w:val="24"/>
          <w:szCs w:val="24"/>
        </w:rPr>
        <w:t>递交备份投标文件1份</w:t>
      </w:r>
      <w:r>
        <w:rPr>
          <w:rFonts w:hint="eastAsia" w:ascii="仿宋_GB2312" w:hAnsi="仿宋" w:eastAsia="仿宋_GB2312" w:cs="仿宋_GB2312"/>
          <w:sz w:val="24"/>
          <w:szCs w:val="24"/>
          <w:lang w:val="en-US" w:eastAsia="zh-CN"/>
        </w:rPr>
        <w:t>至</w:t>
      </w:r>
      <w:r>
        <w:rPr>
          <w:rFonts w:hint="eastAsia" w:ascii="仿宋_GB2312" w:hAnsi="仿宋" w:eastAsia="仿宋_GB2312" w:cs="仿宋_GB2312"/>
          <w:sz w:val="24"/>
          <w:szCs w:val="24"/>
        </w:rPr>
        <w:t>杭州市临平区南苑街道玩月街88号1幢10楼招标</w:t>
      </w:r>
      <w:r>
        <w:rPr>
          <w:rFonts w:hint="eastAsia" w:ascii="仿宋" w:hAnsi="仿宋" w:eastAsia="仿宋" w:cs="仿宋"/>
          <w:kern w:val="28"/>
          <w:sz w:val="24"/>
          <w:szCs w:val="24"/>
        </w:rPr>
        <w:t>代理部前台</w:t>
      </w:r>
      <w:r>
        <w:rPr>
          <w:rFonts w:ascii="仿宋_GB2312" w:hAnsi="仿宋" w:eastAsia="仿宋_GB2312" w:cs="仿宋_GB2312"/>
          <w:sz w:val="24"/>
          <w:szCs w:val="24"/>
        </w:rPr>
        <w:t>，</w:t>
      </w:r>
      <w:r>
        <w:rPr>
          <w:rFonts w:hint="eastAsia" w:ascii="仿宋_GB2312" w:hAnsi="仿宋" w:eastAsia="仿宋_GB2312" w:cs="仿宋_GB2312"/>
          <w:b/>
          <w:sz w:val="24"/>
          <w:szCs w:val="24"/>
        </w:rPr>
        <w:t>但采购人、采购机构不强制或变相强制投标人提交备份投标文件。</w:t>
      </w:r>
    </w:p>
    <w:p>
      <w:pPr>
        <w:pStyle w:val="34"/>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w:t>
      </w:r>
      <w:r>
        <w:rPr>
          <w:rFonts w:hint="eastAsia" w:ascii="仿宋_GB2312" w:hAnsi="仿宋" w:eastAsia="仿宋_GB2312" w:cs="仿宋_GB2312"/>
          <w:b/>
          <w:sz w:val="24"/>
          <w:szCs w:val="24"/>
          <w:lang w:val="en-US" w:eastAsia="zh-CN"/>
        </w:rPr>
        <w:t>4</w:t>
      </w:r>
      <w:r>
        <w:rPr>
          <w:rFonts w:ascii="仿宋_GB2312" w:hAnsi="仿宋" w:eastAsia="仿宋_GB2312" w:cs="仿宋_GB2312"/>
          <w:b/>
          <w:sz w:val="24"/>
          <w:szCs w:val="24"/>
        </w:rPr>
        <w:t>投标人仅提交备份投标文件，没有在电子交易平台传输递交投标文件的，投标无效。</w:t>
      </w:r>
    </w:p>
    <w:p>
      <w:pPr>
        <w:pStyle w:val="88"/>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5"/>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lang w:val="en-US" w:eastAsia="zh-CN"/>
        </w:rPr>
        <w:t>4.2</w:t>
      </w:r>
      <w:r>
        <w:rPr>
          <w:rFonts w:ascii="仿宋_GB2312" w:hAnsi="仿宋" w:eastAsia="仿宋_GB2312"/>
        </w:rPr>
        <w:t>规定</w:t>
      </w:r>
      <w:r>
        <w:rPr>
          <w:rFonts w:hint="eastAsia" w:ascii="仿宋_GB2312" w:hAnsi="仿宋" w:eastAsia="仿宋_GB2312" w:cs="仿宋_GB2312"/>
          <w:szCs w:val="21"/>
        </w:rPr>
        <w:t>的情形之一的，投标无效：</w:t>
      </w:r>
    </w:p>
    <w:p>
      <w:pPr>
        <w:pStyle w:val="88"/>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88"/>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88"/>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88"/>
        <w:spacing w:before="0"/>
        <w:ind w:firstLine="643"/>
        <w:rPr>
          <w:rFonts w:ascii="仿宋_GB2312" w:hAnsi="仿宋" w:eastAsia="仿宋_GB2312" w:cs="仿宋_GB2312"/>
          <w:b/>
          <w:sz w:val="32"/>
        </w:rPr>
      </w:pPr>
    </w:p>
    <w:p>
      <w:pPr>
        <w:pStyle w:val="88"/>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1"/>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241"/>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41"/>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41"/>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88"/>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88"/>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88"/>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88"/>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88"/>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8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8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8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88"/>
        <w:spacing w:before="0"/>
        <w:ind w:firstLine="480"/>
        <w:rPr>
          <w:rFonts w:ascii="仿宋_GB2312" w:hAnsi="仿宋" w:eastAsia="仿宋_GB2312" w:cs="仿宋_GB2312"/>
          <w:color w:val="auto"/>
        </w:rPr>
      </w:pPr>
      <w:r>
        <w:rPr>
          <w:rFonts w:ascii="仿宋_GB2312" w:hAnsi="仿宋" w:eastAsia="仿宋_GB2312" w:cs="Arial"/>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rPr>
        <w:t>。</w:t>
      </w:r>
    </w:p>
    <w:p>
      <w:pPr>
        <w:pStyle w:val="88"/>
        <w:spacing w:before="0"/>
        <w:ind w:firstLine="0" w:firstLineChars="0"/>
        <w:rPr>
          <w:rFonts w:ascii="仿宋_GB2312" w:hAnsi="仿宋" w:eastAsia="仿宋_GB2312" w:cs="Arial"/>
          <w:color w:val="auto"/>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88"/>
        <w:snapToGrid w:val="0"/>
        <w:spacing w:before="0"/>
        <w:ind w:firstLine="480"/>
        <w:rPr>
          <w:rFonts w:hint="eastAsia" w:ascii="仿宋_GB2312" w:hAnsi="仿宋" w:eastAsia="仿宋_GB2312" w:cs="仿宋_GB2312"/>
          <w:kern w:val="2"/>
          <w:sz w:val="24"/>
          <w:szCs w:val="24"/>
          <w:highlight w:val="none"/>
          <w:lang w:val="en-US" w:eastAsia="zh-CN" w:bidi="ar-SA"/>
        </w:rPr>
      </w:pPr>
      <w:r>
        <w:rPr>
          <w:rFonts w:hint="eastAsia" w:ascii="仿宋_GB2312" w:hAnsi="仿宋" w:eastAsia="仿宋_GB2312" w:cs="仿宋_GB2312"/>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8"/>
        <w:snapToGrid w:val="0"/>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 xml:space="preserve">23. </w:t>
      </w:r>
      <w:r>
        <w:rPr>
          <w:rFonts w:hint="eastAsia" w:ascii="仿宋_GB2312" w:hAnsi="仿宋" w:eastAsia="仿宋_GB2312" w:cs="仿宋_GB2312"/>
          <w:b/>
          <w:szCs w:val="24"/>
          <w:highlight w:val="none"/>
        </w:rPr>
        <w:t>中标通知与中标结果公告</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23.1自中标人确定之日起2个工作日内，采购机构通过电子交易平台向中标人发出中标通知书，</w:t>
      </w:r>
      <w:r>
        <w:rPr>
          <w:rFonts w:hint="eastAsia" w:ascii="仿宋_GB2312" w:hAnsi="仿宋" w:eastAsia="仿宋_GB2312" w:cs="仿宋_GB2312"/>
          <w:sz w:val="24"/>
          <w:highlight w:val="none"/>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highlight w:val="none"/>
        </w:rPr>
        <w:t>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highlight w:val="none"/>
        </w:rPr>
      </w:pPr>
      <w:r>
        <w:rPr>
          <w:rFonts w:ascii="仿宋_GB2312" w:hAnsi="仿宋" w:eastAsia="仿宋_GB2312" w:cs="仿宋_GB2312"/>
          <w:sz w:val="24"/>
          <w:highlight w:val="none"/>
        </w:rPr>
        <w:t>25.1</w:t>
      </w:r>
      <w:r>
        <w:rPr>
          <w:rFonts w:ascii="仿宋_GB2312" w:hAnsi="仿宋" w:eastAsia="仿宋_GB2312" w:cs="Arial"/>
          <w:kern w:val="0"/>
          <w:sz w:val="24"/>
          <w:highlight w:val="none"/>
        </w:rPr>
        <w:t xml:space="preserve"> 采购人与中标人应当通过电子交易平台在中标通知书发出之日起</w:t>
      </w:r>
      <w:r>
        <w:rPr>
          <w:rFonts w:hint="eastAsia" w:ascii="仿宋_GB2312" w:hAnsi="仿宋" w:eastAsia="仿宋_GB2312" w:cs="Arial"/>
          <w:kern w:val="0"/>
          <w:sz w:val="24"/>
          <w:highlight w:val="none"/>
          <w:lang w:eastAsia="zh-CN"/>
        </w:rPr>
        <w:t>十个工作日</w:t>
      </w:r>
      <w:r>
        <w:rPr>
          <w:rFonts w:ascii="仿宋_GB2312" w:hAnsi="仿宋" w:eastAsia="仿宋_GB2312" w:cs="Arial"/>
          <w:kern w:val="0"/>
          <w:sz w:val="24"/>
          <w:highlight w:val="none"/>
        </w:rPr>
        <w:t>内，按照招标文件确定的事项签订政府采购合同，并在</w:t>
      </w:r>
      <w:r>
        <w:rPr>
          <w:rFonts w:hint="eastAsia" w:ascii="仿宋_GB2312" w:hAnsi="仿宋" w:eastAsia="仿宋_GB2312" w:cs="Arial"/>
          <w:kern w:val="0"/>
          <w:sz w:val="24"/>
          <w:highlight w:val="none"/>
        </w:rPr>
        <w:t>合同签订之日起2个工作日</w:t>
      </w:r>
      <w:r>
        <w:rPr>
          <w:rFonts w:ascii="仿宋_GB2312" w:hAnsi="仿宋" w:eastAsia="仿宋_GB2312" w:cs="Arial"/>
          <w:kern w:val="0"/>
          <w:sz w:val="24"/>
          <w:highlight w:val="none"/>
        </w:rPr>
        <w:t>内依法发布合同公告。</w:t>
      </w:r>
    </w:p>
    <w:p>
      <w:pPr>
        <w:pStyle w:val="88"/>
        <w:snapToGrid w:val="0"/>
        <w:spacing w:before="0"/>
        <w:ind w:firstLine="480"/>
        <w:rPr>
          <w:rFonts w:ascii="仿宋_GB2312" w:hAnsi="仿宋" w:eastAsia="仿宋_GB2312"/>
          <w:kern w:val="0"/>
        </w:rPr>
      </w:pPr>
      <w:r>
        <w:rPr>
          <w:rFonts w:ascii="仿宋_GB2312" w:hAnsi="仿宋" w:eastAsia="仿宋_GB2312" w:cs="仿宋_GB2312"/>
          <w:kern w:val="0"/>
          <w:highlight w:val="none"/>
          <w:lang w:val="zh-CN"/>
        </w:rPr>
        <w:t>25.2</w:t>
      </w:r>
      <w:r>
        <w:rPr>
          <w:rFonts w:hint="eastAsia" w:ascii="仿宋_GB2312" w:hAnsi="仿宋" w:eastAsia="仿宋_GB2312"/>
          <w:kern w:val="0"/>
          <w:highlight w:val="none"/>
          <w:lang w:val="zh-CN"/>
        </w:rPr>
        <w:t>中标人按规定的日期、时间、地点，由</w:t>
      </w:r>
      <w:r>
        <w:rPr>
          <w:rFonts w:hint="eastAsia" w:ascii="仿宋_GB2312" w:hAnsi="仿宋" w:eastAsia="仿宋_GB2312"/>
          <w:kern w:val="0"/>
          <w:lang w:val="zh-CN"/>
        </w:rPr>
        <w:t>法定代表人或其授权代表与采购人代表签订合同。如中标人为联合体的，由联合体成员各方法定代表人或其授权代表与采购人代表签订合同。</w:t>
      </w:r>
    </w:p>
    <w:p>
      <w:pPr>
        <w:pStyle w:val="88"/>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88"/>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88"/>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highlight w:val="none"/>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w:t>
      </w:r>
      <w:r>
        <w:rPr>
          <w:rFonts w:hint="eastAsia" w:ascii="仿宋_GB2312" w:hAnsi="仿宋" w:eastAsia="仿宋_GB2312" w:cs="Helvetica"/>
          <w:kern w:val="0"/>
          <w:sz w:val="24"/>
          <w:highlight w:val="none"/>
        </w:rPr>
        <w:t>形式提交</w:t>
      </w:r>
      <w:r>
        <w:rPr>
          <w:rFonts w:hint="eastAsia" w:ascii="仿宋_GB2312" w:hAnsi="仿宋" w:eastAsia="仿宋_GB2312"/>
          <w:sz w:val="24"/>
          <w:highlight w:val="none"/>
        </w:rPr>
        <w:t>。</w:t>
      </w:r>
      <w:r>
        <w:rPr>
          <w:rFonts w:hint="eastAsia" w:ascii="仿宋_GB2312" w:hAnsi="仿宋" w:eastAsia="仿宋_GB2312"/>
          <w:sz w:val="24"/>
          <w:highlight w:val="none"/>
          <w:lang w:eastAsia="zh-CN"/>
        </w:rPr>
        <w:t>杭州市政府采购网公布的供应商履约评价为满分的供应商，采购单位应当免收履约保证金。确需收履约保证金的，</w:t>
      </w:r>
      <w:r>
        <w:rPr>
          <w:rFonts w:hint="eastAsia" w:ascii="仿宋_GB2312" w:hAnsi="仿宋" w:eastAsia="仿宋_GB2312"/>
          <w:sz w:val="24"/>
          <w:highlight w:val="none"/>
        </w:rPr>
        <w:t>履约保证金的数额不得超过政府采购合同金额的</w:t>
      </w:r>
      <w:r>
        <w:rPr>
          <w:rFonts w:hint="eastAsia" w:ascii="仿宋_GB2312" w:hAnsi="仿宋" w:eastAsia="仿宋_GB2312"/>
          <w:sz w:val="24"/>
          <w:highlight w:val="none"/>
          <w:lang w:val="en-US" w:eastAsia="zh-CN"/>
        </w:rPr>
        <w:t>1</w:t>
      </w:r>
      <w:r>
        <w:rPr>
          <w:rFonts w:ascii="仿宋_GB2312" w:hAnsi="仿宋" w:eastAsia="仿宋_GB2312"/>
          <w:sz w:val="24"/>
          <w:highlight w:val="none"/>
        </w:rPr>
        <w:t>%。</w:t>
      </w:r>
      <w:r>
        <w:rPr>
          <w:rFonts w:hint="eastAsia" w:ascii="仿宋_GB2312" w:hAnsi="仿宋" w:eastAsia="仿宋_GB2312"/>
          <w:sz w:val="24"/>
          <w:highlight w:val="none"/>
        </w:rPr>
        <w:t>鼓励和支持供应商以银行、保险公司出具的保函形式提供履约保证金。</w:t>
      </w:r>
      <w:r>
        <w:rPr>
          <w:rFonts w:hint="eastAsia" w:ascii="仿宋_GB2312" w:hAnsi="仿宋" w:eastAsia="仿宋_GB2312"/>
          <w:b/>
          <w:sz w:val="24"/>
          <w:highlight w:val="none"/>
        </w:rPr>
        <w:t>采购人不得拒收履约保函。</w:t>
      </w:r>
    </w:p>
    <w:p>
      <w:pPr>
        <w:pStyle w:val="3"/>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highlight w:val="none"/>
        </w:rPr>
      </w:pPr>
      <w:r>
        <w:rPr>
          <w:rFonts w:hint="eastAsia" w:ascii="仿宋_GB2312" w:hAnsi="仿宋" w:eastAsia="仿宋_GB2312" w:cs="仿宋_GB2312"/>
          <w:b/>
          <w:sz w:val="32"/>
          <w:highlight w:val="none"/>
        </w:rPr>
        <w:t>八、电子交易活动的中止</w:t>
      </w:r>
    </w:p>
    <w:p>
      <w:pPr>
        <w:pStyle w:val="88"/>
        <w:snapToGrid w:val="0"/>
        <w:spacing w:before="0"/>
        <w:ind w:firstLine="0" w:firstLineChars="0"/>
        <w:rPr>
          <w:rFonts w:ascii="仿宋_GB2312" w:hAnsi="仿宋" w:eastAsia="仿宋_GB2312" w:cs="仿宋_GB2312"/>
          <w:highlight w:val="none"/>
        </w:rPr>
      </w:pPr>
      <w:r>
        <w:rPr>
          <w:rFonts w:ascii="仿宋_GB2312" w:hAnsi="仿宋" w:eastAsia="仿宋_GB2312" w:cs="仿宋_GB2312"/>
          <w:highlight w:val="none"/>
        </w:rPr>
        <w:t>2</w:t>
      </w:r>
      <w:r>
        <w:rPr>
          <w:rFonts w:ascii="仿宋_GB2312" w:hAnsi="仿宋" w:eastAsia="仿宋_GB2312" w:cs="仿宋_GB2312"/>
          <w:b/>
          <w:szCs w:val="24"/>
          <w:highlight w:val="none"/>
        </w:rPr>
        <w:t xml:space="preserve">7. </w:t>
      </w:r>
      <w:r>
        <w:rPr>
          <w:rFonts w:hint="eastAsia" w:ascii="仿宋_GB2312" w:hAnsi="仿宋" w:eastAsia="仿宋_GB2312" w:cs="仿宋_GB2312"/>
          <w:b/>
          <w:szCs w:val="24"/>
          <w:highlight w:val="none"/>
        </w:rPr>
        <w:t>电子交易活动的中止。</w:t>
      </w:r>
      <w:r>
        <w:rPr>
          <w:rFonts w:hint="eastAsia" w:ascii="仿宋_GB2312" w:hAnsi="仿宋" w:eastAsia="仿宋_GB2312" w:cs="仿宋_GB2312"/>
          <w:highlight w:val="none"/>
        </w:rPr>
        <w:t>采购过程中出现以下情形，导致电子交易平台无法正常运行，或者无法保证电子交易的公平、公正和安全时，采购机构可中止电子交易活动：</w:t>
      </w:r>
    </w:p>
    <w:p>
      <w:pPr>
        <w:pStyle w:val="88"/>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27.1电子交易平台发生故障而无法登录访问的； </w:t>
      </w:r>
    </w:p>
    <w:p>
      <w:pPr>
        <w:pStyle w:val="88"/>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27.2电子交易平台应用或数据库出现错误，不能进行正常操作的；</w:t>
      </w:r>
    </w:p>
    <w:p>
      <w:pPr>
        <w:pStyle w:val="88"/>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27.3电子交易平台发现严重安全漏洞，有潜在泄密危险的；</w:t>
      </w:r>
    </w:p>
    <w:p>
      <w:pPr>
        <w:pStyle w:val="88"/>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27.4病毒发作导致不能进行正常操作的； </w:t>
      </w:r>
    </w:p>
    <w:p>
      <w:pPr>
        <w:pStyle w:val="88"/>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27.5其他无法保证电子交易的公平、公正和安全的情况。</w:t>
      </w:r>
    </w:p>
    <w:p>
      <w:pPr>
        <w:pStyle w:val="88"/>
        <w:snapToGrid w:val="0"/>
        <w:spacing w:before="0"/>
        <w:ind w:firstLine="0" w:firstLineChars="0"/>
        <w:rPr>
          <w:rFonts w:ascii="仿宋_GB2312" w:hAnsi="仿宋" w:eastAsia="仿宋_GB2312" w:cs="仿宋_GB2312"/>
          <w:highlight w:val="none"/>
        </w:rPr>
      </w:pPr>
      <w:r>
        <w:rPr>
          <w:rFonts w:ascii="仿宋_GB2312" w:hAnsi="仿宋" w:eastAsia="仿宋_GB2312" w:cs="仿宋_GB2312"/>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5"/>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w:t>
      </w:r>
      <w:r>
        <w:rPr>
          <w:rFonts w:ascii="仿宋_GB2312" w:hAnsi="仿宋" w:eastAsia="仿宋_GB2312" w:cs="Helvetica"/>
          <w:color w:val="auto"/>
          <w:kern w:val="0"/>
          <w:sz w:val="24"/>
          <w:highlight w:val="none"/>
        </w:rPr>
        <w:t>应商履约的验收。大型或者复杂的政府采购项目，应当邀请国家认可的质量检测机构参加验收工作。验收方成员应当在验收书上签字，并承担相应的法律责任。如果发现与合同中要求不符，供应商须承担由此发生的一切损失和</w:t>
      </w:r>
      <w:r>
        <w:rPr>
          <w:rFonts w:ascii="仿宋_GB2312" w:hAnsi="仿宋" w:eastAsia="仿宋_GB2312" w:cs="Helvetica"/>
          <w:kern w:val="0"/>
          <w:sz w:val="24"/>
        </w:rPr>
        <w:t>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pPr>
      <w:bookmarkStart w:id="14" w:name="_Hlt68072998"/>
      <w:bookmarkEnd w:id="14"/>
      <w:bookmarkStart w:id="15" w:name="_Hlt74730295"/>
      <w:bookmarkEnd w:id="15"/>
      <w:bookmarkStart w:id="16" w:name="_Hlt68073093"/>
      <w:bookmarkEnd w:id="16"/>
      <w:bookmarkStart w:id="17" w:name="_Hlt75236101"/>
      <w:bookmarkEnd w:id="17"/>
      <w:bookmarkStart w:id="18" w:name="_Hlt74714665"/>
      <w:bookmarkEnd w:id="18"/>
      <w:bookmarkStart w:id="19" w:name="_Hlt74729768"/>
      <w:bookmarkEnd w:id="19"/>
      <w:bookmarkStart w:id="20" w:name="_Hlt68072990"/>
      <w:bookmarkEnd w:id="20"/>
      <w:bookmarkStart w:id="21" w:name="_Hlt74707468"/>
      <w:bookmarkEnd w:id="21"/>
      <w:bookmarkStart w:id="22" w:name="_Hlt68057669"/>
      <w:bookmarkEnd w:id="22"/>
      <w:bookmarkStart w:id="23" w:name="_Hlt75236290"/>
      <w:bookmarkEnd w:id="23"/>
      <w:bookmarkStart w:id="24" w:name="_Hlt75236011"/>
      <w:bookmarkEnd w:id="24"/>
      <w:bookmarkStart w:id="25" w:name="_Hlt68403820"/>
      <w:bookmarkEnd w:id="25"/>
    </w:p>
    <w:p>
      <w:pPr>
        <w:widowControl w:val="0"/>
        <w:adjustRightInd w:val="0"/>
        <w:snapToGrid w:val="0"/>
        <w:spacing w:before="0" w:beforeAutospacing="0" w:after="0" w:afterAutospacing="0" w:line="360" w:lineRule="auto"/>
        <w:ind w:left="120" w:leftChars="57" w:right="0" w:firstLine="482" w:firstLineChars="150"/>
        <w:jc w:val="center"/>
        <w:rPr>
          <w:rFonts w:hint="eastAsia" w:ascii="仿宋_GB2312" w:hAnsi="仿宋" w:eastAsia="仿宋_GB2312" w:cs="仿宋_GB2312"/>
          <w:b/>
          <w:sz w:val="32"/>
          <w:szCs w:val="20"/>
          <w:lang w:val="en-US"/>
        </w:rPr>
      </w:pPr>
      <w:r>
        <w:rPr>
          <w:rFonts w:hint="eastAsia" w:ascii="仿宋_GB2312" w:hAnsi="仿宋" w:eastAsia="仿宋_GB2312" w:cs="仿宋_GB2312"/>
          <w:b/>
          <w:kern w:val="0"/>
          <w:sz w:val="32"/>
          <w:szCs w:val="20"/>
          <w:lang w:val="en-US" w:eastAsia="zh-CN" w:bidi="ar-SA"/>
        </w:rPr>
        <w:t>十、货款支付</w:t>
      </w:r>
    </w:p>
    <w:p>
      <w:pPr>
        <w:pStyle w:val="3"/>
        <w:tabs>
          <w:tab w:val="left" w:pos="0"/>
          <w:tab w:val="clear" w:pos="432"/>
        </w:tabs>
        <w:ind w:left="12" w:hanging="12"/>
        <w:rPr>
          <w:rFonts w:ascii="仿宋" w:hAnsi="仿宋" w:eastAsia="仿宋"/>
          <w:sz w:val="24"/>
        </w:rPr>
      </w:pPr>
      <w:r>
        <w:rPr>
          <w:rFonts w:hint="eastAsia" w:ascii="仿宋" w:eastAsia="仿宋"/>
          <w:sz w:val="24"/>
          <w:lang w:val="en-US" w:eastAsia="zh-CN"/>
        </w:rPr>
        <w:t xml:space="preserve">    </w:t>
      </w:r>
      <w:r>
        <w:rPr>
          <w:rFonts w:hint="eastAsia" w:ascii="仿宋" w:hAnsi="仿宋" w:eastAsia="仿宋"/>
          <w:sz w:val="24"/>
          <w:lang w:val="en-US" w:eastAsia="zh-CN"/>
        </w:rPr>
        <w:t>30</w:t>
      </w:r>
      <w:r>
        <w:rPr>
          <w:rFonts w:ascii="仿宋" w:hAnsi="仿宋" w:eastAsia="仿宋"/>
          <w:sz w:val="24"/>
        </w:rPr>
        <w:t>.</w:t>
      </w:r>
      <w:r>
        <w:rPr>
          <w:rFonts w:hint="eastAsia" w:ascii="仿宋" w:hAnsi="仿宋" w:eastAsia="仿宋"/>
          <w:sz w:val="24"/>
          <w:lang w:val="en-US" w:eastAsia="zh-CN"/>
        </w:rPr>
        <w:t>1</w:t>
      </w:r>
      <w:r>
        <w:rPr>
          <w:rFonts w:hint="eastAsia" w:ascii="仿宋" w:hAnsi="仿宋" w:eastAsia="仿宋"/>
          <w:sz w:val="24"/>
          <w:lang w:eastAsia="zh-CN"/>
        </w:rPr>
        <w:t>应当</w:t>
      </w:r>
      <w:r>
        <w:rPr>
          <w:rFonts w:ascii="仿宋" w:hAnsi="仿宋" w:eastAsia="仿宋"/>
          <w:sz w:val="24"/>
        </w:rPr>
        <w:t>在政府采购合同中约定预付款，预付款比例</w:t>
      </w:r>
      <w:r>
        <w:rPr>
          <w:rFonts w:hint="eastAsia" w:ascii="仿宋" w:hAnsi="仿宋" w:eastAsia="仿宋"/>
          <w:sz w:val="24"/>
        </w:rPr>
        <w:t>为</w:t>
      </w:r>
      <w:r>
        <w:rPr>
          <w:rFonts w:ascii="仿宋" w:hAnsi="仿宋" w:eastAsia="仿宋"/>
          <w:sz w:val="24"/>
        </w:rPr>
        <w:t>合同金额的</w:t>
      </w:r>
      <w:r>
        <w:rPr>
          <w:rFonts w:hint="eastAsia" w:ascii="仿宋" w:hAnsi="仿宋" w:eastAsia="仿宋"/>
          <w:sz w:val="24"/>
          <w:lang w:val="en-US" w:eastAsia="zh-CN"/>
        </w:rPr>
        <w:t>40</w:t>
      </w:r>
      <w:r>
        <w:rPr>
          <w:rFonts w:ascii="仿宋" w:hAnsi="仿宋" w:eastAsia="仿宋"/>
          <w:sz w:val="24"/>
        </w:rPr>
        <w:t>％；项目分年安排预算的，每年预付款比例</w:t>
      </w:r>
      <w:r>
        <w:rPr>
          <w:rFonts w:hint="eastAsia" w:ascii="仿宋" w:hAnsi="仿宋" w:eastAsia="仿宋"/>
          <w:sz w:val="24"/>
        </w:rPr>
        <w:t>为</w:t>
      </w:r>
      <w:r>
        <w:rPr>
          <w:rFonts w:ascii="仿宋" w:hAnsi="仿宋" w:eastAsia="仿宋"/>
          <w:sz w:val="24"/>
        </w:rPr>
        <w:t>项目年度计划支付资金额的</w:t>
      </w:r>
      <w:r>
        <w:rPr>
          <w:rFonts w:hint="eastAsia" w:ascii="仿宋" w:hAnsi="仿宋" w:eastAsia="仿宋"/>
          <w:sz w:val="24"/>
          <w:lang w:val="en-US" w:eastAsia="zh-CN"/>
        </w:rPr>
        <w:t>40</w:t>
      </w:r>
      <w:r>
        <w:rPr>
          <w:rFonts w:ascii="仿宋" w:hAnsi="仿宋" w:eastAsia="仿宋"/>
          <w:sz w:val="24"/>
        </w:rPr>
        <w:t>％。采购项目实施以人工投入为主的，可适当降低预付款比例，但不低于</w:t>
      </w:r>
      <w:r>
        <w:rPr>
          <w:rFonts w:hint="eastAsia" w:ascii="仿宋" w:hAnsi="仿宋" w:eastAsia="仿宋"/>
          <w:sz w:val="24"/>
          <w:lang w:val="en-US" w:eastAsia="zh-CN"/>
        </w:rPr>
        <w:t>20</w:t>
      </w:r>
      <w:r>
        <w:rPr>
          <w:rFonts w:ascii="仿宋" w:hAnsi="仿宋" w:eastAsia="仿宋"/>
          <w:sz w:val="24"/>
        </w:rPr>
        <w:t>%。可以根据项目特点、</w:t>
      </w:r>
      <w:r>
        <w:rPr>
          <w:rFonts w:hint="eastAsia" w:ascii="仿宋" w:hAnsi="仿宋" w:eastAsia="仿宋"/>
          <w:sz w:val="24"/>
          <w:lang w:eastAsia="zh-CN"/>
        </w:rPr>
        <w:t>供应商</w:t>
      </w:r>
      <w:r>
        <w:rPr>
          <w:rFonts w:ascii="仿宋" w:hAnsi="仿宋" w:eastAsia="仿宋"/>
          <w:sz w:val="24"/>
        </w:rPr>
        <w:t>信用等实际情况提高预付款比例，最高预付比例可以达到</w:t>
      </w:r>
      <w:r>
        <w:rPr>
          <w:rFonts w:hint="eastAsia" w:ascii="仿宋" w:hAnsi="仿宋" w:eastAsia="仿宋"/>
          <w:sz w:val="24"/>
          <w:lang w:val="en-US" w:eastAsia="zh-CN"/>
        </w:rPr>
        <w:t>70</w:t>
      </w:r>
      <w:r>
        <w:rPr>
          <w:rFonts w:ascii="仿宋" w:hAnsi="仿宋" w:eastAsia="仿宋"/>
          <w:sz w:val="24"/>
        </w:rPr>
        <w:t>%。</w:t>
      </w:r>
    </w:p>
    <w:p>
      <w:pPr>
        <w:spacing w:line="560" w:lineRule="exact"/>
        <w:ind w:firstLine="480" w:firstLineChars="200"/>
        <w:rPr>
          <w:rFonts w:ascii="仿宋" w:hAnsi="仿宋" w:eastAsia="仿宋"/>
          <w:sz w:val="24"/>
        </w:rPr>
      </w:pPr>
      <w:r>
        <w:rPr>
          <w:rFonts w:hint="eastAsia" w:ascii="仿宋" w:hAnsi="仿宋" w:eastAsia="仿宋"/>
          <w:sz w:val="24"/>
          <w:lang w:val="en-US" w:eastAsia="zh-CN"/>
        </w:rPr>
        <w:t>30.2</w:t>
      </w:r>
      <w:r>
        <w:rPr>
          <w:rFonts w:hint="eastAsia" w:ascii="仿宋" w:hAnsi="仿宋" w:eastAsia="仿宋"/>
          <w:sz w:val="24"/>
          <w:lang w:eastAsia="zh-CN"/>
        </w:rPr>
        <w:t>供应商</w:t>
      </w:r>
      <w:r>
        <w:rPr>
          <w:rFonts w:hint="eastAsia" w:ascii="仿宋" w:hAnsi="仿宋" w:eastAsia="仿宋"/>
          <w:sz w:val="24"/>
        </w:rPr>
        <w:t>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outlineLvl w:val="0"/>
        <w:rPr>
          <w:rFonts w:ascii="仿宋" w:hAnsi="仿宋" w:eastAsia="仿宋"/>
          <w:sz w:val="24"/>
        </w:rPr>
      </w:pPr>
      <w:r>
        <w:rPr>
          <w:rFonts w:hint="eastAsia" w:ascii="仿宋" w:hAnsi="仿宋" w:eastAsia="仿宋"/>
          <w:sz w:val="24"/>
          <w:lang w:val="en-US" w:eastAsia="zh-CN"/>
        </w:rPr>
        <w:t>30.3</w:t>
      </w:r>
      <w:r>
        <w:rPr>
          <w:rFonts w:hint="eastAsia" w:ascii="仿宋" w:hAnsi="仿宋" w:eastAsia="仿宋"/>
          <w:sz w:val="24"/>
          <w:lang w:eastAsia="zh-CN"/>
        </w:rPr>
        <w:t>供应商</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rPr>
          <w:rFonts w:hint="eastAsia"/>
          <w:lang w:val="en-US" w:eastAsia="zh-CN"/>
        </w:rPr>
      </w:pPr>
    </w:p>
    <w:p>
      <w:pPr>
        <w:pStyle w:val="617"/>
        <w:spacing w:before="0" w:beforeAutospacing="0" w:after="0" w:afterAutospacing="0" w:line="360" w:lineRule="auto"/>
        <w:ind w:firstLine="480"/>
        <w:rPr>
          <w:rFonts w:ascii="仿宋" w:hAnsi="仿宋" w:eastAsia="仿宋" w:cs="Times New Roman"/>
        </w:rPr>
      </w:pPr>
      <w:r>
        <w:rPr>
          <w:rFonts w:hint="eastAsia" w:ascii="仿宋" w:hAnsi="仿宋" w:eastAsia="仿宋" w:cs="Times New Roman"/>
          <w:lang w:val="en-US" w:eastAsia="zh-CN"/>
        </w:rPr>
        <w:t>30.4</w:t>
      </w:r>
      <w:r>
        <w:rPr>
          <w:rFonts w:hint="eastAsia" w:ascii="仿宋" w:hAnsi="仿宋" w:eastAsia="仿宋" w:cs="Times New Roman"/>
          <w:lang w:eastAsia="zh-CN"/>
        </w:rPr>
        <w:t>采购人</w:t>
      </w:r>
      <w:r>
        <w:rPr>
          <w:rFonts w:hint="eastAsia" w:ascii="仿宋" w:hAnsi="仿宋" w:eastAsia="仿宋" w:cs="Times New Roman"/>
        </w:rPr>
        <w:t>应严格履行合同，及时组织验收，验收合格后及时将合同款支付完毕。对于满足合同约定支付条件的，</w:t>
      </w:r>
      <w:r>
        <w:rPr>
          <w:rFonts w:hint="eastAsia" w:ascii="仿宋" w:hAnsi="仿宋" w:eastAsia="仿宋" w:cs="Times New Roman"/>
          <w:lang w:eastAsia="zh-CN"/>
        </w:rPr>
        <w:t>采购人</w:t>
      </w:r>
      <w:r>
        <w:rPr>
          <w:rFonts w:hint="eastAsia" w:ascii="仿宋" w:hAnsi="仿宋" w:eastAsia="仿宋" w:cs="Times New Roman"/>
        </w:rPr>
        <w:t>自收到发票后</w:t>
      </w:r>
      <w:r>
        <w:rPr>
          <w:rFonts w:hint="eastAsia" w:ascii="仿宋" w:hAnsi="仿宋" w:eastAsia="仿宋" w:cs="Times New Roman"/>
          <w:lang w:val="en-US" w:eastAsia="zh-CN"/>
        </w:rPr>
        <w:t>7</w:t>
      </w:r>
      <w:r>
        <w:rPr>
          <w:rFonts w:ascii="仿宋" w:hAnsi="仿宋" w:eastAsia="仿宋" w:cs="Times New Roman"/>
        </w:rPr>
        <w:t>个工作日内将资金支付到合同约定的乙方账户。</w:t>
      </w:r>
    </w:p>
    <w:p>
      <w:pPr>
        <w:pStyle w:val="3"/>
        <w:rPr>
          <w:rFonts w:hint="eastAsia"/>
          <w:lang w:val="en-US"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pPr>
        <w:spacing w:line="360" w:lineRule="auto"/>
        <w:jc w:val="center"/>
        <w:outlineLvl w:val="0"/>
        <w:rPr>
          <w:rFonts w:ascii="仿宋" w:hAnsi="仿宋" w:eastAsia="仿宋" w:cs="仿宋_GB2312"/>
          <w:b/>
          <w:sz w:val="36"/>
          <w:szCs w:val="36"/>
          <w:highlight w:val="none"/>
        </w:rPr>
      </w:pPr>
      <w:bookmarkStart w:id="26" w:name="第四部分"/>
      <w:r>
        <w:rPr>
          <w:rFonts w:hint="eastAsia" w:ascii="仿宋" w:hAnsi="仿宋" w:eastAsia="仿宋" w:cs="仿宋_GB2312"/>
          <w:b/>
          <w:sz w:val="36"/>
          <w:szCs w:val="36"/>
          <w:highlight w:val="none"/>
        </w:rPr>
        <w:t>第三部分</w:t>
      </w:r>
      <w:r>
        <w:rPr>
          <w:rFonts w:ascii="仿宋" w:hAnsi="仿宋" w:eastAsia="仿宋" w:cs="仿宋_GB2312"/>
          <w:b/>
          <w:sz w:val="36"/>
          <w:szCs w:val="36"/>
          <w:highlight w:val="none"/>
        </w:rPr>
        <w:t xml:space="preserve">   </w:t>
      </w:r>
      <w:r>
        <w:rPr>
          <w:rFonts w:hint="eastAsia" w:ascii="仿宋" w:hAnsi="仿宋" w:eastAsia="仿宋" w:cs="仿宋_GB2312"/>
          <w:b/>
          <w:sz w:val="36"/>
          <w:szCs w:val="36"/>
          <w:highlight w:val="none"/>
        </w:rPr>
        <w:t>采购需求</w:t>
      </w:r>
    </w:p>
    <w:p>
      <w:pPr>
        <w:numPr>
          <w:ilvl w:val="0"/>
          <w:numId w:val="0"/>
        </w:numPr>
        <w:spacing w:line="360" w:lineRule="auto"/>
        <w:rPr>
          <w:rFonts w:hint="eastAsia" w:ascii="仿宋" w:hAnsi="仿宋" w:eastAsia="仿宋" w:cs="仿宋"/>
          <w:color w:val="auto"/>
          <w:sz w:val="24"/>
          <w:szCs w:val="24"/>
          <w:highlight w:val="none"/>
          <w:lang w:eastAsia="zh-CN"/>
        </w:rPr>
      </w:pPr>
      <w:bookmarkStart w:id="27" w:name="_Toc29888"/>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项目概况</w:t>
      </w:r>
    </w:p>
    <w:p>
      <w:pPr>
        <w:numPr>
          <w:ilvl w:val="0"/>
          <w:numId w:val="0"/>
        </w:numPr>
        <w:spacing w:line="360" w:lineRule="auto"/>
        <w:rPr>
          <w:rFonts w:hint="eastAsia" w:ascii="仿宋" w:hAnsi="仿宋" w:eastAsia="仿宋" w:cs="仿宋_GB2312"/>
          <w:snapToGrid w:val="0"/>
          <w:kern w:val="28"/>
          <w:sz w:val="24"/>
          <w:szCs w:val="20"/>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_GB2312"/>
          <w:snapToGrid w:val="0"/>
          <w:kern w:val="28"/>
          <w:sz w:val="24"/>
          <w:szCs w:val="20"/>
          <w:lang w:val="en-US" w:eastAsia="zh-CN"/>
        </w:rPr>
        <w:t>本</w:t>
      </w:r>
      <w:r>
        <w:rPr>
          <w:rFonts w:hint="eastAsia" w:ascii="仿宋" w:hAnsi="仿宋" w:eastAsia="仿宋" w:cs="仿宋_GB2312"/>
          <w:snapToGrid w:val="0"/>
          <w:kern w:val="28"/>
          <w:sz w:val="24"/>
          <w:szCs w:val="20"/>
        </w:rPr>
        <w:t>项目内容</w:t>
      </w:r>
      <w:r>
        <w:rPr>
          <w:rFonts w:hint="eastAsia" w:ascii="仿宋" w:hAnsi="仿宋" w:eastAsia="仿宋" w:cs="仿宋_GB2312"/>
          <w:snapToGrid w:val="0"/>
          <w:kern w:val="28"/>
          <w:sz w:val="24"/>
          <w:szCs w:val="20"/>
          <w:lang w:val="en-US" w:eastAsia="zh-CN"/>
        </w:rPr>
        <w:t>分两部分，一为机械立体车库部分，</w:t>
      </w:r>
      <w:r>
        <w:rPr>
          <w:rFonts w:hint="eastAsia" w:ascii="仿宋" w:hAnsi="仿宋" w:eastAsia="仿宋" w:cs="仿宋_GB2312"/>
          <w:snapToGrid w:val="0"/>
          <w:kern w:val="28"/>
          <w:sz w:val="24"/>
          <w:szCs w:val="20"/>
        </w:rPr>
        <w:t>主要需采购</w:t>
      </w:r>
      <w:r>
        <w:rPr>
          <w:rFonts w:hint="eastAsia" w:ascii="仿宋" w:hAnsi="仿宋" w:eastAsia="仿宋" w:cs="仿宋_GB2312"/>
          <w:snapToGrid w:val="0"/>
          <w:kern w:val="28"/>
          <w:sz w:val="24"/>
          <w:szCs w:val="20"/>
          <w:lang w:val="en-US" w:eastAsia="zh-CN"/>
        </w:rPr>
        <w:t>10</w:t>
      </w:r>
      <w:r>
        <w:rPr>
          <w:rFonts w:hint="eastAsia" w:ascii="仿宋" w:hAnsi="仿宋" w:eastAsia="仿宋" w:cs="仿宋_GB2312"/>
          <w:snapToGrid w:val="0"/>
          <w:kern w:val="28"/>
          <w:sz w:val="24"/>
          <w:szCs w:val="20"/>
        </w:rPr>
        <w:t>层</w:t>
      </w:r>
      <w:r>
        <w:rPr>
          <w:rFonts w:hint="eastAsia" w:ascii="仿宋" w:hAnsi="仿宋" w:eastAsia="仿宋" w:cs="仿宋_GB2312"/>
          <w:snapToGrid w:val="0"/>
          <w:kern w:val="28"/>
          <w:sz w:val="24"/>
          <w:szCs w:val="20"/>
          <w:lang w:val="en-US" w:eastAsia="zh-CN"/>
        </w:rPr>
        <w:t>285</w:t>
      </w:r>
      <w:r>
        <w:rPr>
          <w:rFonts w:hint="eastAsia" w:ascii="仿宋" w:hAnsi="仿宋" w:eastAsia="仿宋" w:cs="仿宋_GB2312"/>
          <w:snapToGrid w:val="0"/>
          <w:kern w:val="28"/>
          <w:sz w:val="24"/>
          <w:szCs w:val="20"/>
        </w:rPr>
        <w:t>个车位（</w:t>
      </w:r>
      <w:r>
        <w:rPr>
          <w:rFonts w:hint="eastAsia" w:ascii="仿宋" w:hAnsi="仿宋" w:eastAsia="仿宋" w:cs="仿宋_GB2312"/>
          <w:snapToGrid w:val="0"/>
          <w:kern w:val="28"/>
          <w:sz w:val="24"/>
          <w:szCs w:val="20"/>
          <w:lang w:val="en-US" w:eastAsia="zh-CN"/>
        </w:rPr>
        <w:t>其中地下一层29车位，地上首层挑空，2-9层停车256个）平面移动</w:t>
      </w:r>
      <w:r>
        <w:rPr>
          <w:rFonts w:hint="eastAsia" w:ascii="仿宋" w:hAnsi="仿宋" w:eastAsia="仿宋" w:cs="仿宋_GB2312"/>
          <w:snapToGrid w:val="0"/>
          <w:kern w:val="28"/>
          <w:sz w:val="24"/>
          <w:szCs w:val="20"/>
        </w:rPr>
        <w:t>类机械式停车设备采购</w:t>
      </w:r>
      <w:r>
        <w:rPr>
          <w:rFonts w:hint="eastAsia" w:ascii="仿宋" w:hAnsi="仿宋" w:eastAsia="仿宋" w:cs="仿宋_GB2312"/>
          <w:snapToGrid w:val="0"/>
          <w:kern w:val="28"/>
          <w:sz w:val="24"/>
          <w:szCs w:val="20"/>
          <w:lang w:eastAsia="zh-CN"/>
        </w:rPr>
        <w:t>、</w:t>
      </w:r>
      <w:r>
        <w:rPr>
          <w:rFonts w:hint="eastAsia" w:ascii="仿宋" w:hAnsi="仿宋" w:eastAsia="仿宋" w:cs="仿宋_GB2312"/>
          <w:snapToGrid w:val="0"/>
          <w:kern w:val="28"/>
          <w:sz w:val="24"/>
          <w:szCs w:val="20"/>
        </w:rPr>
        <w:t>安装及</w:t>
      </w:r>
      <w:r>
        <w:rPr>
          <w:rFonts w:hint="eastAsia" w:ascii="仿宋" w:hAnsi="仿宋" w:eastAsia="仿宋" w:cs="仿宋_GB2312"/>
          <w:snapToGrid w:val="0"/>
          <w:kern w:val="28"/>
          <w:sz w:val="24"/>
          <w:szCs w:val="20"/>
          <w:lang w:val="en-US" w:eastAsia="zh-CN"/>
        </w:rPr>
        <w:t>质保；包括钢梁、钢柱、钢板、</w:t>
      </w:r>
      <w:r>
        <w:rPr>
          <w:rFonts w:hint="eastAsia" w:ascii="仿宋" w:hAnsi="仿宋" w:eastAsia="仿宋" w:cs="仿宋_GB2312"/>
          <w:snapToGrid w:val="0"/>
          <w:color w:val="auto"/>
          <w:kern w:val="28"/>
          <w:sz w:val="24"/>
          <w:szCs w:val="20"/>
          <w:lang w:val="en-US" w:eastAsia="zh-CN"/>
        </w:rPr>
        <w:t>檩条、</w:t>
      </w:r>
      <w:r>
        <w:rPr>
          <w:rFonts w:hint="eastAsia" w:ascii="仿宋" w:hAnsi="仿宋" w:eastAsia="仿宋" w:cs="仿宋"/>
          <w:color w:val="auto"/>
          <w:sz w:val="24"/>
          <w:szCs w:val="24"/>
          <w:highlight w:val="none"/>
          <w:lang w:val="en-US" w:eastAsia="zh-CN"/>
        </w:rPr>
        <w:t>楼层板、</w:t>
      </w:r>
      <w:r>
        <w:rPr>
          <w:rFonts w:hint="eastAsia" w:ascii="仿宋" w:hAnsi="仿宋" w:eastAsia="仿宋" w:cs="仿宋_GB2312"/>
          <w:snapToGrid w:val="0"/>
          <w:kern w:val="28"/>
          <w:sz w:val="24"/>
          <w:szCs w:val="20"/>
          <w:lang w:val="en-US" w:eastAsia="zh-CN"/>
        </w:rPr>
        <w:t>立体车位以及钢柱与混凝土基础连接的埋件、停车楼智能停车同步实施停车库的收费系统、 监控系统、 派库诱导等；二为其他项目清单部分，主要包括钢结构立体车库的外立面涂料、立体车库幕墙及骨架、钢结构屋面、钢结构立体车库安装（消防、电气、暖通、智能化、亮化）等（详见采购清单及图纸）</w:t>
      </w:r>
    </w:p>
    <w:p>
      <w:pPr>
        <w:pStyle w:val="25"/>
        <w:numPr>
          <w:ilvl w:val="0"/>
          <w:numId w:val="0"/>
        </w:num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二、采购清单</w:t>
      </w:r>
    </w:p>
    <w:p>
      <w:pPr>
        <w:pStyle w:val="26"/>
        <w:spacing w:after="0" w:line="360" w:lineRule="auto"/>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1、机械立体车库部分</w:t>
      </w:r>
    </w:p>
    <w:tbl>
      <w:tblPr>
        <w:tblStyle w:val="63"/>
        <w:tblW w:w="10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095"/>
        <w:gridCol w:w="1050"/>
        <w:gridCol w:w="2580"/>
        <w:gridCol w:w="1665"/>
        <w:gridCol w:w="2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tabs>
                <w:tab w:val="left" w:pos="482"/>
                <w:tab w:val="left" w:pos="2183"/>
                <w:tab w:val="left" w:pos="3884"/>
                <w:tab w:val="left" w:pos="5585"/>
              </w:tabs>
              <w:spacing w:before="0" w:beforeAutospacing="0" w:after="0" w:afterAutospacing="0" w:line="360" w:lineRule="auto"/>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w:t>
            </w:r>
          </w:p>
        </w:tc>
        <w:tc>
          <w:tcPr>
            <w:tcW w:w="1095" w:type="dxa"/>
            <w:tcBorders>
              <w:top w:val="single" w:color="auto" w:sz="4" w:space="0"/>
              <w:left w:val="single" w:color="auto" w:sz="4" w:space="0"/>
              <w:bottom w:val="single" w:color="auto" w:sz="4" w:space="0"/>
              <w:right w:val="single" w:color="auto" w:sz="4" w:space="0"/>
            </w:tcBorders>
            <w:vAlign w:val="center"/>
          </w:tcPr>
          <w:p>
            <w:pPr>
              <w:tabs>
                <w:tab w:val="left" w:pos="482"/>
                <w:tab w:val="left" w:pos="2183"/>
                <w:tab w:val="left" w:pos="3884"/>
                <w:tab w:val="left" w:pos="5585"/>
              </w:tabs>
              <w:spacing w:before="0" w:beforeAutospacing="0" w:after="0" w:afterAutospacing="0" w:line="360" w:lineRule="auto"/>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w:t>
            </w:r>
          </w:p>
        </w:tc>
        <w:tc>
          <w:tcPr>
            <w:tcW w:w="5295" w:type="dxa"/>
            <w:gridSpan w:val="3"/>
            <w:tcBorders>
              <w:top w:val="single" w:color="auto" w:sz="4" w:space="0"/>
              <w:left w:val="single" w:color="auto" w:sz="4" w:space="0"/>
              <w:bottom w:val="single" w:color="auto" w:sz="4" w:space="0"/>
              <w:right w:val="single" w:color="auto" w:sz="4" w:space="0"/>
            </w:tcBorders>
            <w:vAlign w:val="center"/>
          </w:tcPr>
          <w:p>
            <w:pPr>
              <w:tabs>
                <w:tab w:val="left" w:pos="482"/>
                <w:tab w:val="left" w:pos="2183"/>
                <w:tab w:val="left" w:pos="3884"/>
                <w:tab w:val="left" w:pos="5585"/>
              </w:tabs>
              <w:spacing w:before="0" w:beforeAutospacing="0" w:after="0" w:afterAutospacing="0" w:line="360" w:lineRule="auto"/>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参数要求</w:t>
            </w:r>
          </w:p>
        </w:tc>
        <w:tc>
          <w:tcPr>
            <w:tcW w:w="2619" w:type="dxa"/>
            <w:tcBorders>
              <w:top w:val="single" w:color="auto" w:sz="4" w:space="0"/>
              <w:left w:val="single" w:color="auto" w:sz="4" w:space="0"/>
              <w:bottom w:val="single" w:color="auto" w:sz="4" w:space="0"/>
              <w:right w:val="single" w:color="auto" w:sz="4" w:space="0"/>
            </w:tcBorders>
            <w:vAlign w:val="center"/>
          </w:tcPr>
          <w:p>
            <w:pPr>
              <w:tabs>
                <w:tab w:val="left" w:pos="482"/>
                <w:tab w:val="left" w:pos="2183"/>
                <w:tab w:val="left" w:pos="3884"/>
                <w:tab w:val="left" w:pos="5585"/>
              </w:tabs>
              <w:spacing w:before="0" w:beforeAutospacing="0" w:after="0" w:afterAutospacing="0" w:line="360" w:lineRule="auto"/>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020" w:type="dxa"/>
            <w:vMerge w:val="restart"/>
            <w:tcBorders>
              <w:top w:val="single" w:color="auto" w:sz="4" w:space="0"/>
              <w:left w:val="single" w:color="auto" w:sz="4" w:space="0"/>
              <w:right w:val="single" w:color="auto" w:sz="4" w:space="0"/>
            </w:tcBorders>
            <w:vAlign w:val="center"/>
          </w:tcPr>
          <w:p>
            <w:pPr>
              <w:tabs>
                <w:tab w:val="left" w:pos="482"/>
                <w:tab w:val="left" w:pos="2183"/>
                <w:tab w:val="left" w:pos="3884"/>
                <w:tab w:val="left" w:pos="5585"/>
              </w:tabs>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平面移动类机械车库</w:t>
            </w:r>
          </w:p>
        </w:tc>
        <w:tc>
          <w:tcPr>
            <w:tcW w:w="1095" w:type="dxa"/>
            <w:vMerge w:val="restart"/>
            <w:tcBorders>
              <w:top w:val="single" w:color="auto" w:sz="4" w:space="0"/>
              <w:left w:val="single" w:color="auto" w:sz="4" w:space="0"/>
              <w:right w:val="single" w:color="auto" w:sz="4" w:space="0"/>
            </w:tcBorders>
            <w:vAlign w:val="center"/>
          </w:tcPr>
          <w:p>
            <w:pPr>
              <w:tabs>
                <w:tab w:val="left" w:pos="482"/>
                <w:tab w:val="left" w:pos="2183"/>
                <w:tab w:val="left" w:pos="3884"/>
                <w:tab w:val="left" w:pos="5585"/>
              </w:tabs>
              <w:spacing w:before="0" w:beforeAutospacing="0" w:after="0" w:afterAutospacing="0" w:line="360" w:lineRule="auto"/>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285个</w:t>
            </w:r>
          </w:p>
        </w:tc>
        <w:tc>
          <w:tcPr>
            <w:tcW w:w="1050" w:type="dxa"/>
            <w:vMerge w:val="restart"/>
            <w:tcBorders>
              <w:top w:val="single" w:color="auto" w:sz="4" w:space="0"/>
              <w:left w:val="single" w:color="auto" w:sz="4" w:space="0"/>
              <w:right w:val="single" w:color="auto" w:sz="4" w:space="0"/>
            </w:tcBorders>
            <w:vAlign w:val="center"/>
          </w:tcPr>
          <w:p>
            <w:pPr>
              <w:tabs>
                <w:tab w:val="left" w:pos="482"/>
                <w:tab w:val="left" w:pos="2183"/>
                <w:tab w:val="left" w:pos="3884"/>
                <w:tab w:val="left" w:pos="5585"/>
              </w:tabs>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收容车辆尺寸</w:t>
            </w:r>
          </w:p>
        </w:tc>
        <w:tc>
          <w:tcPr>
            <w:tcW w:w="2580" w:type="dxa"/>
            <w:tcBorders>
              <w:top w:val="single" w:color="auto" w:sz="4" w:space="0"/>
              <w:left w:val="single" w:color="auto" w:sz="4" w:space="0"/>
              <w:bottom w:val="single" w:color="auto" w:sz="4" w:space="0"/>
              <w:right w:val="single" w:color="auto" w:sz="4" w:space="0"/>
            </w:tcBorders>
            <w:vAlign w:val="center"/>
          </w:tcPr>
          <w:p>
            <w:pPr>
              <w:tabs>
                <w:tab w:val="left" w:pos="482"/>
                <w:tab w:val="left" w:pos="2183"/>
                <w:tab w:val="left" w:pos="3884"/>
                <w:tab w:val="left" w:pos="5585"/>
              </w:tabs>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车长（mm）</w:t>
            </w:r>
            <w:r>
              <w:rPr>
                <w:rFonts w:hint="eastAsia" w:ascii="仿宋" w:hAnsi="仿宋" w:eastAsia="仿宋" w:cs="仿宋"/>
                <w:color w:val="auto"/>
                <w:sz w:val="24"/>
                <w:szCs w:val="24"/>
              </w:rPr>
              <w:t>不小于</w:t>
            </w:r>
          </w:p>
        </w:tc>
        <w:tc>
          <w:tcPr>
            <w:tcW w:w="1665" w:type="dxa"/>
            <w:tcBorders>
              <w:top w:val="single" w:color="auto" w:sz="4" w:space="0"/>
              <w:left w:val="single" w:color="auto" w:sz="4" w:space="0"/>
              <w:bottom w:val="single" w:color="auto" w:sz="4" w:space="0"/>
              <w:right w:val="single" w:color="auto" w:sz="4" w:space="0"/>
            </w:tcBorders>
            <w:vAlign w:val="center"/>
          </w:tcPr>
          <w:p>
            <w:pPr>
              <w:tabs>
                <w:tab w:val="left" w:pos="482"/>
                <w:tab w:val="left" w:pos="2183"/>
                <w:tab w:val="left" w:pos="3884"/>
                <w:tab w:val="left" w:pos="5585"/>
              </w:tabs>
              <w:spacing w:before="0" w:beforeAutospacing="0" w:after="0" w:afterAutospacing="0" w:line="360" w:lineRule="auto"/>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5300</w:t>
            </w:r>
          </w:p>
        </w:tc>
        <w:tc>
          <w:tcPr>
            <w:tcW w:w="2619" w:type="dxa"/>
            <w:vMerge w:val="restart"/>
            <w:tcBorders>
              <w:top w:val="single" w:color="auto" w:sz="4" w:space="0"/>
              <w:left w:val="single" w:color="auto" w:sz="4" w:space="0"/>
              <w:right w:val="single" w:color="auto" w:sz="4" w:space="0"/>
            </w:tcBorders>
            <w:vAlign w:val="center"/>
          </w:tcPr>
          <w:p>
            <w:pPr>
              <w:tabs>
                <w:tab w:val="left" w:pos="482"/>
                <w:tab w:val="left" w:pos="2183"/>
                <w:tab w:val="left" w:pos="3884"/>
                <w:tab w:val="left" w:pos="5585"/>
              </w:tabs>
              <w:spacing w:before="0" w:beforeAutospacing="0" w:after="0" w:afterAutospacing="0" w:line="360" w:lineRule="auto"/>
              <w:ind w:left="0" w:right="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投标单位根据图纸提供的数据，</w:t>
            </w:r>
            <w:r>
              <w:rPr>
                <w:rFonts w:hint="eastAsia" w:ascii="仿宋" w:hAnsi="仿宋" w:eastAsia="仿宋" w:cs="仿宋"/>
                <w:color w:val="auto"/>
                <w:sz w:val="24"/>
                <w:szCs w:val="24"/>
                <w:highlight w:val="none"/>
                <w:lang w:val="en-US" w:eastAsia="zh-CN"/>
              </w:rPr>
              <w:t>外框钢结构按照设计图纸要求予以施工，</w:t>
            </w:r>
            <w:r>
              <w:rPr>
                <w:rFonts w:hint="eastAsia" w:ascii="仿宋" w:hAnsi="仿宋" w:eastAsia="仿宋" w:cs="仿宋"/>
                <w:color w:val="auto"/>
                <w:sz w:val="24"/>
                <w:szCs w:val="24"/>
                <w:highlight w:val="none"/>
              </w:rPr>
              <w:t>尽可能把收容车尺寸做的最大</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020" w:type="dxa"/>
            <w:vMerge w:val="continue"/>
            <w:tcBorders>
              <w:left w:val="single" w:color="auto" w:sz="4" w:space="0"/>
              <w:right w:val="single" w:color="auto" w:sz="4" w:space="0"/>
            </w:tcBorders>
            <w:vAlign w:val="center"/>
          </w:tcPr>
          <w:p>
            <w:pPr>
              <w:tabs>
                <w:tab w:val="left" w:pos="482"/>
                <w:tab w:val="left" w:pos="2183"/>
                <w:tab w:val="left" w:pos="3884"/>
                <w:tab w:val="left" w:pos="5585"/>
              </w:tabs>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095" w:type="dxa"/>
            <w:vMerge w:val="continue"/>
            <w:tcBorders>
              <w:left w:val="single" w:color="auto" w:sz="4" w:space="0"/>
              <w:right w:val="single" w:color="auto" w:sz="4" w:space="0"/>
            </w:tcBorders>
            <w:vAlign w:val="center"/>
          </w:tcPr>
          <w:p>
            <w:pPr>
              <w:tabs>
                <w:tab w:val="left" w:pos="482"/>
                <w:tab w:val="left" w:pos="2183"/>
                <w:tab w:val="left" w:pos="3884"/>
                <w:tab w:val="left" w:pos="5585"/>
              </w:tabs>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050" w:type="dxa"/>
            <w:vMerge w:val="continue"/>
            <w:tcBorders>
              <w:left w:val="single" w:color="auto" w:sz="4" w:space="0"/>
              <w:right w:val="single" w:color="auto" w:sz="4" w:space="0"/>
            </w:tcBorders>
            <w:vAlign w:val="center"/>
          </w:tcPr>
          <w:p>
            <w:pPr>
              <w:tabs>
                <w:tab w:val="left" w:pos="482"/>
                <w:tab w:val="left" w:pos="2183"/>
                <w:tab w:val="left" w:pos="3884"/>
                <w:tab w:val="left" w:pos="5585"/>
              </w:tabs>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2580" w:type="dxa"/>
            <w:tcBorders>
              <w:top w:val="single" w:color="auto" w:sz="4" w:space="0"/>
              <w:left w:val="single" w:color="auto" w:sz="4" w:space="0"/>
              <w:bottom w:val="single" w:color="auto" w:sz="4" w:space="0"/>
              <w:right w:val="single" w:color="auto" w:sz="4" w:space="0"/>
            </w:tcBorders>
            <w:vAlign w:val="center"/>
          </w:tcPr>
          <w:p>
            <w:pPr>
              <w:tabs>
                <w:tab w:val="left" w:pos="482"/>
                <w:tab w:val="left" w:pos="2183"/>
                <w:tab w:val="left" w:pos="3884"/>
                <w:tab w:val="left" w:pos="5585"/>
              </w:tabs>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车宽（mm）</w:t>
            </w:r>
            <w:r>
              <w:rPr>
                <w:rFonts w:hint="eastAsia" w:ascii="仿宋" w:hAnsi="仿宋" w:eastAsia="仿宋" w:cs="仿宋"/>
                <w:color w:val="auto"/>
                <w:sz w:val="24"/>
                <w:szCs w:val="24"/>
              </w:rPr>
              <w:t>不小于</w:t>
            </w:r>
          </w:p>
        </w:tc>
        <w:tc>
          <w:tcPr>
            <w:tcW w:w="1665" w:type="dxa"/>
            <w:tcBorders>
              <w:top w:val="single" w:color="auto" w:sz="4" w:space="0"/>
              <w:left w:val="single" w:color="auto" w:sz="4" w:space="0"/>
              <w:bottom w:val="single" w:color="auto" w:sz="4" w:space="0"/>
              <w:right w:val="single" w:color="auto" w:sz="4" w:space="0"/>
            </w:tcBorders>
            <w:vAlign w:val="center"/>
          </w:tcPr>
          <w:p>
            <w:pPr>
              <w:tabs>
                <w:tab w:val="left" w:pos="482"/>
                <w:tab w:val="left" w:pos="2183"/>
                <w:tab w:val="left" w:pos="3884"/>
                <w:tab w:val="left" w:pos="5585"/>
              </w:tabs>
              <w:spacing w:before="0" w:beforeAutospacing="0" w:after="0" w:afterAutospacing="0" w:line="360" w:lineRule="auto"/>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1950</w:t>
            </w:r>
          </w:p>
        </w:tc>
        <w:tc>
          <w:tcPr>
            <w:tcW w:w="2619" w:type="dxa"/>
            <w:vMerge w:val="continue"/>
            <w:tcBorders>
              <w:left w:val="single" w:color="auto" w:sz="4" w:space="0"/>
              <w:right w:val="single" w:color="auto" w:sz="4" w:space="0"/>
            </w:tcBorders>
            <w:vAlign w:val="center"/>
          </w:tcPr>
          <w:p>
            <w:pPr>
              <w:tabs>
                <w:tab w:val="left" w:pos="482"/>
                <w:tab w:val="left" w:pos="2183"/>
                <w:tab w:val="left" w:pos="3884"/>
                <w:tab w:val="left" w:pos="5585"/>
              </w:tabs>
              <w:spacing w:before="0" w:beforeAutospacing="0" w:after="0" w:afterAutospacing="0" w:line="360" w:lineRule="auto"/>
              <w:ind w:left="0" w:right="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020" w:type="dxa"/>
            <w:vMerge w:val="continue"/>
            <w:tcBorders>
              <w:left w:val="single" w:color="auto" w:sz="4" w:space="0"/>
              <w:right w:val="single" w:color="auto" w:sz="4" w:space="0"/>
            </w:tcBorders>
            <w:vAlign w:val="center"/>
          </w:tcPr>
          <w:p>
            <w:pPr>
              <w:tabs>
                <w:tab w:val="left" w:pos="482"/>
                <w:tab w:val="left" w:pos="2183"/>
                <w:tab w:val="left" w:pos="3884"/>
                <w:tab w:val="left" w:pos="5585"/>
              </w:tabs>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095" w:type="dxa"/>
            <w:vMerge w:val="continue"/>
            <w:tcBorders>
              <w:left w:val="single" w:color="auto" w:sz="4" w:space="0"/>
              <w:right w:val="single" w:color="auto" w:sz="4" w:space="0"/>
            </w:tcBorders>
            <w:vAlign w:val="center"/>
          </w:tcPr>
          <w:p>
            <w:pPr>
              <w:tabs>
                <w:tab w:val="left" w:pos="482"/>
                <w:tab w:val="left" w:pos="2183"/>
                <w:tab w:val="left" w:pos="3884"/>
                <w:tab w:val="left" w:pos="5585"/>
              </w:tabs>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1050" w:type="dxa"/>
            <w:vMerge w:val="continue"/>
            <w:tcBorders>
              <w:left w:val="single" w:color="auto" w:sz="4" w:space="0"/>
              <w:right w:val="single" w:color="auto" w:sz="4" w:space="0"/>
            </w:tcBorders>
            <w:vAlign w:val="center"/>
          </w:tcPr>
          <w:p>
            <w:pPr>
              <w:tabs>
                <w:tab w:val="left" w:pos="482"/>
                <w:tab w:val="left" w:pos="2183"/>
                <w:tab w:val="left" w:pos="3884"/>
                <w:tab w:val="left" w:pos="5585"/>
              </w:tabs>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2580" w:type="dxa"/>
            <w:tcBorders>
              <w:top w:val="single" w:color="auto" w:sz="4" w:space="0"/>
              <w:left w:val="single" w:color="auto" w:sz="4" w:space="0"/>
              <w:bottom w:val="single" w:color="auto" w:sz="4" w:space="0"/>
              <w:right w:val="single" w:color="auto" w:sz="4" w:space="0"/>
            </w:tcBorders>
            <w:vAlign w:val="center"/>
          </w:tcPr>
          <w:p>
            <w:pPr>
              <w:tabs>
                <w:tab w:val="left" w:pos="482"/>
                <w:tab w:val="left" w:pos="2183"/>
                <w:tab w:val="left" w:pos="3884"/>
                <w:tab w:val="left" w:pos="5585"/>
              </w:tabs>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车高（mm）</w:t>
            </w:r>
            <w:r>
              <w:rPr>
                <w:rFonts w:hint="eastAsia" w:ascii="仿宋" w:hAnsi="仿宋" w:eastAsia="仿宋" w:cs="仿宋"/>
                <w:color w:val="auto"/>
                <w:sz w:val="24"/>
                <w:szCs w:val="24"/>
              </w:rPr>
              <w:t>不小于</w:t>
            </w:r>
          </w:p>
        </w:tc>
        <w:tc>
          <w:tcPr>
            <w:tcW w:w="1665" w:type="dxa"/>
            <w:tcBorders>
              <w:top w:val="single" w:color="auto" w:sz="4" w:space="0"/>
              <w:left w:val="single" w:color="auto" w:sz="4" w:space="0"/>
              <w:bottom w:val="single" w:color="auto" w:sz="4" w:space="0"/>
              <w:right w:val="single" w:color="auto" w:sz="4" w:space="0"/>
            </w:tcBorders>
            <w:vAlign w:val="center"/>
          </w:tcPr>
          <w:p>
            <w:pPr>
              <w:tabs>
                <w:tab w:val="left" w:pos="482"/>
                <w:tab w:val="left" w:pos="2183"/>
                <w:tab w:val="left" w:pos="3884"/>
                <w:tab w:val="left" w:pos="5585"/>
              </w:tabs>
              <w:spacing w:before="0" w:beforeAutospacing="0" w:after="0" w:afterAutospacing="0" w:line="360" w:lineRule="auto"/>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1550/1950</w:t>
            </w:r>
          </w:p>
        </w:tc>
        <w:tc>
          <w:tcPr>
            <w:tcW w:w="2619" w:type="dxa"/>
            <w:vMerge w:val="continue"/>
            <w:tcBorders>
              <w:left w:val="single" w:color="auto" w:sz="4" w:space="0"/>
              <w:right w:val="single" w:color="auto" w:sz="4" w:space="0"/>
            </w:tcBorders>
            <w:vAlign w:val="center"/>
          </w:tcPr>
          <w:p>
            <w:pPr>
              <w:tabs>
                <w:tab w:val="left" w:pos="482"/>
                <w:tab w:val="left" w:pos="2183"/>
                <w:tab w:val="left" w:pos="3884"/>
                <w:tab w:val="left" w:pos="5585"/>
              </w:tabs>
              <w:spacing w:before="0" w:beforeAutospacing="0" w:after="0" w:afterAutospacing="0" w:line="360" w:lineRule="auto"/>
              <w:ind w:left="0" w:right="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1020" w:type="dxa"/>
            <w:vMerge w:val="continue"/>
            <w:tcBorders>
              <w:left w:val="single" w:color="auto" w:sz="4" w:space="0"/>
              <w:bottom w:val="single" w:color="auto" w:sz="4" w:space="0"/>
              <w:right w:val="single" w:color="auto" w:sz="4" w:space="0"/>
            </w:tcBorders>
            <w:vAlign w:val="center"/>
          </w:tcPr>
          <w:p>
            <w:pPr>
              <w:tabs>
                <w:tab w:val="left" w:pos="482"/>
                <w:tab w:val="left" w:pos="2183"/>
                <w:tab w:val="left" w:pos="3884"/>
                <w:tab w:val="left" w:pos="5585"/>
              </w:tabs>
              <w:spacing w:before="0" w:beforeAutospacing="0" w:after="0" w:afterAutospacing="0" w:line="360" w:lineRule="auto"/>
              <w:ind w:left="0" w:right="0"/>
              <w:rPr>
                <w:rFonts w:hint="eastAsia" w:ascii="仿宋" w:hAnsi="仿宋" w:eastAsia="仿宋" w:cs="仿宋"/>
                <w:color w:val="auto"/>
                <w:sz w:val="24"/>
                <w:szCs w:val="24"/>
                <w:lang w:val="en-US" w:eastAsia="zh-CN"/>
              </w:rPr>
            </w:pPr>
          </w:p>
        </w:tc>
        <w:tc>
          <w:tcPr>
            <w:tcW w:w="1095" w:type="dxa"/>
            <w:vMerge w:val="continue"/>
            <w:tcBorders>
              <w:left w:val="single" w:color="auto" w:sz="4" w:space="0"/>
              <w:bottom w:val="single" w:color="auto" w:sz="4" w:space="0"/>
              <w:right w:val="single" w:color="auto" w:sz="4" w:space="0"/>
            </w:tcBorders>
            <w:vAlign w:val="center"/>
          </w:tcPr>
          <w:p>
            <w:pPr>
              <w:tabs>
                <w:tab w:val="left" w:pos="482"/>
                <w:tab w:val="left" w:pos="2183"/>
                <w:tab w:val="left" w:pos="3884"/>
                <w:tab w:val="left" w:pos="5585"/>
              </w:tabs>
              <w:spacing w:before="0" w:beforeAutospacing="0" w:after="0" w:afterAutospacing="0" w:line="360" w:lineRule="auto"/>
              <w:ind w:left="0" w:right="0"/>
              <w:rPr>
                <w:rFonts w:hint="eastAsia" w:ascii="仿宋" w:hAnsi="仿宋" w:eastAsia="仿宋" w:cs="仿宋"/>
                <w:color w:val="auto"/>
                <w:sz w:val="24"/>
                <w:szCs w:val="24"/>
                <w:lang w:val="en-US" w:eastAsia="zh-CN"/>
              </w:rPr>
            </w:pPr>
          </w:p>
        </w:tc>
        <w:tc>
          <w:tcPr>
            <w:tcW w:w="1050" w:type="dxa"/>
            <w:vMerge w:val="continue"/>
            <w:tcBorders>
              <w:left w:val="single" w:color="auto" w:sz="4" w:space="0"/>
              <w:bottom w:val="single" w:color="auto" w:sz="4" w:space="0"/>
              <w:right w:val="single" w:color="auto" w:sz="4" w:space="0"/>
            </w:tcBorders>
            <w:vAlign w:val="center"/>
          </w:tcPr>
          <w:p>
            <w:pPr>
              <w:tabs>
                <w:tab w:val="left" w:pos="482"/>
                <w:tab w:val="left" w:pos="2183"/>
                <w:tab w:val="left" w:pos="3884"/>
                <w:tab w:val="left" w:pos="5585"/>
              </w:tabs>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2580" w:type="dxa"/>
            <w:tcBorders>
              <w:top w:val="single" w:color="auto" w:sz="4" w:space="0"/>
              <w:left w:val="single" w:color="auto" w:sz="4" w:space="0"/>
              <w:bottom w:val="single" w:color="auto" w:sz="4" w:space="0"/>
              <w:right w:val="single" w:color="auto" w:sz="4" w:space="0"/>
            </w:tcBorders>
            <w:vAlign w:val="center"/>
          </w:tcPr>
          <w:p>
            <w:pPr>
              <w:tabs>
                <w:tab w:val="left" w:pos="482"/>
                <w:tab w:val="left" w:pos="2183"/>
                <w:tab w:val="left" w:pos="3884"/>
                <w:tab w:val="left" w:pos="5585"/>
              </w:tabs>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车重（Kg）</w:t>
            </w:r>
            <w:r>
              <w:rPr>
                <w:rFonts w:hint="eastAsia" w:ascii="仿宋" w:hAnsi="仿宋" w:eastAsia="仿宋" w:cs="仿宋"/>
                <w:color w:val="auto"/>
                <w:sz w:val="24"/>
                <w:szCs w:val="24"/>
              </w:rPr>
              <w:t>不小于</w:t>
            </w:r>
          </w:p>
        </w:tc>
        <w:tc>
          <w:tcPr>
            <w:tcW w:w="1665" w:type="dxa"/>
            <w:tcBorders>
              <w:top w:val="single" w:color="auto" w:sz="4" w:space="0"/>
              <w:left w:val="single" w:color="auto" w:sz="4" w:space="0"/>
              <w:bottom w:val="single" w:color="auto" w:sz="4" w:space="0"/>
              <w:right w:val="single" w:color="auto" w:sz="4" w:space="0"/>
            </w:tcBorders>
            <w:vAlign w:val="center"/>
          </w:tcPr>
          <w:p>
            <w:pPr>
              <w:tabs>
                <w:tab w:val="left" w:pos="482"/>
                <w:tab w:val="left" w:pos="2183"/>
                <w:tab w:val="left" w:pos="3884"/>
                <w:tab w:val="left" w:pos="5585"/>
              </w:tabs>
              <w:spacing w:before="0" w:beforeAutospacing="0" w:after="0" w:afterAutospacing="0" w:line="360" w:lineRule="auto"/>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2350</w:t>
            </w:r>
          </w:p>
        </w:tc>
        <w:tc>
          <w:tcPr>
            <w:tcW w:w="2619" w:type="dxa"/>
            <w:vMerge w:val="continue"/>
            <w:tcBorders>
              <w:left w:val="single" w:color="auto" w:sz="4" w:space="0"/>
              <w:bottom w:val="single" w:color="auto" w:sz="4" w:space="0"/>
              <w:right w:val="single" w:color="auto" w:sz="4" w:space="0"/>
            </w:tcBorders>
            <w:vAlign w:val="center"/>
          </w:tcPr>
          <w:p>
            <w:pPr>
              <w:tabs>
                <w:tab w:val="left" w:pos="482"/>
                <w:tab w:val="left" w:pos="2183"/>
                <w:tab w:val="left" w:pos="3884"/>
                <w:tab w:val="left" w:pos="5585"/>
              </w:tabs>
              <w:spacing w:before="0" w:beforeAutospacing="0" w:after="0" w:afterAutospacing="0" w:line="360" w:lineRule="auto"/>
              <w:ind w:left="0" w:right="0"/>
              <w:rPr>
                <w:rFonts w:hint="eastAsia" w:ascii="仿宋" w:hAnsi="仿宋" w:eastAsia="仿宋" w:cs="仿宋"/>
                <w:color w:val="auto"/>
                <w:sz w:val="24"/>
                <w:szCs w:val="24"/>
                <w:lang w:val="en-US" w:eastAsia="zh-CN"/>
              </w:rPr>
            </w:pPr>
          </w:p>
        </w:tc>
      </w:tr>
    </w:tbl>
    <w:p>
      <w:pPr>
        <w:pStyle w:val="26"/>
        <w:spacing w:after="0" w:line="360" w:lineRule="auto"/>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2、其他项目清单</w:t>
      </w:r>
    </w:p>
    <w:tbl>
      <w:tblPr>
        <w:tblStyle w:val="63"/>
        <w:tblW w:w="1002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47"/>
        <w:gridCol w:w="1563"/>
        <w:gridCol w:w="2945"/>
        <w:gridCol w:w="501"/>
        <w:gridCol w:w="1059"/>
        <w:gridCol w:w="815"/>
        <w:gridCol w:w="1317"/>
        <w:gridCol w:w="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trPr>
        <w:tc>
          <w:tcPr>
            <w:tcW w:w="5555" w:type="dxa"/>
            <w:gridSpan w:val="3"/>
            <w:shd w:val="clear" w:color="FFFFFF" w:fill="FFFFFF"/>
            <w:vAlign w:val="bottom"/>
          </w:tcPr>
          <w:p>
            <w:pPr>
              <w:widowControl/>
              <w:spacing w:before="0" w:beforeAutospacing="0" w:after="0" w:afterAutospacing="0"/>
              <w:ind w:left="0" w:right="0"/>
              <w:jc w:val="left"/>
              <w:textAlignment w:val="bottom"/>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SA"/>
              </w:rPr>
              <w:t>1）单位工程及专业工程名称：单项工程-建筑装饰工程</w:t>
            </w:r>
          </w:p>
        </w:tc>
        <w:tc>
          <w:tcPr>
            <w:tcW w:w="3692" w:type="dxa"/>
            <w:gridSpan w:val="4"/>
            <w:shd w:val="clear" w:color="FFFFFF" w:fill="FFFFFF"/>
            <w:vAlign w:val="bottom"/>
          </w:tcPr>
          <w:p>
            <w:pPr>
              <w:spacing w:before="0" w:beforeAutospacing="0" w:after="0" w:afterAutospacing="0"/>
              <w:ind w:left="0" w:right="0"/>
              <w:rPr>
                <w:rFonts w:hint="eastAsia" w:ascii="仿宋" w:hAnsi="仿宋" w:eastAsia="仿宋" w:cs="仿宋"/>
                <w:i w:val="0"/>
                <w:color w:val="auto"/>
                <w:sz w:val="24"/>
                <w:szCs w:val="24"/>
                <w:u w:val="none"/>
              </w:rPr>
            </w:pPr>
          </w:p>
        </w:tc>
        <w:tc>
          <w:tcPr>
            <w:tcW w:w="773" w:type="dxa"/>
            <w:shd w:val="clear" w:color="FFFFFF" w:fill="FFFFFF"/>
            <w:vAlign w:val="bottom"/>
          </w:tcPr>
          <w:p>
            <w:pPr>
              <w:spacing w:before="0" w:beforeAutospacing="0" w:after="0" w:afterAutospacing="0"/>
              <w:ind w:left="0" w:right="0"/>
              <w:jc w:val="right"/>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2" w:hRule="atLeast"/>
        </w:trPr>
        <w:tc>
          <w:tcPr>
            <w:tcW w:w="1047" w:type="dxa"/>
            <w:vMerge w:val="restart"/>
            <w:tcBorders>
              <w:top w:val="single" w:color="000000" w:sz="12"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SA"/>
              </w:rPr>
              <w:t>序号</w:t>
            </w:r>
          </w:p>
        </w:tc>
        <w:tc>
          <w:tcPr>
            <w:tcW w:w="1563"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SA"/>
              </w:rPr>
              <w:t>项目名称</w:t>
            </w:r>
          </w:p>
        </w:tc>
        <w:tc>
          <w:tcPr>
            <w:tcW w:w="2945"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SA"/>
              </w:rPr>
              <w:t>项目特征描述</w:t>
            </w:r>
          </w:p>
        </w:tc>
        <w:tc>
          <w:tcPr>
            <w:tcW w:w="501"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SA"/>
              </w:rPr>
              <w:t>计量单位</w:t>
            </w:r>
          </w:p>
        </w:tc>
        <w:tc>
          <w:tcPr>
            <w:tcW w:w="1059"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SA"/>
              </w:rPr>
              <w:t>工程量</w:t>
            </w:r>
          </w:p>
        </w:tc>
        <w:tc>
          <w:tcPr>
            <w:tcW w:w="815"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SA"/>
              </w:rPr>
              <w:t>综合单价(元)</w:t>
            </w:r>
          </w:p>
        </w:tc>
        <w:tc>
          <w:tcPr>
            <w:tcW w:w="1317"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SA"/>
              </w:rPr>
              <w:t>合价(元)</w:t>
            </w:r>
          </w:p>
        </w:tc>
        <w:tc>
          <w:tcPr>
            <w:tcW w:w="773" w:type="dxa"/>
            <w:vMerge w:val="restart"/>
            <w:tcBorders>
              <w:top w:val="single" w:color="000000" w:sz="12"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2" w:hRule="atLeast"/>
        </w:trPr>
        <w:tc>
          <w:tcPr>
            <w:tcW w:w="1047" w:type="dxa"/>
            <w:vMerge w:val="continue"/>
            <w:tcBorders>
              <w:top w:val="single" w:color="000000" w:sz="12"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仿宋" w:hAnsi="仿宋" w:eastAsia="仿宋" w:cs="仿宋"/>
                <w:b/>
                <w:i w:val="0"/>
                <w:color w:val="000000"/>
                <w:sz w:val="24"/>
                <w:szCs w:val="24"/>
                <w:u w:val="none"/>
              </w:rPr>
            </w:pPr>
          </w:p>
        </w:tc>
        <w:tc>
          <w:tcPr>
            <w:tcW w:w="1563"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仿宋" w:hAnsi="仿宋" w:eastAsia="仿宋" w:cs="仿宋"/>
                <w:b/>
                <w:i w:val="0"/>
                <w:color w:val="000000"/>
                <w:sz w:val="24"/>
                <w:szCs w:val="24"/>
                <w:u w:val="none"/>
              </w:rPr>
            </w:pPr>
          </w:p>
        </w:tc>
        <w:tc>
          <w:tcPr>
            <w:tcW w:w="2945"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仿宋" w:hAnsi="仿宋" w:eastAsia="仿宋" w:cs="仿宋"/>
                <w:b/>
                <w:i w:val="0"/>
                <w:color w:val="000000"/>
                <w:sz w:val="24"/>
                <w:szCs w:val="24"/>
                <w:u w:val="none"/>
              </w:rPr>
            </w:pPr>
          </w:p>
        </w:tc>
        <w:tc>
          <w:tcPr>
            <w:tcW w:w="501"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仿宋" w:hAnsi="仿宋" w:eastAsia="仿宋" w:cs="仿宋"/>
                <w:b/>
                <w:i w:val="0"/>
                <w:color w:val="000000"/>
                <w:sz w:val="24"/>
                <w:szCs w:val="24"/>
                <w:u w:val="none"/>
              </w:rPr>
            </w:pPr>
          </w:p>
        </w:tc>
        <w:tc>
          <w:tcPr>
            <w:tcW w:w="1059"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仿宋" w:hAnsi="仿宋" w:eastAsia="仿宋" w:cs="仿宋"/>
                <w:b/>
                <w:i w:val="0"/>
                <w:color w:val="000000"/>
                <w:sz w:val="24"/>
                <w:szCs w:val="24"/>
                <w:u w:val="none"/>
              </w:rPr>
            </w:pPr>
          </w:p>
        </w:tc>
        <w:tc>
          <w:tcPr>
            <w:tcW w:w="815"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仿宋" w:hAnsi="仿宋" w:eastAsia="仿宋" w:cs="仿宋"/>
                <w:b/>
                <w:i w:val="0"/>
                <w:color w:val="000000"/>
                <w:sz w:val="24"/>
                <w:szCs w:val="24"/>
                <w:u w:val="none"/>
              </w:rPr>
            </w:pPr>
          </w:p>
        </w:tc>
        <w:tc>
          <w:tcPr>
            <w:tcW w:w="1317"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仿宋" w:hAnsi="仿宋" w:eastAsia="仿宋" w:cs="仿宋"/>
                <w:b/>
                <w:i w:val="0"/>
                <w:color w:val="000000"/>
                <w:sz w:val="24"/>
                <w:szCs w:val="24"/>
                <w:u w:val="none"/>
              </w:rPr>
            </w:pPr>
          </w:p>
        </w:tc>
        <w:tc>
          <w:tcPr>
            <w:tcW w:w="773" w:type="dxa"/>
            <w:vMerge w:val="continue"/>
            <w:tcBorders>
              <w:top w:val="single" w:color="000000" w:sz="12"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center"/>
              <w:rPr>
                <w:rFonts w:hint="eastAsia" w:ascii="仿宋" w:hAnsi="仿宋" w:eastAsia="仿宋" w:cs="仿宋"/>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1" w:hRule="atLeast"/>
        </w:trPr>
        <w:tc>
          <w:tcPr>
            <w:tcW w:w="1047"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15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型材屋面</w:t>
            </w:r>
          </w:p>
        </w:tc>
        <w:tc>
          <w:tcPr>
            <w:tcW w:w="2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屋面1：压型钢板复合保温系统屋面</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1、0.9厚镀铝镁锰合金板(360度咬合锁边)；</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2、75厚玻璃棉保温层面覆铝箔(容重32kg/m3)；</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3、300mm×300mm间距的φ1.5细钢丝网片；</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含0.5mm镀锌钢板泛水板，2厚铝板泛水板、檐口滴水板及其他配件；</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4、屋面结构；</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m2</w:t>
            </w:r>
          </w:p>
        </w:tc>
        <w:tc>
          <w:tcPr>
            <w:tcW w:w="10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819.16</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73"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8" w:hRule="atLeast"/>
        </w:trPr>
        <w:tc>
          <w:tcPr>
            <w:tcW w:w="1047"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w:t>
            </w:r>
          </w:p>
        </w:tc>
        <w:tc>
          <w:tcPr>
            <w:tcW w:w="15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屋面天沟、檐沟</w:t>
            </w:r>
          </w:p>
        </w:tc>
        <w:tc>
          <w:tcPr>
            <w:tcW w:w="2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3mm镀锌钢板檐沟内涂氯丁胶，排水坡度0.5%</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m2</w:t>
            </w:r>
          </w:p>
        </w:tc>
        <w:tc>
          <w:tcPr>
            <w:tcW w:w="10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91.86</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73"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8" w:hRule="atLeast"/>
        </w:trPr>
        <w:tc>
          <w:tcPr>
            <w:tcW w:w="1047"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w:t>
            </w:r>
          </w:p>
        </w:tc>
        <w:tc>
          <w:tcPr>
            <w:tcW w:w="15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墙面喷刷涂料</w:t>
            </w:r>
          </w:p>
        </w:tc>
        <w:tc>
          <w:tcPr>
            <w:tcW w:w="2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1、外墙真石漆；</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2、封底涂料一遍；</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3、刮腻子两遍；</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m2</w:t>
            </w:r>
          </w:p>
        </w:tc>
        <w:tc>
          <w:tcPr>
            <w:tcW w:w="10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1468.9</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73"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8" w:hRule="atLeast"/>
        </w:trPr>
        <w:tc>
          <w:tcPr>
            <w:tcW w:w="1047"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w:t>
            </w:r>
          </w:p>
        </w:tc>
        <w:tc>
          <w:tcPr>
            <w:tcW w:w="15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预埋铁件</w:t>
            </w:r>
          </w:p>
        </w:tc>
        <w:tc>
          <w:tcPr>
            <w:tcW w:w="2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预埋件锚板采用3号钢(Q235-B),锚板外露表面热镀锌处理，镀锌层厚度为≥85μm。</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t</w:t>
            </w:r>
          </w:p>
        </w:tc>
        <w:tc>
          <w:tcPr>
            <w:tcW w:w="10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19.465</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73"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8" w:hRule="atLeast"/>
        </w:trPr>
        <w:tc>
          <w:tcPr>
            <w:tcW w:w="1047"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w:t>
            </w:r>
          </w:p>
        </w:tc>
        <w:tc>
          <w:tcPr>
            <w:tcW w:w="15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带骨架幕墙</w:t>
            </w:r>
          </w:p>
        </w:tc>
        <w:tc>
          <w:tcPr>
            <w:tcW w:w="2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4mm穿孔铝板(双面氟碳喷涂)，30x30x3角铝骨架</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m2</w:t>
            </w:r>
          </w:p>
        </w:tc>
        <w:tc>
          <w:tcPr>
            <w:tcW w:w="10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1450.55</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73"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8" w:hRule="atLeast"/>
        </w:trPr>
        <w:tc>
          <w:tcPr>
            <w:tcW w:w="1047" w:type="dxa"/>
            <w:tcBorders>
              <w:top w:val="single" w:color="000000" w:sz="4" w:space="0"/>
              <w:left w:val="single" w:color="000000" w:sz="12"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6</w:t>
            </w:r>
          </w:p>
        </w:tc>
        <w:tc>
          <w:tcPr>
            <w:tcW w:w="1563"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带骨架幕墙</w:t>
            </w:r>
          </w:p>
        </w:tc>
        <w:tc>
          <w:tcPr>
            <w:tcW w:w="2945"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2.5mm铝单板，表面氟碳喷涂，含槽铝加劲肋40x30x4，具体做法详见图纸；</w:t>
            </w:r>
          </w:p>
        </w:tc>
        <w:tc>
          <w:tcPr>
            <w:tcW w:w="501"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m2</w:t>
            </w:r>
          </w:p>
        </w:tc>
        <w:tc>
          <w:tcPr>
            <w:tcW w:w="1059"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858.28</w:t>
            </w:r>
          </w:p>
        </w:tc>
        <w:tc>
          <w:tcPr>
            <w:tcW w:w="815"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1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73" w:type="dxa"/>
            <w:tcBorders>
              <w:top w:val="single" w:color="000000" w:sz="4" w:space="0"/>
              <w:left w:val="single" w:color="000000" w:sz="4" w:space="0"/>
              <w:bottom w:val="single" w:color="000000" w:sz="12"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16" w:hRule="atLeast"/>
        </w:trPr>
        <w:tc>
          <w:tcPr>
            <w:tcW w:w="1047"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7</w:t>
            </w:r>
          </w:p>
        </w:tc>
        <w:tc>
          <w:tcPr>
            <w:tcW w:w="15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干挂石材钢骨架</w:t>
            </w:r>
          </w:p>
        </w:tc>
        <w:tc>
          <w:tcPr>
            <w:tcW w:w="2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钢骨架：Q235B，热浸镀锌钢管80x40x4、热浸镀锌矩形钢管(100~45)x60x5、角钢L50*5、L40*4、U型焊接钢管芯套、角码、螺栓组件2-M12x90等，表面防锈、热镀锌处理，具体做法详见图纸；</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t</w:t>
            </w:r>
          </w:p>
        </w:tc>
        <w:tc>
          <w:tcPr>
            <w:tcW w:w="10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35.643</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73"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8" w:hRule="atLeast"/>
        </w:trPr>
        <w:tc>
          <w:tcPr>
            <w:tcW w:w="1047"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8</w:t>
            </w:r>
          </w:p>
        </w:tc>
        <w:tc>
          <w:tcPr>
            <w:tcW w:w="15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硅橡胶涂层</w:t>
            </w:r>
          </w:p>
        </w:tc>
        <w:tc>
          <w:tcPr>
            <w:tcW w:w="2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钢管表面硅橡胶涂层，厚度150μm~200μm，与穿孔板同色</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m2</w:t>
            </w:r>
          </w:p>
        </w:tc>
        <w:tc>
          <w:tcPr>
            <w:tcW w:w="10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763.03</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73"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8" w:hRule="atLeast"/>
        </w:trPr>
        <w:tc>
          <w:tcPr>
            <w:tcW w:w="1047"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9</w:t>
            </w:r>
          </w:p>
        </w:tc>
        <w:tc>
          <w:tcPr>
            <w:tcW w:w="15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沉降观测点</w:t>
            </w:r>
          </w:p>
        </w:tc>
        <w:tc>
          <w:tcPr>
            <w:tcW w:w="2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φ20不锈钢顶端磨圆，具体做法详见图纸；</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73"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8" w:hRule="atLeast"/>
        </w:trPr>
        <w:tc>
          <w:tcPr>
            <w:tcW w:w="1047"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10</w:t>
            </w:r>
          </w:p>
        </w:tc>
        <w:tc>
          <w:tcPr>
            <w:tcW w:w="15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外脚手架</w:t>
            </w:r>
          </w:p>
        </w:tc>
        <w:tc>
          <w:tcPr>
            <w:tcW w:w="2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外墙脚手架 高度30m以内</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m2</w:t>
            </w:r>
          </w:p>
        </w:tc>
        <w:tc>
          <w:tcPr>
            <w:tcW w:w="10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1468.9</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73"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bl>
    <w:p>
      <w:pPr>
        <w:pStyle w:val="26"/>
        <w:numPr>
          <w:ilvl w:val="0"/>
          <w:numId w:val="0"/>
        </w:numPr>
        <w:spacing w:after="0" w:line="360" w:lineRule="auto"/>
        <w:ind w:leftChars="600"/>
        <w:rPr>
          <w:rFonts w:hint="eastAsia" w:ascii="仿宋" w:hAnsi="仿宋" w:eastAsia="仿宋" w:cs="仿宋"/>
          <w:sz w:val="24"/>
          <w:szCs w:val="24"/>
          <w:lang w:val="en-US" w:eastAsia="zh-CN"/>
        </w:rPr>
      </w:pPr>
    </w:p>
    <w:tbl>
      <w:tblPr>
        <w:tblStyle w:val="63"/>
        <w:tblW w:w="10174" w:type="dxa"/>
        <w:tblInd w:w="-3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72"/>
        <w:gridCol w:w="1553"/>
        <w:gridCol w:w="3020"/>
        <w:gridCol w:w="507"/>
        <w:gridCol w:w="1075"/>
        <w:gridCol w:w="827"/>
        <w:gridCol w:w="1336"/>
        <w:gridCol w:w="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1" w:hRule="atLeast"/>
        </w:trPr>
        <w:tc>
          <w:tcPr>
            <w:tcW w:w="5645" w:type="dxa"/>
            <w:gridSpan w:val="3"/>
            <w:shd w:val="clear" w:color="FFFFFF" w:fill="FFFFFF"/>
            <w:vAlign w:val="bottom"/>
          </w:tcPr>
          <w:p>
            <w:pPr>
              <w:widowControl/>
              <w:spacing w:before="0" w:beforeAutospacing="0" w:after="0" w:afterAutospacing="0"/>
              <w:ind w:left="0" w:right="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2、单位工程及专业工程名称：单项工程-室内安装工程</w:t>
            </w:r>
          </w:p>
        </w:tc>
        <w:tc>
          <w:tcPr>
            <w:tcW w:w="3745" w:type="dxa"/>
            <w:gridSpan w:val="4"/>
            <w:shd w:val="clear" w:color="FFFFFF" w:fill="FFFFFF"/>
            <w:vAlign w:val="bottom"/>
          </w:tcPr>
          <w:p>
            <w:pPr>
              <w:spacing w:before="0" w:beforeAutospacing="0" w:after="0" w:afterAutospacing="0"/>
              <w:ind w:left="0" w:right="0"/>
              <w:rPr>
                <w:rFonts w:hint="eastAsia" w:ascii="仿宋" w:hAnsi="仿宋" w:eastAsia="仿宋" w:cs="仿宋"/>
                <w:i w:val="0"/>
                <w:color w:val="000000"/>
                <w:sz w:val="24"/>
                <w:szCs w:val="24"/>
                <w:u w:val="none"/>
              </w:rPr>
            </w:pPr>
          </w:p>
        </w:tc>
        <w:tc>
          <w:tcPr>
            <w:tcW w:w="784" w:type="dxa"/>
            <w:shd w:val="clear" w:color="FFFFFF" w:fill="FFFFFF"/>
            <w:vAlign w:val="bottom"/>
          </w:tcPr>
          <w:p>
            <w:pPr>
              <w:spacing w:before="0" w:beforeAutospacing="0" w:after="0" w:afterAutospacing="0"/>
              <w:ind w:left="0" w:right="0"/>
              <w:jc w:val="righ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4" w:hRule="atLeast"/>
        </w:trPr>
        <w:tc>
          <w:tcPr>
            <w:tcW w:w="1072" w:type="dxa"/>
            <w:vMerge w:val="restart"/>
            <w:tcBorders>
              <w:top w:val="single" w:color="000000" w:sz="12"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SA"/>
              </w:rPr>
              <w:t>序号</w:t>
            </w:r>
          </w:p>
        </w:tc>
        <w:tc>
          <w:tcPr>
            <w:tcW w:w="1553"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SA"/>
              </w:rPr>
              <w:t>项目名称</w:t>
            </w:r>
          </w:p>
        </w:tc>
        <w:tc>
          <w:tcPr>
            <w:tcW w:w="3020"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SA"/>
              </w:rPr>
              <w:t>项目特征描述</w:t>
            </w:r>
          </w:p>
        </w:tc>
        <w:tc>
          <w:tcPr>
            <w:tcW w:w="507"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SA"/>
              </w:rPr>
              <w:t>计量单位</w:t>
            </w:r>
          </w:p>
        </w:tc>
        <w:tc>
          <w:tcPr>
            <w:tcW w:w="1075"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SA"/>
              </w:rPr>
              <w:t>工程量</w:t>
            </w:r>
          </w:p>
        </w:tc>
        <w:tc>
          <w:tcPr>
            <w:tcW w:w="827"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SA"/>
              </w:rPr>
              <w:t>综合单价(元)</w:t>
            </w:r>
          </w:p>
        </w:tc>
        <w:tc>
          <w:tcPr>
            <w:tcW w:w="1336"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SA"/>
              </w:rPr>
              <w:t>合价(元)</w:t>
            </w:r>
          </w:p>
        </w:tc>
        <w:tc>
          <w:tcPr>
            <w:tcW w:w="784" w:type="dxa"/>
            <w:vMerge w:val="restart"/>
            <w:tcBorders>
              <w:top w:val="single" w:color="000000" w:sz="12"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4" w:hRule="atLeast"/>
        </w:trPr>
        <w:tc>
          <w:tcPr>
            <w:tcW w:w="1072" w:type="dxa"/>
            <w:vMerge w:val="continue"/>
            <w:tcBorders>
              <w:top w:val="single" w:color="000000" w:sz="12"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仿宋" w:hAnsi="仿宋" w:eastAsia="仿宋" w:cs="仿宋"/>
                <w:b/>
                <w:i w:val="0"/>
                <w:color w:val="000000"/>
                <w:sz w:val="24"/>
                <w:szCs w:val="24"/>
                <w:u w:val="none"/>
              </w:rPr>
            </w:pPr>
          </w:p>
        </w:tc>
        <w:tc>
          <w:tcPr>
            <w:tcW w:w="1553"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仿宋" w:hAnsi="仿宋" w:eastAsia="仿宋" w:cs="仿宋"/>
                <w:b/>
                <w:i w:val="0"/>
                <w:color w:val="000000"/>
                <w:sz w:val="24"/>
                <w:szCs w:val="24"/>
                <w:u w:val="none"/>
              </w:rPr>
            </w:pPr>
          </w:p>
        </w:tc>
        <w:tc>
          <w:tcPr>
            <w:tcW w:w="3020"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仿宋" w:hAnsi="仿宋" w:eastAsia="仿宋" w:cs="仿宋"/>
                <w:b/>
                <w:i w:val="0"/>
                <w:color w:val="000000"/>
                <w:sz w:val="24"/>
                <w:szCs w:val="24"/>
                <w:u w:val="none"/>
              </w:rPr>
            </w:pPr>
          </w:p>
        </w:tc>
        <w:tc>
          <w:tcPr>
            <w:tcW w:w="507"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仿宋" w:hAnsi="仿宋" w:eastAsia="仿宋" w:cs="仿宋"/>
                <w:b/>
                <w:i w:val="0"/>
                <w:color w:val="000000"/>
                <w:sz w:val="24"/>
                <w:szCs w:val="24"/>
                <w:u w:val="none"/>
              </w:rPr>
            </w:pPr>
          </w:p>
        </w:tc>
        <w:tc>
          <w:tcPr>
            <w:tcW w:w="1075"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仿宋" w:hAnsi="仿宋" w:eastAsia="仿宋" w:cs="仿宋"/>
                <w:b/>
                <w:i w:val="0"/>
                <w:color w:val="000000"/>
                <w:sz w:val="24"/>
                <w:szCs w:val="24"/>
                <w:u w:val="none"/>
              </w:rPr>
            </w:pPr>
          </w:p>
        </w:tc>
        <w:tc>
          <w:tcPr>
            <w:tcW w:w="827"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仿宋" w:hAnsi="仿宋" w:eastAsia="仿宋" w:cs="仿宋"/>
                <w:b/>
                <w:i w:val="0"/>
                <w:color w:val="000000"/>
                <w:sz w:val="24"/>
                <w:szCs w:val="24"/>
                <w:u w:val="none"/>
              </w:rPr>
            </w:pPr>
          </w:p>
        </w:tc>
        <w:tc>
          <w:tcPr>
            <w:tcW w:w="1336"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仿宋" w:hAnsi="仿宋" w:eastAsia="仿宋" w:cs="仿宋"/>
                <w:b/>
                <w:i w:val="0"/>
                <w:color w:val="000000"/>
                <w:sz w:val="24"/>
                <w:szCs w:val="24"/>
                <w:u w:val="none"/>
              </w:rPr>
            </w:pPr>
          </w:p>
        </w:tc>
        <w:tc>
          <w:tcPr>
            <w:tcW w:w="784" w:type="dxa"/>
            <w:vMerge w:val="continue"/>
            <w:tcBorders>
              <w:top w:val="single" w:color="000000" w:sz="12"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center"/>
              <w:rPr>
                <w:rFonts w:hint="eastAsia" w:ascii="仿宋" w:hAnsi="仿宋" w:eastAsia="仿宋" w:cs="仿宋"/>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4"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电气部分</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配电箱</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悬挂式配电箱 ALGL 安装；含箱内元器件，详见施工图</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配电箱</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悬挂式双电源消控室配电箱 ATXK 安装；含箱内元器件，详见施工图</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配电箱</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悬挂式双电源应急照明配电箱 ALE11 安装；含箱内元器件，详见施工图</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配电箱</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悬挂式双电源动力配电箱 APDL 安装；含箱内元器件，详见施工图</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配电箱</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悬挂式双电源变配电配电箱 XLBD 安装；含箱内元器件，详见施工图</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6</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配电箱</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悬挂式充电桩配电箱 APCDZ 安装；含箱内元器件，详见施工图</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7</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配电箱</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悬挂式景观电气配电箱 ALJG 安装；含箱内元器件，详见施工图</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8</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桥架</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防火镀锌桥架安装300*200；含管件、盖板、接地线等</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51.75</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1072" w:type="dxa"/>
            <w:tcBorders>
              <w:top w:val="single" w:color="000000" w:sz="4" w:space="0"/>
              <w:left w:val="single" w:color="000000" w:sz="12"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9</w:t>
            </w:r>
          </w:p>
        </w:tc>
        <w:tc>
          <w:tcPr>
            <w:tcW w:w="1553"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桥架</w:t>
            </w:r>
          </w:p>
        </w:tc>
        <w:tc>
          <w:tcPr>
            <w:tcW w:w="3020"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防火镀锌桥架安装 300*100；含管件、盖板、接地线等</w:t>
            </w:r>
          </w:p>
        </w:tc>
        <w:tc>
          <w:tcPr>
            <w:tcW w:w="50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18.09</w:t>
            </w:r>
          </w:p>
        </w:tc>
        <w:tc>
          <w:tcPr>
            <w:tcW w:w="82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12"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10</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桥架</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防火镀锌桥架安装 200*100；含管件、盖板、接地线等</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34.65</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11</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铁构件</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桥架支架制作安装</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kg</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97.67</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12</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金属结构刷油</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桥架支架除锈、刷油</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kg</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97.67</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13</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防火堵洞</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桥架防火封堵</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处</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14</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配管</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砖、混凝土结构暗配焊接钢管敷设 SC40，厚度满足国标及设计要求</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27.8</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15</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配管</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砖、混凝土结构暗配焊接钢管敷设 SC25，厚度满足国标及设计要求</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6.2</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16</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配管</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砖、混凝土结构暗配焊接钢管敷设 SC20，厚度满足国标及设计要求</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35.93</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17</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配管</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砖、混凝土结构暗配管敷设JDG40，厚度满足国标及设计要求</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8.94</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18</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配管</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砖、混凝土结构暗配管敷设JDG32，厚度满足国标及设计要求</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80.23</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19</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配管</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砖、混凝土结构暗配管敷设JDG25，厚度满足国标及设计要求</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4.5</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1072" w:type="dxa"/>
            <w:tcBorders>
              <w:top w:val="single" w:color="000000" w:sz="4" w:space="0"/>
              <w:left w:val="single" w:color="000000" w:sz="12"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20</w:t>
            </w:r>
          </w:p>
        </w:tc>
        <w:tc>
          <w:tcPr>
            <w:tcW w:w="1553"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配管</w:t>
            </w:r>
          </w:p>
        </w:tc>
        <w:tc>
          <w:tcPr>
            <w:tcW w:w="3020"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砖、混凝土结构暗配管敷设JDG20，厚度满足国标及设计要求</w:t>
            </w:r>
          </w:p>
        </w:tc>
        <w:tc>
          <w:tcPr>
            <w:tcW w:w="50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906.97</w:t>
            </w:r>
          </w:p>
        </w:tc>
        <w:tc>
          <w:tcPr>
            <w:tcW w:w="82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12"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21</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电力电缆</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矿物质绝缘电力电缆敷设 TBTRZYB-4X4</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53.1</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22</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电力电缆</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铜芯电力电缆敷设 WDZ-YJY-4*185+1*95</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241.29</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23</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电力电缆</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铜芯电力电缆敷设 WDZN-YJY-5x16</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80.77</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24</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电力电缆</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铜芯电力电缆敷设 WDZB1-YJY-5x16</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50.53</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25</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电力电缆</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铜芯电力电缆敷设 WDZB1-YJY-5*10</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55.36</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26</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电力电缆</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铜芯电力电缆敷设 WDZB1N-YJY-5*10</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55.35</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27</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电力电缆</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铜芯电力电缆敷设 WDZN-YJY-5*6</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92.25</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28</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电力电缆</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铜芯电力电缆敷设 WDZB-YJY-4*50+1*25</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71.33</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29</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电力电缆</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铜芯电力电缆敷设 WDZ-YJY-4*16</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48.02</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30</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电力电缆</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铜芯电力电缆敷设 WDZB-YJY-2*25+1*16</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240.75</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31</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电力电缆头</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户内干包式电力电缆头制作、安装 干包终端头(1kV以下截面mm2以下)240</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12</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1072" w:type="dxa"/>
            <w:tcBorders>
              <w:top w:val="single" w:color="000000" w:sz="4" w:space="0"/>
              <w:left w:val="single" w:color="000000" w:sz="12"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32</w:t>
            </w:r>
          </w:p>
        </w:tc>
        <w:tc>
          <w:tcPr>
            <w:tcW w:w="1553"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电力电缆头</w:t>
            </w:r>
          </w:p>
        </w:tc>
        <w:tc>
          <w:tcPr>
            <w:tcW w:w="3020"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户内干包式电力电缆头制作、安装 干包终端头(1kV以下截面mm2以下)120</w:t>
            </w:r>
          </w:p>
        </w:tc>
        <w:tc>
          <w:tcPr>
            <w:tcW w:w="50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8</w:t>
            </w:r>
          </w:p>
        </w:tc>
        <w:tc>
          <w:tcPr>
            <w:tcW w:w="82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12"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33</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电力电缆头</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户内干包式电力电缆头制作、安装 干包终端头(1kV以下截面mm2以下)25</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26</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34</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电力电缆头</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户内干包式电力电缆头制作、安装 干包终端头(1kV以下截面mm2以下)10</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18</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35</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配线</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管内穿线 WDZ-BYJ-2.5</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1781.76</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36</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配线</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管内穿线 WDZ-BYJR-2.5</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890.88</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37</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配线</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管内穿线 WDZN-BYJ-2.5</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222.13</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38</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配线</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管内穿线 WDZN-BYJR-2.5</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78.57</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39</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配线</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管内穿线 WDZN-BYJ-4</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22.5</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配线</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管内穿线 WDZN-BYJ-6</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123.64</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41</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配线</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管内穿线 WDZN-BYJR-6</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30.91</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42</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配线</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管内穿线 WDZ-BYJ-6</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55.68</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43</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配线</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管内穿线 WDZ-BYJR-6</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13.92</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44</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荧光灯</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单管荧光灯安装 28W；含LED光源等</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套</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37</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45</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荧光灯</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双管荧光灯安装 28W；含LED光源等</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套</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22</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46</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普通灯具</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检修壁挂灯具安装 12W，含LED光源等</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套</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96</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47</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装饰灯</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消控室标志灯安装，含LED光源等</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套</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1" w:hRule="atLeast"/>
        </w:trPr>
        <w:tc>
          <w:tcPr>
            <w:tcW w:w="1072" w:type="dxa"/>
            <w:tcBorders>
              <w:top w:val="single" w:color="000000" w:sz="4" w:space="0"/>
              <w:left w:val="single" w:color="000000" w:sz="12"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48</w:t>
            </w:r>
          </w:p>
        </w:tc>
        <w:tc>
          <w:tcPr>
            <w:tcW w:w="1553"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装饰灯</w:t>
            </w:r>
          </w:p>
        </w:tc>
        <w:tc>
          <w:tcPr>
            <w:tcW w:w="3020"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变电所标志灯安装，含LED光源等</w:t>
            </w:r>
          </w:p>
        </w:tc>
        <w:tc>
          <w:tcPr>
            <w:tcW w:w="50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套</w:t>
            </w:r>
          </w:p>
        </w:tc>
        <w:tc>
          <w:tcPr>
            <w:tcW w:w="1075"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2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12"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49</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照明开关</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双联单控开关暗装 10A</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50</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照明开关</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三联单控开关暗装 10A</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51</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插座</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单相二三孔暗插座 10A</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28</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52</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插座</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柜体空调暗插座 16A</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53</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接线盒</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钢制开关盒、插座盒安装</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34</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54</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接线盒</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钢制灯具盒安装</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157</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55</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避雷网</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接闪带安装 Φ10热镀锌圆钢沿折板支架敷设</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208.78</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56</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避雷网</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接闪带安装 25*4热镀锌扁钢沿混凝土块敷设</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136.48</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57</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避雷引下线</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避雷引下线敷设</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185.46</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58</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低压交流异步 电动机</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小型交流异步电动机检查接线 功率(kW)≤3</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4"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集中应急照明系统</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02"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59</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配电箱</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悬挂式A型应急照明集中电源安装 YJ11 蓄电池容量:0.3KVA，持续供电时间为30min</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60</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报警联动一体机</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应急照明控制器安装</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61</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配管</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砖、混凝土结构暗配管敷设JDG20，厚度满足国标及设计要求</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171.71</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62</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配线</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管内穿线 WDZN-BYJ-2.5</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356.02</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072" w:type="dxa"/>
            <w:tcBorders>
              <w:top w:val="single" w:color="000000" w:sz="4" w:space="0"/>
              <w:left w:val="single" w:color="000000" w:sz="12"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63</w:t>
            </w:r>
          </w:p>
        </w:tc>
        <w:tc>
          <w:tcPr>
            <w:tcW w:w="1553"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配线</w:t>
            </w:r>
          </w:p>
        </w:tc>
        <w:tc>
          <w:tcPr>
            <w:tcW w:w="3020"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管内穿线 WDZN-RYSP-2*1.5</w:t>
            </w:r>
          </w:p>
        </w:tc>
        <w:tc>
          <w:tcPr>
            <w:tcW w:w="50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28.5</w:t>
            </w:r>
          </w:p>
        </w:tc>
        <w:tc>
          <w:tcPr>
            <w:tcW w:w="82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12"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64</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普通灯具</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应急照明灯具 3W；含LED光源</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套</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14</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65</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装饰灯</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安全出口指示标志灯安装，持续点亮型，含LED光源</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套</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66</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装饰灯</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疏散出口指示标志灯安装，持续点亮型，含LED光源</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套</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67</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装饰灯</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单向疏散指示标志灯安装，持续点亮型，含LED光源</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套</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6</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68</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接线盒</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钢制接线盒安装</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23</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69</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事故照明切换装置</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集中应急照明系统调试</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系统</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4"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消防报警系统</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3"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70</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报警联动一体机</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火灾报警控制器(联动型)安装，含图形显示器、总线操作盘、直接控制盘、电源盘、电话系统、广播系统等，具体详见图纸</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71</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端子箱</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报警端子箱安装</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72</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端子箱</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广播模块安装</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1072" w:type="dxa"/>
            <w:tcBorders>
              <w:top w:val="single" w:color="000000" w:sz="4" w:space="0"/>
              <w:left w:val="single" w:color="000000" w:sz="12"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73</w:t>
            </w:r>
          </w:p>
        </w:tc>
        <w:tc>
          <w:tcPr>
            <w:tcW w:w="1553"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配管</w:t>
            </w:r>
          </w:p>
        </w:tc>
        <w:tc>
          <w:tcPr>
            <w:tcW w:w="3020"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砖、混凝土结构暗配焊接钢管敷设 SC32，厚度满足国标及设计要求</w:t>
            </w:r>
          </w:p>
        </w:tc>
        <w:tc>
          <w:tcPr>
            <w:tcW w:w="50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51.8</w:t>
            </w:r>
          </w:p>
        </w:tc>
        <w:tc>
          <w:tcPr>
            <w:tcW w:w="82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12"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74</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配管</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砖、混凝土结构暗配焊接钢管敷设 SC20，厚度满足国标及设计要求</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1159.92</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75</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控制电缆</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控制电缆敷设 WDZB1N-KYJY-7*1.5</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26.05</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76</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控制电缆</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控制电缆敷设 WDZB1N-KVV-3*1.0</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26.65</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77</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配线</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管内穿线 WDZB1N-RYYP-2*1.5</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97.9</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78</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配线</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管内穿线 WDZB1N-RYS-2*1.5</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1197.83</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79</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配线</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管内穿线 WDZBN-RYS-2*1.5</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13</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80</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配线</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管内穿线 WDZB1N-BYJ-2.5</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340.14</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81</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模块（模块箱）</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输入输出模块安装</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82</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模块（模块箱）</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短路隔离器安装</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6</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83</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点型探测器</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感温探测器安装</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8</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84</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点型探测器</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感烟探测器安装</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140</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85</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区域报警控制箱</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火灾显示盘安装</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86</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区域报警控制箱</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手自动控制盘安装</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87</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按钮</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手动报警按钮(带电话插孔)安装</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88</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声光报警器</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声光报警器安装</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7</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89</w:t>
            </w:r>
          </w:p>
        </w:tc>
        <w:tc>
          <w:tcPr>
            <w:tcW w:w="1553"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按钮</w:t>
            </w:r>
          </w:p>
        </w:tc>
        <w:tc>
          <w:tcPr>
            <w:tcW w:w="3020"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消火栓按钮安装</w:t>
            </w:r>
          </w:p>
        </w:tc>
        <w:tc>
          <w:tcPr>
            <w:tcW w:w="50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w:t>
            </w:r>
          </w:p>
        </w:tc>
        <w:tc>
          <w:tcPr>
            <w:tcW w:w="82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12"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90</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消防报警电话插孔（电话）</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消防电话安装</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91</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消防广播（扬声器）</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消防广播安装</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92</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接线盒</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钢制接线盒安装</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176</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93</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自动报警系统调试</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火灾事故广播喇叭及音箱、电话插孔调试</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系统</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94</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自动报警系统调试</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消防通信分机调试</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系统</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95</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自动报警系统调试</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自动报警系统调试</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系统</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4"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电源监控系统</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96</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配管</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砖、混凝土结构暗配焊接钢管敷设 SC20，厚度满足国标及设计要求</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37.29</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97</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配线</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管内穿线 WDZN-RVS-2*1.5</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60.29</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98</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配线</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管内穿线 WDZN-BYJ-2.5</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120.58</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99</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报警联动一体机</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消防设备电源状态监控器安装</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100</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报警联动一体机</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电源监控分机安装</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101</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模块（模块箱）</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消防电源监控模块安装</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102</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接线盒</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钢制接线盒安装</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4"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电气火灾监控系统</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1072" w:type="dxa"/>
            <w:tcBorders>
              <w:top w:val="single" w:color="000000" w:sz="4" w:space="0"/>
              <w:left w:val="single" w:color="000000" w:sz="12"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103</w:t>
            </w:r>
          </w:p>
        </w:tc>
        <w:tc>
          <w:tcPr>
            <w:tcW w:w="1553"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配管</w:t>
            </w:r>
          </w:p>
        </w:tc>
        <w:tc>
          <w:tcPr>
            <w:tcW w:w="3020"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砖、混凝土结构暗配焊接钢管敷设 SC20，厚度满足国标及设计要求</w:t>
            </w:r>
          </w:p>
        </w:tc>
        <w:tc>
          <w:tcPr>
            <w:tcW w:w="50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39.02</w:t>
            </w:r>
          </w:p>
        </w:tc>
        <w:tc>
          <w:tcPr>
            <w:tcW w:w="82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12"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104</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配线</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管内穿线 WDZN-RVS-2*1.5</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43.52</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105</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报警联动一体机</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电气火灾监控器安装</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106</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模块（模块箱）</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电气火灾监控模块安装</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107</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接线盒</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钢制接线盒安装</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4"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防火门监控系统</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108</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报警联动一体机</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防火门监控器安装</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109</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配线</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管内穿线 WDZN-RVS-2*1.5</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13</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110</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配线</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管内穿线 WDZN-BYJ-2.5</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26</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4"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气体灭火系统</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111</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火灾报警系统控制主机</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气体灭火控制器安装</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112</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装饰灯</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灭火剂喷放指示灯安装，含LED光源</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套</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113</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配管</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砖、混凝土结构暗配焊接钢管敷设 SC32，厚度满足国标及设计要求</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122.43</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4"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喷淋系统</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114</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水喷淋钢管</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热浸镀锌钢管（丝扣连接） DN25，含管道冲洗、管件等</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1078.58</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1072" w:type="dxa"/>
            <w:tcBorders>
              <w:top w:val="single" w:color="000000" w:sz="4" w:space="0"/>
              <w:left w:val="single" w:color="000000" w:sz="12"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115</w:t>
            </w:r>
          </w:p>
        </w:tc>
        <w:tc>
          <w:tcPr>
            <w:tcW w:w="1553"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水喷淋钢管</w:t>
            </w:r>
          </w:p>
        </w:tc>
        <w:tc>
          <w:tcPr>
            <w:tcW w:w="3020"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热浸镀锌钢管（丝扣连接） DN32，含管道冲洗、管件等</w:t>
            </w:r>
          </w:p>
        </w:tc>
        <w:tc>
          <w:tcPr>
            <w:tcW w:w="50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530.31</w:t>
            </w:r>
          </w:p>
        </w:tc>
        <w:tc>
          <w:tcPr>
            <w:tcW w:w="82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12"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116</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水喷淋钢管</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热浸镀锌钢管（丝扣连接） DN40，含管道冲洗、管件等</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208.05</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117</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水喷淋钢管</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热浸镀锌钢管（丝扣连接） DN50，含管道冲洗、管件等</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258.06</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118</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水喷淋钢管</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热浸镀锌钢管（丝扣连接） DN65，含管道冲洗、管件等</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40.98</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119</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水喷淋钢管</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热浸镀锌钢管（沟槽式连接） DN80，含管道冲洗、管件等</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108.49</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120</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水喷淋钢管</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热浸镀锌钢管（沟槽式连接） DN100，含管道冲洗、管件等</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208.39</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121</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水喷淋钢管</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热浸镀锌钢管（沟槽式连接） DN150，含管道冲洗、管件等</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43.25</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02"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122</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镀锌钢管</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喷淋试水排水管，热浸镀锌钢管（丝扣连接） DN100，含管道冲洗、管件等</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25.5</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123</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塑料管</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室内UPVC排水管(粘接)安装 DN75；含管件等</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27.25</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072" w:type="dxa"/>
            <w:tcBorders>
              <w:top w:val="single" w:color="000000" w:sz="4" w:space="0"/>
              <w:left w:val="single" w:color="000000" w:sz="12"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124</w:t>
            </w:r>
          </w:p>
        </w:tc>
        <w:tc>
          <w:tcPr>
            <w:tcW w:w="1553"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塑料管</w:t>
            </w:r>
          </w:p>
        </w:tc>
        <w:tc>
          <w:tcPr>
            <w:tcW w:w="3020"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室内UPVC排水管(粘接)安装 DN50；含管件等</w:t>
            </w:r>
          </w:p>
        </w:tc>
        <w:tc>
          <w:tcPr>
            <w:tcW w:w="50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9.5</w:t>
            </w:r>
          </w:p>
        </w:tc>
        <w:tc>
          <w:tcPr>
            <w:tcW w:w="82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12"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125</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水喷淋（雾）喷头</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玻璃球喷头ZSTZ-15，喷头额定温度68℃</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720</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126</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螺纹阀门</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自动排气阀安装 DN25</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127</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螺纹阀门</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截止阀安装 DN25</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128</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沟槽阀门</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信号阀安装 DN150</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129</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螺纹阀门</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闸阀安装 DN50</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130</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末端试水装置</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末端试水装置安装 DN25</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组</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131</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螺纹阀门</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末端试水阀安装 DN25</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132</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压力仪表</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压力表安装</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块</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133</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水流指示器</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水流指示器安装 DN150</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134</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套管</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刚性防水套管穿楼板制作安装 DN100</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12</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135</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套管</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刚性防水套管穿楼板制作安装 DN75</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11</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136</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套管</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一般穿楼板套管制作安装 DN250</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9</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137</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套管</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阻火圈安装 DN100</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138</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套管</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阻火圈安装 DN75</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139</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管道刷油</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管道除锈，刷防锈漆二道，红色调和漆二道</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m2</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409.93</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140</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管道支架</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管道支架制作安装</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Kg</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2086.37</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141</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金属结构刷油</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管道支架除锈，刷防锈漆两遍，再刷灰色调和漆两道</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kg</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2086.37</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142</w:t>
            </w:r>
          </w:p>
        </w:tc>
        <w:tc>
          <w:tcPr>
            <w:tcW w:w="1553"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水灭火系统控制装置调试</w:t>
            </w:r>
          </w:p>
        </w:tc>
        <w:tc>
          <w:tcPr>
            <w:tcW w:w="3020"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自动喷水灭火系统调试</w:t>
            </w:r>
          </w:p>
        </w:tc>
        <w:tc>
          <w:tcPr>
            <w:tcW w:w="50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点</w:t>
            </w:r>
          </w:p>
        </w:tc>
        <w:tc>
          <w:tcPr>
            <w:tcW w:w="1075"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w:t>
            </w:r>
          </w:p>
        </w:tc>
        <w:tc>
          <w:tcPr>
            <w:tcW w:w="82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12"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4"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消火栓系统</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143</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消火栓钢管</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热浸镀锌钢管（丝扣连接） DN65，含管道冲洗、管件等</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49.67</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144</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消火栓钢管</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热浸镀锌钢管（沟槽式连接） DN100，含管道冲洗、管件等</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127.47</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145</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螺纹阀门</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蝶阀安装 DN100</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146</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螺纹阀门</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蝶阀安装 DN65</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4"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147</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室内消火栓</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消火栓单栓采用乙型单栓带灭火器箱组合式消防柜，箱内放一条φ65mm，L=25m水带及φ19mm的水枪，内配MF/ABC4磷酸铵盐干粉灭火器2具。</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套</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30</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148</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灭火器</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MF4/ABC铵酸铵盐干粉灭火器</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149</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灭火器</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MF5/ABC铵酸铵盐干粉灭火器</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150</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补偿器（波纹管）</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波纹管安装 DN100</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151</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套管</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一般穿楼板套管制作安装 DN100</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30</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152</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管道刷油</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管道除锈，刷防锈漆二道，红色调和漆二道</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m2</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57.4</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153</w:t>
            </w:r>
          </w:p>
        </w:tc>
        <w:tc>
          <w:tcPr>
            <w:tcW w:w="1553"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管道支架</w:t>
            </w:r>
          </w:p>
        </w:tc>
        <w:tc>
          <w:tcPr>
            <w:tcW w:w="3020"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管道支架制作安装</w:t>
            </w:r>
          </w:p>
        </w:tc>
        <w:tc>
          <w:tcPr>
            <w:tcW w:w="50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Kg</w:t>
            </w:r>
          </w:p>
        </w:tc>
        <w:tc>
          <w:tcPr>
            <w:tcW w:w="1075"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245.52</w:t>
            </w:r>
          </w:p>
        </w:tc>
        <w:tc>
          <w:tcPr>
            <w:tcW w:w="82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12"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154</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金属结构刷油</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管道支架除锈，刷防锈漆两遍，再刷灰色调和漆两道</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kg</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245.52</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155</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水灭火系统控制装置调试</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消火栓灭火系统调试</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点</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30</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4"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通风防排烟系统</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156</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轴流通风机</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混流风机SWF-I-3.5，风量：2447m3/h  全压：216Pa   功率：0.25KW</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157</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消声器</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消声器安装 500*320 L=600</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2"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158</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碳钢通风管道</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镀锌薄钢板法兰矩形风管(δ=0.75mm以内咬口)长边长(mm)≤1000，含风管支吊架制作安装</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m2</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16.45</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02"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159</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碳钢通风管道</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镀锌薄钢板法兰圆形风管(δ=0.6mm以内咬口)直径(mm)≤450，含风管支吊架制作安装</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m2</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0.68</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2"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160</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柔性接口</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风管帆布软接头安装</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m2</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0.1</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161</w:t>
            </w:r>
          </w:p>
        </w:tc>
        <w:tc>
          <w:tcPr>
            <w:tcW w:w="1553"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碳钢阀门</w:t>
            </w:r>
          </w:p>
        </w:tc>
        <w:tc>
          <w:tcPr>
            <w:tcW w:w="3020"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70℃防火阀安装 φ360</w:t>
            </w:r>
          </w:p>
        </w:tc>
        <w:tc>
          <w:tcPr>
            <w:tcW w:w="50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2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12"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162</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碳钢阀门</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70℃防火阀安装 630*320</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163</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碳钢阀门</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电动蝶阀安装 500*320</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2</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164</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碳钢阀门</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电动蝶阀安装 630*320</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165</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铝及铝合金风口、散流器</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单层百叶风口安装 600*400</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166</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铝及铝合金风口、散流器</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单层百叶风口安装 630*320</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个</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1</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167</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设备支架</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部件及设备等支架制安</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Kg</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57</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168</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金属结构刷油</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风管、阀门支吊架除锈,刷油</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kg</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188.19</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169</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通风工程检测、调试</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通风工程检测、调试</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系统</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4"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空调系统</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02"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170</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空调器</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空调柜机安装 5P，含室内外机、冷媒管、冷凝水管、保温、橡胶隔震垫、设备支架等</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171</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通风工程检测、调试</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通风工程检测、调试</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系统</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4"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抗震支架</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172</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抗震支架</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电缆桥架侧向抗震支架</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付</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9" w:hRule="atLeast"/>
        </w:trPr>
        <w:tc>
          <w:tcPr>
            <w:tcW w:w="107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173</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抗震支架</w:t>
            </w:r>
          </w:p>
        </w:tc>
        <w:tc>
          <w:tcPr>
            <w:tcW w:w="3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电缆桥架双向抗震支架</w:t>
            </w:r>
          </w:p>
        </w:tc>
        <w:tc>
          <w:tcPr>
            <w:tcW w:w="5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付</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9</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9" w:hRule="atLeast"/>
        </w:trPr>
        <w:tc>
          <w:tcPr>
            <w:tcW w:w="1072" w:type="dxa"/>
            <w:tcBorders>
              <w:top w:val="single" w:color="000000" w:sz="4" w:space="0"/>
              <w:left w:val="single" w:color="000000" w:sz="12"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174</w:t>
            </w:r>
          </w:p>
        </w:tc>
        <w:tc>
          <w:tcPr>
            <w:tcW w:w="1553"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脚手架搭拆</w:t>
            </w:r>
          </w:p>
        </w:tc>
        <w:tc>
          <w:tcPr>
            <w:tcW w:w="3020"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脚手架搭拆费</w:t>
            </w:r>
          </w:p>
        </w:tc>
        <w:tc>
          <w:tcPr>
            <w:tcW w:w="50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项</w:t>
            </w:r>
          </w:p>
        </w:tc>
        <w:tc>
          <w:tcPr>
            <w:tcW w:w="1075"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1</w:t>
            </w:r>
          </w:p>
        </w:tc>
        <w:tc>
          <w:tcPr>
            <w:tcW w:w="82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36"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12"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bl>
    <w:p>
      <w:pPr>
        <w:pStyle w:val="26"/>
        <w:numPr>
          <w:ilvl w:val="0"/>
          <w:numId w:val="0"/>
        </w:numPr>
        <w:spacing w:after="0" w:line="360" w:lineRule="auto"/>
        <w:rPr>
          <w:rFonts w:hint="eastAsia" w:ascii="仿宋" w:hAnsi="仿宋" w:eastAsia="仿宋" w:cs="仿宋"/>
          <w:sz w:val="24"/>
          <w:szCs w:val="24"/>
          <w:lang w:val="en-US" w:eastAsia="zh-CN"/>
        </w:rPr>
      </w:pPr>
    </w:p>
    <w:tbl>
      <w:tblPr>
        <w:tblStyle w:val="63"/>
        <w:tblW w:w="10290" w:type="dxa"/>
        <w:tblInd w:w="-3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10"/>
        <w:gridCol w:w="1545"/>
        <w:gridCol w:w="255"/>
        <w:gridCol w:w="2370"/>
        <w:gridCol w:w="525"/>
        <w:gridCol w:w="1110"/>
        <w:gridCol w:w="855"/>
        <w:gridCol w:w="1380"/>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280" w:type="dxa"/>
            <w:gridSpan w:val="4"/>
            <w:shd w:val="clear" w:color="FFFFFF" w:fill="FFFFFF"/>
            <w:vAlign w:val="bottom"/>
          </w:tcPr>
          <w:p>
            <w:pPr>
              <w:widowControl/>
              <w:spacing w:before="0" w:beforeAutospacing="0" w:after="0" w:afterAutospacing="0"/>
              <w:ind w:left="0" w:right="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3、单位工程及专业工程名称：单项工程-亮化工程</w:t>
            </w:r>
          </w:p>
        </w:tc>
        <w:tc>
          <w:tcPr>
            <w:tcW w:w="3870" w:type="dxa"/>
            <w:gridSpan w:val="4"/>
            <w:shd w:val="clear" w:color="FFFFFF" w:fill="FFFFFF"/>
            <w:vAlign w:val="bottom"/>
          </w:tcPr>
          <w:p>
            <w:pPr>
              <w:spacing w:before="0" w:beforeAutospacing="0" w:after="0" w:afterAutospacing="0"/>
              <w:ind w:left="0" w:right="0"/>
              <w:rPr>
                <w:rFonts w:hint="eastAsia" w:ascii="仿宋" w:hAnsi="仿宋" w:eastAsia="仿宋" w:cs="仿宋"/>
                <w:i w:val="0"/>
                <w:color w:val="000000"/>
                <w:sz w:val="24"/>
                <w:szCs w:val="24"/>
                <w:u w:val="none"/>
              </w:rPr>
            </w:pPr>
          </w:p>
        </w:tc>
        <w:tc>
          <w:tcPr>
            <w:tcW w:w="1140" w:type="dxa"/>
            <w:shd w:val="clear" w:color="FFFFFF" w:fill="FFFFFF"/>
            <w:vAlign w:val="bottom"/>
          </w:tcPr>
          <w:p>
            <w:pPr>
              <w:spacing w:before="0" w:beforeAutospacing="0" w:after="0" w:afterAutospacing="0"/>
              <w:ind w:left="0" w:right="0"/>
              <w:jc w:val="righ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110" w:type="dxa"/>
            <w:vMerge w:val="restart"/>
            <w:tcBorders>
              <w:top w:val="single" w:color="000000" w:sz="12"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SA"/>
              </w:rPr>
              <w:t>序号</w:t>
            </w:r>
          </w:p>
        </w:tc>
        <w:tc>
          <w:tcPr>
            <w:tcW w:w="1545"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SA"/>
              </w:rPr>
              <w:t>项目名称</w:t>
            </w:r>
          </w:p>
        </w:tc>
        <w:tc>
          <w:tcPr>
            <w:tcW w:w="2625" w:type="dxa"/>
            <w:gridSpan w:val="2"/>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SA"/>
              </w:rPr>
              <w:t>项目特征描述</w:t>
            </w:r>
          </w:p>
        </w:tc>
        <w:tc>
          <w:tcPr>
            <w:tcW w:w="525"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SA"/>
              </w:rPr>
              <w:t>计量单位</w:t>
            </w:r>
          </w:p>
        </w:tc>
        <w:tc>
          <w:tcPr>
            <w:tcW w:w="1110"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SA"/>
              </w:rPr>
              <w:t>工程量</w:t>
            </w:r>
          </w:p>
        </w:tc>
        <w:tc>
          <w:tcPr>
            <w:tcW w:w="855"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SA"/>
              </w:rPr>
              <w:t>综合单价(元)</w:t>
            </w:r>
          </w:p>
        </w:tc>
        <w:tc>
          <w:tcPr>
            <w:tcW w:w="1380"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SA"/>
              </w:rPr>
              <w:t>合价(元)</w:t>
            </w:r>
          </w:p>
        </w:tc>
        <w:tc>
          <w:tcPr>
            <w:tcW w:w="1140" w:type="dxa"/>
            <w:vMerge w:val="restart"/>
            <w:tcBorders>
              <w:top w:val="single" w:color="000000" w:sz="12"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110" w:type="dxa"/>
            <w:vMerge w:val="continue"/>
            <w:tcBorders>
              <w:top w:val="single" w:color="000000" w:sz="12"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仿宋" w:hAnsi="仿宋" w:eastAsia="仿宋" w:cs="仿宋"/>
                <w:b/>
                <w:i w:val="0"/>
                <w:color w:val="000000"/>
                <w:sz w:val="24"/>
                <w:szCs w:val="24"/>
                <w:u w:val="none"/>
              </w:rPr>
            </w:pPr>
          </w:p>
        </w:tc>
        <w:tc>
          <w:tcPr>
            <w:tcW w:w="1545"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仿宋" w:hAnsi="仿宋" w:eastAsia="仿宋" w:cs="仿宋"/>
                <w:b/>
                <w:i w:val="0"/>
                <w:color w:val="000000"/>
                <w:sz w:val="24"/>
                <w:szCs w:val="24"/>
                <w:u w:val="none"/>
              </w:rPr>
            </w:pPr>
          </w:p>
        </w:tc>
        <w:tc>
          <w:tcPr>
            <w:tcW w:w="2625" w:type="dxa"/>
            <w:gridSpan w:val="2"/>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仿宋" w:hAnsi="仿宋" w:eastAsia="仿宋" w:cs="仿宋"/>
                <w:b/>
                <w:i w:val="0"/>
                <w:color w:val="000000"/>
                <w:sz w:val="24"/>
                <w:szCs w:val="24"/>
                <w:u w:val="none"/>
              </w:rPr>
            </w:pPr>
          </w:p>
        </w:tc>
        <w:tc>
          <w:tcPr>
            <w:tcW w:w="525"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仿宋" w:hAnsi="仿宋" w:eastAsia="仿宋" w:cs="仿宋"/>
                <w:b/>
                <w:i w:val="0"/>
                <w:color w:val="000000"/>
                <w:sz w:val="24"/>
                <w:szCs w:val="24"/>
                <w:u w:val="none"/>
              </w:rPr>
            </w:pPr>
          </w:p>
        </w:tc>
        <w:tc>
          <w:tcPr>
            <w:tcW w:w="1110"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仿宋" w:hAnsi="仿宋" w:eastAsia="仿宋" w:cs="仿宋"/>
                <w:b/>
                <w:i w:val="0"/>
                <w:color w:val="000000"/>
                <w:sz w:val="24"/>
                <w:szCs w:val="24"/>
                <w:u w:val="none"/>
              </w:rPr>
            </w:pPr>
          </w:p>
        </w:tc>
        <w:tc>
          <w:tcPr>
            <w:tcW w:w="855"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仿宋" w:hAnsi="仿宋" w:eastAsia="仿宋" w:cs="仿宋"/>
                <w:b/>
                <w:i w:val="0"/>
                <w:color w:val="000000"/>
                <w:sz w:val="24"/>
                <w:szCs w:val="24"/>
                <w:u w:val="none"/>
              </w:rPr>
            </w:pPr>
          </w:p>
        </w:tc>
        <w:tc>
          <w:tcPr>
            <w:tcW w:w="1380"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仿宋" w:hAnsi="仿宋" w:eastAsia="仿宋" w:cs="仿宋"/>
                <w:b/>
                <w:i w:val="0"/>
                <w:color w:val="000000"/>
                <w:sz w:val="24"/>
                <w:szCs w:val="24"/>
                <w:u w:val="none"/>
              </w:rPr>
            </w:pPr>
          </w:p>
        </w:tc>
        <w:tc>
          <w:tcPr>
            <w:tcW w:w="1140" w:type="dxa"/>
            <w:vMerge w:val="continue"/>
            <w:tcBorders>
              <w:top w:val="single" w:color="000000" w:sz="12"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center"/>
              <w:rPr>
                <w:rFonts w:hint="eastAsia" w:ascii="仿宋" w:hAnsi="仿宋" w:eastAsia="仿宋" w:cs="仿宋"/>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1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亮化工程</w:t>
            </w:r>
          </w:p>
        </w:tc>
        <w:tc>
          <w:tcPr>
            <w:tcW w:w="26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5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11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线槽</w:t>
            </w:r>
          </w:p>
        </w:tc>
        <w:tc>
          <w:tcPr>
            <w:tcW w:w="26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铝合金线槽（中间带隔板） MR100*80,含支架、表面喷涂,与环境色近似</w:t>
            </w:r>
          </w:p>
        </w:tc>
        <w:tc>
          <w:tcPr>
            <w:tcW w:w="5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98.5</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11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线槽</w:t>
            </w:r>
          </w:p>
        </w:tc>
        <w:tc>
          <w:tcPr>
            <w:tcW w:w="26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铝合金线槽 MR40*30,含支架、表面喷涂,与环境色近似</w:t>
            </w:r>
          </w:p>
        </w:tc>
        <w:tc>
          <w:tcPr>
            <w:tcW w:w="5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21.24</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1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电力电缆</w:t>
            </w:r>
          </w:p>
        </w:tc>
        <w:tc>
          <w:tcPr>
            <w:tcW w:w="26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铜芯电力电缆敷设 ZR-YJV-3x4</w:t>
            </w:r>
          </w:p>
        </w:tc>
        <w:tc>
          <w:tcPr>
            <w:tcW w:w="5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116.5</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1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电力电缆头</w:t>
            </w:r>
          </w:p>
        </w:tc>
        <w:tc>
          <w:tcPr>
            <w:tcW w:w="26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户内干包式电力电缆头制作、安装 10mm2以下</w:t>
            </w:r>
          </w:p>
        </w:tc>
        <w:tc>
          <w:tcPr>
            <w:tcW w:w="5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1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配线</w:t>
            </w:r>
          </w:p>
        </w:tc>
        <w:tc>
          <w:tcPr>
            <w:tcW w:w="26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线槽穿线 ZR-RVV-2x4</w:t>
            </w:r>
          </w:p>
        </w:tc>
        <w:tc>
          <w:tcPr>
            <w:tcW w:w="5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1820.37</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1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6</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双绞线缆</w:t>
            </w:r>
          </w:p>
        </w:tc>
        <w:tc>
          <w:tcPr>
            <w:tcW w:w="26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线槽穿线 超五类网线</w:t>
            </w:r>
          </w:p>
        </w:tc>
        <w:tc>
          <w:tcPr>
            <w:tcW w:w="5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2052.6</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1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7</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接线箱</w:t>
            </w:r>
          </w:p>
        </w:tc>
        <w:tc>
          <w:tcPr>
            <w:tcW w:w="26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电源防雨箱安装</w:t>
            </w:r>
          </w:p>
        </w:tc>
        <w:tc>
          <w:tcPr>
            <w:tcW w:w="5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45" w:hRule="atLeast"/>
        </w:trPr>
        <w:tc>
          <w:tcPr>
            <w:tcW w:w="11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8</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控制器</w:t>
            </w:r>
          </w:p>
        </w:tc>
        <w:tc>
          <w:tcPr>
            <w:tcW w:w="26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脱机主控制器安装，RJ45×2CH，标准UDP/TCP协议,10OMB/10OOMB自适应，支持主流32位、64位操作系统:Windows 7、Windows 8、Windows10、Windows 11等</w:t>
            </w:r>
          </w:p>
        </w:tc>
        <w:tc>
          <w:tcPr>
            <w:tcW w:w="5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1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9</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控制器</w:t>
            </w:r>
          </w:p>
        </w:tc>
        <w:tc>
          <w:tcPr>
            <w:tcW w:w="26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分控制器安装 15W，8端口DM×512信号输出</w:t>
            </w:r>
          </w:p>
        </w:tc>
        <w:tc>
          <w:tcPr>
            <w:tcW w:w="5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9</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1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10</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软件</w:t>
            </w:r>
          </w:p>
        </w:tc>
        <w:tc>
          <w:tcPr>
            <w:tcW w:w="26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强电控制SaaS云平台，3年</w:t>
            </w:r>
          </w:p>
        </w:tc>
        <w:tc>
          <w:tcPr>
            <w:tcW w:w="5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套</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110" w:type="dxa"/>
            <w:tcBorders>
              <w:top w:val="single" w:color="000000" w:sz="4" w:space="0"/>
              <w:left w:val="single" w:color="000000" w:sz="12"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11</w:t>
            </w:r>
          </w:p>
        </w:tc>
        <w:tc>
          <w:tcPr>
            <w:tcW w:w="1545"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开关电源设备</w:t>
            </w:r>
          </w:p>
        </w:tc>
        <w:tc>
          <w:tcPr>
            <w:tcW w:w="2625" w:type="dxa"/>
            <w:gridSpan w:val="2"/>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开关电源350W/DC24V</w:t>
            </w:r>
          </w:p>
        </w:tc>
        <w:tc>
          <w:tcPr>
            <w:tcW w:w="525"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w:t>
            </w:r>
          </w:p>
        </w:tc>
        <w:tc>
          <w:tcPr>
            <w:tcW w:w="1110"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64</w:t>
            </w:r>
          </w:p>
        </w:tc>
        <w:tc>
          <w:tcPr>
            <w:tcW w:w="855"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80"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140" w:type="dxa"/>
            <w:tcBorders>
              <w:top w:val="single" w:color="000000" w:sz="4" w:space="0"/>
              <w:left w:val="single" w:color="000000" w:sz="4" w:space="0"/>
              <w:bottom w:val="single" w:color="000000" w:sz="12"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11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12</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景观灯</w:t>
            </w:r>
          </w:p>
        </w:tc>
        <w:tc>
          <w:tcPr>
            <w:tcW w:w="26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LED点光源 1.5W RGBW IP65，8颗/m 安装，含配套线槽、盖板、光源等</w:t>
            </w:r>
          </w:p>
        </w:tc>
        <w:tc>
          <w:tcPr>
            <w:tcW w:w="5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1381.25</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1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13</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普通灯具</w:t>
            </w:r>
          </w:p>
        </w:tc>
        <w:tc>
          <w:tcPr>
            <w:tcW w:w="26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LED壁灯安装 6W，IP65，含光源</w:t>
            </w:r>
          </w:p>
        </w:tc>
        <w:tc>
          <w:tcPr>
            <w:tcW w:w="5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套</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1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14</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接线盒</w:t>
            </w:r>
          </w:p>
        </w:tc>
        <w:tc>
          <w:tcPr>
            <w:tcW w:w="26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防水接线盒</w:t>
            </w:r>
          </w:p>
        </w:tc>
        <w:tc>
          <w:tcPr>
            <w:tcW w:w="5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1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15</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辅材</w:t>
            </w:r>
          </w:p>
        </w:tc>
        <w:tc>
          <w:tcPr>
            <w:tcW w:w="26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含硅胶，防水，五金，螺栓构件,支架等</w:t>
            </w:r>
          </w:p>
        </w:tc>
        <w:tc>
          <w:tcPr>
            <w:tcW w:w="5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项</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110"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16</w:t>
            </w:r>
          </w:p>
        </w:tc>
        <w:tc>
          <w:tcPr>
            <w:tcW w:w="18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灯光调试费</w:t>
            </w:r>
          </w:p>
        </w:tc>
        <w:tc>
          <w:tcPr>
            <w:tcW w:w="23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灯光调试费</w:t>
            </w:r>
          </w:p>
        </w:tc>
        <w:tc>
          <w:tcPr>
            <w:tcW w:w="5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项</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bl>
    <w:p>
      <w:pPr>
        <w:pStyle w:val="26"/>
        <w:numPr>
          <w:ilvl w:val="0"/>
          <w:numId w:val="0"/>
        </w:numPr>
        <w:spacing w:after="0" w:line="360" w:lineRule="auto"/>
        <w:rPr>
          <w:rFonts w:hint="eastAsia" w:ascii="仿宋" w:hAnsi="仿宋" w:eastAsia="仿宋" w:cs="仿宋"/>
          <w:sz w:val="24"/>
          <w:szCs w:val="24"/>
          <w:lang w:val="en-US" w:eastAsia="zh-CN"/>
        </w:rPr>
      </w:pPr>
    </w:p>
    <w:tbl>
      <w:tblPr>
        <w:tblStyle w:val="63"/>
        <w:tblW w:w="10325" w:type="dxa"/>
        <w:tblInd w:w="-4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05"/>
        <w:gridCol w:w="705"/>
        <w:gridCol w:w="2308"/>
        <w:gridCol w:w="2322"/>
        <w:gridCol w:w="514"/>
        <w:gridCol w:w="1088"/>
        <w:gridCol w:w="837"/>
        <w:gridCol w:w="1352"/>
        <w:gridCol w:w="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9" w:hRule="atLeast"/>
        </w:trPr>
        <w:tc>
          <w:tcPr>
            <w:tcW w:w="5740" w:type="dxa"/>
            <w:gridSpan w:val="4"/>
            <w:shd w:val="clear" w:color="FFFFFF" w:fill="FFFFFF"/>
            <w:vAlign w:val="bottom"/>
          </w:tcPr>
          <w:p>
            <w:pPr>
              <w:widowControl/>
              <w:spacing w:before="0" w:beforeAutospacing="0" w:after="0" w:afterAutospacing="0"/>
              <w:ind w:left="0" w:right="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4、单位工程及专业工程名称：单项工程-弱电工程</w:t>
            </w:r>
          </w:p>
        </w:tc>
        <w:tc>
          <w:tcPr>
            <w:tcW w:w="3791" w:type="dxa"/>
            <w:gridSpan w:val="4"/>
            <w:shd w:val="clear" w:color="FFFFFF" w:fill="FFFFFF"/>
            <w:vAlign w:val="bottom"/>
          </w:tcPr>
          <w:p>
            <w:pPr>
              <w:spacing w:before="0" w:beforeAutospacing="0" w:after="0" w:afterAutospacing="0"/>
              <w:ind w:left="0" w:right="0"/>
              <w:rPr>
                <w:rFonts w:hint="eastAsia" w:ascii="仿宋" w:hAnsi="仿宋" w:eastAsia="仿宋" w:cs="仿宋"/>
                <w:i w:val="0"/>
                <w:color w:val="000000"/>
                <w:sz w:val="24"/>
                <w:szCs w:val="24"/>
                <w:u w:val="none"/>
              </w:rPr>
            </w:pPr>
          </w:p>
        </w:tc>
        <w:tc>
          <w:tcPr>
            <w:tcW w:w="794" w:type="dxa"/>
            <w:shd w:val="clear" w:color="FFFFFF" w:fill="FFFFFF"/>
            <w:vAlign w:val="bottom"/>
          </w:tcPr>
          <w:p>
            <w:pPr>
              <w:spacing w:before="0" w:beforeAutospacing="0" w:after="0" w:afterAutospacing="0"/>
              <w:ind w:left="0" w:right="0"/>
              <w:jc w:val="righ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110" w:type="dxa"/>
            <w:gridSpan w:val="2"/>
            <w:vMerge w:val="restart"/>
            <w:tcBorders>
              <w:top w:val="single" w:color="000000" w:sz="12"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SA"/>
              </w:rPr>
              <w:t>序号</w:t>
            </w:r>
          </w:p>
        </w:tc>
        <w:tc>
          <w:tcPr>
            <w:tcW w:w="2308"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SA"/>
              </w:rPr>
              <w:t>项目名称</w:t>
            </w:r>
          </w:p>
        </w:tc>
        <w:tc>
          <w:tcPr>
            <w:tcW w:w="2322"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SA"/>
              </w:rPr>
              <w:t>项目特征描述</w:t>
            </w:r>
          </w:p>
        </w:tc>
        <w:tc>
          <w:tcPr>
            <w:tcW w:w="514"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SA"/>
              </w:rPr>
              <w:t>计量单位</w:t>
            </w:r>
          </w:p>
        </w:tc>
        <w:tc>
          <w:tcPr>
            <w:tcW w:w="1088"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SA"/>
              </w:rPr>
              <w:t>工程量</w:t>
            </w:r>
          </w:p>
        </w:tc>
        <w:tc>
          <w:tcPr>
            <w:tcW w:w="837"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SA"/>
              </w:rPr>
              <w:t>综合单价(元)</w:t>
            </w:r>
          </w:p>
        </w:tc>
        <w:tc>
          <w:tcPr>
            <w:tcW w:w="1352"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SA"/>
              </w:rPr>
              <w:t>合价(元)</w:t>
            </w:r>
          </w:p>
        </w:tc>
        <w:tc>
          <w:tcPr>
            <w:tcW w:w="794" w:type="dxa"/>
            <w:vMerge w:val="restart"/>
            <w:tcBorders>
              <w:top w:val="single" w:color="000000" w:sz="12" w:space="0"/>
              <w:left w:val="single" w:color="000000" w:sz="4" w:space="0"/>
              <w:bottom w:val="single" w:color="000000" w:sz="4" w:space="0"/>
              <w:right w:val="single" w:color="000000" w:sz="12"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110" w:type="dxa"/>
            <w:gridSpan w:val="2"/>
            <w:vMerge w:val="continue"/>
            <w:tcBorders>
              <w:top w:val="single" w:color="000000" w:sz="12"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仿宋" w:hAnsi="仿宋" w:eastAsia="仿宋" w:cs="仿宋"/>
                <w:b/>
                <w:i w:val="0"/>
                <w:color w:val="000000"/>
                <w:sz w:val="24"/>
                <w:szCs w:val="24"/>
                <w:u w:val="none"/>
              </w:rPr>
            </w:pPr>
          </w:p>
        </w:tc>
        <w:tc>
          <w:tcPr>
            <w:tcW w:w="2308"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仿宋" w:hAnsi="仿宋" w:eastAsia="仿宋" w:cs="仿宋"/>
                <w:b/>
                <w:i w:val="0"/>
                <w:color w:val="000000"/>
                <w:sz w:val="24"/>
                <w:szCs w:val="24"/>
                <w:u w:val="none"/>
              </w:rPr>
            </w:pPr>
          </w:p>
        </w:tc>
        <w:tc>
          <w:tcPr>
            <w:tcW w:w="2322"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仿宋" w:hAnsi="仿宋" w:eastAsia="仿宋" w:cs="仿宋"/>
                <w:b/>
                <w:i w:val="0"/>
                <w:color w:val="000000"/>
                <w:sz w:val="24"/>
                <w:szCs w:val="24"/>
                <w:u w:val="none"/>
              </w:rPr>
            </w:pPr>
          </w:p>
        </w:tc>
        <w:tc>
          <w:tcPr>
            <w:tcW w:w="514"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仿宋" w:hAnsi="仿宋" w:eastAsia="仿宋" w:cs="仿宋"/>
                <w:b/>
                <w:i w:val="0"/>
                <w:color w:val="000000"/>
                <w:sz w:val="24"/>
                <w:szCs w:val="24"/>
                <w:u w:val="none"/>
              </w:rPr>
            </w:pPr>
          </w:p>
        </w:tc>
        <w:tc>
          <w:tcPr>
            <w:tcW w:w="1088"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仿宋" w:hAnsi="仿宋" w:eastAsia="仿宋" w:cs="仿宋"/>
                <w:b/>
                <w:i w:val="0"/>
                <w:color w:val="000000"/>
                <w:sz w:val="24"/>
                <w:szCs w:val="24"/>
                <w:u w:val="none"/>
              </w:rPr>
            </w:pPr>
          </w:p>
        </w:tc>
        <w:tc>
          <w:tcPr>
            <w:tcW w:w="837"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仿宋" w:hAnsi="仿宋" w:eastAsia="仿宋" w:cs="仿宋"/>
                <w:b/>
                <w:i w:val="0"/>
                <w:color w:val="000000"/>
                <w:sz w:val="24"/>
                <w:szCs w:val="24"/>
                <w:u w:val="none"/>
              </w:rPr>
            </w:pPr>
          </w:p>
        </w:tc>
        <w:tc>
          <w:tcPr>
            <w:tcW w:w="1352"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仿宋" w:hAnsi="仿宋" w:eastAsia="仿宋" w:cs="仿宋"/>
                <w:b/>
                <w:i w:val="0"/>
                <w:color w:val="000000"/>
                <w:sz w:val="24"/>
                <w:szCs w:val="24"/>
                <w:u w:val="none"/>
              </w:rPr>
            </w:pPr>
          </w:p>
        </w:tc>
        <w:tc>
          <w:tcPr>
            <w:tcW w:w="794" w:type="dxa"/>
            <w:vMerge w:val="continue"/>
            <w:tcBorders>
              <w:top w:val="single" w:color="000000" w:sz="12"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center"/>
              <w:rPr>
                <w:rFonts w:hint="eastAsia" w:ascii="仿宋" w:hAnsi="仿宋" w:eastAsia="仿宋" w:cs="仿宋"/>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0" w:hRule="atLeast"/>
        </w:trPr>
        <w:tc>
          <w:tcPr>
            <w:tcW w:w="1110" w:type="dxa"/>
            <w:gridSpan w:val="2"/>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综合布线系统</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9" w:hRule="atLeast"/>
        </w:trPr>
        <w:tc>
          <w:tcPr>
            <w:tcW w:w="1110" w:type="dxa"/>
            <w:gridSpan w:val="2"/>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机柜、机架</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42U落地机柜安装，600*600*2000</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8" w:hRule="atLeast"/>
        </w:trPr>
        <w:tc>
          <w:tcPr>
            <w:tcW w:w="1110" w:type="dxa"/>
            <w:gridSpan w:val="2"/>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路由器</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路由器（内置防火墙安装），2U机架式，防火墙吞吐量；三层Gbps/七层Gbps；并发连接数；300万；每秒新建连接数；12万；支持多种管理方式；Web、Console、Telnet、SSH；完整支持L2TP、IPSec/IKE、GRE、SSL等协议；其中支持IPSec隧道；1000个吐量；5Gbps；支持SSLpn并发用户；1000个吐量；250M；支持L2TP/GRE隧道数；1000个；≥16个千兆电口+8个千兆光口，500G存储介质，双电源</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台套</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82" w:hRule="atLeast"/>
        </w:trPr>
        <w:tc>
          <w:tcPr>
            <w:tcW w:w="1110" w:type="dxa"/>
            <w:gridSpan w:val="2"/>
            <w:tcBorders>
              <w:top w:val="single" w:color="000000" w:sz="4" w:space="0"/>
              <w:left w:val="single" w:color="000000" w:sz="12"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w:t>
            </w:r>
          </w:p>
        </w:tc>
        <w:tc>
          <w:tcPr>
            <w:tcW w:w="2308"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控制设备</w:t>
            </w:r>
          </w:p>
        </w:tc>
        <w:tc>
          <w:tcPr>
            <w:tcW w:w="2322"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无线控制器安装（含管理软件），≥8个千兆电口，2个千兆光口；最大管理AP数等于256个，本次配置单台管理AP个数≥64个，AC内置Cupid定位功能，无需额外的定位引擎</w:t>
            </w:r>
          </w:p>
        </w:tc>
        <w:tc>
          <w:tcPr>
            <w:tcW w:w="514"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w:t>
            </w:r>
          </w:p>
        </w:tc>
        <w:tc>
          <w:tcPr>
            <w:tcW w:w="1088"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3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12"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5466" w:hRule="atLeast"/>
        </w:trPr>
        <w:tc>
          <w:tcPr>
            <w:tcW w:w="705" w:type="dxa"/>
            <w:tcBorders>
              <w:top w:val="single" w:color="000000" w:sz="4" w:space="0"/>
              <w:left w:val="single" w:color="000000" w:sz="12"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w:t>
            </w:r>
          </w:p>
        </w:tc>
        <w:tc>
          <w:tcPr>
            <w:tcW w:w="2308"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配线架</w:t>
            </w:r>
          </w:p>
        </w:tc>
        <w:tc>
          <w:tcPr>
            <w:tcW w:w="2322"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规格：高端通用型24口光纤配线架</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光纤配线架是一款高级、紧凑型的满足光纤端接解决方案的产品；</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配线架内可容纳多达12芯SC、ST、FC尾纤或24芯LC尾纤的熔接；</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配线架抽屉式设计，保证安装、检查、测试均非常方便；</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带有涂层的钢结构骨架，坚固耐用；</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开创性的设计能确保安装、移动以及未来的变更时，均非常灵活；</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设计时充分考虑到光纤应用的多样性，BAS光纤配线架能够安装不同类型的光纤模板和耦合器，以满足不同功能和性能的要求。</w:t>
            </w:r>
          </w:p>
        </w:tc>
        <w:tc>
          <w:tcPr>
            <w:tcW w:w="514"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88"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3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12"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2920"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线管理器</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规格：网络理线架</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1U高度，19”规格；</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理线架采用PVC材质；</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最多可安装管理多达五十条跳线；</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跳线安装拆卸简单方便；</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更深设计的理线环，可确保线缆弯曲半径；</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盖板可以上下双向翻盖，也可以取下盖板，使用灵活方便。</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2137"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6</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交换机</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48口千兆核心交换机安装，整机主控引擎插槽≥2个，业务插槽≥10个；交换容量≥28T，包转发性能≥4300Mpps；双引擎，双电源，配置不少于20个SFP接口，24GE电接口，4万兆光口</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1373"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7</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交换机</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12口千兆交换机安装，千兆电口≥8，非复用千兆光口≥2；支持ACL/QOS，支持DHCPERVER，支持inQ，支持GVRP</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609" w:hRule="atLeast"/>
        </w:trPr>
        <w:tc>
          <w:tcPr>
            <w:tcW w:w="705" w:type="dxa"/>
            <w:tcBorders>
              <w:top w:val="single" w:color="000000" w:sz="4" w:space="0"/>
              <w:left w:val="single" w:color="000000" w:sz="12"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8</w:t>
            </w:r>
          </w:p>
        </w:tc>
        <w:tc>
          <w:tcPr>
            <w:tcW w:w="2308"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模块（模块箱）</w:t>
            </w:r>
          </w:p>
        </w:tc>
        <w:tc>
          <w:tcPr>
            <w:tcW w:w="2322"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千兆单模模块安装，1310nm，10km，LC</w:t>
            </w:r>
          </w:p>
        </w:tc>
        <w:tc>
          <w:tcPr>
            <w:tcW w:w="514"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88"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w:t>
            </w:r>
          </w:p>
        </w:tc>
        <w:tc>
          <w:tcPr>
            <w:tcW w:w="83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12"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4193"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9</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信息插座</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 xml:space="preserve">六类单口面板（含模块）安装，规格：86型面板，可以垂直安装信息模块，带防尘盖，带电话电脑标记，带有透明标识系统，标识条为翻转结构，以方便更换标识条，面板与标准RJ45模块插座配套；有单口、双口和四口可供选择，以方便在不同环境下的灵活选择； </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所有塑料材料采用ABS材质耐腐塑料， UL 94V-0 防火等级；</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颜色：乳白色，抗老化，永不变色。</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7</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609"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10</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电力电缆</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铜芯电力电缆敷设 WDZ-YJY-3*4</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156.09</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864" w:hRule="atLeast"/>
        </w:trPr>
        <w:tc>
          <w:tcPr>
            <w:tcW w:w="705" w:type="dxa"/>
            <w:tcBorders>
              <w:top w:val="single" w:color="000000" w:sz="4" w:space="0"/>
              <w:left w:val="single" w:color="000000" w:sz="12"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11</w:t>
            </w:r>
          </w:p>
        </w:tc>
        <w:tc>
          <w:tcPr>
            <w:tcW w:w="2308"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电力电缆头</w:t>
            </w:r>
          </w:p>
        </w:tc>
        <w:tc>
          <w:tcPr>
            <w:tcW w:w="2322"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户内干包式电力电缆头制作、安装 干包终端头(1kV以下截面mm2以下)10</w:t>
            </w:r>
          </w:p>
        </w:tc>
        <w:tc>
          <w:tcPr>
            <w:tcW w:w="514"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88"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8</w:t>
            </w:r>
          </w:p>
        </w:tc>
        <w:tc>
          <w:tcPr>
            <w:tcW w:w="83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12"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1614" w:hRule="atLeast"/>
        </w:trPr>
        <w:tc>
          <w:tcPr>
            <w:tcW w:w="705" w:type="dxa"/>
            <w:tcBorders>
              <w:top w:val="single" w:color="000000" w:sz="4" w:space="0"/>
              <w:left w:val="single" w:color="000000" w:sz="12"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12</w:t>
            </w:r>
          </w:p>
        </w:tc>
        <w:tc>
          <w:tcPr>
            <w:tcW w:w="2308"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光缆</w:t>
            </w:r>
          </w:p>
        </w:tc>
        <w:tc>
          <w:tcPr>
            <w:tcW w:w="2322"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室内4芯单模光纤安装，规格：室内9/125单模光缆</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符合TIA/EIA-568-B.3标准，ITU G.651 、IEC793-2A1b技术要求； 紧套光纤外径均匀，具有很好的剥离效果； 外皮和紧套光纤之间有多股纺纶丝，增加了光纤的强度； 外皮备有阻燃型和低烟无卤型，供不同场合使用； 衰减：1310nm  ≤0.36dB/km 1550nm ≤0.22dB/km</w:t>
            </w:r>
          </w:p>
        </w:tc>
        <w:tc>
          <w:tcPr>
            <w:tcW w:w="514"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88"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132.3</w:t>
            </w:r>
          </w:p>
        </w:tc>
        <w:tc>
          <w:tcPr>
            <w:tcW w:w="83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12"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7248" w:hRule="atLeast"/>
        </w:trPr>
        <w:tc>
          <w:tcPr>
            <w:tcW w:w="705" w:type="dxa"/>
            <w:tcBorders>
              <w:top w:val="single" w:color="000000" w:sz="4" w:space="0"/>
              <w:left w:val="single" w:color="000000" w:sz="12"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13</w:t>
            </w:r>
          </w:p>
        </w:tc>
        <w:tc>
          <w:tcPr>
            <w:tcW w:w="2308"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双绞线缆</w:t>
            </w:r>
          </w:p>
        </w:tc>
        <w:tc>
          <w:tcPr>
            <w:tcW w:w="2322"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管内穿线 Cat6-4UTP，产品特性：六类非屏蔽数字电缆传输带宽≥250MHz，满足1000兆数据传输，采用中心十字架结构；铜芯材料采用优质TR实芯裸铜导体,铜线直径≥0.57mm，满足线规23AWG；绝缘采用优质高密度聚乙烯（HDPE）厚度≥0.225mm，护套材料采用优质PVC料，厚度≥0.6±mm ；防火级别为CM，铜缆外径为￠6.3±mm ；工作温度范围：-20 至 75度。</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电缆电气性能和传输特性：直流电阻：≤9.4Ω/ 100m；直流电阻不平衡：≤2.5%；工作电容：≤5.6nF/100m；绝缘电阻：＞5000 MΩ·km；导体间介电强度：1.0KV·1min；</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产品用途：适用于综合布线网络，支持各种高速率ATM622Mb／1.24Gb、1000baseTX以太网的应用。</w:t>
            </w:r>
          </w:p>
        </w:tc>
        <w:tc>
          <w:tcPr>
            <w:tcW w:w="514"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88"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152.3</w:t>
            </w:r>
          </w:p>
        </w:tc>
        <w:tc>
          <w:tcPr>
            <w:tcW w:w="83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12"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3665"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14</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跳线</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规格：2米六类非屏蔽网络跳线</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符合ANSI/TIA/EIA 568-B.2-1、 ISO/IEC 11801第二版、EN50173-1第二版的要求</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采用多股绞合线电缆，跳线柔韧性好</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渐变型受力原理的加长护套，防滑抗拉，保证一定的弯曲半径</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提供多种长度和多种颜色及不同防火等级外护套选择。</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条</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6</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355"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15</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双绞线缆测试</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测试 4对双绞线缆</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链路</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6</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609"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16</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综合布线系统调试</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综合布线系统调试</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系统</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400" w:hRule="atLeast"/>
        </w:trPr>
        <w:tc>
          <w:tcPr>
            <w:tcW w:w="705" w:type="dxa"/>
            <w:tcBorders>
              <w:top w:val="single" w:color="000000" w:sz="4" w:space="0"/>
              <w:left w:val="single" w:color="000000" w:sz="12"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2308"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视频监控系统</w:t>
            </w:r>
          </w:p>
        </w:tc>
        <w:tc>
          <w:tcPr>
            <w:tcW w:w="2322"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514"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1088"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83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12"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2920"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17</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网络服务器</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安防管理客户端安装，含键盘鼠标,安装监控客户端软件，支持音视频单播流的复制分发；支持音视频组播流转单播复制分发；支持对跨域媒体流复制分发；支持对回放媒体流的转发转发能力；支持最大入口流量为1024Mbps；支持最大出口流量为2048Mbps</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2137" w:hRule="atLeast"/>
        </w:trPr>
        <w:tc>
          <w:tcPr>
            <w:tcW w:w="705" w:type="dxa"/>
            <w:tcBorders>
              <w:top w:val="single" w:color="000000" w:sz="4" w:space="0"/>
              <w:left w:val="single" w:color="000000" w:sz="12"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18</w:t>
            </w:r>
          </w:p>
        </w:tc>
        <w:tc>
          <w:tcPr>
            <w:tcW w:w="2308"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交换机</w:t>
            </w:r>
          </w:p>
        </w:tc>
        <w:tc>
          <w:tcPr>
            <w:tcW w:w="2322"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12口千兆POE交换机安装，交换容量≥36T，整机转发性能≥126Mpps，提供官网截图链接；千兆电口≥24，非复用千兆光口≥4；支持ACL/QOS，支持DHCPERVER，支持inQ，支持GVRP</w:t>
            </w:r>
          </w:p>
        </w:tc>
        <w:tc>
          <w:tcPr>
            <w:tcW w:w="514"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w:t>
            </w:r>
          </w:p>
        </w:tc>
        <w:tc>
          <w:tcPr>
            <w:tcW w:w="1088"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3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12"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3530" w:hRule="atLeast"/>
        </w:trPr>
        <w:tc>
          <w:tcPr>
            <w:tcW w:w="705" w:type="dxa"/>
            <w:tcBorders>
              <w:top w:val="single" w:color="000000" w:sz="4" w:space="0"/>
              <w:left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19</w:t>
            </w:r>
          </w:p>
        </w:tc>
        <w:tc>
          <w:tcPr>
            <w:tcW w:w="2308" w:type="dxa"/>
            <w:tcBorders>
              <w:top w:val="single" w:color="000000" w:sz="4" w:space="0"/>
              <w:left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交换机</w:t>
            </w:r>
          </w:p>
        </w:tc>
        <w:tc>
          <w:tcPr>
            <w:tcW w:w="2322" w:type="dxa"/>
            <w:tcBorders>
              <w:top w:val="single" w:color="000000" w:sz="4" w:space="0"/>
              <w:left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安防汇聚交换机安装，含1*12GE光口端板、1*24GE电口端板；交换容量≥598Gbps，包转发率≥216Mpps，千兆光口≥24个，其中8个可光电复用，万兆光口≥4，扩展插槽≥1，最高支持扩展8端口万端光口；支持IPv4静态路由、RIP，支持IPv6静态路由，支持基于第二层、第三层和第四层的ACL，支持ARP检测来抵御ARP欺骗攻击，支持基于端口的VLAN、基于MAC的VLAN，支持QinQ、灵活QinQ；要求产品支持VXLAN、SDN、EVPN、纵向虚拟化等功能，提供工信部权威第三方测试报告证明并加盖厂商鲜章；支持EVPN；支持扩展防火墙等高性能模块插卡；要求产品支持零配置上线、ERPS协议、Sflow协议、CPU防护协议、NQA等技术；为满足节能环保要求，要求产品支持端口节能功能；为保证设备故障快速恢复，要求设备内置智能网络管理模块；设</w:t>
            </w:r>
          </w:p>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备故障后，替换设备上线后会检查设备类型并把原配置下发下去，保证快速切换；为保证设备链路监测，要求设备内置智能网络管理模块；支持链路状态和转发性能监控、设备风扇、温度监控支持路由模式、透明模式、混杂模式，L2TPPN、IPSecPN、GREPN、SSL/VPN，Portal认证、RADIUS认证、HWTACACS认证等；支持基于CPU、内存等硬件划分资源的完全虚拟化SOP，可分配吞吐量、新建、并发；实配双电源、双风扇模块</w:t>
            </w:r>
          </w:p>
        </w:tc>
        <w:tc>
          <w:tcPr>
            <w:tcW w:w="514" w:type="dxa"/>
            <w:tcBorders>
              <w:top w:val="single" w:color="000000" w:sz="4" w:space="0"/>
              <w:left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w:t>
            </w:r>
          </w:p>
        </w:tc>
        <w:tc>
          <w:tcPr>
            <w:tcW w:w="1088" w:type="dxa"/>
            <w:tcBorders>
              <w:top w:val="single" w:color="000000" w:sz="4" w:space="0"/>
              <w:left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37" w:type="dxa"/>
            <w:tcBorders>
              <w:top w:val="single" w:color="000000" w:sz="4" w:space="0"/>
              <w:left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609"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20</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模块（模块箱）</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千兆单模模块安装，1310nm，10km，LC</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1373" w:hRule="atLeast"/>
        </w:trPr>
        <w:tc>
          <w:tcPr>
            <w:tcW w:w="705" w:type="dxa"/>
            <w:tcBorders>
              <w:top w:val="single" w:color="000000" w:sz="4" w:space="0"/>
              <w:left w:val="single" w:color="000000" w:sz="12"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21</w:t>
            </w:r>
          </w:p>
        </w:tc>
        <w:tc>
          <w:tcPr>
            <w:tcW w:w="2308"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存储设备</w:t>
            </w:r>
          </w:p>
        </w:tc>
        <w:tc>
          <w:tcPr>
            <w:tcW w:w="2322"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高性能32路网络存储主机安装；支持H.265、H.264编码前端自适应接入</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2个十、百、千兆自适应以太网口</w:t>
            </w:r>
          </w:p>
        </w:tc>
        <w:tc>
          <w:tcPr>
            <w:tcW w:w="514"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w:t>
            </w:r>
          </w:p>
        </w:tc>
        <w:tc>
          <w:tcPr>
            <w:tcW w:w="1088"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w:t>
            </w:r>
          </w:p>
        </w:tc>
        <w:tc>
          <w:tcPr>
            <w:tcW w:w="83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12"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3429"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22</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存储设备</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磁盘阵列安装，硬盘容量H.265-90天；单控制器/机架式/3U/36盘位/SATA硬盘/256Mbps接入带宽/64位多核处理器、4~8GB、2个千兆数据网口/1千兆管理网口/视频流、图片、SMART混合直写/智能事件检索、精确定位，浓缩播放/RAID、VRAID，JBOD/网络协议；RTSP/ONVIF/PSIA/SIP（GB/T28181）</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355"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23</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监控专用硬盘6T</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6T硬盘安装</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块</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609" w:hRule="atLeast"/>
        </w:trPr>
        <w:tc>
          <w:tcPr>
            <w:tcW w:w="705" w:type="dxa"/>
            <w:tcBorders>
              <w:top w:val="single" w:color="000000" w:sz="4" w:space="0"/>
              <w:left w:val="single" w:color="000000" w:sz="12"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24</w:t>
            </w:r>
          </w:p>
        </w:tc>
        <w:tc>
          <w:tcPr>
            <w:tcW w:w="2308"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电视墙</w:t>
            </w:r>
          </w:p>
        </w:tc>
        <w:tc>
          <w:tcPr>
            <w:tcW w:w="2322"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22寸显示器安装，含HDMI高清线</w:t>
            </w:r>
          </w:p>
        </w:tc>
        <w:tc>
          <w:tcPr>
            <w:tcW w:w="514"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套</w:t>
            </w:r>
          </w:p>
        </w:tc>
        <w:tc>
          <w:tcPr>
            <w:tcW w:w="1088"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w:t>
            </w:r>
          </w:p>
        </w:tc>
        <w:tc>
          <w:tcPr>
            <w:tcW w:w="83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12"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7787" w:hRule="atLeast"/>
        </w:trPr>
        <w:tc>
          <w:tcPr>
            <w:tcW w:w="705" w:type="dxa"/>
            <w:tcBorders>
              <w:top w:val="single" w:color="000000" w:sz="4" w:space="0"/>
              <w:left w:val="single" w:color="000000" w:sz="12"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25</w:t>
            </w:r>
          </w:p>
        </w:tc>
        <w:tc>
          <w:tcPr>
            <w:tcW w:w="2308"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监控摄像设备</w:t>
            </w:r>
          </w:p>
        </w:tc>
        <w:tc>
          <w:tcPr>
            <w:tcW w:w="2322"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室内400万网络枪式摄像机安装，含镜头、防护罩等配件；1/8inch逐行扫描400万像素CMOS图像传感器，焦距4mm/6mm可选；最低照度；彩色0.0005lx，黑白0.0001lx（以公安部检测报告为准）；通过红外灯照射，可识别距样机100m处的人体轮廓，红外波长837nm；支持不少于H.26H.264（Mainrofile、Highrofile、Baselinerofile）、M-JPEG编码；静止场景下，相同图像质量时，摄像机开启智能编码高级模式与普通模式相比，码流节约85%（以公安部检测报告为准）；具有人脸检测、区域入侵检测、越界检测、徘徊、人员聚集、场景变更、虚焦检测等功能；具有视频透雾、ROI感兴趣区域、3D降噪、强光抑制、视频水印、走廊模式、SVC等功能；在丢包率25%的情况，网络延时50ms环境下，可以正常显示监视画面（以公安部检测报</w:t>
            </w:r>
          </w:p>
        </w:tc>
        <w:tc>
          <w:tcPr>
            <w:tcW w:w="514"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w:t>
            </w:r>
          </w:p>
        </w:tc>
        <w:tc>
          <w:tcPr>
            <w:tcW w:w="1088"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8</w:t>
            </w:r>
          </w:p>
        </w:tc>
        <w:tc>
          <w:tcPr>
            <w:tcW w:w="83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12"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2471"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仿宋" w:hAnsi="仿宋" w:eastAsia="仿宋" w:cs="仿宋"/>
                <w:i w:val="0"/>
                <w:color w:val="000000"/>
                <w:sz w:val="24"/>
                <w:szCs w:val="24"/>
                <w:u w:val="none"/>
              </w:rPr>
            </w:pP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告为准）；在同一个客户端上，可最多同时开启30个视频窗口进行画面浏览；具有网关ARP绑定功能，有效防范ARP攻击，提升安全性（以公安部检测报告为准）；高低温工作环境；摄像机能够在-40℃~+60℃的环境下正常工作</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center"/>
              <w:rPr>
                <w:rFonts w:hint="eastAsia" w:ascii="仿宋" w:hAnsi="仿宋" w:eastAsia="仿宋" w:cs="仿宋"/>
                <w:i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355" w:hRule="atLeast"/>
        </w:trPr>
        <w:tc>
          <w:tcPr>
            <w:tcW w:w="705" w:type="dxa"/>
            <w:tcBorders>
              <w:top w:val="single" w:color="000000" w:sz="4" w:space="0"/>
              <w:left w:val="single" w:color="000000" w:sz="12"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26</w:t>
            </w:r>
          </w:p>
        </w:tc>
        <w:tc>
          <w:tcPr>
            <w:tcW w:w="2308"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接线盒</w:t>
            </w:r>
          </w:p>
        </w:tc>
        <w:tc>
          <w:tcPr>
            <w:tcW w:w="2322"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塑料暗装接线盒安装 86型</w:t>
            </w:r>
          </w:p>
        </w:tc>
        <w:tc>
          <w:tcPr>
            <w:tcW w:w="514"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88"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8</w:t>
            </w:r>
          </w:p>
        </w:tc>
        <w:tc>
          <w:tcPr>
            <w:tcW w:w="83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12"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7218" w:hRule="atLeast"/>
        </w:trPr>
        <w:tc>
          <w:tcPr>
            <w:tcW w:w="705" w:type="dxa"/>
            <w:tcBorders>
              <w:top w:val="single" w:color="000000" w:sz="4" w:space="0"/>
              <w:left w:val="single" w:color="000000" w:sz="12"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27</w:t>
            </w:r>
          </w:p>
        </w:tc>
        <w:tc>
          <w:tcPr>
            <w:tcW w:w="2308"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双绞线缆</w:t>
            </w:r>
          </w:p>
        </w:tc>
        <w:tc>
          <w:tcPr>
            <w:tcW w:w="2322"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管内穿线 Cat6-4UTP，产品特性：六类非屏蔽数字电缆传输带宽≥250MHz，满足1000兆数据传输，采用中心十字架结构；铜芯材料采用优质TR实芯裸铜导体,铜线直径≥0.57mm，满足线规23AWG；绝缘采用优质高密度聚乙烯（HDPE）厚度≥0.225mm，护套材料采用优质PVC料，厚度≥0.6±mm ；防火级别为CM，铜缆外径为￠6.3±mm ；工作温度范围：-20 至 75度。</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电缆电气性能和传输特性：直流电阻：≤9.4Ω/ 100m；直流电阻不平衡：≤2.5%；工作电容：≤5.6nF/100m；绝缘电阻：＞5000 MΩ·km；导体间介电强度：1.0KV·1min；</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产品用途：适用于综合布线网络，支持各种高速率ATM622Mb／1.24Gb、1000baseTX以太网的应用。</w:t>
            </w:r>
          </w:p>
        </w:tc>
        <w:tc>
          <w:tcPr>
            <w:tcW w:w="514"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88"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243.73</w:t>
            </w:r>
          </w:p>
        </w:tc>
        <w:tc>
          <w:tcPr>
            <w:tcW w:w="83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12"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884"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28</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辅材</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水晶头，胶布，光纤热缩套管、高清线、网络跳线、排插等小材料</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项</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355"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29</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双绞线缆测试</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测试 4对双绞线缆</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链路</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8</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355"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30</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安全防范分系统调试</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电视监视系统≤50台 </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系统</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400"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门禁管理系统</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609"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31</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门禁控制箱</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成套控制箱，含接线端子等，定制</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3409"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32</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出入口控制设备</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门禁控制器安装，处理器：32位处理器</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管控门数：1门</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通讯方式：上行TCP/IP、RS485</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读卡器接口：RS485和Wiegand双通讯接口</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存储容量：10万张卡和30万记录存储</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工作电压：自带机箱和供电电源（AC220V输入），工作电压DC 12V，功耗≤4W（不带负载）</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1119" w:hRule="atLeast"/>
        </w:trPr>
        <w:tc>
          <w:tcPr>
            <w:tcW w:w="705" w:type="dxa"/>
            <w:tcBorders>
              <w:top w:val="single" w:color="000000" w:sz="4" w:space="0"/>
              <w:left w:val="single" w:color="000000" w:sz="12"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33</w:t>
            </w:r>
          </w:p>
        </w:tc>
        <w:tc>
          <w:tcPr>
            <w:tcW w:w="2308"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输入设备</w:t>
            </w:r>
          </w:p>
        </w:tc>
        <w:tc>
          <w:tcPr>
            <w:tcW w:w="2322"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一卡通管理工作站安装，i5/8G/1T/集显/22寸显示屏/鼠标键盘，配套门禁软件及发卡机</w:t>
            </w:r>
          </w:p>
        </w:tc>
        <w:tc>
          <w:tcPr>
            <w:tcW w:w="514"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w:t>
            </w:r>
          </w:p>
        </w:tc>
        <w:tc>
          <w:tcPr>
            <w:tcW w:w="1088"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3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12"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6230" w:hRule="atLeast"/>
        </w:trPr>
        <w:tc>
          <w:tcPr>
            <w:tcW w:w="705" w:type="dxa"/>
            <w:tcBorders>
              <w:top w:val="single" w:color="000000" w:sz="4" w:space="0"/>
              <w:left w:val="single" w:color="000000" w:sz="12"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34</w:t>
            </w:r>
          </w:p>
        </w:tc>
        <w:tc>
          <w:tcPr>
            <w:tcW w:w="2308"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交换机</w:t>
            </w:r>
          </w:p>
        </w:tc>
        <w:tc>
          <w:tcPr>
            <w:tcW w:w="2322"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24口千兆核心交换机安装，支持CLOS多级交换架构</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交换容量≥512Tbps、包转发率≥96000 Mpps ，业务插槽数≥8</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 xml:space="preserve">主控引擎模块≥2，满足1+1冗余，提供更好的扩展性和可靠性 </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交换网模块≥4，电源模块≥2，</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以太网支持千兆电口，千兆光口，万兆光口、40G端口、100G端口</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支持将2台物理设备虚拟化为一台逻辑设备，虚拟组内可以实现一致的转发表项，统一的管理，跨物理设备的链路聚合</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支持IEEE 802.1ae介质访问控制安全技术</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单台配置双引擎，满配独立交换网板，2个以上电源模块</w:t>
            </w:r>
          </w:p>
        </w:tc>
        <w:tc>
          <w:tcPr>
            <w:tcW w:w="514"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w:t>
            </w:r>
          </w:p>
        </w:tc>
        <w:tc>
          <w:tcPr>
            <w:tcW w:w="1088"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3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12"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2157"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35</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出入口目标识别设备</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门禁读卡器安装，可识别卡：Mifare卡号、Mifare卡内容、CPU卡号</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认证方式：密码、刷卡、刷卡+密码</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通讯方式：RS485</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工作电压：DC 12V</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功耗：≤2W</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1882" w:hRule="atLeast"/>
        </w:trPr>
        <w:tc>
          <w:tcPr>
            <w:tcW w:w="705" w:type="dxa"/>
            <w:tcBorders>
              <w:top w:val="single" w:color="000000" w:sz="4" w:space="0"/>
              <w:left w:val="single" w:color="000000" w:sz="12"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36</w:t>
            </w:r>
          </w:p>
        </w:tc>
        <w:tc>
          <w:tcPr>
            <w:tcW w:w="2308"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出入口目标识别设备</w:t>
            </w:r>
          </w:p>
        </w:tc>
        <w:tc>
          <w:tcPr>
            <w:tcW w:w="2322"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开门按钮安装，结构：塑料面板；</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性能：最大耐电流1.25A，电压250V；</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输出：常开；</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类型：适合埋入式电器盒使用；</w:t>
            </w:r>
          </w:p>
        </w:tc>
        <w:tc>
          <w:tcPr>
            <w:tcW w:w="514"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w:t>
            </w:r>
          </w:p>
        </w:tc>
        <w:tc>
          <w:tcPr>
            <w:tcW w:w="1088"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3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12"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5720" w:hRule="atLeast"/>
        </w:trPr>
        <w:tc>
          <w:tcPr>
            <w:tcW w:w="705" w:type="dxa"/>
            <w:tcBorders>
              <w:top w:val="single" w:color="000000" w:sz="4" w:space="0"/>
              <w:left w:val="single" w:color="000000" w:sz="12"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37</w:t>
            </w:r>
          </w:p>
        </w:tc>
        <w:tc>
          <w:tcPr>
            <w:tcW w:w="2308"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磁力锁</w:t>
            </w:r>
          </w:p>
        </w:tc>
        <w:tc>
          <w:tcPr>
            <w:tcW w:w="2322"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双门磁力锁安装，最大静态直线拉力：280kg(600Lbs) ± 15%  * 2</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断电开锁，满足消防要求；</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具有电锁状态指示灯（红灯为开锁状态， 绿灯为上锁状态）；</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支持锁状态侦测信号(门磁)输出：NO/NC/COM接点；</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工作电压：12V/840mA 或 24V/420mA；</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锁体尺寸：长476*宽47*厚28(mm)；</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吸板尺寸：长182*宽38*高13(mm)；</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使用环境：室内（不防水）；</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适用门型：木门、玻璃门、金属门、防火门。</w:t>
            </w:r>
          </w:p>
        </w:tc>
        <w:tc>
          <w:tcPr>
            <w:tcW w:w="514"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w:t>
            </w:r>
          </w:p>
        </w:tc>
        <w:tc>
          <w:tcPr>
            <w:tcW w:w="1088"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3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12"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7248" w:hRule="atLeast"/>
        </w:trPr>
        <w:tc>
          <w:tcPr>
            <w:tcW w:w="705" w:type="dxa"/>
            <w:tcBorders>
              <w:top w:val="single" w:color="000000" w:sz="4" w:space="0"/>
              <w:left w:val="single" w:color="000000" w:sz="12"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38</w:t>
            </w:r>
          </w:p>
        </w:tc>
        <w:tc>
          <w:tcPr>
            <w:tcW w:w="2308"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双绞线缆</w:t>
            </w:r>
          </w:p>
        </w:tc>
        <w:tc>
          <w:tcPr>
            <w:tcW w:w="2322"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管内穿线 Cat6-4UTP，产品特性：六类非屏蔽数字电缆传输带宽≥250MHz，满足1000兆数据传输，采用中心十字架结构；铜芯材料采用优质TR实芯裸铜导体,铜线直径≥0.57mm，满足线规23AWG；绝缘采用优质高密度聚乙烯（HDPE）厚度≥0.225mm，护套材料采用优质PVC料，厚度≥0.6±mm ；防火级别为CM，铜缆外径为￠6.3±mm ；工作温度范围：-20 至 75度。</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电缆电气性能和传输特性：直流电阻：≤9.4Ω/ 100m；直流电阻不平衡：≤2.5%；工作电容：≤5.6nF/100m；绝缘电阻：＞5000 MΩ·km；导体间介电强度：1.0KV·1min；</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产品用途：适用于综合布线网络，支持各种高速率ATM622Mb／1.24Gb、1000baseTX以太网的应用。</w:t>
            </w:r>
          </w:p>
        </w:tc>
        <w:tc>
          <w:tcPr>
            <w:tcW w:w="514"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88"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30.13</w:t>
            </w:r>
          </w:p>
        </w:tc>
        <w:tc>
          <w:tcPr>
            <w:tcW w:w="83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12"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629"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39</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配线</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线槽内穿线 WDZ-RYY-2*1.0</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6.5</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609"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40</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配线</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线槽内穿线 WDZ-RYY-4*1.0</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8.5</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609"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41</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配线</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线槽内穿线 WDZ-RYYP-4*1.0</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6.8</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864"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42</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辅材</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水晶头，胶布，光纤热缩套管、网络跳线、排插等小材料</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项</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355"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43</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双绞线缆测试</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测试 4对双绞线缆</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链路</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355"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44</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安全防范分系统调试</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出入口控制系统≤50门</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系统</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400"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机房及UPS系统</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1628"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45</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配电箱</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UPS配电箱安装，采用壁挂式明装安装结构，内含UPS输出配电空开等，面板带电源指示灯或电量仪等显示装置，带配套零线及地线接线端子排</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609" w:hRule="atLeast"/>
        </w:trPr>
        <w:tc>
          <w:tcPr>
            <w:tcW w:w="705" w:type="dxa"/>
            <w:tcBorders>
              <w:top w:val="single" w:color="000000" w:sz="4" w:space="0"/>
              <w:left w:val="single" w:color="000000" w:sz="12"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46</w:t>
            </w:r>
          </w:p>
        </w:tc>
        <w:tc>
          <w:tcPr>
            <w:tcW w:w="2308"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配电箱</w:t>
            </w:r>
          </w:p>
        </w:tc>
        <w:tc>
          <w:tcPr>
            <w:tcW w:w="2322"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电池保护空开箱安装，内含单独直流空开</w:t>
            </w:r>
          </w:p>
        </w:tc>
        <w:tc>
          <w:tcPr>
            <w:tcW w:w="514"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w:t>
            </w:r>
          </w:p>
        </w:tc>
        <w:tc>
          <w:tcPr>
            <w:tcW w:w="1088"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3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12"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5211"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47</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UPS主机</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UPS主机安装，15KVA单/三进单出在线式塔式机型；采用全数字化DSP控制技术，控制精度高、运行速度快，提高可靠性和稳定性；完善的网络监控方案，实现UPS运行维护的智能简化管理，提高系统的可靠性；LCD显示内容丰富，随时了解UPS运行状态；输入过压、输入欠压、过载、短路、缺相等告警及保护功能，适应性、抗负载能力高；采用先进的MMBM智能电池管理，先进的恒压充电、恒流充电、二阶段充电等充电方式，有效提高电池充电效能；无需设置，单相输入、三相输入可自由选择；</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579" w:hRule="atLeast"/>
        </w:trPr>
        <w:tc>
          <w:tcPr>
            <w:tcW w:w="705" w:type="dxa"/>
            <w:tcBorders>
              <w:top w:val="single" w:color="000000" w:sz="4" w:space="0"/>
              <w:left w:val="single" w:color="000000" w:sz="12"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48</w:t>
            </w:r>
          </w:p>
        </w:tc>
        <w:tc>
          <w:tcPr>
            <w:tcW w:w="2308"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电池柜</w:t>
            </w:r>
          </w:p>
        </w:tc>
        <w:tc>
          <w:tcPr>
            <w:tcW w:w="2322"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32节柜，内置连接线及空开</w:t>
            </w:r>
          </w:p>
        </w:tc>
        <w:tc>
          <w:tcPr>
            <w:tcW w:w="514"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w:t>
            </w:r>
          </w:p>
        </w:tc>
        <w:tc>
          <w:tcPr>
            <w:tcW w:w="1088"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3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12"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2666"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49</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蓄电池</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12V/100AH阀控密封式铅酸免维护蓄电池安装，采用优质的AGM隔板和高灵敏度的安全阀，铅钙锡多元特种合金铸造板栅，贫液式设计，阴极吸收式原理，有效地抑制氢气的析出，减少使用过程中电解液的损耗，电池寿命期间无需补加电解液维护</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32</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1119"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50</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二级电源防雷器</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1.名称:二级电源防雷器</w:t>
            </w:r>
            <w:r>
              <w:rPr>
                <w:rFonts w:hint="eastAsia" w:ascii="仿宋" w:hAnsi="仿宋" w:eastAsia="仿宋" w:cs="仿宋"/>
                <w:i w:val="0"/>
                <w:color w:val="000000"/>
                <w:kern w:val="0"/>
                <w:sz w:val="24"/>
                <w:szCs w:val="24"/>
                <w:u w:val="none"/>
                <w:lang w:val="en-US" w:eastAsia="zh-CN" w:bidi="ar-SA"/>
              </w:rPr>
              <w:br w:type="textWrapping"/>
            </w:r>
            <w:r>
              <w:rPr>
                <w:rFonts w:hint="eastAsia" w:ascii="仿宋" w:hAnsi="仿宋" w:eastAsia="仿宋" w:cs="仿宋"/>
                <w:i w:val="0"/>
                <w:color w:val="000000"/>
                <w:kern w:val="0"/>
                <w:sz w:val="24"/>
                <w:szCs w:val="24"/>
                <w:u w:val="none"/>
                <w:lang w:val="en-US" w:eastAsia="zh-CN" w:bidi="ar-SA"/>
              </w:rPr>
              <w:t>2.规格:限压型，四模块，20kA（In），40kA（Imax），Up＜1800V</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1119"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51</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插座</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6位三插防雷插座安装，10kA（In），20kA（Imax），功率≤2500W，Up＜1000V</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个</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7</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609"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52</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电力电缆</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铜芯电力电缆敷设 WDZ-YJY-5x10</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9.08</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355"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53</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等电位端子箱、 测试板</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总等电位箱安装</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台</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355"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54</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接地母线</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接地母线敷设 30*3紫铜排</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24.64</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355"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55</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接地线</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接地线BVR-16、BVR-10</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批</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609"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56</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送配电装置系统</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送配电装置系统调试 1kV以下交流供电(综合)</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系统</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400" w:hRule="atLeast"/>
        </w:trPr>
        <w:tc>
          <w:tcPr>
            <w:tcW w:w="705" w:type="dxa"/>
            <w:tcBorders>
              <w:top w:val="single" w:color="000000" w:sz="4" w:space="0"/>
              <w:left w:val="single" w:color="000000" w:sz="12"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2308"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综合管路系统</w:t>
            </w:r>
          </w:p>
        </w:tc>
        <w:tc>
          <w:tcPr>
            <w:tcW w:w="2322"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514"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1088"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83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12"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629"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57</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桥架</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镀锌桥架安装 200*100；含管件、盖板、接地线等</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21.65</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355"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58</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铁构件</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桥架支架制作安装</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kg</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15.93</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355"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59</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金属结构刷油</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桥架支架除锈、刷油</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kg</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15.93</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864"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60</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配管</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砖、混凝土结构暗配 镀锌钢管敷设 RC50，厚度满足国标及设计要求</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14</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864"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61</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配管</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砖、混凝土结构暗配焊接钢管敷设 SC50，厚度满足国标及设计要求</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35.44</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864"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62</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配管</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砖、混凝土结构暗配焊接钢管敷设 SC40，厚度满足国标及设计要求</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5.86</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864"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63</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配管</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砖、混凝土结构暗配焊接钢管敷设 SC20，厚度满足国标及设计要求</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143.28</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864"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64</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配管</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砖、混凝土结构暗配 塑料管敷设 PC25，厚度满足国标及设计要求</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144.52</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864"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65</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配管</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砖、混凝土结构暗配管敷设JDG25，厚度满足国标及设计要求</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73.56</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864"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66</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配管</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砖、混凝土结构暗配管敷设JDG20，厚度满足国标及设计要求</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m</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5</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400" w:hRule="atLeast"/>
        </w:trPr>
        <w:tc>
          <w:tcPr>
            <w:tcW w:w="705" w:type="dxa"/>
            <w:tcBorders>
              <w:top w:val="single" w:color="000000" w:sz="4" w:space="0"/>
              <w:left w:val="single" w:color="000000" w:sz="12" w:space="0"/>
              <w:bottom w:val="single" w:color="000000" w:sz="12"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2308"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抗震支架</w:t>
            </w:r>
          </w:p>
        </w:tc>
        <w:tc>
          <w:tcPr>
            <w:tcW w:w="2322"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514"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1088"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837"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12"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375"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67</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抗震支架</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电缆桥架侧向抗震支架</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付</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365"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68</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抗震支架</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电缆桥架双向抗震支架</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付</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SA"/>
              </w:rPr>
              <w:t>1</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405" w:type="dxa"/>
          <w:trHeight w:val="365" w:hRule="atLeast"/>
        </w:trPr>
        <w:tc>
          <w:tcPr>
            <w:tcW w:w="705"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69</w:t>
            </w:r>
          </w:p>
        </w:tc>
        <w:tc>
          <w:tcPr>
            <w:tcW w:w="23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脚手架搭拆</w:t>
            </w:r>
          </w:p>
        </w:tc>
        <w:tc>
          <w:tcPr>
            <w:tcW w:w="23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left"/>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脚手架搭拆费</w:t>
            </w:r>
          </w:p>
        </w:tc>
        <w:tc>
          <w:tcPr>
            <w:tcW w:w="5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项</w:t>
            </w:r>
          </w:p>
        </w:tc>
        <w:tc>
          <w:tcPr>
            <w:tcW w:w="10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before="0" w:beforeAutospacing="0" w:after="0" w:afterAutospacing="0"/>
              <w:ind w:left="0" w:right="0"/>
              <w:jc w:val="right"/>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1</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before="0" w:beforeAutospacing="0" w:after="0" w:afterAutospacing="0"/>
              <w:ind w:left="0" w:right="0"/>
              <w:jc w:val="right"/>
              <w:rPr>
                <w:rFonts w:hint="eastAsia" w:ascii="仿宋" w:hAnsi="仿宋" w:eastAsia="仿宋" w:cs="仿宋"/>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spacing w:before="0" w:beforeAutospacing="0" w:after="0" w:afterAutospacing="0"/>
              <w:ind w:left="0" w:right="0"/>
              <w:jc w:val="left"/>
              <w:rPr>
                <w:rFonts w:hint="eastAsia" w:ascii="仿宋" w:hAnsi="仿宋" w:eastAsia="仿宋" w:cs="仿宋"/>
                <w:i w:val="0"/>
                <w:color w:val="000000"/>
                <w:sz w:val="24"/>
                <w:szCs w:val="24"/>
                <w:u w:val="none"/>
              </w:rPr>
            </w:pPr>
          </w:p>
        </w:tc>
      </w:tr>
    </w:tbl>
    <w:p>
      <w:pPr>
        <w:pStyle w:val="26"/>
        <w:numPr>
          <w:ilvl w:val="0"/>
          <w:numId w:val="0"/>
        </w:numPr>
        <w:spacing w:after="0" w:line="360" w:lineRule="auto"/>
        <w:rPr>
          <w:rFonts w:hint="eastAsia" w:ascii="仿宋" w:hAnsi="仿宋" w:eastAsia="仿宋" w:cs="仿宋"/>
          <w:sz w:val="24"/>
          <w:szCs w:val="24"/>
          <w:lang w:val="en-US" w:eastAsia="zh-CN"/>
        </w:rPr>
      </w:pPr>
    </w:p>
    <w:p>
      <w:pPr>
        <w:pStyle w:val="215"/>
        <w:numPr>
          <w:ilvl w:val="0"/>
          <w:numId w:val="0"/>
        </w:numPr>
        <w:tabs>
          <w:tab w:val="left" w:pos="0"/>
        </w:tabs>
        <w:spacing w:line="360" w:lineRule="auto"/>
        <w:ind w:left="210" w:leftChars="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三、机械车位的</w:t>
      </w:r>
      <w:r>
        <w:rPr>
          <w:rFonts w:hint="eastAsia" w:ascii="仿宋" w:hAnsi="仿宋" w:eastAsia="仿宋" w:cs="仿宋"/>
          <w:b/>
          <w:sz w:val="24"/>
          <w:szCs w:val="24"/>
          <w:highlight w:val="none"/>
        </w:rPr>
        <w:t>技术规范书</w:t>
      </w:r>
    </w:p>
    <w:p>
      <w:pPr>
        <w:widowControl w:val="0"/>
        <w:wordWrap/>
        <w:spacing w:line="360" w:lineRule="auto"/>
        <w:ind w:right="21" w:rightChars="10" w:firstLine="480"/>
        <w:rPr>
          <w:rFonts w:hint="eastAsia" w:ascii="仿宋" w:hAnsi="仿宋" w:eastAsia="仿宋" w:cs="仿宋"/>
          <w:b/>
          <w:sz w:val="24"/>
          <w:szCs w:val="24"/>
        </w:rPr>
      </w:pPr>
      <w:r>
        <w:rPr>
          <w:rFonts w:hint="eastAsia" w:ascii="仿宋" w:hAnsi="仿宋" w:eastAsia="仿宋" w:cs="仿宋"/>
          <w:b/>
          <w:sz w:val="24"/>
          <w:szCs w:val="24"/>
          <w:lang w:val="en-US" w:eastAsia="zh-CN"/>
        </w:rPr>
        <w:t>1</w:t>
      </w:r>
      <w:r>
        <w:rPr>
          <w:rFonts w:hint="eastAsia" w:ascii="仿宋" w:hAnsi="仿宋" w:eastAsia="仿宋" w:cs="仿宋"/>
          <w:b/>
          <w:sz w:val="24"/>
          <w:szCs w:val="24"/>
        </w:rPr>
        <w:t>、机械停车技术规范及技术要求</w:t>
      </w:r>
    </w:p>
    <w:p>
      <w:pPr>
        <w:widowControl w:val="0"/>
        <w:wordWrap/>
        <w:spacing w:line="360" w:lineRule="auto"/>
        <w:ind w:left="525"/>
        <w:jc w:val="both"/>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.1 停车数量：</w:t>
      </w:r>
      <w:r>
        <w:rPr>
          <w:rFonts w:hint="eastAsia" w:ascii="仿宋" w:hAnsi="仿宋" w:eastAsia="仿宋" w:cs="仿宋"/>
          <w:sz w:val="24"/>
          <w:szCs w:val="24"/>
          <w:highlight w:val="none"/>
        </w:rPr>
        <w:t>不少于</w:t>
      </w:r>
      <w:r>
        <w:rPr>
          <w:rFonts w:hint="eastAsia" w:ascii="仿宋" w:hAnsi="仿宋" w:eastAsia="仿宋" w:cs="仿宋"/>
          <w:sz w:val="24"/>
          <w:szCs w:val="24"/>
          <w:highlight w:val="none"/>
          <w:u w:val="single"/>
          <w:lang w:val="en-US" w:eastAsia="zh-CN"/>
        </w:rPr>
        <w:t>285</w:t>
      </w:r>
      <w:r>
        <w:rPr>
          <w:rFonts w:hint="eastAsia" w:ascii="仿宋" w:hAnsi="仿宋" w:eastAsia="仿宋" w:cs="仿宋"/>
          <w:sz w:val="24"/>
          <w:szCs w:val="24"/>
          <w:highlight w:val="none"/>
          <w:u w:val="single"/>
        </w:rPr>
        <w:t>个</w:t>
      </w:r>
      <w:r>
        <w:rPr>
          <w:rFonts w:hint="eastAsia" w:ascii="仿宋" w:hAnsi="仿宋" w:eastAsia="仿宋" w:cs="仿宋"/>
          <w:sz w:val="24"/>
          <w:szCs w:val="24"/>
          <w:highlight w:val="none"/>
        </w:rPr>
        <w:t>机械停车位。</w:t>
      </w:r>
    </w:p>
    <w:p>
      <w:pPr>
        <w:widowControl w:val="0"/>
        <w:wordWrap/>
        <w:spacing w:line="360" w:lineRule="auto"/>
        <w:ind w:left="525"/>
        <w:jc w:val="both"/>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.2 车库数量：1座</w:t>
      </w:r>
    </w:p>
    <w:p>
      <w:pPr>
        <w:widowControl w:val="0"/>
        <w:wordWrap/>
        <w:spacing w:line="360" w:lineRule="auto"/>
        <w:ind w:left="525"/>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.3 适宜停放的车辆尺寸及存取类型：</w:t>
      </w:r>
    </w:p>
    <w:tbl>
      <w:tblPr>
        <w:tblStyle w:val="63"/>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2149"/>
        <w:gridCol w:w="1860"/>
        <w:gridCol w:w="3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3316" w:type="dxa"/>
            <w:gridSpan w:val="2"/>
            <w:tcBorders>
              <w:top w:val="single" w:color="auto" w:sz="4" w:space="0"/>
              <w:left w:val="single" w:color="auto" w:sz="4" w:space="0"/>
              <w:bottom w:val="single" w:color="auto" w:sz="4" w:space="0"/>
              <w:right w:val="single" w:color="auto" w:sz="4" w:space="0"/>
            </w:tcBorders>
            <w:vAlign w:val="center"/>
          </w:tcPr>
          <w:p>
            <w:pPr>
              <w:tabs>
                <w:tab w:val="left" w:pos="482"/>
                <w:tab w:val="left" w:pos="2183"/>
                <w:tab w:val="left" w:pos="3884"/>
                <w:tab w:val="left" w:pos="5585"/>
              </w:tabs>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机型</w:t>
            </w:r>
          </w:p>
        </w:tc>
        <w:tc>
          <w:tcPr>
            <w:tcW w:w="5754" w:type="dxa"/>
            <w:gridSpan w:val="2"/>
            <w:tcBorders>
              <w:top w:val="single" w:color="auto" w:sz="4" w:space="0"/>
              <w:left w:val="single" w:color="auto" w:sz="4" w:space="0"/>
              <w:bottom w:val="single" w:color="auto" w:sz="4" w:space="0"/>
              <w:right w:val="single" w:color="auto" w:sz="4" w:space="0"/>
            </w:tcBorders>
            <w:vAlign w:val="center"/>
          </w:tcPr>
          <w:p>
            <w:pPr>
              <w:tabs>
                <w:tab w:val="left" w:pos="482"/>
                <w:tab w:val="left" w:pos="2183"/>
                <w:tab w:val="left" w:pos="3884"/>
                <w:tab w:val="left" w:pos="5585"/>
              </w:tabs>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全自动平面移动类机械车库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167" w:type="dxa"/>
            <w:vMerge w:val="restart"/>
            <w:tcBorders>
              <w:top w:val="single" w:color="auto" w:sz="4" w:space="0"/>
              <w:left w:val="single" w:color="auto" w:sz="4" w:space="0"/>
              <w:bottom w:val="single" w:color="auto" w:sz="4" w:space="0"/>
              <w:right w:val="single" w:color="auto" w:sz="4" w:space="0"/>
            </w:tcBorders>
            <w:vAlign w:val="center"/>
          </w:tcPr>
          <w:p>
            <w:pPr>
              <w:tabs>
                <w:tab w:val="left" w:pos="482"/>
                <w:tab w:val="left" w:pos="2183"/>
                <w:tab w:val="left" w:pos="3884"/>
                <w:tab w:val="left" w:pos="5585"/>
              </w:tabs>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收容车辆尺寸</w:t>
            </w:r>
          </w:p>
        </w:tc>
        <w:tc>
          <w:tcPr>
            <w:tcW w:w="2149" w:type="dxa"/>
            <w:tcBorders>
              <w:top w:val="single" w:color="auto" w:sz="4" w:space="0"/>
              <w:left w:val="single" w:color="auto" w:sz="4" w:space="0"/>
              <w:bottom w:val="single" w:color="auto" w:sz="4" w:space="0"/>
              <w:right w:val="single" w:color="auto" w:sz="4" w:space="0"/>
            </w:tcBorders>
            <w:vAlign w:val="center"/>
          </w:tcPr>
          <w:p>
            <w:pPr>
              <w:tabs>
                <w:tab w:val="left" w:pos="482"/>
                <w:tab w:val="left" w:pos="2183"/>
                <w:tab w:val="left" w:pos="3884"/>
                <w:tab w:val="left" w:pos="5585"/>
              </w:tabs>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车长（mm）</w:t>
            </w:r>
            <w:r>
              <w:rPr>
                <w:rFonts w:hint="eastAsia" w:ascii="仿宋" w:hAnsi="仿宋" w:eastAsia="仿宋" w:cs="仿宋"/>
                <w:color w:val="auto"/>
                <w:sz w:val="24"/>
                <w:szCs w:val="24"/>
              </w:rPr>
              <w:t>不小于</w:t>
            </w:r>
          </w:p>
        </w:tc>
        <w:tc>
          <w:tcPr>
            <w:tcW w:w="1860" w:type="dxa"/>
            <w:tcBorders>
              <w:top w:val="single" w:color="auto" w:sz="4" w:space="0"/>
              <w:left w:val="single" w:color="auto" w:sz="4" w:space="0"/>
              <w:bottom w:val="single" w:color="auto" w:sz="4" w:space="0"/>
              <w:right w:val="single" w:color="auto" w:sz="4" w:space="0"/>
            </w:tcBorders>
            <w:vAlign w:val="center"/>
          </w:tcPr>
          <w:p>
            <w:pPr>
              <w:tabs>
                <w:tab w:val="left" w:pos="482"/>
                <w:tab w:val="left" w:pos="2183"/>
                <w:tab w:val="left" w:pos="3884"/>
                <w:tab w:val="left" w:pos="5585"/>
              </w:tabs>
              <w:spacing w:before="0" w:beforeAutospacing="0" w:after="0" w:afterAutospacing="0" w:line="360" w:lineRule="auto"/>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5300</w:t>
            </w:r>
          </w:p>
        </w:tc>
        <w:tc>
          <w:tcPr>
            <w:tcW w:w="3894" w:type="dxa"/>
            <w:vMerge w:val="restart"/>
            <w:tcBorders>
              <w:top w:val="single" w:color="auto" w:sz="4" w:space="0"/>
              <w:left w:val="single" w:color="auto" w:sz="4" w:space="0"/>
              <w:bottom w:val="single" w:color="auto" w:sz="4" w:space="0"/>
              <w:right w:val="single" w:color="auto" w:sz="4" w:space="0"/>
            </w:tcBorders>
            <w:vAlign w:val="center"/>
          </w:tcPr>
          <w:p>
            <w:pPr>
              <w:tabs>
                <w:tab w:val="left" w:pos="482"/>
                <w:tab w:val="left" w:pos="2183"/>
                <w:tab w:val="left" w:pos="3884"/>
                <w:tab w:val="left" w:pos="5585"/>
              </w:tabs>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投标单位根据图纸提供的数据，</w:t>
            </w:r>
            <w:r>
              <w:rPr>
                <w:rFonts w:hint="eastAsia" w:ascii="仿宋" w:hAnsi="仿宋" w:eastAsia="仿宋" w:cs="仿宋"/>
                <w:color w:val="auto"/>
                <w:sz w:val="24"/>
                <w:szCs w:val="24"/>
                <w:highlight w:val="none"/>
                <w:lang w:val="en-US" w:eastAsia="zh-CN"/>
              </w:rPr>
              <w:t>外框钢结果按照设计图纸要求予以施工，</w:t>
            </w:r>
            <w:r>
              <w:rPr>
                <w:rFonts w:hint="eastAsia" w:ascii="仿宋" w:hAnsi="仿宋" w:eastAsia="仿宋" w:cs="仿宋"/>
                <w:color w:val="auto"/>
                <w:sz w:val="24"/>
                <w:szCs w:val="24"/>
                <w:highlight w:val="none"/>
              </w:rPr>
              <w:t>尽可能把收容车尺寸做的最大</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167" w:type="dxa"/>
            <w:vMerge w:val="continue"/>
            <w:tcBorders>
              <w:top w:val="single" w:color="auto" w:sz="4" w:space="0"/>
              <w:left w:val="single" w:color="auto" w:sz="4" w:space="0"/>
              <w:bottom w:val="single" w:color="auto" w:sz="4" w:space="0"/>
              <w:right w:val="single" w:color="auto" w:sz="4" w:space="0"/>
            </w:tcBorders>
            <w:vAlign w:val="center"/>
          </w:tcPr>
          <w:p>
            <w:pPr>
              <w:tabs>
                <w:tab w:val="left" w:pos="482"/>
                <w:tab w:val="left" w:pos="2183"/>
                <w:tab w:val="left" w:pos="3884"/>
                <w:tab w:val="left" w:pos="5585"/>
              </w:tabs>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tabs>
                <w:tab w:val="left" w:pos="482"/>
                <w:tab w:val="left" w:pos="2183"/>
                <w:tab w:val="left" w:pos="3884"/>
                <w:tab w:val="left" w:pos="5585"/>
              </w:tabs>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车宽（mm）</w:t>
            </w:r>
            <w:r>
              <w:rPr>
                <w:rFonts w:hint="eastAsia" w:ascii="仿宋" w:hAnsi="仿宋" w:eastAsia="仿宋" w:cs="仿宋"/>
                <w:color w:val="auto"/>
                <w:sz w:val="24"/>
                <w:szCs w:val="24"/>
              </w:rPr>
              <w:t>不小于</w:t>
            </w:r>
          </w:p>
        </w:tc>
        <w:tc>
          <w:tcPr>
            <w:tcW w:w="1860" w:type="dxa"/>
            <w:tcBorders>
              <w:top w:val="single" w:color="auto" w:sz="4" w:space="0"/>
              <w:left w:val="single" w:color="auto" w:sz="4" w:space="0"/>
              <w:bottom w:val="single" w:color="auto" w:sz="4" w:space="0"/>
              <w:right w:val="single" w:color="auto" w:sz="4" w:space="0"/>
            </w:tcBorders>
            <w:vAlign w:val="center"/>
          </w:tcPr>
          <w:p>
            <w:pPr>
              <w:tabs>
                <w:tab w:val="left" w:pos="482"/>
                <w:tab w:val="left" w:pos="2183"/>
                <w:tab w:val="left" w:pos="3884"/>
                <w:tab w:val="left" w:pos="5585"/>
              </w:tabs>
              <w:spacing w:before="0" w:beforeAutospacing="0" w:after="0" w:afterAutospacing="0" w:line="360" w:lineRule="auto"/>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1950</w:t>
            </w:r>
          </w:p>
        </w:tc>
        <w:tc>
          <w:tcPr>
            <w:tcW w:w="3894" w:type="dxa"/>
            <w:vMerge w:val="continue"/>
            <w:tcBorders>
              <w:top w:val="single" w:color="auto" w:sz="4" w:space="0"/>
              <w:left w:val="single" w:color="auto" w:sz="4" w:space="0"/>
              <w:bottom w:val="single" w:color="auto" w:sz="4" w:space="0"/>
              <w:right w:val="single" w:color="auto" w:sz="4" w:space="0"/>
            </w:tcBorders>
            <w:vAlign w:val="center"/>
          </w:tcPr>
          <w:p>
            <w:pPr>
              <w:tabs>
                <w:tab w:val="left" w:pos="482"/>
                <w:tab w:val="left" w:pos="2183"/>
                <w:tab w:val="left" w:pos="3884"/>
                <w:tab w:val="left" w:pos="5585"/>
              </w:tabs>
              <w:spacing w:before="0" w:beforeAutospacing="0" w:after="0" w:afterAutospacing="0" w:line="360" w:lineRule="auto"/>
              <w:ind w:left="0" w:right="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167" w:type="dxa"/>
            <w:vMerge w:val="continue"/>
            <w:tcBorders>
              <w:top w:val="single" w:color="auto" w:sz="4" w:space="0"/>
              <w:left w:val="single" w:color="auto" w:sz="4" w:space="0"/>
              <w:bottom w:val="single" w:color="auto" w:sz="4" w:space="0"/>
              <w:right w:val="single" w:color="auto" w:sz="4" w:space="0"/>
            </w:tcBorders>
            <w:vAlign w:val="center"/>
          </w:tcPr>
          <w:p>
            <w:pPr>
              <w:tabs>
                <w:tab w:val="left" w:pos="482"/>
                <w:tab w:val="left" w:pos="2183"/>
                <w:tab w:val="left" w:pos="3884"/>
                <w:tab w:val="left" w:pos="5585"/>
              </w:tabs>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tabs>
                <w:tab w:val="left" w:pos="482"/>
                <w:tab w:val="left" w:pos="2183"/>
                <w:tab w:val="left" w:pos="3884"/>
                <w:tab w:val="left" w:pos="5585"/>
              </w:tabs>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车高（mm）</w:t>
            </w:r>
            <w:r>
              <w:rPr>
                <w:rFonts w:hint="eastAsia" w:ascii="仿宋" w:hAnsi="仿宋" w:eastAsia="仿宋" w:cs="仿宋"/>
                <w:color w:val="auto"/>
                <w:sz w:val="24"/>
                <w:szCs w:val="24"/>
              </w:rPr>
              <w:t>不小于</w:t>
            </w:r>
          </w:p>
        </w:tc>
        <w:tc>
          <w:tcPr>
            <w:tcW w:w="1860" w:type="dxa"/>
            <w:tcBorders>
              <w:top w:val="single" w:color="auto" w:sz="4" w:space="0"/>
              <w:left w:val="single" w:color="auto" w:sz="4" w:space="0"/>
              <w:bottom w:val="single" w:color="auto" w:sz="4" w:space="0"/>
              <w:right w:val="single" w:color="auto" w:sz="4" w:space="0"/>
            </w:tcBorders>
            <w:vAlign w:val="center"/>
          </w:tcPr>
          <w:p>
            <w:pPr>
              <w:tabs>
                <w:tab w:val="left" w:pos="482"/>
                <w:tab w:val="left" w:pos="2183"/>
                <w:tab w:val="left" w:pos="3884"/>
                <w:tab w:val="left" w:pos="5585"/>
              </w:tabs>
              <w:spacing w:before="0" w:beforeAutospacing="0" w:after="0" w:afterAutospacing="0" w:line="360" w:lineRule="auto"/>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1550/1950</w:t>
            </w:r>
          </w:p>
        </w:tc>
        <w:tc>
          <w:tcPr>
            <w:tcW w:w="3894" w:type="dxa"/>
            <w:vMerge w:val="continue"/>
            <w:tcBorders>
              <w:top w:val="single" w:color="auto" w:sz="4" w:space="0"/>
              <w:left w:val="single" w:color="auto" w:sz="4" w:space="0"/>
              <w:bottom w:val="single" w:color="auto" w:sz="4" w:space="0"/>
              <w:right w:val="single" w:color="auto" w:sz="4" w:space="0"/>
            </w:tcBorders>
            <w:vAlign w:val="center"/>
          </w:tcPr>
          <w:p>
            <w:pPr>
              <w:tabs>
                <w:tab w:val="left" w:pos="482"/>
                <w:tab w:val="left" w:pos="2183"/>
                <w:tab w:val="left" w:pos="3884"/>
                <w:tab w:val="left" w:pos="5585"/>
              </w:tabs>
              <w:spacing w:before="0" w:beforeAutospacing="0" w:after="0" w:afterAutospacing="0" w:line="360" w:lineRule="auto"/>
              <w:ind w:left="0" w:right="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1167" w:type="dxa"/>
            <w:vMerge w:val="continue"/>
            <w:tcBorders>
              <w:top w:val="single" w:color="auto" w:sz="4" w:space="0"/>
              <w:left w:val="single" w:color="auto" w:sz="4" w:space="0"/>
              <w:bottom w:val="single" w:color="auto" w:sz="4" w:space="0"/>
              <w:right w:val="single" w:color="auto" w:sz="4" w:space="0"/>
            </w:tcBorders>
            <w:vAlign w:val="center"/>
          </w:tcPr>
          <w:p>
            <w:pPr>
              <w:tabs>
                <w:tab w:val="left" w:pos="482"/>
                <w:tab w:val="left" w:pos="2183"/>
                <w:tab w:val="left" w:pos="3884"/>
                <w:tab w:val="left" w:pos="5585"/>
              </w:tabs>
              <w:spacing w:before="0" w:beforeAutospacing="0" w:after="0" w:afterAutospacing="0" w:line="360" w:lineRule="auto"/>
              <w:ind w:left="0" w:right="0"/>
              <w:rPr>
                <w:rFonts w:hint="eastAsia" w:ascii="仿宋" w:hAnsi="仿宋" w:eastAsia="仿宋" w:cs="仿宋"/>
                <w:color w:val="auto"/>
                <w:sz w:val="24"/>
                <w:szCs w:val="24"/>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tabs>
                <w:tab w:val="left" w:pos="482"/>
                <w:tab w:val="left" w:pos="2183"/>
                <w:tab w:val="left" w:pos="3884"/>
                <w:tab w:val="left" w:pos="5585"/>
              </w:tabs>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车重（Kg）</w:t>
            </w:r>
            <w:r>
              <w:rPr>
                <w:rFonts w:hint="eastAsia" w:ascii="仿宋" w:hAnsi="仿宋" w:eastAsia="仿宋" w:cs="仿宋"/>
                <w:color w:val="auto"/>
                <w:sz w:val="24"/>
                <w:szCs w:val="24"/>
              </w:rPr>
              <w:t>不小于</w:t>
            </w:r>
          </w:p>
        </w:tc>
        <w:tc>
          <w:tcPr>
            <w:tcW w:w="5754" w:type="dxa"/>
            <w:gridSpan w:val="2"/>
            <w:tcBorders>
              <w:top w:val="single" w:color="auto" w:sz="4" w:space="0"/>
              <w:left w:val="single" w:color="auto" w:sz="4" w:space="0"/>
              <w:bottom w:val="single" w:color="auto" w:sz="4" w:space="0"/>
              <w:right w:val="single" w:color="auto" w:sz="4" w:space="0"/>
            </w:tcBorders>
            <w:vAlign w:val="center"/>
          </w:tcPr>
          <w:p>
            <w:pPr>
              <w:tabs>
                <w:tab w:val="left" w:pos="482"/>
                <w:tab w:val="left" w:pos="2183"/>
                <w:tab w:val="left" w:pos="3884"/>
                <w:tab w:val="left" w:pos="5585"/>
              </w:tabs>
              <w:spacing w:before="0" w:beforeAutospacing="0" w:after="0" w:afterAutospacing="0" w:line="360" w:lineRule="auto"/>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2350</w:t>
            </w:r>
          </w:p>
        </w:tc>
      </w:tr>
    </w:tbl>
    <w:p>
      <w:pPr>
        <w:widowControl w:val="0"/>
        <w:wordWrap/>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1</w:t>
      </w:r>
      <w:r>
        <w:rPr>
          <w:rFonts w:hint="eastAsia" w:ascii="仿宋" w:hAnsi="仿宋" w:eastAsia="仿宋" w:cs="仿宋"/>
          <w:sz w:val="24"/>
          <w:szCs w:val="24"/>
        </w:rPr>
        <w:t>.4 量度单位：采用国际公制（SI）制。</w:t>
      </w:r>
    </w:p>
    <w:p>
      <w:pPr>
        <w:widowControl w:val="0"/>
        <w:wordWrap/>
        <w:spacing w:line="360" w:lineRule="auto"/>
        <w:ind w:firstLine="600" w:firstLineChars="25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.5 设备安装的空间见图纸，请各投标厂家根据自身设备情况，尽可能把车辆停车规格设计最大化，在此空间内合理布局，如需要局部调整，请明确调整后需要的尺寸。</w:t>
      </w:r>
    </w:p>
    <w:p>
      <w:pPr>
        <w:widowControl w:val="0"/>
        <w:wordWrap/>
        <w:spacing w:line="360" w:lineRule="auto"/>
        <w:ind w:firstLine="600" w:firstLineChars="25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.6 投标人应提供全套设计方案，其设计方案应确保可实施性和优越性，并充分考虑效率、节能、环保等因素；</w:t>
      </w:r>
    </w:p>
    <w:p>
      <w:pPr>
        <w:widowControl w:val="0"/>
        <w:wordWrap/>
        <w:spacing w:line="360" w:lineRule="auto"/>
        <w:ind w:firstLine="600" w:firstLineChars="25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.7 投标人可根据系统设计要求和各自的技术优势，在招标提供的图纸规定范围内进行深化，灵活布置。要求整个系统结构紧凑、先进实用、安全可靠、运行平稳、操作简便、性能优良、管理方便、故障率低、耐久性好、停车规格（尺寸）最大化、存取车时间最优最短合理化。如因厂家的设备尺寸原因需要建筑图纸进行调整，则须提出具体原因和修改方案，原则上尽可能的减少建筑图修改。</w:t>
      </w:r>
    </w:p>
    <w:p>
      <w:pPr>
        <w:widowControl w:val="0"/>
        <w:wordWrap/>
        <w:spacing w:line="360" w:lineRule="auto"/>
        <w:ind w:firstLine="600" w:firstLineChars="250"/>
        <w:rPr>
          <w:rFonts w:hint="eastAsia" w:ascii="仿宋" w:hAnsi="仿宋" w:eastAsia="仿宋" w:cs="仿宋"/>
          <w:sz w:val="24"/>
          <w:szCs w:val="24"/>
          <w:highlight w:val="none"/>
          <w:lang w:eastAsia="zh-CN"/>
        </w:rPr>
      </w:pPr>
      <w:r>
        <w:rPr>
          <w:rFonts w:hint="eastAsia" w:ascii="仿宋_GB2312" w:hAnsi="仿宋" w:eastAsia="仿宋_GB2312"/>
          <w:color w:val="auto"/>
          <w:sz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.8 巷道内车辆搬运方</w:t>
      </w:r>
      <w:r>
        <w:rPr>
          <w:rFonts w:hint="eastAsia" w:ascii="仿宋" w:hAnsi="仿宋" w:eastAsia="仿宋" w:cs="仿宋"/>
          <w:sz w:val="24"/>
          <w:szCs w:val="24"/>
          <w:highlight w:val="none"/>
        </w:rPr>
        <w:t>式：</w:t>
      </w:r>
      <w:r>
        <w:rPr>
          <w:rFonts w:hint="eastAsia" w:ascii="仿宋" w:hAnsi="仿宋" w:eastAsia="仿宋" w:cs="仿宋"/>
          <w:b/>
          <w:bCs/>
          <w:sz w:val="24"/>
          <w:szCs w:val="24"/>
          <w:highlight w:val="none"/>
          <w:lang w:val="en-US" w:eastAsia="zh-CN"/>
        </w:rPr>
        <w:t>须采用</w:t>
      </w:r>
      <w:r>
        <w:rPr>
          <w:rFonts w:hint="eastAsia" w:ascii="仿宋" w:hAnsi="仿宋" w:eastAsia="仿宋" w:cs="仿宋"/>
          <w:b/>
          <w:bCs/>
          <w:sz w:val="24"/>
          <w:szCs w:val="24"/>
          <w:highlight w:val="none"/>
        </w:rPr>
        <w:t>机械手夹臂抱轮式</w:t>
      </w:r>
      <w:r>
        <w:rPr>
          <w:rFonts w:hint="eastAsia" w:ascii="仿宋" w:hAnsi="仿宋" w:eastAsia="仿宋" w:cs="仿宋"/>
          <w:b/>
          <w:bCs/>
          <w:sz w:val="24"/>
          <w:szCs w:val="24"/>
          <w:highlight w:val="none"/>
          <w:lang w:eastAsia="zh-CN"/>
        </w:rPr>
        <w:t>。</w:t>
      </w:r>
    </w:p>
    <w:p>
      <w:pPr>
        <w:widowControl w:val="0"/>
        <w:wordWrap/>
        <w:spacing w:line="360" w:lineRule="auto"/>
        <w:ind w:right="21" w:rightChars="10" w:firstLine="480"/>
        <w:rPr>
          <w:rFonts w:hint="eastAsia" w:ascii="仿宋" w:hAnsi="仿宋" w:eastAsia="仿宋" w:cs="仿宋"/>
          <w:b/>
          <w:sz w:val="24"/>
          <w:szCs w:val="24"/>
        </w:rPr>
      </w:pPr>
      <w:r>
        <w:rPr>
          <w:rFonts w:hint="eastAsia" w:ascii="仿宋" w:hAnsi="仿宋" w:eastAsia="仿宋" w:cs="仿宋"/>
          <w:b/>
          <w:sz w:val="24"/>
          <w:szCs w:val="24"/>
          <w:lang w:val="en-US" w:eastAsia="zh-CN"/>
        </w:rPr>
        <w:t>2</w:t>
      </w:r>
      <w:r>
        <w:rPr>
          <w:rFonts w:hint="eastAsia" w:ascii="仿宋" w:hAnsi="仿宋" w:eastAsia="仿宋" w:cs="仿宋"/>
          <w:b/>
          <w:sz w:val="24"/>
          <w:szCs w:val="24"/>
        </w:rPr>
        <w:t>、供货范围</w:t>
      </w:r>
    </w:p>
    <w:p>
      <w:pPr>
        <w:widowControl w:val="0"/>
        <w:wordWrap/>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.1机械车库设备；</w:t>
      </w:r>
    </w:p>
    <w:p>
      <w:pPr>
        <w:widowControl w:val="0"/>
        <w:wordWrap/>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.2机械车库的自动控制系统；</w:t>
      </w:r>
    </w:p>
    <w:p>
      <w:pPr>
        <w:widowControl w:val="0"/>
        <w:wordWrap/>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.3机械车库的安全保护系统；</w:t>
      </w:r>
    </w:p>
    <w:p>
      <w:pPr>
        <w:widowControl w:val="0"/>
        <w:wordWrap/>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.4机械车库内的存取车情况监控系统；</w:t>
      </w:r>
    </w:p>
    <w:p>
      <w:pPr>
        <w:widowControl w:val="0"/>
        <w:wordWrap/>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.5机械车库组装、安装、调试、验收、质保期</w:t>
      </w:r>
      <w:r>
        <w:rPr>
          <w:rFonts w:hint="eastAsia" w:ascii="仿宋" w:hAnsi="仿宋" w:eastAsia="仿宋" w:cs="仿宋"/>
          <w:color w:val="auto"/>
          <w:sz w:val="24"/>
          <w:szCs w:val="24"/>
          <w:lang w:val="en-US" w:eastAsia="zh-CN"/>
        </w:rPr>
        <w:t>两</w:t>
      </w:r>
      <w:r>
        <w:rPr>
          <w:rFonts w:hint="eastAsia" w:ascii="仿宋" w:hAnsi="仿宋" w:eastAsia="仿宋" w:cs="仿宋"/>
          <w:color w:val="auto"/>
          <w:sz w:val="24"/>
          <w:szCs w:val="24"/>
        </w:rPr>
        <w:t>年内维护保养；</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.6</w:t>
      </w:r>
      <w:r>
        <w:rPr>
          <w:rFonts w:hint="eastAsia" w:ascii="仿宋" w:hAnsi="仿宋" w:eastAsia="仿宋" w:cs="仿宋"/>
          <w:color w:val="auto"/>
          <w:sz w:val="24"/>
        </w:rPr>
        <w:t>机械车库的智能收费管理系统</w:t>
      </w:r>
      <w:r>
        <w:rPr>
          <w:rFonts w:hint="eastAsia" w:ascii="仿宋" w:hAnsi="仿宋" w:eastAsia="仿宋" w:cs="仿宋"/>
          <w:color w:val="auto"/>
          <w:sz w:val="24"/>
          <w:lang w:eastAsia="zh-CN"/>
        </w:rPr>
        <w:t>、</w:t>
      </w:r>
      <w:r>
        <w:rPr>
          <w:rFonts w:hint="eastAsia" w:ascii="仿宋" w:hAnsi="仿宋" w:eastAsia="仿宋" w:cs="仿宋"/>
          <w:color w:val="auto"/>
          <w:sz w:val="24"/>
        </w:rPr>
        <w:t>标识标牌</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监控系统、派库诱导系统</w:t>
      </w:r>
      <w:r>
        <w:rPr>
          <w:rFonts w:hint="eastAsia" w:ascii="仿宋" w:hAnsi="仿宋" w:eastAsia="仿宋" w:cs="仿宋"/>
          <w:color w:val="auto"/>
          <w:sz w:val="24"/>
        </w:rPr>
        <w:t>；</w:t>
      </w:r>
    </w:p>
    <w:p>
      <w:pPr>
        <w:widowControl w:val="0"/>
        <w:wordWrap/>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机械车库的外框钢结构</w:t>
      </w:r>
      <w:r>
        <w:rPr>
          <w:rFonts w:hint="eastAsia" w:ascii="仿宋" w:hAnsi="仿宋" w:eastAsia="仿宋" w:cs="仿宋"/>
          <w:color w:val="auto"/>
          <w:sz w:val="24"/>
          <w:szCs w:val="24"/>
          <w:highlight w:val="none"/>
          <w:lang w:val="en-US" w:eastAsia="zh-CN"/>
        </w:rPr>
        <w:t>及楼层板施工；</w:t>
      </w:r>
    </w:p>
    <w:p>
      <w:pPr>
        <w:widowControl w:val="0"/>
        <w:wordWrap/>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2.8 机械车库的</w:t>
      </w:r>
      <w:r>
        <w:rPr>
          <w:rFonts w:hint="eastAsia" w:ascii="仿宋" w:hAnsi="仿宋" w:eastAsia="仿宋" w:cs="仿宋"/>
          <w:color w:val="auto"/>
          <w:sz w:val="24"/>
          <w:szCs w:val="24"/>
        </w:rPr>
        <w:t>车辆</w:t>
      </w:r>
      <w:r>
        <w:rPr>
          <w:rFonts w:hint="eastAsia" w:ascii="仿宋" w:hAnsi="仿宋" w:eastAsia="仿宋" w:cs="仿宋"/>
          <w:color w:val="auto"/>
          <w:sz w:val="24"/>
          <w:szCs w:val="24"/>
          <w:lang w:val="en-US" w:eastAsia="zh-CN"/>
        </w:rPr>
        <w:t>雨棚、外立面装饰装修</w:t>
      </w:r>
      <w:r>
        <w:rPr>
          <w:rFonts w:hint="eastAsia" w:ascii="仿宋" w:hAnsi="仿宋" w:eastAsia="仿宋" w:cs="仿宋"/>
          <w:color w:val="auto"/>
          <w:sz w:val="24"/>
          <w:szCs w:val="24"/>
        </w:rPr>
        <w:t>；</w:t>
      </w:r>
    </w:p>
    <w:p>
      <w:pPr>
        <w:pStyle w:val="34"/>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2.9机械车库的外立面灯光亮化及弱电智能化；</w:t>
      </w:r>
    </w:p>
    <w:p>
      <w:pPr>
        <w:widowControl w:val="0"/>
        <w:wordWrap/>
        <w:spacing w:line="360" w:lineRule="auto"/>
        <w:ind w:firstLine="480" w:firstLineChars="200"/>
        <w:rPr>
          <w:rFonts w:hint="eastAsia" w:ascii="仿宋" w:hAnsi="仿宋" w:eastAsia="仿宋" w:cs="仿宋"/>
          <w:b/>
          <w:bCs/>
          <w:sz w:val="24"/>
          <w:szCs w:val="24"/>
        </w:rPr>
      </w:pPr>
      <w:r>
        <w:rPr>
          <w:rFonts w:hint="eastAsia" w:ascii="仿宋" w:hAnsi="仿宋" w:eastAsia="仿宋" w:cs="仿宋"/>
          <w:bCs/>
          <w:sz w:val="24"/>
          <w:szCs w:val="24"/>
          <w:lang w:val="en-US" w:eastAsia="zh-CN"/>
        </w:rPr>
        <w:t>2.11.</w:t>
      </w:r>
      <w:r>
        <w:rPr>
          <w:rFonts w:hint="eastAsia" w:ascii="仿宋" w:hAnsi="仿宋" w:eastAsia="仿宋" w:cs="仿宋"/>
          <w:bCs/>
          <w:sz w:val="24"/>
          <w:szCs w:val="24"/>
        </w:rPr>
        <w:t>供方</w:t>
      </w:r>
      <w:r>
        <w:rPr>
          <w:rFonts w:hint="eastAsia" w:ascii="仿宋" w:hAnsi="仿宋" w:eastAsia="仿宋" w:cs="仿宋"/>
          <w:sz w:val="24"/>
          <w:szCs w:val="24"/>
        </w:rPr>
        <w:t>所供产品品质需符合以下国标及行业标准，国家有关特种设备质量监督与安全监察的规定及其他有关土建、消防的相关标准。如涉及进口部件的有关国外规范及法规与中国国家规范相抵触，应以中国国家现行法规为准。以下各项的国家及行业标准、规范，均按最新版本执行。</w:t>
      </w:r>
    </w:p>
    <w:p>
      <w:pPr>
        <w:widowControl w:val="0"/>
        <w:numPr>
          <w:ilvl w:val="0"/>
          <w:numId w:val="3"/>
        </w:numPr>
        <w:wordWrap/>
        <w:spacing w:line="360" w:lineRule="auto"/>
        <w:ind w:firstLine="480"/>
        <w:jc w:val="both"/>
        <w:rPr>
          <w:rFonts w:hint="eastAsia" w:ascii="仿宋" w:hAnsi="仿宋" w:eastAsia="仿宋" w:cs="仿宋"/>
          <w:sz w:val="24"/>
          <w:szCs w:val="24"/>
        </w:rPr>
      </w:pPr>
      <w:r>
        <w:rPr>
          <w:rFonts w:hint="eastAsia" w:ascii="仿宋" w:hAnsi="仿宋" w:eastAsia="仿宋" w:cs="仿宋"/>
          <w:sz w:val="24"/>
          <w:szCs w:val="24"/>
        </w:rPr>
        <w:t>《机械式停车库设计规范》                       DBJ08-60</w:t>
      </w:r>
    </w:p>
    <w:p>
      <w:pPr>
        <w:widowControl w:val="0"/>
        <w:numPr>
          <w:ilvl w:val="0"/>
          <w:numId w:val="3"/>
        </w:numPr>
        <w:wordWrap/>
        <w:spacing w:line="360" w:lineRule="auto"/>
        <w:ind w:firstLine="480"/>
        <w:jc w:val="both"/>
        <w:rPr>
          <w:rFonts w:hint="eastAsia" w:ascii="仿宋" w:hAnsi="仿宋" w:eastAsia="仿宋" w:cs="仿宋"/>
          <w:sz w:val="24"/>
          <w:szCs w:val="24"/>
        </w:rPr>
      </w:pPr>
      <w:r>
        <w:rPr>
          <w:rFonts w:hint="eastAsia" w:ascii="仿宋" w:hAnsi="仿宋" w:eastAsia="仿宋" w:cs="仿宋"/>
          <w:sz w:val="24"/>
          <w:szCs w:val="24"/>
        </w:rPr>
        <w:t>《机械停车设备通用安全规则》                   GB17907</w:t>
      </w:r>
    </w:p>
    <w:p>
      <w:pPr>
        <w:widowControl w:val="0"/>
        <w:numPr>
          <w:ilvl w:val="0"/>
          <w:numId w:val="3"/>
        </w:numPr>
        <w:wordWrap/>
        <w:spacing w:line="360" w:lineRule="auto"/>
        <w:ind w:firstLine="480"/>
        <w:jc w:val="both"/>
        <w:rPr>
          <w:rFonts w:hint="eastAsia" w:ascii="仿宋" w:hAnsi="仿宋" w:eastAsia="仿宋" w:cs="仿宋"/>
          <w:sz w:val="24"/>
          <w:szCs w:val="24"/>
        </w:rPr>
      </w:pPr>
      <w:r>
        <w:rPr>
          <w:rFonts w:hint="eastAsia" w:ascii="仿宋" w:hAnsi="仿宋" w:eastAsia="仿宋" w:cs="仿宋"/>
          <w:sz w:val="24"/>
          <w:szCs w:val="24"/>
        </w:rPr>
        <w:t>《机械停车设备类别、形式与基本参数》           JB/T8713</w:t>
      </w:r>
    </w:p>
    <w:p>
      <w:pPr>
        <w:widowControl w:val="0"/>
        <w:numPr>
          <w:ilvl w:val="0"/>
          <w:numId w:val="3"/>
        </w:numPr>
        <w:wordWrap/>
        <w:spacing w:line="360" w:lineRule="auto"/>
        <w:ind w:firstLine="480"/>
        <w:jc w:val="both"/>
        <w:rPr>
          <w:rFonts w:hint="eastAsia" w:ascii="仿宋" w:hAnsi="仿宋" w:eastAsia="仿宋" w:cs="仿宋"/>
          <w:sz w:val="24"/>
          <w:szCs w:val="24"/>
        </w:rPr>
      </w:pPr>
      <w:r>
        <w:rPr>
          <w:rFonts w:hint="eastAsia" w:ascii="仿宋" w:hAnsi="仿宋" w:eastAsia="仿宋" w:cs="仿宋"/>
          <w:sz w:val="24"/>
          <w:szCs w:val="24"/>
        </w:rPr>
        <w:t>《平面移动类机械式停车设备》                  JB/T10545-2016</w:t>
      </w:r>
    </w:p>
    <w:p>
      <w:pPr>
        <w:widowControl w:val="0"/>
        <w:numPr>
          <w:ilvl w:val="0"/>
          <w:numId w:val="3"/>
        </w:numPr>
        <w:wordWrap/>
        <w:spacing w:line="360" w:lineRule="auto"/>
        <w:ind w:firstLine="480"/>
        <w:jc w:val="both"/>
        <w:rPr>
          <w:rFonts w:hint="eastAsia" w:ascii="仿宋" w:hAnsi="仿宋" w:eastAsia="仿宋" w:cs="仿宋"/>
          <w:sz w:val="24"/>
          <w:szCs w:val="24"/>
        </w:rPr>
      </w:pPr>
      <w:r>
        <w:rPr>
          <w:rFonts w:hint="eastAsia" w:ascii="仿宋" w:hAnsi="仿宋" w:eastAsia="仿宋" w:cs="仿宋"/>
          <w:sz w:val="24"/>
          <w:szCs w:val="24"/>
        </w:rPr>
        <w:t>《汽车库、修车库、停车库设计防火规范》         GB50067</w:t>
      </w:r>
    </w:p>
    <w:p>
      <w:pPr>
        <w:widowControl w:val="0"/>
        <w:numPr>
          <w:ilvl w:val="0"/>
          <w:numId w:val="3"/>
        </w:numPr>
        <w:wordWrap/>
        <w:spacing w:line="360" w:lineRule="auto"/>
        <w:ind w:firstLine="480"/>
        <w:jc w:val="both"/>
        <w:rPr>
          <w:rFonts w:hint="eastAsia" w:ascii="仿宋" w:hAnsi="仿宋" w:eastAsia="仿宋" w:cs="仿宋"/>
          <w:sz w:val="24"/>
          <w:szCs w:val="24"/>
        </w:rPr>
      </w:pPr>
      <w:r>
        <w:rPr>
          <w:rFonts w:hint="eastAsia" w:ascii="仿宋" w:hAnsi="仿宋" w:eastAsia="仿宋" w:cs="仿宋"/>
          <w:sz w:val="24"/>
          <w:szCs w:val="24"/>
        </w:rPr>
        <w:t>《起重机械安全规范》                           GB6067</w:t>
      </w:r>
    </w:p>
    <w:p>
      <w:pPr>
        <w:widowControl w:val="0"/>
        <w:numPr>
          <w:ilvl w:val="0"/>
          <w:numId w:val="3"/>
        </w:numPr>
        <w:wordWrap/>
        <w:spacing w:line="360" w:lineRule="auto"/>
        <w:ind w:firstLine="480"/>
        <w:jc w:val="both"/>
        <w:rPr>
          <w:rFonts w:hint="eastAsia" w:ascii="仿宋" w:hAnsi="仿宋" w:eastAsia="仿宋" w:cs="仿宋"/>
          <w:sz w:val="24"/>
          <w:szCs w:val="24"/>
        </w:rPr>
      </w:pPr>
      <w:r>
        <w:rPr>
          <w:rFonts w:hint="eastAsia" w:ascii="仿宋" w:hAnsi="仿宋" w:eastAsia="仿宋" w:cs="仿宋"/>
          <w:sz w:val="24"/>
          <w:szCs w:val="24"/>
        </w:rPr>
        <w:t>《机电产品包装通用技术条件》                   GB13384</w:t>
      </w:r>
    </w:p>
    <w:p>
      <w:pPr>
        <w:widowControl w:val="0"/>
        <w:numPr>
          <w:ilvl w:val="0"/>
          <w:numId w:val="3"/>
        </w:numPr>
        <w:wordWrap/>
        <w:spacing w:line="360" w:lineRule="auto"/>
        <w:ind w:firstLine="480"/>
        <w:jc w:val="both"/>
        <w:rPr>
          <w:rFonts w:hint="eastAsia" w:ascii="仿宋" w:hAnsi="仿宋" w:eastAsia="仿宋" w:cs="仿宋"/>
          <w:sz w:val="24"/>
          <w:szCs w:val="24"/>
        </w:rPr>
      </w:pPr>
      <w:r>
        <w:rPr>
          <w:rFonts w:hint="eastAsia" w:ascii="仿宋" w:hAnsi="仿宋" w:eastAsia="仿宋" w:cs="仿宋"/>
          <w:sz w:val="24"/>
          <w:szCs w:val="24"/>
        </w:rPr>
        <w:t>《钢结构设计规范》                             GBJ17</w:t>
      </w:r>
    </w:p>
    <w:p>
      <w:pPr>
        <w:widowControl w:val="0"/>
        <w:numPr>
          <w:ilvl w:val="0"/>
          <w:numId w:val="3"/>
        </w:numPr>
        <w:wordWrap/>
        <w:spacing w:line="360" w:lineRule="auto"/>
        <w:ind w:firstLine="480"/>
        <w:jc w:val="both"/>
        <w:rPr>
          <w:rFonts w:hint="eastAsia" w:ascii="仿宋" w:hAnsi="仿宋" w:eastAsia="仿宋" w:cs="仿宋"/>
          <w:sz w:val="24"/>
          <w:szCs w:val="24"/>
        </w:rPr>
      </w:pPr>
      <w:r>
        <w:rPr>
          <w:rFonts w:hint="eastAsia" w:ascii="仿宋" w:hAnsi="仿宋" w:eastAsia="仿宋" w:cs="仿宋"/>
          <w:sz w:val="24"/>
          <w:szCs w:val="24"/>
        </w:rPr>
        <w:t>《钢结构工程施工质量验收规范》                 GB 50205</w:t>
      </w:r>
    </w:p>
    <w:p>
      <w:pPr>
        <w:widowControl w:val="0"/>
        <w:numPr>
          <w:ilvl w:val="0"/>
          <w:numId w:val="3"/>
        </w:numPr>
        <w:wordWrap/>
        <w:spacing w:line="360" w:lineRule="auto"/>
        <w:ind w:firstLine="480"/>
        <w:jc w:val="both"/>
        <w:rPr>
          <w:rFonts w:hint="eastAsia" w:ascii="仿宋" w:hAnsi="仿宋" w:eastAsia="仿宋" w:cs="仿宋"/>
          <w:sz w:val="24"/>
          <w:szCs w:val="24"/>
        </w:rPr>
      </w:pPr>
      <w:r>
        <w:rPr>
          <w:rFonts w:hint="eastAsia" w:ascii="仿宋" w:hAnsi="仿宋" w:eastAsia="仿宋" w:cs="仿宋"/>
          <w:sz w:val="24"/>
          <w:szCs w:val="24"/>
        </w:rPr>
        <w:t>《机械安全：基本概念与设计通则》               GB/T15706.2</w:t>
      </w:r>
    </w:p>
    <w:p>
      <w:pPr>
        <w:widowControl w:val="0"/>
        <w:numPr>
          <w:ilvl w:val="0"/>
          <w:numId w:val="3"/>
        </w:numPr>
        <w:wordWrap/>
        <w:spacing w:line="360" w:lineRule="auto"/>
        <w:ind w:firstLine="480"/>
        <w:jc w:val="both"/>
        <w:rPr>
          <w:rFonts w:hint="eastAsia" w:ascii="仿宋" w:hAnsi="仿宋" w:eastAsia="仿宋" w:cs="仿宋"/>
          <w:sz w:val="24"/>
          <w:szCs w:val="24"/>
        </w:rPr>
      </w:pPr>
      <w:r>
        <w:rPr>
          <w:rFonts w:hint="eastAsia" w:ascii="仿宋" w:hAnsi="仿宋" w:eastAsia="仿宋" w:cs="仿宋"/>
          <w:sz w:val="24"/>
          <w:szCs w:val="24"/>
        </w:rPr>
        <w:t>《机械式停车场安全规范总则》                   GB5106</w:t>
      </w:r>
    </w:p>
    <w:p>
      <w:pPr>
        <w:widowControl w:val="0"/>
        <w:numPr>
          <w:ilvl w:val="0"/>
          <w:numId w:val="3"/>
        </w:numPr>
        <w:wordWrap/>
        <w:spacing w:line="360" w:lineRule="auto"/>
        <w:ind w:firstLine="480"/>
        <w:jc w:val="both"/>
        <w:rPr>
          <w:rFonts w:hint="eastAsia" w:ascii="仿宋" w:hAnsi="仿宋" w:eastAsia="仿宋" w:cs="仿宋"/>
          <w:sz w:val="24"/>
          <w:szCs w:val="24"/>
        </w:rPr>
      </w:pPr>
      <w:r>
        <w:rPr>
          <w:rFonts w:hint="eastAsia" w:ascii="仿宋" w:hAnsi="仿宋" w:eastAsia="仿宋" w:cs="仿宋"/>
          <w:sz w:val="24"/>
          <w:szCs w:val="24"/>
        </w:rPr>
        <w:t>《起重机设计规范》                             GB3811</w:t>
      </w:r>
    </w:p>
    <w:p>
      <w:pPr>
        <w:widowControl w:val="0"/>
        <w:numPr>
          <w:ilvl w:val="0"/>
          <w:numId w:val="3"/>
        </w:numPr>
        <w:wordWrap/>
        <w:spacing w:line="360" w:lineRule="auto"/>
        <w:ind w:firstLine="480"/>
        <w:jc w:val="both"/>
        <w:rPr>
          <w:rFonts w:hint="eastAsia" w:ascii="仿宋" w:hAnsi="仿宋" w:eastAsia="仿宋" w:cs="仿宋"/>
          <w:sz w:val="24"/>
          <w:szCs w:val="24"/>
        </w:rPr>
      </w:pPr>
      <w:r>
        <w:rPr>
          <w:rFonts w:hint="eastAsia" w:ascii="仿宋" w:hAnsi="仿宋" w:eastAsia="仿宋" w:cs="仿宋"/>
          <w:sz w:val="24"/>
          <w:szCs w:val="24"/>
        </w:rPr>
        <w:t>《建筑电气设计规范》                           JGJ/T16</w:t>
      </w:r>
    </w:p>
    <w:p>
      <w:pPr>
        <w:widowControl w:val="0"/>
        <w:numPr>
          <w:ilvl w:val="0"/>
          <w:numId w:val="3"/>
        </w:numPr>
        <w:wordWrap/>
        <w:spacing w:line="360" w:lineRule="auto"/>
        <w:ind w:firstLine="480"/>
        <w:jc w:val="both"/>
        <w:rPr>
          <w:rFonts w:hint="eastAsia" w:ascii="仿宋" w:hAnsi="仿宋" w:eastAsia="仿宋" w:cs="仿宋"/>
          <w:sz w:val="24"/>
          <w:szCs w:val="24"/>
        </w:rPr>
      </w:pPr>
      <w:r>
        <w:rPr>
          <w:rFonts w:hint="eastAsia" w:ascii="仿宋" w:hAnsi="仿宋" w:eastAsia="仿宋" w:cs="仿宋"/>
          <w:sz w:val="24"/>
          <w:szCs w:val="24"/>
        </w:rPr>
        <w:t>《低压成套开关设备和控制设备》                 GB7251</w:t>
      </w:r>
    </w:p>
    <w:p>
      <w:pPr>
        <w:widowControl w:val="0"/>
        <w:numPr>
          <w:ilvl w:val="0"/>
          <w:numId w:val="3"/>
        </w:numPr>
        <w:wordWrap/>
        <w:spacing w:line="360" w:lineRule="auto"/>
        <w:ind w:firstLine="480"/>
        <w:jc w:val="both"/>
        <w:rPr>
          <w:rFonts w:hint="eastAsia" w:ascii="仿宋" w:hAnsi="仿宋" w:eastAsia="仿宋" w:cs="仿宋"/>
          <w:sz w:val="24"/>
          <w:szCs w:val="24"/>
        </w:rPr>
      </w:pPr>
      <w:r>
        <w:rPr>
          <w:rFonts w:hint="eastAsia" w:ascii="仿宋" w:hAnsi="仿宋" w:eastAsia="仿宋" w:cs="仿宋"/>
          <w:sz w:val="24"/>
          <w:szCs w:val="24"/>
        </w:rPr>
        <w:t>《低压系统内设备的绝缘配置》                   GB16935.1</w:t>
      </w:r>
    </w:p>
    <w:p>
      <w:pPr>
        <w:widowControl w:val="0"/>
        <w:numPr>
          <w:ilvl w:val="0"/>
          <w:numId w:val="3"/>
        </w:numPr>
        <w:wordWrap/>
        <w:spacing w:line="360" w:lineRule="auto"/>
        <w:ind w:firstLine="480"/>
        <w:jc w:val="both"/>
        <w:rPr>
          <w:rFonts w:hint="eastAsia" w:ascii="仿宋" w:hAnsi="仿宋" w:eastAsia="仿宋" w:cs="仿宋"/>
          <w:sz w:val="24"/>
          <w:szCs w:val="24"/>
        </w:rPr>
      </w:pPr>
      <w:r>
        <w:rPr>
          <w:rFonts w:hint="eastAsia" w:ascii="仿宋" w:hAnsi="仿宋" w:eastAsia="仿宋" w:cs="仿宋"/>
          <w:sz w:val="24"/>
          <w:szCs w:val="24"/>
        </w:rPr>
        <w:t>《电气设备安全设计导则》                       GB 4046</w:t>
      </w:r>
    </w:p>
    <w:p>
      <w:pPr>
        <w:widowControl w:val="0"/>
        <w:numPr>
          <w:ilvl w:val="0"/>
          <w:numId w:val="3"/>
        </w:numPr>
        <w:wordWrap/>
        <w:spacing w:line="360" w:lineRule="auto"/>
        <w:ind w:firstLine="480"/>
        <w:jc w:val="both"/>
        <w:rPr>
          <w:rFonts w:hint="eastAsia" w:ascii="仿宋" w:hAnsi="仿宋" w:eastAsia="仿宋" w:cs="仿宋"/>
          <w:sz w:val="24"/>
          <w:szCs w:val="24"/>
        </w:rPr>
      </w:pPr>
      <w:r>
        <w:rPr>
          <w:rFonts w:hint="eastAsia" w:ascii="仿宋" w:hAnsi="仿宋" w:eastAsia="仿宋" w:cs="仿宋"/>
          <w:sz w:val="24"/>
          <w:szCs w:val="24"/>
        </w:rPr>
        <w:t>《电气装置安装工程—接地装置施工及验收规范》   GB 50169</w:t>
      </w:r>
    </w:p>
    <w:p>
      <w:pPr>
        <w:widowControl w:val="0"/>
        <w:numPr>
          <w:ilvl w:val="0"/>
          <w:numId w:val="3"/>
        </w:numPr>
        <w:wordWrap/>
        <w:spacing w:line="360" w:lineRule="auto"/>
        <w:ind w:firstLine="480"/>
        <w:jc w:val="both"/>
        <w:rPr>
          <w:rFonts w:hint="eastAsia" w:ascii="仿宋" w:hAnsi="仿宋" w:eastAsia="仿宋" w:cs="仿宋"/>
          <w:sz w:val="24"/>
          <w:szCs w:val="24"/>
        </w:rPr>
      </w:pPr>
      <w:r>
        <w:rPr>
          <w:rFonts w:hint="eastAsia" w:ascii="仿宋" w:hAnsi="仿宋" w:eastAsia="仿宋" w:cs="仿宋"/>
          <w:sz w:val="24"/>
          <w:szCs w:val="24"/>
        </w:rPr>
        <w:t>电气装置安装工程、电梯电气装置施工及验收       GB50182</w:t>
      </w:r>
    </w:p>
    <w:p>
      <w:pPr>
        <w:widowControl w:val="0"/>
        <w:numPr>
          <w:ilvl w:val="0"/>
          <w:numId w:val="3"/>
        </w:numPr>
        <w:wordWrap/>
        <w:spacing w:line="360" w:lineRule="auto"/>
        <w:ind w:firstLine="480"/>
        <w:jc w:val="both"/>
        <w:rPr>
          <w:rFonts w:hint="eastAsia" w:ascii="仿宋" w:hAnsi="仿宋" w:eastAsia="仿宋" w:cs="仿宋"/>
          <w:sz w:val="24"/>
          <w:szCs w:val="24"/>
        </w:rPr>
      </w:pPr>
      <w:r>
        <w:rPr>
          <w:rFonts w:hint="eastAsia" w:ascii="仿宋" w:hAnsi="仿宋" w:eastAsia="仿宋" w:cs="仿宋"/>
          <w:sz w:val="24"/>
          <w:szCs w:val="24"/>
        </w:rPr>
        <w:t>起重机设计规范                                 GB3811</w:t>
      </w:r>
    </w:p>
    <w:p>
      <w:pPr>
        <w:widowControl w:val="0"/>
        <w:numPr>
          <w:ilvl w:val="0"/>
          <w:numId w:val="3"/>
        </w:numPr>
        <w:wordWrap/>
        <w:spacing w:line="360" w:lineRule="auto"/>
        <w:ind w:firstLine="480"/>
        <w:jc w:val="both"/>
        <w:rPr>
          <w:rFonts w:hint="eastAsia" w:ascii="仿宋" w:hAnsi="仿宋" w:eastAsia="仿宋" w:cs="仿宋"/>
          <w:sz w:val="24"/>
          <w:szCs w:val="24"/>
        </w:rPr>
      </w:pPr>
      <w:r>
        <w:rPr>
          <w:rFonts w:hint="eastAsia" w:ascii="仿宋" w:hAnsi="仿宋" w:eastAsia="仿宋" w:cs="仿宋"/>
          <w:sz w:val="24"/>
          <w:szCs w:val="24"/>
        </w:rPr>
        <w:t>汽车库设计防火规范                             GB50067</w:t>
      </w:r>
    </w:p>
    <w:p>
      <w:pPr>
        <w:widowControl w:val="0"/>
        <w:numPr>
          <w:ilvl w:val="0"/>
          <w:numId w:val="3"/>
        </w:numPr>
        <w:wordWrap/>
        <w:spacing w:line="360" w:lineRule="auto"/>
        <w:ind w:firstLine="480"/>
        <w:jc w:val="both"/>
        <w:rPr>
          <w:rFonts w:hint="eastAsia" w:ascii="仿宋" w:hAnsi="仿宋" w:eastAsia="仿宋" w:cs="仿宋"/>
          <w:sz w:val="24"/>
          <w:szCs w:val="24"/>
        </w:rPr>
      </w:pPr>
      <w:r>
        <w:rPr>
          <w:rFonts w:hint="eastAsia" w:ascii="仿宋" w:hAnsi="仿宋" w:eastAsia="仿宋" w:cs="仿宋"/>
          <w:sz w:val="24"/>
          <w:szCs w:val="24"/>
        </w:rPr>
        <w:t>建筑电器设计规范                               JGJ/T16</w:t>
      </w:r>
    </w:p>
    <w:p>
      <w:pPr>
        <w:widowControl w:val="0"/>
        <w:numPr>
          <w:ilvl w:val="0"/>
          <w:numId w:val="3"/>
        </w:numPr>
        <w:wordWrap/>
        <w:spacing w:line="360" w:lineRule="auto"/>
        <w:ind w:firstLine="480"/>
        <w:jc w:val="both"/>
        <w:rPr>
          <w:rFonts w:hint="eastAsia" w:ascii="仿宋" w:hAnsi="仿宋" w:eastAsia="仿宋" w:cs="仿宋"/>
          <w:sz w:val="24"/>
          <w:szCs w:val="24"/>
        </w:rPr>
      </w:pPr>
      <w:r>
        <w:rPr>
          <w:rFonts w:hint="eastAsia" w:ascii="仿宋" w:hAnsi="仿宋" w:eastAsia="仿宋" w:cs="仿宋"/>
          <w:sz w:val="24"/>
          <w:szCs w:val="24"/>
        </w:rPr>
        <w:t>低压电器外壳防护等级                           GBT4942.2</w:t>
      </w:r>
    </w:p>
    <w:p>
      <w:pPr>
        <w:widowControl w:val="0"/>
        <w:numPr>
          <w:ilvl w:val="0"/>
          <w:numId w:val="3"/>
        </w:numPr>
        <w:wordWrap/>
        <w:spacing w:line="360" w:lineRule="auto"/>
        <w:ind w:firstLine="480"/>
        <w:jc w:val="both"/>
        <w:rPr>
          <w:rFonts w:hint="eastAsia" w:ascii="仿宋" w:hAnsi="仿宋" w:eastAsia="仿宋" w:cs="仿宋"/>
          <w:sz w:val="24"/>
          <w:szCs w:val="24"/>
        </w:rPr>
      </w:pPr>
      <w:r>
        <w:rPr>
          <w:rFonts w:hint="eastAsia" w:ascii="仿宋" w:hAnsi="仿宋" w:eastAsia="仿宋" w:cs="仿宋"/>
          <w:sz w:val="24"/>
          <w:szCs w:val="24"/>
        </w:rPr>
        <w:t>国家有关特种设备质量监督与安全监察的规定</w:t>
      </w:r>
    </w:p>
    <w:p>
      <w:pPr>
        <w:widowControl w:val="0"/>
        <w:numPr>
          <w:ilvl w:val="0"/>
          <w:numId w:val="3"/>
        </w:numPr>
        <w:wordWrap/>
        <w:spacing w:line="360" w:lineRule="auto"/>
        <w:ind w:firstLine="480"/>
        <w:jc w:val="both"/>
        <w:rPr>
          <w:rFonts w:hint="eastAsia" w:ascii="仿宋" w:hAnsi="仿宋" w:eastAsia="仿宋" w:cs="仿宋"/>
          <w:sz w:val="24"/>
          <w:szCs w:val="24"/>
        </w:rPr>
      </w:pPr>
      <w:r>
        <w:rPr>
          <w:rFonts w:hint="eastAsia" w:ascii="仿宋" w:hAnsi="仿宋" w:eastAsia="仿宋" w:cs="仿宋"/>
          <w:sz w:val="24"/>
          <w:szCs w:val="24"/>
          <w:lang w:eastAsia="zh-CN"/>
        </w:rPr>
        <w:t>浙江</w:t>
      </w:r>
      <w:r>
        <w:rPr>
          <w:rFonts w:hint="eastAsia" w:ascii="仿宋" w:hAnsi="仿宋" w:eastAsia="仿宋" w:cs="仿宋"/>
          <w:sz w:val="24"/>
          <w:szCs w:val="24"/>
        </w:rPr>
        <w:t>省消防部门的条例及相关的中国国家防火规则</w:t>
      </w:r>
    </w:p>
    <w:p>
      <w:pPr>
        <w:widowControl w:val="0"/>
        <w:numPr>
          <w:ilvl w:val="0"/>
          <w:numId w:val="3"/>
        </w:numPr>
        <w:wordWrap/>
        <w:spacing w:line="360" w:lineRule="auto"/>
        <w:ind w:firstLine="480"/>
        <w:jc w:val="both"/>
        <w:rPr>
          <w:rFonts w:hint="eastAsia" w:ascii="仿宋" w:hAnsi="仿宋" w:eastAsia="仿宋" w:cs="仿宋"/>
          <w:sz w:val="24"/>
          <w:szCs w:val="24"/>
        </w:rPr>
      </w:pPr>
      <w:r>
        <w:rPr>
          <w:rFonts w:hint="eastAsia" w:ascii="仿宋" w:hAnsi="仿宋" w:eastAsia="仿宋" w:cs="仿宋"/>
          <w:sz w:val="24"/>
          <w:szCs w:val="24"/>
        </w:rPr>
        <w:t>电力供应部门的供电规章条例</w:t>
      </w:r>
    </w:p>
    <w:p>
      <w:pPr>
        <w:widowControl w:val="0"/>
        <w:numPr>
          <w:ilvl w:val="0"/>
          <w:numId w:val="3"/>
        </w:numPr>
        <w:wordWrap/>
        <w:spacing w:line="360" w:lineRule="auto"/>
        <w:ind w:firstLine="480"/>
        <w:jc w:val="both"/>
        <w:rPr>
          <w:rFonts w:hint="eastAsia" w:ascii="仿宋" w:hAnsi="仿宋" w:eastAsia="仿宋" w:cs="仿宋"/>
          <w:sz w:val="24"/>
          <w:szCs w:val="24"/>
        </w:rPr>
      </w:pPr>
      <w:r>
        <w:rPr>
          <w:rFonts w:hint="eastAsia" w:ascii="仿宋" w:hAnsi="仿宋" w:eastAsia="仿宋" w:cs="仿宋"/>
          <w:sz w:val="24"/>
          <w:szCs w:val="24"/>
        </w:rPr>
        <w:t>其它国家、地方及行业规范标准。且各标准不一致之处以“标准从高”为原则</w:t>
      </w:r>
      <w:r>
        <w:rPr>
          <w:rFonts w:hint="eastAsia" w:ascii="仿宋" w:hAnsi="仿宋" w:eastAsia="仿宋" w:cs="仿宋"/>
          <w:sz w:val="24"/>
          <w:szCs w:val="24"/>
          <w:lang w:eastAsia="zh-CN"/>
        </w:rPr>
        <w:t>。</w:t>
      </w:r>
    </w:p>
    <w:p>
      <w:pPr>
        <w:widowControl w:val="0"/>
        <w:wordWrap/>
        <w:spacing w:line="360" w:lineRule="auto"/>
        <w:ind w:left="380" w:leftChars="181" w:firstLine="240" w:firstLineChars="100"/>
        <w:jc w:val="both"/>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w:t>
      </w:r>
      <w:r>
        <w:rPr>
          <w:rFonts w:hint="eastAsia" w:ascii="仿宋" w:hAnsi="仿宋" w:eastAsia="仿宋" w:cs="仿宋"/>
          <w:b/>
          <w:bCs/>
          <w:sz w:val="24"/>
          <w:szCs w:val="24"/>
        </w:rPr>
        <w:t>技术参数</w:t>
      </w:r>
      <w:r>
        <w:rPr>
          <w:rFonts w:hint="eastAsia" w:ascii="仿宋" w:hAnsi="仿宋" w:eastAsia="仿宋" w:cs="仿宋"/>
          <w:b/>
          <w:bCs/>
          <w:sz w:val="24"/>
          <w:szCs w:val="24"/>
          <w:lang w:val="en-US" w:eastAsia="zh-CN"/>
        </w:rPr>
        <w:t>要求</w:t>
      </w:r>
    </w:p>
    <w:p>
      <w:pPr>
        <w:widowControl w:val="0"/>
        <w:wordWrap/>
        <w:spacing w:line="360" w:lineRule="auto"/>
        <w:ind w:firstLine="720" w:firstLineChars="300"/>
        <w:rPr>
          <w:rFonts w:hint="eastAsia" w:ascii="仿宋" w:hAnsi="仿宋" w:eastAsia="仿宋" w:cs="仿宋"/>
          <w:sz w:val="24"/>
          <w:szCs w:val="24"/>
        </w:rPr>
      </w:pPr>
      <w:r>
        <w:rPr>
          <w:rFonts w:hint="eastAsia" w:ascii="仿宋" w:hAnsi="仿宋" w:eastAsia="仿宋" w:cs="仿宋"/>
          <w:b w:val="0"/>
          <w:bCs w:val="0"/>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.1 功能要求</w:t>
      </w:r>
    </w:p>
    <w:p>
      <w:pPr>
        <w:widowControl w:val="0"/>
        <w:wordWrap/>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投标人可根据各自的技术优势，在建筑空间及平面范围内</w:t>
      </w:r>
      <w:r>
        <w:rPr>
          <w:rFonts w:hint="eastAsia" w:ascii="仿宋" w:hAnsi="仿宋" w:eastAsia="仿宋" w:cs="仿宋"/>
          <w:color w:val="000000"/>
          <w:sz w:val="24"/>
          <w:szCs w:val="24"/>
          <w:lang w:val="en-US" w:eastAsia="zh-CN"/>
        </w:rPr>
        <w:t>深化</w:t>
      </w:r>
      <w:r>
        <w:rPr>
          <w:rFonts w:hint="eastAsia" w:ascii="仿宋" w:hAnsi="仿宋" w:eastAsia="仿宋" w:cs="仿宋"/>
          <w:color w:val="000000"/>
          <w:sz w:val="24"/>
          <w:szCs w:val="24"/>
        </w:rPr>
        <w:t>设计</w:t>
      </w:r>
      <w:r>
        <w:rPr>
          <w:rFonts w:hint="eastAsia" w:ascii="仿宋" w:hAnsi="仿宋" w:eastAsia="仿宋" w:cs="仿宋"/>
          <w:color w:val="000000"/>
          <w:sz w:val="24"/>
          <w:szCs w:val="24"/>
          <w:lang w:val="en-US" w:eastAsia="zh-CN"/>
        </w:rPr>
        <w:t>全自动智能化</w:t>
      </w:r>
      <w:r>
        <w:rPr>
          <w:rFonts w:hint="eastAsia" w:ascii="仿宋" w:hAnsi="仿宋" w:eastAsia="仿宋" w:cs="仿宋"/>
          <w:color w:val="000000"/>
          <w:sz w:val="24"/>
          <w:szCs w:val="24"/>
        </w:rPr>
        <w:t>平面移动类</w:t>
      </w:r>
      <w:r>
        <w:rPr>
          <w:rFonts w:hint="eastAsia" w:ascii="仿宋" w:hAnsi="仿宋" w:eastAsia="仿宋" w:cs="仿宋"/>
          <w:color w:val="000000"/>
          <w:sz w:val="24"/>
          <w:szCs w:val="24"/>
          <w:lang w:val="en-US" w:eastAsia="zh-CN"/>
        </w:rPr>
        <w:t>立体</w:t>
      </w:r>
      <w:r>
        <w:rPr>
          <w:rFonts w:hint="eastAsia" w:ascii="仿宋" w:hAnsi="仿宋" w:eastAsia="仿宋" w:cs="仿宋"/>
          <w:color w:val="000000"/>
          <w:sz w:val="24"/>
          <w:szCs w:val="24"/>
        </w:rPr>
        <w:t>停车系统。</w:t>
      </w:r>
    </w:p>
    <w:p>
      <w:pPr>
        <w:spacing w:line="360" w:lineRule="auto"/>
        <w:ind w:firstLine="480" w:firstLineChars="200"/>
        <w:rPr>
          <w:rFonts w:ascii="仿宋" w:hAnsi="仿宋" w:eastAsia="仿宋" w:cs="仿宋"/>
          <w:sz w:val="24"/>
        </w:rPr>
      </w:pPr>
      <w:r>
        <w:rPr>
          <w:rFonts w:hint="eastAsia" w:ascii="仿宋" w:hAnsi="仿宋" w:eastAsia="仿宋" w:cs="仿宋"/>
          <w:color w:val="000000"/>
          <w:sz w:val="24"/>
        </w:rPr>
        <w:t>总体要求采用4个贯通式出入口</w:t>
      </w:r>
      <w:r>
        <w:rPr>
          <w:rFonts w:hint="eastAsia" w:ascii="仿宋" w:hAnsi="仿宋" w:eastAsia="仿宋" w:cs="仿宋"/>
          <w:sz w:val="24"/>
        </w:rPr>
        <w:t>、</w:t>
      </w:r>
      <w:r>
        <w:rPr>
          <w:rFonts w:hint="eastAsia" w:ascii="仿宋" w:hAnsi="仿宋" w:eastAsia="仿宋" w:cs="仿宋"/>
          <w:color w:val="000000"/>
          <w:sz w:val="24"/>
        </w:rPr>
        <w:t>4个升降机、9个搬运台车（含机械手），</w:t>
      </w:r>
      <w:r>
        <w:rPr>
          <w:rFonts w:hint="eastAsia" w:ascii="仿宋" w:hAnsi="仿宋" w:eastAsia="仿宋" w:cs="仿宋"/>
          <w:sz w:val="24"/>
          <w:highlight w:val="none"/>
        </w:rPr>
        <w:t>机械手夹臂抱轮式</w:t>
      </w:r>
      <w:r>
        <w:rPr>
          <w:rFonts w:hint="eastAsia" w:ascii="仿宋" w:hAnsi="仿宋" w:eastAsia="仿宋" w:cs="仿宋"/>
          <w:sz w:val="24"/>
        </w:rPr>
        <w:t>搬运动作是</w:t>
      </w:r>
      <w:r>
        <w:rPr>
          <w:rFonts w:hint="eastAsia" w:ascii="仿宋" w:hAnsi="仿宋" w:eastAsia="仿宋" w:cs="仿宋"/>
          <w:sz w:val="24"/>
          <w:lang w:val="en-US" w:eastAsia="zh-CN"/>
        </w:rPr>
        <w:t>指：通过托辊整体侧向滚动提举车辆，机械臂夹紧汽车轮时，辊子把车轮抬起至脱离地面且带轴承的摆臂进行凌空夹取，确保车辆任何角度都能顺利存取。</w:t>
      </w:r>
      <w:r>
        <w:rPr>
          <w:rFonts w:hint="eastAsia" w:ascii="仿宋" w:hAnsi="仿宋" w:eastAsia="仿宋" w:cs="仿宋"/>
          <w:sz w:val="24"/>
          <w:highlight w:val="none"/>
          <w:lang w:val="en-US" w:eastAsia="zh-CN"/>
        </w:rPr>
        <w:t>包含：设备钢结构系统、</w:t>
      </w:r>
      <w:r>
        <w:rPr>
          <w:rFonts w:hint="eastAsia" w:ascii="仿宋" w:hAnsi="仿宋" w:eastAsia="仿宋" w:cs="仿宋"/>
          <w:sz w:val="24"/>
          <w:highlight w:val="none"/>
        </w:rPr>
        <w:t>控制系统、</w:t>
      </w:r>
      <w:r>
        <w:rPr>
          <w:rFonts w:hint="eastAsia" w:ascii="仿宋" w:hAnsi="仿宋" w:eastAsia="仿宋" w:cs="仿宋"/>
          <w:sz w:val="24"/>
          <w:highlight w:val="none"/>
          <w:lang w:val="en-US" w:eastAsia="zh-CN"/>
        </w:rPr>
        <w:t>提升系统、搬运系统、安全保护系统、收费管理系统、视频监控系统、派库诱导系统</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标识标牌、自助存取车系统、顶棚及外立面装饰、</w:t>
      </w:r>
      <w:r>
        <w:rPr>
          <w:rFonts w:hint="eastAsia" w:ascii="仿宋" w:hAnsi="仿宋" w:eastAsia="仿宋" w:cs="仿宋"/>
          <w:color w:val="auto"/>
          <w:sz w:val="24"/>
          <w:szCs w:val="24"/>
          <w:highlight w:val="none"/>
        </w:rPr>
        <w:t>机械车库的外立面灯光亮化及弱电智能化</w:t>
      </w:r>
      <w:r>
        <w:rPr>
          <w:rFonts w:hint="eastAsia" w:ascii="仿宋" w:hAnsi="仿宋" w:eastAsia="仿宋" w:cs="仿宋"/>
          <w:sz w:val="24"/>
          <w:highlight w:val="none"/>
          <w:lang w:val="en-US" w:eastAsia="zh-CN"/>
        </w:rPr>
        <w:t>。</w:t>
      </w:r>
      <w:r>
        <w:rPr>
          <w:rFonts w:hint="eastAsia" w:ascii="仿宋" w:hAnsi="仿宋" w:eastAsia="仿宋" w:cs="仿宋"/>
          <w:sz w:val="24"/>
        </w:rPr>
        <w:t>整个车库设备必须通过当地技术监督局的检测验收，确保车库安全合法营运。</w:t>
      </w:r>
    </w:p>
    <w:p>
      <w:pPr>
        <w:widowControl w:val="0"/>
        <w:wordWrap/>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sz w:val="24"/>
          <w:szCs w:val="24"/>
        </w:rPr>
        <w:t>系统控制室放置于车库出入口</w:t>
      </w:r>
      <w:r>
        <w:rPr>
          <w:rFonts w:hint="eastAsia" w:ascii="仿宋" w:hAnsi="仿宋" w:eastAsia="仿宋" w:cs="仿宋"/>
          <w:sz w:val="24"/>
          <w:szCs w:val="24"/>
          <w:lang w:val="en-US" w:eastAsia="zh-CN"/>
        </w:rPr>
        <w:t>中间位置</w:t>
      </w:r>
      <w:r>
        <w:rPr>
          <w:rFonts w:hint="eastAsia" w:ascii="仿宋" w:hAnsi="仿宋" w:eastAsia="仿宋" w:cs="仿宋"/>
          <w:sz w:val="24"/>
          <w:szCs w:val="24"/>
        </w:rPr>
        <w:t>。</w:t>
      </w:r>
    </w:p>
    <w:p>
      <w:pPr>
        <w:widowControl w:val="0"/>
        <w:wordWrap/>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.1.1车库设</w:t>
      </w:r>
      <w:r>
        <w:rPr>
          <w:rFonts w:hint="eastAsia" w:ascii="仿宋" w:hAnsi="仿宋" w:eastAsia="仿宋" w:cs="仿宋"/>
          <w:sz w:val="24"/>
          <w:szCs w:val="24"/>
          <w:lang w:val="en-US" w:eastAsia="zh-CN"/>
        </w:rPr>
        <w:t>4</w:t>
      </w:r>
      <w:r>
        <w:rPr>
          <w:rFonts w:hint="eastAsia" w:ascii="仿宋" w:hAnsi="仿宋" w:eastAsia="仿宋" w:cs="仿宋"/>
          <w:sz w:val="24"/>
          <w:szCs w:val="24"/>
        </w:rPr>
        <w:t>个</w:t>
      </w:r>
      <w:r>
        <w:rPr>
          <w:rFonts w:hint="eastAsia" w:ascii="仿宋" w:hAnsi="仿宋" w:eastAsia="仿宋" w:cs="仿宋"/>
          <w:sz w:val="24"/>
          <w:szCs w:val="24"/>
          <w:lang w:val="en-US" w:eastAsia="zh-CN"/>
        </w:rPr>
        <w:t>贯通式</w:t>
      </w:r>
      <w:r>
        <w:rPr>
          <w:rFonts w:hint="eastAsia" w:ascii="仿宋" w:hAnsi="仿宋" w:eastAsia="仿宋" w:cs="仿宋"/>
          <w:sz w:val="24"/>
          <w:szCs w:val="24"/>
        </w:rPr>
        <w:t>出入口进行存取车，实现车辆正进正出，要求采用前进入库前进出库方式，出入口自动门必须选用自动横移对开门，自动门应有防夹功能，防止车辆、人员出入时将车或人夹伤；</w:t>
      </w:r>
    </w:p>
    <w:p>
      <w:pPr>
        <w:widowControl w:val="0"/>
        <w:wordWrap/>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.1.2出入口、升降机内及车库内均应设有监控系统</w:t>
      </w:r>
      <w:r>
        <w:rPr>
          <w:rFonts w:hint="eastAsia" w:ascii="仿宋" w:hAnsi="仿宋" w:eastAsia="仿宋" w:cs="仿宋"/>
          <w:sz w:val="24"/>
          <w:szCs w:val="24"/>
          <w:lang w:eastAsia="zh-CN"/>
        </w:rPr>
        <w:t>，</w:t>
      </w:r>
      <w:r>
        <w:rPr>
          <w:rFonts w:hint="eastAsia" w:ascii="仿宋" w:hAnsi="仿宋" w:eastAsia="仿宋" w:cs="仿宋"/>
          <w:sz w:val="24"/>
          <w:szCs w:val="24"/>
          <w:highlight w:val="none"/>
          <w:lang w:eastAsia="zh-CN"/>
        </w:rPr>
        <w:t>监控范围应包含整个车库</w:t>
      </w:r>
      <w:r>
        <w:rPr>
          <w:rFonts w:hint="eastAsia" w:ascii="仿宋" w:hAnsi="仿宋" w:eastAsia="仿宋" w:cs="仿宋"/>
          <w:sz w:val="24"/>
          <w:szCs w:val="24"/>
          <w:highlight w:val="none"/>
        </w:rPr>
        <w:t>，</w:t>
      </w:r>
      <w:r>
        <w:rPr>
          <w:rFonts w:hint="eastAsia" w:ascii="仿宋" w:hAnsi="仿宋" w:eastAsia="仿宋" w:cs="仿宋"/>
          <w:sz w:val="24"/>
          <w:szCs w:val="24"/>
        </w:rPr>
        <w:t>在中央控制室可以通过监视器查看到每辆汽车入库、出库、升降机内及库内的运行及停车状况；</w:t>
      </w:r>
    </w:p>
    <w:p>
      <w:pPr>
        <w:widowControl w:val="0"/>
        <w:wordWrap/>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.1.3车库内在正常运行时不得有人员入内；</w:t>
      </w:r>
    </w:p>
    <w:p>
      <w:pPr>
        <w:widowControl w:val="0"/>
        <w:wordWrap/>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.1.4当自动控制系统发生故障时应具备人工操作取车控制系统功能；</w:t>
      </w:r>
    </w:p>
    <w:p>
      <w:pPr>
        <w:widowControl w:val="0"/>
        <w:wordWrap/>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.1.5入口处应设置车辆长宽高检测装置，当有超规格车辆进入时，应发出报警信号，并且系统不应进行存车操作；</w:t>
      </w:r>
    </w:p>
    <w:p>
      <w:pPr>
        <w:widowControl w:val="0"/>
        <w:wordWrap/>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.1.6当停车设备在运行中出现故障时，相应设备应能立即停止运行，并发出报警信号；</w:t>
      </w:r>
    </w:p>
    <w:p>
      <w:pPr>
        <w:widowControl w:val="0"/>
        <w:wordWrap/>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.1.7停车设备的升降机机构应配置防坠装置、制动装置及缓冲器；</w:t>
      </w:r>
    </w:p>
    <w:p>
      <w:pPr>
        <w:widowControl w:val="0"/>
        <w:wordWrap/>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.1.8车库的操作盘应设紧急停机按钮，当出现紧急情况时按下紧急停机按钮，全部设备应立即停止运行；</w:t>
      </w:r>
    </w:p>
    <w:p>
      <w:pPr>
        <w:widowControl w:val="0"/>
        <w:wordWrap/>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.1.9 车库的控制系统操作界面应为全中文操作界面，通俗易懂；</w:t>
      </w:r>
    </w:p>
    <w:p>
      <w:pPr>
        <w:widowControl w:val="0"/>
        <w:wordWrap/>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.1.10系统设计使用寿命不短于30年（有关法律法规要求强制更换的部分除外）；</w:t>
      </w:r>
    </w:p>
    <w:p>
      <w:pPr>
        <w:widowControl w:val="0"/>
        <w:wordWrap/>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.1.11所有外露钢材的非摩擦表面均应作良好的防锈处理；</w:t>
      </w:r>
    </w:p>
    <w:p>
      <w:pPr>
        <w:widowControl w:val="0"/>
        <w:wordWrap/>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.1.12光电检测功能必须保证车辆存放位置的准确；</w:t>
      </w:r>
    </w:p>
    <w:p>
      <w:pPr>
        <w:widowControl w:val="0"/>
        <w:wordWrap/>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.1.13在适当的位置设置存取车指示牌、操作说明牌、注意事项告示牌、最大容车尺寸告示牌、公司电话和24小时服务电话；</w:t>
      </w:r>
    </w:p>
    <w:p>
      <w:pPr>
        <w:widowControl w:val="0"/>
        <w:wordWrap/>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.1.14停车操作系统力求简便，并有故障自诊断系统，显示故障码，以利维修；</w:t>
      </w:r>
    </w:p>
    <w:p>
      <w:pPr>
        <w:widowControl w:val="0"/>
        <w:wordWrap/>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.1.15停车系统应有防重叠存车的自动检测装置；</w:t>
      </w:r>
    </w:p>
    <w:p>
      <w:pPr>
        <w:widowControl w:val="0"/>
        <w:wordWrap/>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3.1.16 停车系统应有派库诱导系统，在车辆行驶至车场闸机位置时应对车辆的外形高度及重量进行检测并及时指派车辆停放到相应为位置，在车辆行驶沿途应设置醒目的引导装置，便于驾驶员将车辆停放到制定位置。若驾驶员未按照派库系统要求停放到指定位置，只要符合设备停放要求，派库诱导系统应有自动调节功能，让车辆快速实现存取。</w:t>
      </w:r>
    </w:p>
    <w:tbl>
      <w:tblPr>
        <w:tblStyle w:val="63"/>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744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472" w:type="dxa"/>
            <w:gridSpan w:val="2"/>
            <w:vAlign w:val="center"/>
          </w:tcPr>
          <w:p>
            <w:pPr>
              <w:widowControl w:val="0"/>
              <w:wordWrap/>
              <w:spacing w:before="0" w:beforeAutospacing="0" w:after="0" w:afterAutospacing="0" w:line="360" w:lineRule="auto"/>
              <w:ind w:left="0" w:right="0"/>
              <w:rPr>
                <w:rFonts w:hint="eastAsia"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.2  平面移动基本技术指标：</w:t>
            </w:r>
          </w:p>
        </w:tc>
        <w:tc>
          <w:tcPr>
            <w:tcW w:w="1185" w:type="dxa"/>
            <w:vAlign w:val="center"/>
          </w:tcPr>
          <w:p>
            <w:pPr>
              <w:widowControl w:val="0"/>
              <w:wordWrap/>
              <w:spacing w:before="0" w:beforeAutospacing="0" w:after="0" w:afterAutospacing="0" w:line="360" w:lineRule="auto"/>
              <w:ind w:left="0" w:right="0"/>
              <w:rPr>
                <w:rFonts w:hint="eastAsia" w:ascii="仿宋" w:hAnsi="仿宋" w:eastAsia="仿宋" w:cs="仿宋"/>
                <w:b/>
                <w:bCs/>
                <w:sz w:val="24"/>
                <w:szCs w:val="24"/>
              </w:rPr>
            </w:pPr>
            <w:r>
              <w:rPr>
                <w:rFonts w:hint="eastAsia" w:ascii="仿宋" w:hAnsi="仿宋" w:eastAsia="仿宋" w:cs="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27" w:type="dxa"/>
            <w:tcBorders>
              <w:top w:val="nil"/>
            </w:tcBorders>
            <w:vAlign w:val="center"/>
          </w:tcPr>
          <w:p>
            <w:pPr>
              <w:widowControl w:val="0"/>
              <w:wordWrap/>
              <w:spacing w:before="0" w:beforeAutospacing="0" w:after="0" w:afterAutospacing="0" w:line="360" w:lineRule="auto"/>
              <w:ind w:left="212" w:right="0" w:hanging="254" w:hangingChars="106"/>
              <w:jc w:val="center"/>
              <w:rPr>
                <w:rFonts w:hint="eastAsia" w:ascii="仿宋" w:hAnsi="仿宋" w:eastAsia="仿宋" w:cs="仿宋"/>
                <w:sz w:val="24"/>
                <w:szCs w:val="24"/>
              </w:rPr>
            </w:pPr>
            <w:r>
              <w:rPr>
                <w:rFonts w:hint="eastAsia" w:ascii="仿宋" w:hAnsi="仿宋" w:eastAsia="仿宋" w:cs="仿宋"/>
                <w:sz w:val="24"/>
                <w:szCs w:val="24"/>
                <w:lang w:eastAsia="zh-CN"/>
              </w:rPr>
              <w:t>3</w:t>
            </w:r>
            <w:r>
              <w:rPr>
                <w:rFonts w:hint="eastAsia" w:ascii="仿宋" w:hAnsi="仿宋" w:eastAsia="仿宋" w:cs="仿宋"/>
                <w:sz w:val="24"/>
                <w:szCs w:val="24"/>
              </w:rPr>
              <w:t>.2.1</w:t>
            </w:r>
          </w:p>
        </w:tc>
        <w:tc>
          <w:tcPr>
            <w:tcW w:w="7445" w:type="dxa"/>
            <w:tcBorders>
              <w:top w:val="nil"/>
            </w:tcBorders>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停车库类型：全自动</w:t>
            </w:r>
            <w:r>
              <w:rPr>
                <w:rFonts w:hint="eastAsia" w:ascii="仿宋" w:hAnsi="仿宋" w:eastAsia="仿宋" w:cs="仿宋"/>
                <w:sz w:val="24"/>
                <w:szCs w:val="24"/>
                <w:lang w:val="en-US" w:eastAsia="zh-CN"/>
              </w:rPr>
              <w:t>智能化</w:t>
            </w:r>
            <w:r>
              <w:rPr>
                <w:rFonts w:hint="eastAsia" w:ascii="仿宋" w:hAnsi="仿宋" w:eastAsia="仿宋" w:cs="仿宋"/>
                <w:sz w:val="24"/>
                <w:szCs w:val="24"/>
              </w:rPr>
              <w:t>平面移动类机械车库</w:t>
            </w:r>
          </w:p>
        </w:tc>
        <w:tc>
          <w:tcPr>
            <w:tcW w:w="1185" w:type="dxa"/>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pPr>
              <w:widowControl w:val="0"/>
              <w:wordWrap/>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lang w:eastAsia="zh-CN"/>
              </w:rPr>
              <w:t>3</w:t>
            </w:r>
            <w:r>
              <w:rPr>
                <w:rFonts w:hint="eastAsia" w:ascii="仿宋" w:hAnsi="仿宋" w:eastAsia="仿宋" w:cs="仿宋"/>
                <w:sz w:val="24"/>
                <w:szCs w:val="24"/>
              </w:rPr>
              <w:t>.2.2</w:t>
            </w:r>
          </w:p>
        </w:tc>
        <w:tc>
          <w:tcPr>
            <w:tcW w:w="7445" w:type="dxa"/>
            <w:vAlign w:val="top"/>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 xml:space="preserve">停车数量： </w:t>
            </w:r>
            <w:r>
              <w:rPr>
                <w:rFonts w:hint="eastAsia" w:ascii="仿宋" w:hAnsi="仿宋" w:eastAsia="仿宋" w:cs="仿宋"/>
                <w:sz w:val="24"/>
                <w:szCs w:val="24"/>
                <w:highlight w:val="none"/>
              </w:rPr>
              <w:t>机械车位</w:t>
            </w:r>
            <w:r>
              <w:rPr>
                <w:rFonts w:hint="eastAsia" w:ascii="仿宋" w:hAnsi="仿宋" w:eastAsia="仿宋" w:cs="仿宋"/>
                <w:sz w:val="24"/>
                <w:szCs w:val="24"/>
                <w:highlight w:val="none"/>
                <w:lang w:eastAsia="zh-CN"/>
              </w:rPr>
              <w:t>不少于</w:t>
            </w:r>
            <w:r>
              <w:rPr>
                <w:rFonts w:hint="eastAsia" w:ascii="仿宋" w:hAnsi="仿宋" w:eastAsia="仿宋" w:cs="仿宋"/>
                <w:sz w:val="24"/>
                <w:szCs w:val="24"/>
                <w:highlight w:val="none"/>
                <w:lang w:val="en-US" w:eastAsia="zh-CN"/>
              </w:rPr>
              <w:t>285</w:t>
            </w:r>
            <w:r>
              <w:rPr>
                <w:rFonts w:hint="eastAsia" w:ascii="仿宋" w:hAnsi="仿宋" w:eastAsia="仿宋" w:cs="仿宋"/>
                <w:sz w:val="24"/>
                <w:szCs w:val="24"/>
                <w:highlight w:val="none"/>
              </w:rPr>
              <w:t>车位；</w:t>
            </w:r>
          </w:p>
        </w:tc>
        <w:tc>
          <w:tcPr>
            <w:tcW w:w="1185" w:type="dxa"/>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027" w:type="dxa"/>
            <w:vAlign w:val="center"/>
          </w:tcPr>
          <w:p>
            <w:pPr>
              <w:widowControl w:val="0"/>
              <w:wordWrap/>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lang w:eastAsia="zh-CN"/>
              </w:rPr>
              <w:t>3</w:t>
            </w:r>
            <w:r>
              <w:rPr>
                <w:rFonts w:hint="eastAsia" w:ascii="仿宋" w:hAnsi="仿宋" w:eastAsia="仿宋" w:cs="仿宋"/>
                <w:sz w:val="24"/>
                <w:szCs w:val="24"/>
              </w:rPr>
              <w:t>.2.3</w:t>
            </w:r>
          </w:p>
        </w:tc>
        <w:tc>
          <w:tcPr>
            <w:tcW w:w="7445" w:type="dxa"/>
            <w:vAlign w:val="top"/>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适宜停放车辆尺寸及数量：</w:t>
            </w:r>
          </w:p>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容车尺寸</w:t>
            </w:r>
            <w:r>
              <w:rPr>
                <w:rFonts w:hint="eastAsia" w:ascii="仿宋" w:hAnsi="仿宋" w:eastAsia="仿宋" w:cs="仿宋"/>
                <w:sz w:val="24"/>
                <w:szCs w:val="24"/>
                <w:lang w:eastAsia="zh-CN"/>
              </w:rPr>
              <w:t>（不小于）</w:t>
            </w:r>
            <w:r>
              <w:rPr>
                <w:rFonts w:hint="eastAsia" w:ascii="仿宋" w:hAnsi="仿宋" w:eastAsia="仿宋" w:cs="仿宋"/>
                <w:sz w:val="24"/>
                <w:szCs w:val="24"/>
              </w:rPr>
              <w:t>:车长5300mm*车宽1950mm*车高1550mm/1</w:t>
            </w:r>
            <w:r>
              <w:rPr>
                <w:rFonts w:hint="eastAsia" w:ascii="仿宋" w:hAnsi="仿宋" w:eastAsia="仿宋" w:cs="仿宋"/>
                <w:sz w:val="24"/>
                <w:szCs w:val="24"/>
                <w:lang w:val="en-US" w:eastAsia="zh-CN"/>
              </w:rPr>
              <w:t>95</w:t>
            </w:r>
            <w:r>
              <w:rPr>
                <w:rFonts w:hint="eastAsia" w:ascii="仿宋" w:hAnsi="仿宋" w:eastAsia="仿宋" w:cs="仿宋"/>
                <w:sz w:val="24"/>
                <w:szCs w:val="24"/>
              </w:rPr>
              <w:t>0mm，</w:t>
            </w:r>
          </w:p>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车重2</w:t>
            </w:r>
            <w:r>
              <w:rPr>
                <w:rFonts w:hint="eastAsia" w:ascii="仿宋" w:hAnsi="仿宋" w:eastAsia="仿宋" w:cs="仿宋"/>
                <w:sz w:val="24"/>
                <w:szCs w:val="24"/>
                <w:lang w:val="en-US" w:eastAsia="zh-CN"/>
              </w:rPr>
              <w:t>35</w:t>
            </w:r>
            <w:r>
              <w:rPr>
                <w:rFonts w:hint="eastAsia" w:ascii="仿宋" w:hAnsi="仿宋" w:eastAsia="仿宋" w:cs="仿宋"/>
                <w:sz w:val="24"/>
                <w:szCs w:val="24"/>
              </w:rPr>
              <w:t>0 kg</w:t>
            </w:r>
          </w:p>
        </w:tc>
        <w:tc>
          <w:tcPr>
            <w:tcW w:w="1185" w:type="dxa"/>
            <w:vAlign w:val="center"/>
          </w:tcPr>
          <w:p>
            <w:pPr>
              <w:widowControl w:val="0"/>
              <w:wordWrap/>
              <w:spacing w:before="0" w:beforeAutospacing="0" w:after="0" w:afterAutospacing="0" w:line="360" w:lineRule="auto"/>
              <w:ind w:left="0" w:right="-53" w:rightChars="-25"/>
              <w:rPr>
                <w:rFonts w:hint="eastAsia"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027" w:type="dxa"/>
            <w:vAlign w:val="center"/>
          </w:tcPr>
          <w:p>
            <w:pPr>
              <w:widowControl w:val="0"/>
              <w:wordWrap/>
              <w:spacing w:before="0" w:beforeAutospacing="0" w:after="0" w:afterAutospacing="0" w:line="360" w:lineRule="auto"/>
              <w:ind w:left="0" w:right="0"/>
              <w:jc w:val="center"/>
              <w:rPr>
                <w:rFonts w:hint="eastAsia" w:ascii="仿宋" w:hAnsi="仿宋" w:eastAsia="仿宋" w:cs="仿宋"/>
                <w:sz w:val="24"/>
                <w:szCs w:val="24"/>
                <w:lang w:eastAsia="zh-CN"/>
              </w:rPr>
            </w:pPr>
            <w:r>
              <w:rPr>
                <w:rFonts w:hint="eastAsia" w:ascii="仿宋" w:hAnsi="仿宋" w:eastAsia="仿宋" w:cs="仿宋"/>
                <w:b w:val="0"/>
                <w:bCs w:val="0"/>
                <w:sz w:val="24"/>
                <w:szCs w:val="24"/>
              </w:rPr>
              <w:t>★</w:t>
            </w:r>
            <w:r>
              <w:rPr>
                <w:rFonts w:hint="eastAsia" w:ascii="仿宋" w:hAnsi="仿宋" w:eastAsia="仿宋" w:cs="仿宋"/>
                <w:sz w:val="24"/>
                <w:szCs w:val="24"/>
                <w:lang w:eastAsia="zh-CN"/>
              </w:rPr>
              <w:t>3</w:t>
            </w:r>
            <w:r>
              <w:rPr>
                <w:rFonts w:hint="eastAsia" w:ascii="仿宋" w:hAnsi="仿宋" w:eastAsia="仿宋" w:cs="仿宋"/>
                <w:sz w:val="24"/>
                <w:szCs w:val="24"/>
              </w:rPr>
              <w:t>.2.4</w:t>
            </w:r>
          </w:p>
        </w:tc>
        <w:tc>
          <w:tcPr>
            <w:tcW w:w="7445" w:type="dxa"/>
            <w:vAlign w:val="top"/>
          </w:tcPr>
          <w:p>
            <w:pPr>
              <w:widowControl w:val="0"/>
              <w:wordWrap/>
              <w:spacing w:before="0" w:beforeAutospacing="0" w:after="0" w:afterAutospacing="0" w:line="360" w:lineRule="auto"/>
              <w:ind w:left="0" w:right="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机械手搬运机构：</w:t>
            </w:r>
          </w:p>
          <w:p>
            <w:pPr>
              <w:pStyle w:val="34"/>
              <w:spacing w:before="0" w:beforeAutospacing="0" w:after="0" w:afterAutospacing="0" w:line="360" w:lineRule="auto"/>
              <w:ind w:left="0" w:right="0"/>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采用夹臂抱轮式，对车辆底盘高度要求</w:t>
            </w:r>
            <w:r>
              <w:rPr>
                <w:rFonts w:hint="eastAsia" w:ascii="仿宋" w:hAnsi="仿宋" w:eastAsia="仿宋" w:cs="仿宋"/>
                <w:sz w:val="24"/>
                <w:szCs w:val="24"/>
              </w:rPr>
              <w:t>≤</w:t>
            </w:r>
            <w:r>
              <w:rPr>
                <w:rFonts w:hint="eastAsia" w:ascii="仿宋" w:hAnsi="仿宋" w:eastAsia="仿宋" w:cs="仿宋"/>
                <w:kern w:val="2"/>
                <w:sz w:val="24"/>
                <w:szCs w:val="24"/>
                <w:lang w:val="en-US" w:eastAsia="zh-CN" w:bidi="ar-SA"/>
              </w:rPr>
              <w:t>95mm</w:t>
            </w:r>
          </w:p>
        </w:tc>
        <w:tc>
          <w:tcPr>
            <w:tcW w:w="1185" w:type="dxa"/>
            <w:vAlign w:val="center"/>
          </w:tcPr>
          <w:p>
            <w:pPr>
              <w:widowControl w:val="0"/>
              <w:wordWrap/>
              <w:spacing w:before="0" w:beforeAutospacing="0" w:after="0" w:afterAutospacing="0" w:line="360" w:lineRule="auto"/>
              <w:ind w:left="0" w:right="-53" w:rightChars="-25"/>
              <w:rPr>
                <w:rFonts w:hint="eastAsia"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27" w:type="dxa"/>
            <w:vAlign w:val="center"/>
          </w:tcPr>
          <w:p>
            <w:pPr>
              <w:widowControl w:val="0"/>
              <w:wordWrap/>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lang w:eastAsia="zh-CN"/>
              </w:rPr>
              <w:t>3</w:t>
            </w:r>
            <w:r>
              <w:rPr>
                <w:rFonts w:hint="eastAsia" w:ascii="仿宋" w:hAnsi="仿宋" w:eastAsia="仿宋" w:cs="仿宋"/>
                <w:sz w:val="24"/>
                <w:szCs w:val="24"/>
              </w:rPr>
              <w:t>.2.4</w:t>
            </w:r>
          </w:p>
        </w:tc>
        <w:tc>
          <w:tcPr>
            <w:tcW w:w="7445" w:type="dxa"/>
            <w:vAlign w:val="top"/>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进出口：</w:t>
            </w:r>
            <w:r>
              <w:rPr>
                <w:rFonts w:hint="eastAsia" w:ascii="仿宋" w:hAnsi="仿宋" w:eastAsia="仿宋" w:cs="仿宋"/>
                <w:sz w:val="24"/>
                <w:szCs w:val="24"/>
                <w:u w:val="single"/>
                <w:lang w:val="en-US" w:eastAsia="zh-CN"/>
              </w:rPr>
              <w:t>4</w:t>
            </w:r>
            <w:r>
              <w:rPr>
                <w:rFonts w:hint="eastAsia" w:ascii="仿宋" w:hAnsi="仿宋" w:eastAsia="仿宋" w:cs="仿宋"/>
                <w:sz w:val="24"/>
                <w:szCs w:val="24"/>
              </w:rPr>
              <w:t>个</w:t>
            </w:r>
            <w:r>
              <w:rPr>
                <w:rFonts w:hint="eastAsia" w:ascii="仿宋" w:hAnsi="仿宋" w:eastAsia="仿宋" w:cs="仿宋"/>
                <w:sz w:val="24"/>
                <w:szCs w:val="24"/>
                <w:lang w:val="en-US" w:eastAsia="zh-CN"/>
              </w:rPr>
              <w:t>贯通式</w:t>
            </w:r>
            <w:r>
              <w:rPr>
                <w:rFonts w:hint="eastAsia" w:ascii="仿宋" w:hAnsi="仿宋" w:eastAsia="仿宋" w:cs="仿宋"/>
                <w:sz w:val="24"/>
                <w:szCs w:val="24"/>
              </w:rPr>
              <w:t>出入口</w:t>
            </w:r>
          </w:p>
        </w:tc>
        <w:tc>
          <w:tcPr>
            <w:tcW w:w="1185" w:type="dxa"/>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pPr>
              <w:widowControl w:val="0"/>
              <w:wordWrap/>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lang w:eastAsia="zh-CN"/>
              </w:rPr>
              <w:t>3</w:t>
            </w:r>
            <w:r>
              <w:rPr>
                <w:rFonts w:hint="eastAsia" w:ascii="仿宋" w:hAnsi="仿宋" w:eastAsia="仿宋" w:cs="仿宋"/>
                <w:sz w:val="24"/>
                <w:szCs w:val="24"/>
              </w:rPr>
              <w:t>.2.5</w:t>
            </w:r>
          </w:p>
        </w:tc>
        <w:tc>
          <w:tcPr>
            <w:tcW w:w="7445" w:type="dxa"/>
            <w:vAlign w:val="top"/>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噪音检测：≤75 分贝</w:t>
            </w:r>
          </w:p>
        </w:tc>
        <w:tc>
          <w:tcPr>
            <w:tcW w:w="1185" w:type="dxa"/>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pPr>
              <w:widowControl w:val="0"/>
              <w:wordWrap/>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b w:val="0"/>
                <w:bCs w:val="0"/>
                <w:sz w:val="24"/>
                <w:szCs w:val="24"/>
              </w:rPr>
              <w:t>★</w:t>
            </w:r>
            <w:r>
              <w:rPr>
                <w:rFonts w:hint="eastAsia" w:ascii="仿宋" w:hAnsi="仿宋" w:eastAsia="仿宋" w:cs="仿宋"/>
                <w:sz w:val="24"/>
                <w:szCs w:val="24"/>
                <w:lang w:eastAsia="zh-CN"/>
              </w:rPr>
              <w:t>3</w:t>
            </w:r>
            <w:r>
              <w:rPr>
                <w:rFonts w:hint="eastAsia" w:ascii="仿宋" w:hAnsi="仿宋" w:eastAsia="仿宋" w:cs="仿宋"/>
                <w:sz w:val="24"/>
                <w:szCs w:val="24"/>
              </w:rPr>
              <w:t>.2.6</w:t>
            </w:r>
          </w:p>
        </w:tc>
        <w:tc>
          <w:tcPr>
            <w:tcW w:w="7445" w:type="dxa"/>
            <w:vAlign w:val="top"/>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 xml:space="preserve">车库操作方式: </w:t>
            </w:r>
          </w:p>
          <w:p>
            <w:pPr>
              <w:widowControl w:val="0"/>
              <w:wordWrap/>
              <w:spacing w:before="0" w:beforeAutospacing="0" w:after="0" w:afterAutospacing="0" w:line="360" w:lineRule="auto"/>
              <w:ind w:left="0" w:right="0" w:firstLine="720" w:firstLineChars="300"/>
              <w:rPr>
                <w:rFonts w:hint="eastAsia" w:ascii="仿宋" w:hAnsi="仿宋" w:eastAsia="仿宋" w:cs="仿宋"/>
                <w:sz w:val="24"/>
                <w:szCs w:val="24"/>
              </w:rPr>
            </w:pPr>
            <w:r>
              <w:rPr>
                <w:rFonts w:hint="eastAsia" w:ascii="仿宋" w:hAnsi="仿宋" w:eastAsia="仿宋" w:cs="仿宋"/>
                <w:sz w:val="24"/>
                <w:szCs w:val="24"/>
              </w:rPr>
              <w:t>1、出入口车牌取车自动操作模式（在每个出入口处设置壁挂式液晶操作屏，实现自助存车，输入车牌取车）；</w:t>
            </w:r>
          </w:p>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 xml:space="preserve">      2、控制室触摸屏自动操作模式；</w:t>
            </w:r>
          </w:p>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 xml:space="preserve">      3、步进操作模式：仅用于调试及维修等操作情况；</w:t>
            </w:r>
          </w:p>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 xml:space="preserve">      4、手动操作模式：仅用于维修及紧急状态下操作；</w:t>
            </w:r>
          </w:p>
          <w:p>
            <w:pPr>
              <w:widowControl w:val="0"/>
              <w:wordWrap/>
              <w:spacing w:before="0" w:beforeAutospacing="0" w:after="0" w:afterAutospacing="0" w:line="360" w:lineRule="auto"/>
              <w:ind w:left="0" w:right="0" w:firstLine="705" w:firstLineChars="294"/>
              <w:rPr>
                <w:rFonts w:hint="eastAsia" w:ascii="仿宋" w:hAnsi="仿宋" w:eastAsia="仿宋" w:cs="仿宋"/>
                <w:color w:val="FF0000"/>
                <w:sz w:val="24"/>
                <w:szCs w:val="24"/>
              </w:rPr>
            </w:pPr>
            <w:r>
              <w:rPr>
                <w:rFonts w:hint="eastAsia" w:ascii="仿宋" w:hAnsi="仿宋" w:eastAsia="仿宋" w:cs="仿宋"/>
                <w:sz w:val="24"/>
                <w:szCs w:val="24"/>
              </w:rPr>
              <w:t>5、车牌识别系统、引导系统：自动引导车辆入库。</w:t>
            </w:r>
          </w:p>
        </w:tc>
        <w:tc>
          <w:tcPr>
            <w:tcW w:w="1185" w:type="dxa"/>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Borders>
              <w:bottom w:val="single" w:color="auto" w:sz="4" w:space="0"/>
            </w:tcBorders>
            <w:vAlign w:val="center"/>
          </w:tcPr>
          <w:p>
            <w:pPr>
              <w:widowControl w:val="0"/>
              <w:wordWrap/>
              <w:spacing w:before="0" w:beforeAutospacing="0" w:after="0" w:afterAutospacing="0" w:line="360" w:lineRule="auto"/>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sz w:val="24"/>
                <w:szCs w:val="24"/>
              </w:rPr>
              <w:t>.2.</w:t>
            </w:r>
            <w:r>
              <w:rPr>
                <w:rFonts w:hint="eastAsia" w:ascii="仿宋" w:hAnsi="仿宋" w:eastAsia="仿宋" w:cs="仿宋"/>
                <w:sz w:val="24"/>
                <w:szCs w:val="24"/>
                <w:lang w:val="en-US" w:eastAsia="zh-CN"/>
              </w:rPr>
              <w:t>7</w:t>
            </w:r>
          </w:p>
        </w:tc>
        <w:tc>
          <w:tcPr>
            <w:tcW w:w="7445" w:type="dxa"/>
            <w:tcBorders>
              <w:bottom w:val="single" w:color="auto" w:sz="4" w:space="0"/>
            </w:tcBorders>
            <w:vAlign w:val="top"/>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升降系统提升速度：Max.50m/min</w:t>
            </w:r>
          </w:p>
        </w:tc>
        <w:tc>
          <w:tcPr>
            <w:tcW w:w="1185" w:type="dxa"/>
            <w:tcBorders>
              <w:bottom w:val="single" w:color="auto" w:sz="4" w:space="0"/>
            </w:tcBorders>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Borders>
              <w:bottom w:val="single" w:color="auto" w:sz="4" w:space="0"/>
            </w:tcBorders>
            <w:vAlign w:val="center"/>
          </w:tcPr>
          <w:p>
            <w:pPr>
              <w:widowControl w:val="0"/>
              <w:wordWrap/>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lang w:eastAsia="zh-CN"/>
              </w:rPr>
              <w:t>3</w:t>
            </w:r>
            <w:r>
              <w:rPr>
                <w:rFonts w:hint="eastAsia" w:ascii="仿宋" w:hAnsi="仿宋" w:eastAsia="仿宋" w:cs="仿宋"/>
                <w:sz w:val="24"/>
                <w:szCs w:val="24"/>
              </w:rPr>
              <w:t>.2.8</w:t>
            </w:r>
          </w:p>
        </w:tc>
        <w:tc>
          <w:tcPr>
            <w:tcW w:w="7445" w:type="dxa"/>
            <w:tcBorders>
              <w:bottom w:val="single" w:color="auto" w:sz="4" w:space="0"/>
            </w:tcBorders>
            <w:vAlign w:val="top"/>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行走统行走速度：Max.70m/min</w:t>
            </w:r>
          </w:p>
        </w:tc>
        <w:tc>
          <w:tcPr>
            <w:tcW w:w="1185" w:type="dxa"/>
            <w:tcBorders>
              <w:bottom w:val="single" w:color="auto" w:sz="4" w:space="0"/>
            </w:tcBorders>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Borders>
              <w:bottom w:val="single" w:color="auto" w:sz="4" w:space="0"/>
            </w:tcBorders>
            <w:vAlign w:val="center"/>
          </w:tcPr>
          <w:p>
            <w:pPr>
              <w:widowControl w:val="0"/>
              <w:wordWrap/>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lang w:eastAsia="zh-CN"/>
              </w:rPr>
              <w:t>3</w:t>
            </w:r>
            <w:r>
              <w:rPr>
                <w:rFonts w:hint="eastAsia" w:ascii="仿宋" w:hAnsi="仿宋" w:eastAsia="仿宋" w:cs="仿宋"/>
                <w:sz w:val="24"/>
                <w:szCs w:val="24"/>
              </w:rPr>
              <w:t>.2.9</w:t>
            </w:r>
          </w:p>
        </w:tc>
        <w:tc>
          <w:tcPr>
            <w:tcW w:w="7445" w:type="dxa"/>
            <w:tcBorders>
              <w:bottom w:val="single" w:color="auto" w:sz="4" w:space="0"/>
            </w:tcBorders>
            <w:vAlign w:val="top"/>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平均存取车时间：≤</w:t>
            </w:r>
            <w:r>
              <w:rPr>
                <w:rFonts w:hint="eastAsia" w:ascii="仿宋" w:hAnsi="仿宋" w:eastAsia="仿宋" w:cs="仿宋"/>
                <w:sz w:val="24"/>
                <w:szCs w:val="24"/>
                <w:lang w:val="en-US" w:eastAsia="zh-CN"/>
              </w:rPr>
              <w:t>120</w:t>
            </w:r>
            <w:r>
              <w:rPr>
                <w:rFonts w:hint="eastAsia" w:ascii="仿宋" w:hAnsi="仿宋" w:eastAsia="仿宋" w:cs="仿宋"/>
                <w:sz w:val="24"/>
                <w:szCs w:val="24"/>
              </w:rPr>
              <w:t>s</w:t>
            </w:r>
          </w:p>
        </w:tc>
        <w:tc>
          <w:tcPr>
            <w:tcW w:w="1185" w:type="dxa"/>
            <w:tcBorders>
              <w:bottom w:val="single" w:color="auto" w:sz="4" w:space="0"/>
            </w:tcBorders>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p>
        </w:tc>
      </w:tr>
    </w:tbl>
    <w:p>
      <w:pPr>
        <w:pStyle w:val="26"/>
        <w:spacing w:after="0" w:line="360" w:lineRule="auto"/>
        <w:ind w:left="0" w:leftChars="0" w:firstLine="0" w:firstLineChars="0"/>
        <w:rPr>
          <w:rFonts w:hint="eastAsia" w:ascii="仿宋" w:hAnsi="仿宋" w:eastAsia="仿宋" w:cs="仿宋"/>
          <w:sz w:val="24"/>
          <w:szCs w:val="24"/>
        </w:rPr>
      </w:pPr>
    </w:p>
    <w:tbl>
      <w:tblPr>
        <w:tblStyle w:val="63"/>
        <w:tblW w:w="9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211"/>
        <w:gridCol w:w="3191"/>
        <w:gridCol w:w="3017"/>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61" w:type="dxa"/>
            <w:gridSpan w:val="5"/>
            <w:tcBorders>
              <w:top w:val="single" w:color="auto" w:sz="4" w:space="0"/>
              <w:left w:val="nil"/>
              <w:bottom w:val="nil"/>
              <w:right w:val="nil"/>
            </w:tcBorders>
            <w:vAlign w:val="center"/>
          </w:tcPr>
          <w:p>
            <w:pPr>
              <w:spacing w:before="0" w:beforeAutospacing="0" w:after="0" w:afterAutospacing="0" w:line="360" w:lineRule="auto"/>
              <w:ind w:left="0" w:right="0"/>
              <w:rPr>
                <w:rFonts w:hint="eastAsia" w:ascii="仿宋" w:hAnsi="仿宋" w:eastAsia="仿宋" w:cs="仿宋"/>
                <w:b/>
                <w:bCs/>
                <w:sz w:val="24"/>
                <w:szCs w:val="20"/>
              </w:rPr>
            </w:pPr>
            <w:r>
              <w:rPr>
                <w:rFonts w:hint="eastAsia" w:ascii="仿宋" w:hAnsi="仿宋" w:eastAsia="仿宋" w:cs="仿宋"/>
                <w:sz w:val="24"/>
                <w:szCs w:val="20"/>
              </w:rPr>
              <w:t>★</w:t>
            </w:r>
            <w:r>
              <w:rPr>
                <w:rFonts w:hint="eastAsia" w:ascii="仿宋" w:hAnsi="仿宋" w:eastAsia="仿宋" w:cs="仿宋"/>
                <w:b/>
                <w:bCs/>
                <w:sz w:val="24"/>
                <w:szCs w:val="20"/>
              </w:rPr>
              <w:t>3.3.基本配置部分</w:t>
            </w:r>
            <w:r>
              <w:rPr>
                <w:rFonts w:hint="eastAsia" w:ascii="仿宋" w:hAnsi="仿宋" w:eastAsia="仿宋" w:cs="仿宋"/>
                <w:bCs/>
                <w:sz w:val="24"/>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9"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序号</w:t>
            </w:r>
          </w:p>
        </w:tc>
        <w:tc>
          <w:tcPr>
            <w:tcW w:w="1211"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部件名称</w:t>
            </w:r>
          </w:p>
        </w:tc>
        <w:tc>
          <w:tcPr>
            <w:tcW w:w="3191"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型号规格</w:t>
            </w:r>
          </w:p>
        </w:tc>
        <w:tc>
          <w:tcPr>
            <w:tcW w:w="3017"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品牌</w:t>
            </w:r>
          </w:p>
        </w:tc>
        <w:tc>
          <w:tcPr>
            <w:tcW w:w="1183" w:type="dxa"/>
            <w:vAlign w:val="top"/>
          </w:tcPr>
          <w:p>
            <w:pPr>
              <w:spacing w:before="0" w:beforeAutospacing="0" w:after="0" w:afterAutospacing="0" w:line="360" w:lineRule="auto"/>
              <w:ind w:left="0" w:right="0"/>
              <w:rPr>
                <w:rFonts w:hint="eastAsia" w:ascii="仿宋" w:hAnsi="仿宋" w:eastAsia="仿宋" w:cs="仿宋"/>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9" w:type="dxa"/>
            <w:vAlign w:val="top"/>
          </w:tcPr>
          <w:p>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3.3.1</w:t>
            </w:r>
          </w:p>
        </w:tc>
        <w:tc>
          <w:tcPr>
            <w:tcW w:w="1211" w:type="dxa"/>
            <w:vMerge w:val="restart"/>
            <w:vAlign w:val="center"/>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升降驱动电机</w:t>
            </w:r>
          </w:p>
        </w:tc>
        <w:tc>
          <w:tcPr>
            <w:tcW w:w="3191"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三合一减速电机 不小于22 KW</w:t>
            </w:r>
          </w:p>
        </w:tc>
        <w:tc>
          <w:tcPr>
            <w:tcW w:w="3017"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明椿\杰牌\日鼎\NORD或同级品</w:t>
            </w:r>
          </w:p>
        </w:tc>
        <w:tc>
          <w:tcPr>
            <w:tcW w:w="1183" w:type="dxa"/>
            <w:vAlign w:val="top"/>
          </w:tcPr>
          <w:p>
            <w:pPr>
              <w:spacing w:before="0" w:beforeAutospacing="0" w:after="0" w:afterAutospacing="0" w:line="360" w:lineRule="auto"/>
              <w:ind w:left="0" w:right="0"/>
              <w:rPr>
                <w:rFonts w:hint="eastAsia" w:ascii="仿宋" w:hAnsi="仿宋" w:eastAsia="仿宋" w:cs="仿宋"/>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9" w:type="dxa"/>
            <w:vAlign w:val="top"/>
          </w:tcPr>
          <w:p>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3.3.2</w:t>
            </w:r>
          </w:p>
        </w:tc>
        <w:tc>
          <w:tcPr>
            <w:tcW w:w="1211" w:type="dxa"/>
            <w:vMerge w:val="continue"/>
            <w:vAlign w:val="center"/>
          </w:tcPr>
          <w:p>
            <w:pPr>
              <w:spacing w:before="0" w:beforeAutospacing="0" w:after="0" w:afterAutospacing="0" w:line="360" w:lineRule="auto"/>
              <w:ind w:left="0" w:right="0"/>
              <w:rPr>
                <w:rFonts w:hint="eastAsia" w:ascii="仿宋" w:hAnsi="仿宋" w:eastAsia="仿宋" w:cs="仿宋"/>
                <w:sz w:val="24"/>
                <w:szCs w:val="20"/>
              </w:rPr>
            </w:pPr>
          </w:p>
        </w:tc>
        <w:tc>
          <w:tcPr>
            <w:tcW w:w="3191"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驱动轴</w:t>
            </w:r>
          </w:p>
        </w:tc>
        <w:tc>
          <w:tcPr>
            <w:tcW w:w="3017"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厂家自制</w:t>
            </w:r>
          </w:p>
        </w:tc>
        <w:tc>
          <w:tcPr>
            <w:tcW w:w="1183" w:type="dxa"/>
            <w:vAlign w:val="top"/>
          </w:tcPr>
          <w:p>
            <w:pPr>
              <w:spacing w:before="0" w:beforeAutospacing="0" w:after="0" w:afterAutospacing="0" w:line="360" w:lineRule="auto"/>
              <w:ind w:left="0" w:right="0"/>
              <w:rPr>
                <w:rFonts w:hint="eastAsia" w:ascii="仿宋" w:hAnsi="仿宋" w:eastAsia="仿宋" w:cs="仿宋"/>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9" w:type="dxa"/>
            <w:vAlign w:val="top"/>
          </w:tcPr>
          <w:p>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3.3.3</w:t>
            </w:r>
          </w:p>
        </w:tc>
        <w:tc>
          <w:tcPr>
            <w:tcW w:w="1211" w:type="dxa"/>
            <w:vMerge w:val="continue"/>
            <w:vAlign w:val="center"/>
          </w:tcPr>
          <w:p>
            <w:pPr>
              <w:spacing w:before="0" w:beforeAutospacing="0" w:after="0" w:afterAutospacing="0" w:line="360" w:lineRule="auto"/>
              <w:ind w:left="0" w:right="0"/>
              <w:rPr>
                <w:rFonts w:hint="eastAsia" w:ascii="仿宋" w:hAnsi="仿宋" w:eastAsia="仿宋" w:cs="仿宋"/>
                <w:sz w:val="24"/>
                <w:szCs w:val="20"/>
              </w:rPr>
            </w:pPr>
          </w:p>
        </w:tc>
        <w:tc>
          <w:tcPr>
            <w:tcW w:w="3191"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驱动链轮组</w:t>
            </w:r>
          </w:p>
        </w:tc>
        <w:tc>
          <w:tcPr>
            <w:tcW w:w="3017"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厂家自制</w:t>
            </w:r>
          </w:p>
        </w:tc>
        <w:tc>
          <w:tcPr>
            <w:tcW w:w="1183" w:type="dxa"/>
            <w:vAlign w:val="top"/>
          </w:tcPr>
          <w:p>
            <w:pPr>
              <w:spacing w:before="0" w:beforeAutospacing="0" w:after="0" w:afterAutospacing="0" w:line="360" w:lineRule="auto"/>
              <w:ind w:left="0" w:right="0"/>
              <w:rPr>
                <w:rFonts w:hint="eastAsia" w:ascii="仿宋" w:hAnsi="仿宋" w:eastAsia="仿宋" w:cs="仿宋"/>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9" w:type="dxa"/>
            <w:vAlign w:val="top"/>
          </w:tcPr>
          <w:p>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3.3.4</w:t>
            </w:r>
          </w:p>
        </w:tc>
        <w:tc>
          <w:tcPr>
            <w:tcW w:w="1211" w:type="dxa"/>
            <w:vMerge w:val="restart"/>
            <w:vAlign w:val="center"/>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升降机</w:t>
            </w:r>
          </w:p>
        </w:tc>
        <w:tc>
          <w:tcPr>
            <w:tcW w:w="3191"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升降机框架、搬运台车框架</w:t>
            </w:r>
          </w:p>
        </w:tc>
        <w:tc>
          <w:tcPr>
            <w:tcW w:w="3017"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厂家自制</w:t>
            </w:r>
          </w:p>
        </w:tc>
        <w:tc>
          <w:tcPr>
            <w:tcW w:w="1183" w:type="dxa"/>
            <w:vAlign w:val="top"/>
          </w:tcPr>
          <w:p>
            <w:pPr>
              <w:spacing w:before="0" w:beforeAutospacing="0" w:after="0" w:afterAutospacing="0" w:line="360" w:lineRule="auto"/>
              <w:ind w:left="0" w:right="0"/>
              <w:rPr>
                <w:rFonts w:hint="eastAsia" w:ascii="仿宋" w:hAnsi="仿宋" w:eastAsia="仿宋" w:cs="仿宋"/>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9" w:type="dxa"/>
            <w:vAlign w:val="top"/>
          </w:tcPr>
          <w:p>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3.3.6</w:t>
            </w:r>
          </w:p>
        </w:tc>
        <w:tc>
          <w:tcPr>
            <w:tcW w:w="1211" w:type="dxa"/>
            <w:vMerge w:val="continue"/>
            <w:vAlign w:val="center"/>
          </w:tcPr>
          <w:p>
            <w:pPr>
              <w:spacing w:before="0" w:beforeAutospacing="0" w:after="0" w:afterAutospacing="0" w:line="360" w:lineRule="auto"/>
              <w:ind w:left="0" w:right="0"/>
              <w:rPr>
                <w:rFonts w:hint="eastAsia" w:ascii="仿宋" w:hAnsi="仿宋" w:eastAsia="仿宋" w:cs="仿宋"/>
                <w:sz w:val="24"/>
                <w:szCs w:val="20"/>
              </w:rPr>
            </w:pPr>
          </w:p>
        </w:tc>
        <w:tc>
          <w:tcPr>
            <w:tcW w:w="3191"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平层电机不小于0.75kw</w:t>
            </w:r>
          </w:p>
        </w:tc>
        <w:tc>
          <w:tcPr>
            <w:tcW w:w="3017"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明椿\杰牌\日鼎\NORD或同级品</w:t>
            </w:r>
          </w:p>
        </w:tc>
        <w:tc>
          <w:tcPr>
            <w:tcW w:w="1183" w:type="dxa"/>
            <w:vAlign w:val="top"/>
          </w:tcPr>
          <w:p>
            <w:pPr>
              <w:spacing w:before="0" w:beforeAutospacing="0" w:after="0" w:afterAutospacing="0" w:line="360" w:lineRule="auto"/>
              <w:ind w:left="0" w:right="0"/>
              <w:rPr>
                <w:rFonts w:hint="eastAsia" w:ascii="仿宋" w:hAnsi="仿宋" w:eastAsia="仿宋" w:cs="仿宋"/>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9" w:type="dxa"/>
            <w:vAlign w:val="top"/>
          </w:tcPr>
          <w:p>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3.3.7</w:t>
            </w:r>
          </w:p>
        </w:tc>
        <w:tc>
          <w:tcPr>
            <w:tcW w:w="1211" w:type="dxa"/>
            <w:vMerge w:val="continue"/>
            <w:vAlign w:val="center"/>
          </w:tcPr>
          <w:p>
            <w:pPr>
              <w:spacing w:before="0" w:beforeAutospacing="0" w:after="0" w:afterAutospacing="0" w:line="360" w:lineRule="auto"/>
              <w:ind w:left="0" w:right="0"/>
              <w:rPr>
                <w:rFonts w:hint="eastAsia" w:ascii="仿宋" w:hAnsi="仿宋" w:eastAsia="仿宋" w:cs="仿宋"/>
                <w:sz w:val="24"/>
                <w:szCs w:val="20"/>
              </w:rPr>
            </w:pPr>
          </w:p>
        </w:tc>
        <w:tc>
          <w:tcPr>
            <w:tcW w:w="3191"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托辊</w:t>
            </w:r>
          </w:p>
        </w:tc>
        <w:tc>
          <w:tcPr>
            <w:tcW w:w="3017"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厂家自制</w:t>
            </w:r>
          </w:p>
        </w:tc>
        <w:tc>
          <w:tcPr>
            <w:tcW w:w="1183" w:type="dxa"/>
            <w:vAlign w:val="top"/>
          </w:tcPr>
          <w:p>
            <w:pPr>
              <w:spacing w:before="0" w:beforeAutospacing="0" w:after="0" w:afterAutospacing="0" w:line="360" w:lineRule="auto"/>
              <w:ind w:left="0" w:right="0"/>
              <w:rPr>
                <w:rFonts w:hint="eastAsia" w:ascii="仿宋" w:hAnsi="仿宋" w:eastAsia="仿宋" w:cs="仿宋"/>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9" w:type="dxa"/>
            <w:vAlign w:val="top"/>
          </w:tcPr>
          <w:p>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3.3.8</w:t>
            </w:r>
          </w:p>
        </w:tc>
        <w:tc>
          <w:tcPr>
            <w:tcW w:w="1211" w:type="dxa"/>
            <w:vMerge w:val="continue"/>
            <w:vAlign w:val="center"/>
          </w:tcPr>
          <w:p>
            <w:pPr>
              <w:spacing w:before="0" w:beforeAutospacing="0" w:after="0" w:afterAutospacing="0" w:line="360" w:lineRule="auto"/>
              <w:ind w:left="0" w:right="0"/>
              <w:rPr>
                <w:rFonts w:hint="eastAsia" w:ascii="仿宋" w:hAnsi="仿宋" w:eastAsia="仿宋" w:cs="仿宋"/>
                <w:sz w:val="24"/>
                <w:szCs w:val="20"/>
              </w:rPr>
            </w:pPr>
          </w:p>
        </w:tc>
        <w:tc>
          <w:tcPr>
            <w:tcW w:w="3191"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车辆对中电机不小于0.12 kw</w:t>
            </w:r>
          </w:p>
        </w:tc>
        <w:tc>
          <w:tcPr>
            <w:tcW w:w="3017"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明椿\杰牌\日鼎\NORD或同级品</w:t>
            </w:r>
          </w:p>
        </w:tc>
        <w:tc>
          <w:tcPr>
            <w:tcW w:w="1183" w:type="dxa"/>
            <w:vAlign w:val="top"/>
          </w:tcPr>
          <w:p>
            <w:pPr>
              <w:spacing w:before="0" w:beforeAutospacing="0" w:after="0" w:afterAutospacing="0" w:line="360" w:lineRule="auto"/>
              <w:ind w:left="0" w:right="0"/>
              <w:rPr>
                <w:rFonts w:hint="eastAsia" w:ascii="仿宋" w:hAnsi="仿宋" w:eastAsia="仿宋" w:cs="仿宋"/>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9" w:type="dxa"/>
            <w:vAlign w:val="top"/>
          </w:tcPr>
          <w:p>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3.3.9</w:t>
            </w:r>
          </w:p>
        </w:tc>
        <w:tc>
          <w:tcPr>
            <w:tcW w:w="1211" w:type="dxa"/>
            <w:vMerge w:val="restart"/>
            <w:vAlign w:val="center"/>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搬运器及机械手</w:t>
            </w:r>
          </w:p>
        </w:tc>
        <w:tc>
          <w:tcPr>
            <w:tcW w:w="3191"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台车行走驱动减速电机不小于4Kw</w:t>
            </w:r>
          </w:p>
        </w:tc>
        <w:tc>
          <w:tcPr>
            <w:tcW w:w="3017"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明椿\杰牌\日鼎\NORD或同级品</w:t>
            </w:r>
          </w:p>
        </w:tc>
        <w:tc>
          <w:tcPr>
            <w:tcW w:w="1183" w:type="dxa"/>
            <w:vAlign w:val="top"/>
          </w:tcPr>
          <w:p>
            <w:pPr>
              <w:spacing w:before="0" w:beforeAutospacing="0" w:after="0" w:afterAutospacing="0" w:line="360" w:lineRule="auto"/>
              <w:ind w:left="0" w:right="0"/>
              <w:rPr>
                <w:rFonts w:hint="eastAsia" w:ascii="仿宋" w:hAnsi="仿宋" w:eastAsia="仿宋" w:cs="仿宋"/>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9" w:type="dxa"/>
            <w:vAlign w:val="top"/>
          </w:tcPr>
          <w:p>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3.3.10</w:t>
            </w:r>
          </w:p>
        </w:tc>
        <w:tc>
          <w:tcPr>
            <w:tcW w:w="1211" w:type="dxa"/>
            <w:vMerge w:val="continue"/>
            <w:vAlign w:val="top"/>
          </w:tcPr>
          <w:p>
            <w:pPr>
              <w:spacing w:before="0" w:beforeAutospacing="0" w:after="0" w:afterAutospacing="0" w:line="360" w:lineRule="auto"/>
              <w:ind w:left="0" w:right="0"/>
              <w:rPr>
                <w:rFonts w:hint="eastAsia" w:ascii="仿宋" w:hAnsi="仿宋" w:eastAsia="仿宋" w:cs="仿宋"/>
                <w:sz w:val="24"/>
                <w:szCs w:val="20"/>
              </w:rPr>
            </w:pPr>
          </w:p>
        </w:tc>
        <w:tc>
          <w:tcPr>
            <w:tcW w:w="3191"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机械手夹持电机不小于1.0 Kw *2</w:t>
            </w:r>
          </w:p>
        </w:tc>
        <w:tc>
          <w:tcPr>
            <w:tcW w:w="3017"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明椿\杰牌\日鼎\NORD或同级品</w:t>
            </w:r>
          </w:p>
        </w:tc>
        <w:tc>
          <w:tcPr>
            <w:tcW w:w="1183" w:type="dxa"/>
            <w:vAlign w:val="top"/>
          </w:tcPr>
          <w:p>
            <w:pPr>
              <w:spacing w:before="0" w:beforeAutospacing="0" w:after="0" w:afterAutospacing="0" w:line="360" w:lineRule="auto"/>
              <w:ind w:left="0" w:right="0"/>
              <w:rPr>
                <w:rFonts w:hint="eastAsia" w:ascii="仿宋" w:hAnsi="仿宋" w:eastAsia="仿宋" w:cs="仿宋"/>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9" w:type="dxa"/>
            <w:vAlign w:val="top"/>
          </w:tcPr>
          <w:p>
            <w:pPr>
              <w:spacing w:before="0" w:beforeAutospacing="0" w:after="0" w:afterAutospacing="0" w:line="360" w:lineRule="auto"/>
              <w:ind w:left="0" w:right="0"/>
              <w:jc w:val="center"/>
              <w:rPr>
                <w:rFonts w:hint="eastAsia" w:ascii="仿宋" w:hAnsi="仿宋" w:eastAsia="仿宋" w:cs="仿宋"/>
                <w:sz w:val="24"/>
                <w:szCs w:val="20"/>
              </w:rPr>
            </w:pPr>
          </w:p>
        </w:tc>
        <w:tc>
          <w:tcPr>
            <w:tcW w:w="1211" w:type="dxa"/>
            <w:vMerge w:val="continue"/>
            <w:vAlign w:val="top"/>
          </w:tcPr>
          <w:p>
            <w:pPr>
              <w:spacing w:before="0" w:beforeAutospacing="0" w:after="0" w:afterAutospacing="0" w:line="360" w:lineRule="auto"/>
              <w:ind w:left="0" w:right="0"/>
              <w:rPr>
                <w:rFonts w:hint="eastAsia" w:ascii="仿宋" w:hAnsi="仿宋" w:eastAsia="仿宋" w:cs="仿宋"/>
                <w:sz w:val="24"/>
                <w:szCs w:val="20"/>
              </w:rPr>
            </w:pPr>
          </w:p>
        </w:tc>
        <w:tc>
          <w:tcPr>
            <w:tcW w:w="3191"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机械手行走电机不小于1.0 Kw *2</w:t>
            </w:r>
          </w:p>
        </w:tc>
        <w:tc>
          <w:tcPr>
            <w:tcW w:w="3017"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明椿\杰牌\日鼎\NORD或同级品</w:t>
            </w:r>
          </w:p>
        </w:tc>
        <w:tc>
          <w:tcPr>
            <w:tcW w:w="1183" w:type="dxa"/>
            <w:vAlign w:val="top"/>
          </w:tcPr>
          <w:p>
            <w:pPr>
              <w:spacing w:before="0" w:beforeAutospacing="0" w:after="0" w:afterAutospacing="0" w:line="360" w:lineRule="auto"/>
              <w:ind w:left="0" w:right="0"/>
              <w:rPr>
                <w:rFonts w:hint="eastAsia" w:ascii="仿宋" w:hAnsi="仿宋" w:eastAsia="仿宋" w:cs="仿宋"/>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9" w:type="dxa"/>
            <w:vAlign w:val="top"/>
          </w:tcPr>
          <w:p>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3.3.11</w:t>
            </w:r>
          </w:p>
        </w:tc>
        <w:tc>
          <w:tcPr>
            <w:tcW w:w="1211" w:type="dxa"/>
            <w:vMerge w:val="continue"/>
            <w:vAlign w:val="top"/>
          </w:tcPr>
          <w:p>
            <w:pPr>
              <w:spacing w:before="0" w:beforeAutospacing="0" w:after="0" w:afterAutospacing="0" w:line="360" w:lineRule="auto"/>
              <w:ind w:left="0" w:right="0"/>
              <w:rPr>
                <w:rFonts w:hint="eastAsia" w:ascii="仿宋" w:hAnsi="仿宋" w:eastAsia="仿宋" w:cs="仿宋"/>
                <w:sz w:val="24"/>
                <w:szCs w:val="20"/>
              </w:rPr>
            </w:pPr>
          </w:p>
        </w:tc>
        <w:tc>
          <w:tcPr>
            <w:tcW w:w="3191"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 xml:space="preserve">激光测距仪 </w:t>
            </w:r>
          </w:p>
        </w:tc>
        <w:tc>
          <w:tcPr>
            <w:tcW w:w="3017"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欧姆龙\SICK\米德克\欧蕾或同级品</w:t>
            </w:r>
          </w:p>
        </w:tc>
        <w:tc>
          <w:tcPr>
            <w:tcW w:w="1183" w:type="dxa"/>
            <w:vAlign w:val="top"/>
          </w:tcPr>
          <w:p>
            <w:pPr>
              <w:spacing w:before="0" w:beforeAutospacing="0" w:after="0" w:afterAutospacing="0" w:line="360" w:lineRule="auto"/>
              <w:ind w:left="0" w:right="0"/>
              <w:rPr>
                <w:rFonts w:hint="eastAsia" w:ascii="仿宋" w:hAnsi="仿宋" w:eastAsia="仿宋" w:cs="仿宋"/>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9" w:type="dxa"/>
            <w:vAlign w:val="top"/>
          </w:tcPr>
          <w:p>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3.3.12</w:t>
            </w:r>
          </w:p>
        </w:tc>
        <w:tc>
          <w:tcPr>
            <w:tcW w:w="1211" w:type="dxa"/>
            <w:vMerge w:val="continue"/>
            <w:vAlign w:val="top"/>
          </w:tcPr>
          <w:p>
            <w:pPr>
              <w:spacing w:before="0" w:beforeAutospacing="0" w:after="0" w:afterAutospacing="0" w:line="360" w:lineRule="auto"/>
              <w:ind w:left="0" w:right="0"/>
              <w:rPr>
                <w:rFonts w:hint="eastAsia" w:ascii="仿宋" w:hAnsi="仿宋" w:eastAsia="仿宋" w:cs="仿宋"/>
                <w:sz w:val="24"/>
                <w:szCs w:val="20"/>
              </w:rPr>
            </w:pPr>
          </w:p>
        </w:tc>
        <w:tc>
          <w:tcPr>
            <w:tcW w:w="3191"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U型光电</w:t>
            </w:r>
          </w:p>
        </w:tc>
        <w:tc>
          <w:tcPr>
            <w:tcW w:w="3017"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欧姆龙\倍加福\松下或同级品</w:t>
            </w:r>
          </w:p>
        </w:tc>
        <w:tc>
          <w:tcPr>
            <w:tcW w:w="1183" w:type="dxa"/>
            <w:vAlign w:val="top"/>
          </w:tcPr>
          <w:p>
            <w:pPr>
              <w:spacing w:before="0" w:beforeAutospacing="0" w:after="0" w:afterAutospacing="0" w:line="360" w:lineRule="auto"/>
              <w:ind w:left="0" w:right="0"/>
              <w:rPr>
                <w:rFonts w:hint="eastAsia" w:ascii="仿宋" w:hAnsi="仿宋" w:eastAsia="仿宋" w:cs="仿宋"/>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9" w:type="dxa"/>
            <w:vAlign w:val="top"/>
          </w:tcPr>
          <w:p>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3.3.13</w:t>
            </w:r>
          </w:p>
        </w:tc>
        <w:tc>
          <w:tcPr>
            <w:tcW w:w="1211" w:type="dxa"/>
            <w:vMerge w:val="continue"/>
            <w:vAlign w:val="top"/>
          </w:tcPr>
          <w:p>
            <w:pPr>
              <w:spacing w:before="0" w:beforeAutospacing="0" w:after="0" w:afterAutospacing="0" w:line="360" w:lineRule="auto"/>
              <w:ind w:left="0" w:right="0"/>
              <w:rPr>
                <w:rFonts w:hint="eastAsia" w:ascii="仿宋" w:hAnsi="仿宋" w:eastAsia="仿宋" w:cs="仿宋"/>
                <w:sz w:val="24"/>
                <w:szCs w:val="20"/>
              </w:rPr>
            </w:pPr>
          </w:p>
        </w:tc>
        <w:tc>
          <w:tcPr>
            <w:tcW w:w="3191"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小车变频器</w:t>
            </w:r>
          </w:p>
        </w:tc>
        <w:tc>
          <w:tcPr>
            <w:tcW w:w="3017"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富士\汇川\西威\士林或同级品</w:t>
            </w:r>
          </w:p>
        </w:tc>
        <w:tc>
          <w:tcPr>
            <w:tcW w:w="1183" w:type="dxa"/>
            <w:vAlign w:val="top"/>
          </w:tcPr>
          <w:p>
            <w:pPr>
              <w:spacing w:before="0" w:beforeAutospacing="0" w:after="0" w:afterAutospacing="0" w:line="360" w:lineRule="auto"/>
              <w:ind w:left="0" w:right="0"/>
              <w:rPr>
                <w:rFonts w:hint="eastAsia" w:ascii="仿宋" w:hAnsi="仿宋" w:eastAsia="仿宋" w:cs="仿宋"/>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9" w:type="dxa"/>
            <w:vAlign w:val="top"/>
          </w:tcPr>
          <w:p>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3.3.14</w:t>
            </w:r>
          </w:p>
        </w:tc>
        <w:tc>
          <w:tcPr>
            <w:tcW w:w="1211"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对重系统</w:t>
            </w:r>
          </w:p>
        </w:tc>
        <w:tc>
          <w:tcPr>
            <w:tcW w:w="3191"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钢板</w:t>
            </w:r>
          </w:p>
        </w:tc>
        <w:tc>
          <w:tcPr>
            <w:tcW w:w="3017"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厂家自制</w:t>
            </w:r>
          </w:p>
        </w:tc>
        <w:tc>
          <w:tcPr>
            <w:tcW w:w="1183" w:type="dxa"/>
            <w:vAlign w:val="top"/>
          </w:tcPr>
          <w:p>
            <w:pPr>
              <w:spacing w:before="0" w:beforeAutospacing="0" w:after="0" w:afterAutospacing="0" w:line="360" w:lineRule="auto"/>
              <w:ind w:left="0" w:right="0"/>
              <w:rPr>
                <w:rFonts w:hint="eastAsia" w:ascii="仿宋" w:hAnsi="仿宋" w:eastAsia="仿宋" w:cs="仿宋"/>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9" w:type="dxa"/>
            <w:vAlign w:val="top"/>
          </w:tcPr>
          <w:p>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3.3.15</w:t>
            </w:r>
          </w:p>
        </w:tc>
        <w:tc>
          <w:tcPr>
            <w:tcW w:w="1211" w:type="dxa"/>
            <w:vMerge w:val="restart"/>
            <w:vAlign w:val="center"/>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出入口相关设备</w:t>
            </w:r>
          </w:p>
        </w:tc>
        <w:tc>
          <w:tcPr>
            <w:tcW w:w="3191" w:type="dxa"/>
            <w:vAlign w:val="center"/>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 xml:space="preserve">平光式引导镜   </w:t>
            </w:r>
          </w:p>
        </w:tc>
        <w:tc>
          <w:tcPr>
            <w:tcW w:w="3017"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厂家自制</w:t>
            </w:r>
          </w:p>
        </w:tc>
        <w:tc>
          <w:tcPr>
            <w:tcW w:w="1183" w:type="dxa"/>
            <w:vAlign w:val="top"/>
          </w:tcPr>
          <w:p>
            <w:pPr>
              <w:spacing w:before="0" w:beforeAutospacing="0" w:after="0" w:afterAutospacing="0" w:line="360" w:lineRule="auto"/>
              <w:ind w:left="0" w:right="0"/>
              <w:rPr>
                <w:rFonts w:hint="eastAsia" w:ascii="仿宋" w:hAnsi="仿宋" w:eastAsia="仿宋" w:cs="仿宋"/>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9" w:type="dxa"/>
            <w:vAlign w:val="top"/>
          </w:tcPr>
          <w:p>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3.3.16</w:t>
            </w:r>
          </w:p>
        </w:tc>
        <w:tc>
          <w:tcPr>
            <w:tcW w:w="1211" w:type="dxa"/>
            <w:vMerge w:val="continue"/>
            <w:vAlign w:val="center"/>
          </w:tcPr>
          <w:p>
            <w:pPr>
              <w:spacing w:before="0" w:beforeAutospacing="0" w:after="0" w:afterAutospacing="0" w:line="360" w:lineRule="auto"/>
              <w:ind w:left="0" w:right="0"/>
              <w:rPr>
                <w:rFonts w:hint="eastAsia" w:ascii="仿宋" w:hAnsi="仿宋" w:eastAsia="仿宋" w:cs="仿宋"/>
                <w:sz w:val="24"/>
                <w:szCs w:val="20"/>
              </w:rPr>
            </w:pPr>
          </w:p>
        </w:tc>
        <w:tc>
          <w:tcPr>
            <w:tcW w:w="3191" w:type="dxa"/>
            <w:vAlign w:val="center"/>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不锈钢双折对开门</w:t>
            </w:r>
          </w:p>
        </w:tc>
        <w:tc>
          <w:tcPr>
            <w:tcW w:w="3017"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厂家自制</w:t>
            </w:r>
          </w:p>
        </w:tc>
        <w:tc>
          <w:tcPr>
            <w:tcW w:w="1183" w:type="dxa"/>
            <w:vAlign w:val="top"/>
          </w:tcPr>
          <w:p>
            <w:pPr>
              <w:spacing w:before="0" w:beforeAutospacing="0" w:after="0" w:afterAutospacing="0" w:line="360" w:lineRule="auto"/>
              <w:ind w:left="0" w:right="0"/>
              <w:rPr>
                <w:rFonts w:hint="eastAsia" w:ascii="仿宋" w:hAnsi="仿宋" w:eastAsia="仿宋" w:cs="仿宋"/>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059" w:type="dxa"/>
            <w:vAlign w:val="top"/>
          </w:tcPr>
          <w:p>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3.3.17</w:t>
            </w:r>
          </w:p>
        </w:tc>
        <w:tc>
          <w:tcPr>
            <w:tcW w:w="1211" w:type="dxa"/>
            <w:vMerge w:val="continue"/>
            <w:vAlign w:val="center"/>
          </w:tcPr>
          <w:p>
            <w:pPr>
              <w:spacing w:before="0" w:beforeAutospacing="0" w:after="0" w:afterAutospacing="0" w:line="360" w:lineRule="auto"/>
              <w:ind w:left="0" w:right="0"/>
              <w:rPr>
                <w:rFonts w:hint="eastAsia" w:ascii="仿宋" w:hAnsi="仿宋" w:eastAsia="仿宋" w:cs="仿宋"/>
                <w:sz w:val="24"/>
                <w:szCs w:val="20"/>
              </w:rPr>
            </w:pPr>
          </w:p>
        </w:tc>
        <w:tc>
          <w:tcPr>
            <w:tcW w:w="3191" w:type="dxa"/>
            <w:vAlign w:val="center"/>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户外显示</w:t>
            </w:r>
          </w:p>
        </w:tc>
        <w:tc>
          <w:tcPr>
            <w:tcW w:w="3017" w:type="dxa"/>
            <w:vAlign w:val="top"/>
          </w:tcPr>
          <w:p>
            <w:pPr>
              <w:spacing w:before="0" w:beforeAutospacing="0" w:after="0" w:afterAutospacing="0" w:line="360" w:lineRule="auto"/>
              <w:ind w:left="0" w:right="0"/>
              <w:rPr>
                <w:rFonts w:hint="eastAsia" w:ascii="仿宋" w:hAnsi="仿宋" w:eastAsia="仿宋" w:cs="仿宋"/>
                <w:sz w:val="24"/>
                <w:szCs w:val="20"/>
                <w:highlight w:val="yellow"/>
              </w:rPr>
            </w:pPr>
            <w:r>
              <w:rPr>
                <w:rFonts w:hint="eastAsia" w:ascii="仿宋" w:hAnsi="仿宋" w:eastAsia="仿宋" w:cs="仿宋"/>
                <w:sz w:val="24"/>
                <w:szCs w:val="20"/>
              </w:rPr>
              <w:t>厂家自制</w:t>
            </w:r>
          </w:p>
        </w:tc>
        <w:tc>
          <w:tcPr>
            <w:tcW w:w="1183" w:type="dxa"/>
            <w:vAlign w:val="top"/>
          </w:tcPr>
          <w:p>
            <w:pPr>
              <w:spacing w:before="0" w:beforeAutospacing="0" w:after="0" w:afterAutospacing="0" w:line="360" w:lineRule="auto"/>
              <w:ind w:left="0" w:right="0"/>
              <w:rPr>
                <w:rFonts w:hint="eastAsia" w:ascii="仿宋" w:hAnsi="仿宋" w:eastAsia="仿宋" w:cs="仿宋"/>
                <w:sz w:val="24"/>
                <w:szCs w:val="20"/>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059" w:type="dxa"/>
            <w:tcBorders>
              <w:bottom w:val="single" w:color="auto" w:sz="4" w:space="0"/>
            </w:tcBorders>
            <w:vAlign w:val="top"/>
          </w:tcPr>
          <w:p>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3.3.18</w:t>
            </w:r>
          </w:p>
        </w:tc>
        <w:tc>
          <w:tcPr>
            <w:tcW w:w="1211" w:type="dxa"/>
            <w:vMerge w:val="continue"/>
            <w:vAlign w:val="center"/>
          </w:tcPr>
          <w:p>
            <w:pPr>
              <w:spacing w:before="0" w:beforeAutospacing="0" w:after="0" w:afterAutospacing="0" w:line="360" w:lineRule="auto"/>
              <w:ind w:left="0" w:right="0"/>
              <w:rPr>
                <w:rFonts w:hint="eastAsia" w:ascii="仿宋" w:hAnsi="仿宋" w:eastAsia="仿宋" w:cs="仿宋"/>
                <w:sz w:val="24"/>
                <w:szCs w:val="20"/>
              </w:rPr>
            </w:pPr>
          </w:p>
        </w:tc>
        <w:tc>
          <w:tcPr>
            <w:tcW w:w="3191" w:type="dxa"/>
            <w:vAlign w:val="center"/>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语音合成广播系统</w:t>
            </w:r>
          </w:p>
        </w:tc>
        <w:tc>
          <w:tcPr>
            <w:tcW w:w="3017" w:type="dxa"/>
            <w:vAlign w:val="top"/>
          </w:tcPr>
          <w:p>
            <w:pPr>
              <w:spacing w:before="0" w:beforeAutospacing="0" w:after="0" w:afterAutospacing="0" w:line="360" w:lineRule="auto"/>
              <w:ind w:left="0" w:right="0"/>
              <w:rPr>
                <w:rFonts w:hint="eastAsia" w:ascii="仿宋" w:hAnsi="仿宋" w:eastAsia="仿宋" w:cs="仿宋"/>
                <w:sz w:val="24"/>
                <w:szCs w:val="20"/>
                <w:highlight w:val="yellow"/>
              </w:rPr>
            </w:pPr>
            <w:r>
              <w:rPr>
                <w:rFonts w:hint="eastAsia" w:ascii="仿宋" w:hAnsi="仿宋" w:eastAsia="仿宋" w:cs="仿宋"/>
                <w:sz w:val="24"/>
                <w:szCs w:val="20"/>
              </w:rPr>
              <w:t>厂家自制</w:t>
            </w:r>
          </w:p>
        </w:tc>
        <w:tc>
          <w:tcPr>
            <w:tcW w:w="1183" w:type="dxa"/>
            <w:vAlign w:val="top"/>
          </w:tcPr>
          <w:p>
            <w:pPr>
              <w:spacing w:before="0" w:beforeAutospacing="0" w:after="0" w:afterAutospacing="0" w:line="360" w:lineRule="auto"/>
              <w:ind w:left="0" w:right="0"/>
              <w:rPr>
                <w:rFonts w:hint="eastAsia" w:ascii="仿宋" w:hAnsi="仿宋" w:eastAsia="仿宋" w:cs="仿宋"/>
                <w:sz w:val="24"/>
                <w:szCs w:val="20"/>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059" w:type="dxa"/>
            <w:tcBorders>
              <w:bottom w:val="single" w:color="auto" w:sz="4" w:space="0"/>
            </w:tcBorders>
            <w:vAlign w:val="top"/>
          </w:tcPr>
          <w:p>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3.3.19</w:t>
            </w:r>
          </w:p>
        </w:tc>
        <w:tc>
          <w:tcPr>
            <w:tcW w:w="1211" w:type="dxa"/>
            <w:vMerge w:val="continue"/>
            <w:vAlign w:val="center"/>
          </w:tcPr>
          <w:p>
            <w:pPr>
              <w:spacing w:before="0" w:beforeAutospacing="0" w:after="0" w:afterAutospacing="0" w:line="360" w:lineRule="auto"/>
              <w:ind w:left="0" w:right="0"/>
              <w:rPr>
                <w:rFonts w:hint="eastAsia" w:ascii="仿宋" w:hAnsi="仿宋" w:eastAsia="仿宋" w:cs="仿宋"/>
                <w:sz w:val="24"/>
                <w:szCs w:val="20"/>
              </w:rPr>
            </w:pPr>
          </w:p>
        </w:tc>
        <w:tc>
          <w:tcPr>
            <w:tcW w:w="3191" w:type="dxa"/>
            <w:vAlign w:val="center"/>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检测光幕</w:t>
            </w:r>
          </w:p>
        </w:tc>
        <w:tc>
          <w:tcPr>
            <w:tcW w:w="3017"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邦纳\欧姆龙\倍加福\瑞奥\易福门或同级品</w:t>
            </w:r>
          </w:p>
        </w:tc>
        <w:tc>
          <w:tcPr>
            <w:tcW w:w="1183" w:type="dxa"/>
            <w:vAlign w:val="top"/>
          </w:tcPr>
          <w:p>
            <w:pPr>
              <w:spacing w:before="0" w:beforeAutospacing="0" w:after="0" w:afterAutospacing="0" w:line="360" w:lineRule="auto"/>
              <w:ind w:left="0" w:right="0"/>
              <w:rPr>
                <w:rFonts w:hint="eastAsia" w:ascii="仿宋" w:hAnsi="仿宋" w:eastAsia="仿宋" w:cs="仿宋"/>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9" w:type="dxa"/>
            <w:tcBorders>
              <w:top w:val="single" w:color="auto" w:sz="4" w:space="0"/>
            </w:tcBorders>
            <w:vAlign w:val="top"/>
          </w:tcPr>
          <w:p>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3.3.20</w:t>
            </w:r>
          </w:p>
        </w:tc>
        <w:tc>
          <w:tcPr>
            <w:tcW w:w="1211" w:type="dxa"/>
            <w:vMerge w:val="restart"/>
            <w:tcBorders>
              <w:top w:val="single" w:color="auto" w:sz="4" w:space="0"/>
            </w:tcBorders>
            <w:vAlign w:val="center"/>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控制系统</w:t>
            </w:r>
          </w:p>
        </w:tc>
        <w:tc>
          <w:tcPr>
            <w:tcW w:w="3191" w:type="dxa"/>
            <w:tcBorders>
              <w:top w:val="single" w:color="auto" w:sz="4" w:space="0"/>
            </w:tcBorders>
            <w:vAlign w:val="center"/>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 xml:space="preserve">PLC </w:t>
            </w:r>
          </w:p>
        </w:tc>
        <w:tc>
          <w:tcPr>
            <w:tcW w:w="3017"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西门子\三菱\施耐德\汇川或同级品</w:t>
            </w:r>
          </w:p>
        </w:tc>
        <w:tc>
          <w:tcPr>
            <w:tcW w:w="1183" w:type="dxa"/>
            <w:vAlign w:val="top"/>
          </w:tcPr>
          <w:p>
            <w:pPr>
              <w:spacing w:before="0" w:beforeAutospacing="0" w:after="0" w:afterAutospacing="0" w:line="360" w:lineRule="auto"/>
              <w:ind w:left="0" w:right="0"/>
              <w:rPr>
                <w:rFonts w:hint="eastAsia" w:ascii="仿宋" w:hAnsi="仿宋" w:eastAsia="仿宋" w:cs="仿宋"/>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9" w:type="dxa"/>
            <w:vAlign w:val="top"/>
          </w:tcPr>
          <w:p>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3.3.21</w:t>
            </w:r>
          </w:p>
        </w:tc>
        <w:tc>
          <w:tcPr>
            <w:tcW w:w="1211" w:type="dxa"/>
            <w:vMerge w:val="continue"/>
            <w:vAlign w:val="top"/>
          </w:tcPr>
          <w:p>
            <w:pPr>
              <w:spacing w:before="0" w:beforeAutospacing="0" w:after="0" w:afterAutospacing="0" w:line="360" w:lineRule="auto"/>
              <w:ind w:left="0" w:right="0"/>
              <w:rPr>
                <w:rFonts w:hint="eastAsia" w:ascii="仿宋" w:hAnsi="仿宋" w:eastAsia="仿宋" w:cs="仿宋"/>
                <w:sz w:val="24"/>
                <w:szCs w:val="20"/>
              </w:rPr>
            </w:pPr>
          </w:p>
        </w:tc>
        <w:tc>
          <w:tcPr>
            <w:tcW w:w="3191" w:type="dxa"/>
            <w:vAlign w:val="center"/>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 xml:space="preserve">主变频器 </w:t>
            </w:r>
          </w:p>
        </w:tc>
        <w:tc>
          <w:tcPr>
            <w:tcW w:w="3017"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富士\汇川\西威或同级品</w:t>
            </w:r>
          </w:p>
        </w:tc>
        <w:tc>
          <w:tcPr>
            <w:tcW w:w="1183" w:type="dxa"/>
            <w:vAlign w:val="top"/>
          </w:tcPr>
          <w:p>
            <w:pPr>
              <w:spacing w:before="0" w:beforeAutospacing="0" w:after="0" w:afterAutospacing="0" w:line="360" w:lineRule="auto"/>
              <w:ind w:left="0" w:right="0"/>
              <w:rPr>
                <w:rFonts w:hint="eastAsia" w:ascii="仿宋" w:hAnsi="仿宋" w:eastAsia="仿宋" w:cs="仿宋"/>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9" w:type="dxa"/>
            <w:vAlign w:val="top"/>
          </w:tcPr>
          <w:p>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3.3.22</w:t>
            </w:r>
          </w:p>
        </w:tc>
        <w:tc>
          <w:tcPr>
            <w:tcW w:w="1211" w:type="dxa"/>
            <w:vMerge w:val="continue"/>
            <w:vAlign w:val="top"/>
          </w:tcPr>
          <w:p>
            <w:pPr>
              <w:spacing w:before="0" w:beforeAutospacing="0" w:after="0" w:afterAutospacing="0" w:line="360" w:lineRule="auto"/>
              <w:ind w:left="0" w:right="0"/>
              <w:rPr>
                <w:rFonts w:hint="eastAsia" w:ascii="仿宋" w:hAnsi="仿宋" w:eastAsia="仿宋" w:cs="仿宋"/>
                <w:sz w:val="24"/>
                <w:szCs w:val="20"/>
              </w:rPr>
            </w:pPr>
          </w:p>
        </w:tc>
        <w:tc>
          <w:tcPr>
            <w:tcW w:w="3191" w:type="dxa"/>
            <w:vAlign w:val="center"/>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 xml:space="preserve">触摸屏 </w:t>
            </w:r>
          </w:p>
        </w:tc>
        <w:tc>
          <w:tcPr>
            <w:tcW w:w="3017"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西门子\富士\三菱或同级品</w:t>
            </w:r>
          </w:p>
        </w:tc>
        <w:tc>
          <w:tcPr>
            <w:tcW w:w="1183" w:type="dxa"/>
            <w:vAlign w:val="top"/>
          </w:tcPr>
          <w:p>
            <w:pPr>
              <w:spacing w:before="0" w:beforeAutospacing="0" w:after="0" w:afterAutospacing="0" w:line="360" w:lineRule="auto"/>
              <w:ind w:left="0" w:right="0"/>
              <w:rPr>
                <w:rFonts w:hint="eastAsia" w:ascii="仿宋" w:hAnsi="仿宋" w:eastAsia="仿宋" w:cs="仿宋"/>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9" w:type="dxa"/>
            <w:vAlign w:val="top"/>
          </w:tcPr>
          <w:p>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3.3.23</w:t>
            </w:r>
          </w:p>
        </w:tc>
        <w:tc>
          <w:tcPr>
            <w:tcW w:w="1211" w:type="dxa"/>
            <w:vMerge w:val="continue"/>
            <w:vAlign w:val="top"/>
          </w:tcPr>
          <w:p>
            <w:pPr>
              <w:spacing w:before="0" w:beforeAutospacing="0" w:after="0" w:afterAutospacing="0" w:line="360" w:lineRule="auto"/>
              <w:ind w:left="0" w:right="0"/>
              <w:rPr>
                <w:rFonts w:hint="eastAsia" w:ascii="仿宋" w:hAnsi="仿宋" w:eastAsia="仿宋" w:cs="仿宋"/>
                <w:sz w:val="24"/>
                <w:szCs w:val="20"/>
              </w:rPr>
            </w:pPr>
          </w:p>
        </w:tc>
        <w:tc>
          <w:tcPr>
            <w:tcW w:w="3191" w:type="dxa"/>
            <w:vAlign w:val="center"/>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接触器</w:t>
            </w:r>
          </w:p>
        </w:tc>
        <w:tc>
          <w:tcPr>
            <w:tcW w:w="3017"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LS\施耐德\ABB或同级品</w:t>
            </w:r>
          </w:p>
        </w:tc>
        <w:tc>
          <w:tcPr>
            <w:tcW w:w="1183" w:type="dxa"/>
            <w:vAlign w:val="top"/>
          </w:tcPr>
          <w:p>
            <w:pPr>
              <w:spacing w:before="0" w:beforeAutospacing="0" w:after="0" w:afterAutospacing="0" w:line="360" w:lineRule="auto"/>
              <w:ind w:left="0" w:right="0"/>
              <w:rPr>
                <w:rFonts w:hint="eastAsia" w:ascii="仿宋" w:hAnsi="仿宋" w:eastAsia="仿宋" w:cs="仿宋"/>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9" w:type="dxa"/>
            <w:vAlign w:val="top"/>
          </w:tcPr>
          <w:p>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3.3.24</w:t>
            </w:r>
          </w:p>
        </w:tc>
        <w:tc>
          <w:tcPr>
            <w:tcW w:w="1211" w:type="dxa"/>
            <w:vMerge w:val="continue"/>
            <w:vAlign w:val="top"/>
          </w:tcPr>
          <w:p>
            <w:pPr>
              <w:spacing w:before="0" w:beforeAutospacing="0" w:after="0" w:afterAutospacing="0" w:line="360" w:lineRule="auto"/>
              <w:ind w:left="0" w:right="0"/>
              <w:rPr>
                <w:rFonts w:hint="eastAsia" w:ascii="仿宋" w:hAnsi="仿宋" w:eastAsia="仿宋" w:cs="仿宋"/>
                <w:sz w:val="24"/>
                <w:szCs w:val="20"/>
              </w:rPr>
            </w:pPr>
          </w:p>
        </w:tc>
        <w:tc>
          <w:tcPr>
            <w:tcW w:w="3191" w:type="dxa"/>
            <w:vAlign w:val="center"/>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空气开关</w:t>
            </w:r>
          </w:p>
        </w:tc>
        <w:tc>
          <w:tcPr>
            <w:tcW w:w="3017"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LS\施耐德\ABB或同级品</w:t>
            </w:r>
          </w:p>
        </w:tc>
        <w:tc>
          <w:tcPr>
            <w:tcW w:w="1183" w:type="dxa"/>
            <w:vAlign w:val="top"/>
          </w:tcPr>
          <w:p>
            <w:pPr>
              <w:spacing w:before="0" w:beforeAutospacing="0" w:after="0" w:afterAutospacing="0" w:line="360" w:lineRule="auto"/>
              <w:ind w:left="0" w:right="0"/>
              <w:rPr>
                <w:rFonts w:hint="eastAsia" w:ascii="仿宋" w:hAnsi="仿宋" w:eastAsia="仿宋" w:cs="仿宋"/>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9" w:type="dxa"/>
            <w:vAlign w:val="top"/>
          </w:tcPr>
          <w:p>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3.3.25</w:t>
            </w:r>
          </w:p>
        </w:tc>
        <w:tc>
          <w:tcPr>
            <w:tcW w:w="1211" w:type="dxa"/>
            <w:vMerge w:val="continue"/>
            <w:vAlign w:val="top"/>
          </w:tcPr>
          <w:p>
            <w:pPr>
              <w:spacing w:before="0" w:beforeAutospacing="0" w:after="0" w:afterAutospacing="0" w:line="360" w:lineRule="auto"/>
              <w:ind w:left="0" w:right="0"/>
              <w:rPr>
                <w:rFonts w:hint="eastAsia" w:ascii="仿宋" w:hAnsi="仿宋" w:eastAsia="仿宋" w:cs="仿宋"/>
                <w:sz w:val="24"/>
                <w:szCs w:val="20"/>
              </w:rPr>
            </w:pPr>
          </w:p>
        </w:tc>
        <w:tc>
          <w:tcPr>
            <w:tcW w:w="3191"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手动操作面板</w:t>
            </w:r>
          </w:p>
        </w:tc>
        <w:tc>
          <w:tcPr>
            <w:tcW w:w="3017"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厂家自制</w:t>
            </w:r>
          </w:p>
        </w:tc>
        <w:tc>
          <w:tcPr>
            <w:tcW w:w="1183" w:type="dxa"/>
            <w:vAlign w:val="top"/>
          </w:tcPr>
          <w:p>
            <w:pPr>
              <w:spacing w:before="0" w:beforeAutospacing="0" w:after="0" w:afterAutospacing="0" w:line="360" w:lineRule="auto"/>
              <w:ind w:left="0" w:right="0"/>
              <w:rPr>
                <w:rFonts w:hint="eastAsia" w:ascii="仿宋" w:hAnsi="仿宋" w:eastAsia="仿宋" w:cs="仿宋"/>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9" w:type="dxa"/>
            <w:vAlign w:val="top"/>
          </w:tcPr>
          <w:p>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3.3.26</w:t>
            </w:r>
          </w:p>
        </w:tc>
        <w:tc>
          <w:tcPr>
            <w:tcW w:w="1211" w:type="dxa"/>
            <w:vMerge w:val="continue"/>
            <w:vAlign w:val="top"/>
          </w:tcPr>
          <w:p>
            <w:pPr>
              <w:spacing w:before="0" w:beforeAutospacing="0" w:after="0" w:afterAutospacing="0" w:line="360" w:lineRule="auto"/>
              <w:ind w:left="0" w:right="0"/>
              <w:rPr>
                <w:rFonts w:hint="eastAsia" w:ascii="仿宋" w:hAnsi="仿宋" w:eastAsia="仿宋" w:cs="仿宋"/>
                <w:sz w:val="24"/>
                <w:szCs w:val="20"/>
              </w:rPr>
            </w:pPr>
          </w:p>
        </w:tc>
        <w:tc>
          <w:tcPr>
            <w:tcW w:w="3191"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 xml:space="preserve">继电器  </w:t>
            </w:r>
          </w:p>
        </w:tc>
        <w:tc>
          <w:tcPr>
            <w:tcW w:w="3017"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LS \施耐德\ABB或同级品</w:t>
            </w:r>
          </w:p>
        </w:tc>
        <w:tc>
          <w:tcPr>
            <w:tcW w:w="1183" w:type="dxa"/>
            <w:vAlign w:val="top"/>
          </w:tcPr>
          <w:p>
            <w:pPr>
              <w:spacing w:before="0" w:beforeAutospacing="0" w:after="0" w:afterAutospacing="0" w:line="360" w:lineRule="auto"/>
              <w:ind w:left="0" w:right="0"/>
              <w:rPr>
                <w:rFonts w:hint="eastAsia" w:ascii="仿宋" w:hAnsi="仿宋" w:eastAsia="仿宋" w:cs="仿宋"/>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9" w:type="dxa"/>
            <w:vAlign w:val="top"/>
          </w:tcPr>
          <w:p>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3.3.27</w:t>
            </w:r>
          </w:p>
        </w:tc>
        <w:tc>
          <w:tcPr>
            <w:tcW w:w="1211" w:type="dxa"/>
            <w:vMerge w:val="continue"/>
            <w:vAlign w:val="top"/>
          </w:tcPr>
          <w:p>
            <w:pPr>
              <w:spacing w:before="0" w:beforeAutospacing="0" w:after="0" w:afterAutospacing="0" w:line="360" w:lineRule="auto"/>
              <w:ind w:left="0" w:right="0"/>
              <w:rPr>
                <w:rFonts w:hint="eastAsia" w:ascii="仿宋" w:hAnsi="仿宋" w:eastAsia="仿宋" w:cs="仿宋"/>
                <w:sz w:val="24"/>
                <w:szCs w:val="20"/>
              </w:rPr>
            </w:pPr>
          </w:p>
        </w:tc>
        <w:tc>
          <w:tcPr>
            <w:tcW w:w="3191"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 xml:space="preserve">接近开关 </w:t>
            </w:r>
          </w:p>
        </w:tc>
        <w:tc>
          <w:tcPr>
            <w:tcW w:w="3017"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欧姆龙\霍尼韦尔\施诺奇或同级品</w:t>
            </w:r>
          </w:p>
        </w:tc>
        <w:tc>
          <w:tcPr>
            <w:tcW w:w="1183" w:type="dxa"/>
            <w:vAlign w:val="top"/>
          </w:tcPr>
          <w:p>
            <w:pPr>
              <w:spacing w:before="0" w:beforeAutospacing="0" w:after="0" w:afterAutospacing="0" w:line="360" w:lineRule="auto"/>
              <w:ind w:left="0" w:right="0"/>
              <w:rPr>
                <w:rFonts w:hint="eastAsia" w:ascii="仿宋" w:hAnsi="仿宋" w:eastAsia="仿宋" w:cs="仿宋"/>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9" w:type="dxa"/>
            <w:vAlign w:val="top"/>
          </w:tcPr>
          <w:p>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3.3.28</w:t>
            </w:r>
          </w:p>
        </w:tc>
        <w:tc>
          <w:tcPr>
            <w:tcW w:w="1211" w:type="dxa"/>
            <w:vMerge w:val="continue"/>
            <w:vAlign w:val="top"/>
          </w:tcPr>
          <w:p>
            <w:pPr>
              <w:spacing w:before="0" w:beforeAutospacing="0" w:after="0" w:afterAutospacing="0" w:line="360" w:lineRule="auto"/>
              <w:ind w:left="0" w:right="0"/>
              <w:rPr>
                <w:rFonts w:hint="eastAsia" w:ascii="仿宋" w:hAnsi="仿宋" w:eastAsia="仿宋" w:cs="仿宋"/>
                <w:sz w:val="24"/>
                <w:szCs w:val="20"/>
              </w:rPr>
            </w:pPr>
          </w:p>
        </w:tc>
        <w:tc>
          <w:tcPr>
            <w:tcW w:w="3191"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 xml:space="preserve">光电开关 </w:t>
            </w:r>
          </w:p>
        </w:tc>
        <w:tc>
          <w:tcPr>
            <w:tcW w:w="3017"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欧姆龙\倍加福或同级品</w:t>
            </w:r>
          </w:p>
        </w:tc>
        <w:tc>
          <w:tcPr>
            <w:tcW w:w="1183" w:type="dxa"/>
            <w:vAlign w:val="top"/>
          </w:tcPr>
          <w:p>
            <w:pPr>
              <w:spacing w:before="0" w:beforeAutospacing="0" w:after="0" w:afterAutospacing="0" w:line="360" w:lineRule="auto"/>
              <w:ind w:left="0" w:right="0"/>
              <w:rPr>
                <w:rFonts w:hint="eastAsia" w:ascii="仿宋" w:hAnsi="仿宋" w:eastAsia="仿宋" w:cs="仿宋"/>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59" w:type="dxa"/>
            <w:vAlign w:val="top"/>
          </w:tcPr>
          <w:p>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3.3.29</w:t>
            </w:r>
          </w:p>
        </w:tc>
        <w:tc>
          <w:tcPr>
            <w:tcW w:w="1211" w:type="dxa"/>
            <w:vMerge w:val="continue"/>
            <w:vAlign w:val="top"/>
          </w:tcPr>
          <w:p>
            <w:pPr>
              <w:spacing w:before="0" w:beforeAutospacing="0" w:after="0" w:afterAutospacing="0" w:line="360" w:lineRule="auto"/>
              <w:ind w:left="0" w:right="0"/>
              <w:rPr>
                <w:rFonts w:hint="eastAsia" w:ascii="仿宋" w:hAnsi="仿宋" w:eastAsia="仿宋" w:cs="仿宋"/>
                <w:sz w:val="24"/>
                <w:szCs w:val="20"/>
              </w:rPr>
            </w:pPr>
          </w:p>
        </w:tc>
        <w:tc>
          <w:tcPr>
            <w:tcW w:w="3191"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 xml:space="preserve">紧停按钮 </w:t>
            </w:r>
          </w:p>
        </w:tc>
        <w:tc>
          <w:tcPr>
            <w:tcW w:w="3017"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上海天逸或\天得\施耐德或同级品</w:t>
            </w:r>
          </w:p>
        </w:tc>
        <w:tc>
          <w:tcPr>
            <w:tcW w:w="1183" w:type="dxa"/>
            <w:vAlign w:val="top"/>
          </w:tcPr>
          <w:p>
            <w:pPr>
              <w:spacing w:before="0" w:beforeAutospacing="0" w:after="0" w:afterAutospacing="0" w:line="360" w:lineRule="auto"/>
              <w:ind w:left="0" w:right="0"/>
              <w:rPr>
                <w:rFonts w:hint="eastAsia" w:ascii="仿宋" w:hAnsi="仿宋" w:eastAsia="仿宋" w:cs="仿宋"/>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59" w:type="dxa"/>
            <w:vAlign w:val="top"/>
          </w:tcPr>
          <w:p>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3.3.30</w:t>
            </w:r>
          </w:p>
        </w:tc>
        <w:tc>
          <w:tcPr>
            <w:tcW w:w="1211" w:type="dxa"/>
            <w:vMerge w:val="continue"/>
            <w:vAlign w:val="top"/>
          </w:tcPr>
          <w:p>
            <w:pPr>
              <w:spacing w:before="0" w:beforeAutospacing="0" w:after="0" w:afterAutospacing="0" w:line="360" w:lineRule="auto"/>
              <w:ind w:left="0" w:right="0"/>
              <w:rPr>
                <w:rFonts w:hint="eastAsia" w:ascii="仿宋" w:hAnsi="仿宋" w:eastAsia="仿宋" w:cs="仿宋"/>
                <w:sz w:val="24"/>
                <w:szCs w:val="20"/>
              </w:rPr>
            </w:pPr>
          </w:p>
        </w:tc>
        <w:tc>
          <w:tcPr>
            <w:tcW w:w="3191"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 xml:space="preserve">热继电器 </w:t>
            </w:r>
          </w:p>
        </w:tc>
        <w:tc>
          <w:tcPr>
            <w:tcW w:w="3017"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LS\施耐德\ABB或同级品</w:t>
            </w:r>
          </w:p>
        </w:tc>
        <w:tc>
          <w:tcPr>
            <w:tcW w:w="1183" w:type="dxa"/>
            <w:vAlign w:val="top"/>
          </w:tcPr>
          <w:p>
            <w:pPr>
              <w:spacing w:before="0" w:beforeAutospacing="0" w:after="0" w:afterAutospacing="0" w:line="360" w:lineRule="auto"/>
              <w:ind w:left="0" w:right="0"/>
              <w:rPr>
                <w:rFonts w:hint="eastAsia" w:ascii="仿宋" w:hAnsi="仿宋" w:eastAsia="仿宋" w:cs="仿宋"/>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9" w:type="dxa"/>
            <w:vAlign w:val="center"/>
          </w:tcPr>
          <w:p>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3.3.31</w:t>
            </w:r>
          </w:p>
        </w:tc>
        <w:tc>
          <w:tcPr>
            <w:tcW w:w="1211" w:type="dxa"/>
            <w:vAlign w:val="center"/>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车位防坠功能</w:t>
            </w:r>
          </w:p>
        </w:tc>
        <w:tc>
          <w:tcPr>
            <w:tcW w:w="3191" w:type="dxa"/>
            <w:vAlign w:val="center"/>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车库车位结构具有防坠落功能</w:t>
            </w:r>
          </w:p>
        </w:tc>
        <w:tc>
          <w:tcPr>
            <w:tcW w:w="3017"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厂家自制，车位止档</w:t>
            </w:r>
          </w:p>
        </w:tc>
        <w:tc>
          <w:tcPr>
            <w:tcW w:w="1183" w:type="dxa"/>
            <w:vAlign w:val="top"/>
          </w:tcPr>
          <w:p>
            <w:pPr>
              <w:spacing w:before="0" w:beforeAutospacing="0" w:after="0" w:afterAutospacing="0" w:line="360" w:lineRule="auto"/>
              <w:ind w:left="0" w:right="0"/>
              <w:rPr>
                <w:rFonts w:hint="eastAsia" w:ascii="仿宋" w:hAnsi="仿宋" w:eastAsia="仿宋" w:cs="仿宋"/>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9" w:type="dxa"/>
            <w:vAlign w:val="center"/>
          </w:tcPr>
          <w:p>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3.3.32</w:t>
            </w:r>
          </w:p>
        </w:tc>
        <w:tc>
          <w:tcPr>
            <w:tcW w:w="1211" w:type="dxa"/>
            <w:vAlign w:val="center"/>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出入室</w:t>
            </w:r>
          </w:p>
        </w:tc>
        <w:tc>
          <w:tcPr>
            <w:tcW w:w="3191" w:type="dxa"/>
            <w:vAlign w:val="center"/>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出入室具有安全检测系统，且配置停车引导系统，并设置人性化的声、光提示装置</w:t>
            </w:r>
          </w:p>
        </w:tc>
        <w:tc>
          <w:tcPr>
            <w:tcW w:w="3017"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厂家自制</w:t>
            </w:r>
          </w:p>
        </w:tc>
        <w:tc>
          <w:tcPr>
            <w:tcW w:w="1183" w:type="dxa"/>
            <w:vAlign w:val="top"/>
          </w:tcPr>
          <w:p>
            <w:pPr>
              <w:spacing w:before="0" w:beforeAutospacing="0" w:after="0" w:afterAutospacing="0" w:line="360" w:lineRule="auto"/>
              <w:ind w:left="0" w:right="0"/>
              <w:rPr>
                <w:rFonts w:hint="eastAsia" w:ascii="仿宋" w:hAnsi="仿宋" w:eastAsia="仿宋" w:cs="仿宋"/>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9" w:type="dxa"/>
            <w:vAlign w:val="center"/>
          </w:tcPr>
          <w:p>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3.3.33</w:t>
            </w:r>
          </w:p>
        </w:tc>
        <w:tc>
          <w:tcPr>
            <w:tcW w:w="1211" w:type="dxa"/>
            <w:vAlign w:val="center"/>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安全保护</w:t>
            </w:r>
          </w:p>
        </w:tc>
        <w:tc>
          <w:tcPr>
            <w:tcW w:w="3191" w:type="dxa"/>
            <w:vAlign w:val="center"/>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1、出入口导向灯、内部提示灯、车辆导向镜；</w:t>
            </w:r>
          </w:p>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2、自动门光电保护、出入口及车辆位置传感器检知装置；</w:t>
            </w:r>
          </w:p>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3、紧急操作、应急照明系统；</w:t>
            </w:r>
          </w:p>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4、安全运转确认系统；</w:t>
            </w:r>
          </w:p>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5、断电自锁装置；</w:t>
            </w:r>
          </w:p>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6、存取车模拟显示、全程出入监控、语音提示、储存记录；</w:t>
            </w:r>
          </w:p>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7、故障自动报警及显示功能；</w:t>
            </w:r>
          </w:p>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8、手动自动切换；</w:t>
            </w:r>
          </w:p>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9、电源相位自动检测切换；</w:t>
            </w:r>
          </w:p>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10、人员感知及警示装置。</w:t>
            </w:r>
          </w:p>
        </w:tc>
        <w:tc>
          <w:tcPr>
            <w:tcW w:w="3017" w:type="dxa"/>
            <w:vAlign w:val="top"/>
          </w:tcPr>
          <w:p>
            <w:pPr>
              <w:spacing w:before="0" w:beforeAutospacing="0" w:after="0" w:afterAutospacing="0" w:line="360" w:lineRule="auto"/>
              <w:ind w:left="0" w:right="0"/>
              <w:jc w:val="left"/>
              <w:rPr>
                <w:rFonts w:hint="eastAsia" w:ascii="仿宋" w:hAnsi="仿宋" w:eastAsia="仿宋" w:cs="仿宋"/>
                <w:sz w:val="24"/>
                <w:szCs w:val="20"/>
              </w:rPr>
            </w:pPr>
            <w:r>
              <w:rPr>
                <w:rFonts w:hint="eastAsia" w:ascii="仿宋" w:hAnsi="仿宋" w:eastAsia="仿宋" w:cs="仿宋"/>
                <w:sz w:val="24"/>
                <w:szCs w:val="20"/>
              </w:rPr>
              <w:t>厂家自制</w:t>
            </w:r>
          </w:p>
        </w:tc>
        <w:tc>
          <w:tcPr>
            <w:tcW w:w="1183" w:type="dxa"/>
            <w:vAlign w:val="top"/>
          </w:tcPr>
          <w:p>
            <w:pPr>
              <w:spacing w:before="0" w:beforeAutospacing="0" w:after="0" w:afterAutospacing="0" w:line="360" w:lineRule="auto"/>
              <w:ind w:left="0" w:right="0"/>
              <w:rPr>
                <w:rFonts w:hint="eastAsia" w:ascii="仿宋" w:hAnsi="仿宋" w:eastAsia="仿宋" w:cs="仿宋"/>
                <w:sz w:val="24"/>
                <w:szCs w:val="20"/>
              </w:rPr>
            </w:pPr>
          </w:p>
        </w:tc>
      </w:tr>
    </w:tbl>
    <w:p>
      <w:pPr>
        <w:pStyle w:val="35"/>
        <w:rPr>
          <w:rFonts w:hint="eastAsia" w:ascii="仿宋" w:hAnsi="仿宋" w:eastAsia="仿宋" w:cs="仿宋"/>
          <w:sz w:val="24"/>
          <w:szCs w:val="24"/>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276"/>
        <w:gridCol w:w="623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序号</w:t>
            </w:r>
          </w:p>
        </w:tc>
        <w:tc>
          <w:tcPr>
            <w:tcW w:w="1276" w:type="dxa"/>
            <w:vAlign w:val="center"/>
          </w:tcPr>
          <w:p>
            <w:pPr>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部件名称</w:t>
            </w:r>
          </w:p>
        </w:tc>
        <w:tc>
          <w:tcPr>
            <w:tcW w:w="6237" w:type="dxa"/>
            <w:vAlign w:val="center"/>
          </w:tcPr>
          <w:p>
            <w:pPr>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规格及要求</w:t>
            </w:r>
          </w:p>
        </w:tc>
        <w:tc>
          <w:tcPr>
            <w:tcW w:w="1134" w:type="dxa"/>
            <w:vAlign w:val="center"/>
          </w:tcPr>
          <w:p>
            <w:pPr>
              <w:pStyle w:val="26"/>
              <w:spacing w:before="0" w:beforeAutospacing="0" w:after="0" w:afterAutospacing="0" w:line="360" w:lineRule="auto"/>
              <w:ind w:left="0" w:leftChars="0" w:right="0" w:firstLine="0" w:firstLineChars="0"/>
              <w:jc w:val="center"/>
              <w:rPr>
                <w:rFonts w:hint="eastAsia" w:ascii="仿宋" w:hAnsi="仿宋" w:eastAsia="仿宋" w:cs="仿宋"/>
                <w:bCs/>
                <w:iCs/>
                <w:sz w:val="24"/>
              </w:rPr>
            </w:pPr>
            <w:r>
              <w:rPr>
                <w:rFonts w:hint="eastAsia" w:ascii="仿宋" w:hAnsi="仿宋" w:eastAsia="仿宋" w:cs="仿宋"/>
                <w:bCs/>
                <w:i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3.3.34</w:t>
            </w:r>
          </w:p>
        </w:tc>
        <w:tc>
          <w:tcPr>
            <w:tcW w:w="1276" w:type="dxa"/>
            <w:vAlign w:val="center"/>
          </w:tcPr>
          <w:p>
            <w:pPr>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存取车操作方式</w:t>
            </w:r>
          </w:p>
        </w:tc>
        <w:tc>
          <w:tcPr>
            <w:tcW w:w="6237" w:type="dxa"/>
            <w:vAlign w:val="center"/>
          </w:tcPr>
          <w:p>
            <w:pPr>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1、在每个入口处设置壁挂式液晶操作屏，实现自助存车，输入车牌取车等功能，停车入库后壁挂式液晶操作屏上自动显示车牌号码，取车时输入车牌取车（输入3位数字即可检索车牌）；</w:t>
            </w:r>
          </w:p>
          <w:p>
            <w:pPr>
              <w:spacing w:before="0" w:beforeAutospacing="0" w:after="0" w:afterAutospacing="0" w:line="360" w:lineRule="auto"/>
              <w:ind w:left="0" w:right="0"/>
              <w:jc w:val="both"/>
              <w:rPr>
                <w:rFonts w:hint="eastAsia" w:ascii="仿宋" w:hAnsi="仿宋" w:eastAsia="仿宋" w:cs="仿宋"/>
                <w:sz w:val="24"/>
              </w:rPr>
            </w:pPr>
            <w:r>
              <w:rPr>
                <w:rFonts w:hint="eastAsia" w:ascii="仿宋" w:hAnsi="仿宋" w:eastAsia="仿宋" w:cs="仿宋"/>
                <w:sz w:val="24"/>
              </w:rPr>
              <w:t>2、控制室触摸屏自动操作模式；</w:t>
            </w:r>
          </w:p>
          <w:p>
            <w:pPr>
              <w:spacing w:before="0" w:beforeAutospacing="0" w:after="0" w:afterAutospacing="0" w:line="360" w:lineRule="auto"/>
              <w:ind w:left="0" w:right="0"/>
              <w:jc w:val="both"/>
              <w:rPr>
                <w:rFonts w:hint="eastAsia" w:ascii="仿宋" w:hAnsi="仿宋" w:eastAsia="仿宋" w:cs="仿宋"/>
                <w:sz w:val="24"/>
              </w:rPr>
            </w:pPr>
            <w:r>
              <w:rPr>
                <w:rFonts w:hint="eastAsia" w:ascii="仿宋" w:hAnsi="仿宋" w:eastAsia="仿宋" w:cs="仿宋"/>
                <w:sz w:val="24"/>
              </w:rPr>
              <w:t>3、车牌识别系统、引导系统：自动引导车辆入库。</w:t>
            </w:r>
          </w:p>
          <w:p>
            <w:pPr>
              <w:spacing w:before="0" w:beforeAutospacing="0" w:after="0" w:afterAutospacing="0" w:line="360" w:lineRule="auto"/>
              <w:ind w:left="0" w:right="0"/>
              <w:jc w:val="both"/>
              <w:rPr>
                <w:rFonts w:hint="eastAsia" w:ascii="仿宋" w:hAnsi="仿宋" w:eastAsia="仿宋" w:cs="仿宋"/>
                <w:sz w:val="24"/>
              </w:rPr>
            </w:pPr>
            <w:r>
              <w:rPr>
                <w:rFonts w:hint="eastAsia" w:ascii="仿宋" w:hAnsi="仿宋" w:eastAsia="仿宋" w:cs="仿宋"/>
                <w:sz w:val="24"/>
              </w:rPr>
              <w:t>4、步进操作模式：仅用于调试及维修等操作情况；</w:t>
            </w:r>
          </w:p>
          <w:p>
            <w:pPr>
              <w:spacing w:before="0" w:beforeAutospacing="0" w:after="0" w:afterAutospacing="0" w:line="360" w:lineRule="auto"/>
              <w:ind w:left="0" w:right="0"/>
              <w:jc w:val="both"/>
              <w:rPr>
                <w:rFonts w:hint="eastAsia" w:ascii="仿宋" w:hAnsi="仿宋" w:eastAsia="仿宋" w:cs="仿宋"/>
                <w:sz w:val="24"/>
              </w:rPr>
            </w:pPr>
            <w:r>
              <w:rPr>
                <w:rFonts w:hint="eastAsia" w:ascii="仿宋" w:hAnsi="仿宋" w:eastAsia="仿宋" w:cs="仿宋"/>
                <w:sz w:val="24"/>
              </w:rPr>
              <w:t>5、手动操作模式：仅用于维修及紧急状态下操作；</w:t>
            </w:r>
          </w:p>
        </w:tc>
        <w:tc>
          <w:tcPr>
            <w:tcW w:w="1134" w:type="dxa"/>
            <w:vAlign w:val="center"/>
          </w:tcPr>
          <w:p>
            <w:pPr>
              <w:pStyle w:val="26"/>
              <w:spacing w:before="0" w:beforeAutospacing="0" w:after="0" w:afterAutospacing="0" w:line="360" w:lineRule="auto"/>
              <w:ind w:left="0" w:leftChars="0" w:right="0" w:firstLine="0" w:firstLineChars="0"/>
              <w:jc w:val="center"/>
              <w:rPr>
                <w:rFonts w:hint="eastAsia" w:ascii="仿宋" w:hAnsi="仿宋" w:eastAsia="仿宋" w:cs="仿宋"/>
                <w:bCs/>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3.3.35</w:t>
            </w:r>
          </w:p>
        </w:tc>
        <w:tc>
          <w:tcPr>
            <w:tcW w:w="1276" w:type="dxa"/>
            <w:vAlign w:val="center"/>
          </w:tcPr>
          <w:p>
            <w:pPr>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壁挂式存取车屏</w:t>
            </w:r>
          </w:p>
        </w:tc>
        <w:tc>
          <w:tcPr>
            <w:tcW w:w="6237" w:type="dxa"/>
            <w:vAlign w:val="center"/>
          </w:tcPr>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LED 21寸高亮液晶屏 半室外显示屏 户外高亮 亮度1000</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分辨率（像素）：1920*1080</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屏幕高宽比：16：9</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频率：60Hz</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视角：85/85/80/80 (左/右/上/下)</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对比率：1000: 1</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响应时间：4.0</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8.耐用时间：100000小时以上</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9.工作温度：-30度至70度</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10.支持功能：人脸识别、指纹、NFC刷卡（功能需开通）</w:t>
            </w:r>
          </w:p>
        </w:tc>
        <w:tc>
          <w:tcPr>
            <w:tcW w:w="1134" w:type="dxa"/>
            <w:vAlign w:val="center"/>
          </w:tcPr>
          <w:p>
            <w:pPr>
              <w:pStyle w:val="26"/>
              <w:spacing w:before="0" w:beforeAutospacing="0" w:after="0" w:afterAutospacing="0" w:line="360" w:lineRule="auto"/>
              <w:ind w:left="0" w:leftChars="0" w:right="0" w:firstLine="0" w:firstLineChars="0"/>
              <w:jc w:val="center"/>
              <w:rPr>
                <w:rFonts w:hint="eastAsia" w:ascii="仿宋" w:hAnsi="仿宋" w:eastAsia="仿宋" w:cs="仿宋"/>
                <w:bCs/>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center"/>
          </w:tcPr>
          <w:p>
            <w:pPr>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3.3.36</w:t>
            </w:r>
          </w:p>
        </w:tc>
        <w:tc>
          <w:tcPr>
            <w:tcW w:w="1276" w:type="dxa"/>
            <w:vAlign w:val="center"/>
          </w:tcPr>
          <w:p>
            <w:pPr>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库门取车缴费设施</w:t>
            </w:r>
          </w:p>
        </w:tc>
        <w:tc>
          <w:tcPr>
            <w:tcW w:w="6237" w:type="dxa"/>
            <w:vAlign w:val="center"/>
          </w:tcPr>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1.高效、智能，具有语音提示功能，可以实现收费功能</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2.支持微信、支付宝扫码电子缴费</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3.支持先取车，停车场出入口缴费</w:t>
            </w:r>
          </w:p>
        </w:tc>
        <w:tc>
          <w:tcPr>
            <w:tcW w:w="1134" w:type="dxa"/>
            <w:vAlign w:val="center"/>
          </w:tcPr>
          <w:p>
            <w:pPr>
              <w:pStyle w:val="26"/>
              <w:spacing w:before="0" w:beforeAutospacing="0" w:after="0" w:afterAutospacing="0" w:line="360" w:lineRule="auto"/>
              <w:ind w:left="0" w:leftChars="0" w:right="0" w:firstLine="0" w:firstLineChars="0"/>
              <w:jc w:val="center"/>
              <w:rPr>
                <w:rFonts w:hint="eastAsia" w:ascii="仿宋" w:hAnsi="仿宋" w:eastAsia="仿宋" w:cs="仿宋"/>
                <w:bCs/>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3.3.37</w:t>
            </w:r>
          </w:p>
        </w:tc>
        <w:tc>
          <w:tcPr>
            <w:tcW w:w="1276" w:type="dxa"/>
            <w:vAlign w:val="center"/>
          </w:tcPr>
          <w:p>
            <w:pPr>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派库引导显示屏</w:t>
            </w:r>
          </w:p>
        </w:tc>
        <w:tc>
          <w:tcPr>
            <w:tcW w:w="6237" w:type="dxa"/>
            <w:vAlign w:val="center"/>
          </w:tcPr>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整体尺寸：512*1024mm，室外防水，配套立柱安装，主要实现车辆派位显示功能，显示车辆超重、超高信息及派库引导信息。</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rPr>
              <w:tab/>
            </w:r>
            <w:r>
              <w:rPr>
                <w:rFonts w:hint="eastAsia" w:ascii="仿宋" w:hAnsi="仿宋" w:eastAsia="仿宋" w:cs="仿宋"/>
                <w:sz w:val="24"/>
              </w:rPr>
              <w:t>单元板尺寸</w:t>
            </w:r>
            <w:r>
              <w:rPr>
                <w:rFonts w:hint="eastAsia" w:ascii="仿宋" w:hAnsi="仿宋" w:eastAsia="仿宋" w:cs="仿宋"/>
                <w:sz w:val="24"/>
              </w:rPr>
              <w:tab/>
            </w:r>
            <w:r>
              <w:rPr>
                <w:rFonts w:hint="eastAsia" w:ascii="仿宋" w:hAnsi="仿宋" w:eastAsia="仿宋" w:cs="仿宋"/>
                <w:sz w:val="24"/>
              </w:rPr>
              <w:t>128mm*256mm</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rPr>
              <w:tab/>
            </w:r>
            <w:r>
              <w:rPr>
                <w:rFonts w:hint="eastAsia" w:ascii="仿宋" w:hAnsi="仿宋" w:eastAsia="仿宋" w:cs="仿宋"/>
                <w:sz w:val="24"/>
              </w:rPr>
              <w:t>像素间距</w:t>
            </w:r>
            <w:r>
              <w:rPr>
                <w:rFonts w:hint="eastAsia" w:ascii="仿宋" w:hAnsi="仿宋" w:eastAsia="仿宋" w:cs="仿宋"/>
                <w:sz w:val="24"/>
              </w:rPr>
              <w:tab/>
            </w:r>
            <w:r>
              <w:rPr>
                <w:rFonts w:hint="eastAsia" w:ascii="仿宋" w:hAnsi="仿宋" w:eastAsia="仿宋" w:cs="仿宋"/>
                <w:sz w:val="24"/>
              </w:rPr>
              <w:t>8mm</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rPr>
              <w:tab/>
            </w:r>
            <w:r>
              <w:rPr>
                <w:rFonts w:hint="eastAsia" w:ascii="仿宋" w:hAnsi="仿宋" w:eastAsia="仿宋" w:cs="仿宋"/>
                <w:sz w:val="24"/>
              </w:rPr>
              <w:t>物料密度</w:t>
            </w:r>
            <w:r>
              <w:rPr>
                <w:rFonts w:hint="eastAsia" w:ascii="仿宋" w:hAnsi="仿宋" w:eastAsia="仿宋" w:cs="仿宋"/>
                <w:sz w:val="24"/>
              </w:rPr>
              <w:tab/>
            </w:r>
            <w:r>
              <w:rPr>
                <w:rFonts w:hint="eastAsia" w:ascii="仿宋" w:hAnsi="仿宋" w:eastAsia="仿宋" w:cs="仿宋"/>
                <w:sz w:val="24"/>
              </w:rPr>
              <w:t>15625点/㎡</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rPr>
              <w:tab/>
            </w:r>
            <w:r>
              <w:rPr>
                <w:rFonts w:hint="eastAsia" w:ascii="仿宋" w:hAnsi="仿宋" w:eastAsia="仿宋" w:cs="仿宋"/>
                <w:sz w:val="24"/>
              </w:rPr>
              <w:t>扫描方式</w:t>
            </w:r>
            <w:r>
              <w:rPr>
                <w:rFonts w:hint="eastAsia" w:ascii="仿宋" w:hAnsi="仿宋" w:eastAsia="仿宋" w:cs="仿宋"/>
                <w:sz w:val="24"/>
              </w:rPr>
              <w:tab/>
            </w:r>
            <w:r>
              <w:rPr>
                <w:rFonts w:hint="eastAsia" w:ascii="仿宋" w:hAnsi="仿宋" w:eastAsia="仿宋" w:cs="仿宋"/>
                <w:sz w:val="24"/>
              </w:rPr>
              <w:t>1/4恒流驱动</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rPr>
              <w:tab/>
            </w:r>
            <w:r>
              <w:rPr>
                <w:rFonts w:hint="eastAsia" w:ascii="仿宋" w:hAnsi="仿宋" w:eastAsia="仿宋" w:cs="仿宋"/>
                <w:sz w:val="24"/>
              </w:rPr>
              <w:t>颜色显示</w:t>
            </w:r>
            <w:r>
              <w:rPr>
                <w:rFonts w:hint="eastAsia" w:ascii="仿宋" w:hAnsi="仿宋" w:eastAsia="仿宋" w:cs="仿宋"/>
                <w:sz w:val="24"/>
              </w:rPr>
              <w:tab/>
            </w:r>
            <w:r>
              <w:rPr>
                <w:rFonts w:hint="eastAsia" w:ascii="仿宋" w:hAnsi="仿宋" w:eastAsia="仿宋" w:cs="仿宋"/>
                <w:sz w:val="24"/>
              </w:rPr>
              <w:t>红/绿/黄(可自由设置某单色)</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6</w:t>
            </w:r>
            <w:r>
              <w:rPr>
                <w:rFonts w:hint="eastAsia" w:ascii="仿宋" w:hAnsi="仿宋" w:eastAsia="仿宋" w:cs="仿宋"/>
                <w:sz w:val="24"/>
              </w:rPr>
              <w:tab/>
            </w:r>
            <w:r>
              <w:rPr>
                <w:rFonts w:hint="eastAsia" w:ascii="仿宋" w:hAnsi="仿宋" w:eastAsia="仿宋" w:cs="仿宋"/>
                <w:sz w:val="24"/>
              </w:rPr>
              <w:t>整屏亮度</w:t>
            </w:r>
            <w:r>
              <w:rPr>
                <w:rFonts w:hint="eastAsia" w:ascii="仿宋" w:hAnsi="仿宋" w:eastAsia="仿宋" w:cs="仿宋"/>
                <w:sz w:val="24"/>
              </w:rPr>
              <w:tab/>
            </w:r>
            <w:r>
              <w:rPr>
                <w:rFonts w:hint="eastAsia" w:ascii="仿宋" w:hAnsi="仿宋" w:eastAsia="仿宋" w:cs="仿宋"/>
                <w:sz w:val="24"/>
              </w:rPr>
              <w:t>6000mcd/㎡</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7</w:t>
            </w:r>
            <w:r>
              <w:rPr>
                <w:rFonts w:hint="eastAsia" w:ascii="仿宋" w:hAnsi="仿宋" w:eastAsia="仿宋" w:cs="仿宋"/>
                <w:sz w:val="24"/>
              </w:rPr>
              <w:tab/>
            </w:r>
            <w:r>
              <w:rPr>
                <w:rFonts w:hint="eastAsia" w:ascii="仿宋" w:hAnsi="仿宋" w:eastAsia="仿宋" w:cs="仿宋"/>
                <w:sz w:val="24"/>
              </w:rPr>
              <w:t>刷新频率</w:t>
            </w:r>
            <w:r>
              <w:rPr>
                <w:rFonts w:hint="eastAsia" w:ascii="仿宋" w:hAnsi="仿宋" w:eastAsia="仿宋" w:cs="仿宋"/>
                <w:sz w:val="24"/>
              </w:rPr>
              <w:tab/>
            </w:r>
            <w:r>
              <w:rPr>
                <w:rFonts w:hint="eastAsia" w:ascii="仿宋" w:hAnsi="仿宋" w:eastAsia="仿宋" w:cs="仿宋"/>
                <w:sz w:val="24"/>
              </w:rPr>
              <w:t>≥500HZ</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rPr>
              <w:tab/>
            </w:r>
            <w:r>
              <w:rPr>
                <w:rFonts w:hint="eastAsia" w:ascii="仿宋" w:hAnsi="仿宋" w:eastAsia="仿宋" w:cs="仿宋"/>
                <w:sz w:val="24"/>
              </w:rPr>
              <w:t>换幀频率</w:t>
            </w:r>
            <w:r>
              <w:rPr>
                <w:rFonts w:hint="eastAsia" w:ascii="仿宋" w:hAnsi="仿宋" w:eastAsia="仿宋" w:cs="仿宋"/>
                <w:sz w:val="24"/>
              </w:rPr>
              <w:tab/>
            </w:r>
            <w:r>
              <w:rPr>
                <w:rFonts w:hint="eastAsia" w:ascii="仿宋" w:hAnsi="仿宋" w:eastAsia="仿宋" w:cs="仿宋"/>
                <w:sz w:val="24"/>
              </w:rPr>
              <w:t>≥60幀每秒</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9</w:t>
            </w:r>
            <w:r>
              <w:rPr>
                <w:rFonts w:hint="eastAsia" w:ascii="仿宋" w:hAnsi="仿宋" w:eastAsia="仿宋" w:cs="仿宋"/>
                <w:sz w:val="24"/>
              </w:rPr>
              <w:tab/>
            </w:r>
            <w:r>
              <w:rPr>
                <w:rFonts w:hint="eastAsia" w:ascii="仿宋" w:hAnsi="仿宋" w:eastAsia="仿宋" w:cs="仿宋"/>
                <w:sz w:val="24"/>
              </w:rPr>
              <w:t>可视角度</w:t>
            </w:r>
            <w:r>
              <w:rPr>
                <w:rFonts w:hint="eastAsia" w:ascii="仿宋" w:hAnsi="仿宋" w:eastAsia="仿宋" w:cs="仿宋"/>
                <w:sz w:val="24"/>
              </w:rPr>
              <w:tab/>
            </w:r>
            <w:r>
              <w:rPr>
                <w:rFonts w:hint="eastAsia" w:ascii="仿宋" w:hAnsi="仿宋" w:eastAsia="仿宋" w:cs="仿宋"/>
                <w:sz w:val="24"/>
              </w:rPr>
              <w:t>水平≥120°</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10</w:t>
            </w:r>
            <w:r>
              <w:rPr>
                <w:rFonts w:hint="eastAsia" w:ascii="仿宋" w:hAnsi="仿宋" w:eastAsia="仿宋" w:cs="仿宋"/>
                <w:sz w:val="24"/>
              </w:rPr>
              <w:tab/>
            </w:r>
            <w:r>
              <w:rPr>
                <w:rFonts w:hint="eastAsia" w:ascii="仿宋" w:hAnsi="仿宋" w:eastAsia="仿宋" w:cs="仿宋"/>
                <w:sz w:val="24"/>
              </w:rPr>
              <w:t>工作温度</w:t>
            </w:r>
            <w:r>
              <w:rPr>
                <w:rFonts w:hint="eastAsia" w:ascii="仿宋" w:hAnsi="仿宋" w:eastAsia="仿宋" w:cs="仿宋"/>
                <w:sz w:val="24"/>
              </w:rPr>
              <w:tab/>
            </w:r>
            <w:r>
              <w:rPr>
                <w:rFonts w:hint="eastAsia" w:ascii="仿宋" w:hAnsi="仿宋" w:eastAsia="仿宋" w:cs="仿宋"/>
                <w:sz w:val="24"/>
              </w:rPr>
              <w:t>-20℃ ～ +75℃</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11</w:t>
            </w:r>
            <w:r>
              <w:rPr>
                <w:rFonts w:hint="eastAsia" w:ascii="仿宋" w:hAnsi="仿宋" w:eastAsia="仿宋" w:cs="仿宋"/>
                <w:sz w:val="24"/>
              </w:rPr>
              <w:tab/>
            </w:r>
            <w:r>
              <w:rPr>
                <w:rFonts w:hint="eastAsia" w:ascii="仿宋" w:hAnsi="仿宋" w:eastAsia="仿宋" w:cs="仿宋"/>
                <w:sz w:val="24"/>
              </w:rPr>
              <w:t>工作电压</w:t>
            </w:r>
            <w:r>
              <w:rPr>
                <w:rFonts w:hint="eastAsia" w:ascii="仿宋" w:hAnsi="仿宋" w:eastAsia="仿宋" w:cs="仿宋"/>
                <w:sz w:val="24"/>
              </w:rPr>
              <w:tab/>
            </w:r>
            <w:r>
              <w:rPr>
                <w:rFonts w:hint="eastAsia" w:ascii="仿宋" w:hAnsi="仿宋" w:eastAsia="仿宋" w:cs="仿宋"/>
                <w:sz w:val="24"/>
              </w:rPr>
              <w:t>DC 5V</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12</w:t>
            </w:r>
            <w:r>
              <w:rPr>
                <w:rFonts w:hint="eastAsia" w:ascii="仿宋" w:hAnsi="仿宋" w:eastAsia="仿宋" w:cs="仿宋"/>
                <w:sz w:val="24"/>
              </w:rPr>
              <w:tab/>
            </w:r>
            <w:r>
              <w:rPr>
                <w:rFonts w:hint="eastAsia" w:ascii="仿宋" w:hAnsi="仿宋" w:eastAsia="仿宋" w:cs="仿宋"/>
                <w:sz w:val="24"/>
              </w:rPr>
              <w:t>屏幕寿命</w:t>
            </w:r>
            <w:r>
              <w:rPr>
                <w:rFonts w:hint="eastAsia" w:ascii="仿宋" w:hAnsi="仿宋" w:eastAsia="仿宋" w:cs="仿宋"/>
                <w:sz w:val="24"/>
              </w:rPr>
              <w:tab/>
            </w:r>
            <w:r>
              <w:rPr>
                <w:rFonts w:hint="eastAsia" w:ascii="仿宋" w:hAnsi="仿宋" w:eastAsia="仿宋" w:cs="仿宋"/>
                <w:sz w:val="24"/>
              </w:rPr>
              <w:t>＞10万小时</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13</w:t>
            </w:r>
            <w:r>
              <w:rPr>
                <w:rFonts w:hint="eastAsia" w:ascii="仿宋" w:hAnsi="仿宋" w:eastAsia="仿宋" w:cs="仿宋"/>
                <w:sz w:val="24"/>
              </w:rPr>
              <w:tab/>
            </w:r>
            <w:r>
              <w:rPr>
                <w:rFonts w:hint="eastAsia" w:ascii="仿宋" w:hAnsi="仿宋" w:eastAsia="仿宋" w:cs="仿宋"/>
                <w:sz w:val="24"/>
              </w:rPr>
              <w:t>单元板功耗</w:t>
            </w:r>
            <w:r>
              <w:rPr>
                <w:rFonts w:hint="eastAsia" w:ascii="仿宋" w:hAnsi="仿宋" w:eastAsia="仿宋" w:cs="仿宋"/>
                <w:sz w:val="24"/>
              </w:rPr>
              <w:tab/>
            </w:r>
            <w:r>
              <w:rPr>
                <w:rFonts w:hint="eastAsia" w:ascii="仿宋" w:hAnsi="仿宋" w:eastAsia="仿宋" w:cs="仿宋"/>
                <w:sz w:val="24"/>
              </w:rPr>
              <w:t>小于等于40W</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14</w:t>
            </w:r>
            <w:r>
              <w:rPr>
                <w:rFonts w:hint="eastAsia" w:ascii="仿宋" w:hAnsi="仿宋" w:eastAsia="仿宋" w:cs="仿宋"/>
                <w:sz w:val="24"/>
              </w:rPr>
              <w:tab/>
            </w:r>
            <w:r>
              <w:rPr>
                <w:rFonts w:hint="eastAsia" w:ascii="仿宋" w:hAnsi="仿宋" w:eastAsia="仿宋" w:cs="仿宋"/>
                <w:sz w:val="24"/>
              </w:rPr>
              <w:t>显示方式</w:t>
            </w:r>
            <w:r>
              <w:rPr>
                <w:rFonts w:hint="eastAsia" w:ascii="仿宋" w:hAnsi="仿宋" w:eastAsia="仿宋" w:cs="仿宋"/>
                <w:sz w:val="24"/>
              </w:rPr>
              <w:tab/>
            </w:r>
            <w:r>
              <w:rPr>
                <w:rFonts w:hint="eastAsia" w:ascii="仿宋" w:hAnsi="仿宋" w:eastAsia="仿宋" w:cs="仿宋"/>
                <w:sz w:val="24"/>
              </w:rPr>
              <w:t>滚动/翻页/禁止 等</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15</w:t>
            </w:r>
            <w:r>
              <w:rPr>
                <w:rFonts w:hint="eastAsia" w:ascii="仿宋" w:hAnsi="仿宋" w:eastAsia="仿宋" w:cs="仿宋"/>
                <w:sz w:val="24"/>
              </w:rPr>
              <w:tab/>
            </w:r>
            <w:r>
              <w:rPr>
                <w:rFonts w:hint="eastAsia" w:ascii="仿宋" w:hAnsi="仿宋" w:eastAsia="仿宋" w:cs="仿宋"/>
                <w:sz w:val="24"/>
              </w:rPr>
              <w:t>工作电压</w:t>
            </w:r>
            <w:r>
              <w:rPr>
                <w:rFonts w:hint="eastAsia" w:ascii="仿宋" w:hAnsi="仿宋" w:eastAsia="仿宋" w:cs="仿宋"/>
                <w:sz w:val="24"/>
              </w:rPr>
              <w:tab/>
            </w:r>
            <w:r>
              <w:rPr>
                <w:rFonts w:hint="eastAsia" w:ascii="仿宋" w:hAnsi="仿宋" w:eastAsia="仿宋" w:cs="仿宋"/>
                <w:sz w:val="24"/>
              </w:rPr>
              <w:t>DC 5V</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16</w:t>
            </w:r>
            <w:r>
              <w:rPr>
                <w:rFonts w:hint="eastAsia" w:ascii="仿宋" w:hAnsi="仿宋" w:eastAsia="仿宋" w:cs="仿宋"/>
                <w:sz w:val="24"/>
              </w:rPr>
              <w:tab/>
            </w:r>
            <w:r>
              <w:rPr>
                <w:rFonts w:hint="eastAsia" w:ascii="仿宋" w:hAnsi="仿宋" w:eastAsia="仿宋" w:cs="仿宋"/>
                <w:sz w:val="24"/>
              </w:rPr>
              <w:t>通讯接口</w:t>
            </w:r>
            <w:r>
              <w:rPr>
                <w:rFonts w:hint="eastAsia" w:ascii="仿宋" w:hAnsi="仿宋" w:eastAsia="仿宋" w:cs="仿宋"/>
                <w:sz w:val="24"/>
              </w:rPr>
              <w:tab/>
            </w:r>
            <w:r>
              <w:rPr>
                <w:rFonts w:hint="eastAsia" w:ascii="仿宋" w:hAnsi="仿宋" w:eastAsia="仿宋" w:cs="仿宋"/>
                <w:sz w:val="24"/>
              </w:rPr>
              <w:t>TCP/IP</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17</w:t>
            </w:r>
            <w:r>
              <w:rPr>
                <w:rFonts w:hint="eastAsia" w:ascii="仿宋" w:hAnsi="仿宋" w:eastAsia="仿宋" w:cs="仿宋"/>
                <w:sz w:val="24"/>
              </w:rPr>
              <w:tab/>
            </w:r>
            <w:r>
              <w:rPr>
                <w:rFonts w:hint="eastAsia" w:ascii="仿宋" w:hAnsi="仿宋" w:eastAsia="仿宋" w:cs="仿宋"/>
                <w:sz w:val="24"/>
              </w:rPr>
              <w:t>语音播报</w:t>
            </w:r>
            <w:r>
              <w:rPr>
                <w:rFonts w:hint="eastAsia" w:ascii="仿宋" w:hAnsi="仿宋" w:eastAsia="仿宋" w:cs="仿宋"/>
                <w:sz w:val="24"/>
              </w:rPr>
              <w:tab/>
            </w:r>
            <w:r>
              <w:rPr>
                <w:rFonts w:hint="eastAsia" w:ascii="仿宋" w:hAnsi="仿宋" w:eastAsia="仿宋" w:cs="仿宋"/>
                <w:sz w:val="24"/>
              </w:rPr>
              <w:t>有</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18</w:t>
            </w:r>
            <w:r>
              <w:rPr>
                <w:rFonts w:hint="eastAsia" w:ascii="仿宋" w:hAnsi="仿宋" w:eastAsia="仿宋" w:cs="仿宋"/>
                <w:sz w:val="24"/>
              </w:rPr>
              <w:tab/>
            </w:r>
            <w:r>
              <w:rPr>
                <w:rFonts w:hint="eastAsia" w:ascii="仿宋" w:hAnsi="仿宋" w:eastAsia="仿宋" w:cs="仿宋"/>
                <w:sz w:val="24"/>
              </w:rPr>
              <w:t>音频接口</w:t>
            </w:r>
            <w:r>
              <w:rPr>
                <w:rFonts w:hint="eastAsia" w:ascii="仿宋" w:hAnsi="仿宋" w:eastAsia="仿宋" w:cs="仿宋"/>
                <w:sz w:val="24"/>
              </w:rPr>
              <w:tab/>
            </w:r>
            <w:r>
              <w:rPr>
                <w:rFonts w:hint="eastAsia" w:ascii="仿宋" w:hAnsi="仿宋" w:eastAsia="仿宋" w:cs="仿宋"/>
                <w:sz w:val="24"/>
              </w:rPr>
              <w:t>有 （接4-8欧喇叭）</w:t>
            </w:r>
          </w:p>
        </w:tc>
        <w:tc>
          <w:tcPr>
            <w:tcW w:w="1134" w:type="dxa"/>
            <w:vAlign w:val="center"/>
          </w:tcPr>
          <w:p>
            <w:pPr>
              <w:pStyle w:val="26"/>
              <w:spacing w:before="0" w:beforeAutospacing="0" w:after="0" w:afterAutospacing="0" w:line="360" w:lineRule="auto"/>
              <w:ind w:left="0" w:leftChars="0" w:right="0" w:firstLine="0" w:firstLineChars="0"/>
              <w:jc w:val="center"/>
              <w:rPr>
                <w:rFonts w:hint="eastAsia" w:ascii="仿宋" w:hAnsi="仿宋" w:eastAsia="仿宋" w:cs="仿宋"/>
                <w:bCs/>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3.3.38</w:t>
            </w:r>
          </w:p>
        </w:tc>
        <w:tc>
          <w:tcPr>
            <w:tcW w:w="1276" w:type="dxa"/>
            <w:vAlign w:val="center"/>
          </w:tcPr>
          <w:p>
            <w:pPr>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库门LED显示屏</w:t>
            </w:r>
          </w:p>
        </w:tc>
        <w:tc>
          <w:tcPr>
            <w:tcW w:w="6237" w:type="dxa"/>
            <w:vAlign w:val="center"/>
          </w:tcPr>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显示车库运行状态信息并联动语音提示系统</w:t>
            </w:r>
          </w:p>
        </w:tc>
        <w:tc>
          <w:tcPr>
            <w:tcW w:w="1134" w:type="dxa"/>
            <w:vAlign w:val="center"/>
          </w:tcPr>
          <w:p>
            <w:pPr>
              <w:pStyle w:val="26"/>
              <w:spacing w:before="0" w:beforeAutospacing="0" w:after="0" w:afterAutospacing="0" w:line="360" w:lineRule="auto"/>
              <w:ind w:left="0" w:leftChars="0" w:right="0" w:firstLine="0" w:firstLineChars="0"/>
              <w:jc w:val="center"/>
              <w:rPr>
                <w:rFonts w:hint="eastAsia" w:ascii="仿宋" w:hAnsi="仿宋" w:eastAsia="仿宋" w:cs="仿宋"/>
                <w:bCs/>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3.3.39</w:t>
            </w:r>
          </w:p>
        </w:tc>
        <w:tc>
          <w:tcPr>
            <w:tcW w:w="1276" w:type="dxa"/>
            <w:vAlign w:val="center"/>
          </w:tcPr>
          <w:p>
            <w:pPr>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电气电子元件</w:t>
            </w:r>
          </w:p>
        </w:tc>
        <w:tc>
          <w:tcPr>
            <w:tcW w:w="6237" w:type="dxa"/>
            <w:vAlign w:val="center"/>
          </w:tcPr>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国际知名品牌，通用性强，更换成本低</w:t>
            </w:r>
          </w:p>
        </w:tc>
        <w:tc>
          <w:tcPr>
            <w:tcW w:w="1134" w:type="dxa"/>
            <w:vAlign w:val="center"/>
          </w:tcPr>
          <w:p>
            <w:pPr>
              <w:pStyle w:val="26"/>
              <w:spacing w:before="0" w:beforeAutospacing="0" w:after="0" w:afterAutospacing="0" w:line="360" w:lineRule="auto"/>
              <w:ind w:left="0" w:leftChars="0" w:right="0" w:firstLine="0" w:firstLineChars="0"/>
              <w:jc w:val="center"/>
              <w:rPr>
                <w:rFonts w:hint="eastAsia" w:ascii="仿宋" w:hAnsi="仿宋" w:eastAsia="仿宋" w:cs="仿宋"/>
                <w:bCs/>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center"/>
          </w:tcPr>
          <w:p>
            <w:pPr>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3.3.40</w:t>
            </w:r>
          </w:p>
        </w:tc>
        <w:tc>
          <w:tcPr>
            <w:tcW w:w="1276" w:type="dxa"/>
            <w:vAlign w:val="center"/>
          </w:tcPr>
          <w:p>
            <w:pPr>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停车管理系统</w:t>
            </w:r>
          </w:p>
        </w:tc>
        <w:tc>
          <w:tcPr>
            <w:tcW w:w="6237" w:type="dxa"/>
            <w:vAlign w:val="center"/>
          </w:tcPr>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1、出入口车牌取车自动操作模式（在每个出入口处设置壁挂式液晶操作屏，实现自助存车，输入车牌取车，二维码支付等功能）；</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2、控制室触摸屏自动操作模式；</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3、步进操作模式：仅用于调试及维修等操作情况；</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4、手动操作模式：仅用于维修及紧急状态下操作；</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5、车牌识别系统、引导系统：自动引导车辆入库。</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6、系统具有自带收费管理功能（临保和固保）软件系统安全可靠、界面友好、免费升级服务、预约存取车、收缴费、包月、后台系统管理等功能。</w:t>
            </w:r>
          </w:p>
          <w:p>
            <w:pPr>
              <w:pStyle w:val="81"/>
              <w:spacing w:beforeAutospacing="0" w:afterAutospacing="0"/>
              <w:ind w:left="0" w:leftChars="0" w:right="0" w:firstLine="0" w:firstLineChars="0"/>
              <w:rPr>
                <w:rFonts w:hint="default" w:eastAsia="仿宋"/>
                <w:lang w:val="en-US" w:eastAsia="zh-CN"/>
              </w:rPr>
            </w:pPr>
            <w:r>
              <w:rPr>
                <w:rFonts w:hint="eastAsia" w:ascii="仿宋" w:hAnsi="仿宋" w:eastAsia="仿宋" w:cs="仿宋"/>
                <w:sz w:val="24"/>
                <w:lang w:val="en-US" w:eastAsia="zh-CN"/>
              </w:rPr>
              <w:t>7、在管理室设置一块不小于55寸显示屏，实时显示四个出入口存取车状态。</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设置收费道闸及车牌识别摄像机；</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收费道闸管理系统具备语音功能，根据需求播放语音，如：欢迎光临等；</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入口处设置余位显示LED屏幕；</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停车场入口处设置红外检测装置，探测当前车辆类型（小车、SUV）；系统根据车辆类型分配停车位；</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停车场入口设置显示屏显示分配库位，引导进入车指定停车库位置；</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计费方式多样，满足临（计）时、包月、包年、员工车辆等多种需求；</w:t>
            </w:r>
          </w:p>
        </w:tc>
        <w:tc>
          <w:tcPr>
            <w:tcW w:w="1134" w:type="dxa"/>
            <w:vAlign w:val="center"/>
          </w:tcPr>
          <w:p>
            <w:pPr>
              <w:pStyle w:val="26"/>
              <w:spacing w:before="0" w:beforeAutospacing="0" w:after="0" w:afterAutospacing="0" w:line="360" w:lineRule="auto"/>
              <w:ind w:left="0" w:leftChars="0" w:right="0" w:firstLine="0" w:firstLineChars="0"/>
              <w:jc w:val="center"/>
              <w:rPr>
                <w:rFonts w:hint="eastAsia" w:ascii="仿宋" w:hAnsi="仿宋" w:eastAsia="仿宋" w:cs="仿宋"/>
                <w:bCs/>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3.3.41</w:t>
            </w:r>
          </w:p>
        </w:tc>
        <w:tc>
          <w:tcPr>
            <w:tcW w:w="1276" w:type="dxa"/>
            <w:vAlign w:val="center"/>
          </w:tcPr>
          <w:p>
            <w:pPr>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派库系统</w:t>
            </w:r>
          </w:p>
        </w:tc>
        <w:tc>
          <w:tcPr>
            <w:tcW w:w="6237" w:type="dxa"/>
            <w:vAlign w:val="center"/>
          </w:tcPr>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软件环境：安卓11.0及以上</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硬件环境：PK3288及以上，2G内存，16G存储，多数IO出入及输入，数据摧送及补发记忆功能</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车型检测：可自动识别SUV及小轿车</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4、车牌识别：车牌号、车辆类型（黄牌车、新能源、蓝牌车、武警车辆等）</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5、派库功能：通过车高检测、车型识别：精确区分轿车、SUV。传输信号至PLC，匹配适用车板，提前调板。</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派库控制器中央处理，发布入场放行、停放区域指令，显示到LED显示屏中</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引导提示屏：派库屏（安装在车道前方，如提示浙C12345，请停A库）、门头屏（安装在车库门头，如提示浙C12345，请入库）</w:t>
            </w:r>
          </w:p>
          <w:p>
            <w:pPr>
              <w:pStyle w:val="81"/>
              <w:numPr>
                <w:ilvl w:val="0"/>
                <w:numId w:val="0"/>
              </w:numPr>
              <w:spacing w:beforeAutospacing="0" w:afterAutospacing="0"/>
              <w:ind w:left="0" w:right="0"/>
              <w:rPr>
                <w:rFonts w:hint="eastAsia"/>
              </w:rPr>
            </w:pPr>
            <w:r>
              <w:rPr>
                <w:rFonts w:hint="eastAsia" w:eastAsia="仿宋"/>
                <w:lang w:val="en-US" w:eastAsia="zh-CN"/>
              </w:rPr>
              <w:t>投标文件中需提供技术及案例说明。</w:t>
            </w:r>
          </w:p>
        </w:tc>
        <w:tc>
          <w:tcPr>
            <w:tcW w:w="1134" w:type="dxa"/>
            <w:vAlign w:val="center"/>
          </w:tcPr>
          <w:p>
            <w:pPr>
              <w:pStyle w:val="26"/>
              <w:spacing w:before="0" w:beforeAutospacing="0" w:after="0" w:afterAutospacing="0" w:line="360" w:lineRule="auto"/>
              <w:ind w:left="0" w:leftChars="0" w:right="0" w:firstLine="0" w:firstLineChars="0"/>
              <w:jc w:val="center"/>
              <w:rPr>
                <w:rFonts w:hint="eastAsia" w:ascii="仿宋" w:hAnsi="仿宋" w:eastAsia="仿宋" w:cs="仿宋"/>
                <w:bCs/>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3.3.42</w:t>
            </w:r>
          </w:p>
        </w:tc>
        <w:tc>
          <w:tcPr>
            <w:tcW w:w="1276" w:type="dxa"/>
            <w:vAlign w:val="center"/>
          </w:tcPr>
          <w:p>
            <w:pPr>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监控系统</w:t>
            </w:r>
          </w:p>
        </w:tc>
        <w:tc>
          <w:tcPr>
            <w:tcW w:w="6237" w:type="dxa"/>
            <w:vAlign w:val="center"/>
          </w:tcPr>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摄像头采用海康威视、浙江大华或同等品牌以上产品</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1.200万及以上高清红外摄像机</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主要特性</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·分辨率可达1920×1080@ 25 fps,在该分辨率下可输出实时图像</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采用ROI、SVC等视频压缩技术,压缩比高,且处理非常灵活,超低码率</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·码流平滑设置，适应不同场景下对图像质量、流畅性的不同要求</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·支持GBK字库，支持更多汉字及生僻字叠加</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·支持OSD颜色自选</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·高效阵列红外灯,使用寿命长,照射距离 远可达30米(I3)/50米(I5)/80米(I8)</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·支持smart IR，防止夜间红外过曝</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·ICR红外滤片式自动切换,实现真正的日夜监控</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·支持日夜两套参数独立配置</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·可支持PoE供电（选配）</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·支持3D数字降噪,支持120dB超宽动态</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·支持三码流,支持手机监控</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·支持走廊模式,背光补偿,自动电子快门功能,适应不同监控环境</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·功能 :心跳,镜像等</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·支持多种智能报警功能</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·支持智能后检索，配合NVR支持事件的二次检索分析</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·支持GB28181接入,支持EHOME平台接入,支持EZVIZ平台接入</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·支持NAS、Email、FTP、NTP服务器测试</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·支持HTTPS,SSH等安全认证，支持创建证书</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·支持用户登录锁定机制，及密码复杂度提示</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·符合IP6</w:t>
            </w:r>
          </w:p>
        </w:tc>
        <w:tc>
          <w:tcPr>
            <w:tcW w:w="1134" w:type="dxa"/>
            <w:vAlign w:val="center"/>
          </w:tcPr>
          <w:p>
            <w:pPr>
              <w:pStyle w:val="26"/>
              <w:spacing w:before="0" w:beforeAutospacing="0" w:after="0" w:afterAutospacing="0" w:line="360" w:lineRule="auto"/>
              <w:ind w:left="0" w:leftChars="0" w:right="0" w:firstLine="0" w:firstLineChars="0"/>
              <w:jc w:val="center"/>
              <w:rPr>
                <w:rFonts w:hint="eastAsia" w:ascii="仿宋" w:hAnsi="仿宋" w:eastAsia="仿宋" w:cs="仿宋"/>
                <w:bCs/>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trPr>
        <w:tc>
          <w:tcPr>
            <w:tcW w:w="959" w:type="dxa"/>
            <w:vAlign w:val="center"/>
          </w:tcPr>
          <w:p>
            <w:pPr>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3.3.43</w:t>
            </w:r>
          </w:p>
        </w:tc>
        <w:tc>
          <w:tcPr>
            <w:tcW w:w="1276" w:type="dxa"/>
            <w:vAlign w:val="center"/>
          </w:tcPr>
          <w:p>
            <w:pPr>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远程诊断</w:t>
            </w:r>
          </w:p>
        </w:tc>
        <w:tc>
          <w:tcPr>
            <w:tcW w:w="6237" w:type="dxa"/>
            <w:vAlign w:val="center"/>
          </w:tcPr>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远程车库监控系统,能实时进行故障监控与管理;在线客服系统,呼叫中心管理等先进的服务流程和模式;</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“预防为主,预检预修”的计划性保养服务;</w:t>
            </w:r>
          </w:p>
          <w:p>
            <w:pPr>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项目的年检提醒、维保人员备件实时查询和申请;</w:t>
            </w:r>
          </w:p>
          <w:p>
            <w:pPr>
              <w:pStyle w:val="81"/>
              <w:spacing w:beforeAutospacing="0" w:afterAutospacing="0"/>
              <w:ind w:left="0" w:leftChars="0" w:right="0" w:firstLine="0" w:firstLineChars="0"/>
              <w:rPr>
                <w:rFonts w:hint="default" w:eastAsia="仿宋"/>
                <w:lang w:val="en-US" w:eastAsia="zh-CN"/>
              </w:rPr>
            </w:pPr>
            <w:r>
              <w:rPr>
                <w:rFonts w:hint="eastAsia" w:eastAsia="仿宋"/>
                <w:lang w:val="en-US" w:eastAsia="zh-CN"/>
              </w:rPr>
              <w:t>投标文件中需提供技术及案例说明。</w:t>
            </w:r>
          </w:p>
        </w:tc>
        <w:tc>
          <w:tcPr>
            <w:tcW w:w="1134" w:type="dxa"/>
            <w:vAlign w:val="center"/>
          </w:tcPr>
          <w:p>
            <w:pPr>
              <w:pStyle w:val="26"/>
              <w:spacing w:before="0" w:beforeAutospacing="0" w:after="0" w:afterAutospacing="0" w:line="360" w:lineRule="auto"/>
              <w:ind w:left="0" w:leftChars="0" w:right="0" w:firstLine="0" w:firstLineChars="0"/>
              <w:jc w:val="center"/>
              <w:rPr>
                <w:rFonts w:hint="eastAsia" w:ascii="仿宋" w:hAnsi="仿宋" w:eastAsia="仿宋" w:cs="仿宋"/>
                <w:bCs/>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trPr>
        <w:tc>
          <w:tcPr>
            <w:tcW w:w="959" w:type="dxa"/>
            <w:vAlign w:val="center"/>
          </w:tcPr>
          <w:p>
            <w:pPr>
              <w:spacing w:before="0" w:beforeAutospacing="0" w:after="0" w:afterAutospacing="0" w:line="360" w:lineRule="auto"/>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3.3.44</w:t>
            </w:r>
          </w:p>
        </w:tc>
        <w:tc>
          <w:tcPr>
            <w:tcW w:w="1276" w:type="dxa"/>
            <w:vAlign w:val="center"/>
          </w:tcPr>
          <w:p>
            <w:pPr>
              <w:spacing w:before="0" w:beforeAutospacing="0" w:after="0" w:afterAutospacing="0" w:line="360" w:lineRule="auto"/>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标识标牌</w:t>
            </w:r>
          </w:p>
        </w:tc>
        <w:tc>
          <w:tcPr>
            <w:tcW w:w="6237" w:type="dxa"/>
            <w:vAlign w:val="center"/>
          </w:tcPr>
          <w:p>
            <w:pPr>
              <w:pStyle w:val="81"/>
              <w:numPr>
                <w:ilvl w:val="0"/>
                <w:numId w:val="4"/>
              </w:numPr>
              <w:spacing w:beforeAutospacing="0" w:afterAutospacing="0"/>
              <w:ind w:left="0" w:leftChars="0" w:right="0" w:firstLine="0" w:firstLineChars="0"/>
              <w:rPr>
                <w:rFonts w:hint="eastAsia" w:eastAsia="仿宋"/>
                <w:lang w:val="en-US" w:eastAsia="zh-CN"/>
              </w:rPr>
            </w:pPr>
            <w:r>
              <w:rPr>
                <w:rFonts w:hint="eastAsia" w:eastAsia="仿宋"/>
                <w:lang w:val="en-US" w:eastAsia="zh-CN"/>
              </w:rPr>
              <w:t>在停车场进出口设置停车场标识牌，且设置余位显示屏；</w:t>
            </w:r>
          </w:p>
          <w:p>
            <w:pPr>
              <w:pStyle w:val="81"/>
              <w:numPr>
                <w:ilvl w:val="0"/>
                <w:numId w:val="4"/>
              </w:numPr>
              <w:spacing w:beforeAutospacing="0" w:afterAutospacing="0"/>
              <w:ind w:left="0" w:leftChars="0" w:right="0" w:firstLine="0" w:firstLineChars="0"/>
              <w:rPr>
                <w:rFonts w:hint="default" w:eastAsia="仿宋"/>
                <w:lang w:val="en-US" w:eastAsia="zh-CN"/>
              </w:rPr>
            </w:pPr>
            <w:r>
              <w:rPr>
                <w:rFonts w:hint="eastAsia" w:eastAsia="仿宋"/>
                <w:lang w:val="en-US" w:eastAsia="zh-CN"/>
              </w:rPr>
              <w:t>停车楼外墙设置醒目的“P”标志；</w:t>
            </w:r>
          </w:p>
          <w:p>
            <w:pPr>
              <w:pStyle w:val="81"/>
              <w:numPr>
                <w:ilvl w:val="0"/>
                <w:numId w:val="4"/>
              </w:numPr>
              <w:spacing w:beforeAutospacing="0" w:afterAutospacing="0"/>
              <w:ind w:left="0" w:leftChars="0" w:right="0" w:firstLine="0" w:firstLineChars="0"/>
              <w:rPr>
                <w:rFonts w:hint="default" w:eastAsia="仿宋"/>
                <w:lang w:val="en-US" w:eastAsia="zh-CN"/>
              </w:rPr>
            </w:pPr>
            <w:r>
              <w:rPr>
                <w:rFonts w:hint="eastAsia" w:eastAsia="仿宋"/>
                <w:lang w:val="en-US" w:eastAsia="zh-CN"/>
              </w:rPr>
              <w:t>每个出入口两侧设置醒目的停车注意事项；</w:t>
            </w:r>
          </w:p>
        </w:tc>
        <w:tc>
          <w:tcPr>
            <w:tcW w:w="1134" w:type="dxa"/>
            <w:vAlign w:val="center"/>
          </w:tcPr>
          <w:p>
            <w:pPr>
              <w:pStyle w:val="26"/>
              <w:spacing w:before="0" w:beforeAutospacing="0" w:after="0" w:afterAutospacing="0" w:line="360" w:lineRule="auto"/>
              <w:ind w:left="0" w:leftChars="0" w:right="0" w:firstLine="0" w:firstLineChars="0"/>
              <w:jc w:val="center"/>
              <w:rPr>
                <w:rFonts w:hint="eastAsia" w:ascii="仿宋" w:hAnsi="仿宋" w:eastAsia="仿宋" w:cs="仿宋"/>
                <w:bCs/>
                <w:iCs/>
                <w:sz w:val="24"/>
              </w:rPr>
            </w:pPr>
          </w:p>
        </w:tc>
      </w:tr>
    </w:tbl>
    <w:p>
      <w:pPr>
        <w:pStyle w:val="26"/>
        <w:spacing w:after="0" w:line="360" w:lineRule="auto"/>
        <w:ind w:left="0" w:leftChars="0" w:firstLine="0" w:firstLineChars="0"/>
        <w:rPr>
          <w:rFonts w:hint="eastAsia" w:ascii="仿宋" w:hAnsi="仿宋" w:eastAsia="仿宋" w:cs="仿宋"/>
          <w:bCs/>
          <w:iCs/>
          <w:sz w:val="24"/>
          <w:szCs w:val="24"/>
        </w:rPr>
      </w:pPr>
    </w:p>
    <w:tbl>
      <w:tblPr>
        <w:tblStyle w:val="63"/>
        <w:tblW w:w="9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45"/>
        <w:gridCol w:w="1145"/>
        <w:gridCol w:w="624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508" w:type="dxa"/>
            <w:gridSpan w:val="4"/>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b/>
                <w:bCs/>
                <w:sz w:val="24"/>
                <w:szCs w:val="24"/>
                <w:lang w:eastAsia="zh-CN"/>
              </w:rPr>
              <w:t>3</w:t>
            </w:r>
            <w:r>
              <w:rPr>
                <w:rFonts w:hint="eastAsia" w:ascii="仿宋" w:hAnsi="仿宋" w:eastAsia="仿宋" w:cs="仿宋"/>
                <w:b/>
                <w:bCs/>
                <w:sz w:val="24"/>
                <w:szCs w:val="24"/>
              </w:rPr>
              <w:t>.4.基本功能部分</w:t>
            </w:r>
            <w:r>
              <w:rPr>
                <w:rFonts w:hint="eastAsia" w:ascii="仿宋" w:hAnsi="仿宋" w:eastAsia="仿宋" w:cs="仿宋"/>
                <w:bCs/>
                <w:sz w:val="24"/>
                <w:szCs w:val="24"/>
              </w:rPr>
              <w:t>：</w:t>
            </w:r>
          </w:p>
        </w:tc>
        <w:tc>
          <w:tcPr>
            <w:tcW w:w="1065" w:type="dxa"/>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b/>
                <w:bCs/>
                <w:sz w:val="24"/>
                <w:szCs w:val="24"/>
                <w:lang w:eastAsia="zh-CN"/>
              </w:rPr>
              <w:t>3</w:t>
            </w:r>
            <w:r>
              <w:rPr>
                <w:rFonts w:hint="eastAsia" w:ascii="仿宋" w:hAnsi="仿宋" w:eastAsia="仿宋" w:cs="仿宋"/>
                <w:b/>
                <w:bCs/>
                <w:sz w:val="24"/>
                <w:szCs w:val="24"/>
              </w:rPr>
              <w:t>.</w:t>
            </w:r>
            <w:r>
              <w:rPr>
                <w:rFonts w:hint="eastAsia" w:ascii="仿宋" w:hAnsi="仿宋" w:eastAsia="仿宋" w:cs="仿宋"/>
                <w:sz w:val="24"/>
                <w:szCs w:val="24"/>
              </w:rPr>
              <w:t>4.1</w:t>
            </w:r>
          </w:p>
        </w:tc>
        <w:tc>
          <w:tcPr>
            <w:tcW w:w="1290" w:type="dxa"/>
            <w:gridSpan w:val="2"/>
            <w:vAlign w:val="center"/>
          </w:tcPr>
          <w:p>
            <w:pPr>
              <w:widowControl w:val="0"/>
              <w:tabs>
                <w:tab w:val="left" w:pos="180"/>
              </w:tabs>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车辆引导</w:t>
            </w:r>
          </w:p>
        </w:tc>
        <w:tc>
          <w:tcPr>
            <w:tcW w:w="6240" w:type="dxa"/>
            <w:vAlign w:val="top"/>
          </w:tcPr>
          <w:p>
            <w:pPr>
              <w:widowControl w:val="0"/>
              <w:tabs>
                <w:tab w:val="left" w:pos="180"/>
              </w:tabs>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车库OK引导灯、引导镜和语音提示系统的组合，对顾客的停车位置进行全面引导。</w:t>
            </w:r>
          </w:p>
        </w:tc>
        <w:tc>
          <w:tcPr>
            <w:tcW w:w="1065" w:type="dxa"/>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b/>
                <w:bCs/>
                <w:sz w:val="24"/>
                <w:szCs w:val="24"/>
                <w:lang w:eastAsia="zh-CN"/>
              </w:rPr>
              <w:t>3</w:t>
            </w:r>
            <w:r>
              <w:rPr>
                <w:rFonts w:hint="eastAsia" w:ascii="仿宋" w:hAnsi="仿宋" w:eastAsia="仿宋" w:cs="仿宋"/>
                <w:b/>
                <w:bCs/>
                <w:sz w:val="24"/>
                <w:szCs w:val="24"/>
              </w:rPr>
              <w:t>.</w:t>
            </w:r>
            <w:r>
              <w:rPr>
                <w:rFonts w:hint="eastAsia" w:ascii="仿宋" w:hAnsi="仿宋" w:eastAsia="仿宋" w:cs="仿宋"/>
                <w:sz w:val="24"/>
                <w:szCs w:val="24"/>
              </w:rPr>
              <w:t>4.2</w:t>
            </w:r>
          </w:p>
        </w:tc>
        <w:tc>
          <w:tcPr>
            <w:tcW w:w="1290" w:type="dxa"/>
            <w:gridSpan w:val="2"/>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自动门光电保护</w:t>
            </w:r>
          </w:p>
        </w:tc>
        <w:tc>
          <w:tcPr>
            <w:tcW w:w="6240" w:type="dxa"/>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利用反应灵敏的红外光束进行探测，为顾客进出车提供安全保障。</w:t>
            </w:r>
          </w:p>
        </w:tc>
        <w:tc>
          <w:tcPr>
            <w:tcW w:w="1065" w:type="dxa"/>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b/>
                <w:bCs/>
                <w:sz w:val="24"/>
                <w:szCs w:val="24"/>
                <w:lang w:eastAsia="zh-CN"/>
              </w:rPr>
              <w:t>3</w:t>
            </w:r>
            <w:r>
              <w:rPr>
                <w:rFonts w:hint="eastAsia" w:ascii="仿宋" w:hAnsi="仿宋" w:eastAsia="仿宋" w:cs="仿宋"/>
                <w:b/>
                <w:bCs/>
                <w:sz w:val="24"/>
                <w:szCs w:val="24"/>
              </w:rPr>
              <w:t>.</w:t>
            </w:r>
            <w:r>
              <w:rPr>
                <w:rFonts w:hint="eastAsia" w:ascii="仿宋" w:hAnsi="仿宋" w:eastAsia="仿宋" w:cs="仿宋"/>
                <w:sz w:val="24"/>
                <w:szCs w:val="24"/>
              </w:rPr>
              <w:t>4.3</w:t>
            </w:r>
          </w:p>
        </w:tc>
        <w:tc>
          <w:tcPr>
            <w:tcW w:w="1290" w:type="dxa"/>
            <w:gridSpan w:val="2"/>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应急操作方式</w:t>
            </w:r>
          </w:p>
        </w:tc>
        <w:tc>
          <w:tcPr>
            <w:tcW w:w="6240" w:type="dxa"/>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在控制系统中设置应急操作，使车库在紧急情况下手动也可存取车。</w:t>
            </w:r>
          </w:p>
        </w:tc>
        <w:tc>
          <w:tcPr>
            <w:tcW w:w="1065" w:type="dxa"/>
            <w:vAlign w:val="center"/>
          </w:tcPr>
          <w:p>
            <w:pPr>
              <w:widowControl w:val="0"/>
              <w:wordWrap/>
              <w:spacing w:before="0" w:beforeAutospacing="0" w:after="0" w:afterAutospacing="0" w:line="360" w:lineRule="auto"/>
              <w:ind w:left="0" w:right="0"/>
              <w:rPr>
                <w:rFonts w:hint="eastAsia"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b/>
                <w:bCs/>
                <w:sz w:val="24"/>
                <w:szCs w:val="24"/>
                <w:lang w:eastAsia="zh-CN"/>
              </w:rPr>
              <w:t>3</w:t>
            </w:r>
            <w:r>
              <w:rPr>
                <w:rFonts w:hint="eastAsia" w:ascii="仿宋" w:hAnsi="仿宋" w:eastAsia="仿宋" w:cs="仿宋"/>
                <w:b/>
                <w:bCs/>
                <w:sz w:val="24"/>
                <w:szCs w:val="24"/>
              </w:rPr>
              <w:t>.</w:t>
            </w:r>
            <w:r>
              <w:rPr>
                <w:rFonts w:hint="eastAsia" w:ascii="仿宋" w:hAnsi="仿宋" w:eastAsia="仿宋" w:cs="仿宋"/>
                <w:sz w:val="24"/>
                <w:szCs w:val="24"/>
              </w:rPr>
              <w:t>4.4</w:t>
            </w:r>
          </w:p>
        </w:tc>
        <w:tc>
          <w:tcPr>
            <w:tcW w:w="1290" w:type="dxa"/>
            <w:gridSpan w:val="2"/>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故障指示</w:t>
            </w:r>
          </w:p>
        </w:tc>
        <w:tc>
          <w:tcPr>
            <w:tcW w:w="6240" w:type="dxa"/>
            <w:vAlign w:val="center"/>
          </w:tcPr>
          <w:p>
            <w:pPr>
              <w:widowControl w:val="0"/>
              <w:wordWrap/>
              <w:spacing w:before="0" w:beforeAutospacing="0" w:after="0" w:afterAutospacing="0" w:line="360" w:lineRule="auto"/>
              <w:ind w:left="0" w:right="-49"/>
              <w:rPr>
                <w:rFonts w:hint="eastAsia" w:ascii="仿宋" w:hAnsi="仿宋" w:eastAsia="仿宋" w:cs="仿宋"/>
                <w:sz w:val="24"/>
                <w:szCs w:val="24"/>
              </w:rPr>
            </w:pPr>
            <w:r>
              <w:rPr>
                <w:rFonts w:hint="eastAsia" w:ascii="仿宋" w:hAnsi="仿宋" w:eastAsia="仿宋" w:cs="仿宋"/>
                <w:sz w:val="24"/>
                <w:szCs w:val="24"/>
              </w:rPr>
              <w:t>在车库发生故障而机械停止后，控制屏显示面板上显示故障代码，用户可依据故障代码，实现立即清除故障。</w:t>
            </w:r>
          </w:p>
        </w:tc>
        <w:tc>
          <w:tcPr>
            <w:tcW w:w="1065" w:type="dxa"/>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b/>
                <w:bCs/>
                <w:sz w:val="24"/>
                <w:szCs w:val="24"/>
                <w:lang w:eastAsia="zh-CN"/>
              </w:rPr>
              <w:t>3</w:t>
            </w:r>
            <w:r>
              <w:rPr>
                <w:rFonts w:hint="eastAsia" w:ascii="仿宋" w:hAnsi="仿宋" w:eastAsia="仿宋" w:cs="仿宋"/>
                <w:b/>
                <w:bCs/>
                <w:sz w:val="24"/>
                <w:szCs w:val="24"/>
              </w:rPr>
              <w:t>.</w:t>
            </w:r>
            <w:r>
              <w:rPr>
                <w:rFonts w:hint="eastAsia" w:ascii="仿宋" w:hAnsi="仿宋" w:eastAsia="仿宋" w:cs="仿宋"/>
                <w:sz w:val="24"/>
                <w:szCs w:val="24"/>
              </w:rPr>
              <w:t>4.5</w:t>
            </w:r>
          </w:p>
        </w:tc>
        <w:tc>
          <w:tcPr>
            <w:tcW w:w="1290" w:type="dxa"/>
            <w:gridSpan w:val="2"/>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超时保护</w:t>
            </w:r>
          </w:p>
        </w:tc>
        <w:tc>
          <w:tcPr>
            <w:tcW w:w="6240" w:type="dxa"/>
            <w:vAlign w:val="center"/>
          </w:tcPr>
          <w:p>
            <w:pPr>
              <w:widowControl w:val="0"/>
              <w:wordWrap/>
              <w:spacing w:before="0" w:beforeAutospacing="0" w:after="0" w:afterAutospacing="0" w:line="360" w:lineRule="auto"/>
              <w:ind w:left="0" w:right="-49"/>
              <w:rPr>
                <w:rFonts w:hint="eastAsia" w:ascii="仿宋" w:hAnsi="仿宋" w:eastAsia="仿宋" w:cs="仿宋"/>
                <w:sz w:val="24"/>
                <w:szCs w:val="24"/>
              </w:rPr>
            </w:pPr>
            <w:r>
              <w:rPr>
                <w:rFonts w:hint="eastAsia" w:ascii="仿宋" w:hAnsi="仿宋" w:eastAsia="仿宋" w:cs="仿宋"/>
                <w:sz w:val="24"/>
                <w:szCs w:val="24"/>
              </w:rPr>
              <w:t>当车库运转时间超过规定时间时，车库停止运转，并发出报警。</w:t>
            </w:r>
          </w:p>
        </w:tc>
        <w:tc>
          <w:tcPr>
            <w:tcW w:w="1065" w:type="dxa"/>
            <w:vAlign w:val="center"/>
          </w:tcPr>
          <w:p>
            <w:pPr>
              <w:widowControl w:val="0"/>
              <w:wordWrap/>
              <w:spacing w:before="0" w:beforeAutospacing="0" w:after="0" w:afterAutospacing="0" w:line="360" w:lineRule="auto"/>
              <w:ind w:left="0" w:right="0"/>
              <w:rPr>
                <w:rFonts w:hint="eastAsia"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b/>
                <w:bCs/>
                <w:sz w:val="24"/>
                <w:szCs w:val="24"/>
                <w:lang w:eastAsia="zh-CN"/>
              </w:rPr>
              <w:t>3</w:t>
            </w:r>
            <w:r>
              <w:rPr>
                <w:rFonts w:hint="eastAsia" w:ascii="仿宋" w:hAnsi="仿宋" w:eastAsia="仿宋" w:cs="仿宋"/>
                <w:b/>
                <w:bCs/>
                <w:sz w:val="24"/>
                <w:szCs w:val="24"/>
              </w:rPr>
              <w:t>.</w:t>
            </w:r>
            <w:r>
              <w:rPr>
                <w:rFonts w:hint="eastAsia" w:ascii="仿宋" w:hAnsi="仿宋" w:eastAsia="仿宋" w:cs="仿宋"/>
                <w:sz w:val="24"/>
                <w:szCs w:val="24"/>
              </w:rPr>
              <w:t>4.6</w:t>
            </w:r>
          </w:p>
        </w:tc>
        <w:tc>
          <w:tcPr>
            <w:tcW w:w="1290" w:type="dxa"/>
            <w:gridSpan w:val="2"/>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紧停按钮</w:t>
            </w:r>
          </w:p>
        </w:tc>
        <w:tc>
          <w:tcPr>
            <w:tcW w:w="6240" w:type="dxa"/>
            <w:vAlign w:val="center"/>
          </w:tcPr>
          <w:p>
            <w:pPr>
              <w:widowControl w:val="0"/>
              <w:wordWrap/>
              <w:spacing w:before="0" w:beforeAutospacing="0" w:after="0" w:afterAutospacing="0" w:line="360" w:lineRule="auto"/>
              <w:ind w:left="0" w:right="-49"/>
              <w:rPr>
                <w:rFonts w:hint="eastAsia" w:ascii="仿宋" w:hAnsi="仿宋" w:eastAsia="仿宋" w:cs="仿宋"/>
                <w:sz w:val="24"/>
                <w:szCs w:val="24"/>
              </w:rPr>
            </w:pPr>
            <w:r>
              <w:rPr>
                <w:rFonts w:hint="eastAsia" w:ascii="仿宋" w:hAnsi="仿宋" w:eastAsia="仿宋" w:cs="仿宋"/>
                <w:sz w:val="24"/>
                <w:szCs w:val="24"/>
              </w:rPr>
              <w:t>在任何紧急的情况下，按下此按钮，车库立即停止运转。</w:t>
            </w:r>
          </w:p>
        </w:tc>
        <w:tc>
          <w:tcPr>
            <w:tcW w:w="1065" w:type="dxa"/>
            <w:vAlign w:val="center"/>
          </w:tcPr>
          <w:p>
            <w:pPr>
              <w:widowControl w:val="0"/>
              <w:wordWrap/>
              <w:spacing w:before="0" w:beforeAutospacing="0" w:after="0" w:afterAutospacing="0" w:line="360" w:lineRule="auto"/>
              <w:ind w:left="0" w:right="0"/>
              <w:rPr>
                <w:rFonts w:hint="eastAsia"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b/>
                <w:bCs/>
                <w:sz w:val="24"/>
                <w:szCs w:val="24"/>
                <w:lang w:eastAsia="zh-CN"/>
              </w:rPr>
              <w:t>3</w:t>
            </w:r>
            <w:r>
              <w:rPr>
                <w:rFonts w:hint="eastAsia" w:ascii="仿宋" w:hAnsi="仿宋" w:eastAsia="仿宋" w:cs="仿宋"/>
                <w:b/>
                <w:bCs/>
                <w:sz w:val="24"/>
                <w:szCs w:val="24"/>
              </w:rPr>
              <w:t>.</w:t>
            </w:r>
            <w:r>
              <w:rPr>
                <w:rFonts w:hint="eastAsia" w:ascii="仿宋" w:hAnsi="仿宋" w:eastAsia="仿宋" w:cs="仿宋"/>
                <w:sz w:val="24"/>
                <w:szCs w:val="24"/>
              </w:rPr>
              <w:t>4.7</w:t>
            </w:r>
          </w:p>
        </w:tc>
        <w:tc>
          <w:tcPr>
            <w:tcW w:w="1290" w:type="dxa"/>
            <w:gridSpan w:val="2"/>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开门联锁保护</w:t>
            </w:r>
          </w:p>
        </w:tc>
        <w:tc>
          <w:tcPr>
            <w:tcW w:w="6240" w:type="dxa"/>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在车库运转过程中，防止安全门被打开产生意外事故</w:t>
            </w:r>
          </w:p>
        </w:tc>
        <w:tc>
          <w:tcPr>
            <w:tcW w:w="1065" w:type="dxa"/>
            <w:vAlign w:val="center"/>
          </w:tcPr>
          <w:p>
            <w:pPr>
              <w:widowControl w:val="0"/>
              <w:wordWrap/>
              <w:spacing w:before="0" w:beforeAutospacing="0" w:after="0" w:afterAutospacing="0" w:line="360" w:lineRule="auto"/>
              <w:ind w:left="0" w:right="0"/>
              <w:rPr>
                <w:rFonts w:hint="eastAsia"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b/>
                <w:bCs/>
                <w:sz w:val="24"/>
                <w:szCs w:val="24"/>
                <w:lang w:eastAsia="zh-CN"/>
              </w:rPr>
              <w:t>3</w:t>
            </w:r>
            <w:r>
              <w:rPr>
                <w:rFonts w:hint="eastAsia" w:ascii="仿宋" w:hAnsi="仿宋" w:eastAsia="仿宋" w:cs="仿宋"/>
                <w:b/>
                <w:bCs/>
                <w:sz w:val="24"/>
                <w:szCs w:val="24"/>
              </w:rPr>
              <w:t>.</w:t>
            </w:r>
            <w:r>
              <w:rPr>
                <w:rFonts w:hint="eastAsia" w:ascii="仿宋" w:hAnsi="仿宋" w:eastAsia="仿宋" w:cs="仿宋"/>
                <w:sz w:val="24"/>
                <w:szCs w:val="24"/>
              </w:rPr>
              <w:t>4.8</w:t>
            </w:r>
          </w:p>
        </w:tc>
        <w:tc>
          <w:tcPr>
            <w:tcW w:w="1290" w:type="dxa"/>
            <w:gridSpan w:val="2"/>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车库当前状态检测及户外显示</w:t>
            </w:r>
          </w:p>
        </w:tc>
        <w:tc>
          <w:tcPr>
            <w:tcW w:w="6240" w:type="dxa"/>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触摸屏系统能对车库的当前状态进行检测，并随时显示给用户。在车库运转过程中，为顾客随时提供车库的当前信息。</w:t>
            </w:r>
          </w:p>
        </w:tc>
        <w:tc>
          <w:tcPr>
            <w:tcW w:w="1065" w:type="dxa"/>
            <w:vAlign w:val="center"/>
          </w:tcPr>
          <w:p>
            <w:pPr>
              <w:widowControl w:val="0"/>
              <w:wordWrap/>
              <w:spacing w:before="0" w:beforeAutospacing="0" w:after="0" w:afterAutospacing="0" w:line="360" w:lineRule="auto"/>
              <w:ind w:left="0" w:right="0"/>
              <w:rPr>
                <w:rFonts w:hint="eastAsia"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b/>
                <w:bCs/>
                <w:sz w:val="24"/>
                <w:szCs w:val="24"/>
                <w:lang w:eastAsia="zh-CN"/>
              </w:rPr>
              <w:t>3</w:t>
            </w:r>
            <w:r>
              <w:rPr>
                <w:rFonts w:hint="eastAsia" w:ascii="仿宋" w:hAnsi="仿宋" w:eastAsia="仿宋" w:cs="仿宋"/>
                <w:b/>
                <w:bCs/>
                <w:sz w:val="24"/>
                <w:szCs w:val="24"/>
              </w:rPr>
              <w:t>.</w:t>
            </w:r>
            <w:r>
              <w:rPr>
                <w:rFonts w:hint="eastAsia" w:ascii="仿宋" w:hAnsi="仿宋" w:eastAsia="仿宋" w:cs="仿宋"/>
                <w:sz w:val="24"/>
                <w:szCs w:val="24"/>
              </w:rPr>
              <w:t>4.9</w:t>
            </w:r>
          </w:p>
        </w:tc>
        <w:tc>
          <w:tcPr>
            <w:tcW w:w="1290" w:type="dxa"/>
            <w:gridSpan w:val="2"/>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车辆长、宽、高限制装置</w:t>
            </w:r>
          </w:p>
        </w:tc>
        <w:tc>
          <w:tcPr>
            <w:tcW w:w="6240" w:type="dxa"/>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对入库的车辆进行检测，限制超规格车辆入库。</w:t>
            </w:r>
          </w:p>
        </w:tc>
        <w:tc>
          <w:tcPr>
            <w:tcW w:w="1065" w:type="dxa"/>
            <w:vAlign w:val="center"/>
          </w:tcPr>
          <w:p>
            <w:pPr>
              <w:widowControl w:val="0"/>
              <w:wordWrap/>
              <w:spacing w:before="0" w:beforeAutospacing="0" w:after="0" w:afterAutospacing="0" w:line="360" w:lineRule="auto"/>
              <w:ind w:left="0" w:right="0"/>
              <w:rPr>
                <w:rFonts w:hint="eastAsia"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b/>
                <w:bCs/>
                <w:sz w:val="24"/>
                <w:szCs w:val="24"/>
                <w:lang w:eastAsia="zh-CN"/>
              </w:rPr>
              <w:t>3</w:t>
            </w:r>
            <w:r>
              <w:rPr>
                <w:rFonts w:hint="eastAsia" w:ascii="仿宋" w:hAnsi="仿宋" w:eastAsia="仿宋" w:cs="仿宋"/>
                <w:b/>
                <w:bCs/>
                <w:sz w:val="24"/>
                <w:szCs w:val="24"/>
              </w:rPr>
              <w:t>.</w:t>
            </w:r>
            <w:r>
              <w:rPr>
                <w:rFonts w:hint="eastAsia" w:ascii="仿宋" w:hAnsi="仿宋" w:eastAsia="仿宋" w:cs="仿宋"/>
                <w:sz w:val="24"/>
                <w:szCs w:val="24"/>
              </w:rPr>
              <w:t>4.10</w:t>
            </w:r>
          </w:p>
        </w:tc>
        <w:tc>
          <w:tcPr>
            <w:tcW w:w="1290" w:type="dxa"/>
            <w:gridSpan w:val="2"/>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警示装置</w:t>
            </w:r>
          </w:p>
        </w:tc>
        <w:tc>
          <w:tcPr>
            <w:tcW w:w="6240" w:type="dxa"/>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在车库内部设置警示装置，保证人员出入的安全</w:t>
            </w:r>
          </w:p>
        </w:tc>
        <w:tc>
          <w:tcPr>
            <w:tcW w:w="1065" w:type="dxa"/>
            <w:vAlign w:val="center"/>
          </w:tcPr>
          <w:p>
            <w:pPr>
              <w:widowControl w:val="0"/>
              <w:wordWrap/>
              <w:spacing w:before="0" w:beforeAutospacing="0" w:after="0" w:afterAutospacing="0" w:line="360" w:lineRule="auto"/>
              <w:ind w:left="0" w:right="0"/>
              <w:rPr>
                <w:rFonts w:hint="eastAsia"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b/>
                <w:bCs/>
                <w:sz w:val="24"/>
                <w:szCs w:val="24"/>
                <w:lang w:eastAsia="zh-CN"/>
              </w:rPr>
              <w:t>3</w:t>
            </w:r>
            <w:r>
              <w:rPr>
                <w:rFonts w:hint="eastAsia" w:ascii="仿宋" w:hAnsi="仿宋" w:eastAsia="仿宋" w:cs="仿宋"/>
                <w:b/>
                <w:bCs/>
                <w:sz w:val="24"/>
                <w:szCs w:val="24"/>
              </w:rPr>
              <w:t>.</w:t>
            </w:r>
            <w:r>
              <w:rPr>
                <w:rFonts w:hint="eastAsia" w:ascii="仿宋" w:hAnsi="仿宋" w:eastAsia="仿宋" w:cs="仿宋"/>
                <w:sz w:val="24"/>
                <w:szCs w:val="24"/>
              </w:rPr>
              <w:t>4.11</w:t>
            </w:r>
          </w:p>
        </w:tc>
        <w:tc>
          <w:tcPr>
            <w:tcW w:w="1290" w:type="dxa"/>
            <w:gridSpan w:val="2"/>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阻车装置</w:t>
            </w:r>
          </w:p>
        </w:tc>
        <w:tc>
          <w:tcPr>
            <w:tcW w:w="6240" w:type="dxa"/>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防止车辆超出规定停放区域</w:t>
            </w:r>
          </w:p>
        </w:tc>
        <w:tc>
          <w:tcPr>
            <w:tcW w:w="1065" w:type="dxa"/>
            <w:vAlign w:val="center"/>
          </w:tcPr>
          <w:p>
            <w:pPr>
              <w:widowControl w:val="0"/>
              <w:wordWrap/>
              <w:spacing w:before="0" w:beforeAutospacing="0" w:after="0" w:afterAutospacing="0" w:line="360" w:lineRule="auto"/>
              <w:ind w:left="0" w:right="0"/>
              <w:rPr>
                <w:rFonts w:hint="eastAsia"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b/>
                <w:bCs/>
                <w:sz w:val="24"/>
                <w:szCs w:val="24"/>
                <w:lang w:eastAsia="zh-CN"/>
              </w:rPr>
              <w:t>3</w:t>
            </w:r>
            <w:r>
              <w:rPr>
                <w:rFonts w:hint="eastAsia" w:ascii="仿宋" w:hAnsi="仿宋" w:eastAsia="仿宋" w:cs="仿宋"/>
                <w:b/>
                <w:bCs/>
                <w:sz w:val="24"/>
                <w:szCs w:val="24"/>
              </w:rPr>
              <w:t>.</w:t>
            </w:r>
            <w:r>
              <w:rPr>
                <w:rFonts w:hint="eastAsia" w:ascii="仿宋" w:hAnsi="仿宋" w:eastAsia="仿宋" w:cs="仿宋"/>
                <w:sz w:val="24"/>
                <w:szCs w:val="24"/>
              </w:rPr>
              <w:t>4.12</w:t>
            </w:r>
          </w:p>
        </w:tc>
        <w:tc>
          <w:tcPr>
            <w:tcW w:w="1290" w:type="dxa"/>
            <w:gridSpan w:val="2"/>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防重叠自动检测</w:t>
            </w:r>
          </w:p>
        </w:tc>
        <w:tc>
          <w:tcPr>
            <w:tcW w:w="6240" w:type="dxa"/>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防止在同一车位重叠停车。</w:t>
            </w:r>
          </w:p>
        </w:tc>
        <w:tc>
          <w:tcPr>
            <w:tcW w:w="1065" w:type="dxa"/>
            <w:vAlign w:val="center"/>
          </w:tcPr>
          <w:p>
            <w:pPr>
              <w:widowControl w:val="0"/>
              <w:wordWrap/>
              <w:spacing w:before="0" w:beforeAutospacing="0" w:after="0" w:afterAutospacing="0" w:line="360" w:lineRule="auto"/>
              <w:ind w:left="0" w:right="0"/>
              <w:rPr>
                <w:rFonts w:hint="eastAsia"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b/>
                <w:bCs/>
                <w:sz w:val="24"/>
                <w:szCs w:val="24"/>
                <w:lang w:eastAsia="zh-CN"/>
              </w:rPr>
              <w:t>3</w:t>
            </w:r>
            <w:r>
              <w:rPr>
                <w:rFonts w:hint="eastAsia" w:ascii="仿宋" w:hAnsi="仿宋" w:eastAsia="仿宋" w:cs="仿宋"/>
                <w:b/>
                <w:bCs/>
                <w:sz w:val="24"/>
                <w:szCs w:val="24"/>
              </w:rPr>
              <w:t>.</w:t>
            </w:r>
            <w:r>
              <w:rPr>
                <w:rFonts w:hint="eastAsia" w:ascii="仿宋" w:hAnsi="仿宋" w:eastAsia="仿宋" w:cs="仿宋"/>
                <w:sz w:val="24"/>
                <w:szCs w:val="24"/>
              </w:rPr>
              <w:t>4.13</w:t>
            </w:r>
          </w:p>
        </w:tc>
        <w:tc>
          <w:tcPr>
            <w:tcW w:w="1290" w:type="dxa"/>
            <w:gridSpan w:val="2"/>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上下极限限位装置</w:t>
            </w:r>
          </w:p>
        </w:tc>
        <w:tc>
          <w:tcPr>
            <w:tcW w:w="6240" w:type="dxa"/>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防止机构结构超限运行</w:t>
            </w:r>
          </w:p>
        </w:tc>
        <w:tc>
          <w:tcPr>
            <w:tcW w:w="1065" w:type="dxa"/>
            <w:vAlign w:val="center"/>
          </w:tcPr>
          <w:p>
            <w:pPr>
              <w:widowControl w:val="0"/>
              <w:wordWrap/>
              <w:spacing w:before="0" w:beforeAutospacing="0" w:after="0" w:afterAutospacing="0" w:line="360" w:lineRule="auto"/>
              <w:ind w:left="0" w:right="0"/>
              <w:rPr>
                <w:rFonts w:hint="eastAsia"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b/>
                <w:bCs/>
                <w:sz w:val="24"/>
                <w:szCs w:val="24"/>
                <w:lang w:eastAsia="zh-CN"/>
              </w:rPr>
              <w:t>3</w:t>
            </w:r>
            <w:r>
              <w:rPr>
                <w:rFonts w:hint="eastAsia" w:ascii="仿宋" w:hAnsi="仿宋" w:eastAsia="仿宋" w:cs="仿宋"/>
                <w:b/>
                <w:bCs/>
                <w:sz w:val="24"/>
                <w:szCs w:val="24"/>
              </w:rPr>
              <w:t>.</w:t>
            </w:r>
            <w:r>
              <w:rPr>
                <w:rFonts w:hint="eastAsia" w:ascii="仿宋" w:hAnsi="仿宋" w:eastAsia="仿宋" w:cs="仿宋"/>
                <w:sz w:val="24"/>
                <w:szCs w:val="24"/>
              </w:rPr>
              <w:t>4.14</w:t>
            </w:r>
          </w:p>
        </w:tc>
        <w:tc>
          <w:tcPr>
            <w:tcW w:w="1290" w:type="dxa"/>
            <w:gridSpan w:val="2"/>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空间人员检知</w:t>
            </w:r>
          </w:p>
        </w:tc>
        <w:tc>
          <w:tcPr>
            <w:tcW w:w="6240" w:type="dxa"/>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检测车库中是否有人员滞留，并报警提示，设备不运行，从而防止了人身伤害事故发生。</w:t>
            </w:r>
          </w:p>
        </w:tc>
        <w:tc>
          <w:tcPr>
            <w:tcW w:w="1065" w:type="dxa"/>
            <w:vAlign w:val="center"/>
          </w:tcPr>
          <w:p>
            <w:pPr>
              <w:widowControl w:val="0"/>
              <w:wordWrap/>
              <w:spacing w:before="0" w:beforeAutospacing="0" w:after="0" w:afterAutospacing="0" w:line="360" w:lineRule="auto"/>
              <w:ind w:left="0" w:right="0"/>
              <w:rPr>
                <w:rFonts w:hint="eastAsia"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vAlign w:val="center"/>
          </w:tcPr>
          <w:p>
            <w:pPr>
              <w:widowControl w:val="0"/>
              <w:wordWrap/>
              <w:spacing w:before="0" w:beforeAutospacing="0" w:after="0" w:afterAutospacing="0" w:line="360" w:lineRule="auto"/>
              <w:ind w:left="0" w:right="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rPr>
              <w:t>.4.1</w:t>
            </w:r>
            <w:r>
              <w:rPr>
                <w:rFonts w:hint="eastAsia" w:ascii="仿宋" w:hAnsi="仿宋" w:eastAsia="仿宋" w:cs="仿宋"/>
                <w:color w:val="auto"/>
                <w:sz w:val="24"/>
                <w:szCs w:val="24"/>
                <w:lang w:val="en-US" w:eastAsia="zh-CN"/>
              </w:rPr>
              <w:t>5</w:t>
            </w:r>
          </w:p>
        </w:tc>
        <w:tc>
          <w:tcPr>
            <w:tcW w:w="1290" w:type="dxa"/>
            <w:gridSpan w:val="2"/>
            <w:vAlign w:val="top"/>
          </w:tcPr>
          <w:p>
            <w:pPr>
              <w:widowControl w:val="0"/>
              <w:wordWrap/>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自动对中装置</w:t>
            </w:r>
          </w:p>
        </w:tc>
        <w:tc>
          <w:tcPr>
            <w:tcW w:w="6240" w:type="dxa"/>
            <w:vAlign w:val="top"/>
          </w:tcPr>
          <w:p>
            <w:pPr>
              <w:widowControl w:val="0"/>
              <w:wordWrap/>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自动对中装置：设备入口设有自动纠偏对中装置，避免因车辆停偏而导致设备运行时车辆受损。</w:t>
            </w:r>
          </w:p>
        </w:tc>
        <w:tc>
          <w:tcPr>
            <w:tcW w:w="1065" w:type="dxa"/>
            <w:vAlign w:val="center"/>
          </w:tcPr>
          <w:p>
            <w:pPr>
              <w:widowControl w:val="0"/>
              <w:wordWrap/>
              <w:spacing w:before="0" w:beforeAutospacing="0" w:after="0" w:afterAutospacing="0" w:line="360" w:lineRule="auto"/>
              <w:ind w:left="0" w:right="0"/>
              <w:rPr>
                <w:rFonts w:hint="eastAsia"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vAlign w:val="center"/>
          </w:tcPr>
          <w:p>
            <w:pPr>
              <w:widowControl w:val="0"/>
              <w:wordWrap/>
              <w:spacing w:before="0" w:beforeAutospacing="0" w:after="0" w:afterAutospacing="0" w:line="360" w:lineRule="auto"/>
              <w:ind w:left="0" w:right="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rPr>
              <w:t>.4.1</w:t>
            </w:r>
            <w:r>
              <w:rPr>
                <w:rFonts w:hint="eastAsia" w:ascii="仿宋" w:hAnsi="仿宋" w:eastAsia="仿宋" w:cs="仿宋"/>
                <w:color w:val="auto"/>
                <w:sz w:val="24"/>
                <w:szCs w:val="24"/>
                <w:lang w:val="en-US" w:eastAsia="zh-CN"/>
              </w:rPr>
              <w:t>6</w:t>
            </w:r>
          </w:p>
        </w:tc>
        <w:tc>
          <w:tcPr>
            <w:tcW w:w="1290" w:type="dxa"/>
            <w:gridSpan w:val="2"/>
            <w:vAlign w:val="top"/>
          </w:tcPr>
          <w:p>
            <w:pPr>
              <w:widowControl w:val="0"/>
              <w:wordWrap/>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防冲顶保护</w:t>
            </w:r>
          </w:p>
        </w:tc>
        <w:tc>
          <w:tcPr>
            <w:tcW w:w="6240" w:type="dxa"/>
            <w:vAlign w:val="top"/>
          </w:tcPr>
          <w:p>
            <w:pPr>
              <w:widowControl w:val="0"/>
              <w:wordWrap/>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在顶部设有防冲顶保护装置，以确保车辆及设备安全。</w:t>
            </w:r>
          </w:p>
        </w:tc>
        <w:tc>
          <w:tcPr>
            <w:tcW w:w="1065" w:type="dxa"/>
            <w:vAlign w:val="center"/>
          </w:tcPr>
          <w:p>
            <w:pPr>
              <w:widowControl w:val="0"/>
              <w:wordWrap/>
              <w:spacing w:before="0" w:beforeAutospacing="0" w:after="0" w:afterAutospacing="0" w:line="360" w:lineRule="auto"/>
              <w:ind w:left="0" w:right="0"/>
              <w:rPr>
                <w:rFonts w:hint="eastAsia"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vAlign w:val="center"/>
          </w:tcPr>
          <w:p>
            <w:pPr>
              <w:widowControl w:val="0"/>
              <w:wordWrap/>
              <w:spacing w:before="0" w:beforeAutospacing="0" w:after="0" w:afterAutospacing="0" w:line="360" w:lineRule="auto"/>
              <w:ind w:left="0" w:right="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rPr>
              <w:t>.4.1</w:t>
            </w:r>
            <w:r>
              <w:rPr>
                <w:rFonts w:hint="eastAsia" w:ascii="仿宋" w:hAnsi="仿宋" w:eastAsia="仿宋" w:cs="仿宋"/>
                <w:color w:val="auto"/>
                <w:sz w:val="24"/>
                <w:szCs w:val="24"/>
                <w:lang w:val="en-US" w:eastAsia="zh-CN"/>
              </w:rPr>
              <w:t>7</w:t>
            </w:r>
          </w:p>
        </w:tc>
        <w:tc>
          <w:tcPr>
            <w:tcW w:w="1290" w:type="dxa"/>
            <w:gridSpan w:val="2"/>
            <w:vAlign w:val="top"/>
          </w:tcPr>
          <w:p>
            <w:pPr>
              <w:widowControl w:val="0"/>
              <w:wordWrap/>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底盘检测装置</w:t>
            </w:r>
          </w:p>
        </w:tc>
        <w:tc>
          <w:tcPr>
            <w:tcW w:w="6240" w:type="dxa"/>
            <w:vAlign w:val="top"/>
          </w:tcPr>
          <w:p>
            <w:pPr>
              <w:widowControl w:val="0"/>
              <w:wordWrap/>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对车辆底盘进行检测，防止因车辆轮胎漏气等原因，导致设备故障</w:t>
            </w:r>
          </w:p>
        </w:tc>
        <w:tc>
          <w:tcPr>
            <w:tcW w:w="1065" w:type="dxa"/>
            <w:vAlign w:val="center"/>
          </w:tcPr>
          <w:p>
            <w:pPr>
              <w:widowControl w:val="0"/>
              <w:wordWrap/>
              <w:spacing w:before="0" w:beforeAutospacing="0" w:after="0" w:afterAutospacing="0" w:line="360" w:lineRule="auto"/>
              <w:ind w:left="0" w:right="0"/>
              <w:rPr>
                <w:rFonts w:hint="eastAsia"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8" w:type="dxa"/>
            <w:gridSpan w:val="4"/>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b/>
                <w:bCs/>
                <w:sz w:val="24"/>
                <w:szCs w:val="24"/>
                <w:lang w:eastAsia="zh-CN"/>
              </w:rPr>
              <w:t>3</w:t>
            </w:r>
            <w:r>
              <w:rPr>
                <w:rFonts w:hint="eastAsia" w:ascii="仿宋" w:hAnsi="仿宋" w:eastAsia="仿宋" w:cs="仿宋"/>
                <w:b/>
                <w:bCs/>
                <w:sz w:val="24"/>
                <w:szCs w:val="24"/>
              </w:rPr>
              <w:t>.5.安全保障措施(应包括下列各项):</w:t>
            </w:r>
          </w:p>
        </w:tc>
        <w:tc>
          <w:tcPr>
            <w:tcW w:w="1065" w:type="dxa"/>
            <w:vAlign w:val="center"/>
          </w:tcPr>
          <w:p>
            <w:pPr>
              <w:widowControl w:val="0"/>
              <w:wordWrap/>
              <w:spacing w:before="0" w:beforeAutospacing="0" w:after="0" w:afterAutospacing="0" w:line="360" w:lineRule="auto"/>
              <w:ind w:left="0" w:right="0"/>
              <w:rPr>
                <w:rFonts w:hint="eastAsia"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gridSpan w:val="2"/>
            <w:vAlign w:val="center"/>
          </w:tcPr>
          <w:p>
            <w:pPr>
              <w:widowControl w:val="0"/>
              <w:wordWrap/>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lang w:eastAsia="zh-CN"/>
              </w:rPr>
              <w:t>3</w:t>
            </w:r>
            <w:r>
              <w:rPr>
                <w:rFonts w:hint="eastAsia" w:ascii="仿宋" w:hAnsi="仿宋" w:eastAsia="仿宋" w:cs="仿宋"/>
                <w:sz w:val="24"/>
                <w:szCs w:val="24"/>
              </w:rPr>
              <w:t>.5.1</w:t>
            </w:r>
          </w:p>
        </w:tc>
        <w:tc>
          <w:tcPr>
            <w:tcW w:w="7385" w:type="dxa"/>
            <w:gridSpan w:val="2"/>
            <w:vAlign w:val="top"/>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bCs/>
                <w:sz w:val="24"/>
                <w:szCs w:val="24"/>
              </w:rPr>
              <w:t>具有</w:t>
            </w:r>
            <w:r>
              <w:rPr>
                <w:rFonts w:hint="eastAsia" w:ascii="仿宋" w:hAnsi="仿宋" w:eastAsia="仿宋" w:cs="仿宋"/>
                <w:sz w:val="24"/>
                <w:szCs w:val="24"/>
              </w:rPr>
              <w:t>紧急停止按钮（控制室操作台、进出库室、电控箱等均有设置）</w:t>
            </w:r>
          </w:p>
        </w:tc>
        <w:tc>
          <w:tcPr>
            <w:tcW w:w="1065" w:type="dxa"/>
            <w:vAlign w:val="center"/>
          </w:tcPr>
          <w:p>
            <w:pPr>
              <w:widowControl w:val="0"/>
              <w:wordWrap/>
              <w:spacing w:before="0" w:beforeAutospacing="0" w:after="0" w:afterAutospacing="0" w:line="360" w:lineRule="auto"/>
              <w:ind w:left="0" w:right="0"/>
              <w:rPr>
                <w:rFonts w:hint="eastAsia"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gridSpan w:val="2"/>
            <w:vAlign w:val="center"/>
          </w:tcPr>
          <w:p>
            <w:pPr>
              <w:widowControl w:val="0"/>
              <w:wordWrap/>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lang w:eastAsia="zh-CN"/>
              </w:rPr>
              <w:t>3</w:t>
            </w:r>
            <w:r>
              <w:rPr>
                <w:rFonts w:hint="eastAsia" w:ascii="仿宋" w:hAnsi="仿宋" w:eastAsia="仿宋" w:cs="仿宋"/>
                <w:sz w:val="24"/>
                <w:szCs w:val="24"/>
              </w:rPr>
              <w:t>.5.2</w:t>
            </w:r>
          </w:p>
        </w:tc>
        <w:tc>
          <w:tcPr>
            <w:tcW w:w="7385" w:type="dxa"/>
            <w:gridSpan w:val="2"/>
            <w:vAlign w:val="top"/>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bCs/>
                <w:sz w:val="24"/>
                <w:szCs w:val="24"/>
              </w:rPr>
              <w:t>具有</w:t>
            </w:r>
            <w:r>
              <w:rPr>
                <w:rFonts w:hint="eastAsia" w:ascii="仿宋" w:hAnsi="仿宋" w:eastAsia="仿宋" w:cs="仿宋"/>
                <w:sz w:val="24"/>
                <w:szCs w:val="24"/>
              </w:rPr>
              <w:t>入库汽车外形尺寸检测（车长、车宽、车高）</w:t>
            </w:r>
          </w:p>
        </w:tc>
        <w:tc>
          <w:tcPr>
            <w:tcW w:w="1065" w:type="dxa"/>
            <w:vAlign w:val="center"/>
          </w:tcPr>
          <w:p>
            <w:pPr>
              <w:widowControl w:val="0"/>
              <w:wordWrap/>
              <w:spacing w:before="0" w:beforeAutospacing="0" w:after="0" w:afterAutospacing="0" w:line="360" w:lineRule="auto"/>
              <w:ind w:left="0" w:right="0"/>
              <w:rPr>
                <w:rFonts w:hint="eastAsia"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gridSpan w:val="2"/>
            <w:vAlign w:val="center"/>
          </w:tcPr>
          <w:p>
            <w:pPr>
              <w:widowControl w:val="0"/>
              <w:wordWrap/>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lang w:eastAsia="zh-CN"/>
              </w:rPr>
              <w:t>3</w:t>
            </w:r>
            <w:r>
              <w:rPr>
                <w:rFonts w:hint="eastAsia" w:ascii="仿宋" w:hAnsi="仿宋" w:eastAsia="仿宋" w:cs="仿宋"/>
                <w:sz w:val="24"/>
                <w:szCs w:val="24"/>
              </w:rPr>
              <w:t>.5.3</w:t>
            </w:r>
          </w:p>
        </w:tc>
        <w:tc>
          <w:tcPr>
            <w:tcW w:w="7385" w:type="dxa"/>
            <w:gridSpan w:val="2"/>
            <w:vAlign w:val="top"/>
          </w:tcPr>
          <w:p>
            <w:pPr>
              <w:widowControl w:val="0"/>
              <w:wordWrap/>
              <w:spacing w:before="0" w:beforeAutospacing="0" w:after="0" w:afterAutospacing="0" w:line="360" w:lineRule="auto"/>
              <w:ind w:left="0" w:right="0"/>
              <w:rPr>
                <w:rFonts w:hint="eastAsia" w:ascii="仿宋" w:hAnsi="仿宋" w:eastAsia="仿宋" w:cs="仿宋"/>
                <w:bCs/>
                <w:sz w:val="24"/>
                <w:szCs w:val="24"/>
              </w:rPr>
            </w:pPr>
            <w:r>
              <w:rPr>
                <w:rFonts w:hint="eastAsia" w:ascii="仿宋" w:hAnsi="仿宋" w:eastAsia="仿宋" w:cs="仿宋"/>
                <w:bCs/>
                <w:sz w:val="24"/>
                <w:szCs w:val="24"/>
              </w:rPr>
              <w:t>具有</w:t>
            </w:r>
            <w:r>
              <w:rPr>
                <w:rFonts w:hint="eastAsia" w:ascii="仿宋" w:hAnsi="仿宋" w:eastAsia="仿宋" w:cs="仿宋"/>
                <w:sz w:val="24"/>
                <w:szCs w:val="24"/>
              </w:rPr>
              <w:t>出入库室人员误入探测器</w:t>
            </w:r>
          </w:p>
        </w:tc>
        <w:tc>
          <w:tcPr>
            <w:tcW w:w="1065" w:type="dxa"/>
            <w:vAlign w:val="center"/>
          </w:tcPr>
          <w:p>
            <w:pPr>
              <w:widowControl w:val="0"/>
              <w:wordWrap/>
              <w:spacing w:before="0" w:beforeAutospacing="0" w:after="0" w:afterAutospacing="0" w:line="360" w:lineRule="auto"/>
              <w:ind w:left="0" w:right="0"/>
              <w:rPr>
                <w:rFonts w:hint="eastAsia" w:ascii="仿宋" w:hAnsi="仿宋" w:eastAsia="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23" w:type="dxa"/>
            <w:gridSpan w:val="2"/>
            <w:vAlign w:val="center"/>
          </w:tcPr>
          <w:p>
            <w:pPr>
              <w:widowControl w:val="0"/>
              <w:wordWrap/>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lang w:eastAsia="zh-CN"/>
              </w:rPr>
              <w:t>3</w:t>
            </w:r>
            <w:r>
              <w:rPr>
                <w:rFonts w:hint="eastAsia" w:ascii="仿宋" w:hAnsi="仿宋" w:eastAsia="仿宋" w:cs="仿宋"/>
                <w:sz w:val="24"/>
                <w:szCs w:val="24"/>
              </w:rPr>
              <w:t>.5.4</w:t>
            </w:r>
          </w:p>
        </w:tc>
        <w:tc>
          <w:tcPr>
            <w:tcW w:w="7385" w:type="dxa"/>
            <w:gridSpan w:val="2"/>
            <w:vAlign w:val="top"/>
          </w:tcPr>
          <w:p>
            <w:pPr>
              <w:widowControl w:val="0"/>
              <w:wordWrap/>
              <w:snapToGrid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bCs/>
                <w:sz w:val="24"/>
                <w:szCs w:val="24"/>
              </w:rPr>
              <w:t>具有</w:t>
            </w:r>
            <w:r>
              <w:rPr>
                <w:rFonts w:hint="eastAsia" w:ascii="仿宋" w:hAnsi="仿宋" w:eastAsia="仿宋" w:cs="仿宋"/>
                <w:sz w:val="24"/>
                <w:szCs w:val="24"/>
              </w:rPr>
              <w:t>各种传感器、探测器、车库门关闭、PLC程序保护等四重保护措施，保证设备运行前后动作互锁</w:t>
            </w:r>
          </w:p>
        </w:tc>
        <w:tc>
          <w:tcPr>
            <w:tcW w:w="1065" w:type="dxa"/>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23" w:type="dxa"/>
            <w:gridSpan w:val="2"/>
            <w:vAlign w:val="center"/>
          </w:tcPr>
          <w:p>
            <w:pPr>
              <w:widowControl w:val="0"/>
              <w:wordWrap/>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lang w:eastAsia="zh-CN"/>
              </w:rPr>
              <w:t>3</w:t>
            </w:r>
            <w:r>
              <w:rPr>
                <w:rFonts w:hint="eastAsia" w:ascii="仿宋" w:hAnsi="仿宋" w:eastAsia="仿宋" w:cs="仿宋"/>
                <w:sz w:val="24"/>
                <w:szCs w:val="24"/>
              </w:rPr>
              <w:t>.5.5</w:t>
            </w:r>
          </w:p>
        </w:tc>
        <w:tc>
          <w:tcPr>
            <w:tcW w:w="7385" w:type="dxa"/>
            <w:gridSpan w:val="2"/>
            <w:vAlign w:val="top"/>
          </w:tcPr>
          <w:p>
            <w:pPr>
              <w:widowControl w:val="0"/>
              <w:wordWrap/>
              <w:snapToGrid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bCs/>
                <w:sz w:val="24"/>
                <w:szCs w:val="24"/>
              </w:rPr>
              <w:t>具有</w:t>
            </w:r>
            <w:r>
              <w:rPr>
                <w:rFonts w:hint="eastAsia" w:ascii="仿宋" w:hAnsi="仿宋" w:eastAsia="仿宋" w:cs="仿宋"/>
                <w:sz w:val="24"/>
                <w:szCs w:val="24"/>
              </w:rPr>
              <w:t>关联设备运行前后动作互锁</w:t>
            </w:r>
          </w:p>
        </w:tc>
        <w:tc>
          <w:tcPr>
            <w:tcW w:w="1065" w:type="dxa"/>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23" w:type="dxa"/>
            <w:gridSpan w:val="2"/>
            <w:vAlign w:val="center"/>
          </w:tcPr>
          <w:p>
            <w:pPr>
              <w:widowControl w:val="0"/>
              <w:wordWrap/>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lang w:eastAsia="zh-CN"/>
              </w:rPr>
              <w:t>3</w:t>
            </w:r>
            <w:r>
              <w:rPr>
                <w:rFonts w:hint="eastAsia" w:ascii="仿宋" w:hAnsi="仿宋" w:eastAsia="仿宋" w:cs="仿宋"/>
                <w:sz w:val="24"/>
                <w:szCs w:val="24"/>
              </w:rPr>
              <w:t>.5.6</w:t>
            </w:r>
          </w:p>
        </w:tc>
        <w:tc>
          <w:tcPr>
            <w:tcW w:w="7385" w:type="dxa"/>
            <w:gridSpan w:val="2"/>
            <w:vAlign w:val="top"/>
          </w:tcPr>
          <w:p>
            <w:pPr>
              <w:widowControl w:val="0"/>
              <w:wordWrap/>
              <w:snapToGrid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设备故障发生时，设备停止运行，给出声光报警信号，并给出故障类型及故障排除方法提示</w:t>
            </w:r>
          </w:p>
        </w:tc>
        <w:tc>
          <w:tcPr>
            <w:tcW w:w="1065" w:type="dxa"/>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23" w:type="dxa"/>
            <w:gridSpan w:val="2"/>
            <w:vAlign w:val="center"/>
          </w:tcPr>
          <w:p>
            <w:pPr>
              <w:widowControl w:val="0"/>
              <w:wordWrap/>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lang w:eastAsia="zh-CN"/>
              </w:rPr>
              <w:t>3</w:t>
            </w:r>
            <w:r>
              <w:rPr>
                <w:rFonts w:hint="eastAsia" w:ascii="仿宋" w:hAnsi="仿宋" w:eastAsia="仿宋" w:cs="仿宋"/>
                <w:sz w:val="24"/>
                <w:szCs w:val="24"/>
              </w:rPr>
              <w:t>.5.7</w:t>
            </w:r>
          </w:p>
        </w:tc>
        <w:tc>
          <w:tcPr>
            <w:tcW w:w="7385" w:type="dxa"/>
            <w:gridSpan w:val="2"/>
            <w:vAlign w:val="top"/>
          </w:tcPr>
          <w:p>
            <w:pPr>
              <w:widowControl w:val="0"/>
              <w:wordWrap/>
              <w:snapToGrid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bCs/>
                <w:sz w:val="24"/>
                <w:szCs w:val="24"/>
              </w:rPr>
              <w:t>具有</w:t>
            </w:r>
            <w:r>
              <w:rPr>
                <w:rFonts w:hint="eastAsia" w:ascii="仿宋" w:hAnsi="仿宋" w:eastAsia="仿宋" w:cs="仿宋"/>
                <w:sz w:val="24"/>
                <w:szCs w:val="24"/>
              </w:rPr>
              <w:t>走行极限位置缓冲器保护</w:t>
            </w:r>
          </w:p>
        </w:tc>
        <w:tc>
          <w:tcPr>
            <w:tcW w:w="1065" w:type="dxa"/>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23" w:type="dxa"/>
            <w:gridSpan w:val="2"/>
            <w:vAlign w:val="center"/>
          </w:tcPr>
          <w:p>
            <w:pPr>
              <w:widowControl w:val="0"/>
              <w:wordWrap/>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lang w:eastAsia="zh-CN"/>
              </w:rPr>
              <w:t>3</w:t>
            </w:r>
            <w:r>
              <w:rPr>
                <w:rFonts w:hint="eastAsia" w:ascii="仿宋" w:hAnsi="仿宋" w:eastAsia="仿宋" w:cs="仿宋"/>
                <w:sz w:val="24"/>
                <w:szCs w:val="24"/>
              </w:rPr>
              <w:t>.5.8</w:t>
            </w:r>
          </w:p>
        </w:tc>
        <w:tc>
          <w:tcPr>
            <w:tcW w:w="7385" w:type="dxa"/>
            <w:gridSpan w:val="2"/>
            <w:vAlign w:val="top"/>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bCs/>
                <w:sz w:val="24"/>
                <w:szCs w:val="24"/>
              </w:rPr>
              <w:t>具有</w:t>
            </w:r>
            <w:r>
              <w:rPr>
                <w:rFonts w:hint="eastAsia" w:ascii="仿宋" w:hAnsi="仿宋" w:eastAsia="仿宋" w:cs="仿宋"/>
                <w:sz w:val="24"/>
                <w:szCs w:val="24"/>
              </w:rPr>
              <w:t>相序保护、短路保护、断路保护、过载保护、过欠压保护、超时运行等多种控制线路保护</w:t>
            </w:r>
          </w:p>
        </w:tc>
        <w:tc>
          <w:tcPr>
            <w:tcW w:w="1065" w:type="dxa"/>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23" w:type="dxa"/>
            <w:gridSpan w:val="2"/>
            <w:vAlign w:val="center"/>
          </w:tcPr>
          <w:p>
            <w:pPr>
              <w:widowControl w:val="0"/>
              <w:wordWrap/>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lang w:eastAsia="zh-CN"/>
              </w:rPr>
              <w:t>3</w:t>
            </w:r>
            <w:r>
              <w:rPr>
                <w:rFonts w:hint="eastAsia" w:ascii="仿宋" w:hAnsi="仿宋" w:eastAsia="仿宋" w:cs="仿宋"/>
                <w:sz w:val="24"/>
                <w:szCs w:val="24"/>
              </w:rPr>
              <w:t>.5.9</w:t>
            </w:r>
          </w:p>
        </w:tc>
        <w:tc>
          <w:tcPr>
            <w:tcW w:w="7385" w:type="dxa"/>
            <w:gridSpan w:val="2"/>
            <w:vAlign w:val="top"/>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系统具有闭路监视系统</w:t>
            </w:r>
          </w:p>
        </w:tc>
        <w:tc>
          <w:tcPr>
            <w:tcW w:w="1065" w:type="dxa"/>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23" w:type="dxa"/>
            <w:gridSpan w:val="2"/>
            <w:vAlign w:val="center"/>
          </w:tcPr>
          <w:p>
            <w:pPr>
              <w:widowControl w:val="0"/>
              <w:wordWrap/>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lang w:eastAsia="zh-CN"/>
              </w:rPr>
              <w:t>3</w:t>
            </w:r>
            <w:r>
              <w:rPr>
                <w:rFonts w:hint="eastAsia" w:ascii="仿宋" w:hAnsi="仿宋" w:eastAsia="仿宋" w:cs="仿宋"/>
                <w:sz w:val="24"/>
                <w:szCs w:val="24"/>
              </w:rPr>
              <w:t>.5.10</w:t>
            </w:r>
          </w:p>
        </w:tc>
        <w:tc>
          <w:tcPr>
            <w:tcW w:w="7385" w:type="dxa"/>
            <w:gridSpan w:val="2"/>
            <w:vAlign w:val="top"/>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具有存取车记录档案功能</w:t>
            </w:r>
          </w:p>
        </w:tc>
        <w:tc>
          <w:tcPr>
            <w:tcW w:w="1065" w:type="dxa"/>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23" w:type="dxa"/>
            <w:gridSpan w:val="2"/>
            <w:vAlign w:val="center"/>
          </w:tcPr>
          <w:p>
            <w:pPr>
              <w:widowControl w:val="0"/>
              <w:wordWrap/>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lang w:eastAsia="zh-CN"/>
              </w:rPr>
              <w:t>3</w:t>
            </w:r>
            <w:r>
              <w:rPr>
                <w:rFonts w:hint="eastAsia" w:ascii="仿宋" w:hAnsi="仿宋" w:eastAsia="仿宋" w:cs="仿宋"/>
                <w:sz w:val="24"/>
                <w:szCs w:val="24"/>
              </w:rPr>
              <w:t>.5.11</w:t>
            </w:r>
          </w:p>
        </w:tc>
        <w:tc>
          <w:tcPr>
            <w:tcW w:w="7385" w:type="dxa"/>
            <w:gridSpan w:val="2"/>
            <w:vAlign w:val="top"/>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采用三合一变频减速电机</w:t>
            </w:r>
          </w:p>
        </w:tc>
        <w:tc>
          <w:tcPr>
            <w:tcW w:w="1065" w:type="dxa"/>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23" w:type="dxa"/>
            <w:gridSpan w:val="2"/>
            <w:vAlign w:val="center"/>
          </w:tcPr>
          <w:p>
            <w:pPr>
              <w:widowControl w:val="0"/>
              <w:wordWrap/>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lang w:eastAsia="zh-CN"/>
              </w:rPr>
              <w:t>3</w:t>
            </w:r>
            <w:r>
              <w:rPr>
                <w:rFonts w:hint="eastAsia" w:ascii="仿宋" w:hAnsi="仿宋" w:eastAsia="仿宋" w:cs="仿宋"/>
                <w:sz w:val="24"/>
                <w:szCs w:val="24"/>
              </w:rPr>
              <w:t>.5.12</w:t>
            </w:r>
          </w:p>
        </w:tc>
        <w:tc>
          <w:tcPr>
            <w:tcW w:w="7385" w:type="dxa"/>
            <w:gridSpan w:val="2"/>
            <w:vAlign w:val="top"/>
          </w:tcPr>
          <w:p>
            <w:pPr>
              <w:widowControl w:val="0"/>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bCs/>
                <w:iCs/>
                <w:sz w:val="24"/>
                <w:szCs w:val="24"/>
              </w:rPr>
              <w:t>停车系统应有防重叠存车的自动检测装置</w:t>
            </w:r>
          </w:p>
        </w:tc>
        <w:tc>
          <w:tcPr>
            <w:tcW w:w="1065" w:type="dxa"/>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23" w:type="dxa"/>
            <w:gridSpan w:val="2"/>
            <w:vAlign w:val="center"/>
          </w:tcPr>
          <w:p>
            <w:pPr>
              <w:widowControl w:val="0"/>
              <w:wordWrap/>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lang w:eastAsia="zh-CN"/>
              </w:rPr>
              <w:t>3</w:t>
            </w:r>
            <w:r>
              <w:rPr>
                <w:rFonts w:hint="eastAsia" w:ascii="仿宋" w:hAnsi="仿宋" w:eastAsia="仿宋" w:cs="仿宋"/>
                <w:sz w:val="24"/>
                <w:szCs w:val="24"/>
              </w:rPr>
              <w:t>.5.13</w:t>
            </w:r>
          </w:p>
        </w:tc>
        <w:tc>
          <w:tcPr>
            <w:tcW w:w="7385" w:type="dxa"/>
            <w:gridSpan w:val="2"/>
            <w:vAlign w:val="top"/>
          </w:tcPr>
          <w:p>
            <w:pPr>
              <w:widowControl w:val="0"/>
              <w:wordWrap/>
              <w:spacing w:before="0" w:beforeAutospacing="0" w:after="0" w:afterAutospacing="0" w:line="360" w:lineRule="auto"/>
              <w:ind w:left="0" w:right="0"/>
              <w:rPr>
                <w:rFonts w:hint="eastAsia" w:ascii="仿宋" w:hAnsi="仿宋" w:eastAsia="仿宋" w:cs="仿宋"/>
                <w:b/>
                <w:bCs/>
                <w:iCs/>
                <w:sz w:val="24"/>
                <w:szCs w:val="24"/>
              </w:rPr>
            </w:pPr>
            <w:r>
              <w:rPr>
                <w:rFonts w:hint="eastAsia" w:ascii="仿宋" w:hAnsi="仿宋" w:eastAsia="仿宋" w:cs="仿宋"/>
                <w:bCs/>
                <w:iCs/>
                <w:sz w:val="24"/>
                <w:szCs w:val="24"/>
              </w:rPr>
              <w:t>对操作失误应有简易纠正方式，确保操作失误不会给系统造成任何损害。</w:t>
            </w:r>
          </w:p>
        </w:tc>
        <w:tc>
          <w:tcPr>
            <w:tcW w:w="1065" w:type="dxa"/>
            <w:vAlign w:val="center"/>
          </w:tcPr>
          <w:p>
            <w:pPr>
              <w:widowControl w:val="0"/>
              <w:wordWrap/>
              <w:spacing w:before="0" w:beforeAutospacing="0" w:after="0" w:afterAutospacing="0" w:line="360" w:lineRule="auto"/>
              <w:ind w:left="0" w:right="0"/>
              <w:rPr>
                <w:rFonts w:hint="eastAsia" w:ascii="仿宋" w:hAnsi="仿宋" w:eastAsia="仿宋" w:cs="仿宋"/>
                <w:sz w:val="24"/>
                <w:szCs w:val="24"/>
              </w:rPr>
            </w:pPr>
          </w:p>
        </w:tc>
      </w:tr>
    </w:tbl>
    <w:p>
      <w:pPr>
        <w:widowControl w:val="0"/>
        <w:wordWrap/>
        <w:spacing w:line="360" w:lineRule="auto"/>
        <w:ind w:firstLine="482" w:firstLineChars="200"/>
        <w:rPr>
          <w:rFonts w:hint="eastAsia" w:ascii="仿宋" w:hAnsi="仿宋" w:eastAsia="仿宋" w:cs="仿宋"/>
          <w:b/>
          <w:bCs/>
          <w:sz w:val="24"/>
          <w:szCs w:val="24"/>
          <w:lang w:val="en-US" w:eastAsia="zh-CN"/>
        </w:rPr>
      </w:pPr>
    </w:p>
    <w:p>
      <w:pPr>
        <w:pStyle w:val="4"/>
        <w:spacing w:before="0" w:after="0" w:line="360" w:lineRule="auto"/>
        <w:rPr>
          <w:rFonts w:hint="eastAsia" w:ascii="仿宋" w:hAnsi="仿宋" w:eastAsia="仿宋" w:cs="仿宋"/>
          <w:iCs/>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 xml:space="preserve">  部件要求:</w:t>
      </w:r>
    </w:p>
    <w:p>
      <w:pPr>
        <w:pStyle w:val="6"/>
        <w:spacing w:before="0" w:after="0" w:line="360" w:lineRule="auto"/>
        <w:rPr>
          <w:rFonts w:hint="eastAsia" w:ascii="仿宋" w:hAnsi="仿宋" w:eastAsia="仿宋" w:cs="仿宋"/>
          <w:sz w:val="24"/>
          <w:szCs w:val="24"/>
        </w:rPr>
      </w:pPr>
      <w:r>
        <w:rPr>
          <w:rFonts w:hint="eastAsia" w:ascii="仿宋" w:hAnsi="仿宋" w:eastAsia="仿宋" w:cs="仿宋"/>
          <w:sz w:val="24"/>
          <w:szCs w:val="24"/>
        </w:rPr>
        <w:t>4.1  电器要求:</w:t>
      </w:r>
    </w:p>
    <w:p>
      <w:pPr>
        <w:spacing w:line="360" w:lineRule="auto"/>
        <w:rPr>
          <w:rFonts w:hint="eastAsia" w:ascii="仿宋" w:hAnsi="仿宋" w:eastAsia="仿宋" w:cs="仿宋"/>
          <w:bCs/>
          <w:iCs/>
          <w:sz w:val="24"/>
          <w:szCs w:val="24"/>
        </w:rPr>
      </w:pPr>
      <w:r>
        <w:rPr>
          <w:rFonts w:hint="eastAsia" w:ascii="仿宋" w:hAnsi="仿宋" w:eastAsia="仿宋" w:cs="仿宋"/>
          <w:bCs/>
          <w:iCs/>
          <w:sz w:val="24"/>
          <w:szCs w:val="24"/>
        </w:rPr>
        <w:t>a、投标文件应提出停车系统供电容量、指标等要求，控制器及电源等设计须满足该系统正常使用要求，具有较高的抗干扰能力及稳压特性。</w:t>
      </w:r>
    </w:p>
    <w:p>
      <w:pPr>
        <w:spacing w:line="360" w:lineRule="auto"/>
        <w:rPr>
          <w:rFonts w:hint="eastAsia" w:ascii="仿宋" w:hAnsi="仿宋" w:eastAsia="仿宋" w:cs="仿宋"/>
          <w:bCs/>
          <w:iCs/>
          <w:sz w:val="24"/>
          <w:szCs w:val="24"/>
        </w:rPr>
      </w:pPr>
      <w:r>
        <w:rPr>
          <w:rFonts w:hint="eastAsia" w:ascii="仿宋" w:hAnsi="仿宋" w:eastAsia="仿宋" w:cs="仿宋"/>
          <w:bCs/>
          <w:iCs/>
          <w:sz w:val="24"/>
          <w:szCs w:val="24"/>
        </w:rPr>
        <w:t>b、电气设备的安装应符合GB50168、GB50169和GB50171的要求。</w:t>
      </w:r>
    </w:p>
    <w:p>
      <w:pPr>
        <w:spacing w:line="360" w:lineRule="auto"/>
        <w:rPr>
          <w:rFonts w:hint="eastAsia" w:ascii="仿宋" w:hAnsi="仿宋" w:eastAsia="仿宋" w:cs="仿宋"/>
          <w:bCs/>
          <w:iCs/>
          <w:sz w:val="24"/>
          <w:szCs w:val="24"/>
        </w:rPr>
      </w:pPr>
      <w:r>
        <w:rPr>
          <w:rFonts w:hint="eastAsia" w:ascii="仿宋" w:hAnsi="仿宋" w:eastAsia="仿宋" w:cs="仿宋"/>
          <w:bCs/>
          <w:iCs/>
          <w:sz w:val="24"/>
          <w:szCs w:val="24"/>
        </w:rPr>
        <w:t>c、停车设备的金属结构及所有电气设备的金属外壳、管槽、电缆金属护层和变压器低压侧均应有可靠接地。检测时应保持接地良好。</w:t>
      </w:r>
    </w:p>
    <w:p>
      <w:pPr>
        <w:spacing w:line="360" w:lineRule="auto"/>
        <w:rPr>
          <w:rFonts w:hint="eastAsia" w:ascii="仿宋" w:hAnsi="仿宋" w:eastAsia="仿宋" w:cs="仿宋"/>
          <w:bCs/>
          <w:iCs/>
          <w:sz w:val="24"/>
          <w:szCs w:val="24"/>
        </w:rPr>
      </w:pPr>
      <w:r>
        <w:rPr>
          <w:rFonts w:hint="eastAsia" w:ascii="仿宋" w:hAnsi="仿宋" w:eastAsia="仿宋" w:cs="仿宋"/>
          <w:bCs/>
          <w:iCs/>
          <w:sz w:val="24"/>
          <w:szCs w:val="24"/>
        </w:rPr>
        <w:t>d、所有仪表、按钮、操作开关的用途应标明在盘(屏、柜、台)的正面，装设在内部的元件应标明代号。</w:t>
      </w:r>
    </w:p>
    <w:p>
      <w:pPr>
        <w:spacing w:line="360" w:lineRule="auto"/>
        <w:rPr>
          <w:rFonts w:hint="eastAsia" w:ascii="仿宋" w:hAnsi="仿宋" w:eastAsia="仿宋" w:cs="仿宋"/>
          <w:bCs/>
          <w:iCs/>
          <w:sz w:val="24"/>
          <w:szCs w:val="24"/>
        </w:rPr>
      </w:pPr>
      <w:r>
        <w:rPr>
          <w:rFonts w:hint="eastAsia" w:ascii="仿宋" w:hAnsi="仿宋" w:eastAsia="仿宋" w:cs="仿宋"/>
          <w:bCs/>
          <w:iCs/>
          <w:sz w:val="24"/>
          <w:szCs w:val="24"/>
        </w:rPr>
        <w:t>e、所有电气设备必须可靠固定，声光信号装置必须可靠。</w:t>
      </w:r>
    </w:p>
    <w:p>
      <w:pPr>
        <w:spacing w:line="360" w:lineRule="auto"/>
        <w:rPr>
          <w:rFonts w:hint="eastAsia" w:ascii="仿宋" w:hAnsi="仿宋" w:eastAsia="仿宋" w:cs="仿宋"/>
          <w:bCs/>
          <w:iCs/>
          <w:sz w:val="24"/>
          <w:szCs w:val="24"/>
        </w:rPr>
      </w:pPr>
      <w:r>
        <w:rPr>
          <w:rFonts w:hint="eastAsia" w:ascii="仿宋" w:hAnsi="仿宋" w:eastAsia="仿宋" w:cs="仿宋"/>
          <w:bCs/>
          <w:iCs/>
          <w:sz w:val="24"/>
          <w:szCs w:val="24"/>
        </w:rPr>
        <w:t>f、设备适用于三相五线制。</w:t>
      </w:r>
    </w:p>
    <w:p>
      <w:pPr>
        <w:spacing w:line="360" w:lineRule="auto"/>
        <w:rPr>
          <w:rFonts w:hint="eastAsia" w:ascii="仿宋" w:hAnsi="仿宋" w:eastAsia="仿宋" w:cs="仿宋"/>
          <w:bCs/>
          <w:iCs/>
          <w:sz w:val="24"/>
          <w:szCs w:val="24"/>
        </w:rPr>
      </w:pPr>
      <w:r>
        <w:rPr>
          <w:rFonts w:hint="eastAsia" w:ascii="仿宋" w:hAnsi="仿宋" w:eastAsia="仿宋" w:cs="仿宋"/>
          <w:bCs/>
          <w:iCs/>
          <w:sz w:val="24"/>
          <w:szCs w:val="24"/>
        </w:rPr>
        <w:t>g、电动机、电控柜、操作箱所有外壳防护等级应不低于GB／T4942.2－1993中IP40要求。电控柜、操作箱密封防鼠害，并根据需要配置强制通风。</w:t>
      </w:r>
    </w:p>
    <w:p>
      <w:pPr>
        <w:spacing w:line="360" w:lineRule="auto"/>
        <w:rPr>
          <w:rFonts w:hint="eastAsia" w:ascii="仿宋" w:hAnsi="仿宋" w:eastAsia="仿宋" w:cs="仿宋"/>
          <w:bCs/>
          <w:iCs/>
          <w:sz w:val="24"/>
          <w:szCs w:val="24"/>
        </w:rPr>
      </w:pPr>
      <w:r>
        <w:rPr>
          <w:rFonts w:hint="eastAsia" w:ascii="仿宋" w:hAnsi="仿宋" w:eastAsia="仿宋" w:cs="仿宋"/>
          <w:bCs/>
          <w:iCs/>
          <w:sz w:val="24"/>
          <w:szCs w:val="24"/>
        </w:rPr>
        <w:t>h、电路必须配有分电路和主电路的短路保护、过载保护、欠压保护、缺相保护等保护电路。</w:t>
      </w:r>
    </w:p>
    <w:p>
      <w:pPr>
        <w:spacing w:line="360" w:lineRule="auto"/>
        <w:rPr>
          <w:rFonts w:hint="eastAsia" w:ascii="仿宋" w:hAnsi="仿宋" w:eastAsia="仿宋" w:cs="仿宋"/>
          <w:bCs/>
          <w:iCs/>
          <w:sz w:val="24"/>
          <w:szCs w:val="24"/>
        </w:rPr>
      </w:pPr>
      <w:r>
        <w:rPr>
          <w:rFonts w:hint="eastAsia" w:ascii="仿宋" w:hAnsi="仿宋" w:eastAsia="仿宋" w:cs="仿宋"/>
          <w:bCs/>
          <w:iCs/>
          <w:sz w:val="24"/>
          <w:szCs w:val="24"/>
        </w:rPr>
        <w:t>i、提供总体设计的电气原理图和电气接线图，每个电控柜必须提供电控柜的原理图和接线图。</w:t>
      </w:r>
    </w:p>
    <w:p>
      <w:pPr>
        <w:spacing w:line="360" w:lineRule="auto"/>
        <w:rPr>
          <w:rFonts w:hint="eastAsia" w:ascii="仿宋" w:hAnsi="仿宋" w:eastAsia="仿宋" w:cs="仿宋"/>
          <w:bCs/>
          <w:iCs/>
          <w:sz w:val="24"/>
          <w:szCs w:val="24"/>
        </w:rPr>
      </w:pPr>
      <w:r>
        <w:rPr>
          <w:rFonts w:hint="eastAsia" w:ascii="仿宋" w:hAnsi="仿宋" w:eastAsia="仿宋" w:cs="仿宋"/>
          <w:bCs/>
          <w:iCs/>
          <w:sz w:val="24"/>
          <w:szCs w:val="24"/>
        </w:rPr>
        <w:t>j、供电及控制线路安装按工程现场情况，以桥架为主。</w:t>
      </w:r>
    </w:p>
    <w:p>
      <w:pPr>
        <w:spacing w:line="360" w:lineRule="auto"/>
        <w:rPr>
          <w:rFonts w:hint="eastAsia" w:ascii="仿宋" w:hAnsi="仿宋" w:eastAsia="仿宋" w:cs="仿宋"/>
          <w:bCs/>
          <w:iCs/>
          <w:sz w:val="24"/>
          <w:szCs w:val="24"/>
        </w:rPr>
      </w:pPr>
      <w:r>
        <w:rPr>
          <w:rFonts w:hint="eastAsia" w:ascii="仿宋" w:hAnsi="仿宋" w:eastAsia="仿宋" w:cs="仿宋"/>
          <w:bCs/>
          <w:iCs/>
          <w:sz w:val="24"/>
          <w:szCs w:val="24"/>
        </w:rPr>
        <w:t>k、各电器设备及屏、柜与其结构构架间的距离必须符合检修方便的原则。</w:t>
      </w:r>
    </w:p>
    <w:p>
      <w:pPr>
        <w:spacing w:line="360" w:lineRule="auto"/>
        <w:rPr>
          <w:rFonts w:hint="eastAsia" w:ascii="仿宋" w:hAnsi="仿宋" w:eastAsia="仿宋" w:cs="仿宋"/>
          <w:bCs/>
          <w:iCs/>
          <w:sz w:val="24"/>
          <w:szCs w:val="24"/>
        </w:rPr>
      </w:pPr>
      <w:r>
        <w:rPr>
          <w:rFonts w:hint="eastAsia" w:ascii="仿宋" w:hAnsi="仿宋" w:eastAsia="仿宋" w:cs="仿宋"/>
          <w:bCs/>
          <w:iCs/>
          <w:sz w:val="24"/>
          <w:szCs w:val="24"/>
        </w:rPr>
        <w:t>l、满载运行时，电动机端的电压损失不得超过额定电压的15％。</w:t>
      </w:r>
    </w:p>
    <w:p>
      <w:pPr>
        <w:spacing w:line="360" w:lineRule="auto"/>
        <w:rPr>
          <w:rFonts w:hint="eastAsia" w:ascii="仿宋" w:hAnsi="仿宋" w:eastAsia="仿宋" w:cs="仿宋"/>
          <w:bCs/>
          <w:iCs/>
          <w:sz w:val="24"/>
          <w:szCs w:val="24"/>
        </w:rPr>
      </w:pPr>
      <w:r>
        <w:rPr>
          <w:rFonts w:hint="eastAsia" w:ascii="仿宋" w:hAnsi="仿宋" w:eastAsia="仿宋" w:cs="仿宋"/>
          <w:bCs/>
          <w:iCs/>
          <w:sz w:val="24"/>
          <w:szCs w:val="24"/>
        </w:rPr>
        <w:t>m、零线和接地线应分别设置，严禁用零线代替接地线。接地电阻不得大于1Ω。</w:t>
      </w:r>
    </w:p>
    <w:p>
      <w:pPr>
        <w:spacing w:line="360" w:lineRule="auto"/>
        <w:rPr>
          <w:rFonts w:hint="eastAsia" w:ascii="仿宋" w:hAnsi="仿宋" w:eastAsia="仿宋" w:cs="仿宋"/>
          <w:bCs/>
          <w:iCs/>
          <w:sz w:val="24"/>
          <w:szCs w:val="24"/>
        </w:rPr>
      </w:pPr>
      <w:r>
        <w:rPr>
          <w:rFonts w:hint="eastAsia" w:ascii="仿宋" w:hAnsi="仿宋" w:eastAsia="仿宋" w:cs="仿宋"/>
          <w:bCs/>
          <w:iCs/>
          <w:sz w:val="24"/>
          <w:szCs w:val="24"/>
        </w:rPr>
        <w:t>n、导体之间和导体对地之间的绝缘电阻必须大于1000Ω／V，且其值不小于：</w:t>
      </w:r>
    </w:p>
    <w:p>
      <w:pPr>
        <w:spacing w:line="360" w:lineRule="auto"/>
        <w:ind w:firstLine="480" w:firstLineChars="200"/>
        <w:rPr>
          <w:rFonts w:hint="eastAsia" w:ascii="仿宋" w:hAnsi="仿宋" w:eastAsia="仿宋" w:cs="仿宋"/>
          <w:bCs/>
          <w:iCs/>
          <w:sz w:val="24"/>
          <w:szCs w:val="24"/>
        </w:rPr>
      </w:pPr>
      <w:r>
        <w:rPr>
          <w:rFonts w:hint="eastAsia" w:ascii="仿宋" w:hAnsi="仿宋" w:eastAsia="仿宋" w:cs="仿宋"/>
          <w:bCs/>
          <w:iCs/>
          <w:sz w:val="24"/>
          <w:szCs w:val="24"/>
        </w:rPr>
        <w:t>(a)动力电路和电气安全装置电路0.5MΩ；</w:t>
      </w:r>
    </w:p>
    <w:p>
      <w:pPr>
        <w:spacing w:line="360" w:lineRule="auto"/>
        <w:ind w:firstLine="480" w:firstLineChars="200"/>
        <w:rPr>
          <w:rFonts w:hint="eastAsia" w:ascii="仿宋" w:hAnsi="仿宋" w:eastAsia="仿宋" w:cs="仿宋"/>
          <w:bCs/>
          <w:iCs/>
          <w:sz w:val="24"/>
          <w:szCs w:val="24"/>
        </w:rPr>
      </w:pPr>
      <w:r>
        <w:rPr>
          <w:rFonts w:hint="eastAsia" w:ascii="仿宋" w:hAnsi="仿宋" w:eastAsia="仿宋" w:cs="仿宋"/>
          <w:bCs/>
          <w:iCs/>
          <w:sz w:val="24"/>
          <w:szCs w:val="24"/>
        </w:rPr>
        <w:t>(b)其他电路(控制、照明、信号等)0.25MΩ。</w:t>
      </w:r>
    </w:p>
    <w:p>
      <w:pPr>
        <w:spacing w:line="360" w:lineRule="auto"/>
        <w:rPr>
          <w:rFonts w:hint="eastAsia" w:ascii="仿宋" w:hAnsi="仿宋" w:eastAsia="仿宋" w:cs="仿宋"/>
          <w:bCs/>
          <w:iCs/>
          <w:sz w:val="24"/>
          <w:szCs w:val="24"/>
        </w:rPr>
      </w:pPr>
      <w:r>
        <w:rPr>
          <w:rFonts w:hint="eastAsia" w:ascii="仿宋" w:hAnsi="仿宋" w:eastAsia="仿宋" w:cs="仿宋"/>
          <w:bCs/>
          <w:iCs/>
          <w:sz w:val="24"/>
          <w:szCs w:val="24"/>
        </w:rPr>
        <w:t>o、接地线连接应符合GB50169的规定。</w:t>
      </w:r>
    </w:p>
    <w:p>
      <w:pPr>
        <w:spacing w:line="360" w:lineRule="auto"/>
        <w:rPr>
          <w:rFonts w:hint="eastAsia" w:ascii="仿宋" w:hAnsi="仿宋" w:eastAsia="仿宋" w:cs="仿宋"/>
          <w:bCs/>
          <w:iCs/>
          <w:sz w:val="24"/>
          <w:szCs w:val="24"/>
        </w:rPr>
      </w:pPr>
      <w:r>
        <w:rPr>
          <w:rFonts w:hint="eastAsia" w:ascii="仿宋" w:hAnsi="仿宋" w:eastAsia="仿宋" w:cs="仿宋"/>
          <w:bCs/>
          <w:iCs/>
          <w:sz w:val="24"/>
          <w:szCs w:val="24"/>
        </w:rPr>
        <w:t>p、电机必须内置，不得外露，避免外来雨水灰尘侵蚀，布置需美观。</w:t>
      </w:r>
    </w:p>
    <w:p>
      <w:pPr>
        <w:pStyle w:val="6"/>
        <w:spacing w:before="0" w:after="0" w:line="360" w:lineRule="auto"/>
        <w:rPr>
          <w:rFonts w:hint="eastAsia" w:ascii="仿宋" w:hAnsi="仿宋" w:eastAsia="仿宋" w:cs="仿宋"/>
          <w:iCs/>
          <w:sz w:val="24"/>
          <w:szCs w:val="24"/>
        </w:rPr>
      </w:pPr>
      <w:r>
        <w:rPr>
          <w:rFonts w:hint="eastAsia" w:ascii="仿宋" w:hAnsi="仿宋" w:eastAsia="仿宋" w:cs="仿宋"/>
          <w:sz w:val="24"/>
          <w:szCs w:val="24"/>
        </w:rPr>
        <w:t>4.2  制动器要求:</w:t>
      </w:r>
    </w:p>
    <w:p>
      <w:pPr>
        <w:spacing w:line="360" w:lineRule="auto"/>
        <w:rPr>
          <w:rFonts w:hint="eastAsia" w:ascii="仿宋" w:hAnsi="仿宋" w:eastAsia="仿宋" w:cs="仿宋"/>
          <w:bCs/>
          <w:iCs/>
          <w:sz w:val="24"/>
          <w:szCs w:val="24"/>
        </w:rPr>
      </w:pPr>
      <w:r>
        <w:rPr>
          <w:rFonts w:hint="eastAsia" w:ascii="仿宋" w:hAnsi="仿宋" w:eastAsia="仿宋" w:cs="仿宋"/>
          <w:bCs/>
          <w:iCs/>
          <w:sz w:val="24"/>
          <w:szCs w:val="24"/>
        </w:rPr>
        <w:t>a、制动机构必须设有自动制动系统，在出现动力电源失电或控制电源失电情况时能自动制动。</w:t>
      </w:r>
    </w:p>
    <w:p>
      <w:pPr>
        <w:spacing w:line="360" w:lineRule="auto"/>
        <w:rPr>
          <w:rFonts w:hint="eastAsia" w:ascii="仿宋" w:hAnsi="仿宋" w:eastAsia="仿宋" w:cs="仿宋"/>
          <w:bCs/>
          <w:iCs/>
          <w:sz w:val="24"/>
          <w:szCs w:val="24"/>
        </w:rPr>
      </w:pPr>
      <w:r>
        <w:rPr>
          <w:rFonts w:hint="eastAsia" w:ascii="仿宋" w:hAnsi="仿宋" w:eastAsia="仿宋" w:cs="仿宋"/>
          <w:bCs/>
          <w:iCs/>
          <w:sz w:val="24"/>
          <w:szCs w:val="24"/>
        </w:rPr>
        <w:t>b、制动系统应采用常闭式制动器，对控制升降运动的制动器其制动力矩应小于1.5倍额定载荷的制动力矩。</w:t>
      </w:r>
    </w:p>
    <w:p>
      <w:pPr>
        <w:spacing w:line="360" w:lineRule="auto"/>
        <w:rPr>
          <w:rFonts w:hint="eastAsia" w:ascii="仿宋" w:hAnsi="仿宋" w:eastAsia="仿宋" w:cs="仿宋"/>
          <w:bCs/>
          <w:iCs/>
          <w:sz w:val="24"/>
          <w:szCs w:val="24"/>
        </w:rPr>
      </w:pPr>
      <w:r>
        <w:rPr>
          <w:rFonts w:hint="eastAsia" w:ascii="仿宋" w:hAnsi="仿宋" w:eastAsia="仿宋" w:cs="仿宋"/>
          <w:bCs/>
          <w:iCs/>
          <w:sz w:val="24"/>
          <w:szCs w:val="24"/>
        </w:rPr>
        <w:t>c、制动器应有符合操作频度的热容量。</w:t>
      </w:r>
    </w:p>
    <w:p>
      <w:pPr>
        <w:spacing w:line="360" w:lineRule="auto"/>
        <w:rPr>
          <w:rFonts w:hint="eastAsia" w:ascii="仿宋" w:hAnsi="仿宋" w:eastAsia="仿宋" w:cs="仿宋"/>
          <w:bCs/>
          <w:iCs/>
          <w:sz w:val="24"/>
          <w:szCs w:val="24"/>
        </w:rPr>
      </w:pPr>
      <w:r>
        <w:rPr>
          <w:rFonts w:hint="eastAsia" w:ascii="仿宋" w:hAnsi="仿宋" w:eastAsia="仿宋" w:cs="仿宋"/>
          <w:bCs/>
          <w:iCs/>
          <w:sz w:val="24"/>
          <w:szCs w:val="24"/>
        </w:rPr>
        <w:t>d、制动器对制动磨擦垫片的磨损应有补偿能力。</w:t>
      </w:r>
    </w:p>
    <w:p>
      <w:pPr>
        <w:tabs>
          <w:tab w:val="left" w:pos="534"/>
        </w:tabs>
        <w:spacing w:line="360" w:lineRule="auto"/>
        <w:rPr>
          <w:rFonts w:hint="eastAsia" w:ascii="仿宋" w:hAnsi="仿宋" w:eastAsia="仿宋" w:cs="仿宋"/>
          <w:bCs/>
          <w:iCs/>
          <w:sz w:val="24"/>
          <w:szCs w:val="24"/>
        </w:rPr>
      </w:pPr>
      <w:r>
        <w:rPr>
          <w:rFonts w:hint="eastAsia" w:ascii="仿宋" w:hAnsi="仿宋" w:eastAsia="仿宋" w:cs="仿宋"/>
          <w:bCs/>
          <w:iCs/>
          <w:sz w:val="24"/>
          <w:szCs w:val="24"/>
        </w:rPr>
        <w:t>e、制动轮的制动磨擦面，不应有妨碍制动性能的缺陷或沾染油污。</w:t>
      </w:r>
    </w:p>
    <w:p>
      <w:pPr>
        <w:pStyle w:val="6"/>
        <w:spacing w:before="0" w:after="0" w:line="360" w:lineRule="auto"/>
        <w:rPr>
          <w:rFonts w:hint="eastAsia" w:ascii="仿宋" w:hAnsi="仿宋" w:eastAsia="仿宋" w:cs="仿宋"/>
          <w:sz w:val="24"/>
          <w:szCs w:val="24"/>
        </w:rPr>
      </w:pPr>
      <w:r>
        <w:rPr>
          <w:rFonts w:hint="eastAsia" w:ascii="仿宋" w:hAnsi="仿宋" w:eastAsia="仿宋" w:cs="仿宋"/>
          <w:sz w:val="24"/>
          <w:szCs w:val="24"/>
        </w:rPr>
        <w:t>4.3  钢构要求:</w:t>
      </w:r>
    </w:p>
    <w:p>
      <w:pPr>
        <w:spacing w:line="360" w:lineRule="auto"/>
        <w:ind w:firstLine="480" w:firstLineChars="200"/>
        <w:rPr>
          <w:rFonts w:hint="eastAsia" w:ascii="仿宋" w:hAnsi="仿宋" w:eastAsia="仿宋" w:cs="仿宋"/>
          <w:bCs/>
          <w:iCs/>
          <w:sz w:val="24"/>
          <w:szCs w:val="24"/>
        </w:rPr>
      </w:pPr>
      <w:r>
        <w:rPr>
          <w:rFonts w:hint="eastAsia" w:ascii="仿宋" w:hAnsi="仿宋" w:eastAsia="仿宋" w:cs="仿宋"/>
          <w:bCs/>
          <w:iCs/>
          <w:sz w:val="24"/>
          <w:szCs w:val="24"/>
        </w:rPr>
        <w:t>所有钢构件都必须经过喷砂或抛丸处理，保证钢结构涂装工程的质量，防止钢材过早腐蚀，提高其使用寿命。钢构件必须采用底漆+中涂+面漆等多道涂层，空气喷涂工艺，涂层均匀质量要好。面漆均匀、细致、光亮、完整和色泽一致，不得有粗糙不平、漏漆、起泡、脱落、开裂、流挂、皱皮、外来杂质及其他降低保护与装饰性的显著污浊物。</w:t>
      </w:r>
    </w:p>
    <w:p>
      <w:pPr>
        <w:pStyle w:val="6"/>
        <w:spacing w:before="0" w:after="0" w:line="360" w:lineRule="auto"/>
        <w:rPr>
          <w:rFonts w:hint="eastAsia" w:ascii="仿宋" w:hAnsi="仿宋" w:eastAsia="仿宋" w:cs="仿宋"/>
          <w:sz w:val="24"/>
          <w:szCs w:val="24"/>
        </w:rPr>
      </w:pPr>
      <w:r>
        <w:rPr>
          <w:rFonts w:hint="eastAsia" w:ascii="仿宋" w:hAnsi="仿宋" w:eastAsia="仿宋" w:cs="仿宋"/>
          <w:sz w:val="24"/>
          <w:szCs w:val="24"/>
        </w:rPr>
        <w:t>4.4  焊接工艺要求:</w:t>
      </w:r>
    </w:p>
    <w:p>
      <w:pPr>
        <w:spacing w:line="360" w:lineRule="auto"/>
        <w:rPr>
          <w:rFonts w:hint="eastAsia" w:ascii="仿宋" w:hAnsi="仿宋" w:eastAsia="仿宋" w:cs="仿宋"/>
          <w:bCs/>
          <w:iCs/>
          <w:sz w:val="24"/>
          <w:szCs w:val="24"/>
        </w:rPr>
      </w:pPr>
      <w:r>
        <w:rPr>
          <w:rFonts w:hint="eastAsia" w:ascii="仿宋" w:hAnsi="仿宋" w:eastAsia="仿宋" w:cs="仿宋"/>
          <w:bCs/>
          <w:iCs/>
          <w:sz w:val="24"/>
          <w:szCs w:val="24"/>
        </w:rPr>
        <w:t>a、焊条、焊丝和焊剂应与被焊接件的材料相适应。</w:t>
      </w:r>
    </w:p>
    <w:p>
      <w:pPr>
        <w:spacing w:line="360" w:lineRule="auto"/>
        <w:rPr>
          <w:rFonts w:hint="eastAsia" w:ascii="仿宋" w:hAnsi="仿宋" w:eastAsia="仿宋" w:cs="仿宋"/>
          <w:bCs/>
          <w:iCs/>
          <w:sz w:val="24"/>
          <w:szCs w:val="24"/>
        </w:rPr>
      </w:pPr>
      <w:r>
        <w:rPr>
          <w:rFonts w:hint="eastAsia" w:ascii="仿宋" w:hAnsi="仿宋" w:eastAsia="仿宋" w:cs="仿宋"/>
          <w:bCs/>
          <w:iCs/>
          <w:sz w:val="24"/>
          <w:szCs w:val="24"/>
        </w:rPr>
        <w:t>b、焊缝应符合GB／T985和GB／T986的规定。</w:t>
      </w:r>
    </w:p>
    <w:p>
      <w:pPr>
        <w:tabs>
          <w:tab w:val="left" w:pos="534"/>
        </w:tabs>
        <w:spacing w:line="360" w:lineRule="auto"/>
        <w:rPr>
          <w:rFonts w:hint="eastAsia" w:ascii="仿宋" w:hAnsi="仿宋" w:eastAsia="仿宋" w:cs="仿宋"/>
          <w:bCs/>
          <w:iCs/>
          <w:sz w:val="24"/>
          <w:szCs w:val="24"/>
        </w:rPr>
      </w:pPr>
      <w:r>
        <w:rPr>
          <w:rFonts w:hint="eastAsia" w:ascii="仿宋" w:hAnsi="仿宋" w:eastAsia="仿宋" w:cs="仿宋"/>
          <w:bCs/>
          <w:iCs/>
          <w:sz w:val="24"/>
          <w:szCs w:val="24"/>
        </w:rPr>
        <w:t>c、竖向和横向构件，焊接前进行校直校平。</w:t>
      </w:r>
    </w:p>
    <w:p>
      <w:pPr>
        <w:pStyle w:val="4"/>
        <w:spacing w:before="0" w:after="0" w:line="360" w:lineRule="auto"/>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w:t>
      </w:r>
      <w:r>
        <w:rPr>
          <w:rFonts w:hint="eastAsia" w:ascii="仿宋" w:hAnsi="仿宋" w:eastAsia="仿宋" w:cs="仿宋"/>
          <w:sz w:val="24"/>
          <w:szCs w:val="24"/>
        </w:rPr>
        <w:t xml:space="preserve">  安装调试要求： </w:t>
      </w:r>
    </w:p>
    <w:p>
      <w:pPr>
        <w:spacing w:line="360" w:lineRule="auto"/>
        <w:rPr>
          <w:rFonts w:hint="eastAsia" w:ascii="仿宋" w:hAnsi="仿宋" w:eastAsia="仿宋" w:cs="仿宋"/>
          <w:bCs/>
          <w:iCs/>
          <w:sz w:val="24"/>
          <w:szCs w:val="24"/>
        </w:rPr>
      </w:pPr>
      <w:r>
        <w:rPr>
          <w:rFonts w:hint="eastAsia" w:ascii="仿宋" w:hAnsi="仿宋" w:eastAsia="仿宋" w:cs="仿宋"/>
          <w:bCs/>
          <w:iCs/>
          <w:sz w:val="24"/>
          <w:szCs w:val="24"/>
        </w:rPr>
        <w:t>5.1 卖方应派有经验的技术人员到现场安装，调试，直到设备正常运行，其费用由卖方负担，费用单列，计入投标总价。</w:t>
      </w:r>
    </w:p>
    <w:p>
      <w:pPr>
        <w:spacing w:line="360" w:lineRule="auto"/>
        <w:rPr>
          <w:rFonts w:hint="eastAsia" w:ascii="仿宋" w:hAnsi="仿宋" w:eastAsia="仿宋" w:cs="仿宋"/>
          <w:bCs/>
          <w:iCs/>
          <w:sz w:val="24"/>
          <w:szCs w:val="24"/>
        </w:rPr>
      </w:pPr>
      <w:r>
        <w:rPr>
          <w:rFonts w:hint="eastAsia" w:ascii="仿宋" w:hAnsi="仿宋" w:eastAsia="仿宋" w:cs="仿宋"/>
          <w:bCs/>
          <w:iCs/>
          <w:sz w:val="24"/>
          <w:szCs w:val="24"/>
        </w:rPr>
        <w:t>5.2 在开始安装以前，所有图纸及技术协议必须提供完整。</w:t>
      </w:r>
    </w:p>
    <w:p>
      <w:pPr>
        <w:spacing w:line="360" w:lineRule="auto"/>
        <w:rPr>
          <w:rFonts w:hint="eastAsia" w:ascii="仿宋" w:hAnsi="仿宋" w:eastAsia="仿宋" w:cs="仿宋"/>
          <w:bCs/>
          <w:iCs/>
          <w:sz w:val="24"/>
          <w:szCs w:val="24"/>
        </w:rPr>
      </w:pPr>
      <w:r>
        <w:rPr>
          <w:rFonts w:hint="eastAsia" w:ascii="仿宋" w:hAnsi="仿宋" w:eastAsia="仿宋" w:cs="仿宋"/>
          <w:bCs/>
          <w:iCs/>
          <w:sz w:val="24"/>
          <w:szCs w:val="24"/>
        </w:rPr>
        <w:t>5.3 卖方应提供全部调试过程中所需的特殊工具、润滑剂和易损件，并自带专用仪器仪表。</w:t>
      </w:r>
    </w:p>
    <w:p>
      <w:pPr>
        <w:spacing w:line="360" w:lineRule="auto"/>
        <w:rPr>
          <w:rFonts w:hint="eastAsia" w:ascii="仿宋" w:hAnsi="仿宋" w:eastAsia="仿宋" w:cs="仿宋"/>
          <w:bCs/>
          <w:iCs/>
          <w:sz w:val="24"/>
          <w:szCs w:val="24"/>
        </w:rPr>
      </w:pPr>
      <w:r>
        <w:rPr>
          <w:rFonts w:hint="eastAsia" w:ascii="仿宋" w:hAnsi="仿宋" w:eastAsia="仿宋" w:cs="仿宋"/>
          <w:bCs/>
          <w:iCs/>
          <w:sz w:val="24"/>
          <w:szCs w:val="24"/>
        </w:rPr>
        <w:t>5.4 卖方应在现场对设备进行调试和试运行，以检验其设计制作操作性和功能等方面的情况。</w:t>
      </w:r>
    </w:p>
    <w:p>
      <w:pPr>
        <w:spacing w:line="360" w:lineRule="auto"/>
        <w:rPr>
          <w:rFonts w:hint="eastAsia" w:ascii="仿宋" w:hAnsi="仿宋" w:eastAsia="仿宋" w:cs="仿宋"/>
          <w:bCs/>
          <w:iCs/>
          <w:sz w:val="24"/>
          <w:szCs w:val="24"/>
        </w:rPr>
      </w:pPr>
      <w:r>
        <w:rPr>
          <w:rFonts w:hint="eastAsia" w:ascii="仿宋" w:hAnsi="仿宋" w:eastAsia="仿宋" w:cs="仿宋"/>
          <w:bCs/>
          <w:iCs/>
          <w:sz w:val="24"/>
          <w:szCs w:val="24"/>
        </w:rPr>
        <w:t>5.5 设备安装完毕，应在买方和监理工程师的监督下进行试运行前的测试，以证明其可以进行试运行。</w:t>
      </w:r>
    </w:p>
    <w:p>
      <w:pPr>
        <w:spacing w:line="360" w:lineRule="auto"/>
        <w:rPr>
          <w:rFonts w:hint="eastAsia" w:ascii="仿宋" w:hAnsi="仿宋" w:eastAsia="仿宋" w:cs="仿宋"/>
          <w:bCs/>
          <w:iCs/>
          <w:sz w:val="24"/>
          <w:szCs w:val="24"/>
        </w:rPr>
      </w:pPr>
      <w:r>
        <w:rPr>
          <w:rFonts w:hint="eastAsia" w:ascii="仿宋" w:hAnsi="仿宋" w:eastAsia="仿宋" w:cs="仿宋"/>
          <w:bCs/>
          <w:iCs/>
          <w:sz w:val="24"/>
          <w:szCs w:val="24"/>
        </w:rPr>
        <w:t>5.6 试运行应在买方和监理工程师监督下进行，内容如下：</w:t>
      </w:r>
    </w:p>
    <w:p>
      <w:pPr>
        <w:spacing w:line="360" w:lineRule="auto"/>
        <w:ind w:firstLine="360" w:firstLineChars="150"/>
        <w:rPr>
          <w:rFonts w:hint="eastAsia" w:ascii="仿宋" w:hAnsi="仿宋" w:eastAsia="仿宋" w:cs="仿宋"/>
          <w:bCs/>
          <w:iCs/>
          <w:sz w:val="24"/>
          <w:szCs w:val="24"/>
        </w:rPr>
      </w:pPr>
      <w:r>
        <w:rPr>
          <w:rFonts w:hint="eastAsia" w:ascii="仿宋" w:hAnsi="仿宋" w:eastAsia="仿宋" w:cs="仿宋"/>
          <w:bCs/>
          <w:iCs/>
          <w:sz w:val="24"/>
          <w:szCs w:val="24"/>
        </w:rPr>
        <w:t>a、进行设备的所有功能性运行。</w:t>
      </w:r>
    </w:p>
    <w:p>
      <w:pPr>
        <w:spacing w:line="360" w:lineRule="auto"/>
        <w:ind w:firstLine="360" w:firstLineChars="150"/>
        <w:rPr>
          <w:rFonts w:hint="eastAsia" w:ascii="仿宋" w:hAnsi="仿宋" w:eastAsia="仿宋" w:cs="仿宋"/>
          <w:bCs/>
          <w:iCs/>
          <w:sz w:val="24"/>
          <w:szCs w:val="24"/>
        </w:rPr>
      </w:pPr>
      <w:r>
        <w:rPr>
          <w:rFonts w:hint="eastAsia" w:ascii="仿宋" w:hAnsi="仿宋" w:eastAsia="仿宋" w:cs="仿宋"/>
          <w:bCs/>
          <w:iCs/>
          <w:sz w:val="24"/>
          <w:szCs w:val="24"/>
        </w:rPr>
        <w:t>b、运行和检测安全装置。</w:t>
      </w:r>
    </w:p>
    <w:p>
      <w:pPr>
        <w:spacing w:line="360" w:lineRule="auto"/>
        <w:rPr>
          <w:rFonts w:hint="eastAsia" w:ascii="仿宋" w:hAnsi="仿宋" w:eastAsia="仿宋" w:cs="仿宋"/>
          <w:bCs/>
          <w:iCs/>
          <w:sz w:val="24"/>
          <w:szCs w:val="24"/>
        </w:rPr>
      </w:pPr>
      <w:r>
        <w:rPr>
          <w:rFonts w:hint="eastAsia" w:ascii="仿宋" w:hAnsi="仿宋" w:eastAsia="仿宋" w:cs="仿宋"/>
          <w:bCs/>
          <w:iCs/>
          <w:sz w:val="24"/>
          <w:szCs w:val="24"/>
        </w:rPr>
        <w:t>5.7 货物在现场的保管由卖方负责，直至设备安装、验交完毕。</w:t>
      </w:r>
    </w:p>
    <w:p>
      <w:pPr>
        <w:spacing w:line="360" w:lineRule="auto"/>
        <w:rPr>
          <w:rFonts w:hint="eastAsia" w:ascii="仿宋" w:hAnsi="仿宋" w:eastAsia="仿宋" w:cs="仿宋"/>
          <w:bCs/>
          <w:iCs/>
          <w:sz w:val="24"/>
          <w:szCs w:val="24"/>
        </w:rPr>
      </w:pPr>
      <w:r>
        <w:rPr>
          <w:rFonts w:hint="eastAsia" w:ascii="仿宋" w:hAnsi="仿宋" w:eastAsia="仿宋" w:cs="仿宋"/>
          <w:bCs/>
          <w:iCs/>
          <w:sz w:val="24"/>
          <w:szCs w:val="24"/>
        </w:rPr>
        <w:t>5.8 卖方提供设备安装调试及保养维修服务的施工服务队伍要具备相应的专业知识及技术水平，熟悉所提供停车设备产品的技术性能、指标、安装工艺、维修保养知识，有足够能力承担停车设备的安装工程，并能保证安装工艺达到停车设备运行合格的要求。</w:t>
      </w:r>
    </w:p>
    <w:p>
      <w:pPr>
        <w:spacing w:line="360" w:lineRule="auto"/>
        <w:rPr>
          <w:rFonts w:hint="eastAsia" w:ascii="仿宋" w:hAnsi="仿宋" w:eastAsia="仿宋" w:cs="仿宋"/>
          <w:bCs/>
          <w:iCs/>
          <w:sz w:val="24"/>
          <w:szCs w:val="24"/>
        </w:rPr>
      </w:pPr>
      <w:r>
        <w:rPr>
          <w:rFonts w:hint="eastAsia" w:ascii="仿宋" w:hAnsi="仿宋" w:eastAsia="仿宋" w:cs="仿宋"/>
          <w:bCs/>
          <w:iCs/>
          <w:sz w:val="24"/>
          <w:szCs w:val="24"/>
        </w:rPr>
        <w:t>5.9 施工服务人员要有相应的上岗证等证件。卖方施工前向业主和监理方递交派出人员名单，严禁使用未成年工和不适应现场安全施工要求的老弱病残人员进行施工。</w:t>
      </w:r>
    </w:p>
    <w:p>
      <w:pPr>
        <w:spacing w:line="360" w:lineRule="auto"/>
        <w:rPr>
          <w:rFonts w:hint="eastAsia" w:ascii="仿宋" w:hAnsi="仿宋" w:eastAsia="仿宋" w:cs="仿宋"/>
          <w:bCs/>
          <w:iCs/>
          <w:sz w:val="24"/>
          <w:szCs w:val="24"/>
        </w:rPr>
      </w:pPr>
      <w:r>
        <w:rPr>
          <w:rFonts w:hint="eastAsia" w:ascii="仿宋" w:hAnsi="仿宋" w:eastAsia="仿宋" w:cs="仿宋"/>
          <w:bCs/>
          <w:iCs/>
          <w:sz w:val="24"/>
          <w:szCs w:val="24"/>
        </w:rPr>
        <w:t>5.10 卖方应设有安装负责人，负责安装工程的计划、协调、人力调配及工程质量管理等工作，还应设安装现场工程师，负责技术指导、质量监督、安装现场测量、安装质量检查认可等。</w:t>
      </w:r>
    </w:p>
    <w:p>
      <w:pPr>
        <w:spacing w:line="360" w:lineRule="auto"/>
        <w:rPr>
          <w:rFonts w:hint="eastAsia" w:ascii="仿宋" w:hAnsi="仿宋" w:eastAsia="仿宋" w:cs="仿宋"/>
          <w:bCs/>
          <w:iCs/>
          <w:sz w:val="24"/>
          <w:szCs w:val="24"/>
        </w:rPr>
      </w:pPr>
      <w:r>
        <w:rPr>
          <w:rFonts w:hint="eastAsia" w:ascii="仿宋" w:hAnsi="仿宋" w:eastAsia="仿宋" w:cs="仿宋"/>
          <w:bCs/>
          <w:iCs/>
          <w:sz w:val="24"/>
          <w:szCs w:val="24"/>
        </w:rPr>
        <w:t>5.11 进入工作现场的队伍要遵守现场的规章制度。施工队伍要建立安全责任制，确保施工过程不出现人身安全事故、火灾事故和施工机械质量造成的停车设备损坏事故。否则，一切责任由卖方承担。</w:t>
      </w:r>
    </w:p>
    <w:p>
      <w:pPr>
        <w:spacing w:line="360" w:lineRule="auto"/>
        <w:rPr>
          <w:rFonts w:hint="eastAsia" w:ascii="仿宋" w:hAnsi="仿宋" w:eastAsia="仿宋" w:cs="仿宋"/>
          <w:bCs/>
          <w:iCs/>
          <w:sz w:val="24"/>
          <w:szCs w:val="24"/>
        </w:rPr>
      </w:pPr>
      <w:r>
        <w:rPr>
          <w:rFonts w:hint="eastAsia" w:ascii="仿宋" w:hAnsi="仿宋" w:eastAsia="仿宋" w:cs="仿宋"/>
          <w:bCs/>
          <w:iCs/>
          <w:sz w:val="24"/>
          <w:szCs w:val="24"/>
        </w:rPr>
        <w:t>5.12 整个工作期间，施工队伍必须接受现场监理和总承包单位的统一管理、必要的监督检查和指导。</w:t>
      </w:r>
    </w:p>
    <w:p>
      <w:pPr>
        <w:spacing w:line="360" w:lineRule="auto"/>
        <w:rPr>
          <w:rFonts w:hint="eastAsia" w:ascii="仿宋" w:hAnsi="仿宋" w:eastAsia="仿宋" w:cs="仿宋"/>
          <w:bCs/>
          <w:iCs/>
          <w:sz w:val="24"/>
          <w:szCs w:val="24"/>
        </w:rPr>
      </w:pPr>
      <w:r>
        <w:rPr>
          <w:rFonts w:hint="eastAsia" w:ascii="仿宋" w:hAnsi="仿宋" w:eastAsia="仿宋" w:cs="仿宋"/>
          <w:bCs/>
          <w:iCs/>
          <w:sz w:val="24"/>
          <w:szCs w:val="24"/>
        </w:rPr>
        <w:t>5.13 施工队伍进场所需的现场工作条件及施工中需总承包单位配合承担的工作由卖方和总承包单位协调，协调费用包含在投标报价中。未包含的，视作优惠不计。</w:t>
      </w:r>
    </w:p>
    <w:p>
      <w:pPr>
        <w:spacing w:line="360" w:lineRule="auto"/>
        <w:rPr>
          <w:rFonts w:hint="eastAsia" w:ascii="仿宋" w:hAnsi="仿宋" w:eastAsia="仿宋" w:cs="仿宋"/>
          <w:bCs/>
          <w:iCs/>
          <w:sz w:val="24"/>
          <w:szCs w:val="24"/>
        </w:rPr>
      </w:pPr>
      <w:r>
        <w:rPr>
          <w:rFonts w:hint="eastAsia" w:ascii="仿宋" w:hAnsi="仿宋" w:eastAsia="仿宋" w:cs="仿宋"/>
          <w:bCs/>
          <w:iCs/>
          <w:sz w:val="24"/>
          <w:szCs w:val="24"/>
        </w:rPr>
        <w:t>5.14 土建结构施工过程中，卖方应对停车设备的安装基础、预埋件，以及土建结构是否符合安装要求进行确认。如事先、事中未进行确认，造成事后发现不符合安装要求而进行返工或采取其他补救措施的，一切费用均由卖方承担。</w:t>
      </w:r>
    </w:p>
    <w:p>
      <w:pPr>
        <w:spacing w:line="360" w:lineRule="auto"/>
        <w:rPr>
          <w:rFonts w:hint="eastAsia" w:ascii="仿宋" w:hAnsi="仿宋" w:eastAsia="仿宋" w:cs="仿宋"/>
          <w:bCs/>
          <w:iCs/>
          <w:sz w:val="24"/>
          <w:szCs w:val="24"/>
        </w:rPr>
      </w:pPr>
      <w:r>
        <w:rPr>
          <w:rFonts w:hint="eastAsia" w:ascii="仿宋" w:hAnsi="仿宋" w:eastAsia="仿宋" w:cs="仿宋"/>
          <w:bCs/>
          <w:iCs/>
          <w:sz w:val="24"/>
          <w:szCs w:val="24"/>
        </w:rPr>
        <w:t>5.15 安装开始前，施工队伍应与业主、监理公司、总承包单位共同检查安装现场是否已具备进场条件，包括临时水电和临时用房。在确定施工条件已具备后5天内，确定开工日期。</w:t>
      </w:r>
    </w:p>
    <w:p>
      <w:pPr>
        <w:spacing w:line="360" w:lineRule="auto"/>
        <w:rPr>
          <w:rFonts w:hint="eastAsia" w:ascii="仿宋" w:hAnsi="仿宋" w:eastAsia="仿宋" w:cs="仿宋"/>
          <w:bCs/>
          <w:iCs/>
          <w:sz w:val="24"/>
          <w:szCs w:val="24"/>
        </w:rPr>
      </w:pPr>
      <w:r>
        <w:rPr>
          <w:rFonts w:hint="eastAsia" w:ascii="仿宋" w:hAnsi="仿宋" w:eastAsia="仿宋" w:cs="仿宋"/>
          <w:bCs/>
          <w:iCs/>
          <w:sz w:val="24"/>
          <w:szCs w:val="24"/>
        </w:rPr>
        <w:t>5.16 施工所用的机械工具、设备、材料由施工队伍自备及自费运到施工工地，进场后进行必要的性能安全检查，完工后从工地自费搬出运走。施工所用的材料及机械工具由买方提供恰当的场所存放并由施工队伍自行保管，不得随便存放，以免造不必要的丢失、损坏。买方只提供临时水源电源(水电费由卖方承担)，其它由施工队伍负责。</w:t>
      </w:r>
    </w:p>
    <w:p>
      <w:pPr>
        <w:spacing w:line="360" w:lineRule="auto"/>
        <w:rPr>
          <w:rFonts w:hint="eastAsia" w:ascii="仿宋" w:hAnsi="仿宋" w:eastAsia="仿宋" w:cs="仿宋"/>
          <w:bCs/>
          <w:iCs/>
          <w:sz w:val="24"/>
          <w:szCs w:val="24"/>
        </w:rPr>
      </w:pPr>
      <w:r>
        <w:rPr>
          <w:rFonts w:hint="eastAsia" w:ascii="仿宋" w:hAnsi="仿宋" w:eastAsia="仿宋" w:cs="仿宋"/>
          <w:bCs/>
          <w:iCs/>
          <w:sz w:val="24"/>
          <w:szCs w:val="24"/>
        </w:rPr>
        <w:t>5.17 安装调试由卖方专职工程师主持完成，调试应通知业主、监理单位、总承包单位参加，应准备调试记录卡，并于事前10天提交给各方。</w:t>
      </w:r>
    </w:p>
    <w:p>
      <w:pPr>
        <w:spacing w:line="360" w:lineRule="auto"/>
        <w:rPr>
          <w:rFonts w:hint="eastAsia" w:ascii="仿宋" w:hAnsi="仿宋" w:eastAsia="仿宋" w:cs="仿宋"/>
          <w:strike/>
          <w:dstrike w:val="0"/>
          <w:sz w:val="24"/>
          <w:szCs w:val="24"/>
          <w:highlight w:val="none"/>
        </w:rPr>
      </w:pPr>
      <w:r>
        <w:rPr>
          <w:rFonts w:hint="eastAsia" w:ascii="仿宋" w:hAnsi="仿宋" w:eastAsia="仿宋" w:cs="仿宋"/>
          <w:bCs/>
          <w:iCs/>
          <w:sz w:val="24"/>
          <w:szCs w:val="24"/>
        </w:rPr>
        <w:t>5.18 卖方对其人员(含施工队伍)的疏忽、违约负全部责任并承担由此而引起的一切损失。</w:t>
      </w:r>
    </w:p>
    <w:p>
      <w:pPr>
        <w:spacing w:line="360" w:lineRule="auto"/>
        <w:rPr>
          <w:rFonts w:hint="eastAsia" w:ascii="仿宋" w:hAnsi="仿宋" w:eastAsia="仿宋" w:cs="仿宋"/>
          <w:b/>
          <w:bCs w:val="0"/>
          <w:strike w:val="0"/>
          <w:dstrike w:val="0"/>
          <w:color w:val="auto"/>
          <w:sz w:val="24"/>
          <w:szCs w:val="24"/>
        </w:rPr>
      </w:pPr>
      <w:r>
        <w:rPr>
          <w:rFonts w:hint="eastAsia" w:ascii="仿宋" w:hAnsi="仿宋" w:eastAsia="仿宋" w:cs="仿宋"/>
          <w:b/>
          <w:bCs w:val="0"/>
          <w:strike w:val="0"/>
          <w:dstrike w:val="0"/>
          <w:color w:val="auto"/>
          <w:sz w:val="24"/>
          <w:szCs w:val="24"/>
          <w:lang w:val="en-US" w:eastAsia="zh-CN"/>
        </w:rPr>
        <w:t>四</w:t>
      </w:r>
      <w:r>
        <w:rPr>
          <w:rFonts w:hint="eastAsia" w:ascii="仿宋" w:hAnsi="仿宋" w:eastAsia="仿宋" w:cs="仿宋"/>
          <w:b/>
          <w:bCs w:val="0"/>
          <w:strike w:val="0"/>
          <w:dstrike w:val="0"/>
          <w:color w:val="auto"/>
          <w:sz w:val="24"/>
          <w:szCs w:val="24"/>
        </w:rPr>
        <w:t>、</w:t>
      </w:r>
      <w:r>
        <w:rPr>
          <w:rFonts w:hint="eastAsia" w:ascii="仿宋" w:hAnsi="仿宋" w:eastAsia="仿宋" w:cs="仿宋"/>
          <w:b/>
          <w:bCs w:val="0"/>
          <w:strike w:val="0"/>
          <w:dstrike w:val="0"/>
          <w:color w:val="auto"/>
          <w:sz w:val="24"/>
          <w:szCs w:val="24"/>
          <w:lang w:val="en-US" w:eastAsia="zh-CN"/>
        </w:rPr>
        <w:t>配套项目要求</w:t>
      </w:r>
      <w:r>
        <w:rPr>
          <w:rFonts w:hint="eastAsia" w:ascii="仿宋" w:hAnsi="仿宋" w:eastAsia="仿宋" w:cs="仿宋"/>
          <w:b/>
          <w:bCs w:val="0"/>
          <w:strike w:val="0"/>
          <w:dstrike w:val="0"/>
          <w:color w:val="auto"/>
          <w:sz w:val="24"/>
          <w:szCs w:val="24"/>
        </w:rPr>
        <w:t>：</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机械式停车</w:t>
      </w:r>
      <w:r>
        <w:rPr>
          <w:rFonts w:hint="eastAsia" w:ascii="仿宋" w:hAnsi="仿宋" w:eastAsia="仿宋" w:cs="仿宋"/>
          <w:color w:val="auto"/>
          <w:sz w:val="24"/>
          <w:szCs w:val="24"/>
          <w:highlight w:val="none"/>
          <w:lang w:val="en-US" w:eastAsia="zh-CN"/>
        </w:rPr>
        <w:t>外框钢结构、</w:t>
      </w:r>
      <w:r>
        <w:rPr>
          <w:rFonts w:hint="eastAsia" w:ascii="仿宋" w:hAnsi="仿宋" w:eastAsia="仿宋" w:cs="仿宋"/>
          <w:color w:val="auto"/>
          <w:sz w:val="24"/>
          <w:szCs w:val="24"/>
          <w:lang w:val="en-US" w:eastAsia="zh-CN"/>
        </w:rPr>
        <w:t>停车楼的顶棚和外立面</w:t>
      </w:r>
      <w:r>
        <w:rPr>
          <w:rFonts w:hint="eastAsia" w:ascii="仿宋" w:hAnsi="仿宋" w:eastAsia="仿宋" w:cs="仿宋"/>
          <w:color w:val="auto"/>
          <w:sz w:val="24"/>
          <w:szCs w:val="24"/>
        </w:rPr>
        <w:t>、智能</w:t>
      </w:r>
      <w:r>
        <w:rPr>
          <w:rFonts w:hint="eastAsia" w:ascii="仿宋" w:hAnsi="仿宋" w:eastAsia="仿宋" w:cs="仿宋"/>
          <w:color w:val="auto"/>
          <w:sz w:val="24"/>
          <w:szCs w:val="24"/>
          <w:lang w:val="en-US" w:eastAsia="zh-CN"/>
        </w:rPr>
        <w:t>停车标识标牌和</w:t>
      </w:r>
      <w:r>
        <w:rPr>
          <w:rFonts w:hint="eastAsia" w:ascii="仿宋" w:hAnsi="仿宋" w:eastAsia="仿宋" w:cs="仿宋"/>
          <w:color w:val="auto"/>
          <w:sz w:val="24"/>
          <w:szCs w:val="24"/>
        </w:rPr>
        <w:t>收费系统、设备消防</w:t>
      </w:r>
      <w:r>
        <w:rPr>
          <w:rFonts w:hint="eastAsia" w:ascii="仿宋" w:hAnsi="仿宋" w:eastAsia="仿宋" w:cs="仿宋"/>
          <w:color w:val="auto"/>
          <w:sz w:val="24"/>
          <w:szCs w:val="24"/>
          <w:lang w:val="en-US" w:eastAsia="zh-CN"/>
        </w:rPr>
        <w:t>喷淋施工</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外立面亮化、弱电智能化、智能停车楼层板铺设等工程，按设计院出具的图纸及采购清单予以施工。</w:t>
      </w:r>
    </w:p>
    <w:p>
      <w:pPr>
        <w:spacing w:line="360" w:lineRule="auto"/>
        <w:rPr>
          <w:rFonts w:hint="eastAsia" w:ascii="仿宋" w:hAnsi="仿宋" w:eastAsia="仿宋" w:cs="仿宋"/>
          <w:b/>
          <w:strike w:val="0"/>
          <w:dstrike w:val="0"/>
          <w:sz w:val="24"/>
          <w:szCs w:val="24"/>
        </w:rPr>
      </w:pPr>
      <w:r>
        <w:rPr>
          <w:rFonts w:hint="eastAsia" w:ascii="仿宋" w:hAnsi="仿宋" w:eastAsia="仿宋" w:cs="仿宋"/>
          <w:b/>
          <w:strike w:val="0"/>
          <w:dstrike w:val="0"/>
          <w:sz w:val="24"/>
          <w:szCs w:val="24"/>
          <w:lang w:val="en-US" w:eastAsia="zh-CN"/>
        </w:rPr>
        <w:t>五</w:t>
      </w:r>
      <w:r>
        <w:rPr>
          <w:rFonts w:hint="eastAsia" w:ascii="仿宋" w:hAnsi="仿宋" w:eastAsia="仿宋" w:cs="仿宋"/>
          <w:b/>
          <w:strike w:val="0"/>
          <w:dstrike w:val="0"/>
          <w:sz w:val="24"/>
          <w:szCs w:val="24"/>
        </w:rPr>
        <w:t>、深化设计</w:t>
      </w:r>
    </w:p>
    <w:p>
      <w:pPr>
        <w:spacing w:line="360" w:lineRule="auto"/>
        <w:rPr>
          <w:rFonts w:hint="eastAsia" w:ascii="仿宋" w:hAnsi="仿宋" w:eastAsia="仿宋" w:cs="仿宋"/>
          <w:strike w:val="0"/>
          <w:dstrike w:val="0"/>
          <w:sz w:val="24"/>
          <w:szCs w:val="24"/>
        </w:rPr>
      </w:pPr>
      <w:r>
        <w:rPr>
          <w:rFonts w:hint="eastAsia" w:ascii="仿宋" w:hAnsi="仿宋" w:eastAsia="仿宋" w:cs="仿宋"/>
          <w:strike w:val="0"/>
          <w:dstrike w:val="0"/>
          <w:sz w:val="24"/>
          <w:szCs w:val="24"/>
          <w:lang w:val="en-US" w:eastAsia="zh-CN"/>
        </w:rPr>
        <w:t xml:space="preserve">   </w:t>
      </w:r>
      <w:r>
        <w:rPr>
          <w:rFonts w:hint="eastAsia" w:ascii="仿宋" w:hAnsi="仿宋" w:eastAsia="仿宋" w:cs="仿宋"/>
          <w:strike w:val="0"/>
          <w:dstrike w:val="0"/>
          <w:sz w:val="24"/>
          <w:szCs w:val="24"/>
        </w:rPr>
        <w:t>立体车库设备</w:t>
      </w:r>
      <w:r>
        <w:rPr>
          <w:rFonts w:hint="eastAsia" w:ascii="仿宋" w:hAnsi="仿宋" w:eastAsia="仿宋" w:cs="仿宋"/>
          <w:strike w:val="0"/>
          <w:dstrike w:val="0"/>
          <w:sz w:val="24"/>
          <w:szCs w:val="24"/>
          <w:lang w:val="en-US" w:eastAsia="zh-CN"/>
        </w:rPr>
        <w:t>地上部分</w:t>
      </w:r>
      <w:r>
        <w:rPr>
          <w:rFonts w:hint="eastAsia" w:ascii="仿宋" w:hAnsi="仿宋" w:eastAsia="仿宋" w:cs="仿宋"/>
          <w:strike w:val="0"/>
          <w:dstrike w:val="0"/>
          <w:sz w:val="24"/>
          <w:szCs w:val="24"/>
        </w:rPr>
        <w:t>采用钢结构框架，投标人中标后依据图纸（另附），并踏勘现场，按照现有的土建结构、现场尺寸和地下结构尺寸及招标人的要求，中标人有义务进行深化设计。</w:t>
      </w:r>
    </w:p>
    <w:p>
      <w:pPr>
        <w:adjustRightInd w:val="0"/>
        <w:snapToGrid w:val="0"/>
        <w:spacing w:line="360" w:lineRule="auto"/>
        <w:rPr>
          <w:rFonts w:hint="eastAsia" w:ascii="仿宋" w:hAnsi="仿宋" w:eastAsia="仿宋" w:cs="仿宋"/>
          <w:b/>
          <w:bCs/>
          <w:strike w:val="0"/>
          <w:dstrike w:val="0"/>
          <w:sz w:val="24"/>
          <w:szCs w:val="24"/>
        </w:rPr>
      </w:pPr>
      <w:r>
        <w:rPr>
          <w:rFonts w:hint="eastAsia" w:ascii="仿宋" w:hAnsi="仿宋" w:eastAsia="仿宋" w:cs="仿宋"/>
          <w:b/>
          <w:bCs/>
          <w:strike w:val="0"/>
          <w:dstrike w:val="0"/>
          <w:sz w:val="24"/>
          <w:szCs w:val="24"/>
          <w:lang w:val="en-US" w:eastAsia="zh-CN"/>
        </w:rPr>
        <w:t>六</w:t>
      </w:r>
      <w:r>
        <w:rPr>
          <w:rFonts w:hint="eastAsia" w:ascii="仿宋" w:hAnsi="仿宋" w:eastAsia="仿宋" w:cs="仿宋"/>
          <w:b/>
          <w:bCs/>
          <w:strike w:val="0"/>
          <w:dstrike w:val="0"/>
          <w:sz w:val="24"/>
          <w:szCs w:val="24"/>
        </w:rPr>
        <w:t>、供货要求：</w:t>
      </w:r>
    </w:p>
    <w:p>
      <w:pPr>
        <w:widowControl/>
        <w:tabs>
          <w:tab w:val="left" w:pos="780"/>
        </w:tabs>
        <w:adjustRightInd w:val="0"/>
        <w:snapToGrid w:val="0"/>
        <w:spacing w:line="360" w:lineRule="auto"/>
        <w:ind w:right="-334"/>
        <w:rPr>
          <w:rFonts w:hint="eastAsia" w:ascii="仿宋" w:hAnsi="仿宋" w:eastAsia="仿宋" w:cs="仿宋"/>
          <w:strike w:val="0"/>
          <w:dstrike w:val="0"/>
          <w:sz w:val="24"/>
          <w:szCs w:val="24"/>
        </w:rPr>
      </w:pPr>
      <w:r>
        <w:rPr>
          <w:rFonts w:hint="eastAsia" w:ascii="仿宋" w:hAnsi="仿宋" w:eastAsia="仿宋" w:cs="仿宋"/>
          <w:strike w:val="0"/>
          <w:dstrike w:val="0"/>
          <w:sz w:val="24"/>
          <w:szCs w:val="24"/>
          <w:lang w:val="en-US" w:eastAsia="zh-CN"/>
        </w:rPr>
        <w:t xml:space="preserve">  </w:t>
      </w:r>
      <w:r>
        <w:rPr>
          <w:rFonts w:hint="eastAsia" w:ascii="仿宋" w:hAnsi="仿宋" w:eastAsia="仿宋" w:cs="仿宋"/>
          <w:strike w:val="0"/>
          <w:dstrike w:val="0"/>
          <w:sz w:val="24"/>
          <w:szCs w:val="24"/>
        </w:rPr>
        <w:t>1、供方所供的货物必须为全新的，符合国家标准的合格产品；</w:t>
      </w:r>
    </w:p>
    <w:p>
      <w:pPr>
        <w:widowControl/>
        <w:tabs>
          <w:tab w:val="left" w:pos="780"/>
        </w:tabs>
        <w:adjustRightInd w:val="0"/>
        <w:snapToGrid w:val="0"/>
        <w:spacing w:line="360" w:lineRule="auto"/>
        <w:ind w:right="-334"/>
        <w:rPr>
          <w:rFonts w:hint="eastAsia" w:ascii="仿宋" w:hAnsi="仿宋" w:eastAsia="仿宋" w:cs="仿宋"/>
          <w:bCs/>
          <w:strike w:val="0"/>
          <w:dstrike w:val="0"/>
          <w:sz w:val="24"/>
          <w:szCs w:val="24"/>
        </w:rPr>
      </w:pPr>
      <w:r>
        <w:rPr>
          <w:rFonts w:hint="eastAsia" w:ascii="仿宋" w:hAnsi="仿宋" w:eastAsia="仿宋" w:cs="仿宋"/>
          <w:strike w:val="0"/>
          <w:dstrike w:val="0"/>
          <w:sz w:val="24"/>
          <w:szCs w:val="24"/>
          <w:lang w:val="en-US" w:eastAsia="zh-CN"/>
        </w:rPr>
        <w:t xml:space="preserve">   </w:t>
      </w:r>
      <w:r>
        <w:rPr>
          <w:rFonts w:hint="eastAsia" w:ascii="仿宋" w:hAnsi="仿宋" w:eastAsia="仿宋" w:cs="仿宋"/>
          <w:strike w:val="0"/>
          <w:dstrike w:val="0"/>
          <w:sz w:val="24"/>
          <w:szCs w:val="24"/>
        </w:rPr>
        <w:t>2、所供货物不会侵犯任何第三方知识产权。</w:t>
      </w:r>
    </w:p>
    <w:p>
      <w:p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、工期要求：</w:t>
      </w:r>
    </w:p>
    <w:p>
      <w:pPr>
        <w:widowControl/>
        <w:tabs>
          <w:tab w:val="left" w:pos="780"/>
        </w:tabs>
        <w:adjustRightInd w:val="0"/>
        <w:snapToGrid w:val="0"/>
        <w:spacing w:line="360" w:lineRule="auto"/>
        <w:ind w:right="-334" w:firstLine="484" w:firstLineChars="202"/>
        <w:rPr>
          <w:rFonts w:hint="eastAsia" w:ascii="仿宋" w:hAnsi="仿宋" w:eastAsia="仿宋" w:cs="仿宋"/>
          <w:color w:val="auto"/>
          <w:sz w:val="24"/>
          <w:szCs w:val="24"/>
        </w:rPr>
      </w:pPr>
      <w:r>
        <w:rPr>
          <w:rFonts w:hint="eastAsia" w:cs="Arial"/>
          <w:b w:val="0"/>
          <w:bCs w:val="0"/>
          <w:kern w:val="0"/>
          <w:sz w:val="24"/>
          <w:szCs w:val="24"/>
          <w:highlight w:val="none"/>
          <w:lang w:val="en-US"/>
        </w:rPr>
        <w:t>▲</w:t>
      </w:r>
      <w:r>
        <w:rPr>
          <w:rFonts w:hint="eastAsia" w:ascii="仿宋" w:hAnsi="仿宋" w:eastAsia="仿宋" w:cs="仿宋"/>
          <w:sz w:val="24"/>
          <w:szCs w:val="24"/>
        </w:rPr>
        <w:t>1、立体车库部分，合同</w:t>
      </w:r>
      <w:r>
        <w:rPr>
          <w:rFonts w:hint="eastAsia" w:ascii="仿宋" w:hAnsi="仿宋" w:eastAsia="仿宋" w:cs="仿宋"/>
          <w:color w:val="auto"/>
          <w:sz w:val="24"/>
          <w:szCs w:val="24"/>
        </w:rPr>
        <w:t>签约后</w:t>
      </w:r>
      <w:r>
        <w:rPr>
          <w:rFonts w:hint="eastAsia" w:ascii="仿宋" w:hAnsi="仿宋" w:eastAsia="仿宋" w:cs="仿宋"/>
          <w:b/>
          <w:bCs/>
          <w:color w:val="auto"/>
          <w:sz w:val="24"/>
          <w:szCs w:val="24"/>
          <w:lang w:val="en-US" w:eastAsia="zh-CN"/>
        </w:rPr>
        <w:t>40</w:t>
      </w:r>
      <w:r>
        <w:rPr>
          <w:rFonts w:hint="eastAsia" w:ascii="仿宋" w:hAnsi="仿宋" w:eastAsia="仿宋" w:cs="仿宋"/>
          <w:color w:val="auto"/>
          <w:sz w:val="24"/>
          <w:szCs w:val="24"/>
        </w:rPr>
        <w:t>日历天完成</w:t>
      </w:r>
      <w:r>
        <w:rPr>
          <w:rFonts w:hint="eastAsia" w:ascii="仿宋" w:hAnsi="仿宋" w:eastAsia="仿宋" w:cs="仿宋"/>
          <w:color w:val="auto"/>
          <w:sz w:val="24"/>
          <w:szCs w:val="24"/>
          <w:lang w:val="en-US" w:eastAsia="zh-CN"/>
        </w:rPr>
        <w:t>设计及备货工作，甲方验收后支付相应合同款项，如供应商未能在规定时间内完成设计及备货工作，取消合同并没收全部履约保证金。设备基础完成后，甲方发出书面进场指令后90天内施工完成并取得</w:t>
      </w:r>
      <w:r>
        <w:rPr>
          <w:rFonts w:hint="eastAsia" w:ascii="仿宋" w:hAnsi="仿宋" w:eastAsia="仿宋" w:cs="仿宋"/>
          <w:color w:val="auto"/>
          <w:sz w:val="24"/>
          <w:szCs w:val="24"/>
        </w:rPr>
        <w:t>浙江省或杭州市特种设备检测机构</w:t>
      </w:r>
      <w:r>
        <w:rPr>
          <w:rFonts w:hint="eastAsia" w:ascii="仿宋" w:hAnsi="仿宋" w:eastAsia="仿宋" w:cs="仿宋"/>
          <w:color w:val="auto"/>
          <w:sz w:val="24"/>
          <w:szCs w:val="24"/>
          <w:lang w:val="en-US" w:eastAsia="zh-CN"/>
        </w:rPr>
        <w:t>颁发的验收</w:t>
      </w:r>
      <w:r>
        <w:rPr>
          <w:rFonts w:hint="eastAsia" w:ascii="仿宋" w:hAnsi="仿宋" w:eastAsia="仿宋" w:cs="仿宋"/>
          <w:color w:val="auto"/>
          <w:sz w:val="24"/>
          <w:szCs w:val="24"/>
        </w:rPr>
        <w:t>合格报告（因</w:t>
      </w:r>
      <w:r>
        <w:rPr>
          <w:rFonts w:hint="eastAsia" w:ascii="仿宋" w:hAnsi="仿宋" w:eastAsia="仿宋" w:cs="仿宋"/>
          <w:color w:val="auto"/>
          <w:sz w:val="24"/>
          <w:szCs w:val="24"/>
          <w:lang w:val="en-US" w:eastAsia="zh-CN"/>
        </w:rPr>
        <w:t>本项目工期非常</w:t>
      </w:r>
      <w:r>
        <w:rPr>
          <w:rFonts w:hint="eastAsia" w:ascii="仿宋" w:hAnsi="仿宋" w:eastAsia="仿宋" w:cs="仿宋"/>
          <w:color w:val="auto"/>
          <w:sz w:val="24"/>
          <w:szCs w:val="24"/>
        </w:rPr>
        <w:t>紧张，</w:t>
      </w:r>
      <w:r>
        <w:rPr>
          <w:rFonts w:hint="eastAsia" w:ascii="仿宋" w:hAnsi="仿宋" w:eastAsia="仿宋" w:cs="仿宋"/>
          <w:color w:val="auto"/>
          <w:sz w:val="24"/>
          <w:szCs w:val="24"/>
          <w:lang w:val="en-US" w:eastAsia="zh-CN"/>
        </w:rPr>
        <w:t>若后期投标人不能在承诺的时间内完成项目履约，按照10万元/天向甲方支付违约金，逾期超过30天的采购人有权终止合同，并没收全部履约保证金，并处以合同金额30%的罚款</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、试运行要求：设备安装由中标单位负责，安装结束且工作情况良好，在招标人同意后，将执行调试和试运行工作：</w:t>
      </w:r>
    </w:p>
    <w:p>
      <w:pPr>
        <w:adjustRightInd w:val="0"/>
        <w:snapToGrid w:val="0"/>
        <w:spacing w:line="360" w:lineRule="auto"/>
        <w:ind w:firstLine="352" w:firstLineChars="142"/>
        <w:rPr>
          <w:rFonts w:hint="eastAsia" w:ascii="仿宋" w:hAnsi="仿宋" w:eastAsia="仿宋" w:cs="仿宋"/>
          <w:sz w:val="24"/>
          <w:szCs w:val="24"/>
        </w:rPr>
      </w:pPr>
      <w:r>
        <w:rPr>
          <w:rFonts w:hint="eastAsia" w:ascii="仿宋" w:hAnsi="仿宋" w:eastAsia="仿宋" w:cs="仿宋"/>
          <w:spacing w:val="4"/>
          <w:sz w:val="24"/>
          <w:szCs w:val="24"/>
        </w:rPr>
        <w:t>（1）中标单位应派遣有</w:t>
      </w:r>
      <w:r>
        <w:rPr>
          <w:rFonts w:hint="eastAsia" w:ascii="仿宋" w:hAnsi="仿宋" w:eastAsia="仿宋" w:cs="仿宋"/>
          <w:sz w:val="24"/>
          <w:szCs w:val="24"/>
        </w:rPr>
        <w:t>实践经验的两位工程师或技术人员与招标人一起进行设备的调试及试运行工作。</w:t>
      </w:r>
    </w:p>
    <w:p>
      <w:pPr>
        <w:adjustRightInd w:val="0"/>
        <w:snapToGrid w:val="0"/>
        <w:spacing w:line="360" w:lineRule="auto"/>
        <w:ind w:firstLine="340" w:firstLineChars="142"/>
        <w:rPr>
          <w:rFonts w:hint="eastAsia" w:ascii="仿宋" w:hAnsi="仿宋" w:eastAsia="仿宋" w:cs="仿宋"/>
          <w:sz w:val="24"/>
          <w:szCs w:val="24"/>
        </w:rPr>
      </w:pPr>
      <w:r>
        <w:rPr>
          <w:rFonts w:hint="eastAsia" w:ascii="仿宋" w:hAnsi="仿宋" w:eastAsia="仿宋" w:cs="仿宋"/>
          <w:sz w:val="24"/>
          <w:szCs w:val="24"/>
        </w:rPr>
        <w:t>（2）在调试期间中标单位应在现场负责测试和调试，并提供所有测试和调试所需的工具、材料、仪器和劳务人员。</w:t>
      </w:r>
    </w:p>
    <w:p>
      <w:pPr>
        <w:widowControl/>
        <w:tabs>
          <w:tab w:val="left" w:pos="780"/>
        </w:tabs>
        <w:adjustRightInd w:val="0"/>
        <w:snapToGrid w:val="0"/>
        <w:spacing w:line="360" w:lineRule="auto"/>
        <w:ind w:right="-334" w:firstLine="482" w:firstLineChars="200"/>
        <w:rPr>
          <w:rFonts w:hint="eastAsia" w:ascii="仿宋" w:hAnsi="仿宋" w:eastAsia="仿宋" w:cs="仿宋"/>
          <w:b/>
          <w:bCs/>
          <w:sz w:val="24"/>
          <w:szCs w:val="24"/>
        </w:rPr>
      </w:pPr>
      <w:r>
        <w:rPr>
          <w:rFonts w:hint="eastAsia" w:ascii="仿宋" w:hAnsi="仿宋" w:eastAsia="仿宋" w:cs="仿宋"/>
          <w:b/>
          <w:sz w:val="24"/>
          <w:szCs w:val="24"/>
          <w:lang w:val="en-US" w:eastAsia="zh-CN"/>
        </w:rPr>
        <w:t>3、</w:t>
      </w:r>
      <w:r>
        <w:rPr>
          <w:rFonts w:hint="eastAsia" w:ascii="仿宋" w:hAnsi="仿宋" w:eastAsia="仿宋" w:cs="仿宋"/>
          <w:b/>
          <w:sz w:val="24"/>
          <w:szCs w:val="24"/>
        </w:rPr>
        <w:t>交货地点：</w:t>
      </w:r>
      <w:r>
        <w:rPr>
          <w:rFonts w:hint="eastAsia" w:ascii="仿宋" w:hAnsi="仿宋" w:eastAsia="仿宋" w:cs="仿宋"/>
          <w:sz w:val="24"/>
          <w:szCs w:val="24"/>
        </w:rPr>
        <w:t>本项目工地。</w:t>
      </w:r>
    </w:p>
    <w:p>
      <w:p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、验收工作：</w:t>
      </w:r>
    </w:p>
    <w:p>
      <w:pPr>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1、验收合格条件</w:t>
      </w:r>
    </w:p>
    <w:p>
      <w:pPr>
        <w:tabs>
          <w:tab w:val="left" w:pos="670"/>
        </w:tabs>
        <w:adjustRightInd w:val="0"/>
        <w:snapToGrid w:val="0"/>
        <w:spacing w:line="360" w:lineRule="auto"/>
        <w:ind w:firstLine="364" w:firstLineChars="152"/>
        <w:rPr>
          <w:rFonts w:hint="eastAsia" w:ascii="仿宋" w:hAnsi="仿宋" w:eastAsia="仿宋" w:cs="仿宋"/>
          <w:bCs/>
          <w:sz w:val="24"/>
          <w:szCs w:val="24"/>
        </w:rPr>
      </w:pPr>
      <w:r>
        <w:rPr>
          <w:rFonts w:hint="eastAsia" w:ascii="仿宋" w:hAnsi="仿宋" w:eastAsia="仿宋" w:cs="仿宋"/>
          <w:bCs/>
          <w:sz w:val="24"/>
          <w:szCs w:val="24"/>
        </w:rPr>
        <w:t>（1）运行结果符合升降横移类机械式停车设备验收规范。</w:t>
      </w:r>
    </w:p>
    <w:p>
      <w:pPr>
        <w:adjustRightInd w:val="0"/>
        <w:snapToGrid w:val="0"/>
        <w:spacing w:line="360" w:lineRule="auto"/>
        <w:ind w:left="931" w:leftChars="167" w:hanging="580" w:hangingChars="242"/>
        <w:rPr>
          <w:rFonts w:hint="eastAsia" w:ascii="仿宋" w:hAnsi="仿宋" w:eastAsia="仿宋" w:cs="仿宋"/>
          <w:bCs/>
          <w:sz w:val="24"/>
          <w:szCs w:val="24"/>
        </w:rPr>
      </w:pPr>
      <w:r>
        <w:rPr>
          <w:rFonts w:hint="eastAsia" w:ascii="仿宋" w:hAnsi="仿宋" w:eastAsia="仿宋" w:cs="仿宋"/>
          <w:bCs/>
          <w:sz w:val="24"/>
          <w:szCs w:val="24"/>
        </w:rPr>
        <w:t>（2）在进行测试、试运行及验收运行过程中发生的故障和发现的隐患已被排除并得到招标人的认可。</w:t>
      </w:r>
    </w:p>
    <w:p>
      <w:pPr>
        <w:tabs>
          <w:tab w:val="left" w:pos="670"/>
        </w:tabs>
        <w:adjustRightInd w:val="0"/>
        <w:snapToGrid w:val="0"/>
        <w:spacing w:line="360" w:lineRule="auto"/>
        <w:ind w:firstLine="364" w:firstLineChars="152"/>
        <w:rPr>
          <w:rFonts w:hint="eastAsia" w:ascii="仿宋" w:hAnsi="仿宋" w:eastAsia="仿宋" w:cs="仿宋"/>
          <w:bCs/>
          <w:sz w:val="24"/>
          <w:szCs w:val="24"/>
        </w:rPr>
      </w:pPr>
      <w:r>
        <w:rPr>
          <w:rFonts w:hint="eastAsia" w:ascii="仿宋" w:hAnsi="仿宋" w:eastAsia="仿宋" w:cs="仿宋"/>
          <w:bCs/>
          <w:sz w:val="24"/>
          <w:szCs w:val="24"/>
        </w:rPr>
        <w:t>（3）所有合同中规定的货物和资料都已提交。</w:t>
      </w:r>
    </w:p>
    <w:p>
      <w:pPr>
        <w:tabs>
          <w:tab w:val="left" w:pos="670"/>
        </w:tabs>
        <w:adjustRightInd w:val="0"/>
        <w:snapToGrid w:val="0"/>
        <w:spacing w:line="360" w:lineRule="auto"/>
        <w:ind w:firstLine="364" w:firstLineChars="152"/>
        <w:rPr>
          <w:rFonts w:hint="eastAsia" w:ascii="仿宋" w:hAnsi="仿宋" w:eastAsia="仿宋" w:cs="仿宋"/>
          <w:bCs/>
          <w:sz w:val="24"/>
          <w:szCs w:val="24"/>
        </w:rPr>
      </w:pPr>
      <w:r>
        <w:rPr>
          <w:rFonts w:hint="eastAsia" w:ascii="仿宋" w:hAnsi="仿宋" w:eastAsia="仿宋" w:cs="仿宋"/>
          <w:bCs/>
          <w:sz w:val="24"/>
          <w:szCs w:val="24"/>
        </w:rPr>
        <w:t>（4）设备在交由招标人使用之前已通过特种设备检测机构的验收并得到验收合格证书。</w:t>
      </w:r>
    </w:p>
    <w:p>
      <w:pPr>
        <w:tabs>
          <w:tab w:val="left" w:pos="670"/>
        </w:tabs>
        <w:adjustRightInd w:val="0"/>
        <w:snapToGrid w:val="0"/>
        <w:spacing w:line="360" w:lineRule="auto"/>
        <w:ind w:firstLine="364" w:firstLineChars="152"/>
        <w:rPr>
          <w:rFonts w:hint="eastAsia" w:ascii="仿宋" w:hAnsi="仿宋" w:eastAsia="仿宋" w:cs="仿宋"/>
          <w:bCs/>
          <w:sz w:val="24"/>
          <w:szCs w:val="24"/>
        </w:rPr>
      </w:pPr>
      <w:r>
        <w:rPr>
          <w:rFonts w:hint="eastAsia" w:ascii="仿宋" w:hAnsi="仿宋" w:eastAsia="仿宋" w:cs="仿宋"/>
          <w:bCs/>
          <w:sz w:val="24"/>
          <w:szCs w:val="24"/>
        </w:rPr>
        <w:t>（5）整套设备图纸及技术文件都已提交并得到接受。</w:t>
      </w:r>
    </w:p>
    <w:p>
      <w:p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、售后服务要求：</w:t>
      </w:r>
    </w:p>
    <w:p>
      <w:pPr>
        <w:adjustRightInd w:val="0"/>
        <w:snapToGrid w:val="0"/>
        <w:spacing w:line="360" w:lineRule="auto"/>
        <w:ind w:left="0" w:leftChars="0" w:right="0" w:firstLine="352" w:firstLineChars="147"/>
        <w:outlineLvl w:val="9"/>
        <w:rPr>
          <w:rFonts w:hint="eastAsia" w:ascii="仿宋" w:hAnsi="仿宋" w:eastAsia="仿宋" w:cs="仿宋"/>
          <w:color w:val="auto"/>
          <w:sz w:val="24"/>
          <w:szCs w:val="24"/>
        </w:rPr>
      </w:pPr>
      <w:r>
        <w:rPr>
          <w:rFonts w:hint="eastAsia" w:cs="Arial"/>
          <w:b w:val="0"/>
          <w:bCs w:val="0"/>
          <w:kern w:val="0"/>
          <w:sz w:val="24"/>
          <w:szCs w:val="24"/>
          <w:highlight w:val="none"/>
          <w:lang w:val="en-US"/>
        </w:rPr>
        <w:t>▲</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中标后承诺</w:t>
      </w:r>
      <w:r>
        <w:rPr>
          <w:rFonts w:hint="eastAsia" w:ascii="仿宋" w:hAnsi="仿宋" w:eastAsia="仿宋" w:cs="仿宋"/>
          <w:color w:val="auto"/>
          <w:sz w:val="24"/>
          <w:szCs w:val="24"/>
        </w:rPr>
        <w:t>在杭州市</w:t>
      </w:r>
      <w:r>
        <w:rPr>
          <w:rFonts w:hint="eastAsia" w:ascii="仿宋" w:hAnsi="仿宋" w:eastAsia="仿宋" w:cs="仿宋"/>
          <w:color w:val="auto"/>
          <w:sz w:val="24"/>
          <w:szCs w:val="24"/>
          <w:lang w:val="en-US" w:eastAsia="zh-CN"/>
        </w:rPr>
        <w:t>临平地区</w:t>
      </w:r>
      <w:r>
        <w:rPr>
          <w:rFonts w:hint="eastAsia" w:ascii="仿宋" w:hAnsi="仿宋" w:eastAsia="仿宋" w:cs="仿宋"/>
          <w:color w:val="auto"/>
          <w:sz w:val="24"/>
          <w:szCs w:val="24"/>
        </w:rPr>
        <w:t>设有售后服务机构，以处理所有的维修服务，并提供24小时服务。维修人员接到维修电话后须在</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小时内赶到现场。维修点需提供足够的备件以适应维修需求。</w:t>
      </w:r>
    </w:p>
    <w:p>
      <w:pPr>
        <w:adjustRightInd w:val="0"/>
        <w:snapToGrid w:val="0"/>
        <w:spacing w:line="360" w:lineRule="auto"/>
        <w:ind w:firstLine="480" w:firstLineChars="200"/>
        <w:rPr>
          <w:rFonts w:hint="eastAsia" w:ascii="仿宋" w:hAnsi="仿宋" w:eastAsia="仿宋" w:cs="仿宋"/>
          <w:sz w:val="24"/>
          <w:szCs w:val="24"/>
        </w:rPr>
      </w:pPr>
      <w:r>
        <w:rPr>
          <w:rFonts w:hint="eastAsia" w:cs="Arial"/>
          <w:b w:val="0"/>
          <w:bCs w:val="0"/>
          <w:kern w:val="0"/>
          <w:sz w:val="24"/>
          <w:szCs w:val="24"/>
          <w:highlight w:val="none"/>
          <w:lang w:val="en-US"/>
        </w:rPr>
        <w:t>▲</w:t>
      </w:r>
      <w:r>
        <w:rPr>
          <w:rFonts w:hint="eastAsia" w:ascii="仿宋" w:hAnsi="仿宋" w:eastAsia="仿宋" w:cs="仿宋"/>
          <w:sz w:val="24"/>
          <w:szCs w:val="24"/>
        </w:rPr>
        <w:t>（2）质保期：投标人须对对招标文件和合同中规定的整套设备及安装，提供经调试、试运行、验收合格后</w:t>
      </w:r>
      <w:r>
        <w:rPr>
          <w:rFonts w:hint="eastAsia" w:ascii="仿宋" w:hAnsi="仿宋" w:eastAsia="仿宋" w:cs="仿宋"/>
          <w:bCs/>
          <w:sz w:val="24"/>
          <w:szCs w:val="24"/>
          <w:lang w:val="en-US" w:eastAsia="zh-CN"/>
        </w:rPr>
        <w:t>24</w:t>
      </w:r>
      <w:r>
        <w:rPr>
          <w:rFonts w:hint="eastAsia" w:ascii="仿宋" w:hAnsi="仿宋" w:eastAsia="仿宋" w:cs="仿宋"/>
          <w:bCs/>
          <w:sz w:val="24"/>
          <w:szCs w:val="24"/>
        </w:rPr>
        <w:t>个月</w:t>
      </w:r>
      <w:r>
        <w:rPr>
          <w:rFonts w:hint="eastAsia" w:ascii="仿宋" w:hAnsi="仿宋" w:eastAsia="仿宋" w:cs="仿宋"/>
          <w:sz w:val="24"/>
          <w:szCs w:val="24"/>
        </w:rPr>
        <w:t>的质保期，在此期间，因产品制造质量不良或安装质量问题而产生损坏或不能正常工作，投标人应免费维修和正常保养。</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（3）在质保期届满时，中标单位工程师和招标人代表将对设备进行再次测试，任何故障须由投标人自费解决并取得招标人的认可。</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（4）投标文件中，投标人应提供一份有关投标设备在质保期结束后，5年内的维修和保养合同范本,应有如下内容：</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·服务范围</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·服务期限</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·服务内容（零件单和易损坏的零件单）</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·服务费用</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·其他</w:t>
      </w:r>
    </w:p>
    <w:p>
      <w:p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lang w:val="en-US" w:eastAsia="zh-CN"/>
        </w:rPr>
        <w:t>十</w:t>
      </w:r>
      <w:r>
        <w:rPr>
          <w:rFonts w:hint="eastAsia" w:ascii="仿宋" w:hAnsi="仿宋" w:eastAsia="仿宋" w:cs="仿宋"/>
          <w:b/>
          <w:bCs/>
          <w:sz w:val="24"/>
          <w:szCs w:val="24"/>
        </w:rPr>
        <w:t>、培训要求：</w:t>
      </w:r>
    </w:p>
    <w:p>
      <w:pPr>
        <w:adjustRightInd w:val="0"/>
        <w:snapToGrid w:val="0"/>
        <w:spacing w:line="360" w:lineRule="auto"/>
        <w:ind w:firstLine="331" w:firstLineChars="138"/>
        <w:rPr>
          <w:rFonts w:hint="eastAsia" w:ascii="仿宋" w:hAnsi="仿宋" w:eastAsia="仿宋" w:cs="仿宋"/>
          <w:b/>
          <w:sz w:val="24"/>
          <w:szCs w:val="24"/>
        </w:rPr>
      </w:pPr>
      <w:r>
        <w:rPr>
          <w:rFonts w:hint="eastAsia" w:ascii="仿宋" w:hAnsi="仿宋" w:eastAsia="仿宋" w:cs="仿宋"/>
          <w:sz w:val="24"/>
          <w:szCs w:val="24"/>
        </w:rPr>
        <w:t xml:space="preserve">（1）投标人应对招标人工作人员在项目现场无偿提供操作及维修培训。  </w:t>
      </w:r>
    </w:p>
    <w:p>
      <w:pPr>
        <w:adjustRightInd w:val="0"/>
        <w:snapToGrid w:val="0"/>
        <w:spacing w:line="360" w:lineRule="auto"/>
        <w:ind w:firstLine="331" w:firstLineChars="138"/>
        <w:rPr>
          <w:rFonts w:hint="eastAsia" w:ascii="仿宋" w:hAnsi="仿宋" w:eastAsia="仿宋" w:cs="仿宋"/>
          <w:sz w:val="24"/>
          <w:szCs w:val="24"/>
        </w:rPr>
      </w:pPr>
      <w:r>
        <w:rPr>
          <w:rFonts w:hint="eastAsia" w:ascii="仿宋" w:hAnsi="仿宋" w:eastAsia="仿宋" w:cs="仿宋"/>
          <w:sz w:val="24"/>
          <w:szCs w:val="24"/>
        </w:rPr>
        <w:t>（2）投标人须提供一份招标人认可的培训计划,其内容包括时间、地点、培训内容及培训项目等。</w:t>
      </w:r>
    </w:p>
    <w:p>
      <w:pPr>
        <w:adjustRightInd w:val="0"/>
        <w:snapToGrid w:val="0"/>
        <w:spacing w:line="360" w:lineRule="auto"/>
        <w:ind w:firstLine="331" w:firstLineChars="138"/>
        <w:rPr>
          <w:rFonts w:hint="eastAsia" w:ascii="仿宋" w:hAnsi="仿宋" w:eastAsia="仿宋" w:cs="仿宋"/>
          <w:sz w:val="24"/>
          <w:szCs w:val="24"/>
        </w:rPr>
      </w:pPr>
      <w:r>
        <w:rPr>
          <w:rFonts w:hint="eastAsia" w:ascii="仿宋" w:hAnsi="仿宋" w:eastAsia="仿宋" w:cs="仿宋"/>
          <w:sz w:val="24"/>
          <w:szCs w:val="24"/>
        </w:rPr>
        <w:t>（3）投标人应在中标后提供培训手册给招标人,手册中包括所有人员培训及依照与合同中提供的设备有关的试验、操作及维修的规程。</w:t>
      </w:r>
    </w:p>
    <w:p>
      <w:pPr>
        <w:spacing w:line="360" w:lineRule="auto"/>
        <w:rPr>
          <w:rFonts w:hint="eastAsia" w:ascii="仿宋" w:hAnsi="仿宋" w:eastAsia="仿宋" w:cs="仿宋"/>
          <w:b/>
          <w:color w:val="333333"/>
          <w:sz w:val="24"/>
          <w:szCs w:val="24"/>
        </w:rPr>
      </w:pPr>
      <w:r>
        <w:rPr>
          <w:rFonts w:hint="eastAsia" w:ascii="仿宋" w:hAnsi="仿宋" w:eastAsia="仿宋" w:cs="仿宋"/>
          <w:b/>
          <w:color w:val="333333"/>
          <w:sz w:val="24"/>
          <w:szCs w:val="24"/>
          <w:lang w:val="en-US" w:eastAsia="zh-CN"/>
        </w:rPr>
        <w:t>十一</w:t>
      </w:r>
      <w:r>
        <w:rPr>
          <w:rFonts w:hint="eastAsia" w:ascii="仿宋" w:hAnsi="仿宋" w:eastAsia="仿宋" w:cs="仿宋"/>
          <w:b/>
          <w:color w:val="333333"/>
          <w:sz w:val="24"/>
          <w:szCs w:val="24"/>
        </w:rPr>
        <w:t>、履约保证金</w:t>
      </w:r>
      <w:r>
        <w:rPr>
          <w:rFonts w:hint="eastAsia" w:ascii="仿宋" w:hAnsi="仿宋" w:eastAsia="仿宋" w:cs="仿宋"/>
          <w:b/>
          <w:color w:val="333333"/>
          <w:sz w:val="24"/>
          <w:szCs w:val="24"/>
          <w:lang w:val="en-US" w:eastAsia="zh-CN"/>
        </w:rPr>
        <w:t xml:space="preserve"> </w:t>
      </w:r>
    </w:p>
    <w:p>
      <w:pPr>
        <w:spacing w:line="360" w:lineRule="auto"/>
        <w:ind w:firstLine="480"/>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rPr>
        <w:t>在合同签订后乙方向甲方缴纳中标总额</w:t>
      </w:r>
      <w:r>
        <w:rPr>
          <w:rFonts w:hint="eastAsia" w:ascii="仿宋" w:hAnsi="仿宋" w:eastAsia="仿宋" w:cs="仿宋"/>
          <w:color w:val="333333"/>
          <w:sz w:val="24"/>
          <w:szCs w:val="24"/>
          <w:lang w:val="en-US" w:eastAsia="zh-CN"/>
        </w:rPr>
        <w:t>1</w:t>
      </w:r>
      <w:r>
        <w:rPr>
          <w:rFonts w:hint="eastAsia" w:ascii="仿宋" w:hAnsi="仿宋" w:eastAsia="仿宋" w:cs="仿宋"/>
          <w:color w:val="333333"/>
          <w:sz w:val="24"/>
          <w:szCs w:val="24"/>
        </w:rPr>
        <w:t>%的履约</w:t>
      </w:r>
      <w:r>
        <w:rPr>
          <w:rFonts w:hint="eastAsia" w:ascii="仿宋" w:hAnsi="仿宋" w:eastAsia="仿宋" w:cs="仿宋"/>
          <w:color w:val="333333"/>
          <w:sz w:val="24"/>
          <w:szCs w:val="24"/>
          <w:lang w:val="en-US" w:eastAsia="zh-CN"/>
        </w:rPr>
        <w:t>金（转账或</w:t>
      </w:r>
      <w:r>
        <w:rPr>
          <w:rFonts w:hint="eastAsia" w:ascii="仿宋" w:hAnsi="仿宋" w:eastAsia="仿宋" w:cs="仿宋"/>
          <w:color w:val="333333"/>
          <w:sz w:val="24"/>
          <w:szCs w:val="24"/>
        </w:rPr>
        <w:t>保函</w:t>
      </w:r>
      <w:r>
        <w:rPr>
          <w:rFonts w:hint="eastAsia" w:ascii="仿宋" w:hAnsi="仿宋" w:eastAsia="仿宋" w:cs="仿宋"/>
          <w:color w:val="333333"/>
          <w:sz w:val="24"/>
          <w:szCs w:val="24"/>
          <w:lang w:val="en-US" w:eastAsia="zh-CN"/>
        </w:rPr>
        <w:t>）</w:t>
      </w:r>
    </w:p>
    <w:p>
      <w:pPr>
        <w:spacing w:line="360" w:lineRule="auto"/>
        <w:rPr>
          <w:rFonts w:hint="eastAsia" w:ascii="仿宋" w:hAnsi="仿宋" w:eastAsia="仿宋" w:cs="仿宋"/>
          <w:b/>
          <w:color w:val="333333"/>
          <w:sz w:val="24"/>
          <w:szCs w:val="24"/>
        </w:rPr>
      </w:pPr>
      <w:r>
        <w:rPr>
          <w:rFonts w:hint="eastAsia" w:ascii="仿宋" w:hAnsi="仿宋" w:eastAsia="仿宋" w:cs="仿宋"/>
          <w:b/>
          <w:color w:val="333333"/>
          <w:sz w:val="24"/>
          <w:szCs w:val="24"/>
          <w:lang w:val="en-US" w:eastAsia="zh-CN"/>
        </w:rPr>
        <w:t>十二</w:t>
      </w:r>
      <w:r>
        <w:rPr>
          <w:rFonts w:hint="eastAsia" w:ascii="仿宋" w:hAnsi="仿宋" w:eastAsia="仿宋" w:cs="仿宋"/>
          <w:b/>
          <w:color w:val="333333"/>
          <w:sz w:val="24"/>
          <w:szCs w:val="24"/>
        </w:rPr>
        <w:t>、货款支付方式</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在合同签订7日内，乙方须向甲方提供中标价</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%的履约保证金</w:t>
      </w:r>
      <w:r>
        <w:rPr>
          <w:rFonts w:hint="eastAsia" w:ascii="仿宋" w:hAnsi="仿宋" w:eastAsia="仿宋" w:cs="仿宋"/>
          <w:color w:val="auto"/>
          <w:sz w:val="24"/>
          <w:szCs w:val="24"/>
          <w:lang w:val="en-US" w:eastAsia="zh-CN"/>
        </w:rPr>
        <w:t>或履约保函</w:t>
      </w:r>
      <w:r>
        <w:rPr>
          <w:rFonts w:hint="eastAsia" w:ascii="仿宋" w:hAnsi="仿宋" w:eastAsia="仿宋" w:cs="仿宋"/>
          <w:color w:val="auto"/>
          <w:sz w:val="24"/>
          <w:szCs w:val="24"/>
        </w:rPr>
        <w:t>，如不提供，甲方有权拒付预付款。</w:t>
      </w:r>
    </w:p>
    <w:p>
      <w:pPr>
        <w:snapToGrid w:val="0"/>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合同签订后</w:t>
      </w:r>
      <w:r>
        <w:rPr>
          <w:rFonts w:hint="eastAsia" w:ascii="仿宋" w:hAnsi="仿宋" w:eastAsia="仿宋" w:cs="仿宋"/>
          <w:color w:val="auto"/>
          <w:sz w:val="24"/>
          <w:szCs w:val="24"/>
          <w:lang w:val="en-US" w:eastAsia="zh-CN"/>
        </w:rPr>
        <w:t>40日内</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中标人完成项目的设计及备货工作，</w:t>
      </w:r>
      <w:r>
        <w:rPr>
          <w:rFonts w:hint="eastAsia" w:ascii="仿宋" w:hAnsi="仿宋" w:eastAsia="仿宋" w:cs="仿宋"/>
          <w:color w:val="auto"/>
          <w:sz w:val="24"/>
          <w:szCs w:val="24"/>
        </w:rPr>
        <w:t>采购人</w:t>
      </w:r>
      <w:r>
        <w:rPr>
          <w:rFonts w:hint="eastAsia" w:ascii="仿宋" w:hAnsi="仿宋" w:eastAsia="仿宋" w:cs="仿宋"/>
          <w:color w:val="auto"/>
          <w:sz w:val="24"/>
          <w:szCs w:val="24"/>
          <w:lang w:val="en-US" w:eastAsia="zh-CN"/>
        </w:rPr>
        <w:t>在到场验收合格后，</w:t>
      </w:r>
      <w:r>
        <w:rPr>
          <w:rFonts w:hint="eastAsia" w:ascii="仿宋" w:hAnsi="仿宋" w:eastAsia="仿宋" w:cs="仿宋"/>
          <w:color w:val="auto"/>
          <w:sz w:val="24"/>
          <w:szCs w:val="24"/>
        </w:rPr>
        <w:t>向中标方支付合同金额</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0%的预付款</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如中标方未能在规定时间内完成设计及备货工作，取消合同并没收履约保证金。</w:t>
      </w:r>
    </w:p>
    <w:p>
      <w:pPr>
        <w:snapToGrid w:val="0"/>
        <w:spacing w:line="360" w:lineRule="auto"/>
        <w:ind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3、主体框架结构完成后7天内，</w:t>
      </w:r>
      <w:r>
        <w:rPr>
          <w:rFonts w:hint="eastAsia" w:ascii="仿宋" w:hAnsi="仿宋" w:eastAsia="仿宋" w:cs="仿宋"/>
          <w:color w:val="auto"/>
          <w:sz w:val="24"/>
          <w:szCs w:val="24"/>
        </w:rPr>
        <w:t>采购人向中标方支付合同金额</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0%的</w:t>
      </w:r>
      <w:r>
        <w:rPr>
          <w:rFonts w:hint="eastAsia" w:ascii="仿宋" w:hAnsi="仿宋" w:eastAsia="仿宋" w:cs="仿宋"/>
          <w:color w:val="auto"/>
          <w:sz w:val="24"/>
          <w:szCs w:val="24"/>
          <w:lang w:val="en-US" w:eastAsia="zh-CN"/>
        </w:rPr>
        <w:t>进度款</w:t>
      </w:r>
      <w:r>
        <w:rPr>
          <w:rFonts w:hint="eastAsia" w:ascii="仿宋" w:hAnsi="仿宋" w:eastAsia="仿宋" w:cs="仿宋"/>
          <w:color w:val="auto"/>
          <w:sz w:val="24"/>
          <w:szCs w:val="24"/>
          <w:lang w:eastAsia="zh-CN"/>
        </w:rPr>
        <w:t>；</w:t>
      </w:r>
    </w:p>
    <w:p>
      <w:pPr>
        <w:snapToGrid w:val="0"/>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乙方完成全部货物的安装、调试并通过</w:t>
      </w:r>
      <w:r>
        <w:rPr>
          <w:rFonts w:hint="eastAsia" w:ascii="仿宋" w:hAnsi="仿宋" w:eastAsia="仿宋" w:cs="仿宋"/>
          <w:color w:val="auto"/>
          <w:sz w:val="24"/>
          <w:szCs w:val="24"/>
          <w:lang w:val="en-US" w:eastAsia="zh-CN"/>
        </w:rPr>
        <w:t>技术监督部门及业主方</w:t>
      </w:r>
      <w:r>
        <w:rPr>
          <w:rFonts w:hint="eastAsia" w:ascii="仿宋" w:hAnsi="仿宋" w:eastAsia="仿宋" w:cs="仿宋"/>
          <w:color w:val="auto"/>
          <w:sz w:val="24"/>
          <w:szCs w:val="24"/>
        </w:rPr>
        <w:t>验收后15个工作日内，甲方向乙方支付至合同总额</w:t>
      </w:r>
      <w:r>
        <w:rPr>
          <w:rFonts w:hint="eastAsia" w:ascii="仿宋" w:hAnsi="仿宋" w:eastAsia="仿宋" w:cs="仿宋"/>
          <w:color w:val="auto"/>
          <w:sz w:val="24"/>
          <w:szCs w:val="24"/>
          <w:lang w:val="en-US" w:eastAsia="zh-CN"/>
        </w:rPr>
        <w:t>85</w:t>
      </w:r>
      <w:r>
        <w:rPr>
          <w:rFonts w:hint="eastAsia" w:ascii="仿宋" w:hAnsi="仿宋" w:eastAsia="仿宋" w:cs="仿宋"/>
          <w:color w:val="auto"/>
          <w:sz w:val="24"/>
          <w:szCs w:val="24"/>
        </w:rPr>
        <w:t>%的货款；</w:t>
      </w:r>
    </w:p>
    <w:p>
      <w:pPr>
        <w:snapToGrid w:val="0"/>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完成终验合格后</w:t>
      </w:r>
      <w:r>
        <w:rPr>
          <w:rFonts w:hint="eastAsia" w:ascii="仿宋" w:hAnsi="仿宋" w:eastAsia="仿宋" w:cs="仿宋"/>
          <w:color w:val="auto"/>
          <w:sz w:val="24"/>
          <w:szCs w:val="24"/>
          <w:lang w:val="en-US" w:eastAsia="zh-CN"/>
        </w:rPr>
        <w:t>15个工作日内</w:t>
      </w:r>
      <w:r>
        <w:rPr>
          <w:rFonts w:hint="eastAsia" w:ascii="仿宋" w:hAnsi="仿宋" w:eastAsia="仿宋" w:cs="仿宋"/>
          <w:color w:val="auto"/>
          <w:sz w:val="24"/>
          <w:szCs w:val="24"/>
        </w:rPr>
        <w:t>，甲方按</w:t>
      </w:r>
      <w:r>
        <w:rPr>
          <w:rFonts w:hint="eastAsia" w:ascii="仿宋" w:hAnsi="仿宋" w:eastAsia="仿宋" w:cs="仿宋"/>
          <w:color w:val="auto"/>
          <w:sz w:val="24"/>
          <w:szCs w:val="24"/>
          <w:lang w:val="en-US" w:eastAsia="zh-CN"/>
        </w:rPr>
        <w:t>最终</w:t>
      </w:r>
      <w:r>
        <w:rPr>
          <w:rFonts w:hint="eastAsia" w:ascii="仿宋" w:hAnsi="仿宋" w:eastAsia="仿宋" w:cs="仿宋"/>
          <w:color w:val="auto"/>
          <w:sz w:val="24"/>
          <w:szCs w:val="24"/>
        </w:rPr>
        <w:t>金额付清货款。乙方必须开具与付款合同金额相等的正规有效的发票。</w:t>
      </w:r>
    </w:p>
    <w:bookmarkEnd w:id="27"/>
    <w:p>
      <w:pPr>
        <w:snapToGrid w:val="0"/>
        <w:spacing w:line="360" w:lineRule="auto"/>
        <w:jc w:val="both"/>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十三、其他要求</w:t>
      </w:r>
    </w:p>
    <w:p>
      <w:pPr>
        <w:snapToGrid w:val="0"/>
        <w:spacing w:line="360" w:lineRule="auto"/>
        <w:ind w:firstLine="241" w:firstLineChars="1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 1、本项目立体车库机械车位此部分设计费用由采购中标单位支付，计算基数为立体车库机械车位设备部分中标价，并结合星桥街道星灿街社会公共服务综合楼项目设计招标中标折扣费率进行结算（星桥街道星灿街社会公共服务综合楼项目设计中标折扣率按2002年修订本《工程勘察设计收费标准》（计价格[2002]10号）的标准的 72 %进行收取，</w:t>
      </w:r>
      <w:r>
        <w:rPr>
          <w:rFonts w:hint="eastAsia" w:ascii="仿宋" w:hAnsi="仿宋" w:eastAsia="仿宋" w:cs="仿宋"/>
          <w:b/>
          <w:bCs/>
          <w:color w:val="auto"/>
          <w:sz w:val="24"/>
          <w:szCs w:val="24"/>
          <w:lang w:val="zh-CN" w:eastAsia="zh-CN"/>
        </w:rPr>
        <w:t>专业调整系数为1.0、工程复杂程度调整系数为1.0、附加调整系数统一为1.</w:t>
      </w:r>
      <w:r>
        <w:rPr>
          <w:rFonts w:hint="eastAsia" w:ascii="仿宋" w:hAnsi="仿宋" w:eastAsia="仿宋" w:cs="仿宋"/>
          <w:b/>
          <w:bCs/>
          <w:color w:val="auto"/>
          <w:sz w:val="24"/>
          <w:szCs w:val="24"/>
          <w:lang w:val="en-US" w:eastAsia="zh-CN"/>
        </w:rPr>
        <w:t>0），此费用含在投标报价中，费用在第二次货款中扣除；</w:t>
      </w:r>
    </w:p>
    <w:p>
      <w:pPr>
        <w:snapToGrid w:val="0"/>
        <w:spacing w:line="360" w:lineRule="auto"/>
        <w:ind w:firstLine="241" w:firstLineChars="1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 2、本项目纳入土建总包服务管理，需缴纳总包服务费，总包服务费为本采购项目中安装费用的1%，此费用含在投标报价中。           </w:t>
      </w:r>
    </w:p>
    <w:p>
      <w:pPr>
        <w:snapToGrid w:val="0"/>
        <w:spacing w:line="360" w:lineRule="auto"/>
        <w:ind w:firstLine="482" w:firstLineChars="200"/>
        <w:jc w:val="both"/>
        <w:rPr>
          <w:rFonts w:hint="eastAsia" w:ascii="仿宋" w:hAnsi="仿宋" w:eastAsia="仿宋" w:cs="仿宋"/>
          <w:b/>
          <w:bCs/>
          <w:color w:val="auto"/>
          <w:sz w:val="24"/>
          <w:szCs w:val="24"/>
          <w:lang w:val="en-US" w:eastAsia="zh-CN"/>
        </w:rPr>
      </w:pPr>
    </w:p>
    <w:p>
      <w:pPr>
        <w:snapToGrid w:val="0"/>
        <w:spacing w:line="360" w:lineRule="auto"/>
        <w:ind w:firstLine="482" w:firstLineChars="200"/>
        <w:jc w:val="both"/>
        <w:rPr>
          <w:rFonts w:hint="eastAsia" w:ascii="仿宋" w:hAnsi="仿宋" w:eastAsia="仿宋" w:cs="仿宋"/>
          <w:b/>
          <w:bCs/>
          <w:sz w:val="24"/>
          <w:szCs w:val="24"/>
          <w:lang w:val="en-US" w:eastAsia="zh-CN"/>
        </w:rPr>
      </w:pPr>
    </w:p>
    <w:p>
      <w:pPr>
        <w:snapToGrid w:val="0"/>
        <w:spacing w:line="360" w:lineRule="auto"/>
        <w:ind w:firstLine="482" w:firstLineChars="200"/>
        <w:jc w:val="both"/>
        <w:rPr>
          <w:rFonts w:hint="eastAsia" w:ascii="仿宋" w:hAnsi="仿宋" w:eastAsia="仿宋" w:cs="仿宋"/>
          <w:b/>
          <w:sz w:val="24"/>
          <w:szCs w:val="24"/>
          <w:lang w:val="en-US" w:eastAsia="zh-CN"/>
        </w:rPr>
      </w:pPr>
    </w:p>
    <w:p>
      <w:pPr>
        <w:snapToGrid w:val="0"/>
        <w:spacing w:line="360" w:lineRule="auto"/>
        <w:ind w:firstLine="482" w:firstLineChars="200"/>
        <w:jc w:val="both"/>
        <w:rPr>
          <w:rFonts w:hint="eastAsia" w:ascii="仿宋" w:hAnsi="仿宋" w:eastAsia="仿宋" w:cs="仿宋"/>
          <w:b/>
          <w:sz w:val="24"/>
          <w:szCs w:val="24"/>
          <w:lang w:val="en-US" w:eastAsia="zh-CN"/>
        </w:rPr>
      </w:pPr>
    </w:p>
    <w:p>
      <w:pPr>
        <w:snapToGrid w:val="0"/>
        <w:spacing w:line="360" w:lineRule="auto"/>
        <w:ind w:firstLine="482" w:firstLineChars="200"/>
        <w:jc w:val="both"/>
        <w:rPr>
          <w:rFonts w:hint="eastAsia" w:ascii="仿宋" w:hAnsi="仿宋" w:eastAsia="仿宋" w:cs="仿宋"/>
          <w:b/>
          <w:sz w:val="24"/>
          <w:szCs w:val="24"/>
          <w:lang w:val="en-US" w:eastAsia="zh-CN"/>
        </w:rPr>
      </w:pPr>
    </w:p>
    <w:p>
      <w:pPr>
        <w:snapToGrid w:val="0"/>
        <w:spacing w:line="360" w:lineRule="auto"/>
        <w:ind w:firstLine="482" w:firstLineChars="200"/>
        <w:jc w:val="both"/>
        <w:rPr>
          <w:rFonts w:hint="eastAsia" w:ascii="仿宋" w:hAnsi="仿宋" w:eastAsia="仿宋" w:cs="仿宋"/>
          <w:b/>
          <w:sz w:val="24"/>
          <w:szCs w:val="24"/>
          <w:lang w:val="en-US" w:eastAsia="zh-CN"/>
        </w:rPr>
      </w:pPr>
    </w:p>
    <w:p>
      <w:pPr>
        <w:snapToGrid w:val="0"/>
        <w:spacing w:line="360" w:lineRule="auto"/>
        <w:ind w:firstLine="482" w:firstLineChars="200"/>
        <w:jc w:val="both"/>
        <w:rPr>
          <w:rFonts w:hint="eastAsia" w:ascii="仿宋" w:hAnsi="仿宋" w:eastAsia="仿宋" w:cs="仿宋"/>
          <w:b/>
          <w:sz w:val="24"/>
          <w:szCs w:val="24"/>
          <w:lang w:val="en-US" w:eastAsia="zh-CN"/>
        </w:rPr>
      </w:pPr>
    </w:p>
    <w:p>
      <w:pPr>
        <w:snapToGrid w:val="0"/>
        <w:spacing w:line="360" w:lineRule="auto"/>
        <w:ind w:firstLine="482" w:firstLineChars="200"/>
        <w:jc w:val="both"/>
        <w:rPr>
          <w:rFonts w:hint="eastAsia" w:ascii="仿宋" w:hAnsi="仿宋" w:eastAsia="仿宋" w:cs="仿宋"/>
          <w:b/>
          <w:sz w:val="24"/>
          <w:szCs w:val="24"/>
          <w:lang w:val="en-US" w:eastAsia="zh-CN"/>
        </w:rPr>
      </w:pPr>
    </w:p>
    <w:p>
      <w:pPr>
        <w:snapToGrid w:val="0"/>
        <w:spacing w:line="360" w:lineRule="auto"/>
        <w:ind w:firstLine="482" w:firstLineChars="200"/>
        <w:jc w:val="both"/>
        <w:rPr>
          <w:rFonts w:hint="eastAsia" w:ascii="仿宋" w:hAnsi="仿宋" w:eastAsia="仿宋" w:cs="仿宋"/>
          <w:b/>
          <w:sz w:val="24"/>
          <w:szCs w:val="24"/>
          <w:lang w:val="en-US" w:eastAsia="zh-CN"/>
        </w:rPr>
      </w:pPr>
    </w:p>
    <w:p>
      <w:pPr>
        <w:snapToGrid w:val="0"/>
        <w:spacing w:line="360" w:lineRule="auto"/>
        <w:ind w:firstLine="482" w:firstLineChars="200"/>
        <w:jc w:val="both"/>
        <w:rPr>
          <w:rFonts w:hint="eastAsia" w:ascii="仿宋" w:hAnsi="仿宋" w:eastAsia="仿宋" w:cs="仿宋"/>
          <w:b/>
          <w:sz w:val="24"/>
          <w:szCs w:val="24"/>
          <w:lang w:val="en-US" w:eastAsia="zh-CN"/>
        </w:rPr>
      </w:pPr>
    </w:p>
    <w:p>
      <w:pPr>
        <w:snapToGrid w:val="0"/>
        <w:spacing w:line="360" w:lineRule="auto"/>
        <w:ind w:firstLine="482" w:firstLineChars="200"/>
        <w:jc w:val="both"/>
        <w:rPr>
          <w:rFonts w:hint="eastAsia" w:ascii="仿宋" w:hAnsi="仿宋" w:eastAsia="仿宋" w:cs="仿宋"/>
          <w:b/>
          <w:sz w:val="24"/>
          <w:szCs w:val="24"/>
          <w:lang w:val="en-US" w:eastAsia="zh-CN"/>
        </w:rPr>
      </w:pPr>
    </w:p>
    <w:p>
      <w:pPr>
        <w:snapToGrid w:val="0"/>
        <w:spacing w:line="360" w:lineRule="auto"/>
        <w:ind w:firstLine="482" w:firstLineChars="200"/>
        <w:jc w:val="both"/>
        <w:rPr>
          <w:rFonts w:hint="eastAsia" w:ascii="仿宋" w:hAnsi="仿宋" w:eastAsia="仿宋" w:cs="仿宋"/>
          <w:b/>
          <w:sz w:val="24"/>
          <w:szCs w:val="24"/>
          <w:lang w:val="en-US" w:eastAsia="zh-CN"/>
        </w:rPr>
      </w:pPr>
    </w:p>
    <w:p>
      <w:pPr>
        <w:snapToGrid w:val="0"/>
        <w:spacing w:line="360" w:lineRule="auto"/>
        <w:ind w:firstLine="482" w:firstLineChars="200"/>
        <w:jc w:val="both"/>
        <w:rPr>
          <w:rFonts w:hint="eastAsia" w:ascii="仿宋" w:hAnsi="仿宋" w:eastAsia="仿宋" w:cs="仿宋"/>
          <w:b/>
          <w:sz w:val="24"/>
          <w:szCs w:val="24"/>
          <w:lang w:val="en-US" w:eastAsia="zh-CN"/>
        </w:rPr>
      </w:pPr>
    </w:p>
    <w:p>
      <w:pPr>
        <w:snapToGrid w:val="0"/>
        <w:spacing w:line="360" w:lineRule="auto"/>
        <w:ind w:firstLine="482" w:firstLineChars="200"/>
        <w:jc w:val="both"/>
        <w:rPr>
          <w:rFonts w:hint="eastAsia" w:ascii="仿宋" w:hAnsi="仿宋" w:eastAsia="仿宋" w:cs="仿宋"/>
          <w:b/>
          <w:sz w:val="24"/>
          <w:szCs w:val="24"/>
          <w:lang w:val="en-US" w:eastAsia="zh-CN"/>
        </w:rPr>
      </w:pPr>
    </w:p>
    <w:p>
      <w:pPr>
        <w:snapToGrid w:val="0"/>
        <w:spacing w:line="360" w:lineRule="auto"/>
        <w:ind w:firstLine="482" w:firstLineChars="200"/>
        <w:jc w:val="both"/>
        <w:rPr>
          <w:rFonts w:hint="eastAsia" w:ascii="仿宋" w:hAnsi="仿宋" w:eastAsia="仿宋" w:cs="仿宋"/>
          <w:b/>
          <w:sz w:val="24"/>
          <w:szCs w:val="24"/>
          <w:lang w:val="en-US" w:eastAsia="zh-CN"/>
        </w:rPr>
      </w:pPr>
    </w:p>
    <w:p>
      <w:pPr>
        <w:snapToGrid w:val="0"/>
        <w:spacing w:line="360" w:lineRule="auto"/>
        <w:ind w:firstLine="482" w:firstLineChars="200"/>
        <w:jc w:val="both"/>
        <w:rPr>
          <w:rFonts w:hint="eastAsia" w:ascii="仿宋" w:hAnsi="仿宋" w:eastAsia="仿宋" w:cs="仿宋"/>
          <w:b/>
          <w:sz w:val="24"/>
          <w:szCs w:val="24"/>
          <w:lang w:val="en-US" w:eastAsia="zh-CN"/>
        </w:rPr>
      </w:pPr>
    </w:p>
    <w:p>
      <w:pPr>
        <w:snapToGrid w:val="0"/>
        <w:spacing w:line="360" w:lineRule="auto"/>
        <w:ind w:firstLine="482" w:firstLineChars="200"/>
        <w:jc w:val="both"/>
        <w:rPr>
          <w:rFonts w:hint="eastAsia" w:ascii="仿宋" w:hAnsi="仿宋" w:eastAsia="仿宋" w:cs="仿宋"/>
          <w:b/>
          <w:sz w:val="24"/>
          <w:szCs w:val="24"/>
          <w:lang w:val="en-US" w:eastAsia="zh-CN"/>
        </w:rPr>
      </w:pPr>
    </w:p>
    <w:p>
      <w:pPr>
        <w:snapToGrid w:val="0"/>
        <w:spacing w:line="360" w:lineRule="auto"/>
        <w:ind w:firstLine="482" w:firstLineChars="200"/>
        <w:jc w:val="both"/>
        <w:rPr>
          <w:rFonts w:hint="eastAsia" w:ascii="仿宋" w:hAnsi="仿宋" w:eastAsia="仿宋" w:cs="仿宋"/>
          <w:b/>
          <w:sz w:val="24"/>
          <w:szCs w:val="24"/>
          <w:lang w:val="en-US" w:eastAsia="zh-CN"/>
        </w:rPr>
      </w:pPr>
    </w:p>
    <w:p>
      <w:pPr>
        <w:snapToGrid w:val="0"/>
        <w:spacing w:line="360" w:lineRule="auto"/>
        <w:ind w:firstLine="482" w:firstLineChars="200"/>
        <w:jc w:val="both"/>
        <w:rPr>
          <w:rFonts w:hint="eastAsia" w:ascii="仿宋" w:hAnsi="仿宋" w:eastAsia="仿宋" w:cs="仿宋"/>
          <w:b/>
          <w:sz w:val="24"/>
          <w:szCs w:val="24"/>
          <w:lang w:val="en-US" w:eastAsia="zh-CN"/>
        </w:rPr>
      </w:pPr>
    </w:p>
    <w:p>
      <w:pPr>
        <w:snapToGrid w:val="0"/>
        <w:spacing w:line="360" w:lineRule="auto"/>
        <w:ind w:firstLine="482" w:firstLineChars="200"/>
        <w:jc w:val="both"/>
        <w:rPr>
          <w:rFonts w:hint="eastAsia" w:ascii="仿宋" w:hAnsi="仿宋" w:eastAsia="仿宋" w:cs="仿宋"/>
          <w:b/>
          <w:sz w:val="24"/>
          <w:szCs w:val="24"/>
          <w:lang w:val="en-US" w:eastAsia="zh-CN"/>
        </w:rPr>
      </w:pPr>
    </w:p>
    <w:p>
      <w:pPr>
        <w:snapToGrid w:val="0"/>
        <w:spacing w:line="360" w:lineRule="auto"/>
        <w:ind w:firstLine="482" w:firstLineChars="200"/>
        <w:jc w:val="both"/>
        <w:rPr>
          <w:rFonts w:ascii="仿宋" w:hAnsi="仿宋" w:eastAsia="仿宋" w:cs="仿宋_GB2312"/>
          <w:b/>
          <w:sz w:val="36"/>
          <w:szCs w:val="36"/>
        </w:rPr>
      </w:pPr>
      <w:r>
        <w:rPr>
          <w:rFonts w:hint="eastAsia" w:ascii="仿宋" w:hAnsi="仿宋" w:eastAsia="仿宋" w:cs="仿宋"/>
          <w:b/>
          <w:sz w:val="24"/>
          <w:szCs w:val="24"/>
          <w:lang w:val="en-US" w:eastAsia="zh-CN"/>
        </w:rPr>
        <w:t xml:space="preserve">         </w:t>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8" w:name="_Toc184312130"/>
      <w:bookmarkEnd w:id="28"/>
      <w:bookmarkStart w:id="29" w:name="_Toc184308092"/>
      <w:bookmarkEnd w:id="29"/>
      <w:bookmarkStart w:id="30" w:name="_Toc184312124"/>
      <w:bookmarkEnd w:id="30"/>
      <w:bookmarkStart w:id="31" w:name="_Toc184312114"/>
      <w:bookmarkEnd w:id="31"/>
      <w:bookmarkStart w:id="32" w:name="_Toc184314452"/>
      <w:bookmarkEnd w:id="32"/>
      <w:bookmarkStart w:id="33" w:name="_Toc184313301"/>
      <w:bookmarkEnd w:id="33"/>
      <w:bookmarkStart w:id="34" w:name="_Toc184314470"/>
      <w:bookmarkEnd w:id="34"/>
      <w:bookmarkStart w:id="35" w:name="_Toc184310330"/>
      <w:bookmarkEnd w:id="35"/>
      <w:bookmarkStart w:id="36" w:name="_Toc184310338"/>
      <w:bookmarkEnd w:id="36"/>
      <w:bookmarkStart w:id="37" w:name="_Toc184312122"/>
      <w:bookmarkEnd w:id="37"/>
      <w:bookmarkStart w:id="38" w:name="_Toc184314476"/>
      <w:bookmarkEnd w:id="38"/>
      <w:bookmarkStart w:id="39" w:name="_Toc184313288"/>
      <w:bookmarkEnd w:id="39"/>
      <w:bookmarkStart w:id="40" w:name="_Toc184314444"/>
      <w:bookmarkEnd w:id="40"/>
      <w:bookmarkStart w:id="41" w:name="_Toc184308098"/>
      <w:bookmarkEnd w:id="41"/>
      <w:bookmarkStart w:id="42" w:name="_Toc184310333"/>
      <w:bookmarkEnd w:id="42"/>
      <w:bookmarkStart w:id="43" w:name="_Toc184308037"/>
      <w:bookmarkEnd w:id="43"/>
      <w:bookmarkStart w:id="44" w:name="_Toc184314479"/>
      <w:bookmarkEnd w:id="44"/>
      <w:bookmarkStart w:id="45" w:name="_Toc184314423"/>
      <w:bookmarkEnd w:id="45"/>
      <w:bookmarkStart w:id="46" w:name="_Toc184308077"/>
      <w:bookmarkEnd w:id="46"/>
      <w:bookmarkStart w:id="47" w:name="_Toc184314445"/>
      <w:bookmarkEnd w:id="47"/>
      <w:bookmarkStart w:id="48" w:name="_Toc184310304"/>
      <w:bookmarkEnd w:id="48"/>
      <w:bookmarkStart w:id="49" w:name="_Toc184312121"/>
      <w:bookmarkEnd w:id="49"/>
      <w:bookmarkStart w:id="50" w:name="_Toc184314465"/>
      <w:bookmarkEnd w:id="50"/>
      <w:bookmarkStart w:id="51" w:name="_Toc184308088"/>
      <w:bookmarkEnd w:id="51"/>
      <w:bookmarkStart w:id="52" w:name="_Toc184308036"/>
      <w:bookmarkEnd w:id="52"/>
      <w:bookmarkStart w:id="53" w:name="_Toc184314469"/>
      <w:bookmarkEnd w:id="53"/>
      <w:bookmarkStart w:id="54" w:name="_Toc184313304"/>
      <w:bookmarkEnd w:id="54"/>
      <w:bookmarkStart w:id="55" w:name="_Toc184308095"/>
      <w:bookmarkEnd w:id="55"/>
      <w:bookmarkStart w:id="56" w:name="_Toc184312105"/>
      <w:bookmarkEnd w:id="56"/>
      <w:bookmarkStart w:id="57" w:name="_Toc184313247"/>
      <w:bookmarkEnd w:id="57"/>
      <w:bookmarkStart w:id="58" w:name="_Toc184310324"/>
      <w:bookmarkEnd w:id="58"/>
      <w:bookmarkStart w:id="59" w:name="_Toc184314466"/>
      <w:bookmarkEnd w:id="59"/>
      <w:bookmarkStart w:id="60" w:name="_Toc184308072"/>
      <w:bookmarkEnd w:id="60"/>
      <w:bookmarkStart w:id="61" w:name="_Toc184312071"/>
      <w:bookmarkEnd w:id="61"/>
      <w:bookmarkStart w:id="62" w:name="_Toc184310319"/>
      <w:bookmarkEnd w:id="62"/>
      <w:bookmarkStart w:id="63" w:name="_Toc184310328"/>
      <w:bookmarkEnd w:id="63"/>
      <w:bookmarkStart w:id="64" w:name="_Toc184310326"/>
      <w:bookmarkEnd w:id="64"/>
      <w:bookmarkStart w:id="65" w:name="_Toc184312136"/>
      <w:bookmarkEnd w:id="65"/>
      <w:bookmarkStart w:id="66" w:name="_Toc184313248"/>
      <w:bookmarkEnd w:id="66"/>
      <w:bookmarkStart w:id="67" w:name="_Toc184314460"/>
      <w:bookmarkEnd w:id="67"/>
      <w:bookmarkStart w:id="68" w:name="_Toc184313308"/>
      <w:bookmarkEnd w:id="68"/>
      <w:bookmarkStart w:id="69" w:name="_Toc184310285"/>
      <w:bookmarkEnd w:id="69"/>
      <w:bookmarkStart w:id="70" w:name="_Toc184312126"/>
      <w:bookmarkEnd w:id="70"/>
      <w:bookmarkStart w:id="71" w:name="_Toc184308048"/>
      <w:bookmarkEnd w:id="71"/>
      <w:bookmarkStart w:id="72" w:name="_Toc184314436"/>
      <w:bookmarkEnd w:id="72"/>
      <w:bookmarkStart w:id="73" w:name="_Toc184314442"/>
      <w:bookmarkEnd w:id="73"/>
      <w:bookmarkStart w:id="74" w:name="_Toc184314480"/>
      <w:bookmarkEnd w:id="74"/>
      <w:bookmarkStart w:id="75" w:name="_Toc184314464"/>
      <w:bookmarkEnd w:id="75"/>
      <w:bookmarkStart w:id="76" w:name="_Toc184310334"/>
      <w:bookmarkEnd w:id="76"/>
      <w:bookmarkStart w:id="77" w:name="_Toc184312093"/>
      <w:bookmarkEnd w:id="77"/>
      <w:bookmarkStart w:id="78" w:name="_Toc184308087"/>
      <w:bookmarkEnd w:id="78"/>
      <w:bookmarkStart w:id="79" w:name="_Toc184313290"/>
      <w:bookmarkEnd w:id="79"/>
      <w:bookmarkStart w:id="80" w:name="_Toc184312113"/>
      <w:bookmarkEnd w:id="80"/>
      <w:bookmarkStart w:id="81" w:name="_Toc184313274"/>
      <w:bookmarkEnd w:id="81"/>
      <w:bookmarkStart w:id="82" w:name="_Toc184310329"/>
      <w:bookmarkEnd w:id="82"/>
      <w:bookmarkStart w:id="83" w:name="_Toc184308089"/>
      <w:bookmarkEnd w:id="83"/>
      <w:bookmarkStart w:id="84" w:name="_Toc184314421"/>
      <w:bookmarkEnd w:id="84"/>
      <w:bookmarkStart w:id="85" w:name="_Toc184314422"/>
      <w:bookmarkEnd w:id="85"/>
      <w:bookmarkStart w:id="86" w:name="_Toc184308097"/>
      <w:bookmarkEnd w:id="86"/>
      <w:bookmarkStart w:id="87" w:name="_Toc184313250"/>
      <w:bookmarkEnd w:id="87"/>
      <w:bookmarkStart w:id="88" w:name="_Toc184312119"/>
      <w:bookmarkEnd w:id="88"/>
      <w:bookmarkStart w:id="89" w:name="_Toc184312099"/>
      <w:bookmarkEnd w:id="89"/>
      <w:bookmarkStart w:id="90" w:name="_Toc184312102"/>
      <w:bookmarkEnd w:id="90"/>
      <w:bookmarkStart w:id="91" w:name="_Toc184312138"/>
      <w:bookmarkEnd w:id="91"/>
      <w:bookmarkStart w:id="92" w:name="_Toc184313240"/>
      <w:bookmarkEnd w:id="92"/>
      <w:bookmarkStart w:id="93" w:name="_Toc184308107"/>
      <w:bookmarkEnd w:id="93"/>
      <w:bookmarkStart w:id="94" w:name="_Toc184308071"/>
      <w:bookmarkEnd w:id="94"/>
      <w:bookmarkStart w:id="95" w:name="_Toc184314441"/>
      <w:bookmarkEnd w:id="95"/>
      <w:bookmarkStart w:id="96" w:name="_Toc184312107"/>
      <w:bookmarkEnd w:id="96"/>
      <w:bookmarkStart w:id="97" w:name="_Toc184308063"/>
      <w:bookmarkEnd w:id="97"/>
      <w:bookmarkStart w:id="98" w:name="_Toc184313279"/>
      <w:bookmarkEnd w:id="98"/>
      <w:bookmarkStart w:id="99" w:name="_Toc184313242"/>
      <w:bookmarkEnd w:id="99"/>
      <w:bookmarkStart w:id="100" w:name="_Toc184313252"/>
      <w:bookmarkEnd w:id="100"/>
      <w:bookmarkStart w:id="101" w:name="_Toc184308051"/>
      <w:bookmarkEnd w:id="101"/>
      <w:bookmarkStart w:id="102" w:name="_Toc184310325"/>
      <w:bookmarkEnd w:id="102"/>
      <w:bookmarkStart w:id="103" w:name="_Toc184312079"/>
      <w:bookmarkEnd w:id="103"/>
      <w:bookmarkStart w:id="104" w:name="_Toc184310313"/>
      <w:bookmarkEnd w:id="104"/>
      <w:bookmarkStart w:id="105" w:name="_Toc184308076"/>
      <w:bookmarkEnd w:id="105"/>
      <w:bookmarkStart w:id="106" w:name="_Toc184310302"/>
      <w:bookmarkEnd w:id="106"/>
      <w:bookmarkStart w:id="107" w:name="_Toc184310286"/>
      <w:bookmarkEnd w:id="107"/>
      <w:bookmarkStart w:id="108" w:name="_Toc184314410"/>
      <w:bookmarkEnd w:id="108"/>
      <w:bookmarkStart w:id="109" w:name="_Toc184314453"/>
      <w:bookmarkEnd w:id="109"/>
      <w:bookmarkStart w:id="110" w:name="_Toc184313239"/>
      <w:bookmarkEnd w:id="110"/>
      <w:bookmarkStart w:id="111" w:name="_Toc184312104"/>
      <w:bookmarkEnd w:id="111"/>
      <w:bookmarkStart w:id="112" w:name="_Toc184314420"/>
      <w:bookmarkEnd w:id="112"/>
      <w:bookmarkStart w:id="113" w:name="_Toc184310323"/>
      <w:bookmarkEnd w:id="113"/>
      <w:bookmarkStart w:id="114" w:name="_Toc184308079"/>
      <w:bookmarkEnd w:id="114"/>
      <w:bookmarkStart w:id="115" w:name="_Toc184313310"/>
      <w:bookmarkEnd w:id="115"/>
      <w:bookmarkStart w:id="116" w:name="_Toc184313302"/>
      <w:bookmarkEnd w:id="116"/>
      <w:bookmarkStart w:id="117" w:name="_Toc184312080"/>
      <w:bookmarkEnd w:id="117"/>
      <w:bookmarkStart w:id="118" w:name="_Toc184313293"/>
      <w:bookmarkEnd w:id="118"/>
      <w:bookmarkStart w:id="119" w:name="_Toc184314461"/>
      <w:bookmarkEnd w:id="119"/>
      <w:bookmarkStart w:id="120" w:name="_Toc184308083"/>
      <w:bookmarkEnd w:id="120"/>
      <w:bookmarkStart w:id="121" w:name="_Toc184313260"/>
      <w:bookmarkEnd w:id="121"/>
      <w:bookmarkStart w:id="122" w:name="_Toc184312082"/>
      <w:bookmarkEnd w:id="122"/>
      <w:bookmarkStart w:id="123" w:name="_Toc184313243"/>
      <w:bookmarkEnd w:id="123"/>
      <w:bookmarkStart w:id="124" w:name="_Toc184314416"/>
      <w:bookmarkEnd w:id="124"/>
      <w:bookmarkStart w:id="125" w:name="_Toc184314415"/>
      <w:bookmarkEnd w:id="125"/>
      <w:bookmarkStart w:id="126" w:name="_Toc184313282"/>
      <w:bookmarkEnd w:id="126"/>
      <w:bookmarkStart w:id="127" w:name="_Toc184312111"/>
      <w:bookmarkEnd w:id="127"/>
      <w:bookmarkStart w:id="128" w:name="_Toc184308041"/>
      <w:bookmarkEnd w:id="128"/>
      <w:bookmarkStart w:id="129" w:name="_Toc184312091"/>
      <w:bookmarkEnd w:id="129"/>
      <w:bookmarkStart w:id="130" w:name="_Toc184312076"/>
      <w:bookmarkEnd w:id="130"/>
      <w:bookmarkStart w:id="131" w:name="_Toc184310280"/>
      <w:bookmarkEnd w:id="131"/>
      <w:bookmarkStart w:id="132" w:name="_Toc184312110"/>
      <w:bookmarkEnd w:id="132"/>
      <w:bookmarkStart w:id="133" w:name="_Toc184310276"/>
      <w:bookmarkEnd w:id="133"/>
      <w:bookmarkStart w:id="134" w:name="_Toc184314411"/>
      <w:bookmarkEnd w:id="134"/>
      <w:bookmarkStart w:id="135" w:name="_Toc184314474"/>
      <w:bookmarkEnd w:id="135"/>
      <w:bookmarkStart w:id="136" w:name="_Toc184312074"/>
      <w:bookmarkEnd w:id="136"/>
      <w:bookmarkStart w:id="137" w:name="_Toc184310340"/>
      <w:bookmarkEnd w:id="137"/>
      <w:bookmarkStart w:id="138" w:name="_Toc184310295"/>
      <w:bookmarkEnd w:id="138"/>
      <w:bookmarkStart w:id="139" w:name="_Toc184313278"/>
      <w:bookmarkEnd w:id="139"/>
      <w:bookmarkStart w:id="140" w:name="_Toc184310318"/>
      <w:bookmarkEnd w:id="140"/>
      <w:bookmarkStart w:id="141" w:name="_Toc184314418"/>
      <w:bookmarkEnd w:id="141"/>
      <w:bookmarkStart w:id="142" w:name="_Toc184312089"/>
      <w:bookmarkEnd w:id="142"/>
      <w:bookmarkStart w:id="143" w:name="_Toc184310321"/>
      <w:bookmarkEnd w:id="143"/>
      <w:bookmarkStart w:id="144" w:name="_Toc184310335"/>
      <w:bookmarkEnd w:id="144"/>
      <w:bookmarkStart w:id="145" w:name="_Toc184314448"/>
      <w:bookmarkEnd w:id="145"/>
      <w:bookmarkStart w:id="146" w:name="_Toc184314427"/>
      <w:bookmarkEnd w:id="146"/>
      <w:bookmarkStart w:id="147" w:name="_Toc184313245"/>
      <w:bookmarkEnd w:id="147"/>
      <w:bookmarkStart w:id="148" w:name="_Toc184308038"/>
      <w:bookmarkEnd w:id="148"/>
      <w:bookmarkStart w:id="149" w:name="_Toc184310278"/>
      <w:bookmarkEnd w:id="149"/>
      <w:bookmarkStart w:id="150" w:name="_Toc184308044"/>
      <w:bookmarkEnd w:id="150"/>
      <w:bookmarkStart w:id="151" w:name="_Toc184308075"/>
      <w:bookmarkEnd w:id="151"/>
      <w:bookmarkStart w:id="152" w:name="_Toc184310339"/>
      <w:bookmarkEnd w:id="152"/>
      <w:bookmarkStart w:id="153" w:name="_Toc184314424"/>
      <w:bookmarkEnd w:id="153"/>
      <w:bookmarkStart w:id="154" w:name="_Toc184308104"/>
      <w:bookmarkEnd w:id="154"/>
      <w:bookmarkStart w:id="155" w:name="_Toc184314425"/>
      <w:bookmarkEnd w:id="155"/>
      <w:bookmarkStart w:id="156" w:name="_Toc184314471"/>
      <w:bookmarkEnd w:id="156"/>
      <w:bookmarkStart w:id="157" w:name="_Toc184308091"/>
      <w:bookmarkEnd w:id="157"/>
      <w:bookmarkStart w:id="158" w:name="_Toc184312092"/>
      <w:bookmarkEnd w:id="158"/>
      <w:bookmarkStart w:id="159" w:name="_Toc184313265"/>
      <w:bookmarkEnd w:id="159"/>
      <w:bookmarkStart w:id="160" w:name="_Toc184310312"/>
      <w:bookmarkEnd w:id="160"/>
      <w:bookmarkStart w:id="161" w:name="_Toc184310279"/>
      <w:bookmarkEnd w:id="161"/>
      <w:bookmarkStart w:id="162" w:name="_Toc184312075"/>
      <w:bookmarkEnd w:id="162"/>
      <w:bookmarkStart w:id="163" w:name="_Toc184312109"/>
      <w:bookmarkEnd w:id="163"/>
      <w:bookmarkStart w:id="164" w:name="_Toc184308050"/>
      <w:bookmarkEnd w:id="164"/>
      <w:bookmarkStart w:id="165" w:name="_Toc184313246"/>
      <w:bookmarkEnd w:id="165"/>
      <w:bookmarkStart w:id="166" w:name="_Toc184308073"/>
      <w:bookmarkEnd w:id="166"/>
      <w:bookmarkStart w:id="167" w:name="_Toc184313294"/>
      <w:bookmarkEnd w:id="167"/>
      <w:bookmarkStart w:id="168" w:name="_Toc184314417"/>
      <w:bookmarkEnd w:id="168"/>
      <w:bookmarkStart w:id="169" w:name="_Toc184313244"/>
      <w:bookmarkEnd w:id="169"/>
      <w:bookmarkStart w:id="170" w:name="_Toc184308068"/>
      <w:bookmarkEnd w:id="170"/>
      <w:bookmarkStart w:id="171" w:name="_Toc184310290"/>
      <w:bookmarkEnd w:id="171"/>
      <w:bookmarkStart w:id="172" w:name="_Toc184313297"/>
      <w:bookmarkEnd w:id="172"/>
      <w:bookmarkStart w:id="173" w:name="_Toc184310287"/>
      <w:bookmarkEnd w:id="173"/>
      <w:bookmarkStart w:id="174" w:name="_Toc184313309"/>
      <w:bookmarkEnd w:id="174"/>
      <w:bookmarkStart w:id="175" w:name="_Toc184308106"/>
      <w:bookmarkEnd w:id="175"/>
      <w:bookmarkStart w:id="176" w:name="_Toc184308080"/>
      <w:bookmarkEnd w:id="176"/>
      <w:bookmarkStart w:id="177" w:name="_Toc184310320"/>
      <w:bookmarkEnd w:id="177"/>
      <w:bookmarkStart w:id="178" w:name="_Toc184308105"/>
      <w:bookmarkEnd w:id="178"/>
      <w:bookmarkStart w:id="179" w:name="_Toc184312077"/>
      <w:bookmarkEnd w:id="179"/>
      <w:bookmarkStart w:id="180" w:name="_Toc184312073"/>
      <w:bookmarkEnd w:id="180"/>
      <w:bookmarkStart w:id="181" w:name="_Toc184308042"/>
      <w:bookmarkEnd w:id="181"/>
      <w:bookmarkStart w:id="182" w:name="_Toc184312133"/>
      <w:bookmarkEnd w:id="182"/>
      <w:bookmarkStart w:id="183" w:name="_Toc184308093"/>
      <w:bookmarkEnd w:id="183"/>
      <w:bookmarkStart w:id="184" w:name="_Toc184310327"/>
      <w:bookmarkEnd w:id="184"/>
      <w:bookmarkStart w:id="185" w:name="_Toc184314462"/>
      <w:bookmarkEnd w:id="185"/>
      <w:bookmarkStart w:id="186" w:name="_Toc184314414"/>
      <w:bookmarkEnd w:id="186"/>
      <w:bookmarkStart w:id="187" w:name="_Toc184308090"/>
      <w:bookmarkEnd w:id="187"/>
      <w:bookmarkStart w:id="188" w:name="_Toc184308085"/>
      <w:bookmarkEnd w:id="188"/>
      <w:bookmarkStart w:id="189" w:name="_Toc184310316"/>
      <w:bookmarkEnd w:id="189"/>
      <w:bookmarkStart w:id="190" w:name="_Toc184314412"/>
      <w:bookmarkEnd w:id="190"/>
      <w:bookmarkStart w:id="191" w:name="_Toc184310344"/>
      <w:bookmarkEnd w:id="191"/>
      <w:bookmarkStart w:id="192" w:name="_Toc184310331"/>
      <w:bookmarkEnd w:id="192"/>
      <w:bookmarkStart w:id="193" w:name="_Toc184314463"/>
      <w:bookmarkEnd w:id="193"/>
      <w:bookmarkStart w:id="194" w:name="_Toc184312125"/>
      <w:bookmarkEnd w:id="194"/>
      <w:bookmarkStart w:id="195" w:name="_Toc184310342"/>
      <w:bookmarkEnd w:id="195"/>
      <w:bookmarkStart w:id="196" w:name="_Toc184313261"/>
      <w:bookmarkEnd w:id="196"/>
      <w:bookmarkStart w:id="197" w:name="_Toc184310272"/>
      <w:bookmarkEnd w:id="197"/>
      <w:bookmarkStart w:id="198" w:name="_Toc184314437"/>
      <w:bookmarkEnd w:id="198"/>
      <w:bookmarkStart w:id="199" w:name="_Toc184313276"/>
      <w:bookmarkEnd w:id="199"/>
      <w:bookmarkStart w:id="200" w:name="_Toc184308096"/>
      <w:bookmarkEnd w:id="200"/>
      <w:bookmarkStart w:id="201" w:name="_Toc184313299"/>
      <w:bookmarkEnd w:id="201"/>
      <w:bookmarkStart w:id="202" w:name="_Toc184310274"/>
      <w:bookmarkEnd w:id="202"/>
      <w:bookmarkStart w:id="203" w:name="_Toc184314468"/>
      <w:bookmarkEnd w:id="203"/>
      <w:bookmarkStart w:id="204" w:name="_Toc184308046"/>
      <w:bookmarkEnd w:id="204"/>
      <w:bookmarkStart w:id="205" w:name="_Toc184312132"/>
      <w:bookmarkEnd w:id="205"/>
      <w:bookmarkStart w:id="206" w:name="_Toc184312072"/>
      <w:bookmarkEnd w:id="206"/>
      <w:bookmarkStart w:id="207" w:name="_Toc184312127"/>
      <w:bookmarkEnd w:id="207"/>
      <w:bookmarkStart w:id="208" w:name="_Toc184313300"/>
      <w:bookmarkEnd w:id="208"/>
      <w:bookmarkStart w:id="209" w:name="_Toc184314433"/>
      <w:bookmarkEnd w:id="209"/>
      <w:bookmarkStart w:id="210" w:name="_Toc184313284"/>
      <w:bookmarkEnd w:id="210"/>
      <w:bookmarkStart w:id="211" w:name="_Toc184308043"/>
      <w:bookmarkEnd w:id="211"/>
      <w:bookmarkStart w:id="212" w:name="_Toc184310277"/>
      <w:bookmarkEnd w:id="212"/>
      <w:bookmarkStart w:id="213" w:name="_Toc184314477"/>
      <w:bookmarkEnd w:id="213"/>
      <w:bookmarkStart w:id="214" w:name="_Toc184310332"/>
      <w:bookmarkEnd w:id="214"/>
      <w:bookmarkStart w:id="215" w:name="_Toc184308103"/>
      <w:bookmarkEnd w:id="215"/>
      <w:bookmarkStart w:id="216" w:name="_Toc184308099"/>
      <w:bookmarkEnd w:id="216"/>
      <w:bookmarkStart w:id="217" w:name="_Toc184312129"/>
      <w:bookmarkEnd w:id="217"/>
      <w:bookmarkStart w:id="218" w:name="_Toc184313286"/>
      <w:bookmarkEnd w:id="218"/>
      <w:bookmarkStart w:id="219" w:name="_Toc184308059"/>
      <w:bookmarkEnd w:id="219"/>
      <w:bookmarkStart w:id="220" w:name="_Toc184312128"/>
      <w:bookmarkEnd w:id="220"/>
      <w:bookmarkStart w:id="221" w:name="_Toc184308060"/>
      <w:bookmarkEnd w:id="221"/>
      <w:bookmarkStart w:id="222" w:name="_Toc184312123"/>
      <w:bookmarkEnd w:id="222"/>
      <w:bookmarkStart w:id="223" w:name="_Toc184312108"/>
      <w:bookmarkEnd w:id="223"/>
      <w:bookmarkStart w:id="224" w:name="_Toc184308062"/>
      <w:bookmarkEnd w:id="224"/>
      <w:bookmarkStart w:id="225" w:name="_Toc184312134"/>
      <w:bookmarkEnd w:id="225"/>
      <w:bookmarkStart w:id="226" w:name="_Toc184313241"/>
      <w:bookmarkEnd w:id="226"/>
      <w:bookmarkStart w:id="227" w:name="_Toc184310294"/>
      <w:bookmarkEnd w:id="227"/>
      <w:bookmarkStart w:id="228" w:name="_Toc184312090"/>
      <w:bookmarkEnd w:id="228"/>
      <w:bookmarkStart w:id="229" w:name="_Toc184314472"/>
      <w:bookmarkEnd w:id="229"/>
      <w:bookmarkStart w:id="230" w:name="_Toc184312118"/>
      <w:bookmarkEnd w:id="230"/>
      <w:bookmarkStart w:id="231" w:name="_Toc184314457"/>
      <w:bookmarkEnd w:id="231"/>
      <w:bookmarkStart w:id="232" w:name="_Toc184308045"/>
      <w:bookmarkEnd w:id="232"/>
      <w:bookmarkStart w:id="233" w:name="_Toc184313305"/>
      <w:bookmarkEnd w:id="233"/>
      <w:bookmarkStart w:id="234" w:name="_Toc184312120"/>
      <w:bookmarkEnd w:id="234"/>
      <w:bookmarkStart w:id="235" w:name="_Toc184314481"/>
      <w:bookmarkEnd w:id="235"/>
      <w:bookmarkStart w:id="236" w:name="_Toc184313285"/>
      <w:bookmarkEnd w:id="236"/>
      <w:bookmarkStart w:id="237" w:name="_Toc184308094"/>
      <w:bookmarkEnd w:id="237"/>
      <w:bookmarkStart w:id="238" w:name="_Toc184313296"/>
      <w:bookmarkEnd w:id="238"/>
      <w:bookmarkStart w:id="239" w:name="_Toc184314435"/>
      <w:bookmarkEnd w:id="239"/>
      <w:bookmarkStart w:id="240" w:name="_Toc184314451"/>
      <w:bookmarkEnd w:id="240"/>
      <w:bookmarkStart w:id="241" w:name="_Toc184310306"/>
      <w:bookmarkEnd w:id="241"/>
      <w:bookmarkStart w:id="242" w:name="_Toc184314443"/>
      <w:bookmarkEnd w:id="242"/>
      <w:bookmarkStart w:id="243" w:name="_Toc184314426"/>
      <w:bookmarkEnd w:id="243"/>
      <w:bookmarkStart w:id="244" w:name="_Toc184308100"/>
      <w:bookmarkEnd w:id="244"/>
      <w:bookmarkStart w:id="245" w:name="_Toc184312078"/>
      <w:bookmarkEnd w:id="245"/>
      <w:bookmarkStart w:id="246" w:name="_Toc184313257"/>
      <w:bookmarkEnd w:id="246"/>
      <w:bookmarkStart w:id="247" w:name="_Toc184312096"/>
      <w:bookmarkEnd w:id="247"/>
      <w:bookmarkStart w:id="248" w:name="_Toc184313289"/>
      <w:bookmarkEnd w:id="248"/>
      <w:bookmarkStart w:id="249" w:name="_Toc184308069"/>
      <w:bookmarkEnd w:id="249"/>
      <w:bookmarkStart w:id="250" w:name="_Toc184314473"/>
      <w:bookmarkEnd w:id="250"/>
      <w:bookmarkStart w:id="251" w:name="_Toc184313283"/>
      <w:bookmarkEnd w:id="251"/>
      <w:bookmarkStart w:id="252" w:name="_Toc184308102"/>
      <w:bookmarkEnd w:id="252"/>
      <w:bookmarkStart w:id="253" w:name="_Toc184313264"/>
      <w:bookmarkEnd w:id="253"/>
      <w:bookmarkStart w:id="254" w:name="_Toc184313270"/>
      <w:bookmarkEnd w:id="254"/>
      <w:bookmarkStart w:id="255" w:name="_Toc184313258"/>
      <w:bookmarkEnd w:id="255"/>
      <w:bookmarkStart w:id="256" w:name="_Toc184313291"/>
      <w:bookmarkEnd w:id="256"/>
      <w:bookmarkStart w:id="257" w:name="_Toc184313249"/>
      <w:bookmarkEnd w:id="257"/>
      <w:bookmarkStart w:id="258" w:name="_Toc184308082"/>
      <w:bookmarkEnd w:id="258"/>
      <w:bookmarkStart w:id="259" w:name="_Toc184310308"/>
      <w:bookmarkEnd w:id="259"/>
      <w:bookmarkStart w:id="260" w:name="_Toc184308086"/>
      <w:bookmarkEnd w:id="260"/>
      <w:bookmarkStart w:id="261" w:name="_Toc184310283"/>
      <w:bookmarkEnd w:id="261"/>
      <w:bookmarkStart w:id="262" w:name="_Toc184310303"/>
      <w:bookmarkEnd w:id="262"/>
      <w:bookmarkStart w:id="263" w:name="_Toc184310309"/>
      <w:bookmarkEnd w:id="263"/>
      <w:bookmarkStart w:id="264" w:name="_Toc184313273"/>
      <w:bookmarkEnd w:id="264"/>
      <w:bookmarkStart w:id="265" w:name="_Toc184308108"/>
      <w:bookmarkEnd w:id="265"/>
      <w:bookmarkStart w:id="266" w:name="_Toc184314440"/>
      <w:bookmarkEnd w:id="266"/>
      <w:bookmarkStart w:id="267" w:name="_Toc184310307"/>
      <w:bookmarkEnd w:id="267"/>
      <w:bookmarkStart w:id="268" w:name="_Toc184313238"/>
      <w:bookmarkEnd w:id="268"/>
      <w:bookmarkStart w:id="269" w:name="_Toc184310300"/>
      <w:bookmarkEnd w:id="269"/>
      <w:bookmarkStart w:id="270" w:name="_Toc184310301"/>
      <w:bookmarkEnd w:id="270"/>
      <w:bookmarkStart w:id="271" w:name="_Toc184314419"/>
      <w:bookmarkEnd w:id="271"/>
      <w:bookmarkStart w:id="272" w:name="_Toc184310343"/>
      <w:bookmarkEnd w:id="272"/>
      <w:bookmarkStart w:id="273" w:name="_Toc184313295"/>
      <w:bookmarkEnd w:id="273"/>
      <w:bookmarkStart w:id="274" w:name="_Toc184313272"/>
      <w:bookmarkEnd w:id="274"/>
      <w:bookmarkStart w:id="275" w:name="_Toc184312070"/>
      <w:bookmarkEnd w:id="275"/>
      <w:bookmarkStart w:id="276" w:name="_Toc184312131"/>
      <w:bookmarkEnd w:id="276"/>
      <w:bookmarkStart w:id="277" w:name="_Toc184313269"/>
      <w:bookmarkEnd w:id="277"/>
      <w:bookmarkStart w:id="278" w:name="_Toc184314482"/>
      <w:bookmarkEnd w:id="278"/>
      <w:bookmarkStart w:id="279" w:name="_Toc184313268"/>
      <w:bookmarkEnd w:id="279"/>
      <w:bookmarkStart w:id="280" w:name="_Toc184310284"/>
      <w:bookmarkEnd w:id="280"/>
      <w:bookmarkStart w:id="281" w:name="_Toc184313254"/>
      <w:bookmarkEnd w:id="281"/>
      <w:bookmarkStart w:id="282" w:name="_Toc184310305"/>
      <w:bookmarkEnd w:id="282"/>
      <w:bookmarkStart w:id="283" w:name="_Toc184314456"/>
      <w:bookmarkEnd w:id="283"/>
      <w:bookmarkStart w:id="284" w:name="_Toc184312098"/>
      <w:bookmarkEnd w:id="284"/>
      <w:bookmarkStart w:id="285" w:name="_Toc184313303"/>
      <w:bookmarkEnd w:id="285"/>
      <w:bookmarkStart w:id="286" w:name="_Toc184310288"/>
      <w:bookmarkEnd w:id="286"/>
      <w:bookmarkStart w:id="287" w:name="_Toc184312100"/>
      <w:bookmarkEnd w:id="287"/>
      <w:bookmarkStart w:id="288" w:name="_Toc184312084"/>
      <w:bookmarkEnd w:id="288"/>
      <w:bookmarkStart w:id="289" w:name="_Toc184312101"/>
      <w:bookmarkEnd w:id="289"/>
      <w:bookmarkStart w:id="290" w:name="_Toc184313256"/>
      <w:bookmarkEnd w:id="290"/>
      <w:bookmarkStart w:id="291" w:name="_Toc184312103"/>
      <w:bookmarkEnd w:id="291"/>
      <w:bookmarkStart w:id="292" w:name="_Toc184308064"/>
      <w:bookmarkEnd w:id="292"/>
      <w:bookmarkStart w:id="293" w:name="_Toc184312083"/>
      <w:bookmarkEnd w:id="293"/>
      <w:bookmarkStart w:id="294" w:name="_Toc184308061"/>
      <w:bookmarkEnd w:id="294"/>
      <w:bookmarkStart w:id="295" w:name="_Toc184312081"/>
      <w:bookmarkEnd w:id="295"/>
      <w:bookmarkStart w:id="296" w:name="_Toc184308070"/>
      <w:bookmarkEnd w:id="296"/>
      <w:bookmarkStart w:id="297" w:name="_Toc184314447"/>
      <w:bookmarkEnd w:id="297"/>
      <w:bookmarkStart w:id="298" w:name="_Toc184313267"/>
      <w:bookmarkEnd w:id="298"/>
      <w:bookmarkStart w:id="299" w:name="_Toc184310315"/>
      <w:bookmarkEnd w:id="299"/>
      <w:bookmarkStart w:id="300" w:name="_Toc184308084"/>
      <w:bookmarkEnd w:id="300"/>
      <w:bookmarkStart w:id="301" w:name="_Toc184310311"/>
      <w:bookmarkEnd w:id="301"/>
      <w:bookmarkStart w:id="302" w:name="_Toc184314439"/>
      <w:bookmarkEnd w:id="302"/>
      <w:bookmarkStart w:id="303" w:name="_Toc184308066"/>
      <w:bookmarkEnd w:id="303"/>
      <w:bookmarkStart w:id="304" w:name="_Toc184308047"/>
      <w:bookmarkEnd w:id="304"/>
      <w:bookmarkStart w:id="305" w:name="_Toc184310322"/>
      <w:bookmarkEnd w:id="305"/>
      <w:bookmarkStart w:id="306" w:name="_Toc184308053"/>
      <w:bookmarkEnd w:id="306"/>
      <w:bookmarkStart w:id="307" w:name="_Toc184314475"/>
      <w:bookmarkEnd w:id="307"/>
      <w:bookmarkStart w:id="308" w:name="_Toc184308057"/>
      <w:bookmarkEnd w:id="308"/>
      <w:bookmarkStart w:id="309" w:name="_Toc184308078"/>
      <w:bookmarkEnd w:id="309"/>
      <w:bookmarkStart w:id="310" w:name="_Toc184308081"/>
      <w:bookmarkEnd w:id="310"/>
      <w:bookmarkStart w:id="311" w:name="_Toc184310310"/>
      <w:bookmarkEnd w:id="311"/>
      <w:bookmarkStart w:id="312" w:name="_Toc184313307"/>
      <w:bookmarkEnd w:id="312"/>
      <w:bookmarkStart w:id="313" w:name="_Toc184308052"/>
      <w:bookmarkEnd w:id="313"/>
      <w:bookmarkStart w:id="314" w:name="_Toc184310314"/>
      <w:bookmarkEnd w:id="314"/>
      <w:bookmarkStart w:id="315" w:name="_Toc184308056"/>
      <w:bookmarkEnd w:id="315"/>
      <w:bookmarkStart w:id="316" w:name="_Toc184312068"/>
      <w:bookmarkEnd w:id="316"/>
      <w:bookmarkStart w:id="317" w:name="_Toc184310317"/>
      <w:bookmarkEnd w:id="317"/>
      <w:bookmarkStart w:id="318" w:name="_Toc184308040"/>
      <w:bookmarkEnd w:id="318"/>
      <w:bookmarkStart w:id="319" w:name="_Toc184308039"/>
      <w:bookmarkEnd w:id="319"/>
      <w:bookmarkStart w:id="320" w:name="_Toc184313277"/>
      <w:bookmarkEnd w:id="320"/>
      <w:bookmarkStart w:id="321" w:name="_Toc184310293"/>
      <w:bookmarkEnd w:id="321"/>
      <w:bookmarkStart w:id="322" w:name="_Toc184312087"/>
      <w:bookmarkEnd w:id="322"/>
      <w:bookmarkStart w:id="323" w:name="_Toc184312106"/>
      <w:bookmarkEnd w:id="323"/>
      <w:bookmarkStart w:id="324" w:name="_Toc184314434"/>
      <w:bookmarkEnd w:id="324"/>
      <w:bookmarkStart w:id="325" w:name="_Toc184310341"/>
      <w:bookmarkEnd w:id="325"/>
      <w:bookmarkStart w:id="326" w:name="_Toc184308055"/>
      <w:bookmarkEnd w:id="326"/>
      <w:bookmarkStart w:id="327" w:name="_Toc184310273"/>
      <w:bookmarkEnd w:id="327"/>
      <w:bookmarkStart w:id="328" w:name="_Toc184308067"/>
      <w:bookmarkEnd w:id="328"/>
      <w:bookmarkStart w:id="329" w:name="_Toc184312135"/>
      <w:bookmarkEnd w:id="329"/>
      <w:bookmarkStart w:id="330" w:name="_Toc184310337"/>
      <w:bookmarkEnd w:id="330"/>
      <w:bookmarkStart w:id="331" w:name="_Toc184312097"/>
      <w:bookmarkEnd w:id="331"/>
      <w:bookmarkStart w:id="332" w:name="_Toc184312095"/>
      <w:bookmarkEnd w:id="332"/>
      <w:bookmarkStart w:id="333" w:name="_Toc184312139"/>
      <w:bookmarkEnd w:id="333"/>
      <w:bookmarkStart w:id="334" w:name="_Toc184314430"/>
      <w:bookmarkEnd w:id="334"/>
      <w:bookmarkStart w:id="335" w:name="_Toc184308065"/>
      <w:bookmarkEnd w:id="335"/>
      <w:bookmarkStart w:id="336" w:name="_Toc184310281"/>
      <w:bookmarkEnd w:id="336"/>
      <w:bookmarkStart w:id="337" w:name="_Toc184313266"/>
      <w:bookmarkEnd w:id="337"/>
      <w:bookmarkStart w:id="338" w:name="_Toc184313255"/>
      <w:bookmarkEnd w:id="338"/>
      <w:bookmarkStart w:id="339" w:name="_Toc184314432"/>
      <w:bookmarkEnd w:id="339"/>
      <w:bookmarkStart w:id="340" w:name="_Toc184312069"/>
      <w:bookmarkEnd w:id="340"/>
      <w:bookmarkStart w:id="341" w:name="_Toc184313259"/>
      <w:bookmarkEnd w:id="341"/>
      <w:bookmarkStart w:id="342" w:name="_Toc184313271"/>
      <w:bookmarkEnd w:id="342"/>
      <w:bookmarkStart w:id="343" w:name="_Toc184310282"/>
      <w:bookmarkEnd w:id="343"/>
      <w:bookmarkStart w:id="344" w:name="_Toc184313251"/>
      <w:bookmarkEnd w:id="344"/>
      <w:bookmarkStart w:id="345" w:name="_Toc184312085"/>
      <w:bookmarkEnd w:id="345"/>
      <w:bookmarkStart w:id="346" w:name="_Toc184312115"/>
      <w:bookmarkEnd w:id="346"/>
      <w:bookmarkStart w:id="347" w:name="_Toc184314438"/>
      <w:bookmarkEnd w:id="347"/>
      <w:bookmarkStart w:id="348" w:name="_Toc184314459"/>
      <w:bookmarkEnd w:id="348"/>
      <w:bookmarkStart w:id="349" w:name="_Toc184313292"/>
      <w:bookmarkEnd w:id="349"/>
      <w:bookmarkStart w:id="350" w:name="_Toc184310296"/>
      <w:bookmarkEnd w:id="350"/>
      <w:bookmarkStart w:id="351" w:name="_Toc184313280"/>
      <w:bookmarkEnd w:id="351"/>
      <w:bookmarkStart w:id="352" w:name="_Toc184314478"/>
      <w:bookmarkEnd w:id="352"/>
      <w:bookmarkStart w:id="353" w:name="_Toc184312067"/>
      <w:bookmarkEnd w:id="353"/>
      <w:bookmarkStart w:id="354" w:name="_Toc184312094"/>
      <w:bookmarkEnd w:id="354"/>
      <w:bookmarkStart w:id="355" w:name="_Toc184313262"/>
      <w:bookmarkEnd w:id="355"/>
      <w:bookmarkStart w:id="356" w:name="_Toc184314450"/>
      <w:bookmarkEnd w:id="356"/>
      <w:bookmarkStart w:id="357" w:name="_Toc184308058"/>
      <w:bookmarkEnd w:id="357"/>
      <w:bookmarkStart w:id="358" w:name="_Toc184312112"/>
      <w:bookmarkEnd w:id="358"/>
      <w:bookmarkStart w:id="359" w:name="_Toc184313287"/>
      <w:bookmarkEnd w:id="359"/>
      <w:bookmarkStart w:id="360" w:name="_Toc184308054"/>
      <w:bookmarkEnd w:id="360"/>
      <w:bookmarkStart w:id="361" w:name="_Toc184310291"/>
      <w:bookmarkEnd w:id="361"/>
      <w:bookmarkStart w:id="362" w:name="_Toc184313281"/>
      <w:bookmarkEnd w:id="362"/>
      <w:bookmarkStart w:id="363" w:name="_Toc184310298"/>
      <w:bookmarkEnd w:id="363"/>
      <w:bookmarkStart w:id="364" w:name="_Toc184308074"/>
      <w:bookmarkEnd w:id="364"/>
      <w:bookmarkStart w:id="365" w:name="_Toc184310336"/>
      <w:bookmarkEnd w:id="365"/>
      <w:bookmarkStart w:id="366" w:name="_Toc184308049"/>
      <w:bookmarkEnd w:id="366"/>
      <w:bookmarkStart w:id="367" w:name="_Toc184310297"/>
      <w:bookmarkEnd w:id="367"/>
      <w:bookmarkStart w:id="368" w:name="_Toc184312088"/>
      <w:bookmarkEnd w:id="368"/>
      <w:bookmarkStart w:id="369" w:name="_Toc184310289"/>
      <w:bookmarkEnd w:id="369"/>
      <w:bookmarkStart w:id="370" w:name="_Toc184312086"/>
      <w:bookmarkEnd w:id="370"/>
      <w:bookmarkStart w:id="371" w:name="_Toc184314449"/>
      <w:bookmarkEnd w:id="371"/>
      <w:bookmarkStart w:id="372" w:name="_Toc184312117"/>
      <w:bookmarkEnd w:id="372"/>
      <w:bookmarkStart w:id="373" w:name="_Toc184313263"/>
      <w:bookmarkEnd w:id="373"/>
      <w:bookmarkStart w:id="374" w:name="_Toc184310292"/>
      <w:bookmarkEnd w:id="374"/>
      <w:bookmarkStart w:id="375" w:name="_Toc184313275"/>
      <w:bookmarkEnd w:id="375"/>
      <w:bookmarkStart w:id="376" w:name="_Toc184314431"/>
      <w:bookmarkEnd w:id="376"/>
      <w:bookmarkStart w:id="377" w:name="_Toc184314458"/>
      <w:bookmarkEnd w:id="377"/>
      <w:bookmarkStart w:id="378" w:name="_Toc184313306"/>
      <w:bookmarkEnd w:id="378"/>
      <w:bookmarkStart w:id="379" w:name="_Toc184314454"/>
      <w:bookmarkEnd w:id="379"/>
      <w:bookmarkStart w:id="380" w:name="_Toc184314429"/>
      <w:bookmarkEnd w:id="380"/>
      <w:bookmarkStart w:id="381" w:name="_Toc184314455"/>
      <w:bookmarkEnd w:id="381"/>
      <w:bookmarkStart w:id="382" w:name="_Toc184310275"/>
      <w:bookmarkEnd w:id="382"/>
      <w:bookmarkStart w:id="383" w:name="_Toc184313253"/>
      <w:bookmarkEnd w:id="383"/>
      <w:bookmarkStart w:id="384" w:name="_Toc184312116"/>
      <w:bookmarkEnd w:id="384"/>
      <w:bookmarkStart w:id="385" w:name="_Toc184310299"/>
      <w:bookmarkEnd w:id="385"/>
      <w:bookmarkStart w:id="386" w:name="_Toc184308101"/>
      <w:bookmarkEnd w:id="386"/>
      <w:bookmarkStart w:id="387" w:name="_Toc184314428"/>
      <w:bookmarkEnd w:id="387"/>
      <w:bookmarkStart w:id="388" w:name="_Toc184314413"/>
      <w:bookmarkEnd w:id="388"/>
      <w:bookmarkStart w:id="389" w:name="_Toc184314446"/>
      <w:bookmarkEnd w:id="389"/>
      <w:bookmarkStart w:id="390" w:name="_Toc184313298"/>
      <w:bookmarkEnd w:id="390"/>
      <w:bookmarkStart w:id="391" w:name="_Toc184314467"/>
      <w:bookmarkEnd w:id="391"/>
      <w:bookmarkStart w:id="392" w:name="_Toc184312137"/>
      <w:bookmarkEnd w:id="392"/>
      <w:r>
        <w:rPr>
          <w:rFonts w:hint="eastAsia" w:ascii="仿宋" w:hAnsi="仿宋" w:eastAsia="仿宋" w:cs="仿宋_GB2312"/>
          <w:b/>
          <w:sz w:val="36"/>
          <w:szCs w:val="36"/>
        </w:rPr>
        <w:t>评标办法</w:t>
      </w:r>
    </w:p>
    <w:p>
      <w:pPr>
        <w:snapToGrid w:val="0"/>
        <w:spacing w:line="360" w:lineRule="auto"/>
        <w:jc w:val="center"/>
        <w:rPr>
          <w:rFonts w:hint="eastAsia" w:ascii="仿宋" w:hAnsi="仿宋" w:eastAsia="仿宋" w:cs="仿宋_GB2312"/>
          <w:b/>
          <w:color w:val="000000"/>
          <w:sz w:val="32"/>
          <w:szCs w:val="20"/>
        </w:rPr>
      </w:pPr>
      <w:r>
        <w:rPr>
          <w:rFonts w:hint="eastAsia" w:ascii="仿宋" w:hAnsi="仿宋" w:eastAsia="仿宋" w:cs="仿宋_GB2312"/>
          <w:b/>
          <w:color w:val="000000"/>
          <w:sz w:val="32"/>
          <w:szCs w:val="20"/>
        </w:rPr>
        <w:t>评标办法前附表</w:t>
      </w:r>
    </w:p>
    <w:p>
      <w:pPr>
        <w:adjustRightInd/>
        <w:spacing w:line="440" w:lineRule="exact"/>
        <w:ind w:firstLine="602" w:firstLineChars="250"/>
        <w:rPr>
          <w:rFonts w:hint="eastAsia" w:ascii="仿宋" w:hAnsi="仿宋" w:eastAsia="仿宋"/>
          <w:b/>
          <w:bCs/>
          <w:color w:val="000000"/>
          <w:sz w:val="24"/>
        </w:rPr>
      </w:pPr>
      <w:r>
        <w:rPr>
          <w:rFonts w:hint="eastAsia" w:ascii="仿宋" w:hAnsi="仿宋" w:eastAsia="仿宋"/>
          <w:b/>
          <w:bCs/>
          <w:color w:val="000000"/>
          <w:sz w:val="24"/>
          <w:lang w:val="en-US" w:eastAsia="zh-CN"/>
        </w:rPr>
        <w:t>价格分</w:t>
      </w:r>
      <w:r>
        <w:rPr>
          <w:rFonts w:hint="eastAsia" w:ascii="仿宋" w:hAnsi="仿宋" w:eastAsia="仿宋"/>
          <w:b/>
          <w:bCs/>
          <w:color w:val="000000"/>
          <w:sz w:val="24"/>
        </w:rPr>
        <w:t>（</w:t>
      </w:r>
      <w:r>
        <w:rPr>
          <w:rFonts w:hint="eastAsia" w:ascii="仿宋" w:hAnsi="仿宋" w:eastAsia="仿宋"/>
          <w:b/>
          <w:bCs/>
          <w:color w:val="000000"/>
          <w:sz w:val="24"/>
          <w:lang w:val="en-US" w:eastAsia="zh-CN"/>
        </w:rPr>
        <w:t>30</w:t>
      </w:r>
      <w:r>
        <w:rPr>
          <w:rFonts w:hint="eastAsia" w:ascii="仿宋" w:hAnsi="仿宋" w:eastAsia="仿宋"/>
          <w:b/>
          <w:bCs/>
          <w:color w:val="000000"/>
          <w:sz w:val="24"/>
        </w:rPr>
        <w:t>分）：</w:t>
      </w:r>
    </w:p>
    <w:tbl>
      <w:tblPr>
        <w:tblStyle w:val="63"/>
        <w:tblpPr w:leftFromText="180" w:rightFromText="180" w:vertAnchor="text" w:horzAnchor="margin" w:tblpX="-619" w:tblpY="276"/>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7582"/>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1281" w:type="dxa"/>
            <w:vAlign w:val="center"/>
          </w:tcPr>
          <w:p>
            <w:pPr>
              <w:spacing w:before="0" w:beforeAutospacing="0" w:after="0" w:afterAutospacing="0" w:line="360" w:lineRule="auto"/>
              <w:ind w:left="0" w:right="0"/>
              <w:outlineLvl w:val="0"/>
              <w:rPr>
                <w:rFonts w:hint="eastAsia" w:ascii="仿宋" w:hAnsi="仿宋" w:eastAsia="仿宋" w:cs="仿宋_GB2312"/>
                <w:color w:val="000000"/>
                <w:sz w:val="24"/>
                <w:szCs w:val="20"/>
              </w:rPr>
            </w:pPr>
            <w:r>
              <w:rPr>
                <w:rFonts w:hint="eastAsia" w:ascii="仿宋" w:hAnsi="仿宋" w:eastAsia="仿宋" w:cs="仿宋_GB2312"/>
                <w:color w:val="000000"/>
                <w:sz w:val="24"/>
                <w:szCs w:val="20"/>
              </w:rPr>
              <w:t>价格分</w:t>
            </w:r>
          </w:p>
        </w:tc>
        <w:tc>
          <w:tcPr>
            <w:tcW w:w="7582" w:type="dxa"/>
            <w:vAlign w:val="top"/>
          </w:tcPr>
          <w:p>
            <w:pPr>
              <w:spacing w:before="0" w:beforeAutospacing="0" w:after="0" w:afterAutospacing="0" w:line="360" w:lineRule="auto"/>
              <w:ind w:left="0" w:right="0"/>
              <w:outlineLvl w:val="0"/>
              <w:rPr>
                <w:rFonts w:hint="eastAsia" w:ascii="仿宋" w:hAnsi="仿宋" w:eastAsia="仿宋" w:cs="仿宋_GB2312"/>
                <w:color w:val="000000"/>
                <w:sz w:val="24"/>
                <w:szCs w:val="20"/>
              </w:rPr>
            </w:pPr>
            <w:r>
              <w:rPr>
                <w:rFonts w:hint="eastAsia" w:ascii="仿宋" w:hAnsi="仿宋" w:eastAsia="仿宋" w:cs="仿宋_GB2312"/>
                <w:color w:val="000000"/>
                <w:sz w:val="24"/>
                <w:szCs w:val="20"/>
              </w:rPr>
              <w:t>有效投标报价的最低价作为评标基准价，其最低报价为满分；按［投标报价得分=（评标基准价/投标报价）*30］的计算公式计算。</w:t>
            </w:r>
          </w:p>
          <w:p>
            <w:pPr>
              <w:widowControl/>
              <w:shd w:val="clear" w:color="auto" w:fill="FFFFFF"/>
              <w:adjustRightInd/>
              <w:spacing w:before="0" w:beforeAutospacing="0" w:after="225" w:afterAutospacing="0" w:line="315" w:lineRule="atLeast"/>
              <w:ind w:left="0" w:right="0" w:firstLine="420"/>
              <w:jc w:val="left"/>
              <w:rPr>
                <w:rFonts w:hint="eastAsia" w:ascii="仿宋" w:hAnsi="仿宋" w:eastAsia="仿宋" w:cs="仿宋_GB2312"/>
                <w:color w:val="000000"/>
                <w:sz w:val="24"/>
                <w:szCs w:val="20"/>
              </w:rPr>
            </w:pPr>
            <w:r>
              <w:rPr>
                <w:rFonts w:hint="eastAsia" w:ascii="仿宋" w:hAnsi="仿宋" w:eastAsia="仿宋" w:cs="仿宋_GB2312"/>
                <w:color w:val="000000"/>
                <w:sz w:val="24"/>
                <w:szCs w:val="20"/>
              </w:rPr>
              <w:t>评标过程中，不得去掉报价中的最高报价和最低报价。</w:t>
            </w:r>
          </w:p>
          <w:p>
            <w:pPr>
              <w:widowControl/>
              <w:shd w:val="clear" w:color="auto" w:fill="FFFFFF"/>
              <w:adjustRightInd/>
              <w:spacing w:before="0" w:beforeAutospacing="0" w:after="225" w:afterAutospacing="0" w:line="315" w:lineRule="atLeast"/>
              <w:ind w:left="0" w:right="0" w:firstLine="420"/>
              <w:jc w:val="left"/>
              <w:rPr>
                <w:rFonts w:hint="eastAsia" w:ascii="仿宋" w:hAnsi="Times New Roman" w:eastAsia="仿宋" w:cs="Times New Roman"/>
                <w:color w:val="000000"/>
                <w:sz w:val="24"/>
                <w:szCs w:val="20"/>
              </w:rPr>
            </w:pPr>
            <w:r>
              <w:rPr>
                <w:rFonts w:hint="eastAsia" w:ascii="仿宋" w:hAnsi="仿宋" w:eastAsia="仿宋" w:cs="仿宋_GB2312"/>
                <w:color w:val="000000"/>
                <w:sz w:val="24"/>
                <w:szCs w:val="20"/>
              </w:rPr>
              <w:t>因落实政府采购政策需要进行价格调整的，以调整后的价格计算评标基准价和投标报价。</w:t>
            </w:r>
          </w:p>
        </w:tc>
        <w:tc>
          <w:tcPr>
            <w:tcW w:w="873" w:type="dxa"/>
            <w:vAlign w:val="center"/>
          </w:tcPr>
          <w:p>
            <w:pPr>
              <w:spacing w:before="0" w:beforeAutospacing="0" w:after="0" w:afterAutospacing="0" w:line="360" w:lineRule="auto"/>
              <w:ind w:left="0" w:right="0" w:firstLine="120" w:firstLineChars="50"/>
              <w:outlineLvl w:val="0"/>
              <w:rPr>
                <w:rFonts w:hint="eastAsia" w:ascii="仿宋" w:hAnsi="仿宋" w:eastAsia="仿宋" w:cs="仿宋_GB2312"/>
                <w:color w:val="000000"/>
                <w:sz w:val="24"/>
                <w:szCs w:val="20"/>
              </w:rPr>
            </w:pPr>
            <w:r>
              <w:rPr>
                <w:rFonts w:hint="eastAsia" w:ascii="仿宋" w:hAnsi="仿宋" w:eastAsia="仿宋" w:cs="仿宋_GB2312"/>
                <w:color w:val="000000"/>
                <w:sz w:val="24"/>
                <w:szCs w:val="20"/>
              </w:rPr>
              <w:t>30分</w:t>
            </w:r>
          </w:p>
        </w:tc>
      </w:tr>
    </w:tbl>
    <w:p>
      <w:pPr>
        <w:adjustRightInd/>
        <w:spacing w:line="440" w:lineRule="exact"/>
        <w:rPr>
          <w:rFonts w:hint="eastAsia" w:ascii="仿宋" w:hAnsi="仿宋" w:eastAsia="仿宋"/>
          <w:b/>
          <w:bCs/>
          <w:color w:val="000000"/>
          <w:sz w:val="24"/>
        </w:rPr>
      </w:pPr>
    </w:p>
    <w:p>
      <w:pPr>
        <w:adjustRightInd/>
        <w:spacing w:line="440" w:lineRule="exact"/>
        <w:ind w:firstLine="602" w:firstLineChars="250"/>
        <w:rPr>
          <w:rFonts w:ascii="仿宋" w:hAnsi="仿宋" w:eastAsia="仿宋"/>
          <w:b/>
          <w:bCs/>
          <w:color w:val="000000"/>
          <w:sz w:val="24"/>
        </w:rPr>
      </w:pPr>
      <w:r>
        <w:rPr>
          <w:rFonts w:hint="eastAsia" w:ascii="仿宋" w:hAnsi="仿宋" w:eastAsia="仿宋"/>
          <w:b/>
          <w:bCs/>
          <w:color w:val="000000"/>
          <w:sz w:val="24"/>
        </w:rPr>
        <w:t>技术分（</w:t>
      </w:r>
      <w:r>
        <w:rPr>
          <w:rFonts w:hint="eastAsia" w:ascii="仿宋" w:hAnsi="仿宋" w:eastAsia="仿宋"/>
          <w:b/>
          <w:bCs/>
          <w:color w:val="000000"/>
          <w:sz w:val="24"/>
          <w:lang w:val="en-US" w:eastAsia="zh-CN"/>
        </w:rPr>
        <w:t>53</w:t>
      </w:r>
      <w:r>
        <w:rPr>
          <w:rFonts w:hint="eastAsia" w:ascii="仿宋" w:hAnsi="仿宋" w:eastAsia="仿宋"/>
          <w:b/>
          <w:bCs/>
          <w:color w:val="000000"/>
          <w:sz w:val="24"/>
        </w:rPr>
        <w:t>分）：</w:t>
      </w:r>
    </w:p>
    <w:tbl>
      <w:tblPr>
        <w:tblStyle w:val="63"/>
        <w:tblW w:w="96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7"/>
        <w:gridCol w:w="7601"/>
        <w:gridCol w:w="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47" w:type="dxa"/>
            <w:tcBorders>
              <w:top w:val="single" w:color="000000" w:sz="4" w:space="0"/>
              <w:left w:val="single" w:color="000000" w:sz="4" w:space="0"/>
              <w:bottom w:val="single" w:color="000000" w:sz="4" w:space="0"/>
              <w:right w:val="single" w:color="000000" w:sz="4" w:space="0"/>
            </w:tcBorders>
            <w:vAlign w:val="top"/>
          </w:tcPr>
          <w:p>
            <w:pPr>
              <w:spacing w:before="0" w:beforeAutospacing="0" w:after="0" w:afterAutospacing="0" w:line="400" w:lineRule="exact"/>
              <w:ind w:left="0" w:right="0"/>
              <w:rPr>
                <w:rFonts w:hint="eastAsia" w:ascii="仿宋" w:hAnsi="仿宋" w:eastAsia="仿宋" w:cs="仿宋"/>
                <w:b/>
                <w:bCs/>
                <w:color w:val="000000"/>
                <w:sz w:val="24"/>
                <w:szCs w:val="24"/>
              </w:rPr>
            </w:pPr>
            <w:bookmarkStart w:id="393" w:name="scoringRules2"/>
            <w:r>
              <w:rPr>
                <w:rFonts w:hint="eastAsia" w:ascii="仿宋" w:hAnsi="仿宋" w:eastAsia="仿宋" w:cs="仿宋"/>
                <w:b/>
                <w:bCs/>
                <w:color w:val="000000"/>
                <w:sz w:val="24"/>
                <w:szCs w:val="24"/>
              </w:rPr>
              <w:t>评分细则</w:t>
            </w:r>
            <w:bookmarkEnd w:id="393"/>
          </w:p>
        </w:tc>
        <w:tc>
          <w:tcPr>
            <w:tcW w:w="7601" w:type="dxa"/>
            <w:tcBorders>
              <w:top w:val="single" w:color="000000" w:sz="4" w:space="0"/>
              <w:left w:val="nil"/>
              <w:bottom w:val="single" w:color="000000" w:sz="4" w:space="0"/>
              <w:right w:val="single" w:color="000000" w:sz="4" w:space="0"/>
            </w:tcBorders>
            <w:vAlign w:val="top"/>
          </w:tcPr>
          <w:p>
            <w:pPr>
              <w:spacing w:before="0" w:beforeAutospacing="0" w:after="0" w:afterAutospacing="0" w:line="400" w:lineRule="exact"/>
              <w:ind w:left="0" w:right="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评分细则内容</w:t>
            </w:r>
          </w:p>
        </w:tc>
        <w:tc>
          <w:tcPr>
            <w:tcW w:w="845" w:type="dxa"/>
            <w:tcBorders>
              <w:top w:val="single" w:color="000000" w:sz="4" w:space="0"/>
              <w:left w:val="nil"/>
              <w:bottom w:val="single" w:color="000000" w:sz="4" w:space="0"/>
              <w:right w:val="single" w:color="000000" w:sz="4" w:space="0"/>
            </w:tcBorders>
            <w:vAlign w:val="top"/>
          </w:tcPr>
          <w:p>
            <w:pPr>
              <w:spacing w:before="0" w:beforeAutospacing="0" w:after="0" w:afterAutospacing="0" w:line="400" w:lineRule="exact"/>
              <w:ind w:left="0" w:right="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分值(分)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4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60" w:lineRule="exac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方案</w:t>
            </w:r>
            <w:r>
              <w:rPr>
                <w:rFonts w:hint="eastAsia" w:ascii="仿宋" w:hAnsi="仿宋" w:eastAsia="仿宋" w:cs="仿宋"/>
                <w:color w:val="auto"/>
                <w:sz w:val="24"/>
                <w:szCs w:val="24"/>
                <w:lang w:val="en-US" w:eastAsia="zh-CN"/>
              </w:rPr>
              <w:t>深化</w:t>
            </w:r>
            <w:r>
              <w:rPr>
                <w:rFonts w:hint="eastAsia" w:ascii="仿宋" w:hAnsi="仿宋" w:eastAsia="仿宋" w:cs="仿宋"/>
                <w:color w:val="auto"/>
                <w:sz w:val="24"/>
                <w:szCs w:val="24"/>
              </w:rPr>
              <w:t>设计</w:t>
            </w:r>
          </w:p>
        </w:tc>
        <w:tc>
          <w:tcPr>
            <w:tcW w:w="7601" w:type="dxa"/>
            <w:tcBorders>
              <w:top w:val="single" w:color="000000" w:sz="4" w:space="0"/>
              <w:left w:val="nil"/>
              <w:bottom w:val="single" w:color="000000" w:sz="4" w:space="0"/>
              <w:right w:val="single" w:color="000000" w:sz="4" w:space="0"/>
            </w:tcBorders>
            <w:vAlign w:val="center"/>
          </w:tcPr>
          <w:p>
            <w:pPr>
              <w:spacing w:before="0" w:beforeAutospacing="0" w:after="0" w:afterAutospacing="0" w:line="460" w:lineRule="exac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图纸设计全面且分类清楚，图面整洁，且文字表达清晰条理；各系统配置合理，功能满足招标要求，</w:t>
            </w:r>
            <w:r>
              <w:rPr>
                <w:rFonts w:hint="eastAsia" w:ascii="仿宋" w:hAnsi="仿宋" w:eastAsia="仿宋" w:cs="仿宋"/>
                <w:color w:val="auto"/>
                <w:sz w:val="24"/>
                <w:szCs w:val="24"/>
                <w:highlight w:val="none"/>
                <w:lang w:eastAsia="zh-CN"/>
              </w:rPr>
              <w:t>符合要求的得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lang w:val="en-US" w:eastAsia="zh-CN"/>
              </w:rPr>
              <w:t>基本</w:t>
            </w:r>
            <w:r>
              <w:rPr>
                <w:rFonts w:hint="eastAsia" w:ascii="仿宋" w:hAnsi="仿宋" w:eastAsia="仿宋" w:cs="仿宋"/>
                <w:color w:val="auto"/>
                <w:sz w:val="24"/>
                <w:szCs w:val="24"/>
                <w:highlight w:val="none"/>
                <w:lang w:eastAsia="zh-CN"/>
              </w:rPr>
              <w:t>符合要求的得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分，部分符合要求的得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分，不符合要求的</w:t>
            </w:r>
            <w:r>
              <w:rPr>
                <w:rFonts w:hint="eastAsia" w:ascii="仿宋" w:hAnsi="仿宋" w:eastAsia="仿宋" w:cs="仿宋"/>
                <w:color w:val="auto"/>
                <w:sz w:val="24"/>
                <w:szCs w:val="24"/>
                <w:highlight w:val="none"/>
                <w:lang w:val="en-US" w:eastAsia="zh-CN"/>
              </w:rPr>
              <w:t>不得分</w:t>
            </w:r>
            <w:r>
              <w:rPr>
                <w:rFonts w:hint="eastAsia" w:ascii="仿宋" w:hAnsi="仿宋" w:eastAsia="仿宋" w:cs="仿宋"/>
                <w:color w:val="auto"/>
                <w:sz w:val="24"/>
                <w:szCs w:val="24"/>
                <w:highlight w:val="none"/>
                <w:lang w:eastAsia="zh-CN"/>
              </w:rPr>
              <w:t>。</w:t>
            </w:r>
          </w:p>
        </w:tc>
        <w:tc>
          <w:tcPr>
            <w:tcW w:w="845" w:type="dxa"/>
            <w:tcBorders>
              <w:top w:val="single" w:color="000000" w:sz="4" w:space="0"/>
              <w:left w:val="nil"/>
              <w:bottom w:val="single" w:color="000000" w:sz="4" w:space="0"/>
              <w:right w:val="single" w:color="000000" w:sz="4" w:space="0"/>
            </w:tcBorders>
            <w:vAlign w:val="center"/>
          </w:tcPr>
          <w:p>
            <w:pPr>
              <w:spacing w:before="0" w:beforeAutospacing="0" w:after="0" w:afterAutospacing="0" w:line="4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1247" w:type="dxa"/>
            <w:tcBorders>
              <w:top w:val="single" w:color="000000" w:sz="4" w:space="0"/>
              <w:left w:val="single" w:color="000000" w:sz="4" w:space="0"/>
              <w:bottom w:val="single" w:color="000000" w:sz="4" w:space="0"/>
              <w:right w:val="single" w:color="auto" w:sz="4" w:space="0"/>
            </w:tcBorders>
            <w:vAlign w:val="center"/>
          </w:tcPr>
          <w:p>
            <w:pPr>
              <w:spacing w:before="0" w:beforeAutospacing="0" w:after="0" w:afterAutospacing="0" w:line="460" w:lineRule="exact"/>
              <w:ind w:left="0" w:right="0"/>
              <w:rPr>
                <w:rFonts w:hint="eastAsia" w:ascii="仿宋" w:hAnsi="仿宋" w:eastAsia="仿宋" w:cs="仿宋"/>
                <w:color w:val="000000"/>
                <w:sz w:val="24"/>
                <w:szCs w:val="24"/>
              </w:rPr>
            </w:pPr>
            <w:r>
              <w:rPr>
                <w:rFonts w:hint="eastAsia" w:ascii="仿宋" w:hAnsi="仿宋" w:eastAsia="仿宋" w:cs="仿宋"/>
                <w:sz w:val="24"/>
                <w:szCs w:val="24"/>
                <w:lang w:val="en-US" w:eastAsia="zh-CN"/>
              </w:rPr>
              <w:t>技术响应及产品配置</w:t>
            </w:r>
          </w:p>
        </w:tc>
        <w:tc>
          <w:tcPr>
            <w:tcW w:w="7601" w:type="dxa"/>
            <w:tcBorders>
              <w:top w:val="single" w:color="000000" w:sz="4" w:space="0"/>
              <w:left w:val="nil"/>
              <w:bottom w:val="single" w:color="auto" w:sz="4" w:space="0"/>
              <w:right w:val="single" w:color="000000" w:sz="4" w:space="0"/>
            </w:tcBorders>
            <w:vAlign w:val="center"/>
          </w:tcPr>
          <w:p>
            <w:pPr>
              <w:spacing w:before="0" w:beforeAutospacing="0" w:after="0" w:afterAutospacing="0" w:line="460" w:lineRule="exact"/>
              <w:ind w:left="0" w:right="0"/>
              <w:rPr>
                <w:rFonts w:hint="eastAsia" w:ascii="仿宋" w:hAnsi="仿宋" w:eastAsia="仿宋" w:cs="仿宋"/>
                <w:color w:val="000000"/>
                <w:sz w:val="24"/>
                <w:szCs w:val="24"/>
                <w:lang w:eastAsia="zh-CN"/>
              </w:rPr>
            </w:pPr>
            <w:r>
              <w:rPr>
                <w:rFonts w:hint="eastAsia" w:ascii="仿宋" w:hAnsi="仿宋" w:eastAsia="仿宋" w:cs="仿宋"/>
                <w:sz w:val="24"/>
                <w:szCs w:val="24"/>
              </w:rPr>
              <w:t>投标设备技术参数与招标要求的满足性及优劣性评审：投标设备技术参数完全满足招标文件技术要求的得基本分</w:t>
            </w:r>
            <w:r>
              <w:rPr>
                <w:rFonts w:hint="eastAsia" w:ascii="仿宋" w:hAnsi="仿宋" w:eastAsia="仿宋" w:cs="仿宋"/>
                <w:sz w:val="24"/>
                <w:szCs w:val="24"/>
                <w:lang w:val="en-US" w:eastAsia="zh-CN"/>
              </w:rPr>
              <w:t>7</w:t>
            </w:r>
            <w:r>
              <w:rPr>
                <w:rFonts w:hint="eastAsia" w:ascii="仿宋" w:hAnsi="仿宋" w:eastAsia="仿宋" w:cs="仿宋"/>
                <w:sz w:val="24"/>
                <w:szCs w:val="24"/>
              </w:rPr>
              <w:t>分；技术参数如有负偏离的，每项负偏离扣</w:t>
            </w:r>
            <w:r>
              <w:rPr>
                <w:rFonts w:hint="eastAsia" w:ascii="仿宋" w:hAnsi="仿宋" w:eastAsia="仿宋" w:cs="仿宋"/>
                <w:sz w:val="24"/>
                <w:szCs w:val="24"/>
                <w:lang w:val="en-US" w:eastAsia="zh-CN"/>
              </w:rPr>
              <w:t>1</w:t>
            </w:r>
            <w:r>
              <w:rPr>
                <w:rFonts w:hint="eastAsia" w:ascii="仿宋" w:hAnsi="仿宋" w:eastAsia="仿宋" w:cs="仿宋"/>
                <w:sz w:val="24"/>
                <w:szCs w:val="24"/>
              </w:rPr>
              <w:t>分</w:t>
            </w:r>
            <w:r>
              <w:rPr>
                <w:rFonts w:hint="eastAsia" w:ascii="仿宋" w:hAnsi="仿宋" w:eastAsia="仿宋" w:cs="仿宋"/>
                <w:sz w:val="24"/>
                <w:szCs w:val="24"/>
                <w:lang w:eastAsia="zh-CN"/>
              </w:rPr>
              <w:t>。</w:t>
            </w:r>
          </w:p>
        </w:tc>
        <w:tc>
          <w:tcPr>
            <w:tcW w:w="845" w:type="dxa"/>
            <w:tcBorders>
              <w:top w:val="single" w:color="000000" w:sz="4" w:space="0"/>
              <w:left w:val="nil"/>
              <w:bottom w:val="single" w:color="000000" w:sz="4" w:space="0"/>
              <w:right w:val="single" w:color="000000" w:sz="4" w:space="0"/>
            </w:tcBorders>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rPr>
            </w:pPr>
            <w:r>
              <w:rPr>
                <w:rFonts w:hint="eastAsia" w:ascii="仿宋" w:hAnsi="仿宋" w:eastAsia="仿宋" w:cs="仿宋"/>
                <w:sz w:val="24"/>
                <w:szCs w:val="24"/>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124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60" w:lineRule="exact"/>
              <w:ind w:left="0" w:right="0"/>
              <w:rPr>
                <w:rFonts w:hint="eastAsia" w:ascii="仿宋" w:hAnsi="仿宋" w:eastAsia="仿宋" w:cs="仿宋"/>
                <w:color w:val="000000"/>
                <w:sz w:val="24"/>
                <w:szCs w:val="24"/>
              </w:rPr>
            </w:pPr>
            <w:r>
              <w:rPr>
                <w:rFonts w:hint="eastAsia" w:ascii="仿宋" w:hAnsi="仿宋" w:eastAsia="仿宋" w:cs="仿宋"/>
                <w:sz w:val="24"/>
                <w:szCs w:val="24"/>
                <w:lang w:val="en-US" w:eastAsia="zh-CN"/>
              </w:rPr>
              <w:t>整机功能</w:t>
            </w:r>
          </w:p>
        </w:tc>
        <w:tc>
          <w:tcPr>
            <w:tcW w:w="7601" w:type="dxa"/>
            <w:tcBorders>
              <w:top w:val="single" w:color="000000" w:sz="4" w:space="0"/>
              <w:left w:val="nil"/>
              <w:bottom w:val="single" w:color="000000" w:sz="4" w:space="0"/>
              <w:right w:val="single" w:color="000000" w:sz="4" w:space="0"/>
            </w:tcBorders>
            <w:vAlign w:val="center"/>
          </w:tcPr>
          <w:p>
            <w:pPr>
              <w:spacing w:before="0" w:beforeAutospacing="0" w:after="0" w:afterAutospacing="0" w:line="460" w:lineRule="exact"/>
              <w:ind w:left="0" w:right="0"/>
              <w:rPr>
                <w:rFonts w:hint="eastAsia" w:ascii="仿宋" w:hAnsi="仿宋" w:eastAsia="仿宋" w:cs="仿宋"/>
                <w:b/>
                <w:bCs/>
                <w:sz w:val="24"/>
                <w:szCs w:val="24"/>
              </w:rPr>
            </w:pPr>
            <w:r>
              <w:rPr>
                <w:rFonts w:hint="eastAsia" w:ascii="仿宋" w:hAnsi="仿宋" w:eastAsia="仿宋" w:cs="仿宋"/>
                <w:b/>
                <w:bCs/>
                <w:sz w:val="24"/>
                <w:szCs w:val="24"/>
              </w:rPr>
              <w:t>停车设备系统制造工艺的先进性、</w:t>
            </w:r>
            <w:r>
              <w:rPr>
                <w:rFonts w:hint="eastAsia" w:ascii="仿宋" w:hAnsi="仿宋" w:eastAsia="仿宋" w:cs="仿宋"/>
                <w:b/>
                <w:bCs/>
                <w:sz w:val="24"/>
                <w:szCs w:val="24"/>
                <w:lang w:val="en-US" w:eastAsia="zh-CN"/>
              </w:rPr>
              <w:t>停车兼容性</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软件</w:t>
            </w:r>
            <w:r>
              <w:rPr>
                <w:rFonts w:hint="eastAsia" w:ascii="仿宋" w:hAnsi="仿宋" w:eastAsia="仿宋" w:cs="仿宋"/>
                <w:b/>
                <w:bCs/>
                <w:sz w:val="24"/>
                <w:szCs w:val="24"/>
              </w:rPr>
              <w:t>安全性等</w:t>
            </w:r>
            <w:r>
              <w:rPr>
                <w:rFonts w:hint="eastAsia" w:ascii="仿宋" w:hAnsi="仿宋" w:eastAsia="仿宋" w:cs="仿宋"/>
                <w:b/>
                <w:bCs/>
                <w:sz w:val="24"/>
                <w:szCs w:val="24"/>
                <w:lang w:val="en-US" w:eastAsia="zh-CN"/>
              </w:rPr>
              <w:t>方面进行</w:t>
            </w:r>
            <w:r>
              <w:rPr>
                <w:rFonts w:hint="eastAsia" w:ascii="仿宋" w:hAnsi="仿宋" w:eastAsia="仿宋" w:cs="仿宋"/>
                <w:b/>
                <w:bCs/>
                <w:sz w:val="24"/>
                <w:szCs w:val="24"/>
              </w:rPr>
              <w:t>评审，主要从以下方面进行评审：</w:t>
            </w:r>
          </w:p>
          <w:p>
            <w:pPr>
              <w:spacing w:before="0" w:beforeAutospacing="0" w:after="0" w:afterAutospacing="0" w:line="460" w:lineRule="exact"/>
              <w:ind w:left="0" w:right="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1、核心部件制作加工机械设备的先进性和自动化程度：针对本次招标的平面移动类产品，拥有工作台面积≥5800mm</w:t>
            </w:r>
            <w:r>
              <w:rPr>
                <w:rFonts w:hint="default" w:ascii="仿宋" w:hAnsi="仿宋" w:eastAsia="仿宋" w:cs="仿宋"/>
                <w:sz w:val="24"/>
                <w:szCs w:val="24"/>
                <w:lang w:val="en-US" w:eastAsia="zh-CN"/>
              </w:rPr>
              <w:t>×</w:t>
            </w:r>
            <w:r>
              <w:rPr>
                <w:rFonts w:hint="eastAsia" w:ascii="仿宋" w:hAnsi="仿宋" w:eastAsia="仿宋" w:cs="仿宋"/>
                <w:sz w:val="24"/>
                <w:szCs w:val="24"/>
                <w:lang w:val="en-US" w:eastAsia="zh-CN"/>
              </w:rPr>
              <w:t>2700mm的龙门五面体加工中心设备1分、核心部件自动化焊接线1分、涂装线1分（0-3分）。</w:t>
            </w:r>
          </w:p>
          <w:p>
            <w:pPr>
              <w:spacing w:before="0" w:beforeAutospacing="0" w:after="0" w:afterAutospacing="0" w:line="460" w:lineRule="exact"/>
              <w:ind w:left="0" w:right="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提供设备制造商相关的加工设备清单、照片、采购合同及部分采购发票扫描件加盖电子公章，否则不得分。</w:t>
            </w:r>
          </w:p>
          <w:p>
            <w:pPr>
              <w:spacing w:before="0" w:beforeAutospacing="0" w:after="0" w:afterAutospacing="0" w:line="460" w:lineRule="exact"/>
              <w:ind w:left="0" w:right="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2、机械手搬运器打开：</w:t>
            </w:r>
          </w:p>
          <w:p>
            <w:pPr>
              <w:spacing w:before="0" w:beforeAutospacing="0" w:after="0" w:afterAutospacing="0" w:line="460" w:lineRule="exact"/>
              <w:ind w:left="0" w:right="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臂展宽度＜1950mm，得0分；</w:t>
            </w:r>
          </w:p>
          <w:p>
            <w:pPr>
              <w:spacing w:before="0" w:beforeAutospacing="0" w:after="0" w:afterAutospacing="0" w:line="460" w:lineRule="exact"/>
              <w:ind w:left="0" w:right="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1950mm≤臂展宽度＜1985mm，得1分；</w:t>
            </w:r>
          </w:p>
          <w:p>
            <w:pPr>
              <w:spacing w:before="0" w:beforeAutospacing="0" w:after="0" w:afterAutospacing="0" w:line="460" w:lineRule="exact"/>
              <w:ind w:left="0" w:right="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1985mm≤臂展宽度＜2015mm，得2分；</w:t>
            </w:r>
          </w:p>
          <w:p>
            <w:pPr>
              <w:spacing w:before="0" w:beforeAutospacing="0" w:after="0" w:afterAutospacing="0" w:line="460" w:lineRule="exact"/>
              <w:ind w:left="0" w:right="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臂展宽度≥2015mm，得3分。</w:t>
            </w:r>
          </w:p>
          <w:p>
            <w:pPr>
              <w:spacing w:before="0" w:beforeAutospacing="0" w:after="0" w:afterAutospacing="0"/>
              <w:ind w:left="0" w:right="0"/>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证明材料：以设备制造商提供型式试验报告扫描件加盖电子公章，否则不得分。</w:t>
            </w:r>
          </w:p>
          <w:p>
            <w:pPr>
              <w:numPr>
                <w:ilvl w:val="0"/>
                <w:numId w:val="0"/>
              </w:numPr>
              <w:spacing w:before="0" w:beforeAutospacing="0" w:after="0" w:afterAutospacing="0" w:line="460" w:lineRule="exact"/>
              <w:ind w:left="0" w:leftChars="0" w:right="0"/>
              <w:rPr>
                <w:rFonts w:hint="eastAsia" w:ascii="仿宋" w:hAnsi="仿宋" w:eastAsia="仿宋" w:cs="仿宋"/>
                <w:sz w:val="24"/>
                <w:szCs w:val="24"/>
              </w:rPr>
            </w:pPr>
            <w:r>
              <w:rPr>
                <w:rFonts w:hint="eastAsia" w:ascii="仿宋" w:hAnsi="仿宋" w:eastAsia="仿宋" w:cs="仿宋"/>
                <w:sz w:val="24"/>
                <w:szCs w:val="24"/>
                <w:lang w:val="en-US" w:eastAsia="zh-CN"/>
              </w:rPr>
              <w:t xml:space="preserve">3、 </w:t>
            </w:r>
            <w:r>
              <w:rPr>
                <w:rFonts w:hint="eastAsia" w:ascii="仿宋" w:hAnsi="仿宋" w:eastAsia="仿宋" w:cs="仿宋"/>
                <w:sz w:val="24"/>
                <w:szCs w:val="24"/>
              </w:rPr>
              <w:t>车辆载重：≥2</w:t>
            </w:r>
            <w:r>
              <w:rPr>
                <w:rFonts w:hint="eastAsia" w:ascii="仿宋" w:hAnsi="仿宋" w:eastAsia="仿宋" w:cs="仿宋"/>
                <w:sz w:val="24"/>
                <w:szCs w:val="24"/>
                <w:lang w:val="en-US" w:eastAsia="zh-CN"/>
              </w:rPr>
              <w:t>7</w:t>
            </w:r>
            <w:r>
              <w:rPr>
                <w:rFonts w:hint="eastAsia" w:ascii="仿宋" w:hAnsi="仿宋" w:eastAsia="仿宋" w:cs="仿宋"/>
                <w:sz w:val="24"/>
                <w:szCs w:val="24"/>
              </w:rPr>
              <w:t>00KG，得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pPr>
              <w:spacing w:before="0" w:beforeAutospacing="0" w:after="0" w:afterAutospacing="0" w:line="460" w:lineRule="exact"/>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车辆载重：&lt;2</w:t>
            </w:r>
            <w:r>
              <w:rPr>
                <w:rFonts w:hint="eastAsia" w:ascii="仿宋" w:hAnsi="仿宋" w:eastAsia="仿宋" w:cs="仿宋"/>
                <w:sz w:val="24"/>
                <w:szCs w:val="24"/>
                <w:lang w:val="en-US" w:eastAsia="zh-CN"/>
              </w:rPr>
              <w:t>7</w:t>
            </w:r>
            <w:r>
              <w:rPr>
                <w:rFonts w:hint="eastAsia" w:ascii="仿宋" w:hAnsi="仿宋" w:eastAsia="仿宋" w:cs="仿宋"/>
                <w:sz w:val="24"/>
                <w:szCs w:val="24"/>
              </w:rPr>
              <w:t>00KG</w:t>
            </w:r>
            <w:r>
              <w:rPr>
                <w:rFonts w:hint="eastAsia" w:ascii="仿宋" w:hAnsi="仿宋" w:eastAsia="仿宋" w:cs="仿宋"/>
                <w:sz w:val="24"/>
                <w:szCs w:val="24"/>
                <w:lang w:eastAsia="zh-CN"/>
              </w:rPr>
              <w:t>，</w:t>
            </w:r>
            <w:r>
              <w:rPr>
                <w:rFonts w:hint="eastAsia" w:ascii="仿宋" w:hAnsi="仿宋" w:eastAsia="仿宋" w:cs="仿宋"/>
                <w:sz w:val="24"/>
                <w:szCs w:val="24"/>
              </w:rPr>
              <w:t>≥2500 KG，得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p>
            <w:pPr>
              <w:numPr>
                <w:ilvl w:val="0"/>
                <w:numId w:val="0"/>
              </w:numPr>
              <w:spacing w:before="0" w:beforeAutospacing="0" w:after="0" w:afterAutospacing="0" w:line="460" w:lineRule="exact"/>
              <w:ind w:left="0" w:leftChars="0" w:right="0"/>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车辆载重：&lt;2500KG</w:t>
            </w:r>
            <w:r>
              <w:rPr>
                <w:rFonts w:hint="eastAsia" w:ascii="仿宋" w:hAnsi="仿宋" w:eastAsia="仿宋" w:cs="仿宋"/>
                <w:sz w:val="24"/>
                <w:szCs w:val="24"/>
                <w:lang w:eastAsia="zh-CN"/>
              </w:rPr>
              <w:t>，</w:t>
            </w:r>
            <w:r>
              <w:rPr>
                <w:rFonts w:hint="eastAsia" w:ascii="仿宋" w:hAnsi="仿宋" w:eastAsia="仿宋" w:cs="仿宋"/>
                <w:sz w:val="24"/>
                <w:szCs w:val="24"/>
              </w:rPr>
              <w:t>≥2350 KG，得1分</w:t>
            </w:r>
            <w:r>
              <w:rPr>
                <w:rFonts w:hint="eastAsia" w:ascii="仿宋" w:hAnsi="仿宋" w:eastAsia="仿宋" w:cs="仿宋"/>
                <w:sz w:val="24"/>
                <w:szCs w:val="24"/>
                <w:lang w:eastAsia="zh-CN"/>
              </w:rPr>
              <w:t>。</w:t>
            </w:r>
          </w:p>
          <w:p>
            <w:pPr>
              <w:pStyle w:val="44"/>
              <w:tabs>
                <w:tab w:val="left" w:pos="840"/>
                <w:tab w:val="right" w:leader="dot" w:pos="8296"/>
              </w:tabs>
              <w:spacing w:before="0" w:beforeAutospacing="0" w:after="0" w:afterAutospacing="0"/>
              <w:ind w:left="0" w:right="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证明材料：以设备制造商提供型式试验报告扫描件加盖电子公章，否则不得分。</w:t>
            </w:r>
          </w:p>
          <w:p>
            <w:pPr>
              <w:numPr>
                <w:ilvl w:val="0"/>
                <w:numId w:val="0"/>
              </w:numPr>
              <w:spacing w:before="0" w:beforeAutospacing="0" w:after="0" w:afterAutospacing="0" w:line="460" w:lineRule="exact"/>
              <w:ind w:left="0" w:leftChars="0" w:right="0"/>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4、 制造商针对本项目投标的平面移动类立体车库产品及核心部件自主知识产权情况：平面移动类立体车库的控制软件拥有计算机软件著作权证书的得1分；机械手搬运器控制软件拥有计算机软件著作权证书的得1分；远程监控管理软件拥有计算机软件著作权证书的得1分；（0-3分）。</w:t>
            </w:r>
          </w:p>
          <w:p>
            <w:pPr>
              <w:pStyle w:val="44"/>
              <w:tabs>
                <w:tab w:val="left" w:pos="840"/>
                <w:tab w:val="right" w:leader="dot" w:pos="8296"/>
              </w:tabs>
              <w:spacing w:before="0" w:beforeAutospacing="0" w:after="0" w:afterAutospacing="0"/>
              <w:ind w:left="0" w:right="0"/>
              <w:rPr>
                <w:rFonts w:hint="default" w:ascii="Times New Roman" w:hAnsi="Times New Roman" w:cs="Times New Roman"/>
                <w:color w:val="auto"/>
                <w:sz w:val="20"/>
                <w:szCs w:val="20"/>
                <w:lang w:val="en-US"/>
              </w:rPr>
            </w:pPr>
            <w:r>
              <w:rPr>
                <w:rFonts w:hint="eastAsia" w:ascii="仿宋" w:hAnsi="仿宋" w:eastAsia="仿宋" w:cs="仿宋"/>
                <w:b/>
                <w:bCs/>
                <w:color w:val="auto"/>
                <w:sz w:val="24"/>
                <w:szCs w:val="24"/>
                <w:lang w:val="en-US" w:eastAsia="zh-CN"/>
              </w:rPr>
              <w:t>证明材料：提供由中华人民共和国国家版权局颁发相应证书扫描件加盖电子公章，否则不得分。</w:t>
            </w:r>
          </w:p>
          <w:p>
            <w:pPr>
              <w:spacing w:before="0" w:beforeAutospacing="0" w:after="0" w:afterAutospacing="0"/>
              <w:ind w:left="0" w:right="0"/>
              <w:rPr>
                <w:rFonts w:hint="eastAsia" w:ascii="Times New Roman" w:hAnsi="Times New Roman" w:cs="Times New Roman"/>
                <w:color w:val="auto"/>
                <w:sz w:val="20"/>
                <w:szCs w:val="20"/>
              </w:rPr>
            </w:pPr>
          </w:p>
          <w:p>
            <w:pPr>
              <w:spacing w:before="0" w:beforeAutospacing="0" w:after="0" w:afterAutospacing="0" w:line="460" w:lineRule="exact"/>
              <w:ind w:left="0" w:right="0"/>
              <w:rPr>
                <w:rFonts w:hint="eastAsia" w:ascii="仿宋" w:hAnsi="仿宋" w:eastAsia="仿宋" w:cs="仿宋"/>
                <w:color w:val="000000"/>
                <w:sz w:val="24"/>
                <w:szCs w:val="24"/>
              </w:rPr>
            </w:pPr>
            <w:r>
              <w:rPr>
                <w:rFonts w:hint="eastAsia" w:ascii="仿宋" w:hAnsi="仿宋" w:eastAsia="仿宋" w:cs="仿宋"/>
                <w:b/>
                <w:bCs/>
                <w:color w:val="auto"/>
                <w:sz w:val="24"/>
                <w:szCs w:val="24"/>
              </w:rPr>
              <w:t>上述所有生产加工设备清单必须为各设备制造商公司独自购买</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提供采购发票扫描件并加盖电子公章</w:t>
            </w:r>
            <w:r>
              <w:rPr>
                <w:rFonts w:hint="eastAsia" w:ascii="仿宋" w:hAnsi="仿宋" w:eastAsia="仿宋" w:cs="仿宋"/>
                <w:b/>
                <w:bCs/>
                <w:color w:val="auto"/>
                <w:sz w:val="24"/>
                <w:szCs w:val="24"/>
              </w:rPr>
              <w:t>，且照片均为制造商工厂内拍摄提供的，若发现提供的事实不符的，一经查处做废标处理。</w:t>
            </w:r>
          </w:p>
        </w:tc>
        <w:tc>
          <w:tcPr>
            <w:tcW w:w="845" w:type="dxa"/>
            <w:tcBorders>
              <w:top w:val="single" w:color="000000" w:sz="4" w:space="0"/>
              <w:left w:val="nil"/>
              <w:bottom w:val="single" w:color="000000" w:sz="4" w:space="0"/>
              <w:right w:val="single" w:color="000000" w:sz="4" w:space="0"/>
            </w:tcBorders>
            <w:vAlign w:val="center"/>
          </w:tcPr>
          <w:p>
            <w:pPr>
              <w:spacing w:before="0" w:beforeAutospacing="0" w:after="0" w:afterAutospacing="0" w:line="460" w:lineRule="exact"/>
              <w:ind w:left="0" w:right="0"/>
              <w:jc w:val="center"/>
              <w:rPr>
                <w:rFonts w:hint="default" w:ascii="仿宋" w:hAnsi="仿宋" w:eastAsia="仿宋" w:cs="仿宋"/>
                <w:color w:val="000000"/>
                <w:sz w:val="24"/>
                <w:szCs w:val="24"/>
                <w:lang w:val="en-US"/>
              </w:rPr>
            </w:pPr>
            <w:r>
              <w:rPr>
                <w:rFonts w:hint="eastAsia" w:ascii="仿宋" w:hAnsi="仿宋" w:eastAsia="仿宋" w:cs="仿宋"/>
                <w:sz w:val="24"/>
                <w:szCs w:val="24"/>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6" w:hRule="atLeast"/>
          <w:jc w:val="center"/>
        </w:trPr>
        <w:tc>
          <w:tcPr>
            <w:tcW w:w="124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60" w:lineRule="exact"/>
              <w:ind w:left="0" w:right="0"/>
              <w:rPr>
                <w:rFonts w:hint="eastAsia" w:ascii="仿宋" w:hAnsi="仿宋" w:eastAsia="仿宋" w:cs="仿宋"/>
                <w:color w:val="000000"/>
                <w:sz w:val="24"/>
                <w:szCs w:val="24"/>
              </w:rPr>
            </w:pPr>
            <w:r>
              <w:rPr>
                <w:rFonts w:hint="eastAsia" w:ascii="仿宋" w:hAnsi="仿宋" w:eastAsia="仿宋" w:cs="仿宋"/>
                <w:sz w:val="24"/>
                <w:szCs w:val="24"/>
                <w:lang w:eastAsia="en-US"/>
              </w:rPr>
              <w:t>技术专利</w:t>
            </w:r>
          </w:p>
        </w:tc>
        <w:tc>
          <w:tcPr>
            <w:tcW w:w="7601" w:type="dxa"/>
            <w:tcBorders>
              <w:top w:val="single" w:color="000000" w:sz="4" w:space="0"/>
              <w:left w:val="nil"/>
              <w:bottom w:val="single" w:color="000000" w:sz="4" w:space="0"/>
              <w:right w:val="single" w:color="000000" w:sz="4" w:space="0"/>
            </w:tcBorders>
            <w:vAlign w:val="center"/>
          </w:tcPr>
          <w:p>
            <w:pPr>
              <w:numPr>
                <w:ilvl w:val="0"/>
                <w:numId w:val="5"/>
              </w:numPr>
              <w:spacing w:before="0" w:beforeAutospacing="0" w:after="0" w:afterAutospacing="0" w:line="460" w:lineRule="exact"/>
              <w:ind w:left="0" w:right="0"/>
              <w:rPr>
                <w:rFonts w:hint="eastAsia" w:ascii="仿宋" w:hAnsi="仿宋" w:eastAsia="仿宋" w:cs="仿宋"/>
                <w:sz w:val="24"/>
                <w:szCs w:val="24"/>
              </w:rPr>
            </w:pPr>
            <w:r>
              <w:rPr>
                <w:rFonts w:hint="eastAsia" w:ascii="仿宋" w:hAnsi="仿宋" w:eastAsia="仿宋" w:cs="仿宋"/>
                <w:strike w:val="0"/>
                <w:dstrike w:val="0"/>
                <w:sz w:val="24"/>
                <w:szCs w:val="24"/>
                <w:lang w:val="en-US" w:eastAsia="zh-CN"/>
              </w:rPr>
              <w:t>投标人或所投设备品牌制造商</w:t>
            </w:r>
            <w:r>
              <w:rPr>
                <w:rFonts w:hint="eastAsia" w:ascii="仿宋" w:hAnsi="仿宋" w:eastAsia="仿宋" w:cs="仿宋"/>
                <w:sz w:val="24"/>
                <w:szCs w:val="24"/>
              </w:rPr>
              <w:t>获得</w:t>
            </w:r>
            <w:r>
              <w:rPr>
                <w:rFonts w:hint="eastAsia" w:ascii="仿宋" w:hAnsi="仿宋" w:eastAsia="仿宋" w:cs="仿宋"/>
                <w:sz w:val="24"/>
                <w:szCs w:val="24"/>
                <w:lang w:val="en-US" w:eastAsia="zh-CN"/>
              </w:rPr>
              <w:t>跟投标产品</w:t>
            </w:r>
            <w:r>
              <w:rPr>
                <w:rFonts w:hint="eastAsia" w:ascii="仿宋" w:hAnsi="仿宋" w:eastAsia="仿宋" w:cs="仿宋"/>
                <w:sz w:val="24"/>
                <w:szCs w:val="24"/>
              </w:rPr>
              <w:t>相关</w:t>
            </w:r>
            <w:r>
              <w:rPr>
                <w:rFonts w:hint="eastAsia" w:ascii="仿宋" w:hAnsi="仿宋" w:eastAsia="仿宋" w:cs="仿宋"/>
                <w:sz w:val="24"/>
                <w:szCs w:val="24"/>
                <w:lang w:val="en-US" w:eastAsia="zh-CN"/>
              </w:rPr>
              <w:t>的</w:t>
            </w:r>
            <w:r>
              <w:rPr>
                <w:rFonts w:hint="eastAsia" w:ascii="仿宋" w:hAnsi="仿宋" w:eastAsia="仿宋" w:cs="仿宋"/>
                <w:sz w:val="24"/>
                <w:szCs w:val="24"/>
              </w:rPr>
              <w:t>国内发明专利证书，每一项计</w:t>
            </w:r>
            <w:r>
              <w:rPr>
                <w:rFonts w:hint="eastAsia" w:ascii="仿宋" w:hAnsi="仿宋" w:eastAsia="仿宋" w:cs="仿宋"/>
                <w:sz w:val="24"/>
                <w:szCs w:val="24"/>
                <w:lang w:val="en-US" w:eastAsia="zh-CN"/>
              </w:rPr>
              <w:t>0.2</w:t>
            </w:r>
            <w:r>
              <w:rPr>
                <w:rFonts w:hint="eastAsia" w:ascii="仿宋" w:hAnsi="仿宋" w:eastAsia="仿宋" w:cs="仿宋"/>
                <w:sz w:val="24"/>
                <w:szCs w:val="24"/>
              </w:rPr>
              <w:t>分，最多计</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p>
            <w:pPr>
              <w:numPr>
                <w:ilvl w:val="0"/>
                <w:numId w:val="0"/>
              </w:numPr>
              <w:spacing w:before="0" w:beforeAutospacing="0" w:after="0" w:afterAutospacing="0" w:line="460" w:lineRule="exact"/>
              <w:ind w:left="0" w:right="0"/>
              <w:rPr>
                <w:rFonts w:hint="eastAsia" w:ascii="仿宋" w:hAnsi="仿宋" w:eastAsia="仿宋" w:cs="仿宋"/>
                <w:color w:val="000000"/>
                <w:sz w:val="24"/>
                <w:szCs w:val="24"/>
              </w:rPr>
            </w:pPr>
            <w:r>
              <w:rPr>
                <w:rFonts w:hint="eastAsia" w:ascii="仿宋" w:hAnsi="仿宋" w:eastAsia="仿宋" w:cs="仿宋"/>
                <w:sz w:val="24"/>
                <w:szCs w:val="24"/>
              </w:rPr>
              <w:t>（需提供相关专利证书</w:t>
            </w:r>
            <w:r>
              <w:rPr>
                <w:rFonts w:hint="eastAsia" w:ascii="仿宋" w:hAnsi="仿宋" w:eastAsia="仿宋" w:cs="仿宋"/>
                <w:sz w:val="24"/>
                <w:szCs w:val="24"/>
                <w:lang w:val="en-US" w:eastAsia="zh-CN"/>
              </w:rPr>
              <w:t>扫描件</w:t>
            </w:r>
            <w:r>
              <w:rPr>
                <w:rFonts w:hint="eastAsia" w:ascii="仿宋" w:hAnsi="仿宋" w:eastAsia="仿宋" w:cs="仿宋"/>
                <w:sz w:val="24"/>
                <w:szCs w:val="24"/>
              </w:rPr>
              <w:t>并</w:t>
            </w:r>
            <w:r>
              <w:rPr>
                <w:rFonts w:hint="eastAsia" w:ascii="仿宋" w:hAnsi="仿宋" w:eastAsia="仿宋" w:cs="仿宋"/>
                <w:sz w:val="24"/>
                <w:szCs w:val="24"/>
                <w:lang w:val="en-US" w:eastAsia="zh-CN"/>
              </w:rPr>
              <w:t>加盖电子</w:t>
            </w:r>
            <w:r>
              <w:rPr>
                <w:rFonts w:hint="eastAsia" w:ascii="仿宋" w:hAnsi="仿宋" w:eastAsia="仿宋" w:cs="仿宋"/>
                <w:sz w:val="24"/>
                <w:szCs w:val="24"/>
              </w:rPr>
              <w:t>公章）</w:t>
            </w:r>
          </w:p>
        </w:tc>
        <w:tc>
          <w:tcPr>
            <w:tcW w:w="845" w:type="dxa"/>
            <w:tcBorders>
              <w:top w:val="single" w:color="000000" w:sz="4" w:space="0"/>
              <w:left w:val="nil"/>
              <w:bottom w:val="single" w:color="000000" w:sz="4" w:space="0"/>
              <w:right w:val="single" w:color="000000" w:sz="4" w:space="0"/>
            </w:tcBorders>
            <w:vAlign w:val="center"/>
          </w:tcPr>
          <w:p>
            <w:pPr>
              <w:spacing w:before="0" w:beforeAutospacing="0" w:after="0" w:afterAutospacing="0" w:line="300" w:lineRule="auto"/>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124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60" w:lineRule="exact"/>
              <w:ind w:left="0" w:right="0"/>
              <w:rPr>
                <w:rFonts w:hint="eastAsia" w:ascii="仿宋" w:hAnsi="仿宋" w:eastAsia="仿宋" w:cs="仿宋"/>
                <w:color w:val="000000"/>
                <w:sz w:val="24"/>
                <w:szCs w:val="24"/>
              </w:rPr>
            </w:pPr>
            <w:r>
              <w:rPr>
                <w:rFonts w:hint="eastAsia" w:ascii="仿宋" w:hAnsi="仿宋" w:eastAsia="仿宋" w:cs="仿宋"/>
                <w:sz w:val="24"/>
                <w:szCs w:val="24"/>
                <w:lang w:val="en-US" w:eastAsia="zh-CN"/>
              </w:rPr>
              <w:t>施工组织方案</w:t>
            </w:r>
          </w:p>
        </w:tc>
        <w:tc>
          <w:tcPr>
            <w:tcW w:w="7601" w:type="dxa"/>
            <w:tcBorders>
              <w:top w:val="single" w:color="000000" w:sz="4" w:space="0"/>
              <w:left w:val="nil"/>
              <w:bottom w:val="single" w:color="000000" w:sz="4" w:space="0"/>
              <w:right w:val="single" w:color="000000" w:sz="4" w:space="0"/>
            </w:tcBorders>
            <w:vAlign w:val="center"/>
          </w:tcPr>
          <w:p>
            <w:pPr>
              <w:spacing w:before="0" w:beforeAutospacing="0" w:after="0" w:afterAutospacing="0" w:line="460" w:lineRule="exact"/>
              <w:ind w:left="0" w:right="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1）保证质量的技术方案和措施</w:t>
            </w:r>
            <w:r>
              <w:rPr>
                <w:rFonts w:hint="eastAsia" w:ascii="仿宋" w:hAnsi="仿宋" w:eastAsia="仿宋" w:cs="仿宋"/>
                <w:sz w:val="24"/>
                <w:szCs w:val="24"/>
                <w:lang w:eastAsia="zh-CN"/>
              </w:rPr>
              <w:t>，符合要求得</w:t>
            </w:r>
            <w:r>
              <w:rPr>
                <w:rFonts w:hint="eastAsia" w:ascii="仿宋" w:hAnsi="仿宋" w:eastAsia="仿宋" w:cs="仿宋"/>
                <w:sz w:val="24"/>
                <w:szCs w:val="24"/>
                <w:lang w:val="en-US" w:eastAsia="zh-CN"/>
              </w:rPr>
              <w:t>1分，</w:t>
            </w:r>
            <w:r>
              <w:rPr>
                <w:rFonts w:hint="eastAsia" w:ascii="仿宋" w:hAnsi="仿宋" w:eastAsia="仿宋" w:cs="仿宋"/>
                <w:sz w:val="24"/>
                <w:szCs w:val="24"/>
                <w:lang w:eastAsia="zh-CN"/>
              </w:rPr>
              <w:t>部分符合得</w:t>
            </w:r>
            <w:r>
              <w:rPr>
                <w:rFonts w:hint="eastAsia" w:ascii="仿宋" w:hAnsi="仿宋" w:eastAsia="仿宋" w:cs="仿宋"/>
                <w:sz w:val="24"/>
                <w:szCs w:val="24"/>
                <w:lang w:val="en-US" w:eastAsia="zh-CN"/>
              </w:rPr>
              <w:t>0.5分，</w:t>
            </w:r>
            <w:r>
              <w:rPr>
                <w:rFonts w:hint="eastAsia" w:ascii="仿宋" w:hAnsi="仿宋" w:eastAsia="仿宋" w:cs="仿宋"/>
                <w:sz w:val="24"/>
                <w:szCs w:val="24"/>
              </w:rPr>
              <w:t>不</w:t>
            </w:r>
            <w:r>
              <w:rPr>
                <w:rFonts w:hint="eastAsia" w:ascii="仿宋" w:hAnsi="仿宋" w:eastAsia="仿宋" w:cs="仿宋"/>
                <w:sz w:val="24"/>
                <w:szCs w:val="24"/>
                <w:lang w:eastAsia="zh-CN"/>
              </w:rPr>
              <w:t>符合要求</w:t>
            </w:r>
            <w:r>
              <w:rPr>
                <w:rFonts w:hint="eastAsia" w:ascii="仿宋" w:hAnsi="仿宋" w:eastAsia="仿宋" w:cs="仿宋"/>
                <w:sz w:val="24"/>
                <w:szCs w:val="24"/>
              </w:rPr>
              <w:t>不得分。</w:t>
            </w:r>
          </w:p>
          <w:p>
            <w:pPr>
              <w:spacing w:before="0" w:beforeAutospacing="0" w:after="0" w:afterAutospacing="0" w:line="460" w:lineRule="exact"/>
              <w:ind w:left="0" w:right="0"/>
              <w:rPr>
                <w:rFonts w:hint="eastAsia" w:ascii="仿宋" w:hAnsi="仿宋" w:eastAsia="仿宋" w:cs="仿宋"/>
                <w:sz w:val="24"/>
                <w:szCs w:val="24"/>
              </w:rPr>
            </w:pPr>
            <w:r>
              <w:rPr>
                <w:rFonts w:hint="eastAsia" w:ascii="仿宋" w:hAnsi="仿宋" w:eastAsia="仿宋" w:cs="仿宋"/>
                <w:sz w:val="24"/>
                <w:szCs w:val="24"/>
              </w:rPr>
              <w:t>（2）确保供应货物质量的措施</w:t>
            </w:r>
            <w:r>
              <w:rPr>
                <w:rFonts w:hint="eastAsia" w:ascii="仿宋" w:hAnsi="仿宋" w:eastAsia="仿宋" w:cs="仿宋"/>
                <w:sz w:val="24"/>
                <w:szCs w:val="24"/>
                <w:lang w:eastAsia="zh-CN"/>
              </w:rPr>
              <w:t>，符合要求得</w:t>
            </w:r>
            <w:r>
              <w:rPr>
                <w:rFonts w:hint="eastAsia" w:ascii="仿宋" w:hAnsi="仿宋" w:eastAsia="仿宋" w:cs="仿宋"/>
                <w:sz w:val="24"/>
                <w:szCs w:val="24"/>
                <w:lang w:val="en-US" w:eastAsia="zh-CN"/>
              </w:rPr>
              <w:t>1分，</w:t>
            </w:r>
            <w:r>
              <w:rPr>
                <w:rFonts w:hint="eastAsia" w:ascii="仿宋" w:hAnsi="仿宋" w:eastAsia="仿宋" w:cs="仿宋"/>
                <w:sz w:val="24"/>
                <w:szCs w:val="24"/>
                <w:lang w:eastAsia="zh-CN"/>
              </w:rPr>
              <w:t>部分符合得</w:t>
            </w:r>
            <w:r>
              <w:rPr>
                <w:rFonts w:hint="eastAsia" w:ascii="仿宋" w:hAnsi="仿宋" w:eastAsia="仿宋" w:cs="仿宋"/>
                <w:sz w:val="24"/>
                <w:szCs w:val="24"/>
                <w:lang w:val="en-US" w:eastAsia="zh-CN"/>
              </w:rPr>
              <w:t>0.5分，</w:t>
            </w:r>
            <w:r>
              <w:rPr>
                <w:rFonts w:hint="eastAsia" w:ascii="仿宋" w:hAnsi="仿宋" w:eastAsia="仿宋" w:cs="仿宋"/>
                <w:sz w:val="24"/>
                <w:szCs w:val="24"/>
              </w:rPr>
              <w:t>不</w:t>
            </w:r>
            <w:r>
              <w:rPr>
                <w:rFonts w:hint="eastAsia" w:ascii="仿宋" w:hAnsi="仿宋" w:eastAsia="仿宋" w:cs="仿宋"/>
                <w:sz w:val="24"/>
                <w:szCs w:val="24"/>
                <w:lang w:eastAsia="zh-CN"/>
              </w:rPr>
              <w:t>符合要求</w:t>
            </w:r>
            <w:r>
              <w:rPr>
                <w:rFonts w:hint="eastAsia" w:ascii="仿宋" w:hAnsi="仿宋" w:eastAsia="仿宋" w:cs="仿宋"/>
                <w:sz w:val="24"/>
                <w:szCs w:val="24"/>
              </w:rPr>
              <w:t>不得分。</w:t>
            </w:r>
          </w:p>
          <w:p>
            <w:pPr>
              <w:spacing w:before="0" w:beforeAutospacing="0" w:after="0" w:afterAutospacing="0" w:line="460" w:lineRule="exact"/>
              <w:ind w:left="0" w:right="0"/>
              <w:rPr>
                <w:rFonts w:hint="eastAsia" w:ascii="仿宋" w:hAnsi="仿宋" w:eastAsia="仿宋" w:cs="仿宋"/>
                <w:sz w:val="24"/>
                <w:szCs w:val="24"/>
              </w:rPr>
            </w:pPr>
            <w:r>
              <w:rPr>
                <w:rFonts w:hint="eastAsia" w:ascii="仿宋" w:hAnsi="仿宋" w:eastAsia="仿宋" w:cs="仿宋"/>
                <w:sz w:val="24"/>
                <w:szCs w:val="24"/>
              </w:rPr>
              <w:t>（3）保证项目实施的技术力量和人力资源安排</w:t>
            </w:r>
            <w:r>
              <w:rPr>
                <w:rFonts w:hint="eastAsia" w:ascii="仿宋" w:hAnsi="仿宋" w:eastAsia="仿宋" w:cs="仿宋"/>
                <w:sz w:val="24"/>
                <w:szCs w:val="24"/>
                <w:lang w:eastAsia="zh-CN"/>
              </w:rPr>
              <w:t>，符合要求得</w:t>
            </w:r>
            <w:r>
              <w:rPr>
                <w:rFonts w:hint="eastAsia" w:ascii="仿宋" w:hAnsi="仿宋" w:eastAsia="仿宋" w:cs="仿宋"/>
                <w:sz w:val="24"/>
                <w:szCs w:val="24"/>
                <w:lang w:val="en-US" w:eastAsia="zh-CN"/>
              </w:rPr>
              <w:t>1分，</w:t>
            </w:r>
            <w:r>
              <w:rPr>
                <w:rFonts w:hint="eastAsia" w:ascii="仿宋" w:hAnsi="仿宋" w:eastAsia="仿宋" w:cs="仿宋"/>
                <w:sz w:val="24"/>
                <w:szCs w:val="24"/>
                <w:lang w:eastAsia="zh-CN"/>
              </w:rPr>
              <w:t>部分符合得</w:t>
            </w:r>
            <w:r>
              <w:rPr>
                <w:rFonts w:hint="eastAsia" w:ascii="仿宋" w:hAnsi="仿宋" w:eastAsia="仿宋" w:cs="仿宋"/>
                <w:sz w:val="24"/>
                <w:szCs w:val="24"/>
                <w:lang w:val="en-US" w:eastAsia="zh-CN"/>
              </w:rPr>
              <w:t>0.5分，</w:t>
            </w:r>
            <w:r>
              <w:rPr>
                <w:rFonts w:hint="eastAsia" w:ascii="仿宋" w:hAnsi="仿宋" w:eastAsia="仿宋" w:cs="仿宋"/>
                <w:sz w:val="24"/>
                <w:szCs w:val="24"/>
              </w:rPr>
              <w:t>不</w:t>
            </w:r>
            <w:r>
              <w:rPr>
                <w:rFonts w:hint="eastAsia" w:ascii="仿宋" w:hAnsi="仿宋" w:eastAsia="仿宋" w:cs="仿宋"/>
                <w:sz w:val="24"/>
                <w:szCs w:val="24"/>
                <w:lang w:eastAsia="zh-CN"/>
              </w:rPr>
              <w:t>符合要求</w:t>
            </w:r>
            <w:r>
              <w:rPr>
                <w:rFonts w:hint="eastAsia" w:ascii="仿宋" w:hAnsi="仿宋" w:eastAsia="仿宋" w:cs="仿宋"/>
                <w:sz w:val="24"/>
                <w:szCs w:val="24"/>
              </w:rPr>
              <w:t>不得分。</w:t>
            </w:r>
          </w:p>
          <w:p>
            <w:pPr>
              <w:spacing w:before="0" w:beforeAutospacing="0" w:after="0" w:afterAutospacing="0" w:line="460" w:lineRule="exact"/>
              <w:ind w:left="0" w:right="0"/>
              <w:rPr>
                <w:rFonts w:hint="eastAsia" w:ascii="仿宋" w:hAnsi="仿宋" w:eastAsia="仿宋" w:cs="仿宋"/>
                <w:color w:val="000000"/>
                <w:sz w:val="24"/>
                <w:szCs w:val="24"/>
              </w:rPr>
            </w:pPr>
            <w:r>
              <w:rPr>
                <w:rFonts w:hint="eastAsia" w:ascii="仿宋" w:hAnsi="仿宋" w:eastAsia="仿宋" w:cs="仿宋"/>
                <w:sz w:val="24"/>
                <w:szCs w:val="24"/>
              </w:rPr>
              <w:t>（4）安装、调试、验收的方案和措施、现场已完工程的成品保护措施和方案</w:t>
            </w:r>
            <w:r>
              <w:rPr>
                <w:rFonts w:hint="eastAsia" w:ascii="仿宋" w:hAnsi="仿宋" w:eastAsia="仿宋" w:cs="仿宋"/>
                <w:sz w:val="24"/>
                <w:szCs w:val="24"/>
                <w:lang w:eastAsia="zh-CN"/>
              </w:rPr>
              <w:t>，符合要求得</w:t>
            </w:r>
            <w:r>
              <w:rPr>
                <w:rFonts w:hint="eastAsia" w:ascii="仿宋" w:hAnsi="仿宋" w:eastAsia="仿宋" w:cs="仿宋"/>
                <w:sz w:val="24"/>
                <w:szCs w:val="24"/>
                <w:lang w:val="en-US" w:eastAsia="zh-CN"/>
              </w:rPr>
              <w:t>1分，</w:t>
            </w:r>
            <w:r>
              <w:rPr>
                <w:rFonts w:hint="eastAsia" w:ascii="仿宋" w:hAnsi="仿宋" w:eastAsia="仿宋" w:cs="仿宋"/>
                <w:sz w:val="24"/>
                <w:szCs w:val="24"/>
                <w:lang w:eastAsia="zh-CN"/>
              </w:rPr>
              <w:t>部分符合得</w:t>
            </w:r>
            <w:r>
              <w:rPr>
                <w:rFonts w:hint="eastAsia" w:ascii="仿宋" w:hAnsi="仿宋" w:eastAsia="仿宋" w:cs="仿宋"/>
                <w:sz w:val="24"/>
                <w:szCs w:val="24"/>
                <w:lang w:val="en-US" w:eastAsia="zh-CN"/>
              </w:rPr>
              <w:t>0.5分，</w:t>
            </w:r>
            <w:r>
              <w:rPr>
                <w:rFonts w:hint="eastAsia" w:ascii="仿宋" w:hAnsi="仿宋" w:eastAsia="仿宋" w:cs="仿宋"/>
                <w:sz w:val="24"/>
                <w:szCs w:val="24"/>
              </w:rPr>
              <w:t>不</w:t>
            </w:r>
            <w:r>
              <w:rPr>
                <w:rFonts w:hint="eastAsia" w:ascii="仿宋" w:hAnsi="仿宋" w:eastAsia="仿宋" w:cs="仿宋"/>
                <w:sz w:val="24"/>
                <w:szCs w:val="24"/>
                <w:lang w:eastAsia="zh-CN"/>
              </w:rPr>
              <w:t>符合要求</w:t>
            </w:r>
            <w:r>
              <w:rPr>
                <w:rFonts w:hint="eastAsia" w:ascii="仿宋" w:hAnsi="仿宋" w:eastAsia="仿宋" w:cs="仿宋"/>
                <w:sz w:val="24"/>
                <w:szCs w:val="24"/>
              </w:rPr>
              <w:t>不得分。</w:t>
            </w:r>
          </w:p>
        </w:tc>
        <w:tc>
          <w:tcPr>
            <w:tcW w:w="845" w:type="dxa"/>
            <w:tcBorders>
              <w:top w:val="single" w:color="000000" w:sz="4" w:space="0"/>
              <w:left w:val="nil"/>
              <w:bottom w:val="single" w:color="000000" w:sz="4" w:space="0"/>
              <w:right w:val="single" w:color="000000" w:sz="4" w:space="0"/>
            </w:tcBorders>
            <w:vAlign w:val="center"/>
          </w:tcPr>
          <w:p>
            <w:pPr>
              <w:spacing w:before="0" w:beforeAutospacing="0" w:after="0" w:afterAutospacing="0" w:line="300" w:lineRule="auto"/>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6" w:hRule="atLeast"/>
          <w:jc w:val="center"/>
        </w:trPr>
        <w:tc>
          <w:tcPr>
            <w:tcW w:w="124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60" w:lineRule="exact"/>
              <w:ind w:left="0" w:right="0"/>
              <w:rPr>
                <w:rFonts w:hint="eastAsia" w:ascii="仿宋" w:hAnsi="仿宋" w:eastAsia="仿宋" w:cs="仿宋"/>
                <w:color w:val="000000"/>
                <w:sz w:val="24"/>
                <w:szCs w:val="24"/>
              </w:rPr>
            </w:pPr>
            <w:r>
              <w:rPr>
                <w:rFonts w:hint="eastAsia" w:ascii="仿宋" w:hAnsi="仿宋" w:eastAsia="仿宋" w:cs="仿宋"/>
                <w:sz w:val="24"/>
                <w:szCs w:val="24"/>
              </w:rPr>
              <w:t>项目实施方案</w:t>
            </w:r>
          </w:p>
        </w:tc>
        <w:tc>
          <w:tcPr>
            <w:tcW w:w="7601" w:type="dxa"/>
            <w:tcBorders>
              <w:top w:val="single" w:color="000000" w:sz="4" w:space="0"/>
              <w:left w:val="nil"/>
              <w:bottom w:val="single" w:color="000000" w:sz="4" w:space="0"/>
              <w:right w:val="single" w:color="000000" w:sz="4" w:space="0"/>
            </w:tcBorders>
            <w:vAlign w:val="center"/>
          </w:tcPr>
          <w:p>
            <w:pPr>
              <w:spacing w:before="0" w:beforeAutospacing="0" w:after="0" w:afterAutospacing="0" w:line="460" w:lineRule="exact"/>
              <w:ind w:left="0" w:right="0"/>
              <w:rPr>
                <w:rFonts w:hint="eastAsia" w:ascii="仿宋" w:hAnsi="仿宋" w:eastAsia="仿宋" w:cs="仿宋"/>
                <w:color w:val="000000"/>
                <w:sz w:val="24"/>
                <w:szCs w:val="24"/>
              </w:rPr>
            </w:pPr>
            <w:r>
              <w:rPr>
                <w:rFonts w:hint="eastAsia" w:ascii="仿宋" w:hAnsi="仿宋" w:eastAsia="仿宋" w:cs="仿宋"/>
                <w:sz w:val="24"/>
                <w:szCs w:val="24"/>
              </w:rPr>
              <w:t>满足项目工期要求、能针对本项目进展的实际情况在方案中体现各个阶段的工作重点和难点；对整个项目执行中的各个阶段，有完善、周密的质量保障机制和进度计划</w:t>
            </w:r>
            <w:r>
              <w:rPr>
                <w:rFonts w:hint="eastAsia" w:ascii="仿宋" w:hAnsi="仿宋" w:eastAsia="仿宋" w:cs="仿宋"/>
                <w:sz w:val="24"/>
                <w:szCs w:val="24"/>
                <w:lang w:eastAsia="zh-CN"/>
              </w:rPr>
              <w:t>，</w:t>
            </w:r>
            <w:r>
              <w:rPr>
                <w:rFonts w:hint="eastAsia" w:ascii="仿宋" w:hAnsi="仿宋" w:eastAsia="仿宋" w:cs="仿宋"/>
                <w:color w:val="auto"/>
                <w:sz w:val="24"/>
                <w:szCs w:val="24"/>
                <w:highlight w:val="none"/>
                <w:lang w:eastAsia="zh-CN"/>
              </w:rPr>
              <w:t>符合要求的得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lang w:val="en-US" w:eastAsia="zh-CN"/>
              </w:rPr>
              <w:t>基本</w:t>
            </w:r>
            <w:r>
              <w:rPr>
                <w:rFonts w:hint="eastAsia" w:ascii="仿宋" w:hAnsi="仿宋" w:eastAsia="仿宋" w:cs="仿宋"/>
                <w:color w:val="auto"/>
                <w:sz w:val="24"/>
                <w:szCs w:val="24"/>
                <w:highlight w:val="none"/>
                <w:lang w:eastAsia="zh-CN"/>
              </w:rPr>
              <w:t>符合要求的得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分，部分符合要求的得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分，不符合要求的</w:t>
            </w:r>
            <w:r>
              <w:rPr>
                <w:rFonts w:hint="eastAsia" w:ascii="仿宋" w:hAnsi="仿宋" w:eastAsia="仿宋" w:cs="仿宋"/>
                <w:color w:val="auto"/>
                <w:sz w:val="24"/>
                <w:szCs w:val="24"/>
                <w:highlight w:val="none"/>
                <w:lang w:val="en-US" w:eastAsia="zh-CN"/>
              </w:rPr>
              <w:t>不得分</w:t>
            </w:r>
            <w:r>
              <w:rPr>
                <w:rFonts w:hint="eastAsia" w:ascii="仿宋" w:hAnsi="仿宋" w:eastAsia="仿宋" w:cs="仿宋"/>
                <w:color w:val="auto"/>
                <w:sz w:val="24"/>
                <w:szCs w:val="24"/>
                <w:highlight w:val="none"/>
                <w:lang w:eastAsia="zh-CN"/>
              </w:rPr>
              <w:t>。</w:t>
            </w:r>
          </w:p>
        </w:tc>
        <w:tc>
          <w:tcPr>
            <w:tcW w:w="845" w:type="dxa"/>
            <w:tcBorders>
              <w:top w:val="single" w:color="000000" w:sz="4" w:space="0"/>
              <w:left w:val="nil"/>
              <w:bottom w:val="single" w:color="000000" w:sz="4" w:space="0"/>
              <w:right w:val="single" w:color="000000" w:sz="4" w:space="0"/>
            </w:tcBorders>
            <w:vAlign w:val="center"/>
          </w:tcPr>
          <w:p>
            <w:pPr>
              <w:spacing w:before="0" w:beforeAutospacing="0" w:after="0" w:afterAutospacing="0" w:line="300" w:lineRule="auto"/>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6" w:hRule="atLeast"/>
          <w:jc w:val="center"/>
        </w:trPr>
        <w:tc>
          <w:tcPr>
            <w:tcW w:w="124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60" w:lineRule="exact"/>
              <w:ind w:left="0" w:right="0"/>
              <w:rPr>
                <w:rFonts w:hint="eastAsia" w:ascii="仿宋" w:hAnsi="仿宋" w:eastAsia="仿宋" w:cs="仿宋"/>
                <w:color w:val="000000"/>
                <w:sz w:val="24"/>
                <w:szCs w:val="24"/>
              </w:rPr>
            </w:pPr>
            <w:r>
              <w:rPr>
                <w:rFonts w:hint="eastAsia" w:ascii="仿宋" w:hAnsi="仿宋" w:eastAsia="仿宋" w:cs="仿宋"/>
                <w:sz w:val="24"/>
                <w:szCs w:val="24"/>
                <w:lang w:val="en-US" w:eastAsia="zh-CN"/>
              </w:rPr>
              <w:t>项目经理（如采用联合体投标的，则为联合体牵头人单位）</w:t>
            </w:r>
          </w:p>
        </w:tc>
        <w:tc>
          <w:tcPr>
            <w:tcW w:w="7601" w:type="dxa"/>
            <w:tcBorders>
              <w:top w:val="single" w:color="000000" w:sz="4" w:space="0"/>
              <w:left w:val="nil"/>
              <w:bottom w:val="single" w:color="000000" w:sz="4" w:space="0"/>
              <w:right w:val="single" w:color="000000" w:sz="4" w:space="0"/>
            </w:tcBorders>
            <w:vAlign w:val="center"/>
          </w:tcPr>
          <w:p>
            <w:pPr>
              <w:spacing w:before="0" w:beforeAutospacing="0" w:after="0" w:afterAutospacing="0" w:line="300" w:lineRule="auto"/>
              <w:ind w:left="0" w:right="0"/>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项目经理</w:t>
            </w:r>
            <w:r>
              <w:rPr>
                <w:rFonts w:hint="eastAsia" w:ascii="仿宋" w:hAnsi="仿宋" w:eastAsia="仿宋" w:cs="仿宋"/>
                <w:color w:val="auto"/>
                <w:sz w:val="24"/>
                <w:szCs w:val="24"/>
                <w:lang w:val="en-US" w:eastAsia="zh-CN"/>
              </w:rPr>
              <w:t>具有特种设备项目经理证书的得1分，还具有安装</w:t>
            </w:r>
            <w:r>
              <w:rPr>
                <w:rFonts w:hint="eastAsia" w:ascii="仿宋" w:hAnsi="仿宋" w:eastAsia="仿宋" w:cs="仿宋"/>
                <w:color w:val="auto"/>
                <w:sz w:val="24"/>
                <w:szCs w:val="24"/>
              </w:rPr>
              <w:t>类高级工程师</w:t>
            </w:r>
            <w:r>
              <w:rPr>
                <w:rFonts w:hint="eastAsia" w:ascii="仿宋" w:hAnsi="仿宋" w:eastAsia="仿宋" w:cs="仿宋"/>
                <w:color w:val="auto"/>
                <w:sz w:val="24"/>
                <w:szCs w:val="24"/>
                <w:lang w:val="en-US" w:eastAsia="zh-CN"/>
              </w:rPr>
              <w:t>证的得1分（具有安装</w:t>
            </w:r>
            <w:r>
              <w:rPr>
                <w:rFonts w:hint="eastAsia" w:ascii="仿宋" w:hAnsi="仿宋" w:eastAsia="仿宋" w:cs="仿宋"/>
                <w:color w:val="auto"/>
                <w:sz w:val="24"/>
                <w:szCs w:val="24"/>
              </w:rPr>
              <w:t>类</w:t>
            </w:r>
            <w:r>
              <w:rPr>
                <w:rFonts w:hint="eastAsia" w:ascii="仿宋" w:hAnsi="仿宋" w:eastAsia="仿宋" w:cs="仿宋"/>
                <w:color w:val="auto"/>
                <w:sz w:val="24"/>
                <w:szCs w:val="24"/>
                <w:lang w:val="en-US" w:eastAsia="zh-CN"/>
              </w:rPr>
              <w:t>中</w:t>
            </w:r>
            <w:r>
              <w:rPr>
                <w:rFonts w:hint="eastAsia" w:ascii="仿宋" w:hAnsi="仿宋" w:eastAsia="仿宋" w:cs="仿宋"/>
                <w:color w:val="auto"/>
                <w:sz w:val="24"/>
                <w:szCs w:val="24"/>
              </w:rPr>
              <w:t>级工程师</w:t>
            </w:r>
            <w:r>
              <w:rPr>
                <w:rFonts w:hint="eastAsia" w:ascii="仿宋" w:hAnsi="仿宋" w:eastAsia="仿宋" w:cs="仿宋"/>
                <w:color w:val="auto"/>
                <w:sz w:val="24"/>
                <w:szCs w:val="24"/>
                <w:lang w:val="en-US" w:eastAsia="zh-CN"/>
              </w:rPr>
              <w:t>证的得0.5分）；具有</w:t>
            </w:r>
            <w:r>
              <w:rPr>
                <w:rFonts w:hint="eastAsia" w:ascii="仿宋" w:hAnsi="仿宋" w:eastAsia="仿宋" w:cs="仿宋"/>
                <w:color w:val="000000"/>
                <w:sz w:val="24"/>
                <w:szCs w:val="24"/>
                <w:lang w:val="en-US" w:eastAsia="zh-CN"/>
              </w:rPr>
              <w:t>机电工程专业贰级</w:t>
            </w:r>
            <w:r>
              <w:rPr>
                <w:rFonts w:hint="eastAsia" w:ascii="仿宋" w:hAnsi="仿宋" w:eastAsia="仿宋" w:cs="仿宋"/>
                <w:color w:val="auto"/>
                <w:sz w:val="24"/>
                <w:szCs w:val="24"/>
                <w:lang w:val="en-US" w:eastAsia="zh-CN"/>
              </w:rPr>
              <w:t>及以上建造师证书的</w:t>
            </w:r>
            <w:r>
              <w:rPr>
                <w:rFonts w:hint="eastAsia" w:ascii="仿宋" w:hAnsi="仿宋" w:eastAsia="仿宋" w:cs="仿宋"/>
                <w:color w:val="auto"/>
                <w:sz w:val="24"/>
                <w:szCs w:val="24"/>
              </w:rPr>
              <w:t>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w:t>
            </w:r>
          </w:p>
          <w:p>
            <w:pPr>
              <w:spacing w:before="0" w:beforeAutospacing="0" w:after="0" w:afterAutospacing="0" w:line="460" w:lineRule="exact"/>
              <w:ind w:left="0" w:right="0"/>
              <w:rPr>
                <w:rFonts w:hint="default" w:ascii="仿宋" w:hAnsi="仿宋" w:eastAsia="仿宋" w:cs="仿宋"/>
                <w:color w:val="auto"/>
                <w:sz w:val="24"/>
                <w:szCs w:val="24"/>
                <w:lang w:val="en-US"/>
              </w:rPr>
            </w:pPr>
            <w:r>
              <w:rPr>
                <w:rFonts w:hint="eastAsia" w:ascii="仿宋" w:hAnsi="仿宋" w:eastAsia="仿宋" w:cs="仿宋"/>
                <w:b/>
                <w:bCs/>
                <w:color w:val="auto"/>
                <w:sz w:val="24"/>
                <w:szCs w:val="24"/>
                <w:lang w:val="en-US" w:eastAsia="zh-CN"/>
              </w:rPr>
              <w:t>证明文件：提供相关证书和本单位社保证明文件扫描件并加盖电子公章，项目经理和技术负责人不能为同一个人。</w:t>
            </w:r>
          </w:p>
        </w:tc>
        <w:tc>
          <w:tcPr>
            <w:tcW w:w="845" w:type="dxa"/>
            <w:tcBorders>
              <w:top w:val="single" w:color="000000" w:sz="4" w:space="0"/>
              <w:left w:val="nil"/>
              <w:bottom w:val="single" w:color="000000" w:sz="4" w:space="0"/>
              <w:right w:val="single" w:color="000000" w:sz="4" w:space="0"/>
            </w:tcBorders>
            <w:vAlign w:val="center"/>
          </w:tcPr>
          <w:p>
            <w:pPr>
              <w:spacing w:before="0" w:beforeAutospacing="0" w:after="0" w:afterAutospacing="0" w:line="300" w:lineRule="auto"/>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6" w:hRule="atLeast"/>
          <w:jc w:val="center"/>
        </w:trPr>
        <w:tc>
          <w:tcPr>
            <w:tcW w:w="124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60" w:lineRule="exact"/>
              <w:ind w:left="0" w:right="0"/>
              <w:rPr>
                <w:rFonts w:hint="eastAsia" w:ascii="仿宋" w:hAnsi="仿宋" w:eastAsia="仿宋" w:cs="仿宋"/>
                <w:color w:val="000000"/>
                <w:sz w:val="24"/>
                <w:szCs w:val="24"/>
              </w:rPr>
            </w:pPr>
            <w:r>
              <w:rPr>
                <w:rFonts w:hint="eastAsia" w:ascii="仿宋" w:hAnsi="仿宋" w:eastAsia="仿宋" w:cs="仿宋"/>
                <w:sz w:val="24"/>
                <w:szCs w:val="24"/>
                <w:lang w:val="en-US" w:eastAsia="zh-CN"/>
              </w:rPr>
              <w:t>技术负责人（如采用联合体投标的，则为联合体牵头人单位）</w:t>
            </w:r>
          </w:p>
        </w:tc>
        <w:tc>
          <w:tcPr>
            <w:tcW w:w="7601" w:type="dxa"/>
            <w:tcBorders>
              <w:top w:val="single" w:color="000000" w:sz="4" w:space="0"/>
              <w:left w:val="nil"/>
              <w:bottom w:val="single" w:color="000000" w:sz="4" w:space="0"/>
              <w:right w:val="single" w:color="000000" w:sz="4" w:space="0"/>
            </w:tcBorders>
            <w:vAlign w:val="center"/>
          </w:tcPr>
          <w:p>
            <w:pPr>
              <w:spacing w:before="0" w:beforeAutospacing="0" w:after="0" w:afterAutospacing="0" w:line="300" w:lineRule="auto"/>
              <w:ind w:left="0" w:right="0"/>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技术负责人具有</w:t>
            </w:r>
            <w:r>
              <w:rPr>
                <w:rFonts w:hint="eastAsia" w:ascii="仿宋" w:hAnsi="仿宋" w:eastAsia="仿宋" w:cs="仿宋"/>
                <w:color w:val="000000"/>
                <w:sz w:val="24"/>
                <w:szCs w:val="24"/>
                <w:lang w:val="en-US" w:eastAsia="zh-CN"/>
              </w:rPr>
              <w:t>机电工程专业贰级及以</w:t>
            </w:r>
            <w:r>
              <w:rPr>
                <w:rFonts w:hint="eastAsia" w:ascii="仿宋" w:hAnsi="仿宋" w:eastAsia="仿宋" w:cs="仿宋"/>
                <w:color w:val="auto"/>
                <w:sz w:val="24"/>
                <w:szCs w:val="24"/>
                <w:lang w:val="en-US" w:eastAsia="zh-CN"/>
              </w:rPr>
              <w:t>上建造师证书的得1分；具备安装类</w:t>
            </w:r>
            <w:r>
              <w:rPr>
                <w:rFonts w:hint="eastAsia" w:ascii="仿宋" w:hAnsi="仿宋" w:eastAsia="仿宋" w:cs="仿宋"/>
                <w:color w:val="auto"/>
                <w:sz w:val="24"/>
                <w:szCs w:val="24"/>
              </w:rPr>
              <w:t>高级工程师</w:t>
            </w:r>
            <w:r>
              <w:rPr>
                <w:rFonts w:hint="eastAsia" w:ascii="仿宋" w:hAnsi="仿宋" w:eastAsia="仿宋" w:cs="仿宋"/>
                <w:color w:val="auto"/>
                <w:sz w:val="24"/>
                <w:szCs w:val="24"/>
                <w:lang w:val="en-US" w:eastAsia="zh-CN"/>
              </w:rPr>
              <w:t>证的得1分（具有安装</w:t>
            </w:r>
            <w:r>
              <w:rPr>
                <w:rFonts w:hint="eastAsia" w:ascii="仿宋" w:hAnsi="仿宋" w:eastAsia="仿宋" w:cs="仿宋"/>
                <w:color w:val="auto"/>
                <w:sz w:val="24"/>
                <w:szCs w:val="24"/>
              </w:rPr>
              <w:t>类</w:t>
            </w:r>
            <w:r>
              <w:rPr>
                <w:rFonts w:hint="eastAsia" w:ascii="仿宋" w:hAnsi="仿宋" w:eastAsia="仿宋" w:cs="仿宋"/>
                <w:color w:val="auto"/>
                <w:sz w:val="24"/>
                <w:szCs w:val="24"/>
                <w:lang w:val="en-US" w:eastAsia="zh-CN"/>
              </w:rPr>
              <w:t>中</w:t>
            </w:r>
            <w:r>
              <w:rPr>
                <w:rFonts w:hint="eastAsia" w:ascii="仿宋" w:hAnsi="仿宋" w:eastAsia="仿宋" w:cs="仿宋"/>
                <w:color w:val="auto"/>
                <w:sz w:val="24"/>
                <w:szCs w:val="24"/>
              </w:rPr>
              <w:t>级工程师</w:t>
            </w:r>
            <w:r>
              <w:rPr>
                <w:rFonts w:hint="eastAsia" w:ascii="仿宋" w:hAnsi="仿宋" w:eastAsia="仿宋" w:cs="仿宋"/>
                <w:color w:val="auto"/>
                <w:sz w:val="24"/>
                <w:szCs w:val="24"/>
                <w:lang w:val="en-US" w:eastAsia="zh-CN"/>
              </w:rPr>
              <w:t>证的得0.5分）。</w:t>
            </w:r>
          </w:p>
          <w:p>
            <w:pPr>
              <w:spacing w:before="0" w:beforeAutospacing="0" w:after="0" w:afterAutospacing="0" w:line="460" w:lineRule="exact"/>
              <w:ind w:left="0" w:right="0"/>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证明文件：提供相关证书和本单位社保证明文件扫描件并加盖电子公章，项目经理和技术负责人不能为同一个人。</w:t>
            </w:r>
          </w:p>
        </w:tc>
        <w:tc>
          <w:tcPr>
            <w:tcW w:w="845" w:type="dxa"/>
            <w:tcBorders>
              <w:top w:val="single" w:color="000000" w:sz="4" w:space="0"/>
              <w:left w:val="nil"/>
              <w:bottom w:val="single" w:color="000000" w:sz="4" w:space="0"/>
              <w:right w:val="single" w:color="000000" w:sz="4" w:space="0"/>
            </w:tcBorders>
            <w:vAlign w:val="center"/>
          </w:tcPr>
          <w:p>
            <w:pPr>
              <w:spacing w:before="0" w:beforeAutospacing="0" w:after="0" w:afterAutospacing="0" w:line="300" w:lineRule="auto"/>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24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60" w:lineRule="exact"/>
              <w:ind w:left="0" w:right="0"/>
              <w:rPr>
                <w:rFonts w:hint="eastAsia" w:ascii="仿宋" w:hAnsi="仿宋" w:eastAsia="仿宋" w:cs="仿宋"/>
                <w:color w:val="000000"/>
                <w:sz w:val="24"/>
                <w:szCs w:val="24"/>
              </w:rPr>
            </w:pPr>
            <w:r>
              <w:rPr>
                <w:rFonts w:hint="eastAsia" w:ascii="仿宋" w:hAnsi="仿宋" w:eastAsia="仿宋" w:cs="仿宋"/>
                <w:sz w:val="24"/>
                <w:szCs w:val="24"/>
                <w:lang w:val="en-US" w:eastAsia="zh-CN"/>
              </w:rPr>
              <w:t>产品责任险</w:t>
            </w:r>
          </w:p>
        </w:tc>
        <w:tc>
          <w:tcPr>
            <w:tcW w:w="7601" w:type="dxa"/>
            <w:tcBorders>
              <w:top w:val="single" w:color="000000" w:sz="4" w:space="0"/>
              <w:left w:val="nil"/>
              <w:bottom w:val="single" w:color="000000" w:sz="4" w:space="0"/>
              <w:right w:val="single" w:color="000000" w:sz="4" w:space="0"/>
            </w:tcBorders>
            <w:vAlign w:val="center"/>
          </w:tcPr>
          <w:p>
            <w:pPr>
              <w:spacing w:before="0" w:beforeAutospacing="0" w:after="0" w:afterAutospacing="0" w:line="460" w:lineRule="exact"/>
              <w:ind w:left="0" w:right="0"/>
              <w:rPr>
                <w:rFonts w:hint="eastAsia" w:ascii="仿宋" w:hAnsi="仿宋" w:eastAsia="仿宋" w:cs="仿宋"/>
                <w:sz w:val="24"/>
                <w:szCs w:val="24"/>
              </w:rPr>
            </w:pPr>
            <w:r>
              <w:rPr>
                <w:rFonts w:hint="eastAsia" w:ascii="仿宋" w:hAnsi="仿宋" w:eastAsia="仿宋" w:cs="仿宋"/>
                <w:sz w:val="24"/>
                <w:szCs w:val="24"/>
              </w:rPr>
              <w:t>投标人所投设备品牌制造商产品责任险投保保额：</w:t>
            </w:r>
            <w:r>
              <w:rPr>
                <w:rFonts w:hint="eastAsia" w:ascii="仿宋" w:hAnsi="仿宋" w:eastAsia="仿宋" w:cs="仿宋"/>
                <w:sz w:val="24"/>
                <w:szCs w:val="24"/>
              </w:rPr>
              <w:br w:type="textWrapping"/>
            </w:r>
            <w:r>
              <w:rPr>
                <w:rFonts w:hint="eastAsia" w:ascii="仿宋" w:hAnsi="仿宋" w:eastAsia="仿宋" w:cs="仿宋"/>
                <w:sz w:val="24"/>
                <w:szCs w:val="24"/>
              </w:rPr>
              <w:t>①年累计赔偿额≥40000万元且单次事故赔付额≥10000万元的得4分；</w:t>
            </w:r>
          </w:p>
          <w:p>
            <w:pPr>
              <w:spacing w:before="0" w:beforeAutospacing="0" w:after="0" w:afterAutospacing="0" w:line="460" w:lineRule="exact"/>
              <w:ind w:left="0" w:right="0"/>
              <w:rPr>
                <w:rFonts w:hint="eastAsia" w:ascii="仿宋" w:hAnsi="仿宋" w:eastAsia="仿宋" w:cs="仿宋"/>
                <w:sz w:val="24"/>
                <w:szCs w:val="24"/>
              </w:rPr>
            </w:pPr>
            <w:r>
              <w:rPr>
                <w:rFonts w:hint="eastAsia" w:ascii="仿宋" w:hAnsi="仿宋" w:eastAsia="仿宋" w:cs="仿宋"/>
                <w:sz w:val="24"/>
                <w:szCs w:val="24"/>
              </w:rPr>
              <w:t>②35000万元≤年累计赔偿额＜40000万元，且单次8000万元≤单次事故赔付额＜10000万元 的得3分。</w:t>
            </w:r>
            <w:r>
              <w:rPr>
                <w:rFonts w:hint="eastAsia" w:ascii="仿宋" w:hAnsi="仿宋" w:eastAsia="仿宋" w:cs="仿宋"/>
                <w:sz w:val="24"/>
                <w:szCs w:val="24"/>
              </w:rPr>
              <w:br w:type="textWrapping"/>
            </w:r>
            <w:r>
              <w:rPr>
                <w:rFonts w:hint="eastAsia" w:ascii="仿宋" w:hAnsi="仿宋" w:eastAsia="仿宋" w:cs="仿宋"/>
                <w:sz w:val="24"/>
                <w:szCs w:val="24"/>
              </w:rPr>
              <w:t>③30000万元≤年累计赔偿额＜35000万元，且单次5000万元≤单次事故赔付额＜8000万元 的得2分。</w:t>
            </w:r>
          </w:p>
          <w:p>
            <w:pPr>
              <w:spacing w:before="0" w:beforeAutospacing="0" w:after="0" w:afterAutospacing="0" w:line="460" w:lineRule="exact"/>
              <w:ind w:left="0" w:right="0"/>
              <w:rPr>
                <w:rFonts w:hint="eastAsia" w:ascii="仿宋" w:hAnsi="仿宋" w:eastAsia="仿宋" w:cs="仿宋"/>
                <w:color w:val="000000"/>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EQ \o\ac(</w:instrText>
            </w:r>
            <w:r>
              <w:rPr>
                <w:rFonts w:hint="eastAsia" w:ascii="仿宋" w:hAnsi="仿宋" w:eastAsia="仿宋" w:cs="仿宋"/>
                <w:position w:val="-4"/>
                <w:sz w:val="36"/>
                <w:szCs w:val="24"/>
              </w:rPr>
              <w:instrText xml:space="preserve">○</w:instrText>
            </w:r>
            <w:r>
              <w:rPr>
                <w:rFonts w:hint="eastAsia" w:ascii="仿宋" w:hAnsi="仿宋" w:eastAsia="仿宋" w:cs="仿宋"/>
                <w:position w:val="0"/>
                <w:sz w:val="24"/>
                <w:szCs w:val="24"/>
              </w:rPr>
              <w:instrText xml:space="preserve">,4)</w:instrText>
            </w:r>
            <w:r>
              <w:rPr>
                <w:rFonts w:hint="eastAsia" w:ascii="仿宋" w:hAnsi="仿宋" w:eastAsia="仿宋" w:cs="仿宋"/>
                <w:sz w:val="24"/>
                <w:szCs w:val="24"/>
              </w:rPr>
              <w:fldChar w:fldCharType="end"/>
            </w:r>
            <w:r>
              <w:rPr>
                <w:rFonts w:hint="eastAsia" w:ascii="仿宋" w:hAnsi="仿宋" w:eastAsia="仿宋" w:cs="仿宋"/>
                <w:sz w:val="24"/>
                <w:szCs w:val="24"/>
              </w:rPr>
              <w:t>年累计赔偿额＜30000万元，且单次事故赔付额＜5000万元 的得1分。</w:t>
            </w:r>
            <w:r>
              <w:rPr>
                <w:rFonts w:hint="eastAsia" w:ascii="仿宋" w:hAnsi="仿宋" w:eastAsia="仿宋" w:cs="仿宋"/>
                <w:sz w:val="24"/>
                <w:szCs w:val="24"/>
              </w:rPr>
              <w:br w:type="textWrapping"/>
            </w:r>
            <w:r>
              <w:rPr>
                <w:rFonts w:hint="eastAsia" w:ascii="仿宋" w:hAnsi="仿宋" w:eastAsia="仿宋" w:cs="仿宋"/>
                <w:b/>
                <w:bCs/>
                <w:sz w:val="24"/>
                <w:szCs w:val="24"/>
              </w:rPr>
              <w:t>证明文件：提供产品责任险保单的</w:t>
            </w:r>
            <w:r>
              <w:rPr>
                <w:rFonts w:hint="eastAsia" w:ascii="仿宋" w:hAnsi="仿宋" w:eastAsia="仿宋" w:cs="仿宋"/>
                <w:b/>
                <w:bCs/>
                <w:sz w:val="24"/>
                <w:szCs w:val="24"/>
                <w:lang w:val="en-US" w:eastAsia="zh-CN"/>
              </w:rPr>
              <w:t>扫描</w:t>
            </w:r>
            <w:r>
              <w:rPr>
                <w:rFonts w:hint="eastAsia" w:ascii="仿宋" w:hAnsi="仿宋" w:eastAsia="仿宋" w:cs="仿宋"/>
                <w:b/>
                <w:bCs/>
                <w:sz w:val="24"/>
                <w:szCs w:val="24"/>
              </w:rPr>
              <w:t>件并加盖</w:t>
            </w:r>
            <w:r>
              <w:rPr>
                <w:rFonts w:hint="eastAsia" w:ascii="仿宋" w:hAnsi="仿宋" w:eastAsia="仿宋" w:cs="仿宋"/>
                <w:b/>
                <w:bCs/>
                <w:sz w:val="24"/>
                <w:szCs w:val="24"/>
                <w:lang w:val="en-US" w:eastAsia="zh-CN"/>
              </w:rPr>
              <w:t>电子</w:t>
            </w:r>
            <w:r>
              <w:rPr>
                <w:rFonts w:hint="eastAsia" w:ascii="仿宋" w:hAnsi="仿宋" w:eastAsia="仿宋" w:cs="仿宋"/>
                <w:b/>
                <w:bCs/>
                <w:sz w:val="24"/>
                <w:szCs w:val="24"/>
              </w:rPr>
              <w:t>公章，保险有效期≥12个月。以上不重复得分 </w:t>
            </w:r>
          </w:p>
        </w:tc>
        <w:tc>
          <w:tcPr>
            <w:tcW w:w="845" w:type="dxa"/>
            <w:tcBorders>
              <w:top w:val="single" w:color="000000" w:sz="4" w:space="0"/>
              <w:left w:val="nil"/>
              <w:bottom w:val="single" w:color="000000" w:sz="4" w:space="0"/>
              <w:right w:val="single" w:color="000000" w:sz="4" w:space="0"/>
            </w:tcBorders>
            <w:vAlign w:val="center"/>
          </w:tcPr>
          <w:p>
            <w:pPr>
              <w:spacing w:before="0" w:beforeAutospacing="0" w:after="0" w:afterAutospacing="0" w:line="300" w:lineRule="auto"/>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auto"/>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6" w:hRule="atLeast"/>
          <w:jc w:val="center"/>
        </w:trPr>
        <w:tc>
          <w:tcPr>
            <w:tcW w:w="124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60" w:lineRule="exact"/>
              <w:ind w:left="0" w:right="0"/>
              <w:rPr>
                <w:rFonts w:hint="eastAsia" w:ascii="仿宋" w:hAnsi="仿宋" w:eastAsia="仿宋" w:cs="仿宋"/>
                <w:color w:val="000000"/>
                <w:sz w:val="24"/>
                <w:szCs w:val="24"/>
              </w:rPr>
            </w:pPr>
            <w:r>
              <w:rPr>
                <w:rFonts w:hint="eastAsia" w:ascii="仿宋" w:hAnsi="仿宋" w:eastAsia="仿宋" w:cs="仿宋"/>
                <w:sz w:val="24"/>
                <w:szCs w:val="24"/>
                <w:lang w:eastAsia="zh-CN"/>
              </w:rPr>
              <w:t>售后服务及优惠服务承诺</w:t>
            </w:r>
          </w:p>
        </w:tc>
        <w:tc>
          <w:tcPr>
            <w:tcW w:w="7601" w:type="dxa"/>
            <w:tcBorders>
              <w:top w:val="single" w:color="000000" w:sz="4" w:space="0"/>
              <w:left w:val="nil"/>
              <w:bottom w:val="single" w:color="000000" w:sz="4" w:space="0"/>
              <w:right w:val="single" w:color="000000" w:sz="4" w:space="0"/>
            </w:tcBorders>
            <w:vAlign w:val="center"/>
          </w:tcPr>
          <w:p>
            <w:pPr>
              <w:numPr>
                <w:ilvl w:val="0"/>
                <w:numId w:val="0"/>
              </w:numPr>
              <w:spacing w:before="0" w:beforeAutospacing="0" w:after="0" w:afterAutospacing="0" w:line="460" w:lineRule="exact"/>
              <w:ind w:left="0" w:right="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color w:val="auto"/>
                <w:sz w:val="24"/>
                <w:szCs w:val="24"/>
                <w:highlight w:val="none"/>
              </w:rPr>
              <w:t>根据</w:t>
            </w:r>
            <w:r>
              <w:rPr>
                <w:rFonts w:hint="eastAsia" w:ascii="仿宋" w:hAnsi="仿宋" w:eastAsia="仿宋" w:cs="仿宋"/>
                <w:strike w:val="0"/>
                <w:dstrike w:val="0"/>
                <w:sz w:val="24"/>
                <w:szCs w:val="24"/>
                <w:lang w:val="en-US" w:eastAsia="zh-CN"/>
              </w:rPr>
              <w:t>投标人或所投设备品牌制造商</w:t>
            </w:r>
            <w:r>
              <w:rPr>
                <w:rFonts w:hint="eastAsia" w:ascii="仿宋" w:hAnsi="仿宋" w:eastAsia="仿宋" w:cs="仿宋"/>
                <w:color w:val="auto"/>
                <w:sz w:val="24"/>
                <w:szCs w:val="24"/>
                <w:highlight w:val="none"/>
              </w:rPr>
              <w:t>提供的技术支持和售后服务方案（包括</w:t>
            </w:r>
            <w:r>
              <w:rPr>
                <w:rFonts w:hint="eastAsia" w:ascii="仿宋" w:hAnsi="仿宋" w:eastAsia="仿宋" w:cs="仿宋"/>
                <w:sz w:val="24"/>
                <w:szCs w:val="24"/>
                <w:lang w:eastAsia="zh-CN"/>
              </w:rPr>
              <w:t>对用户故障的响应时间、</w:t>
            </w:r>
            <w:r>
              <w:rPr>
                <w:rFonts w:hint="eastAsia" w:ascii="仿宋" w:hAnsi="仿宋" w:eastAsia="仿宋" w:cs="仿宋"/>
                <w:color w:val="auto"/>
                <w:sz w:val="24"/>
                <w:szCs w:val="24"/>
                <w:highlight w:val="none"/>
              </w:rPr>
              <w:t>售后服务承诺和履约保证、售后服务范围、维修保养具体内容、具体服务标准）进行</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sz w:val="24"/>
                <w:szCs w:val="24"/>
                <w:highlight w:val="none"/>
                <w:lang w:eastAsia="zh-CN"/>
              </w:rPr>
              <w:t>符合要求的得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lang w:val="en-US" w:eastAsia="zh-CN"/>
              </w:rPr>
              <w:t>基本</w:t>
            </w:r>
            <w:r>
              <w:rPr>
                <w:rFonts w:hint="eastAsia" w:ascii="仿宋" w:hAnsi="仿宋" w:eastAsia="仿宋" w:cs="仿宋"/>
                <w:color w:val="auto"/>
                <w:sz w:val="24"/>
                <w:szCs w:val="24"/>
                <w:highlight w:val="none"/>
                <w:lang w:eastAsia="zh-CN"/>
              </w:rPr>
              <w:t>符合要求的得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分，部分符合要求的得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分；不符合要求的</w:t>
            </w:r>
            <w:r>
              <w:rPr>
                <w:rFonts w:hint="eastAsia" w:ascii="仿宋" w:hAnsi="仿宋" w:eastAsia="仿宋" w:cs="仿宋"/>
                <w:color w:val="auto"/>
                <w:sz w:val="24"/>
                <w:szCs w:val="24"/>
                <w:highlight w:val="none"/>
                <w:lang w:val="en-US" w:eastAsia="zh-CN"/>
              </w:rPr>
              <w:t>不得分</w:t>
            </w:r>
            <w:r>
              <w:rPr>
                <w:rFonts w:hint="eastAsia" w:ascii="仿宋" w:hAnsi="仿宋" w:eastAsia="仿宋" w:cs="仿宋"/>
                <w:color w:val="auto"/>
                <w:sz w:val="24"/>
                <w:szCs w:val="24"/>
                <w:highlight w:val="none"/>
                <w:lang w:eastAsia="zh-CN"/>
              </w:rPr>
              <w:t>。</w:t>
            </w:r>
          </w:p>
          <w:p>
            <w:pPr>
              <w:spacing w:before="0" w:beforeAutospacing="0" w:after="0" w:afterAutospacing="0" w:line="460" w:lineRule="exact"/>
              <w:ind w:left="0" w:right="0"/>
              <w:rPr>
                <w:rFonts w:hint="eastAsia" w:ascii="仿宋" w:hAnsi="仿宋" w:eastAsia="仿宋" w:cs="仿宋"/>
                <w:color w:val="000000"/>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获得</w:t>
            </w:r>
            <w:r>
              <w:rPr>
                <w:rFonts w:hint="eastAsia" w:ascii="仿宋" w:hAnsi="仿宋" w:eastAsia="仿宋" w:cs="仿宋"/>
                <w:sz w:val="24"/>
                <w:szCs w:val="24"/>
                <w:lang w:eastAsia="zh-CN"/>
              </w:rPr>
              <w:t>商品售后服务评价体系服务等级★★★★★认证证书</w:t>
            </w:r>
            <w:r>
              <w:rPr>
                <w:rFonts w:hint="eastAsia" w:ascii="仿宋" w:hAnsi="仿宋" w:eastAsia="仿宋" w:cs="仿宋"/>
                <w:sz w:val="24"/>
                <w:szCs w:val="24"/>
                <w:lang w:val="en-US" w:eastAsia="zh-CN"/>
              </w:rPr>
              <w:t>得1分，少一</w:t>
            </w:r>
            <w:r>
              <w:rPr>
                <w:rFonts w:hint="eastAsia" w:ascii="仿宋" w:hAnsi="仿宋" w:eastAsia="仿宋" w:cs="仿宋"/>
                <w:sz w:val="24"/>
                <w:szCs w:val="24"/>
                <w:highlight w:val="none"/>
                <w:lang w:val="en-US" w:eastAsia="zh-CN"/>
              </w:rPr>
              <w:t>个</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扣0.2分，提供认证证书或文件扫描件加盖电子公章。</w:t>
            </w:r>
          </w:p>
        </w:tc>
        <w:tc>
          <w:tcPr>
            <w:tcW w:w="845" w:type="dxa"/>
            <w:tcBorders>
              <w:top w:val="single" w:color="000000" w:sz="4" w:space="0"/>
              <w:left w:val="nil"/>
              <w:bottom w:val="single" w:color="000000" w:sz="4" w:space="0"/>
              <w:right w:val="single" w:color="000000" w:sz="4" w:space="0"/>
            </w:tcBorders>
            <w:vAlign w:val="center"/>
          </w:tcPr>
          <w:p>
            <w:pPr>
              <w:spacing w:before="0" w:beforeAutospacing="0" w:after="0" w:afterAutospacing="0" w:line="300" w:lineRule="auto"/>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FF0000"/>
                <w:sz w:val="24"/>
                <w:szCs w:val="24"/>
                <w:lang w:val="en-US" w:eastAsia="zh-CN"/>
              </w:rPr>
              <w:t>5</w:t>
            </w:r>
          </w:p>
        </w:tc>
      </w:tr>
    </w:tbl>
    <w:p>
      <w:pPr>
        <w:adjustRightInd/>
        <w:spacing w:line="440" w:lineRule="exact"/>
        <w:ind w:firstLine="420"/>
        <w:rPr>
          <w:rFonts w:ascii="仿宋" w:hAnsi="仿宋" w:eastAsia="仿宋"/>
          <w:b/>
          <w:bCs/>
          <w:color w:val="000000"/>
          <w:sz w:val="24"/>
        </w:rPr>
      </w:pPr>
      <w:r>
        <w:rPr>
          <w:rFonts w:hint="eastAsia" w:ascii="仿宋" w:hAnsi="仿宋" w:eastAsia="仿宋"/>
          <w:b/>
          <w:bCs/>
          <w:color w:val="000000"/>
          <w:sz w:val="24"/>
        </w:rPr>
        <w:t>商务分（</w:t>
      </w:r>
      <w:r>
        <w:rPr>
          <w:rFonts w:hint="eastAsia" w:ascii="仿宋" w:hAnsi="仿宋" w:eastAsia="仿宋"/>
          <w:b/>
          <w:bCs/>
          <w:color w:val="000000"/>
          <w:sz w:val="24"/>
          <w:lang w:val="en-US" w:eastAsia="zh-CN"/>
        </w:rPr>
        <w:t>17</w:t>
      </w:r>
      <w:r>
        <w:rPr>
          <w:rFonts w:hint="eastAsia" w:ascii="仿宋" w:hAnsi="仿宋" w:eastAsia="仿宋"/>
          <w:b/>
          <w:bCs/>
          <w:color w:val="000000"/>
          <w:sz w:val="24"/>
        </w:rPr>
        <w:t>分）：</w:t>
      </w:r>
    </w:p>
    <w:tbl>
      <w:tblPr>
        <w:tblStyle w:val="63"/>
        <w:tblW w:w="97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0"/>
        <w:gridCol w:w="7654"/>
        <w:gridCol w:w="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1240" w:type="dxa"/>
            <w:tcBorders>
              <w:top w:val="single" w:color="000000" w:sz="4" w:space="0"/>
              <w:left w:val="single" w:color="000000" w:sz="4" w:space="0"/>
              <w:bottom w:val="single" w:color="000000" w:sz="4" w:space="0"/>
              <w:right w:val="single" w:color="000000" w:sz="4" w:space="0"/>
            </w:tcBorders>
            <w:vAlign w:val="top"/>
          </w:tcPr>
          <w:p>
            <w:pPr>
              <w:adjustRightInd/>
              <w:spacing w:before="0" w:beforeAutospacing="0" w:after="0" w:afterAutospacing="0" w:line="400" w:lineRule="exact"/>
              <w:ind w:left="0" w:right="0"/>
              <w:rPr>
                <w:rFonts w:hint="eastAsia" w:ascii="仿宋" w:hAnsi="仿宋" w:eastAsia="仿宋" w:cs="仿宋"/>
                <w:b/>
                <w:bCs/>
                <w:color w:val="000000"/>
                <w:sz w:val="24"/>
                <w:szCs w:val="24"/>
              </w:rPr>
            </w:pPr>
            <w:bookmarkStart w:id="394" w:name="scoringRules1"/>
            <w:r>
              <w:rPr>
                <w:rFonts w:hint="eastAsia" w:ascii="仿宋" w:hAnsi="仿宋" w:eastAsia="仿宋" w:cs="仿宋"/>
                <w:b/>
                <w:bCs/>
                <w:color w:val="000000"/>
                <w:sz w:val="24"/>
                <w:szCs w:val="24"/>
              </w:rPr>
              <w:t>评分细则</w:t>
            </w:r>
            <w:bookmarkEnd w:id="394"/>
          </w:p>
        </w:tc>
        <w:tc>
          <w:tcPr>
            <w:tcW w:w="7654" w:type="dxa"/>
            <w:tcBorders>
              <w:top w:val="single" w:color="000000" w:sz="4" w:space="0"/>
              <w:left w:val="nil"/>
              <w:bottom w:val="single" w:color="000000" w:sz="4" w:space="0"/>
              <w:right w:val="single" w:color="000000" w:sz="4" w:space="0"/>
            </w:tcBorders>
            <w:vAlign w:val="top"/>
          </w:tcPr>
          <w:p>
            <w:pPr>
              <w:adjustRightInd/>
              <w:spacing w:before="0" w:beforeAutospacing="0" w:after="0" w:afterAutospacing="0" w:line="400" w:lineRule="exact"/>
              <w:ind w:left="0" w:right="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评分细则内容</w:t>
            </w:r>
          </w:p>
        </w:tc>
        <w:tc>
          <w:tcPr>
            <w:tcW w:w="851" w:type="dxa"/>
            <w:tcBorders>
              <w:top w:val="single" w:color="000000" w:sz="4" w:space="0"/>
              <w:left w:val="nil"/>
              <w:bottom w:val="single" w:color="000000" w:sz="4" w:space="0"/>
              <w:right w:val="single" w:color="000000" w:sz="4" w:space="0"/>
            </w:tcBorders>
            <w:vAlign w:val="top"/>
          </w:tcPr>
          <w:p>
            <w:pPr>
              <w:adjustRightInd/>
              <w:spacing w:before="0" w:beforeAutospacing="0" w:after="0" w:afterAutospacing="0" w:line="400" w:lineRule="exact"/>
              <w:ind w:left="0" w:right="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分值(分)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1240"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60" w:lineRule="exact"/>
              <w:ind w:left="0" w:right="0"/>
              <w:rPr>
                <w:rFonts w:hint="eastAsia" w:ascii="仿宋" w:hAnsi="仿宋" w:eastAsia="仿宋" w:cs="仿宋"/>
                <w:color w:val="000000"/>
                <w:sz w:val="24"/>
                <w:szCs w:val="24"/>
              </w:rPr>
            </w:pPr>
            <w:r>
              <w:rPr>
                <w:rFonts w:hint="eastAsia" w:ascii="仿宋" w:hAnsi="仿宋" w:eastAsia="仿宋" w:cs="仿宋"/>
                <w:sz w:val="24"/>
                <w:szCs w:val="24"/>
              </w:rPr>
              <w:t>安全标准化企业</w:t>
            </w:r>
          </w:p>
        </w:tc>
        <w:tc>
          <w:tcPr>
            <w:tcW w:w="7654" w:type="dxa"/>
            <w:tcBorders>
              <w:top w:val="single" w:color="000000" w:sz="4" w:space="0"/>
              <w:left w:val="nil"/>
              <w:bottom w:val="single" w:color="000000" w:sz="4" w:space="0"/>
              <w:right w:val="single" w:color="000000" w:sz="4" w:space="0"/>
            </w:tcBorders>
            <w:vAlign w:val="center"/>
          </w:tcPr>
          <w:p>
            <w:pPr>
              <w:spacing w:before="0" w:beforeAutospacing="0" w:after="0" w:afterAutospacing="0" w:line="460" w:lineRule="exact"/>
              <w:ind w:left="0" w:right="0"/>
              <w:rPr>
                <w:rFonts w:hint="eastAsia"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lang w:val="en-US" w:eastAsia="zh-CN"/>
              </w:rPr>
              <w:t>或所</w:t>
            </w:r>
            <w:r>
              <w:rPr>
                <w:rFonts w:hint="eastAsia" w:ascii="仿宋" w:hAnsi="仿宋" w:eastAsia="仿宋" w:cs="仿宋"/>
                <w:sz w:val="24"/>
                <w:szCs w:val="24"/>
              </w:rPr>
              <w:t>投标设备</w:t>
            </w:r>
            <w:r>
              <w:rPr>
                <w:rFonts w:hint="eastAsia" w:ascii="仿宋" w:hAnsi="仿宋" w:eastAsia="仿宋" w:cs="仿宋"/>
                <w:sz w:val="24"/>
                <w:szCs w:val="24"/>
                <w:lang w:val="en-US" w:eastAsia="zh-CN"/>
              </w:rPr>
              <w:t>品牌</w:t>
            </w:r>
            <w:r>
              <w:rPr>
                <w:rFonts w:hint="eastAsia" w:ascii="仿宋" w:hAnsi="仿宋" w:eastAsia="仿宋" w:cs="仿宋"/>
                <w:sz w:val="24"/>
                <w:szCs w:val="24"/>
              </w:rPr>
              <w:t>制造商</w:t>
            </w:r>
            <w:r>
              <w:rPr>
                <w:rFonts w:hint="eastAsia" w:ascii="仿宋" w:hAnsi="仿宋" w:eastAsia="仿宋" w:cs="仿宋"/>
                <w:sz w:val="24"/>
                <w:szCs w:val="24"/>
                <w:lang w:val="en-US" w:eastAsia="zh-CN"/>
              </w:rPr>
              <w:t>具有</w:t>
            </w:r>
            <w:r>
              <w:rPr>
                <w:rFonts w:hint="eastAsia" w:ascii="仿宋" w:hAnsi="仿宋" w:eastAsia="仿宋" w:cs="仿宋"/>
                <w:sz w:val="24"/>
                <w:szCs w:val="24"/>
              </w:rPr>
              <w:t>安全生产标准化</w:t>
            </w:r>
            <w:r>
              <w:rPr>
                <w:rFonts w:hint="eastAsia" w:ascii="仿宋" w:hAnsi="仿宋" w:eastAsia="仿宋" w:cs="仿宋"/>
                <w:sz w:val="24"/>
                <w:szCs w:val="24"/>
                <w:lang w:val="en-US" w:eastAsia="zh-CN"/>
              </w:rPr>
              <w:t>证书</w:t>
            </w:r>
            <w:r>
              <w:rPr>
                <w:rFonts w:hint="eastAsia" w:ascii="仿宋" w:hAnsi="仿宋" w:eastAsia="仿宋" w:cs="仿宋"/>
                <w:color w:val="000000"/>
                <w:sz w:val="24"/>
                <w:szCs w:val="24"/>
                <w:lang w:val="en-US" w:eastAsia="zh-CN"/>
              </w:rPr>
              <w:t>一级</w:t>
            </w:r>
            <w:r>
              <w:rPr>
                <w:rFonts w:hint="eastAsia" w:ascii="仿宋" w:hAnsi="仿宋" w:eastAsia="仿宋" w:cs="仿宋"/>
                <w:color w:val="000000"/>
                <w:sz w:val="24"/>
                <w:szCs w:val="24"/>
              </w:rPr>
              <w:t>企业得</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分</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具有</w:t>
            </w:r>
            <w:r>
              <w:rPr>
                <w:rFonts w:hint="eastAsia" w:ascii="仿宋" w:hAnsi="仿宋" w:eastAsia="仿宋" w:cs="仿宋"/>
                <w:color w:val="000000"/>
                <w:sz w:val="24"/>
                <w:szCs w:val="24"/>
              </w:rPr>
              <w:t>安全生产标准化</w:t>
            </w:r>
            <w:r>
              <w:rPr>
                <w:rFonts w:hint="eastAsia" w:ascii="仿宋" w:hAnsi="仿宋" w:eastAsia="仿宋" w:cs="仿宋"/>
                <w:color w:val="000000"/>
                <w:sz w:val="24"/>
                <w:szCs w:val="24"/>
                <w:lang w:val="en-US" w:eastAsia="zh-CN"/>
              </w:rPr>
              <w:t>证书二级企</w:t>
            </w:r>
            <w:r>
              <w:rPr>
                <w:rFonts w:hint="eastAsia" w:ascii="仿宋" w:hAnsi="仿宋" w:eastAsia="仿宋" w:cs="仿宋"/>
                <w:color w:val="000000"/>
                <w:sz w:val="24"/>
                <w:szCs w:val="24"/>
              </w:rPr>
              <w:t>业得</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分</w:t>
            </w:r>
            <w:r>
              <w:rPr>
                <w:rFonts w:hint="eastAsia" w:ascii="仿宋" w:hAnsi="仿宋" w:eastAsia="仿宋" w:cs="仿宋"/>
                <w:sz w:val="24"/>
                <w:szCs w:val="24"/>
              </w:rPr>
              <w:t>，具有安全生产标准化证书三级企业得</w:t>
            </w:r>
            <w:r>
              <w:rPr>
                <w:rFonts w:hint="eastAsia" w:ascii="仿宋" w:hAnsi="仿宋" w:eastAsia="仿宋" w:cs="仿宋"/>
                <w:sz w:val="24"/>
                <w:szCs w:val="24"/>
                <w:lang w:val="en-US" w:eastAsia="zh-CN"/>
              </w:rPr>
              <w:t>1</w:t>
            </w:r>
            <w:r>
              <w:rPr>
                <w:rFonts w:hint="eastAsia" w:ascii="仿宋" w:hAnsi="仿宋" w:eastAsia="仿宋" w:cs="仿宋"/>
                <w:sz w:val="24"/>
                <w:szCs w:val="24"/>
              </w:rPr>
              <w:t>分，无不得分。</w:t>
            </w:r>
          </w:p>
          <w:p>
            <w:pPr>
              <w:spacing w:before="0" w:beforeAutospacing="0" w:after="0" w:afterAutospacing="0" w:line="460" w:lineRule="exact"/>
              <w:ind w:left="0" w:right="0"/>
              <w:rPr>
                <w:rFonts w:hint="eastAsia" w:ascii="仿宋" w:hAnsi="仿宋" w:eastAsia="仿宋" w:cs="仿宋"/>
                <w:color w:val="000000"/>
                <w:sz w:val="24"/>
                <w:szCs w:val="24"/>
              </w:rPr>
            </w:pPr>
            <w:r>
              <w:rPr>
                <w:rFonts w:hint="eastAsia" w:ascii="仿宋" w:hAnsi="仿宋" w:eastAsia="仿宋" w:cs="仿宋"/>
                <w:b/>
                <w:bCs/>
                <w:sz w:val="24"/>
                <w:szCs w:val="24"/>
              </w:rPr>
              <w:t>证明文件：须提供证书</w:t>
            </w:r>
            <w:r>
              <w:rPr>
                <w:rFonts w:hint="eastAsia" w:ascii="仿宋" w:hAnsi="仿宋" w:eastAsia="仿宋" w:cs="仿宋"/>
                <w:b/>
                <w:bCs/>
                <w:sz w:val="24"/>
                <w:szCs w:val="24"/>
                <w:lang w:val="en-US" w:eastAsia="zh-CN"/>
              </w:rPr>
              <w:t>及网上公示截屏文件（需提供网上链接）扫描件加盖电子公章</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否则不得分</w:t>
            </w:r>
            <w:r>
              <w:rPr>
                <w:rFonts w:hint="eastAsia" w:ascii="仿宋" w:hAnsi="仿宋" w:eastAsia="仿宋" w:cs="仿宋"/>
                <w:b/>
                <w:bCs/>
                <w:sz w:val="24"/>
                <w:szCs w:val="24"/>
              </w:rPr>
              <w:t>。</w:t>
            </w:r>
          </w:p>
        </w:tc>
        <w:tc>
          <w:tcPr>
            <w:tcW w:w="851" w:type="dxa"/>
            <w:tcBorders>
              <w:top w:val="single" w:color="000000" w:sz="4" w:space="0"/>
              <w:left w:val="nil"/>
              <w:bottom w:val="single" w:color="000000" w:sz="4" w:space="0"/>
              <w:right w:val="single" w:color="000000" w:sz="4" w:space="0"/>
            </w:tcBorders>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rPr>
            </w:pPr>
            <w:r>
              <w:rPr>
                <w:rFonts w:hint="eastAsia" w:ascii="仿宋" w:hAnsi="仿宋" w:eastAsia="仿宋" w:cs="仿宋"/>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1240"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60" w:lineRule="exact"/>
              <w:ind w:left="0" w:right="0"/>
              <w:rPr>
                <w:rFonts w:hint="eastAsia" w:ascii="仿宋" w:hAnsi="仿宋" w:eastAsia="仿宋" w:cs="仿宋"/>
                <w:sz w:val="24"/>
                <w:szCs w:val="24"/>
                <w:lang w:val="en-US" w:eastAsia="zh-CN"/>
              </w:rPr>
            </w:pPr>
          </w:p>
          <w:p>
            <w:pPr>
              <w:spacing w:before="0" w:beforeAutospacing="0" w:after="0" w:afterAutospacing="0" w:line="460" w:lineRule="exact"/>
              <w:ind w:left="0" w:right="0"/>
              <w:rPr>
                <w:rFonts w:hint="eastAsia" w:ascii="仿宋" w:hAnsi="仿宋" w:eastAsia="仿宋" w:cs="仿宋"/>
                <w:color w:val="000000"/>
                <w:sz w:val="24"/>
                <w:szCs w:val="24"/>
              </w:rPr>
            </w:pPr>
            <w:r>
              <w:rPr>
                <w:rFonts w:hint="eastAsia" w:ascii="仿宋" w:hAnsi="仿宋" w:eastAsia="仿宋" w:cs="仿宋"/>
                <w:sz w:val="24"/>
                <w:szCs w:val="24"/>
                <w:lang w:val="en-US" w:eastAsia="zh-CN"/>
              </w:rPr>
              <w:t>体系</w:t>
            </w:r>
            <w:r>
              <w:rPr>
                <w:rFonts w:hint="eastAsia" w:ascii="仿宋" w:hAnsi="仿宋" w:eastAsia="仿宋" w:cs="仿宋"/>
                <w:sz w:val="24"/>
                <w:szCs w:val="24"/>
              </w:rPr>
              <w:t>认证</w:t>
            </w:r>
          </w:p>
        </w:tc>
        <w:tc>
          <w:tcPr>
            <w:tcW w:w="7654" w:type="dxa"/>
            <w:tcBorders>
              <w:top w:val="single" w:color="000000" w:sz="4" w:space="0"/>
              <w:left w:val="nil"/>
              <w:bottom w:val="single" w:color="000000" w:sz="4" w:space="0"/>
              <w:right w:val="single" w:color="000000" w:sz="4" w:space="0"/>
            </w:tcBorders>
            <w:vAlign w:val="center"/>
          </w:tcPr>
          <w:p>
            <w:pPr>
              <w:spacing w:before="0" w:beforeAutospacing="0" w:after="0" w:afterAutospacing="0" w:line="460" w:lineRule="exact"/>
              <w:ind w:left="0" w:right="0"/>
              <w:rPr>
                <w:rFonts w:hint="eastAsia"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lang w:val="en-US" w:eastAsia="zh-CN"/>
              </w:rPr>
              <w:t>或所</w:t>
            </w:r>
            <w:r>
              <w:rPr>
                <w:rFonts w:hint="eastAsia" w:ascii="仿宋" w:hAnsi="仿宋" w:eastAsia="仿宋" w:cs="仿宋"/>
                <w:sz w:val="24"/>
                <w:szCs w:val="24"/>
              </w:rPr>
              <w:t>投标设备</w:t>
            </w:r>
            <w:r>
              <w:rPr>
                <w:rFonts w:hint="eastAsia" w:ascii="仿宋" w:hAnsi="仿宋" w:eastAsia="仿宋" w:cs="仿宋"/>
                <w:sz w:val="24"/>
                <w:szCs w:val="24"/>
                <w:lang w:val="en-US" w:eastAsia="zh-CN"/>
              </w:rPr>
              <w:t>品牌</w:t>
            </w:r>
            <w:r>
              <w:rPr>
                <w:rFonts w:hint="eastAsia" w:ascii="仿宋" w:hAnsi="仿宋" w:eastAsia="仿宋" w:cs="仿宋"/>
                <w:sz w:val="24"/>
                <w:szCs w:val="24"/>
              </w:rPr>
              <w:t>制造商</w:t>
            </w:r>
            <w:r>
              <w:rPr>
                <w:rFonts w:hint="eastAsia" w:ascii="仿宋" w:hAnsi="仿宋" w:eastAsia="仿宋" w:cs="仿宋"/>
                <w:sz w:val="24"/>
                <w:szCs w:val="24"/>
                <w:lang w:eastAsia="zh-CN"/>
              </w:rPr>
              <w:t>同时</w:t>
            </w:r>
            <w:r>
              <w:rPr>
                <w:rFonts w:hint="eastAsia" w:ascii="仿宋" w:hAnsi="仿宋" w:eastAsia="仿宋" w:cs="仿宋"/>
                <w:sz w:val="24"/>
                <w:szCs w:val="24"/>
              </w:rPr>
              <w:t>具有质量管理体系认证证书、环境管理体系认证证书、职业健康安全管理体系认证证书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能源管理体系认证证书、知识产权管理体系认证证书</w:t>
            </w:r>
            <w:r>
              <w:rPr>
                <w:rFonts w:hint="eastAsia" w:ascii="仿宋" w:hAnsi="仿宋" w:eastAsia="仿宋" w:cs="仿宋"/>
                <w:sz w:val="24"/>
                <w:szCs w:val="24"/>
              </w:rPr>
              <w:t>，</w:t>
            </w:r>
            <w:r>
              <w:rPr>
                <w:rFonts w:hint="eastAsia" w:ascii="仿宋" w:hAnsi="仿宋" w:eastAsia="仿宋" w:cs="仿宋"/>
                <w:sz w:val="24"/>
                <w:szCs w:val="24"/>
                <w:lang w:val="en-US" w:eastAsia="zh-CN"/>
              </w:rPr>
              <w:t>五</w:t>
            </w:r>
            <w:r>
              <w:rPr>
                <w:rFonts w:hint="eastAsia" w:ascii="仿宋" w:hAnsi="仿宋" w:eastAsia="仿宋" w:cs="仿宋"/>
                <w:sz w:val="24"/>
                <w:szCs w:val="24"/>
              </w:rPr>
              <w:t>证齐全的得</w:t>
            </w:r>
            <w:r>
              <w:rPr>
                <w:rFonts w:hint="eastAsia" w:ascii="仿宋" w:hAnsi="仿宋" w:eastAsia="仿宋" w:cs="仿宋"/>
                <w:sz w:val="24"/>
                <w:szCs w:val="24"/>
                <w:lang w:val="en-US" w:eastAsia="zh-CN"/>
              </w:rPr>
              <w:t>3</w:t>
            </w:r>
            <w:r>
              <w:rPr>
                <w:rFonts w:hint="eastAsia" w:ascii="仿宋" w:hAnsi="仿宋" w:eastAsia="仿宋" w:cs="仿宋"/>
                <w:sz w:val="24"/>
                <w:szCs w:val="24"/>
              </w:rPr>
              <w:t>分，缺</w:t>
            </w:r>
            <w:r>
              <w:rPr>
                <w:rFonts w:hint="eastAsia" w:ascii="仿宋" w:hAnsi="仿宋" w:eastAsia="仿宋" w:cs="仿宋"/>
                <w:sz w:val="24"/>
                <w:szCs w:val="24"/>
                <w:lang w:val="en-US" w:eastAsia="zh-CN"/>
              </w:rPr>
              <w:t>1</w:t>
            </w:r>
            <w:r>
              <w:rPr>
                <w:rFonts w:hint="eastAsia" w:ascii="仿宋" w:hAnsi="仿宋" w:eastAsia="仿宋" w:cs="仿宋"/>
                <w:sz w:val="24"/>
                <w:szCs w:val="24"/>
              </w:rPr>
              <w:t>项</w:t>
            </w:r>
            <w:r>
              <w:rPr>
                <w:rFonts w:hint="eastAsia" w:ascii="仿宋" w:hAnsi="仿宋" w:eastAsia="仿宋" w:cs="仿宋"/>
                <w:sz w:val="24"/>
                <w:szCs w:val="24"/>
                <w:lang w:val="en-US" w:eastAsia="zh-CN"/>
              </w:rPr>
              <w:t>扣0.6分</w:t>
            </w:r>
            <w:r>
              <w:rPr>
                <w:rFonts w:hint="eastAsia" w:ascii="仿宋" w:hAnsi="仿宋" w:eastAsia="仿宋" w:cs="仿宋"/>
                <w:sz w:val="24"/>
                <w:szCs w:val="24"/>
              </w:rPr>
              <w:t>。</w:t>
            </w:r>
          </w:p>
          <w:p>
            <w:pPr>
              <w:spacing w:before="0" w:beforeAutospacing="0" w:after="0" w:afterAutospacing="0" w:line="460" w:lineRule="exact"/>
              <w:ind w:left="0" w:right="0"/>
              <w:rPr>
                <w:rFonts w:hint="eastAsia" w:ascii="仿宋" w:hAnsi="仿宋" w:eastAsia="仿宋" w:cs="仿宋"/>
                <w:b/>
                <w:bCs/>
                <w:color w:val="000000"/>
                <w:kern w:val="0"/>
                <w:sz w:val="24"/>
                <w:szCs w:val="24"/>
              </w:rPr>
            </w:pPr>
            <w:r>
              <w:rPr>
                <w:rFonts w:hint="eastAsia" w:ascii="仿宋" w:hAnsi="仿宋" w:eastAsia="仿宋" w:cs="仿宋"/>
                <w:b/>
                <w:bCs/>
                <w:sz w:val="24"/>
                <w:szCs w:val="24"/>
              </w:rPr>
              <w:t>证明文件：须提供</w:t>
            </w:r>
            <w:r>
              <w:rPr>
                <w:rFonts w:hint="eastAsia" w:ascii="仿宋" w:hAnsi="仿宋" w:eastAsia="仿宋" w:cs="仿宋"/>
                <w:b/>
                <w:bCs/>
                <w:sz w:val="24"/>
                <w:szCs w:val="24"/>
                <w:lang w:val="en-US" w:eastAsia="zh-CN"/>
              </w:rPr>
              <w:t>有效的相关证</w:t>
            </w:r>
            <w:r>
              <w:rPr>
                <w:rFonts w:hint="eastAsia" w:ascii="仿宋" w:hAnsi="仿宋" w:eastAsia="仿宋" w:cs="仿宋"/>
                <w:b/>
                <w:bCs/>
                <w:sz w:val="24"/>
                <w:szCs w:val="24"/>
              </w:rPr>
              <w:t>书</w:t>
            </w:r>
            <w:r>
              <w:rPr>
                <w:rFonts w:hint="eastAsia" w:ascii="仿宋" w:hAnsi="仿宋" w:eastAsia="仿宋" w:cs="仿宋"/>
                <w:b/>
                <w:bCs/>
                <w:sz w:val="24"/>
                <w:szCs w:val="24"/>
                <w:lang w:val="en-US" w:eastAsia="zh-CN"/>
              </w:rPr>
              <w:t>扫描件加盖电子公章</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否则不得分</w:t>
            </w:r>
            <w:r>
              <w:rPr>
                <w:rFonts w:hint="eastAsia" w:ascii="仿宋" w:hAnsi="仿宋" w:eastAsia="仿宋" w:cs="仿宋"/>
                <w:b/>
                <w:bCs/>
                <w:sz w:val="24"/>
                <w:szCs w:val="24"/>
              </w:rPr>
              <w:t>。</w:t>
            </w:r>
          </w:p>
        </w:tc>
        <w:tc>
          <w:tcPr>
            <w:tcW w:w="851" w:type="dxa"/>
            <w:tcBorders>
              <w:top w:val="single" w:color="000000" w:sz="4" w:space="0"/>
              <w:left w:val="nil"/>
              <w:bottom w:val="single" w:color="000000" w:sz="4" w:space="0"/>
              <w:right w:val="single" w:color="000000" w:sz="4" w:space="0"/>
            </w:tcBorders>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rPr>
            </w:pPr>
            <w:r>
              <w:rPr>
                <w:rFonts w:hint="eastAsia" w:ascii="仿宋" w:hAnsi="仿宋" w:eastAsia="仿宋" w:cs="仿宋"/>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40"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60" w:lineRule="exac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安装工程承包资质证书</w:t>
            </w:r>
          </w:p>
        </w:tc>
        <w:tc>
          <w:tcPr>
            <w:tcW w:w="7654" w:type="dxa"/>
            <w:tcBorders>
              <w:top w:val="single" w:color="000000" w:sz="4" w:space="0"/>
              <w:left w:val="nil"/>
              <w:bottom w:val="single" w:color="000000" w:sz="4" w:space="0"/>
              <w:right w:val="single" w:color="000000" w:sz="4" w:space="0"/>
            </w:tcBorders>
            <w:vAlign w:val="center"/>
          </w:tcPr>
          <w:p>
            <w:pPr>
              <w:spacing w:before="0" w:beforeAutospacing="0" w:after="0" w:afterAutospacing="0" w:line="460" w:lineRule="exact"/>
              <w:ind w:left="0" w:right="0"/>
              <w:rPr>
                <w:rFonts w:hint="eastAsia" w:ascii="仿宋" w:hAnsi="仿宋" w:eastAsia="仿宋" w:cs="仿宋"/>
                <w:color w:val="auto"/>
                <w:sz w:val="24"/>
                <w:szCs w:val="24"/>
                <w:shd w:val="clear" w:color="auto" w:fill="D9D9D9"/>
              </w:rPr>
            </w:pPr>
            <w:r>
              <w:rPr>
                <w:rFonts w:hint="eastAsia" w:ascii="仿宋" w:hAnsi="仿宋" w:eastAsia="仿宋" w:cs="仿宋"/>
                <w:color w:val="auto"/>
                <w:sz w:val="24"/>
                <w:szCs w:val="24"/>
              </w:rPr>
              <w:t>投标人</w:t>
            </w:r>
            <w:r>
              <w:rPr>
                <w:rFonts w:hint="eastAsia" w:ascii="仿宋" w:hAnsi="仿宋" w:eastAsia="仿宋" w:cs="仿宋"/>
                <w:color w:val="auto"/>
                <w:sz w:val="24"/>
                <w:szCs w:val="24"/>
                <w:lang w:val="en-US" w:eastAsia="zh-CN"/>
              </w:rPr>
              <w:t>或所</w:t>
            </w:r>
            <w:r>
              <w:rPr>
                <w:rFonts w:hint="eastAsia" w:ascii="仿宋" w:hAnsi="仿宋" w:eastAsia="仿宋" w:cs="仿宋"/>
                <w:color w:val="auto"/>
                <w:sz w:val="24"/>
                <w:szCs w:val="24"/>
              </w:rPr>
              <w:t>投标设备制造单位提供起重设备安装工程</w:t>
            </w:r>
            <w:r>
              <w:rPr>
                <w:rFonts w:hint="eastAsia" w:ascii="仿宋" w:hAnsi="仿宋" w:eastAsia="仿宋" w:cs="仿宋"/>
                <w:color w:val="auto"/>
                <w:sz w:val="24"/>
                <w:szCs w:val="24"/>
                <w:lang w:val="en-US" w:eastAsia="zh-CN"/>
              </w:rPr>
              <w:t>专业承包</w:t>
            </w:r>
            <w:r>
              <w:rPr>
                <w:rFonts w:hint="eastAsia" w:ascii="仿宋" w:hAnsi="仿宋" w:eastAsia="仿宋" w:cs="仿宋"/>
                <w:color w:val="auto"/>
                <w:sz w:val="24"/>
                <w:szCs w:val="24"/>
              </w:rPr>
              <w:t>资质证书的得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分，无不得分。</w:t>
            </w:r>
            <w:r>
              <w:rPr>
                <w:rFonts w:hint="eastAsia" w:ascii="仿宋" w:hAnsi="仿宋" w:eastAsia="仿宋" w:cs="仿宋"/>
                <w:color w:val="auto"/>
                <w:sz w:val="24"/>
                <w:szCs w:val="24"/>
              </w:rPr>
              <w:br w:type="textWrapping"/>
            </w:r>
            <w:r>
              <w:rPr>
                <w:rFonts w:hint="eastAsia" w:ascii="仿宋" w:hAnsi="仿宋" w:eastAsia="仿宋" w:cs="仿宋"/>
                <w:b/>
                <w:bCs/>
                <w:color w:val="auto"/>
                <w:sz w:val="24"/>
                <w:szCs w:val="24"/>
                <w:lang w:val="en-US" w:eastAsia="zh-CN"/>
              </w:rPr>
              <w:t>证明文件</w:t>
            </w:r>
            <w:r>
              <w:rPr>
                <w:rFonts w:hint="eastAsia" w:ascii="仿宋" w:hAnsi="仿宋" w:eastAsia="仿宋" w:cs="仿宋"/>
                <w:b/>
                <w:bCs/>
                <w:color w:val="auto"/>
                <w:sz w:val="24"/>
                <w:szCs w:val="24"/>
              </w:rPr>
              <w:t>：提供有效期内的资质</w:t>
            </w:r>
            <w:r>
              <w:rPr>
                <w:rFonts w:hint="eastAsia" w:ascii="仿宋" w:hAnsi="仿宋" w:eastAsia="仿宋" w:cs="仿宋"/>
                <w:b/>
                <w:bCs/>
                <w:color w:val="auto"/>
                <w:sz w:val="24"/>
                <w:szCs w:val="24"/>
                <w:lang w:val="en-US" w:eastAsia="zh-CN"/>
              </w:rPr>
              <w:t>证</w:t>
            </w:r>
            <w:r>
              <w:rPr>
                <w:rFonts w:hint="eastAsia" w:ascii="仿宋" w:hAnsi="仿宋" w:eastAsia="仿宋" w:cs="仿宋"/>
                <w:b/>
                <w:bCs/>
                <w:color w:val="auto"/>
                <w:sz w:val="24"/>
                <w:szCs w:val="24"/>
              </w:rPr>
              <w:t>书</w:t>
            </w:r>
            <w:r>
              <w:rPr>
                <w:rFonts w:hint="eastAsia" w:ascii="仿宋" w:hAnsi="仿宋" w:eastAsia="仿宋" w:cs="仿宋"/>
                <w:b/>
                <w:bCs/>
                <w:color w:val="auto"/>
                <w:sz w:val="24"/>
                <w:szCs w:val="24"/>
                <w:lang w:val="en-US" w:eastAsia="zh-CN"/>
              </w:rPr>
              <w:t>扫描件加盖电子公章</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否则不得分</w:t>
            </w:r>
            <w:r>
              <w:rPr>
                <w:rFonts w:hint="eastAsia" w:ascii="仿宋" w:hAnsi="仿宋" w:eastAsia="仿宋" w:cs="仿宋"/>
                <w:b/>
                <w:bCs/>
                <w:color w:val="auto"/>
                <w:sz w:val="24"/>
                <w:szCs w:val="24"/>
              </w:rPr>
              <w:t>。</w:t>
            </w:r>
          </w:p>
        </w:tc>
        <w:tc>
          <w:tcPr>
            <w:tcW w:w="851" w:type="dxa"/>
            <w:tcBorders>
              <w:top w:val="single" w:color="000000" w:sz="4" w:space="0"/>
              <w:left w:val="nil"/>
              <w:bottom w:val="single" w:color="000000" w:sz="4" w:space="0"/>
              <w:right w:val="single" w:color="000000" w:sz="4" w:space="0"/>
            </w:tcBorders>
            <w:vAlign w:val="center"/>
          </w:tcPr>
          <w:p>
            <w:pPr>
              <w:spacing w:before="0" w:beforeAutospacing="0" w:after="0" w:afterAutospacing="0" w:line="460" w:lineRule="exact"/>
              <w:ind w:left="0" w:right="0"/>
              <w:jc w:val="center"/>
              <w:rPr>
                <w:rFonts w:hint="eastAsia" w:ascii="仿宋" w:hAnsi="仿宋" w:eastAsia="仿宋" w:cs="仿宋"/>
                <w:color w:val="FF0000"/>
                <w:sz w:val="24"/>
                <w:szCs w:val="24"/>
              </w:rPr>
            </w:pPr>
            <w:r>
              <w:rPr>
                <w:rFonts w:hint="eastAsia" w:ascii="仿宋" w:hAnsi="仿宋" w:eastAsia="仿宋" w:cs="仿宋"/>
                <w:color w:val="auto"/>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40"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60" w:lineRule="exact"/>
              <w:ind w:left="0" w:right="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综合实力</w:t>
            </w:r>
          </w:p>
        </w:tc>
        <w:tc>
          <w:tcPr>
            <w:tcW w:w="7654" w:type="dxa"/>
            <w:tcBorders>
              <w:top w:val="single" w:color="000000" w:sz="4" w:space="0"/>
              <w:left w:val="nil"/>
              <w:bottom w:val="single" w:color="000000" w:sz="4" w:space="0"/>
              <w:right w:val="single" w:color="000000" w:sz="4" w:space="0"/>
            </w:tcBorders>
            <w:vAlign w:val="center"/>
          </w:tcPr>
          <w:p>
            <w:pPr>
              <w:spacing w:before="0" w:beforeAutospacing="0" w:after="0" w:afterAutospacing="0" w:line="460" w:lineRule="exact"/>
              <w:ind w:left="0" w:right="0"/>
              <w:rPr>
                <w:rFonts w:hint="eastAsia" w:ascii="仿宋" w:hAnsi="仿宋" w:eastAsia="仿宋" w:cs="仿宋"/>
                <w:color w:val="auto"/>
                <w:sz w:val="24"/>
                <w:szCs w:val="24"/>
                <w:shd w:val="clear" w:color="auto" w:fill="D9D9D9"/>
              </w:rPr>
            </w:pPr>
            <w:r>
              <w:rPr>
                <w:rFonts w:hint="eastAsia" w:ascii="仿宋" w:hAnsi="仿宋" w:eastAsia="仿宋" w:cs="仿宋"/>
                <w:color w:val="auto"/>
                <w:sz w:val="24"/>
                <w:szCs w:val="24"/>
                <w:lang w:val="en-US" w:eastAsia="zh-CN"/>
              </w:rPr>
              <w:t>投标人或所投设备品牌制造商每参加起草或负责起草平面移动类机械式停车设备行业标准JB/T10545-2016和机械式停车设备通用安全标准GB17907-2010的，每参与一项得1分，最多得2分。</w:t>
            </w:r>
            <w:r>
              <w:rPr>
                <w:rFonts w:hint="eastAsia" w:ascii="仿宋" w:hAnsi="仿宋" w:eastAsia="仿宋" w:cs="仿宋"/>
                <w:b/>
                <w:bCs/>
                <w:color w:val="auto"/>
                <w:sz w:val="24"/>
                <w:szCs w:val="24"/>
                <w:lang w:val="en-US" w:eastAsia="zh-CN"/>
              </w:rPr>
              <w:t>（证明文件：须提供中华人民共和国机械行业标准及国家标准最新文件扫描件加盖电子公章，同时须体现投标产品制造商名称，无不得分。）</w:t>
            </w:r>
          </w:p>
        </w:tc>
        <w:tc>
          <w:tcPr>
            <w:tcW w:w="851" w:type="dxa"/>
            <w:tcBorders>
              <w:top w:val="single" w:color="000000" w:sz="4" w:space="0"/>
              <w:left w:val="nil"/>
              <w:bottom w:val="single" w:color="000000" w:sz="4" w:space="0"/>
              <w:right w:val="single" w:color="000000" w:sz="4" w:space="0"/>
            </w:tcBorders>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40"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60" w:lineRule="exact"/>
              <w:ind w:left="0" w:right="0"/>
              <w:rPr>
                <w:rFonts w:hint="eastAsia" w:ascii="仿宋" w:hAnsi="仿宋" w:eastAsia="仿宋" w:cs="仿宋"/>
                <w:color w:val="auto"/>
                <w:sz w:val="24"/>
                <w:szCs w:val="24"/>
              </w:rPr>
            </w:pPr>
            <w:r>
              <w:rPr>
                <w:rFonts w:hint="eastAsia" w:ascii="仿宋" w:hAnsi="仿宋" w:eastAsia="仿宋" w:cs="仿宋"/>
                <w:strike w:val="0"/>
                <w:dstrike w:val="0"/>
                <w:color w:val="auto"/>
                <w:sz w:val="24"/>
                <w:szCs w:val="24"/>
                <w:lang w:val="en-US" w:eastAsia="zh-CN"/>
              </w:rPr>
              <w:t>政府质量奖项</w:t>
            </w:r>
          </w:p>
        </w:tc>
        <w:tc>
          <w:tcPr>
            <w:tcW w:w="7654" w:type="dxa"/>
            <w:tcBorders>
              <w:top w:val="single" w:color="000000" w:sz="4" w:space="0"/>
              <w:left w:val="nil"/>
              <w:bottom w:val="single" w:color="000000" w:sz="4" w:space="0"/>
              <w:right w:val="single" w:color="000000" w:sz="4" w:space="0"/>
            </w:tcBorders>
            <w:vAlign w:val="center"/>
          </w:tcPr>
          <w:p>
            <w:pPr>
              <w:spacing w:before="0" w:beforeAutospacing="0" w:after="0" w:afterAutospacing="0" w:line="460" w:lineRule="exact"/>
              <w:ind w:left="0" w:right="0"/>
              <w:rPr>
                <w:rFonts w:hint="eastAsia" w:ascii="仿宋" w:hAnsi="仿宋" w:eastAsia="仿宋" w:cs="仿宋"/>
                <w:strike w:val="0"/>
                <w:dstrike w:val="0"/>
                <w:color w:val="auto"/>
                <w:sz w:val="24"/>
                <w:szCs w:val="24"/>
                <w:lang w:val="en-US" w:eastAsia="zh-CN"/>
              </w:rPr>
            </w:pPr>
            <w:r>
              <w:rPr>
                <w:rFonts w:hint="eastAsia" w:ascii="仿宋" w:hAnsi="仿宋" w:eastAsia="仿宋" w:cs="仿宋"/>
                <w:strike w:val="0"/>
                <w:dstrike w:val="0"/>
                <w:color w:val="auto"/>
                <w:sz w:val="24"/>
                <w:szCs w:val="24"/>
                <w:lang w:val="en-US" w:eastAsia="zh-CN"/>
              </w:rPr>
              <w:t>投标人或所投设备品牌制造商获得过政府部门颁发的质量奖项的得2分，没有不得分。</w:t>
            </w:r>
          </w:p>
          <w:p>
            <w:pPr>
              <w:spacing w:before="0" w:beforeAutospacing="0" w:after="0" w:afterAutospacing="0" w:line="460" w:lineRule="exact"/>
              <w:ind w:left="0" w:right="0"/>
              <w:rPr>
                <w:rFonts w:hint="eastAsia" w:ascii="仿宋" w:hAnsi="仿宋" w:eastAsia="仿宋" w:cs="仿宋"/>
                <w:color w:val="auto"/>
                <w:sz w:val="24"/>
                <w:szCs w:val="24"/>
                <w:shd w:val="clear" w:color="auto" w:fill="D9D9D9"/>
              </w:rPr>
            </w:pPr>
            <w:r>
              <w:rPr>
                <w:rFonts w:hint="eastAsia" w:ascii="仿宋" w:hAnsi="仿宋" w:eastAsia="仿宋" w:cs="仿宋"/>
                <w:b/>
                <w:bCs/>
                <w:color w:val="auto"/>
                <w:sz w:val="24"/>
                <w:szCs w:val="24"/>
                <w:lang w:val="en-US" w:eastAsia="zh-CN"/>
              </w:rPr>
              <w:t>证明文件：提供政府部门出具的证明文件扫描件加盖电子公章，否则不得分。</w:t>
            </w:r>
          </w:p>
        </w:tc>
        <w:tc>
          <w:tcPr>
            <w:tcW w:w="851" w:type="dxa"/>
            <w:tcBorders>
              <w:top w:val="single" w:color="000000" w:sz="4" w:space="0"/>
              <w:left w:val="nil"/>
              <w:bottom w:val="single" w:color="000000" w:sz="4" w:space="0"/>
              <w:right w:val="single" w:color="000000" w:sz="4" w:space="0"/>
            </w:tcBorders>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rPr>
            </w:pPr>
            <w:r>
              <w:rPr>
                <w:rFonts w:hint="eastAsia" w:ascii="仿宋" w:hAnsi="仿宋" w:eastAsia="仿宋" w:cs="仿宋"/>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40"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60" w:lineRule="exact"/>
              <w:ind w:left="0" w:right="0"/>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绿色低碳工厂</w:t>
            </w:r>
          </w:p>
        </w:tc>
        <w:tc>
          <w:tcPr>
            <w:tcW w:w="7654" w:type="dxa"/>
            <w:tcBorders>
              <w:top w:val="single" w:color="000000" w:sz="4" w:space="0"/>
              <w:left w:val="nil"/>
              <w:bottom w:val="single" w:color="000000" w:sz="4" w:space="0"/>
              <w:right w:val="single" w:color="000000" w:sz="4" w:space="0"/>
            </w:tcBorders>
            <w:vAlign w:val="center"/>
          </w:tcPr>
          <w:p>
            <w:pPr>
              <w:numPr>
                <w:ilvl w:val="0"/>
                <w:numId w:val="0"/>
              </w:numPr>
              <w:spacing w:before="0" w:beforeAutospacing="0" w:after="0" w:afterAutospacing="0" w:line="460" w:lineRule="exact"/>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投标人或所投设备品牌制造商获得市级及以上政府部门评定的绿色低碳低碳工厂得2分</w:t>
            </w:r>
            <w:r>
              <w:rPr>
                <w:rFonts w:hint="eastAsia" w:ascii="仿宋" w:hAnsi="仿宋" w:eastAsia="仿宋" w:cs="仿宋"/>
                <w:color w:val="auto"/>
                <w:sz w:val="24"/>
                <w:szCs w:val="24"/>
                <w:highlight w:val="none"/>
                <w:lang w:val="en-US" w:eastAsia="zh-CN"/>
              </w:rPr>
              <w:t xml:space="preserve">：  </w:t>
            </w:r>
          </w:p>
          <w:p>
            <w:pPr>
              <w:spacing w:before="0" w:beforeAutospacing="0" w:after="0" w:afterAutospacing="0" w:line="460" w:lineRule="exact"/>
              <w:ind w:left="0" w:right="0"/>
              <w:rPr>
                <w:rFonts w:hint="eastAsia" w:ascii="仿宋" w:hAnsi="仿宋" w:eastAsia="仿宋" w:cs="仿宋"/>
                <w:color w:val="auto"/>
                <w:sz w:val="24"/>
                <w:szCs w:val="24"/>
                <w:highlight w:val="none"/>
                <w:shd w:val="clear" w:color="auto" w:fill="D9D9D9"/>
              </w:rPr>
            </w:pPr>
            <w:r>
              <w:rPr>
                <w:rFonts w:hint="eastAsia" w:ascii="仿宋" w:hAnsi="仿宋" w:eastAsia="仿宋" w:cs="仿宋"/>
                <w:b/>
                <w:bCs/>
                <w:color w:val="auto"/>
                <w:sz w:val="24"/>
                <w:szCs w:val="24"/>
                <w:highlight w:val="none"/>
              </w:rPr>
              <w:t>证明文件：须提供证书</w:t>
            </w:r>
            <w:r>
              <w:rPr>
                <w:rFonts w:hint="eastAsia" w:ascii="仿宋" w:hAnsi="仿宋" w:eastAsia="仿宋" w:cs="仿宋"/>
                <w:b/>
                <w:bCs/>
                <w:color w:val="auto"/>
                <w:sz w:val="24"/>
                <w:szCs w:val="24"/>
                <w:highlight w:val="none"/>
                <w:lang w:val="en-US" w:eastAsia="zh-CN"/>
              </w:rPr>
              <w:t>或网上公示截屏文件（需提供网上链接）扫描件加盖电子公章</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否则不得分。</w:t>
            </w:r>
          </w:p>
        </w:tc>
        <w:tc>
          <w:tcPr>
            <w:tcW w:w="851" w:type="dxa"/>
            <w:tcBorders>
              <w:top w:val="single" w:color="000000" w:sz="4" w:space="0"/>
              <w:left w:val="nil"/>
              <w:bottom w:val="single" w:color="000000" w:sz="4" w:space="0"/>
              <w:right w:val="single" w:color="000000" w:sz="4" w:space="0"/>
            </w:tcBorders>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rPr>
            </w:pPr>
            <w:r>
              <w:rPr>
                <w:rFonts w:hint="eastAsia" w:ascii="仿宋" w:hAnsi="仿宋" w:eastAsia="仿宋" w:cs="仿宋"/>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2" w:hRule="atLeast"/>
          <w:jc w:val="center"/>
        </w:trPr>
        <w:tc>
          <w:tcPr>
            <w:tcW w:w="1240"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业绩合同</w:t>
            </w:r>
          </w:p>
        </w:tc>
        <w:tc>
          <w:tcPr>
            <w:tcW w:w="7654" w:type="dxa"/>
            <w:tcBorders>
              <w:top w:val="single" w:color="000000" w:sz="4" w:space="0"/>
              <w:left w:val="nil"/>
              <w:bottom w:val="single" w:color="000000" w:sz="4" w:space="0"/>
              <w:right w:val="single" w:color="000000" w:sz="4" w:space="0"/>
            </w:tcBorders>
            <w:vAlign w:val="center"/>
          </w:tcPr>
          <w:p>
            <w:pPr>
              <w:spacing w:before="0" w:beforeAutospacing="0" w:after="0" w:afterAutospacing="0" w:line="460" w:lineRule="exact"/>
              <w:ind w:left="0" w:right="0"/>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投标人或所投设备品牌制造商自2018年1月1日以来（以合同签订时间为准）签订并完成机械车库设备采购及安装调试的类似业绩（层数≥6层）且设备通过验收并取得特种设备监督检验部门检验报告。每个业绩得0.3分，最高得3分。</w:t>
            </w:r>
          </w:p>
          <w:p>
            <w:pPr>
              <w:spacing w:before="0" w:beforeAutospacing="0" w:after="0" w:afterAutospacing="0" w:line="460" w:lineRule="exact"/>
              <w:ind w:left="0" w:right="0"/>
              <w:rPr>
                <w:rFonts w:hint="eastAsia" w:ascii="仿宋" w:hAnsi="仿宋" w:eastAsia="仿宋" w:cs="仿宋"/>
                <w:color w:val="auto"/>
                <w:sz w:val="24"/>
                <w:szCs w:val="24"/>
                <w:highlight w:val="none"/>
                <w:shd w:val="clear" w:color="auto" w:fill="D9D9D9"/>
              </w:rPr>
            </w:pPr>
            <w:r>
              <w:rPr>
                <w:rFonts w:hint="eastAsia" w:ascii="仿宋" w:hAnsi="仿宋" w:eastAsia="仿宋" w:cs="仿宋"/>
                <w:b/>
                <w:bCs/>
                <w:strike w:val="0"/>
                <w:dstrike w:val="0"/>
                <w:color w:val="auto"/>
                <w:sz w:val="24"/>
                <w:szCs w:val="24"/>
                <w:highlight w:val="none"/>
                <w:lang w:val="en-US" w:eastAsia="zh-CN"/>
              </w:rPr>
              <w:t>证明材料：所提供业绩须为平面移动类且车辆核心搬运方式为机械手夹臂抱轮式（提供项目整体及内部搬运装置实拍照片予以证明），提供业绩合同及特种设备监督检验部门检验报告扫描件加盖电子公章，不提供以上证明材料的不得分。中标单位业绩予以公示，若发现所提供业绩存在造假行为取消其中标资格，并上报上级主管部门。</w:t>
            </w:r>
          </w:p>
        </w:tc>
        <w:tc>
          <w:tcPr>
            <w:tcW w:w="851" w:type="dxa"/>
            <w:tcBorders>
              <w:top w:val="single" w:color="000000" w:sz="4" w:space="0"/>
              <w:left w:val="nil"/>
              <w:bottom w:val="single" w:color="000000" w:sz="4" w:space="0"/>
              <w:right w:val="single" w:color="000000" w:sz="4" w:space="0"/>
            </w:tcBorders>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rPr>
            </w:pPr>
            <w:r>
              <w:rPr>
                <w:rFonts w:hint="eastAsia" w:ascii="仿宋" w:hAnsi="仿宋" w:eastAsia="仿宋" w:cs="仿宋"/>
                <w:sz w:val="24"/>
                <w:szCs w:val="24"/>
                <w:lang w:val="en-US" w:eastAsia="zh-CN"/>
              </w:rPr>
              <w:t>3</w:t>
            </w:r>
          </w:p>
        </w:tc>
      </w:tr>
    </w:tbl>
    <w:p>
      <w:pPr>
        <w:snapToGrid w:val="0"/>
        <w:spacing w:line="360" w:lineRule="auto"/>
        <w:rPr>
          <w:rFonts w:ascii="仿宋" w:hAnsi="仿宋" w:eastAsia="仿宋" w:cs="仿宋_GB2312"/>
          <w:b/>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88"/>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88"/>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88"/>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88"/>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88"/>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88"/>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88"/>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88"/>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w:t>
      </w:r>
      <w:r>
        <w:rPr>
          <w:rFonts w:hint="eastAsia" w:ascii="仿宋" w:hAnsi="仿宋" w:eastAsia="仿宋" w:cs="仿宋"/>
          <w:kern w:val="0"/>
          <w:szCs w:val="24"/>
          <w:highlight w:val="none"/>
        </w:rPr>
        <w:t>予</w:t>
      </w:r>
      <w:r>
        <w:rPr>
          <w:rFonts w:hint="eastAsia" w:ascii="仿宋" w:hAnsi="仿宋" w:eastAsia="仿宋" w:cs="仿宋"/>
          <w:kern w:val="0"/>
          <w:szCs w:val="24"/>
          <w:highlight w:val="none"/>
          <w:lang w:val="en-US" w:eastAsia="zh-CN"/>
        </w:rPr>
        <w:t>20</w:t>
      </w:r>
      <w:r>
        <w:rPr>
          <w:rFonts w:ascii="仿宋" w:hAnsi="仿宋" w:eastAsia="仿宋" w:cs="仿宋"/>
          <w:kern w:val="0"/>
          <w:szCs w:val="24"/>
          <w:highlight w:val="none"/>
        </w:rPr>
        <w:t>%的扣除，用扣除后的价格参与评审。接受大中型企业与小</w:t>
      </w:r>
      <w:r>
        <w:rPr>
          <w:rFonts w:hint="eastAsia" w:ascii="仿宋" w:hAnsi="仿宋" w:eastAsia="仿宋" w:cs="仿宋"/>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highlight w:val="none"/>
        </w:rPr>
        <w:t>30%以上的，对联合体或者大中型企业的报价给予</w:t>
      </w:r>
      <w:r>
        <w:rPr>
          <w:rFonts w:hint="eastAsia" w:ascii="仿宋" w:hAnsi="仿宋" w:eastAsia="仿宋" w:cs="仿宋"/>
          <w:kern w:val="0"/>
          <w:szCs w:val="24"/>
          <w:highlight w:val="none"/>
          <w:lang w:val="en-US" w:eastAsia="zh-CN"/>
        </w:rPr>
        <w:t>6</w:t>
      </w:r>
      <w:r>
        <w:rPr>
          <w:rFonts w:ascii="仿宋" w:hAnsi="仿宋" w:eastAsia="仿宋" w:cs="仿宋"/>
          <w:kern w:val="0"/>
          <w:szCs w:val="24"/>
          <w:highlight w:val="none"/>
        </w:rPr>
        <w:t>%的扣除，用扣除后的价格参加评审。组成联合体或者接受分包的小</w:t>
      </w:r>
      <w:r>
        <w:rPr>
          <w:rFonts w:hint="eastAsia" w:ascii="仿宋" w:hAnsi="仿宋" w:eastAsia="仿宋" w:cs="仿宋"/>
          <w:kern w:val="0"/>
          <w:szCs w:val="24"/>
          <w:highlight w:val="none"/>
        </w:rPr>
        <w:t>微企业与联合体内其</w:t>
      </w:r>
      <w:r>
        <w:rPr>
          <w:rFonts w:hint="eastAsia" w:ascii="仿宋" w:hAnsi="仿宋" w:eastAsia="仿宋" w:cs="仿宋"/>
          <w:kern w:val="0"/>
          <w:szCs w:val="24"/>
        </w:rPr>
        <w:t>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lang w:val="en-US" w:eastAsia="zh-CN"/>
        </w:rPr>
        <w:t xml:space="preserve">   </w:t>
      </w: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88"/>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w:t>
      </w:r>
      <w:r>
        <w:rPr>
          <w:rFonts w:hint="eastAsia" w:ascii="仿宋_GB2312" w:hAnsi="仿宋" w:eastAsia="仿宋_GB2312" w:cs="Arial"/>
          <w:kern w:val="0"/>
          <w:sz w:val="24"/>
          <w:lang w:val="en-US" w:eastAsia="zh-CN"/>
        </w:rPr>
        <w:t>未</w:t>
      </w:r>
      <w:r>
        <w:rPr>
          <w:rFonts w:ascii="仿宋_GB2312" w:hAnsi="仿宋" w:eastAsia="仿宋_GB2312" w:cs="Arial"/>
          <w:kern w:val="0"/>
          <w:sz w:val="24"/>
        </w:rPr>
        <w:t>在电子交易平台传输递交投标文件的，投标无效；</w:t>
      </w:r>
    </w:p>
    <w:p>
      <w:pPr>
        <w:pStyle w:val="3"/>
        <w:ind w:left="862" w:leftChars="205"/>
        <w:rPr>
          <w:rFonts w:cs="Arial"/>
          <w:b w:val="0"/>
          <w:bCs w:val="0"/>
          <w:kern w:val="0"/>
          <w:sz w:val="24"/>
          <w:szCs w:val="24"/>
          <w:highlight w:val="none"/>
          <w:lang w:val="en-US"/>
        </w:rPr>
      </w:pPr>
      <w:r>
        <w:rPr>
          <w:rFonts w:cs="Arial"/>
          <w:b w:val="0"/>
          <w:bCs w:val="0"/>
          <w:kern w:val="0"/>
          <w:sz w:val="24"/>
          <w:szCs w:val="24"/>
          <w:highlight w:val="none"/>
          <w:lang w:val="en-US"/>
        </w:rPr>
        <w:t xml:space="preserve">4.2.13 </w:t>
      </w:r>
      <w:r>
        <w:rPr>
          <w:rFonts w:hint="eastAsia" w:cs="Arial"/>
          <w:b w:val="0"/>
          <w:bCs w:val="0"/>
          <w:kern w:val="0"/>
          <w:sz w:val="24"/>
          <w:szCs w:val="24"/>
          <w:highlight w:val="none"/>
          <w:lang w:val="en-US"/>
        </w:rPr>
        <w:t>投标文件不满足招标文件的带“▲”</w:t>
      </w:r>
      <w:r>
        <w:rPr>
          <w:rFonts w:hint="eastAsia" w:cs="Arial"/>
          <w:b w:val="0"/>
          <w:bCs w:val="0"/>
          <w:kern w:val="0"/>
          <w:sz w:val="24"/>
          <w:szCs w:val="24"/>
          <w:highlight w:val="none"/>
          <w:lang w:val="en-US" w:eastAsia="zh-CN"/>
        </w:rPr>
        <w:t>号</w:t>
      </w:r>
      <w:r>
        <w:rPr>
          <w:rFonts w:hint="eastAsia" w:cs="Arial"/>
          <w:b w:val="0"/>
          <w:bCs w:val="0"/>
          <w:kern w:val="0"/>
          <w:sz w:val="24"/>
          <w:szCs w:val="24"/>
          <w:highlight w:val="none"/>
          <w:lang w:val="en-US"/>
        </w:rPr>
        <w:t>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5"/>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5"/>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5"/>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5"/>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5"/>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5"/>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5"/>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5" w:name="第五部分"/>
      <w:bookmarkStart w:id="396"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pStyle w:val="81"/>
        <w:rPr>
          <w:rFonts w:ascii="仿宋_GB2312" w:hAnsi="仿宋" w:eastAsia="仿宋_GB2312" w:cs="仿宋_GB2312"/>
          <w:b/>
          <w:sz w:val="36"/>
          <w:szCs w:val="36"/>
        </w:rPr>
      </w:pPr>
    </w:p>
    <w:p>
      <w:pPr>
        <w:pStyle w:val="81"/>
        <w:rPr>
          <w:rFonts w:ascii="仿宋_GB2312" w:hAnsi="仿宋" w:eastAsia="仿宋_GB2312" w:cs="仿宋_GB2312"/>
          <w:b/>
          <w:sz w:val="36"/>
          <w:szCs w:val="36"/>
        </w:rPr>
      </w:pPr>
    </w:p>
    <w:p>
      <w:pPr>
        <w:pStyle w:val="81"/>
        <w:rPr>
          <w:rFonts w:ascii="仿宋_GB2312" w:hAnsi="仿宋" w:eastAsia="仿宋_GB2312" w:cs="仿宋_GB2312"/>
          <w:b/>
          <w:sz w:val="36"/>
          <w:szCs w:val="36"/>
        </w:rPr>
      </w:pPr>
    </w:p>
    <w:p>
      <w:pPr>
        <w:pStyle w:val="81"/>
        <w:rPr>
          <w:rFonts w:ascii="仿宋_GB2312" w:hAnsi="仿宋" w:eastAsia="仿宋_GB2312" w:cs="仿宋_GB2312"/>
          <w:b/>
          <w:sz w:val="36"/>
          <w:szCs w:val="36"/>
        </w:rPr>
      </w:pPr>
    </w:p>
    <w:p>
      <w:pPr>
        <w:pStyle w:val="81"/>
        <w:rPr>
          <w:rFonts w:ascii="仿宋_GB2312" w:hAnsi="仿宋" w:eastAsia="仿宋_GB2312" w:cs="仿宋_GB2312"/>
          <w:b/>
          <w:sz w:val="36"/>
          <w:szCs w:val="36"/>
        </w:rPr>
      </w:pPr>
    </w:p>
    <w:p>
      <w:pPr>
        <w:pStyle w:val="81"/>
        <w:rPr>
          <w:rFonts w:ascii="仿宋_GB2312" w:hAnsi="仿宋" w:eastAsia="仿宋_GB2312" w:cs="仿宋_GB2312"/>
          <w:b/>
          <w:sz w:val="36"/>
          <w:szCs w:val="36"/>
        </w:rPr>
      </w:pPr>
    </w:p>
    <w:p>
      <w:pPr>
        <w:pStyle w:val="81"/>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p>
    <w:p>
      <w:pPr>
        <w:pStyle w:val="385"/>
        <w:rPr>
          <w:rFonts w:ascii="仿宋" w:hAnsi="仿宋" w:eastAsia="仿宋"/>
          <w:szCs w:val="24"/>
        </w:rPr>
      </w:pPr>
    </w:p>
    <w:p>
      <w:pPr>
        <w:pStyle w:val="385"/>
        <w:jc w:val="center"/>
        <w:rPr>
          <w:rFonts w:ascii="仿宋" w:hAnsi="仿宋" w:eastAsia="仿宋"/>
          <w:szCs w:val="24"/>
        </w:rPr>
      </w:pPr>
    </w:p>
    <w:p>
      <w:pPr>
        <w:pStyle w:val="385"/>
        <w:rPr>
          <w:rFonts w:ascii="仿宋" w:hAnsi="仿宋" w:eastAsia="仿宋"/>
          <w:szCs w:val="24"/>
        </w:rPr>
      </w:pPr>
    </w:p>
    <w:p>
      <w:pPr>
        <w:pStyle w:val="385"/>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283"/>
        <w:spacing w:before="120" w:line="22" w:lineRule="atLeast"/>
        <w:rPr>
          <w:rFonts w:ascii="仿宋" w:hAnsi="仿宋" w:eastAsia="仿宋"/>
          <w:szCs w:val="24"/>
        </w:rPr>
      </w:pPr>
    </w:p>
    <w:p>
      <w:pPr>
        <w:pStyle w:val="283"/>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pStyle w:val="34"/>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甲方：（买方）</w:t>
      </w:r>
    </w:p>
    <w:p>
      <w:pPr>
        <w:pStyle w:val="34"/>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乙方：（卖方）</w:t>
      </w:r>
    </w:p>
    <w:p>
      <w:pPr>
        <w:pStyle w:val="34"/>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甲、乙双方根据                  项目（项目编号：  ）公开招标的结果，签署本合同。</w:t>
      </w:r>
    </w:p>
    <w:p>
      <w:pPr>
        <w:spacing w:line="560" w:lineRule="exact"/>
        <w:ind w:firstLine="482" w:firstLineChars="200"/>
        <w:outlineLvl w:val="0"/>
        <w:rPr>
          <w:rFonts w:ascii="仿宋" w:hAnsi="仿宋" w:eastAsia="仿宋"/>
          <w:b/>
          <w:sz w:val="24"/>
          <w:highlight w:val="none"/>
        </w:rPr>
      </w:pPr>
      <w:r>
        <w:rPr>
          <w:rFonts w:hint="eastAsia" w:ascii="仿宋" w:hAnsi="仿宋" w:eastAsia="仿宋"/>
          <w:b/>
          <w:sz w:val="24"/>
          <w:highlight w:val="none"/>
          <w:lang w:val="en-US" w:eastAsia="zh-CN"/>
        </w:rPr>
        <w:t>1、</w:t>
      </w:r>
      <w:r>
        <w:rPr>
          <w:rFonts w:hint="eastAsia" w:ascii="仿宋" w:hAnsi="仿宋" w:eastAsia="仿宋"/>
          <w:b/>
          <w:sz w:val="24"/>
          <w:highlight w:val="none"/>
        </w:rPr>
        <w:t>货物</w:t>
      </w:r>
    </w:p>
    <w:p>
      <w:pPr>
        <w:spacing w:line="560" w:lineRule="exact"/>
        <w:ind w:firstLine="480" w:firstLineChars="200"/>
        <w:rPr>
          <w:rFonts w:ascii="仿宋" w:hAnsi="仿宋" w:eastAsia="仿宋"/>
          <w:sz w:val="24"/>
          <w:highlight w:val="none"/>
          <w:u w:val="single"/>
        </w:rPr>
      </w:pPr>
      <w:r>
        <w:rPr>
          <w:rFonts w:ascii="仿宋" w:hAnsi="仿宋" w:eastAsia="仿宋"/>
          <w:sz w:val="24"/>
          <w:highlight w:val="none"/>
        </w:rPr>
        <w:t xml:space="preserve">1.1 </w:t>
      </w:r>
      <w:r>
        <w:rPr>
          <w:rFonts w:hint="eastAsia" w:ascii="仿宋" w:hAnsi="仿宋" w:eastAsia="仿宋"/>
          <w:sz w:val="24"/>
          <w:highlight w:val="none"/>
        </w:rPr>
        <w:t>货物名称：</w:t>
      </w:r>
      <w:r>
        <w:rPr>
          <w:rFonts w:ascii="仿宋" w:hAnsi="仿宋" w:eastAsia="仿宋"/>
          <w:sz w:val="24"/>
          <w:highlight w:val="none"/>
          <w:u w:val="single"/>
        </w:rPr>
        <w:t xml:space="preserve">                                                </w:t>
      </w:r>
      <w:r>
        <w:rPr>
          <w:rFonts w:hint="eastAsia" w:ascii="仿宋" w:hAnsi="仿宋" w:eastAsia="仿宋"/>
          <w:sz w:val="24"/>
          <w:highlight w:val="none"/>
        </w:rPr>
        <w:t>；</w:t>
      </w:r>
    </w:p>
    <w:p>
      <w:pPr>
        <w:spacing w:line="560" w:lineRule="exact"/>
        <w:ind w:firstLine="480" w:firstLineChars="200"/>
        <w:rPr>
          <w:rFonts w:ascii="仿宋" w:hAnsi="仿宋" w:eastAsia="仿宋"/>
          <w:sz w:val="24"/>
          <w:highlight w:val="none"/>
          <w:u w:val="single"/>
        </w:rPr>
      </w:pPr>
      <w:r>
        <w:rPr>
          <w:rFonts w:ascii="仿宋" w:hAnsi="仿宋" w:eastAsia="仿宋"/>
          <w:sz w:val="24"/>
          <w:highlight w:val="none"/>
        </w:rPr>
        <w:t xml:space="preserve">1.2 </w:t>
      </w:r>
      <w:r>
        <w:rPr>
          <w:rFonts w:hint="eastAsia" w:ascii="仿宋" w:hAnsi="仿宋" w:eastAsia="仿宋"/>
          <w:sz w:val="24"/>
          <w:highlight w:val="none"/>
        </w:rPr>
        <w:t>货物数量：</w:t>
      </w:r>
      <w:r>
        <w:rPr>
          <w:rFonts w:ascii="仿宋" w:hAnsi="仿宋" w:eastAsia="仿宋"/>
          <w:sz w:val="24"/>
          <w:highlight w:val="none"/>
          <w:u w:val="single"/>
        </w:rPr>
        <w:t xml:space="preserve">                                                </w:t>
      </w:r>
      <w:r>
        <w:rPr>
          <w:rFonts w:hint="eastAsia" w:ascii="仿宋" w:hAnsi="仿宋" w:eastAsia="仿宋"/>
          <w:sz w:val="24"/>
          <w:highlight w:val="none"/>
        </w:rPr>
        <w:t>；</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1.3 </w:t>
      </w:r>
      <w:r>
        <w:rPr>
          <w:rFonts w:hint="eastAsia" w:ascii="仿宋" w:hAnsi="仿宋" w:eastAsia="仿宋"/>
          <w:sz w:val="24"/>
          <w:highlight w:val="none"/>
        </w:rPr>
        <w:t>货物质量：</w:t>
      </w:r>
      <w:r>
        <w:rPr>
          <w:rFonts w:hint="eastAsia" w:ascii="仿宋" w:hAnsi="仿宋" w:eastAsia="仿宋"/>
          <w:sz w:val="24"/>
          <w:highlight w:val="none"/>
          <w:u w:val="single"/>
        </w:rPr>
        <w:t>　　　　　　　　　</w:t>
      </w:r>
      <w:r>
        <w:rPr>
          <w:rFonts w:ascii="仿宋" w:hAnsi="仿宋" w:eastAsia="仿宋"/>
          <w:sz w:val="24"/>
          <w:highlight w:val="none"/>
          <w:u w:val="single"/>
        </w:rPr>
        <w:t xml:space="preserve">                      　      </w:t>
      </w:r>
      <w:r>
        <w:rPr>
          <w:rFonts w:hint="eastAsia" w:ascii="仿宋" w:hAnsi="仿宋" w:eastAsia="仿宋"/>
          <w:sz w:val="24"/>
          <w:highlight w:val="none"/>
        </w:rPr>
        <w:t>。</w:t>
      </w:r>
    </w:p>
    <w:p>
      <w:pPr>
        <w:pStyle w:val="34"/>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p>
    <w:p>
      <w:pPr>
        <w:pStyle w:val="34"/>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仿宋" w:hAnsi="仿宋" w:eastAsia="仿宋"/>
          <w:b/>
          <w:sz w:val="24"/>
          <w:highlight w:val="none"/>
          <w:lang w:val="en-US" w:eastAsia="zh-CN"/>
        </w:rPr>
        <w:t>2、</w:t>
      </w:r>
      <w:r>
        <w:rPr>
          <w:rFonts w:hint="eastAsia" w:ascii="仿宋" w:hAnsi="仿宋" w:eastAsia="仿宋"/>
          <w:b/>
          <w:sz w:val="24"/>
          <w:highlight w:val="none"/>
        </w:rPr>
        <w:t>价款</w:t>
      </w:r>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本合同总价为：￥</w:t>
      </w:r>
      <w:r>
        <w:rPr>
          <w:rFonts w:ascii="仿宋" w:hAnsi="仿宋" w:eastAsia="仿宋"/>
          <w:sz w:val="24"/>
          <w:highlight w:val="none"/>
          <w:u w:val="single"/>
        </w:rPr>
        <w:t xml:space="preserve">           </w:t>
      </w:r>
      <w:r>
        <w:rPr>
          <w:rFonts w:hint="eastAsia" w:ascii="仿宋" w:hAnsi="仿宋" w:eastAsia="仿宋"/>
          <w:sz w:val="24"/>
          <w:highlight w:val="none"/>
        </w:rPr>
        <w:t>元（大写：</w:t>
      </w:r>
      <w:r>
        <w:rPr>
          <w:rFonts w:ascii="仿宋" w:hAnsi="仿宋" w:eastAsia="仿宋"/>
          <w:sz w:val="24"/>
          <w:highlight w:val="none"/>
          <w:u w:val="single"/>
        </w:rPr>
        <w:t xml:space="preserve">                 </w:t>
      </w:r>
      <w:r>
        <w:rPr>
          <w:rFonts w:hint="eastAsia" w:ascii="仿宋" w:hAnsi="仿宋" w:eastAsia="仿宋"/>
          <w:sz w:val="24"/>
          <w:highlight w:val="none"/>
        </w:rPr>
        <w:t>元人民币）。</w:t>
      </w:r>
    </w:p>
    <w:p>
      <w:pPr>
        <w:spacing w:line="560" w:lineRule="exact"/>
        <w:ind w:firstLine="480" w:firstLineChars="200"/>
        <w:rPr>
          <w:rFonts w:ascii="仿宋" w:hAnsi="仿宋" w:eastAsia="仿宋"/>
          <w:sz w:val="24"/>
          <w:highlight w:val="none"/>
          <w:u w:val="single"/>
        </w:rPr>
      </w:pPr>
      <w:r>
        <w:rPr>
          <w:rFonts w:hint="eastAsia" w:ascii="仿宋" w:hAnsi="仿宋" w:eastAsia="仿宋"/>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bl>
    <w:p>
      <w:pPr>
        <w:spacing w:line="360" w:lineRule="auto"/>
        <w:ind w:firstLine="480" w:firstLineChars="200"/>
        <w:rPr>
          <w:rFonts w:hint="eastAsia" w:ascii="仿宋" w:hAnsi="仿宋" w:eastAsia="仿宋" w:cs="Times New Roman"/>
          <w:kern w:val="0"/>
          <w:sz w:val="24"/>
          <w:szCs w:val="20"/>
        </w:rPr>
      </w:pPr>
    </w:p>
    <w:p>
      <w:pPr>
        <w:pStyle w:val="34"/>
        <w:adjustRightInd w:val="0"/>
        <w:snapToGrid w:val="0"/>
        <w:spacing w:line="360" w:lineRule="auto"/>
        <w:ind w:left="0" w:leftChars="0" w:right="0"/>
        <w:outlineLvl w:val="9"/>
        <w:rPr>
          <w:rFonts w:hint="eastAsia" w:ascii="仿宋" w:hAnsi="仿宋" w:eastAsia="仿宋" w:cs="仿宋"/>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hAnsi="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技术资料</w:t>
      </w:r>
    </w:p>
    <w:p>
      <w:pPr>
        <w:pStyle w:val="34"/>
        <w:adjustRightInd w:val="0"/>
        <w:snapToGrid w:val="0"/>
        <w:spacing w:line="360" w:lineRule="auto"/>
        <w:ind w:left="0" w:leftChars="0" w:right="0"/>
        <w:outlineLvl w:val="9"/>
        <w:rPr>
          <w:rFonts w:hint="eastAsia" w:ascii="仿宋" w:hAnsi="仿宋" w:eastAsia="仿宋" w:cs="Times New Roman"/>
          <w:bCs w:val="0"/>
          <w:color w:val="auto"/>
          <w:kern w:val="0"/>
          <w:sz w:val="24"/>
          <w:szCs w:val="20"/>
          <w:highlight w:val="none"/>
          <w:lang w:val="en-US" w:eastAsia="zh-CN" w:bidi="ar-SA"/>
        </w:rPr>
      </w:pPr>
      <w:r>
        <w:rPr>
          <w:rFonts w:hint="eastAsia" w:ascii="宋体" w:hAnsi="宋体" w:eastAsia="宋体" w:cs="宋体"/>
          <w:bCs/>
          <w:color w:val="auto"/>
          <w:sz w:val="24"/>
          <w:szCs w:val="24"/>
          <w:highlight w:val="none"/>
        </w:rPr>
        <w:t xml:space="preserve">  </w:t>
      </w:r>
      <w:r>
        <w:rPr>
          <w:rFonts w:hint="eastAsia" w:ascii="仿宋" w:hAnsi="仿宋" w:eastAsia="仿宋" w:cs="Times New Roman"/>
          <w:bCs w:val="0"/>
          <w:color w:val="auto"/>
          <w:kern w:val="0"/>
          <w:sz w:val="24"/>
          <w:szCs w:val="20"/>
          <w:highlight w:val="none"/>
          <w:lang w:val="en-US" w:eastAsia="zh-CN" w:bidi="ar-SA"/>
        </w:rPr>
        <w:t xml:space="preserve">  3.1乙方应按招标文件规定的时间向甲方提供使用货物的有关技术资料。</w:t>
      </w:r>
    </w:p>
    <w:p>
      <w:pPr>
        <w:adjustRightInd w:val="0"/>
        <w:snapToGrid/>
        <w:spacing w:line="360" w:lineRule="auto"/>
        <w:ind w:left="0" w:leftChars="0" w:right="0" w:firstLine="480" w:firstLineChars="200"/>
        <w:outlineLvl w:val="9"/>
        <w:rPr>
          <w:rFonts w:hint="eastAsia" w:ascii="仿宋" w:hAnsi="仿宋" w:eastAsia="仿宋" w:cs="Times New Roman"/>
          <w:b w:val="0"/>
          <w:color w:val="auto"/>
          <w:sz w:val="24"/>
          <w:szCs w:val="20"/>
          <w:highlight w:val="none"/>
        </w:rPr>
      </w:pPr>
      <w:r>
        <w:rPr>
          <w:rFonts w:hint="eastAsia" w:ascii="仿宋" w:hAnsi="仿宋" w:eastAsia="仿宋" w:cs="Times New Roman"/>
          <w:bCs w:val="0"/>
          <w:color w:val="auto"/>
          <w:kern w:val="0"/>
          <w:sz w:val="24"/>
          <w:szCs w:val="20"/>
          <w:highlight w:val="none"/>
          <w:lang w:val="en-US" w:eastAsia="zh-CN"/>
        </w:rPr>
        <w:t>3.2</w:t>
      </w:r>
      <w:r>
        <w:rPr>
          <w:rFonts w:hint="eastAsia" w:ascii="仿宋" w:hAnsi="仿宋" w:eastAsia="仿宋" w:cs="Times New Roman"/>
          <w:bCs w:val="0"/>
          <w:color w:val="auto"/>
          <w:kern w:val="0"/>
          <w:sz w:val="24"/>
          <w:szCs w:val="20"/>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仿宋" w:hAnsi="仿宋" w:eastAsia="仿宋" w:cs="Times New Roman"/>
          <w:bCs w:val="0"/>
          <w:color w:val="auto"/>
          <w:sz w:val="24"/>
          <w:szCs w:val="20"/>
          <w:highlight w:val="none"/>
        </w:rPr>
        <w:t>。</w:t>
      </w:r>
    </w:p>
    <w:p>
      <w:pPr>
        <w:adjustRightInd w:val="0"/>
        <w:snapToGrid w:val="0"/>
        <w:spacing w:line="360" w:lineRule="auto"/>
        <w:ind w:left="0" w:leftChars="0" w:right="0" w:firstLine="354" w:firstLineChars="147"/>
        <w:outlineLvl w:val="9"/>
        <w:rPr>
          <w:rFonts w:hint="eastAsia" w:ascii="宋体" w:hAnsi="宋体" w:eastAsia="宋体" w:cs="宋体"/>
          <w:b/>
          <w:bCs w:val="0"/>
          <w:color w:val="auto"/>
          <w:sz w:val="24"/>
          <w:szCs w:val="24"/>
          <w:highlight w:val="none"/>
        </w:rPr>
      </w:pPr>
      <w:r>
        <w:rPr>
          <w:rFonts w:hint="eastAsia" w:ascii="宋体" w:hAnsi="宋体" w:cs="宋体"/>
          <w:b/>
          <w:color w:val="auto"/>
          <w:sz w:val="24"/>
          <w:szCs w:val="24"/>
          <w:highlight w:val="none"/>
          <w:lang w:val="en-US" w:eastAsia="zh-CN"/>
        </w:rPr>
        <w:t xml:space="preserve"> 4</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权利担保</w:t>
      </w:r>
    </w:p>
    <w:p>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4.1</w:t>
      </w:r>
      <w:r>
        <w:rPr>
          <w:rFonts w:hint="eastAsia" w:ascii="仿宋" w:hAnsi="仿宋" w:eastAsia="仿宋" w:cs="Times New Roman"/>
          <w:bCs w:val="0"/>
          <w:color w:val="auto"/>
          <w:sz w:val="24"/>
          <w:szCs w:val="20"/>
          <w:highlight w:val="none"/>
        </w:rPr>
        <w:t>乙方应保证所提供的货物或其任何一部分均不会侵犯任何第三方的知识产权。</w:t>
      </w:r>
    </w:p>
    <w:p>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4.2</w:t>
      </w:r>
      <w:r>
        <w:rPr>
          <w:rFonts w:hint="eastAsia" w:ascii="仿宋" w:hAnsi="仿宋" w:eastAsia="仿宋" w:cs="Times New Roman"/>
          <w:bCs w:val="0"/>
          <w:color w:val="auto"/>
          <w:sz w:val="24"/>
          <w:szCs w:val="20"/>
          <w:highlight w:val="none"/>
        </w:rPr>
        <w:t>乙方保证所交付的货物的所有权完全属于乙方且无任何抵押、查封等产权瑕疵。</w:t>
      </w:r>
    </w:p>
    <w:p>
      <w:pPr>
        <w:adjustRightInd w:val="0"/>
        <w:snapToGrid w:val="0"/>
        <w:spacing w:line="360" w:lineRule="auto"/>
        <w:ind w:left="0" w:leftChars="0" w:right="0" w:firstLine="354" w:firstLineChars="147"/>
        <w:outlineLvl w:val="9"/>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 xml:space="preserve"> 5</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履约保证金</w:t>
      </w:r>
    </w:p>
    <w:p>
      <w:pPr>
        <w:pStyle w:val="617"/>
        <w:spacing w:before="0" w:beforeAutospacing="0" w:after="0" w:afterAutospacing="0" w:line="360" w:lineRule="auto"/>
        <w:ind w:firstLine="420"/>
        <w:rPr>
          <w:rFonts w:ascii="仿宋" w:hAnsi="仿宋" w:eastAsia="仿宋"/>
        </w:rPr>
      </w:pPr>
      <w:r>
        <w:rPr>
          <w:rFonts w:hint="eastAsia" w:ascii="仿宋" w:hAnsi="仿宋" w:eastAsia="仿宋"/>
          <w:lang w:val="en-US" w:eastAsia="zh-CN"/>
        </w:rPr>
        <w:t xml:space="preserve"> 5.</w:t>
      </w:r>
      <w:r>
        <w:rPr>
          <w:rFonts w:ascii="仿宋" w:hAnsi="仿宋" w:eastAsia="仿宋"/>
        </w:rPr>
        <w:t xml:space="preserve">1 </w:t>
      </w:r>
      <w:r>
        <w:rPr>
          <w:rFonts w:hint="eastAsia" w:ascii="仿宋" w:hAnsi="仿宋" w:eastAsia="仿宋"/>
        </w:rPr>
        <w:t>采购文件要求乙方提交履约保证金的，乙方应按</w:t>
      </w:r>
      <w:r>
        <w:rPr>
          <w:rFonts w:hint="eastAsia" w:ascii="仿宋" w:hAnsi="仿宋" w:eastAsia="仿宋"/>
          <w:u w:val="single"/>
          <w:lang w:val="en-US" w:eastAsia="zh-CN"/>
        </w:rPr>
        <w:t xml:space="preserve">               </w:t>
      </w:r>
      <w:r>
        <w:rPr>
          <w:rFonts w:hint="eastAsia" w:ascii="仿宋" w:hAnsi="仿宋" w:eastAsia="仿宋"/>
        </w:rPr>
        <w:t>的方式，以支票、汇票、本票或者金融机构、担保机构出具的保函等非现金形式，提交不超过合同金</w:t>
      </w:r>
      <w:r>
        <w:rPr>
          <w:rFonts w:hint="eastAsia" w:ascii="仿宋" w:hAnsi="仿宋" w:eastAsia="仿宋"/>
          <w:color w:val="auto"/>
          <w:highlight w:val="none"/>
        </w:rPr>
        <w:t>额</w:t>
      </w:r>
      <w:r>
        <w:rPr>
          <w:rFonts w:hint="eastAsia" w:ascii="仿宋" w:hAnsi="仿宋" w:eastAsia="仿宋"/>
          <w:color w:val="auto"/>
          <w:highlight w:val="none"/>
          <w:lang w:val="en-US" w:eastAsia="zh-CN"/>
        </w:rPr>
        <w:t>1</w:t>
      </w:r>
      <w:r>
        <w:rPr>
          <w:rFonts w:ascii="仿宋" w:hAnsi="仿宋" w:eastAsia="仿宋"/>
          <w:color w:val="auto"/>
          <w:highlight w:val="none"/>
        </w:rPr>
        <w:t>%的履约保证金；鼓励和支持乙</w:t>
      </w:r>
      <w:r>
        <w:rPr>
          <w:rFonts w:ascii="仿宋" w:hAnsi="仿宋" w:eastAsia="仿宋"/>
        </w:rPr>
        <w:t>方以银行、保险公司出具的保函形式提供履约保证。</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5</w:t>
      </w:r>
      <w:r>
        <w:rPr>
          <w:rFonts w:ascii="仿宋" w:hAnsi="仿宋" w:eastAsia="仿宋"/>
          <w:sz w:val="24"/>
        </w:rPr>
        <w:t xml:space="preserve">.2  </w:t>
      </w:r>
      <w:r>
        <w:rPr>
          <w:rFonts w:hint="eastAsia" w:ascii="仿宋" w:hAnsi="仿宋" w:eastAsia="仿宋"/>
          <w:sz w:val="24"/>
        </w:rPr>
        <w:t>履约保证金在</w:t>
      </w:r>
      <w:r>
        <w:rPr>
          <w:rFonts w:hint="eastAsia" w:ascii="仿宋" w:hAnsi="仿宋" w:eastAsia="仿宋"/>
          <w:sz w:val="24"/>
          <w:u w:val="single"/>
          <w:lang w:val="en-US" w:eastAsia="zh-CN"/>
        </w:rPr>
        <w:t xml:space="preserve">                     </w:t>
      </w:r>
      <w:r>
        <w:rPr>
          <w:rFonts w:hint="eastAsia" w:ascii="仿宋" w:hAnsi="仿宋" w:eastAsia="仿宋"/>
          <w:sz w:val="24"/>
        </w:rPr>
        <w:t>期间内不予退还。乙方在前述约定期间届满前能履行完合同约定义务事项的，甲方在前述约定期间届满之日起</w:t>
      </w:r>
      <w:r>
        <w:rPr>
          <w:rFonts w:ascii="仿宋" w:hAnsi="仿宋" w:eastAsia="仿宋"/>
          <w:sz w:val="24"/>
          <w:u w:val="single"/>
        </w:rPr>
        <w:t xml:space="preserve"> </w:t>
      </w:r>
      <w:r>
        <w:rPr>
          <w:rFonts w:hint="eastAsia" w:ascii="仿宋" w:hAnsi="仿宋" w:eastAsia="仿宋"/>
          <w:sz w:val="24"/>
          <w:u w:val="single"/>
        </w:rPr>
        <w:t>5</w:t>
      </w:r>
      <w:r>
        <w:rPr>
          <w:rFonts w:ascii="仿宋" w:hAnsi="仿宋" w:eastAsia="仿宋"/>
          <w:sz w:val="24"/>
          <w:u w:val="single"/>
        </w:rPr>
        <w:t xml:space="preserve"> </w:t>
      </w:r>
      <w:r>
        <w:rPr>
          <w:rFonts w:hint="eastAsia" w:ascii="仿宋" w:hAnsi="仿宋" w:eastAsia="仿宋"/>
          <w:sz w:val="24"/>
        </w:rPr>
        <w:t>个工作日内，</w:t>
      </w:r>
      <w:r>
        <w:rPr>
          <w:rFonts w:hint="eastAsia" w:ascii="仿宋" w:hAnsi="仿宋" w:eastAsia="仿宋"/>
          <w:sz w:val="24"/>
          <w:lang w:val="en-US" w:eastAsia="zh-CN"/>
        </w:rPr>
        <w:t>以</w:t>
      </w:r>
      <w:r>
        <w:rPr>
          <w:rFonts w:hint="eastAsia" w:ascii="仿宋" w:hAnsi="仿宋" w:eastAsia="仿宋"/>
          <w:sz w:val="24"/>
          <w:u w:val="single"/>
          <w:lang w:val="en-US" w:eastAsia="zh-CN"/>
        </w:rPr>
        <w:t xml:space="preserve">                      </w:t>
      </w:r>
      <w:r>
        <w:rPr>
          <w:rFonts w:hint="eastAsia" w:ascii="仿宋" w:hAnsi="仿宋" w:eastAsia="仿宋"/>
          <w:sz w:val="24"/>
        </w:rPr>
        <w:t>方式将履约保证金退还乙方，逾期退还的，乙方可要求甲方支付违约金，违约金按每迟延退还一日的应退还而未退还金额的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%计算，最高限额为本合同履约保证金的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5.</w:t>
      </w:r>
      <w:r>
        <w:rPr>
          <w:rFonts w:ascii="仿宋" w:hAnsi="仿宋" w:eastAsia="仿宋"/>
          <w:sz w:val="24"/>
        </w:rPr>
        <w:t xml:space="preserve">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pPr>
      <w:r>
        <w:rPr>
          <w:rFonts w:hint="eastAsia" w:ascii="仿宋" w:hAnsi="仿宋" w:eastAsia="仿宋"/>
          <w:sz w:val="24"/>
          <w:lang w:val="en-US" w:eastAsia="zh-CN"/>
        </w:rPr>
        <w:t>5</w:t>
      </w:r>
      <w:r>
        <w:rPr>
          <w:rFonts w:ascii="仿宋" w:hAnsi="仿宋" w:eastAsia="仿宋"/>
          <w:sz w:val="24"/>
        </w:rPr>
        <w:t>.</w:t>
      </w:r>
      <w:r>
        <w:rPr>
          <w:rFonts w:hint="eastAsia" w:ascii="仿宋" w:hAnsi="仿宋" w:eastAsia="仿宋"/>
          <w:sz w:val="24"/>
          <w:lang w:val="en-US" w:eastAsia="zh-CN"/>
        </w:rPr>
        <w:t>4</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5.5</w:t>
      </w:r>
      <w:r>
        <w:rPr>
          <w:rFonts w:ascii="仿宋" w:hAnsi="仿宋" w:eastAsia="仿宋"/>
          <w:sz w:val="24"/>
        </w:rPr>
        <w:t>对于因甲方原因导致变更、中止或者终止政府采购合同的，甲方应当依照合同约定对供应商受到的损失予以赔偿或者补偿。</w:t>
      </w:r>
    </w:p>
    <w:p>
      <w:pPr>
        <w:adjustRightInd w:val="0"/>
        <w:snapToGrid w:val="0"/>
        <w:spacing w:line="360" w:lineRule="auto"/>
        <w:ind w:left="0" w:leftChars="0" w:right="0" w:firstLine="352" w:firstLineChars="147"/>
        <w:outlineLvl w:val="9"/>
        <w:rPr>
          <w:rFonts w:hint="eastAsia" w:ascii="宋体" w:hAnsi="宋体" w:eastAsia="宋体" w:cs="宋体"/>
          <w:b/>
          <w:color w:val="auto"/>
          <w:sz w:val="24"/>
          <w:szCs w:val="24"/>
          <w:highlight w:val="none"/>
        </w:rPr>
      </w:pPr>
      <w:r>
        <w:rPr>
          <w:rFonts w:hint="eastAsia" w:ascii="宋体" w:hAnsi="宋体" w:cs="宋体"/>
          <w:bCs/>
          <w:color w:val="auto"/>
          <w:sz w:val="24"/>
          <w:szCs w:val="24"/>
          <w:highlight w:val="none"/>
          <w:lang w:val="en-US" w:eastAsia="zh-CN"/>
        </w:rPr>
        <w:t xml:space="preserve"> </w:t>
      </w:r>
      <w:r>
        <w:rPr>
          <w:rFonts w:hint="eastAsia" w:ascii="宋体" w:hAnsi="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转包</w:t>
      </w:r>
      <w:r>
        <w:rPr>
          <w:rFonts w:hint="eastAsia" w:ascii="宋体" w:hAnsi="宋体" w:eastAsia="宋体" w:cs="宋体"/>
          <w:b/>
          <w:color w:val="auto"/>
          <w:sz w:val="24"/>
          <w:szCs w:val="24"/>
          <w:highlight w:val="none"/>
        </w:rPr>
        <w:t>或分包</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6</w:t>
      </w:r>
      <w:r>
        <w:rPr>
          <w:rFonts w:ascii="仿宋" w:hAnsi="仿宋" w:eastAsia="仿宋"/>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6</w:t>
      </w:r>
      <w:r>
        <w:rPr>
          <w:rFonts w:ascii="仿宋" w:hAnsi="仿宋" w:eastAsia="仿宋"/>
          <w:sz w:val="24"/>
        </w:rPr>
        <w:t>.2乙方采取分包方式履行合同的，甲方可直接向分包供应商支付款项。</w:t>
      </w:r>
    </w:p>
    <w:p>
      <w:pPr>
        <w:adjustRightInd w:val="0"/>
        <w:snapToGrid w:val="0"/>
        <w:spacing w:line="360" w:lineRule="auto"/>
        <w:ind w:left="0" w:leftChars="0" w:right="0" w:firstLine="354" w:firstLineChars="147"/>
        <w:outlineLvl w:val="9"/>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质保期</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质保期：产品验收合格使用之日起，质保期</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bCs/>
          <w:color w:val="auto"/>
          <w:sz w:val="24"/>
          <w:szCs w:val="24"/>
          <w:highlight w:val="none"/>
        </w:rPr>
        <w:t>年（具体再参照乙方按投标文件承诺确定），质保期内的维修费用（包括材料）全部由乙方负责。超过质保期的，维修时只收部件成本费。</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交货期、交货方式、交货地点及供货要求</w:t>
      </w:r>
    </w:p>
    <w:p>
      <w:pPr>
        <w:widowControl/>
        <w:tabs>
          <w:tab w:val="left" w:pos="780"/>
        </w:tabs>
        <w:adjustRightInd w:val="0"/>
        <w:snapToGrid w:val="0"/>
        <w:spacing w:line="360" w:lineRule="auto"/>
        <w:ind w:right="-334" w:firstLine="484" w:firstLineChars="202"/>
        <w:rPr>
          <w:rFonts w:hint="eastAsia" w:ascii="仿宋" w:hAnsi="仿宋" w:eastAsia="仿宋" w:cs="仿宋"/>
          <w:color w:val="auto"/>
          <w:sz w:val="24"/>
          <w:szCs w:val="24"/>
        </w:rPr>
      </w:pPr>
      <w:r>
        <w:rPr>
          <w:rFonts w:hint="eastAsia" w:ascii="仿宋" w:hAnsi="仿宋" w:eastAsia="仿宋" w:cs="仿宋"/>
          <w:bCs/>
          <w:color w:val="auto"/>
          <w:sz w:val="24"/>
          <w:szCs w:val="24"/>
          <w:highlight w:val="none"/>
          <w:lang w:val="en-US" w:eastAsia="zh-CN"/>
        </w:rPr>
        <w:t>8.1</w:t>
      </w:r>
      <w:r>
        <w:rPr>
          <w:rFonts w:hint="eastAsia" w:ascii="仿宋" w:hAnsi="仿宋" w:eastAsia="仿宋" w:cs="仿宋"/>
          <w:bCs/>
          <w:color w:val="auto"/>
          <w:sz w:val="24"/>
          <w:szCs w:val="24"/>
          <w:highlight w:val="none"/>
        </w:rPr>
        <w:t>交货期：</w:t>
      </w:r>
      <w:r>
        <w:rPr>
          <w:rFonts w:hint="eastAsia" w:eastAsia="仿宋" w:cs="Arial"/>
          <w:b w:val="0"/>
          <w:bCs w:val="0"/>
          <w:kern w:val="0"/>
          <w:sz w:val="24"/>
          <w:szCs w:val="24"/>
          <w:highlight w:val="none"/>
          <w:lang w:val="en-US" w:eastAsia="zh-CN"/>
        </w:rPr>
        <w:t xml:space="preserve"> </w:t>
      </w:r>
      <w:r>
        <w:rPr>
          <w:rFonts w:hint="eastAsia" w:ascii="仿宋" w:hAnsi="仿宋" w:eastAsia="仿宋" w:cs="仿宋"/>
          <w:sz w:val="24"/>
          <w:szCs w:val="24"/>
        </w:rPr>
        <w:t>立体车库部分，合同</w:t>
      </w:r>
      <w:r>
        <w:rPr>
          <w:rFonts w:hint="eastAsia" w:ascii="仿宋" w:hAnsi="仿宋" w:eastAsia="仿宋" w:cs="仿宋"/>
          <w:color w:val="auto"/>
          <w:sz w:val="24"/>
          <w:szCs w:val="24"/>
        </w:rPr>
        <w:t>签约后</w:t>
      </w:r>
      <w:r>
        <w:rPr>
          <w:rFonts w:hint="eastAsia" w:ascii="仿宋" w:hAnsi="仿宋" w:eastAsia="仿宋" w:cs="仿宋"/>
          <w:b/>
          <w:bCs/>
          <w:color w:val="auto"/>
          <w:sz w:val="24"/>
          <w:szCs w:val="24"/>
          <w:lang w:val="en-US" w:eastAsia="zh-CN"/>
        </w:rPr>
        <w:t>40</w:t>
      </w:r>
      <w:r>
        <w:rPr>
          <w:rFonts w:hint="eastAsia" w:ascii="仿宋" w:hAnsi="仿宋" w:eastAsia="仿宋" w:cs="仿宋"/>
          <w:color w:val="auto"/>
          <w:sz w:val="24"/>
          <w:szCs w:val="24"/>
        </w:rPr>
        <w:t>日历天完成</w:t>
      </w:r>
      <w:r>
        <w:rPr>
          <w:rFonts w:hint="eastAsia" w:ascii="仿宋" w:hAnsi="仿宋" w:eastAsia="仿宋" w:cs="仿宋"/>
          <w:color w:val="auto"/>
          <w:sz w:val="24"/>
          <w:szCs w:val="24"/>
          <w:lang w:val="en-US" w:eastAsia="zh-CN"/>
        </w:rPr>
        <w:t>设计及备货工作，甲方验收后支付相应合同款项，如供应商未能在规定时间内完成设计及备货工作，取消合同并没收全部履约保证金。设备基础完成后，甲方发出书面进场指令后90天内施工完成并取得</w:t>
      </w:r>
      <w:r>
        <w:rPr>
          <w:rFonts w:hint="eastAsia" w:ascii="仿宋" w:hAnsi="仿宋" w:eastAsia="仿宋" w:cs="仿宋"/>
          <w:color w:val="auto"/>
          <w:sz w:val="24"/>
          <w:szCs w:val="24"/>
        </w:rPr>
        <w:t>浙江省或杭州市特种设备检测机构</w:t>
      </w:r>
      <w:r>
        <w:rPr>
          <w:rFonts w:hint="eastAsia" w:ascii="仿宋" w:hAnsi="仿宋" w:eastAsia="仿宋" w:cs="仿宋"/>
          <w:color w:val="auto"/>
          <w:sz w:val="24"/>
          <w:szCs w:val="24"/>
          <w:lang w:val="en-US" w:eastAsia="zh-CN"/>
        </w:rPr>
        <w:t>颁发的验收</w:t>
      </w:r>
      <w:r>
        <w:rPr>
          <w:rFonts w:hint="eastAsia" w:ascii="仿宋" w:hAnsi="仿宋" w:eastAsia="仿宋" w:cs="仿宋"/>
          <w:color w:val="auto"/>
          <w:sz w:val="24"/>
          <w:szCs w:val="24"/>
        </w:rPr>
        <w:t>合格报告（因</w:t>
      </w:r>
      <w:r>
        <w:rPr>
          <w:rFonts w:hint="eastAsia" w:ascii="仿宋" w:hAnsi="仿宋" w:eastAsia="仿宋" w:cs="仿宋"/>
          <w:color w:val="auto"/>
          <w:sz w:val="24"/>
          <w:szCs w:val="24"/>
          <w:lang w:val="en-US" w:eastAsia="zh-CN"/>
        </w:rPr>
        <w:t>本项目工期非常</w:t>
      </w:r>
      <w:r>
        <w:rPr>
          <w:rFonts w:hint="eastAsia" w:ascii="仿宋" w:hAnsi="仿宋" w:eastAsia="仿宋" w:cs="仿宋"/>
          <w:color w:val="auto"/>
          <w:sz w:val="24"/>
          <w:szCs w:val="24"/>
        </w:rPr>
        <w:t>紧张，</w:t>
      </w:r>
      <w:r>
        <w:rPr>
          <w:rFonts w:hint="eastAsia" w:ascii="仿宋" w:hAnsi="仿宋" w:eastAsia="仿宋" w:cs="仿宋"/>
          <w:color w:val="auto"/>
          <w:sz w:val="24"/>
          <w:szCs w:val="24"/>
          <w:lang w:val="en-US" w:eastAsia="zh-CN"/>
        </w:rPr>
        <w:t>若后期投标人不能在承诺的时间内完成项目履约，按照10万元/天向甲方支付违约金，逾期超过30天的采购人有权终止合同，并没收全部履约保证金，并处以合同金额30%的罚款</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8.2</w:t>
      </w:r>
      <w:r>
        <w:rPr>
          <w:rFonts w:hint="eastAsia" w:ascii="仿宋" w:hAnsi="仿宋" w:eastAsia="仿宋" w:cs="仿宋"/>
          <w:bCs/>
          <w:color w:val="auto"/>
          <w:sz w:val="24"/>
          <w:szCs w:val="24"/>
          <w:highlight w:val="none"/>
        </w:rPr>
        <w:t>交货方式：由乙方负责运输至指定地点现场交货，并安装调试完毕。安装调试完毕交付甲方前发生的风险均由乙方负责。</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8.3</w:t>
      </w:r>
      <w:r>
        <w:rPr>
          <w:rFonts w:hint="eastAsia" w:ascii="仿宋" w:hAnsi="仿宋" w:eastAsia="仿宋" w:cs="仿宋"/>
          <w:bCs/>
          <w:color w:val="auto"/>
          <w:sz w:val="24"/>
          <w:szCs w:val="24"/>
          <w:highlight w:val="none"/>
        </w:rPr>
        <w:t xml:space="preserve"> 交货地点：</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val="en-US" w:eastAsia="zh-CN"/>
        </w:rPr>
        <w:t>8.4</w:t>
      </w:r>
      <w:r>
        <w:rPr>
          <w:rFonts w:hint="eastAsia" w:ascii="仿宋" w:hAnsi="仿宋" w:eastAsia="仿宋" w:cs="仿宋"/>
          <w:color w:val="auto"/>
          <w:kern w:val="0"/>
          <w:sz w:val="24"/>
          <w:szCs w:val="24"/>
          <w:highlight w:val="none"/>
        </w:rPr>
        <w:t>供货要求：乙方所供的货物必须为全新的，符合国家标准的合格产品。凡需国家强制保证或认可的产品、需提供相应的</w:t>
      </w:r>
      <w:r>
        <w:rPr>
          <w:rFonts w:hint="eastAsia" w:ascii="仿宋" w:hAnsi="仿宋" w:eastAsia="仿宋" w:cs="仿宋"/>
          <w:color w:val="auto"/>
          <w:sz w:val="24"/>
          <w:szCs w:val="24"/>
          <w:highlight w:val="none"/>
        </w:rPr>
        <w:t>证书和认可的标志。</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8.5</w:t>
      </w:r>
      <w:r>
        <w:rPr>
          <w:rFonts w:hint="eastAsia" w:ascii="仿宋" w:hAnsi="仿宋" w:eastAsia="仿宋" w:cs="仿宋"/>
          <w:bCs/>
          <w:color w:val="auto"/>
          <w:sz w:val="24"/>
          <w:szCs w:val="24"/>
          <w:highlight w:val="none"/>
        </w:rPr>
        <w:t>乙方应先派有经验的技术人员对安装现场进行实地勘察，对各种设备采购、制造、运输（到现场安装）、安装、工期、安全、文明施工进行总承包，一切费用均由乙方负责。</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8.6</w:t>
      </w:r>
      <w:r>
        <w:rPr>
          <w:rFonts w:hint="eastAsia" w:ascii="仿宋" w:hAnsi="仿宋" w:eastAsia="仿宋" w:cs="仿宋"/>
          <w:bCs/>
          <w:color w:val="auto"/>
          <w:sz w:val="24"/>
          <w:szCs w:val="24"/>
          <w:highlight w:val="none"/>
        </w:rPr>
        <w:t>乙方在设备在安装、调试时不得损坏墙体、门窗等，如有损坏要予以赔偿。</w:t>
      </w:r>
    </w:p>
    <w:p>
      <w:pPr>
        <w:adjustRightInd w:val="0"/>
        <w:snapToGrid w:val="0"/>
        <w:spacing w:line="360" w:lineRule="auto"/>
        <w:ind w:right="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8.7</w:t>
      </w:r>
      <w:r>
        <w:rPr>
          <w:rFonts w:hint="eastAsia" w:ascii="仿宋" w:hAnsi="仿宋" w:eastAsia="仿宋" w:cs="仿宋"/>
          <w:color w:val="auto"/>
          <w:sz w:val="24"/>
          <w:szCs w:val="24"/>
          <w:highlight w:val="none"/>
        </w:rPr>
        <w:t>培训要求：安装调试后，供应商须向使用方人员做好所供产品日常保养、使用、管理的现场实地培训，直至会熟练使用。</w:t>
      </w:r>
    </w:p>
    <w:p>
      <w:pPr>
        <w:spacing w:line="360" w:lineRule="auto"/>
        <w:ind w:firstLine="482" w:firstLineChars="200"/>
        <w:outlineLvl w:val="0"/>
        <w:rPr>
          <w:rFonts w:ascii="仿宋" w:hAnsi="仿宋" w:eastAsia="仿宋"/>
          <w:b/>
          <w:sz w:val="24"/>
        </w:rPr>
      </w:pPr>
      <w:r>
        <w:rPr>
          <w:rFonts w:hint="eastAsia" w:ascii="宋体" w:hAnsi="宋体" w:cs="宋体"/>
          <w:b/>
          <w:bCs w:val="0"/>
          <w:color w:val="auto"/>
          <w:sz w:val="24"/>
          <w:szCs w:val="24"/>
          <w:highlight w:val="none"/>
          <w:lang w:val="en-US" w:eastAsia="zh-CN"/>
        </w:rPr>
        <w:t>9.</w:t>
      </w:r>
      <w:r>
        <w:rPr>
          <w:rFonts w:hint="eastAsia" w:ascii="宋体" w:hAnsi="宋体" w:eastAsia="宋体" w:cs="宋体"/>
          <w:b/>
          <w:sz w:val="24"/>
          <w:highlight w:val="none"/>
        </w:rPr>
        <w:t>付款方式、时间和条件</w:t>
      </w:r>
    </w:p>
    <w:p>
      <w:pPr>
        <w:pStyle w:val="617"/>
        <w:spacing w:before="0" w:beforeAutospacing="0" w:after="0" w:afterAutospacing="0" w:line="360" w:lineRule="auto"/>
        <w:ind w:firstLine="480"/>
        <w:rPr>
          <w:rFonts w:ascii="仿宋" w:hAnsi="仿宋" w:eastAsia="仿宋" w:cs="Times New Roman"/>
        </w:rPr>
      </w:pPr>
      <w:r>
        <w:rPr>
          <w:rFonts w:hint="eastAsia" w:ascii="仿宋" w:hAnsi="仿宋" w:eastAsia="仿宋" w:cs="Times New Roman"/>
          <w:lang w:val="en-US" w:eastAsia="zh-CN"/>
        </w:rPr>
        <w:t>9.</w:t>
      </w:r>
      <w:r>
        <w:rPr>
          <w:rFonts w:ascii="仿宋" w:hAnsi="仿宋" w:eastAsia="仿宋" w:cs="Times New Roman"/>
        </w:rPr>
        <w:t>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hint="eastAsia" w:ascii="仿宋" w:hAnsi="仿宋" w:eastAsia="仿宋" w:cs="Times New Roman"/>
          <w:lang w:val="en-US" w:eastAsia="zh-CN"/>
        </w:rPr>
        <w:t>7</w:t>
      </w:r>
      <w:r>
        <w:rPr>
          <w:rFonts w:ascii="仿宋" w:hAnsi="仿宋" w:eastAsia="仿宋" w:cs="Times New Roman"/>
        </w:rPr>
        <w:t>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9</w:t>
      </w:r>
      <w:r>
        <w:rPr>
          <w:rFonts w:ascii="仿宋" w:hAnsi="仿宋" w:eastAsia="仿宋"/>
          <w:sz w:val="24"/>
        </w:rPr>
        <w:t>.2甲方在政府采购合同中约定预付款，预付款比例</w:t>
      </w:r>
      <w:r>
        <w:rPr>
          <w:rFonts w:hint="eastAsia" w:ascii="仿宋" w:hAnsi="仿宋" w:eastAsia="仿宋"/>
          <w:sz w:val="24"/>
        </w:rPr>
        <w:t>为</w:t>
      </w:r>
      <w:r>
        <w:rPr>
          <w:rFonts w:ascii="仿宋" w:hAnsi="仿宋" w:eastAsia="仿宋"/>
          <w:sz w:val="24"/>
        </w:rPr>
        <w:t>合同金额的</w:t>
      </w:r>
      <w:r>
        <w:rPr>
          <w:rFonts w:hint="eastAsia" w:ascii="仿宋" w:hAnsi="仿宋" w:eastAsia="仿宋"/>
          <w:sz w:val="24"/>
          <w:lang w:val="en-US" w:eastAsia="zh-CN"/>
        </w:rPr>
        <w:t>40</w:t>
      </w:r>
      <w:r>
        <w:rPr>
          <w:rFonts w:ascii="仿宋" w:hAnsi="仿宋" w:eastAsia="仿宋"/>
          <w:sz w:val="24"/>
        </w:rPr>
        <w:t>％；项目分年安排预算的，每年预付款比例</w:t>
      </w:r>
      <w:r>
        <w:rPr>
          <w:rFonts w:hint="eastAsia" w:ascii="仿宋" w:hAnsi="仿宋" w:eastAsia="仿宋"/>
          <w:sz w:val="24"/>
        </w:rPr>
        <w:t>为</w:t>
      </w:r>
      <w:r>
        <w:rPr>
          <w:rFonts w:ascii="仿宋" w:hAnsi="仿宋" w:eastAsia="仿宋"/>
          <w:sz w:val="24"/>
        </w:rPr>
        <w:t>项目年度计划支付资金额的</w:t>
      </w:r>
      <w:r>
        <w:rPr>
          <w:rFonts w:hint="eastAsia" w:ascii="仿宋" w:hAnsi="仿宋" w:eastAsia="仿宋"/>
          <w:sz w:val="24"/>
          <w:lang w:val="en-US" w:eastAsia="zh-CN"/>
        </w:rPr>
        <w:t>40</w:t>
      </w:r>
      <w:r>
        <w:rPr>
          <w:rFonts w:ascii="仿宋" w:hAnsi="仿宋" w:eastAsia="仿宋"/>
          <w:sz w:val="24"/>
        </w:rPr>
        <w:t>％。采购项目实施以人工投入为主的，可适当降低预付款比例，但不低于</w:t>
      </w:r>
      <w:r>
        <w:rPr>
          <w:rFonts w:hint="eastAsia" w:ascii="仿宋" w:hAnsi="仿宋" w:eastAsia="仿宋"/>
          <w:sz w:val="24"/>
          <w:lang w:val="en-US" w:eastAsia="zh-CN"/>
        </w:rPr>
        <w:t>20</w:t>
      </w:r>
      <w:r>
        <w:rPr>
          <w:rFonts w:ascii="仿宋" w:hAnsi="仿宋" w:eastAsia="仿宋"/>
          <w:sz w:val="24"/>
        </w:rPr>
        <w:t>%。甲方可以根据项目特点、乙方信用等实际情况提高预付款比例，最高预付比例可以达到</w:t>
      </w:r>
      <w:r>
        <w:rPr>
          <w:rFonts w:hint="eastAsia" w:ascii="仿宋" w:hAnsi="仿宋" w:eastAsia="仿宋"/>
          <w:sz w:val="24"/>
          <w:lang w:val="en-US" w:eastAsia="zh-CN"/>
        </w:rPr>
        <w:t>70</w:t>
      </w:r>
      <w:r>
        <w:rPr>
          <w:rFonts w:ascii="仿宋" w:hAnsi="仿宋" w:eastAsia="仿宋"/>
          <w:sz w:val="24"/>
        </w:rPr>
        <w:t>%。</w:t>
      </w:r>
      <w:r>
        <w:rPr>
          <w:rFonts w:hint="eastAsia" w:ascii="仿宋" w:hAnsi="仿宋" w:eastAsia="仿宋"/>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9</w:t>
      </w:r>
      <w:r>
        <w:rPr>
          <w:rFonts w:ascii="仿宋" w:hAnsi="仿宋" w:eastAsia="仿宋"/>
          <w:sz w:val="24"/>
        </w:rPr>
        <w:t>.3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pPr>
        <w:spacing w:line="360" w:lineRule="auto"/>
        <w:rPr>
          <w:rFonts w:hint="eastAsia"/>
          <w:color w:val="333333"/>
          <w:sz w:val="24"/>
          <w:szCs w:val="24"/>
        </w:rPr>
      </w:pPr>
      <w:r>
        <w:rPr>
          <w:rFonts w:hint="eastAsia" w:ascii="仿宋" w:hAnsi="仿宋" w:eastAsia="仿宋"/>
          <w:sz w:val="24"/>
          <w:lang w:val="en-US" w:eastAsia="zh-CN"/>
        </w:rPr>
        <w:t>9</w:t>
      </w:r>
      <w:r>
        <w:rPr>
          <w:rFonts w:ascii="仿宋" w:hAnsi="仿宋" w:eastAsia="仿宋"/>
          <w:sz w:val="24"/>
          <w:highlight w:val="none"/>
        </w:rPr>
        <w:t>.4资金支付的方式、时间和条</w:t>
      </w:r>
      <w:r>
        <w:rPr>
          <w:rFonts w:hint="eastAsia" w:ascii="仿宋" w:hAnsi="仿宋" w:eastAsia="仿宋"/>
          <w:sz w:val="24"/>
          <w:highlight w:val="none"/>
          <w:lang w:val="en-US" w:eastAsia="zh-CN"/>
        </w:rPr>
        <w:t>件：</w:t>
      </w:r>
      <w:r>
        <w:rPr>
          <w:rFonts w:hint="eastAsia"/>
          <w:color w:val="333333"/>
          <w:sz w:val="24"/>
          <w:szCs w:val="24"/>
        </w:rPr>
        <w:t xml:space="preserve"> </w:t>
      </w:r>
    </w:p>
    <w:p>
      <w:pPr>
        <w:spacing w:line="360" w:lineRule="auto"/>
        <w:rPr>
          <w:rFonts w:ascii="仿宋" w:hAnsi="仿宋" w:eastAsia="仿宋"/>
          <w:color w:val="auto"/>
          <w:sz w:val="24"/>
          <w:highlight w:val="none"/>
        </w:rPr>
      </w:pPr>
      <w:r>
        <w:rPr>
          <w:rFonts w:hint="eastAsia" w:ascii="仿宋" w:hAnsi="仿宋" w:eastAsia="仿宋"/>
          <w:color w:val="FF0000"/>
          <w:sz w:val="24"/>
          <w:highlight w:val="none"/>
          <w:lang w:val="en-US" w:eastAsia="zh-CN"/>
        </w:rPr>
        <w:t xml:space="preserve">   </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在合同签订7日内，乙方须向甲方提供中标价</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%的履约保证金</w:t>
      </w:r>
      <w:r>
        <w:rPr>
          <w:rFonts w:hint="eastAsia" w:ascii="仿宋" w:hAnsi="仿宋" w:eastAsia="仿宋"/>
          <w:color w:val="auto"/>
          <w:sz w:val="24"/>
          <w:highlight w:val="none"/>
          <w:lang w:val="en-US" w:eastAsia="zh-CN"/>
        </w:rPr>
        <w:t>或履约保函</w:t>
      </w:r>
      <w:r>
        <w:rPr>
          <w:rFonts w:hint="eastAsia" w:ascii="仿宋" w:hAnsi="仿宋" w:eastAsia="仿宋"/>
          <w:color w:val="auto"/>
          <w:sz w:val="24"/>
          <w:highlight w:val="none"/>
        </w:rPr>
        <w:t>，如不提供，甲方有权拒付预付款。</w:t>
      </w:r>
    </w:p>
    <w:p>
      <w:pPr>
        <w:snapToGrid w:val="0"/>
        <w:spacing w:line="360" w:lineRule="auto"/>
        <w:rPr>
          <w:rFonts w:hint="eastAsia" w:ascii="仿宋" w:hAnsi="仿宋" w:eastAsia="仿宋" w:cs="仿宋"/>
          <w:color w:val="auto"/>
          <w:sz w:val="24"/>
          <w:szCs w:val="24"/>
          <w:lang w:eastAsia="zh-CN"/>
        </w:rPr>
      </w:pPr>
      <w:r>
        <w:rPr>
          <w:rFonts w:hint="eastAsia" w:ascii="仿宋" w:hAnsi="仿宋" w:eastAsia="仿宋"/>
          <w:color w:val="auto"/>
          <w:sz w:val="24"/>
          <w:highlight w:val="non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合同签订后</w:t>
      </w:r>
      <w:r>
        <w:rPr>
          <w:rFonts w:hint="eastAsia" w:ascii="仿宋" w:hAnsi="仿宋" w:eastAsia="仿宋" w:cs="仿宋"/>
          <w:color w:val="auto"/>
          <w:sz w:val="24"/>
          <w:szCs w:val="24"/>
          <w:lang w:val="en-US" w:eastAsia="zh-CN"/>
        </w:rPr>
        <w:t>40日内</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中标人完成项目的设计及备货工作，</w:t>
      </w:r>
      <w:r>
        <w:rPr>
          <w:rFonts w:hint="eastAsia" w:ascii="仿宋" w:hAnsi="仿宋" w:eastAsia="仿宋" w:cs="仿宋"/>
          <w:color w:val="auto"/>
          <w:sz w:val="24"/>
          <w:szCs w:val="24"/>
        </w:rPr>
        <w:t>采购人</w:t>
      </w:r>
      <w:r>
        <w:rPr>
          <w:rFonts w:hint="eastAsia" w:ascii="仿宋" w:hAnsi="仿宋" w:eastAsia="仿宋" w:cs="仿宋"/>
          <w:color w:val="auto"/>
          <w:sz w:val="24"/>
          <w:szCs w:val="24"/>
          <w:lang w:val="en-US" w:eastAsia="zh-CN"/>
        </w:rPr>
        <w:t>在到场验收合格后，</w:t>
      </w:r>
      <w:r>
        <w:rPr>
          <w:rFonts w:hint="eastAsia" w:ascii="仿宋" w:hAnsi="仿宋" w:eastAsia="仿宋" w:cs="仿宋"/>
          <w:color w:val="auto"/>
          <w:sz w:val="24"/>
          <w:szCs w:val="24"/>
        </w:rPr>
        <w:t>向中标方支付合同金额</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0%的预付款</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如中标方未能在规定时间内完成设计及备货工作，取消合同并没收履约保证金。</w:t>
      </w:r>
    </w:p>
    <w:p>
      <w:pPr>
        <w:snapToGrid w:val="0"/>
        <w:spacing w:line="360" w:lineRule="auto"/>
        <w:ind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3、主体框架结构完成后7天内，</w:t>
      </w:r>
      <w:r>
        <w:rPr>
          <w:rFonts w:hint="eastAsia" w:ascii="仿宋" w:hAnsi="仿宋" w:eastAsia="仿宋" w:cs="仿宋"/>
          <w:color w:val="auto"/>
          <w:sz w:val="24"/>
          <w:szCs w:val="24"/>
        </w:rPr>
        <w:t>采购人向中标方支付合同金额</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0%的</w:t>
      </w:r>
      <w:r>
        <w:rPr>
          <w:rFonts w:hint="eastAsia" w:ascii="仿宋" w:hAnsi="仿宋" w:eastAsia="仿宋" w:cs="仿宋"/>
          <w:color w:val="auto"/>
          <w:sz w:val="24"/>
          <w:szCs w:val="24"/>
          <w:lang w:val="en-US" w:eastAsia="zh-CN"/>
        </w:rPr>
        <w:t>进度款</w:t>
      </w:r>
      <w:r>
        <w:rPr>
          <w:rFonts w:hint="eastAsia" w:ascii="仿宋" w:hAnsi="仿宋" w:eastAsia="仿宋" w:cs="仿宋"/>
          <w:color w:val="auto"/>
          <w:sz w:val="24"/>
          <w:szCs w:val="24"/>
          <w:lang w:eastAsia="zh-CN"/>
        </w:rPr>
        <w:t>；</w:t>
      </w:r>
    </w:p>
    <w:p>
      <w:pPr>
        <w:snapToGrid w:val="0"/>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乙方完成全部货物的安装、调试并通过</w:t>
      </w:r>
      <w:r>
        <w:rPr>
          <w:rFonts w:hint="eastAsia" w:ascii="仿宋" w:hAnsi="仿宋" w:eastAsia="仿宋" w:cs="仿宋"/>
          <w:color w:val="auto"/>
          <w:sz w:val="24"/>
          <w:szCs w:val="24"/>
          <w:lang w:val="en-US" w:eastAsia="zh-CN"/>
        </w:rPr>
        <w:t>技术监督部门及业主方</w:t>
      </w:r>
      <w:r>
        <w:rPr>
          <w:rFonts w:hint="eastAsia" w:ascii="仿宋" w:hAnsi="仿宋" w:eastAsia="仿宋" w:cs="仿宋"/>
          <w:color w:val="auto"/>
          <w:sz w:val="24"/>
          <w:szCs w:val="24"/>
        </w:rPr>
        <w:t>验收后15个工作日内，甲方向乙方支付至合同总额</w:t>
      </w:r>
      <w:r>
        <w:rPr>
          <w:rFonts w:hint="eastAsia" w:ascii="仿宋" w:hAnsi="仿宋" w:eastAsia="仿宋" w:cs="仿宋"/>
          <w:color w:val="auto"/>
          <w:sz w:val="24"/>
          <w:szCs w:val="24"/>
          <w:lang w:val="en-US" w:eastAsia="zh-CN"/>
        </w:rPr>
        <w:t>85</w:t>
      </w:r>
      <w:r>
        <w:rPr>
          <w:rFonts w:hint="eastAsia" w:ascii="仿宋" w:hAnsi="仿宋" w:eastAsia="仿宋" w:cs="仿宋"/>
          <w:color w:val="auto"/>
          <w:sz w:val="24"/>
          <w:szCs w:val="24"/>
        </w:rPr>
        <w:t>%的货款；</w:t>
      </w:r>
    </w:p>
    <w:p>
      <w:pPr>
        <w:snapToGrid w:val="0"/>
        <w:spacing w:line="360" w:lineRule="auto"/>
        <w:ind w:firstLine="240" w:firstLineChars="100"/>
        <w:rPr>
          <w:rFonts w:hint="eastAsia" w:ascii="仿宋" w:hAnsi="仿宋" w:eastAsia="仿宋"/>
          <w:color w:val="auto"/>
          <w:sz w:val="24"/>
          <w:highlight w:val="none"/>
          <w:lang w:val="en-US"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完成终验合格后</w:t>
      </w:r>
      <w:r>
        <w:rPr>
          <w:rFonts w:hint="eastAsia" w:ascii="仿宋" w:hAnsi="仿宋" w:eastAsia="仿宋" w:cs="仿宋"/>
          <w:color w:val="auto"/>
          <w:sz w:val="24"/>
          <w:szCs w:val="24"/>
          <w:lang w:val="en-US" w:eastAsia="zh-CN"/>
        </w:rPr>
        <w:t>15个工作日内</w:t>
      </w:r>
      <w:r>
        <w:rPr>
          <w:rFonts w:hint="eastAsia" w:ascii="仿宋" w:hAnsi="仿宋" w:eastAsia="仿宋" w:cs="仿宋"/>
          <w:color w:val="auto"/>
          <w:sz w:val="24"/>
          <w:szCs w:val="24"/>
        </w:rPr>
        <w:t>，甲方按</w:t>
      </w:r>
      <w:r>
        <w:rPr>
          <w:rFonts w:hint="eastAsia" w:ascii="仿宋" w:hAnsi="仿宋" w:eastAsia="仿宋" w:cs="仿宋"/>
          <w:color w:val="auto"/>
          <w:sz w:val="24"/>
          <w:szCs w:val="24"/>
          <w:lang w:val="en-US" w:eastAsia="zh-CN"/>
        </w:rPr>
        <w:t>最终</w:t>
      </w:r>
      <w:r>
        <w:rPr>
          <w:rFonts w:hint="eastAsia" w:ascii="仿宋" w:hAnsi="仿宋" w:eastAsia="仿宋" w:cs="仿宋"/>
          <w:color w:val="auto"/>
          <w:sz w:val="24"/>
          <w:szCs w:val="24"/>
        </w:rPr>
        <w:t>金额付清货款。乙方必须开具与付款合同金额相等的正规有效的发票。</w:t>
      </w:r>
    </w:p>
    <w:p>
      <w:pPr>
        <w:spacing w:line="360" w:lineRule="auto"/>
        <w:outlineLvl w:val="0"/>
        <w:rPr>
          <w:rFonts w:ascii="仿宋" w:hAnsi="仿宋" w:eastAsia="仿宋"/>
          <w:sz w:val="24"/>
        </w:rPr>
      </w:pPr>
      <w:r>
        <w:rPr>
          <w:rFonts w:hint="eastAsia" w:ascii="仿宋" w:hAnsi="仿宋" w:eastAsia="仿宋"/>
          <w:sz w:val="24"/>
          <w:lang w:val="en-US" w:eastAsia="zh-CN"/>
        </w:rPr>
        <w:t xml:space="preserve">  9</w:t>
      </w:r>
      <w:r>
        <w:rPr>
          <w:rFonts w:ascii="仿宋" w:hAnsi="仿宋" w:eastAsia="仿宋"/>
          <w:sz w:val="24"/>
        </w:rPr>
        <w:t>.5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宋体" w:hAnsi="宋体" w:cs="宋体"/>
          <w:bCs/>
          <w:color w:val="auto"/>
          <w:sz w:val="24"/>
          <w:szCs w:val="24"/>
          <w:highlight w:val="none"/>
          <w:lang w:val="en-US" w:eastAsia="zh-CN"/>
        </w:rPr>
        <w:t xml:space="preserve"> 10</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税费</w:t>
      </w:r>
    </w:p>
    <w:p>
      <w:pPr>
        <w:adjustRightInd w:val="0"/>
        <w:snapToGrid/>
        <w:spacing w:line="360" w:lineRule="auto"/>
        <w:ind w:left="0" w:leftChars="0" w:right="0"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rPr>
        <w:t>与合同有关的一切税费，均按照中华人民共和国法律的相关规定缴纳。</w:t>
      </w:r>
    </w:p>
    <w:p>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质量保证及售后服务</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11.1</w:t>
      </w:r>
      <w:r>
        <w:rPr>
          <w:rFonts w:hint="eastAsia" w:ascii="仿宋" w:hAnsi="仿宋" w:eastAsia="仿宋" w:cs="仿宋"/>
          <w:bCs/>
          <w:color w:val="auto"/>
          <w:sz w:val="24"/>
          <w:szCs w:val="24"/>
          <w:highlight w:val="none"/>
        </w:rPr>
        <w:t>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11.2</w:t>
      </w:r>
      <w:r>
        <w:rPr>
          <w:rFonts w:hint="eastAsia" w:ascii="仿宋" w:hAnsi="仿宋" w:eastAsia="仿宋" w:cs="仿宋"/>
          <w:bCs/>
          <w:color w:val="auto"/>
          <w:sz w:val="24"/>
          <w:szCs w:val="24"/>
          <w:highlight w:val="none"/>
        </w:rPr>
        <w:t>乙方提供的货物在质保期内因货物本身的质量问题发生故障，乙方应负责免费更换。对达不到技术要求者，根据实际情况，经双方协商，可按以下办法处理：</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更换：由乙方承担所发生的全部费用。</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贬值处理：由甲乙双方合议定价。</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退货处理：乙方应退还甲方支付的合同款，同时应承担该货物的直接费用（运输、保险、检验、货款利息及银行手续费等）。</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11.3</w:t>
      </w:r>
      <w:r>
        <w:rPr>
          <w:rFonts w:hint="eastAsia" w:ascii="仿宋" w:hAnsi="仿宋" w:eastAsia="仿宋" w:cs="仿宋"/>
          <w:bCs/>
          <w:color w:val="auto"/>
          <w:sz w:val="24"/>
          <w:szCs w:val="24"/>
          <w:highlight w:val="none"/>
        </w:rPr>
        <w:t>在质保期内，乙方应对货物出现的质量及安全问题负责处理解决并承担一切费用。</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11.4</w:t>
      </w:r>
      <w:r>
        <w:rPr>
          <w:rFonts w:hint="eastAsia" w:ascii="仿宋" w:hAnsi="仿宋" w:eastAsia="仿宋" w:cs="仿宋"/>
          <w:bCs/>
          <w:color w:val="auto"/>
          <w:sz w:val="24"/>
          <w:szCs w:val="24"/>
          <w:highlight w:val="none"/>
        </w:rPr>
        <w:t>乙方必须对所供产品实行终身维修，乙方在接到电话后2小时内响应，6小时内到达现场解决问题，最迟在2个工作日内修复，如不能修复应采取补救措施，以保证使用方的正常工作，乙方有其它服务承诺的，一并履行。</w:t>
      </w:r>
    </w:p>
    <w:p>
      <w:pPr>
        <w:adjustRightInd w:val="0"/>
        <w:snapToGrid w:val="0"/>
        <w:spacing w:line="360" w:lineRule="auto"/>
        <w:ind w:left="0" w:leftChars="0" w:right="0" w:firstLine="352" w:firstLineChars="147"/>
        <w:outlineLvl w:val="9"/>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lang w:val="en-US" w:eastAsia="zh-CN"/>
        </w:rPr>
        <w:t>11.5</w:t>
      </w:r>
      <w:r>
        <w:rPr>
          <w:rFonts w:hint="eastAsia" w:ascii="仿宋" w:hAnsi="仿宋" w:eastAsia="仿宋" w:cs="仿宋"/>
          <w:bCs/>
          <w:color w:val="auto"/>
          <w:sz w:val="24"/>
          <w:szCs w:val="24"/>
          <w:highlight w:val="none"/>
        </w:rPr>
        <w:t>乙方在质保期内每年应（不少于一次）到使用方进行设备保养、检修。</w:t>
      </w:r>
    </w:p>
    <w:p>
      <w:pPr>
        <w:adjustRightInd w:val="0"/>
        <w:snapToGrid w:val="0"/>
        <w:spacing w:line="360" w:lineRule="auto"/>
        <w:ind w:left="0" w:leftChars="0" w:right="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11.6</w:t>
      </w:r>
      <w:r>
        <w:rPr>
          <w:rFonts w:hint="eastAsia" w:ascii="仿宋" w:hAnsi="仿宋" w:eastAsia="仿宋" w:cs="仿宋"/>
          <w:color w:val="auto"/>
          <w:kern w:val="0"/>
          <w:sz w:val="24"/>
          <w:szCs w:val="24"/>
          <w:highlight w:val="none"/>
        </w:rPr>
        <w:t>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rPr>
        <w:t>货物包装、发运及运输</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12.1</w:t>
      </w:r>
      <w:r>
        <w:rPr>
          <w:rFonts w:hint="eastAsia" w:ascii="仿宋" w:hAnsi="仿宋" w:eastAsia="仿宋" w:cs="仿宋"/>
          <w:bCs/>
          <w:color w:val="auto"/>
          <w:sz w:val="24"/>
          <w:szCs w:val="24"/>
          <w:highlight w:val="none"/>
        </w:rPr>
        <w:t>乙方应在货物发运前对其进行满足运输距离、防潮、防震、防锈和防破损装卸等要求包装，以保证货物安全运达甲方指定地点。</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12.2</w:t>
      </w:r>
      <w:r>
        <w:rPr>
          <w:rFonts w:hint="eastAsia" w:ascii="仿宋" w:hAnsi="仿宋" w:eastAsia="仿宋" w:cs="仿宋"/>
          <w:bCs/>
          <w:color w:val="auto"/>
          <w:sz w:val="24"/>
          <w:szCs w:val="24"/>
          <w:highlight w:val="none"/>
        </w:rPr>
        <w:t>使用说明书、质量检验证明书、随配附件和工具以及清单一并附于货物内。</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12.3</w:t>
      </w:r>
      <w:r>
        <w:rPr>
          <w:rFonts w:hint="eastAsia" w:ascii="仿宋" w:hAnsi="仿宋" w:eastAsia="仿宋" w:cs="仿宋"/>
          <w:bCs/>
          <w:color w:val="auto"/>
          <w:sz w:val="24"/>
          <w:szCs w:val="24"/>
          <w:highlight w:val="none"/>
        </w:rPr>
        <w:t>乙方在货物发运手续办理完毕后24小时内或货到甲方48小时前通知甲方，以准备接货。</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12.4</w:t>
      </w:r>
      <w:r>
        <w:rPr>
          <w:rFonts w:hint="eastAsia" w:ascii="仿宋" w:hAnsi="仿宋" w:eastAsia="仿宋" w:cs="仿宋"/>
          <w:bCs/>
          <w:color w:val="auto"/>
          <w:sz w:val="24"/>
          <w:szCs w:val="24"/>
          <w:highlight w:val="none"/>
        </w:rPr>
        <w:t>货物在交付甲方前发生的风险均由乙方负责。</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12.5</w:t>
      </w:r>
      <w:r>
        <w:rPr>
          <w:rFonts w:hint="eastAsia" w:ascii="仿宋" w:hAnsi="仿宋" w:eastAsia="仿宋" w:cs="仿宋"/>
          <w:bCs/>
          <w:color w:val="auto"/>
          <w:sz w:val="24"/>
          <w:szCs w:val="24"/>
          <w:highlight w:val="none"/>
        </w:rPr>
        <w:t>货物在规定的交付期限内由乙方送达甲方指定的地点，及时通知甲方货物已送达并安装调试完毕视为交付。</w:t>
      </w:r>
    </w:p>
    <w:p>
      <w:pPr>
        <w:adjustRightInd w:val="0"/>
        <w:snapToGrid w:val="0"/>
        <w:spacing w:line="360" w:lineRule="auto"/>
        <w:ind w:left="0" w:leftChars="0" w:right="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13.</w:t>
      </w:r>
      <w:r>
        <w:rPr>
          <w:rFonts w:hint="eastAsia" w:ascii="仿宋" w:hAnsi="仿宋" w:eastAsia="仿宋" w:cs="仿宋"/>
          <w:b/>
          <w:color w:val="auto"/>
          <w:sz w:val="24"/>
          <w:szCs w:val="24"/>
          <w:highlight w:val="none"/>
        </w:rPr>
        <w:t>调试和验收</w:t>
      </w:r>
    </w:p>
    <w:p>
      <w:pPr>
        <w:adjustRightInd w:val="0"/>
        <w:snapToGrid/>
        <w:spacing w:line="360" w:lineRule="auto"/>
        <w:ind w:left="0" w:leftChars="0" w:right="0" w:firstLine="480" w:firstLineChars="200"/>
        <w:outlineLvl w:val="0"/>
        <w:rPr>
          <w:rFonts w:hint="eastAsia" w:ascii="仿宋" w:hAnsi="仿宋" w:eastAsia="仿宋" w:cs="仿宋"/>
          <w:bCs/>
          <w:color w:val="auto"/>
          <w:sz w:val="24"/>
          <w:szCs w:val="24"/>
          <w:highlight w:val="none"/>
        </w:rPr>
      </w:pPr>
      <w:r>
        <w:rPr>
          <w:rFonts w:hint="eastAsia" w:ascii="仿宋" w:hAnsi="仿宋" w:eastAsia="仿宋" w:cs="仿宋"/>
          <w:sz w:val="24"/>
          <w:highlight w:val="none"/>
          <w:lang w:val="en-US" w:eastAsia="zh-CN"/>
        </w:rPr>
        <w:t>13.1</w:t>
      </w:r>
      <w:r>
        <w:rPr>
          <w:rFonts w:hint="eastAsia" w:ascii="仿宋" w:hAnsi="仿宋" w:eastAsia="仿宋"/>
          <w:sz w:val="24"/>
          <w:highlight w:val="none"/>
          <w:u w:val="single" w:color="auto"/>
          <w:lang w:val="en-US" w:eastAsia="zh-CN"/>
        </w:rPr>
        <w:t xml:space="preserve">                                                             </w:t>
      </w:r>
      <w:r>
        <w:rPr>
          <w:rFonts w:hint="eastAsia" w:ascii="仿宋" w:hAnsi="仿宋" w:eastAsia="仿宋"/>
          <w:sz w:val="24"/>
          <w:highlight w:val="none"/>
        </w:rPr>
        <w:t>。</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13.2</w:t>
      </w:r>
      <w:r>
        <w:rPr>
          <w:rFonts w:hint="eastAsia" w:ascii="仿宋" w:hAnsi="仿宋" w:eastAsia="仿宋" w:cs="仿宋"/>
          <w:bCs/>
          <w:color w:val="auto"/>
          <w:sz w:val="24"/>
          <w:szCs w:val="24"/>
          <w:highlight w:val="none"/>
        </w:rPr>
        <w:t>经验收不合格且无法整改的，不付款不退货，所产生的所有损失由乙方承担。</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14.</w:t>
      </w:r>
      <w:r>
        <w:rPr>
          <w:rFonts w:hint="eastAsia" w:ascii="仿宋" w:hAnsi="仿宋" w:eastAsia="仿宋" w:cs="仿宋"/>
          <w:b/>
          <w:color w:val="auto"/>
          <w:sz w:val="24"/>
          <w:szCs w:val="24"/>
          <w:highlight w:val="none"/>
        </w:rPr>
        <w:t>违约责任</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1 </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%；迟延交付货物的违约金计算数额达到前述最高限额之日起，甲方有权在要求乙方支付违约金的同时，书面通知乙方解除本合同；</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%；迟延付款的违约金计算数额达到前述最高限额之日起，乙方有权在要求甲方支付违约金的同时，书面通知甲方解除本合同；</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960" w:firstLineChars="400"/>
      </w:pPr>
      <w:r>
        <w:rPr>
          <w:rFonts w:hint="eastAsia" w:ascii="仿宋" w:hAnsi="仿宋" w:eastAsia="仿宋"/>
          <w:sz w:val="24"/>
          <w:lang w:val="en-US" w:eastAsia="zh-CN"/>
        </w:rPr>
        <w:t>14</w:t>
      </w:r>
      <w:r>
        <w:rPr>
          <w:rFonts w:hint="eastAsia" w:ascii="仿宋" w:hAnsi="仿宋" w:eastAsia="仿宋"/>
          <w:sz w:val="24"/>
        </w:rPr>
        <w:t>.7违约责任</w:t>
      </w:r>
      <w:r>
        <w:rPr>
          <w:rFonts w:hint="eastAsia" w:ascii="仿宋" w:hAnsi="仿宋" w:eastAsia="仿宋"/>
          <w:sz w:val="24"/>
          <w:lang w:val="en-US" w:eastAsia="zh-CN"/>
        </w:rPr>
        <w:t>采购人</w:t>
      </w:r>
      <w:r>
        <w:rPr>
          <w:rFonts w:hint="eastAsia" w:ascii="仿宋" w:hAnsi="仿宋" w:eastAsia="仿宋"/>
          <w:sz w:val="24"/>
        </w:rPr>
        <w:t>另有约定的</w:t>
      </w:r>
      <w:r>
        <w:rPr>
          <w:rFonts w:hint="eastAsia" w:ascii="仿宋" w:hAnsi="仿宋" w:eastAsia="仿宋"/>
          <w:sz w:val="24"/>
          <w:lang w:eastAsia="zh-CN"/>
        </w:rPr>
        <w:t>：</w:t>
      </w:r>
      <w:r>
        <w:rPr>
          <w:rFonts w:hint="eastAsia" w:ascii="仿宋" w:hAnsi="仿宋" w:eastAsia="仿宋"/>
          <w:sz w:val="24"/>
          <w:highlight w:val="none"/>
          <w:u w:val="single" w:color="auto"/>
          <w:lang w:val="en-US" w:eastAsia="zh-CN"/>
        </w:rPr>
        <w:t xml:space="preserve">                         </w:t>
      </w:r>
      <w:r>
        <w:rPr>
          <w:rFonts w:hint="eastAsia" w:ascii="仿宋" w:hAnsi="仿宋" w:eastAsia="仿宋"/>
          <w:sz w:val="24"/>
        </w:rPr>
        <w:t>从其约定。</w:t>
      </w:r>
    </w:p>
    <w:p>
      <w:pPr>
        <w:adjustRightInd w:val="0"/>
        <w:snapToGrid/>
        <w:spacing w:line="360" w:lineRule="auto"/>
        <w:ind w:left="0" w:leftChars="0" w:right="0" w:firstLine="0" w:firstLineChars="0"/>
        <w:outlineLvl w:val="9"/>
        <w:rPr>
          <w:rFonts w:hint="eastAsia" w:ascii="仿宋" w:hAnsi="仿宋" w:eastAsia="仿宋" w:cs="仿宋"/>
          <w:b/>
          <w:bCs/>
          <w:sz w:val="24"/>
        </w:rPr>
      </w:pPr>
      <w:r>
        <w:rPr>
          <w:rFonts w:hint="eastAsia" w:ascii="仿宋" w:hAnsi="仿宋" w:eastAsia="仿宋" w:cs="仿宋"/>
          <w:b/>
          <w:bCs/>
          <w:sz w:val="24"/>
          <w:lang w:val="en-US" w:eastAsia="zh-CN"/>
        </w:rPr>
        <w:t xml:space="preserve">    15.</w:t>
      </w:r>
      <w:r>
        <w:rPr>
          <w:rFonts w:hint="eastAsia" w:ascii="仿宋" w:hAnsi="仿宋" w:eastAsia="仿宋" w:cs="仿宋"/>
          <w:b/>
          <w:bCs/>
          <w:sz w:val="24"/>
        </w:rPr>
        <w:t>不可抗力事件处理</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15.1</w:t>
      </w:r>
      <w:r>
        <w:rPr>
          <w:rFonts w:hint="eastAsia" w:ascii="仿宋" w:hAnsi="仿宋" w:eastAsia="仿宋" w:cs="仿宋"/>
          <w:sz w:val="24"/>
        </w:rPr>
        <w:t>在合同有效期内，任何一方因不可抗力事件导致不能履行合同，则合同履行期可延长，其延长期与不可抗力影响期相同。</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15.2</w:t>
      </w:r>
      <w:r>
        <w:rPr>
          <w:rFonts w:hint="eastAsia" w:ascii="仿宋" w:hAnsi="仿宋" w:eastAsia="仿宋" w:cs="仿宋"/>
          <w:sz w:val="24"/>
        </w:rPr>
        <w:t>不可抗力事件发生后，应立即通知对方，并寄送有关权威机构出具的证明。</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15.3</w:t>
      </w:r>
      <w:r>
        <w:rPr>
          <w:rFonts w:hint="eastAsia" w:ascii="仿宋" w:hAnsi="仿宋" w:eastAsia="仿宋" w:cs="仿宋"/>
          <w:sz w:val="24"/>
        </w:rPr>
        <w:t>不可抗力事件延续120天以上，双方应通过友好协商，确定是否继续履行合同。</w:t>
      </w:r>
    </w:p>
    <w:p>
      <w:pPr>
        <w:adjustRightInd w:val="0"/>
        <w:snapToGrid/>
        <w:spacing w:line="360" w:lineRule="auto"/>
        <w:ind w:left="0" w:leftChars="0" w:right="0" w:firstLine="0" w:firstLineChars="0"/>
        <w:outlineLvl w:val="9"/>
        <w:rPr>
          <w:rFonts w:hint="eastAsia" w:ascii="仿宋" w:hAnsi="仿宋" w:eastAsia="仿宋" w:cs="仿宋"/>
          <w:b/>
          <w:bCs/>
          <w:sz w:val="24"/>
        </w:rPr>
      </w:pPr>
      <w:r>
        <w:rPr>
          <w:rFonts w:hint="eastAsia" w:ascii="仿宋" w:hAnsi="仿宋" w:eastAsia="仿宋" w:cs="仿宋"/>
          <w:b/>
          <w:bCs/>
          <w:sz w:val="24"/>
          <w:lang w:val="en-US" w:eastAsia="zh-CN"/>
        </w:rPr>
        <w:t xml:space="preserve">    16.</w:t>
      </w:r>
      <w:r>
        <w:rPr>
          <w:rFonts w:hint="eastAsia" w:ascii="仿宋" w:hAnsi="仿宋" w:eastAsia="仿宋" w:cs="仿宋"/>
          <w:b/>
          <w:bCs/>
          <w:sz w:val="24"/>
        </w:rPr>
        <w:t>诉讼</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双方在执行合同中所发生的一切争议，应通过协商解决。如协商不成，可向甲方所在地法院起诉。</w:t>
      </w:r>
    </w:p>
    <w:p>
      <w:pPr>
        <w:adjustRightInd w:val="0"/>
        <w:snapToGrid/>
        <w:spacing w:line="360" w:lineRule="auto"/>
        <w:ind w:left="0" w:leftChars="0" w:right="0" w:firstLine="0" w:firstLineChars="0"/>
        <w:outlineLvl w:val="9"/>
        <w:rPr>
          <w:rFonts w:hint="eastAsia" w:ascii="仿宋" w:hAnsi="仿宋" w:eastAsia="仿宋" w:cs="仿宋"/>
          <w:b/>
          <w:bCs/>
          <w:sz w:val="24"/>
        </w:rPr>
      </w:pPr>
      <w:r>
        <w:rPr>
          <w:rFonts w:hint="eastAsia" w:ascii="仿宋" w:hAnsi="仿宋" w:eastAsia="仿宋" w:cs="仿宋"/>
          <w:b/>
          <w:bCs/>
          <w:sz w:val="24"/>
          <w:lang w:val="en-US" w:eastAsia="zh-CN"/>
        </w:rPr>
        <w:t xml:space="preserve">    17.</w:t>
      </w:r>
      <w:r>
        <w:rPr>
          <w:rFonts w:hint="eastAsia" w:ascii="仿宋" w:hAnsi="仿宋" w:eastAsia="仿宋" w:cs="仿宋"/>
          <w:b/>
          <w:bCs/>
          <w:sz w:val="24"/>
        </w:rPr>
        <w:t>合同生效及其它</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17.1</w:t>
      </w:r>
      <w:r>
        <w:rPr>
          <w:rFonts w:hint="eastAsia" w:ascii="仿宋" w:hAnsi="仿宋" w:eastAsia="仿宋" w:cs="仿宋"/>
          <w:sz w:val="24"/>
        </w:rPr>
        <w:t>招标文件、投标文件、更正公告、中标通知书、承诺函等均作为本合同组成部分，具有同等效力。</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17.2</w:t>
      </w:r>
      <w:r>
        <w:rPr>
          <w:rFonts w:hint="eastAsia" w:ascii="仿宋" w:hAnsi="仿宋" w:eastAsia="仿宋" w:cs="仿宋"/>
          <w:sz w:val="24"/>
        </w:rPr>
        <w:t>合同经双方法定代表人或其授权代表签字并加盖单位公章后方可生效。</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17.3</w:t>
      </w:r>
      <w:r>
        <w:rPr>
          <w:rFonts w:hint="eastAsia" w:ascii="仿宋" w:hAnsi="仿宋" w:eastAsia="仿宋" w:cs="仿宋"/>
          <w:sz w:val="24"/>
        </w:rPr>
        <w:t>合同执行中涉及采购资金和采购内容修改或补充的，须经财政部门审批，并签书面补充协议报政府采购监督管理部门备案，作为主合同不可分割的一部分。</w:t>
      </w:r>
    </w:p>
    <w:p>
      <w:pPr>
        <w:snapToGrid/>
        <w:spacing w:line="360" w:lineRule="auto"/>
        <w:ind w:firstLine="0" w:firstLineChars="0"/>
        <w:rPr>
          <w:rFonts w:hint="eastAsia" w:ascii="仿宋" w:hAnsi="仿宋" w:eastAsia="仿宋" w:cs="仿宋"/>
          <w:b/>
          <w:bCs/>
          <w:sz w:val="24"/>
        </w:rPr>
      </w:pPr>
      <w:r>
        <w:rPr>
          <w:rFonts w:hint="eastAsia" w:ascii="仿宋" w:hAnsi="仿宋" w:eastAsia="仿宋" w:cs="仿宋"/>
          <w:sz w:val="24"/>
          <w:lang w:val="en-US" w:eastAsia="zh-CN"/>
        </w:rPr>
        <w:t xml:space="preserve">    </w:t>
      </w:r>
      <w:r>
        <w:rPr>
          <w:rFonts w:hint="eastAsia" w:ascii="仿宋" w:hAnsi="仿宋" w:eastAsia="仿宋" w:cs="仿宋"/>
          <w:b/>
          <w:bCs/>
          <w:sz w:val="24"/>
          <w:lang w:eastAsia="zh-CN"/>
        </w:rPr>
        <w:t>1</w:t>
      </w:r>
      <w:r>
        <w:rPr>
          <w:rFonts w:hint="eastAsia" w:ascii="仿宋" w:hAnsi="仿宋" w:eastAsia="仿宋" w:cs="仿宋"/>
          <w:b/>
          <w:bCs/>
          <w:sz w:val="24"/>
          <w:lang w:val="en-US" w:eastAsia="zh-CN"/>
        </w:rPr>
        <w:t>7.4</w:t>
      </w:r>
      <w:r>
        <w:rPr>
          <w:rFonts w:hint="eastAsia" w:ascii="仿宋" w:hAnsi="仿宋" w:eastAsia="仿宋" w:cs="仿宋"/>
          <w:b/>
          <w:bCs/>
          <w:sz w:val="24"/>
          <w:lang w:val="zh-CN"/>
        </w:rPr>
        <w:t>本合同</w:t>
      </w:r>
      <w:r>
        <w:rPr>
          <w:rFonts w:hint="eastAsia" w:ascii="仿宋" w:hAnsi="仿宋" w:eastAsia="仿宋" w:cs="仿宋"/>
          <w:b/>
          <w:bCs/>
          <w:sz w:val="24"/>
        </w:rPr>
        <w:t>（□是  □</w:t>
      </w:r>
      <w:r>
        <w:rPr>
          <w:rFonts w:hint="eastAsia" w:ascii="仿宋" w:hAnsi="仿宋" w:eastAsia="仿宋" w:cs="仿宋"/>
          <w:b/>
          <w:bCs/>
          <w:sz w:val="24"/>
          <w:lang w:val="zh-CN"/>
        </w:rPr>
        <w:t>否</w:t>
      </w:r>
      <w:r>
        <w:rPr>
          <w:rFonts w:hint="eastAsia" w:ascii="仿宋" w:hAnsi="仿宋" w:eastAsia="仿宋" w:cs="仿宋"/>
          <w:b/>
          <w:bCs/>
          <w:sz w:val="24"/>
        </w:rPr>
        <w:t>）</w:t>
      </w:r>
      <w:r>
        <w:rPr>
          <w:rFonts w:hint="eastAsia" w:ascii="仿宋" w:hAnsi="仿宋" w:eastAsia="仿宋" w:cs="仿宋"/>
          <w:b/>
          <w:bCs/>
          <w:sz w:val="24"/>
          <w:lang w:val="zh-CN"/>
        </w:rPr>
        <w:t>为可融资合同</w:t>
      </w:r>
      <w:r>
        <w:rPr>
          <w:rFonts w:hint="eastAsia" w:ascii="仿宋" w:hAnsi="仿宋" w:eastAsia="仿宋" w:cs="仿宋"/>
          <w:b/>
          <w:bCs/>
          <w:sz w:val="24"/>
        </w:rPr>
        <w:t>，</w:t>
      </w:r>
      <w:r>
        <w:rPr>
          <w:rFonts w:hint="eastAsia" w:ascii="仿宋" w:hAnsi="仿宋" w:eastAsia="仿宋" w:cs="仿宋"/>
          <w:b/>
          <w:bCs/>
          <w:sz w:val="24"/>
          <w:lang w:val="zh-CN"/>
        </w:rPr>
        <w:t>关于中小企业信用融资事项</w:t>
      </w:r>
      <w:r>
        <w:rPr>
          <w:rFonts w:hint="eastAsia" w:ascii="仿宋" w:hAnsi="仿宋" w:eastAsia="仿宋" w:cs="仿宋"/>
          <w:b/>
          <w:bCs/>
          <w:sz w:val="24"/>
        </w:rPr>
        <w:t>详见《政府采购支持中小企业信用融资相关事项通知》，或登录杭州市政府采购网“中小企业信用融资”模块，查看信用融资政策文件及各相关银行服务方案。</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17.5</w:t>
      </w:r>
      <w:r>
        <w:rPr>
          <w:rFonts w:hint="eastAsia" w:ascii="仿宋" w:hAnsi="仿宋" w:eastAsia="仿宋" w:cs="仿宋"/>
          <w:sz w:val="24"/>
        </w:rPr>
        <w:t>本合同未尽事宜，遵</w:t>
      </w:r>
      <w:r>
        <w:rPr>
          <w:rFonts w:hint="eastAsia" w:ascii="仿宋" w:hAnsi="仿宋" w:eastAsia="仿宋" w:cs="仿宋"/>
          <w:sz w:val="24"/>
          <w:highlight w:val="none"/>
        </w:rPr>
        <w:t>照《</w:t>
      </w:r>
      <w:r>
        <w:rPr>
          <w:rFonts w:hint="eastAsia" w:ascii="仿宋" w:hAnsi="仿宋" w:eastAsia="仿宋" w:cs="仿宋"/>
          <w:sz w:val="24"/>
          <w:highlight w:val="none"/>
          <w:lang w:val="en-US" w:eastAsia="zh-CN"/>
        </w:rPr>
        <w:t>民法典</w:t>
      </w:r>
      <w:r>
        <w:rPr>
          <w:rFonts w:hint="eastAsia" w:ascii="仿宋" w:hAnsi="仿宋" w:eastAsia="仿宋" w:cs="仿宋"/>
          <w:sz w:val="24"/>
          <w:highlight w:val="none"/>
        </w:rPr>
        <w:t>》有关条文</w:t>
      </w:r>
      <w:r>
        <w:rPr>
          <w:rFonts w:hint="eastAsia" w:ascii="仿宋" w:hAnsi="仿宋" w:eastAsia="仿宋" w:cs="仿宋"/>
          <w:sz w:val="24"/>
        </w:rPr>
        <w:t>执行。</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17.6</w:t>
      </w:r>
      <w:r>
        <w:rPr>
          <w:rFonts w:hint="eastAsia" w:ascii="仿宋" w:hAnsi="仿宋" w:eastAsia="仿宋" w:cs="仿宋"/>
          <w:sz w:val="24"/>
        </w:rPr>
        <w:t xml:space="preserve">本合同一式多份，具有同等法律效力，甲乙双方、区财政局采购监管科、验收单位，各执一份。 </w:t>
      </w:r>
    </w:p>
    <w:p>
      <w:pPr>
        <w:adjustRightInd w:val="0"/>
        <w:snapToGrid/>
        <w:spacing w:line="360" w:lineRule="auto"/>
        <w:ind w:left="0" w:leftChars="0" w:right="0" w:firstLine="0" w:firstLineChars="0"/>
        <w:outlineLvl w:val="9"/>
        <w:rPr>
          <w:rFonts w:hint="eastAsia" w:ascii="仿宋" w:hAnsi="仿宋" w:eastAsia="仿宋" w:cs="仿宋"/>
          <w:sz w:val="24"/>
        </w:rPr>
      </w:pP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甲方（盖章）：                         乙方（盖章）：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法定代表人：                          法定代表人：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或授权代表（签字）：                   或授权代表（签字）：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地址：                                地址：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邮编：                                邮编：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电话：                                电话：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传真：                                传真：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开户银行：                            开户银行：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帐号：                                帐号：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                                         </w:t>
      </w:r>
    </w:p>
    <w:p>
      <w:pPr>
        <w:adjustRightInd w:val="0"/>
        <w:snapToGrid/>
        <w:spacing w:line="360" w:lineRule="auto"/>
        <w:ind w:left="0" w:leftChars="0" w:right="0" w:firstLine="0" w:firstLineChars="0"/>
        <w:jc w:val="center"/>
        <w:outlineLvl w:val="9"/>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签约时间：      年    月   日</w:t>
      </w:r>
    </w:p>
    <w:p>
      <w:pPr>
        <w:wordWrap/>
        <w:spacing w:line="360" w:lineRule="auto"/>
        <w:jc w:val="both"/>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签约地点： </w:t>
      </w:r>
    </w:p>
    <w:p>
      <w:pPr>
        <w:wordWrap/>
        <w:spacing w:line="360" w:lineRule="auto"/>
        <w:jc w:val="both"/>
        <w:rPr>
          <w:rFonts w:hint="eastAsia" w:ascii="仿宋" w:hAnsi="仿宋" w:eastAsia="仿宋" w:cs="仿宋"/>
          <w:sz w:val="24"/>
        </w:rPr>
      </w:pPr>
    </w:p>
    <w:p>
      <w:pPr>
        <w:wordWrap/>
        <w:spacing w:line="360" w:lineRule="auto"/>
        <w:jc w:val="both"/>
        <w:rPr>
          <w:rFonts w:hint="eastAsia" w:ascii="仿宋" w:hAnsi="仿宋" w:eastAsia="仿宋" w:cs="仿宋"/>
          <w:sz w:val="24"/>
        </w:rPr>
      </w:pPr>
      <w:r>
        <w:rPr>
          <w:rFonts w:hint="eastAsia" w:ascii="仿宋" w:hAnsi="仿宋" w:eastAsia="仿宋" w:cs="仿宋"/>
          <w:sz w:val="24"/>
        </w:rPr>
        <w:t xml:space="preserve">                             </w:t>
      </w:r>
    </w:p>
    <w:p>
      <w:pPr>
        <w:spacing w:line="360" w:lineRule="auto"/>
        <w:rPr>
          <w:rFonts w:hint="eastAsia" w:ascii="仿宋" w:hAnsi="仿宋" w:eastAsia="仿宋" w:cs="仿宋"/>
          <w:b/>
          <w:bCs/>
          <w:sz w:val="24"/>
        </w:rPr>
      </w:pPr>
      <w:bookmarkStart w:id="397" w:name="_Toc349721554"/>
      <w:bookmarkStart w:id="398" w:name="_Toc868"/>
      <w:bookmarkStart w:id="399" w:name="_Toc326765771"/>
      <w:bookmarkStart w:id="400" w:name="_Toc339872468"/>
      <w:bookmarkStart w:id="401" w:name="_Toc328381300"/>
      <w:bookmarkStart w:id="402" w:name="_Toc350327365"/>
      <w:r>
        <w:rPr>
          <w:rFonts w:hint="eastAsia" w:ascii="仿宋" w:hAnsi="仿宋" w:eastAsia="仿宋" w:cs="仿宋"/>
          <w:b/>
          <w:bCs/>
          <w:sz w:val="24"/>
        </w:rPr>
        <w:t xml:space="preserve"> 此仅为合同书样本，中标单位需根据实际情况和采购人签订相应的合同！</w:t>
      </w:r>
      <w:bookmarkEnd w:id="397"/>
      <w:bookmarkEnd w:id="398"/>
      <w:bookmarkEnd w:id="399"/>
      <w:bookmarkEnd w:id="400"/>
      <w:bookmarkEnd w:id="401"/>
      <w:bookmarkEnd w:id="402"/>
    </w:p>
    <w:p>
      <w:pPr>
        <w:snapToGrid/>
        <w:spacing w:before="0" w:beforeLines="0" w:after="0" w:line="360" w:lineRule="auto"/>
        <w:rPr>
          <w:rFonts w:hint="eastAsia" w:ascii="仿宋" w:hAnsi="仿宋" w:eastAsia="仿宋" w:cs="仿宋"/>
          <w:b/>
          <w:bCs/>
          <w:sz w:val="24"/>
        </w:rPr>
        <w:sectPr>
          <w:pgSz w:w="11906" w:h="16838"/>
          <w:pgMar w:top="1558" w:right="1531" w:bottom="468" w:left="1531" w:header="851" w:footer="851" w:gutter="0"/>
          <w:cols w:space="720" w:num="1"/>
          <w:titlePg/>
          <w:docGrid w:type="lines" w:linePitch="312" w:charSpace="0"/>
        </w:sectPr>
      </w:pPr>
      <w:bookmarkStart w:id="403" w:name="_Toc194217895"/>
    </w:p>
    <w:bookmarkEnd w:id="403"/>
    <w:p>
      <w:pPr>
        <w:pStyle w:val="3"/>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5"/>
      <w:r>
        <w:rPr>
          <w:rFonts w:ascii="仿宋" w:hAnsi="仿宋" w:eastAsia="仿宋" w:cs="仿宋_GB2312"/>
          <w:b/>
          <w:sz w:val="36"/>
          <w:szCs w:val="20"/>
        </w:rPr>
        <w:t xml:space="preserve"> </w:t>
      </w:r>
      <w:bookmarkEnd w:id="396"/>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w:t>
      </w:r>
      <w:r>
        <w:rPr>
          <w:rFonts w:ascii="仿宋_GB2312" w:hAnsi="仿宋" w:eastAsia="仿宋_GB2312" w:cs="仿宋_GB2312"/>
          <w:sz w:val="24"/>
          <w:highlight w:val="none"/>
        </w:rPr>
        <w:t>符合参加政府采购活动应当具备的一般条件的承诺函……</w:t>
      </w:r>
      <w:r>
        <w:rPr>
          <w:rFonts w:hint="eastAsia" w:ascii="仿宋_GB2312" w:hAnsi="仿宋" w:eastAsia="仿宋_GB2312" w:cs="仿宋_GB2312"/>
          <w:sz w:val="24"/>
          <w:highlight w:val="none"/>
        </w:rPr>
        <w:t>…</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w:t>
      </w:r>
      <w:r>
        <w:rPr>
          <w:rFonts w:hint="eastAsia" w:ascii="仿宋_GB2312" w:hAnsi="仿宋" w:eastAsia="仿宋_GB2312" w:cs="仿宋_GB2312"/>
          <w:sz w:val="24"/>
          <w:lang w:val="en-US" w:eastAsia="zh-CN"/>
        </w:rPr>
        <w:t>项目编号</w:t>
      </w:r>
      <w:r>
        <w:rPr>
          <w:rFonts w:hint="eastAsia" w:ascii="仿宋_GB2312" w:hAnsi="仿宋" w:eastAsia="仿宋_GB2312" w:cs="仿宋_GB2312"/>
          <w:sz w:val="24"/>
        </w:rPr>
        <w:t>：</w:t>
      </w:r>
      <w:r>
        <w:rPr>
          <w:rFonts w:hint="eastAsia"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w:t>
      </w:r>
      <w:r>
        <w:rPr>
          <w:rFonts w:hint="eastAsia" w:ascii="仿宋_GB2312" w:hAnsi="仿宋" w:eastAsia="仿宋_GB2312" w:cs="仿宋_GB2312"/>
          <w:sz w:val="24"/>
        </w:rPr>
        <w:t>】政府采购活动，郑重承诺：</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cs="Times New Roman"/>
          <w:sz w:val="24"/>
        </w:rPr>
        <w:t>（一）</w:t>
      </w:r>
      <w:r>
        <w:rPr>
          <w:rFonts w:hint="eastAsia" w:ascii="仿宋_GB2312" w:hAnsi="仿宋" w:eastAsia="仿宋_GB2312"/>
          <w:color w:val="auto"/>
          <w:sz w:val="24"/>
          <w:szCs w:val="24"/>
          <w:highlight w:val="none"/>
        </w:rPr>
        <w:t>符合参与政府采购活动的资格条件并且没有税收缴纳、社会保障等方面的失信记录的承诺函</w:t>
      </w:r>
      <w:r>
        <w:rPr>
          <w:rFonts w:hint="eastAsia" w:ascii="仿宋_GB2312" w:hAnsi="仿宋" w:eastAsia="仿宋_GB2312"/>
          <w:color w:val="auto"/>
          <w:sz w:val="24"/>
          <w:szCs w:val="24"/>
          <w:highlight w:val="none"/>
          <w:lang w:val="en-US" w:eastAsia="zh-CN"/>
        </w:rPr>
        <w:t>;</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lang w:eastAsia="zh-CN"/>
        </w:rPr>
        <w:t>（</w:t>
      </w:r>
      <w:r>
        <w:rPr>
          <w:rFonts w:hint="eastAsia" w:ascii="仿宋_GB2312" w:hAnsi="仿宋" w:eastAsia="仿宋_GB2312"/>
          <w:sz w:val="24"/>
          <w:lang w:val="en-US" w:eastAsia="zh-CN"/>
        </w:rPr>
        <w:t>二</w:t>
      </w:r>
      <w:r>
        <w:rPr>
          <w:rFonts w:hint="eastAsia" w:ascii="仿宋_GB2312" w:hAnsi="仿宋" w:eastAsia="仿宋_GB2312"/>
          <w:sz w:val="24"/>
          <w:lang w:eastAsia="zh-CN"/>
        </w:rPr>
        <w:t>）</w:t>
      </w:r>
      <w:r>
        <w:rPr>
          <w:rFonts w:hint="eastAsia" w:ascii="仿宋_GB2312" w:hAnsi="仿宋" w:eastAsia="仿宋_GB2312"/>
          <w:sz w:val="24"/>
        </w:rPr>
        <w:t>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3"/>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3"/>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3"/>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r>
        <w:rPr>
          <w:rFonts w:ascii="仿宋_GB2312" w:hAnsi="仿宋" w:eastAsia="仿宋_GB2312" w:cs="仿宋_GB2312"/>
          <w:b/>
          <w:kern w:val="0"/>
          <w:sz w:val="36"/>
          <w:szCs w:val="36"/>
        </w:rPr>
        <w:br w:type="page"/>
      </w:r>
    </w:p>
    <w:p>
      <w:pPr>
        <w:pStyle w:val="3"/>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hint="eastAsia"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7</w:t>
      </w:r>
      <w:r>
        <w:rPr>
          <w:rFonts w:ascii="仿宋_GB2312" w:hAnsi="仿宋" w:eastAsia="仿宋_GB2312" w:cs="仿宋_GB2312"/>
          <w:sz w:val="24"/>
        </w:rPr>
        <w:t>）</w:t>
      </w:r>
      <w:r>
        <w:rPr>
          <w:rFonts w:hint="eastAsia" w:ascii="仿宋_GB2312" w:hAnsi="仿宋" w:eastAsia="仿宋_GB2312" w:cs="仿宋_GB2312"/>
          <w:sz w:val="24"/>
          <w:lang w:val="en-US" w:eastAsia="zh-CN"/>
        </w:rPr>
        <w:t>投标标的清单</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8</w:t>
      </w:r>
      <w:r>
        <w:rPr>
          <w:rFonts w:ascii="仿宋_GB2312" w:hAnsi="仿宋" w:eastAsia="仿宋_GB2312" w:cs="仿宋_GB2312"/>
          <w:sz w:val="24"/>
        </w:rPr>
        <w:t>）商务技术偏离表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9</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both"/>
        <w:rPr>
          <w:rFonts w:ascii="仿宋_GB2312" w:hAnsi="仿宋" w:eastAsia="仿宋_GB2312" w:cs="仿宋_GB2312"/>
          <w:b/>
          <w:kern w:val="0"/>
          <w:sz w:val="32"/>
          <w:szCs w:val="32"/>
          <w:lang w:val="zh-CN"/>
        </w:rPr>
      </w:pP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lang w:val="zh-CN" w:eastAsia="zh-CN"/>
        </w:rPr>
        <w:t>（</w:t>
      </w:r>
      <w:r>
        <w:rPr>
          <w:rFonts w:hint="eastAsia" w:ascii="仿宋_GB2312" w:hAnsi="仿宋" w:eastAsia="仿宋_GB2312" w:cs="仿宋_GB2312"/>
          <w:sz w:val="24"/>
          <w:lang w:val="en-US" w:eastAsia="zh-CN"/>
        </w:rPr>
        <w:t>10</w:t>
      </w:r>
      <w:r>
        <w:rPr>
          <w:rFonts w:hint="eastAsia" w:ascii="仿宋_GB2312" w:hAnsi="仿宋" w:eastAsia="仿宋_GB2312" w:cs="仿宋_GB2312"/>
          <w:sz w:val="24"/>
          <w:lang w:val="zh-CN" w:eastAsia="zh-CN"/>
        </w:rPr>
        <w:t>）</w:t>
      </w:r>
      <w:r>
        <w:rPr>
          <w:rFonts w:hint="eastAsia" w:ascii="仿宋_GB2312" w:hAnsi="仿宋" w:eastAsia="仿宋_GB2312" w:cs="仿宋_GB2312"/>
          <w:color w:val="auto"/>
          <w:sz w:val="24"/>
          <w:szCs w:val="24"/>
          <w:highlight w:val="none"/>
          <w:lang w:val="zh-CN"/>
        </w:rPr>
        <w:t>投标</w:t>
      </w:r>
      <w:r>
        <w:rPr>
          <w:rFonts w:hint="eastAsia" w:ascii="仿宋_GB2312" w:hAnsi="仿宋" w:eastAsia="仿宋_GB2312" w:cs="仿宋_GB2312"/>
          <w:color w:val="auto"/>
          <w:sz w:val="24"/>
          <w:szCs w:val="24"/>
          <w:highlight w:val="none"/>
          <w:lang w:val="en-US" w:eastAsia="zh-CN"/>
        </w:rPr>
        <w:t>人</w:t>
      </w:r>
      <w:r>
        <w:rPr>
          <w:rFonts w:hint="eastAsia" w:ascii="仿宋_GB2312" w:hAnsi="仿宋" w:eastAsia="仿宋_GB2312" w:cs="仿宋_GB2312"/>
          <w:color w:val="auto"/>
          <w:sz w:val="24"/>
          <w:szCs w:val="24"/>
          <w:highlight w:val="none"/>
          <w:lang w:val="zh-CN"/>
        </w:rPr>
        <w:t>认为需要的其他文件资料</w:t>
      </w:r>
      <w:r>
        <w:rPr>
          <w:rFonts w:hint="eastAsia" w:ascii="仿宋_GB2312" w:hAnsi="仿宋" w:eastAsia="仿宋_GB2312" w:cs="仿宋_GB2312"/>
          <w:color w:val="auto"/>
          <w:sz w:val="24"/>
          <w:szCs w:val="24"/>
          <w:highlight w:val="none"/>
          <w:lang w:val="zh-CN" w:eastAsia="zh-CN"/>
        </w:rPr>
        <w:t>（如有）</w:t>
      </w:r>
      <w:r>
        <w:rPr>
          <w:rFonts w:hint="eastAsia" w:cs="仿宋_GB2312"/>
        </w:rPr>
        <w:t>…………………………………</w:t>
      </w:r>
      <w:r>
        <w:rPr>
          <w:rFonts w:hint="eastAsia" w:cs="仿宋_GB2312"/>
          <w:lang w:val="en-US" w:eastAsia="zh-CN"/>
        </w:rPr>
        <w:t xml:space="preserve"> </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pStyle w:val="3"/>
        <w:rPr>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90"/>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0"/>
              <w:adjustRightInd w:val="0"/>
              <w:spacing w:before="0" w:beforeAutospacing="0" w:after="0" w:afterAutospacing="0" w:line="360" w:lineRule="auto"/>
              <w:ind w:left="0" w:right="0"/>
              <w:rPr>
                <w:rFonts w:hint="eastAsia" w:ascii="仿宋_GB2312" w:hAnsi="仿宋" w:eastAsia="仿宋_GB2312" w:cs="Times New Roman"/>
                <w:bCs/>
                <w:sz w:val="24"/>
                <w:szCs w:val="20"/>
              </w:rPr>
            </w:pPr>
            <w:r>
              <w:rPr>
                <w:rFonts w:hint="eastAsia" w:ascii="仿宋_GB2312" w:hAnsi="仿宋" w:eastAsia="仿宋_GB2312" w:cs="Times New Roman"/>
                <w:bCs/>
                <w:sz w:val="24"/>
                <w:szCs w:val="20"/>
              </w:rPr>
              <w:t>正面：                                 反面：</w:t>
            </w:r>
          </w:p>
          <w:p>
            <w:pPr>
              <w:pStyle w:val="90"/>
              <w:adjustRightInd w:val="0"/>
              <w:spacing w:before="0" w:beforeAutospacing="0" w:after="0" w:afterAutospacing="0" w:line="360" w:lineRule="auto"/>
              <w:ind w:left="0" w:right="0"/>
              <w:rPr>
                <w:rFonts w:hint="eastAsia" w:ascii="仿宋_GB2312" w:hAnsi="仿宋" w:eastAsia="仿宋_GB2312" w:cs="Times New Roman"/>
                <w:bCs/>
                <w:sz w:val="24"/>
                <w:szCs w:val="20"/>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3"/>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highlight w:val="none"/>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w:t>
      </w:r>
      <w:r>
        <w:rPr>
          <w:rFonts w:hint="eastAsia" w:ascii="仿宋_GB2312" w:hAnsi="仿宋" w:eastAsia="仿宋_GB2312" w:cs="仿宋_GB2312"/>
          <w:b/>
          <w:kern w:val="0"/>
          <w:sz w:val="24"/>
          <w:highlight w:val="none"/>
          <w:lang w:val="zh-CN"/>
        </w:rPr>
        <w:t>联合体其中一方提供的货物全部由小微企业制造，且其合同份额占到合同总金额</w:t>
      </w:r>
      <w:r>
        <w:rPr>
          <w:rFonts w:ascii="仿宋_GB2312" w:hAnsi="仿宋" w:eastAsia="仿宋_GB2312" w:cs="仿宋_GB2312"/>
          <w:b/>
          <w:kern w:val="0"/>
          <w:sz w:val="24"/>
          <w:highlight w:val="none"/>
          <w:lang w:val="zh-CN"/>
        </w:rPr>
        <w:t xml:space="preserve"> 30%以上</w:t>
      </w:r>
      <w:r>
        <w:rPr>
          <w:rFonts w:hint="eastAsia" w:ascii="仿宋_GB2312" w:hAnsi="仿宋" w:eastAsia="仿宋_GB2312" w:cs="仿宋_GB2312"/>
          <w:b/>
          <w:kern w:val="0"/>
          <w:sz w:val="24"/>
          <w:highlight w:val="none"/>
          <w:lang w:val="zh-CN"/>
        </w:rPr>
        <w:t>，对联合体报价给予</w:t>
      </w:r>
      <w:r>
        <w:rPr>
          <w:rFonts w:hint="eastAsia" w:ascii="仿宋_GB2312" w:hAnsi="仿宋" w:eastAsia="仿宋_GB2312" w:cs="仿宋_GB2312"/>
          <w:b/>
          <w:kern w:val="0"/>
          <w:sz w:val="24"/>
          <w:highlight w:val="none"/>
          <w:lang w:val="en-US" w:eastAsia="zh-CN"/>
        </w:rPr>
        <w:t>6</w:t>
      </w:r>
      <w:r>
        <w:rPr>
          <w:rFonts w:ascii="仿宋_GB2312" w:hAnsi="仿宋" w:eastAsia="仿宋_GB2312" w:cs="仿宋_GB2312"/>
          <w:b/>
          <w:kern w:val="0"/>
          <w:sz w:val="24"/>
          <w:highlight w:val="none"/>
          <w:lang w:val="zh-CN"/>
        </w:rPr>
        <w:t>%的扣除</w:t>
      </w:r>
      <w:r>
        <w:rPr>
          <w:rFonts w:hint="eastAsia" w:ascii="仿宋_GB2312" w:hAnsi="仿宋" w:eastAsia="仿宋_GB2312" w:cs="仿宋_GB2312"/>
          <w:b/>
          <w:kern w:val="0"/>
          <w:sz w:val="24"/>
          <w:highlight w:val="none"/>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3"/>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highlight w:val="none"/>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w:t>
      </w:r>
      <w:r>
        <w:rPr>
          <w:rFonts w:hint="eastAsia" w:ascii="仿宋_GB2312" w:hAnsi="仿宋" w:eastAsia="仿宋_GB2312" w:cs="仿宋_GB2312"/>
          <w:b/>
          <w:kern w:val="0"/>
          <w:sz w:val="24"/>
          <w:highlight w:val="none"/>
          <w:lang w:val="zh-CN"/>
        </w:rPr>
        <w:t>价给予</w:t>
      </w:r>
      <w:r>
        <w:rPr>
          <w:rFonts w:hint="eastAsia" w:ascii="仿宋_GB2312" w:hAnsi="仿宋" w:eastAsia="仿宋_GB2312" w:cs="仿宋_GB2312"/>
          <w:b/>
          <w:kern w:val="0"/>
          <w:sz w:val="24"/>
          <w:highlight w:val="none"/>
          <w:lang w:val="en-US" w:eastAsia="zh-CN"/>
        </w:rPr>
        <w:t>6</w:t>
      </w:r>
      <w:r>
        <w:rPr>
          <w:rFonts w:ascii="仿宋_GB2312" w:hAnsi="仿宋" w:eastAsia="仿宋_GB2312" w:cs="仿宋_GB2312"/>
          <w:b/>
          <w:kern w:val="0"/>
          <w:sz w:val="24"/>
          <w:highlight w:val="none"/>
          <w:lang w:val="zh-CN"/>
        </w:rPr>
        <w:t>%的扣除</w:t>
      </w:r>
      <w:r>
        <w:rPr>
          <w:rFonts w:hint="eastAsia" w:ascii="仿宋_GB2312" w:hAnsi="仿宋" w:eastAsia="仿宋_GB2312" w:cs="仿宋_GB2312"/>
          <w:b/>
          <w:kern w:val="0"/>
          <w:sz w:val="24"/>
          <w:highlight w:val="none"/>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hint="eastAsia"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序号</w:t>
            </w:r>
          </w:p>
        </w:tc>
        <w:tc>
          <w:tcPr>
            <w:tcW w:w="4991"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实质性要求</w:t>
            </w:r>
          </w:p>
        </w:tc>
        <w:tc>
          <w:tcPr>
            <w:tcW w:w="2551"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需要提供的符合性审查资料</w:t>
            </w:r>
          </w:p>
        </w:tc>
        <w:tc>
          <w:tcPr>
            <w:tcW w:w="1418"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投标文件中的</w:t>
            </w:r>
          </w:p>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1</w:t>
            </w:r>
          </w:p>
        </w:tc>
        <w:tc>
          <w:tcPr>
            <w:tcW w:w="4991" w:type="dxa"/>
            <w:vAlign w:val="top"/>
          </w:tcPr>
          <w:p>
            <w:pPr>
              <w:spacing w:before="0" w:beforeAutospacing="0" w:after="0" w:afterAutospacing="0" w:line="360" w:lineRule="auto"/>
              <w:ind w:left="0" w:right="0"/>
              <w:rPr>
                <w:rFonts w:hint="eastAsia" w:ascii="仿宋_GB2312" w:hAnsi="仿宋" w:eastAsia="仿宋_GB2312" w:cs="仿宋_GB2312"/>
                <w:sz w:val="24"/>
                <w:szCs w:val="20"/>
              </w:rPr>
            </w:pPr>
            <w:r>
              <w:rPr>
                <w:rFonts w:hint="eastAsia" w:ascii="仿宋_GB2312" w:hAnsi="仿宋" w:eastAsia="仿宋_GB2312" w:cs="仿宋_GB2312"/>
                <w:sz w:val="24"/>
                <w:szCs w:val="20"/>
              </w:rPr>
              <w:t>投标文件按照招标文件要求签署、盖章。</w:t>
            </w:r>
          </w:p>
        </w:tc>
        <w:tc>
          <w:tcPr>
            <w:tcW w:w="2551"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需要使用电子签名或者签字盖章的投标文件的组成部分</w:t>
            </w:r>
          </w:p>
        </w:tc>
        <w:tc>
          <w:tcPr>
            <w:tcW w:w="1418" w:type="dxa"/>
            <w:vAlign w:val="top"/>
          </w:tcPr>
          <w:p>
            <w:pPr>
              <w:spacing w:before="0" w:beforeAutospacing="0" w:after="0" w:afterAutospacing="0"/>
              <w:ind w:left="0" w:right="0"/>
              <w:rPr>
                <w:rFonts w:hint="eastAsia" w:ascii="仿宋" w:hAnsi="仿宋" w:eastAsia="仿宋" w:cs="仿宋_GB2312"/>
                <w:sz w:val="24"/>
                <w:szCs w:val="20"/>
              </w:rPr>
            </w:pPr>
          </w:p>
          <w:p>
            <w:pPr>
              <w:spacing w:before="0" w:beforeAutospacing="0" w:after="0" w:afterAutospacing="0"/>
              <w:ind w:left="0" w:right="0"/>
              <w:rPr>
                <w:rFonts w:hint="eastAsia" w:ascii="仿宋" w:hAnsi="仿宋" w:eastAsia="仿宋" w:cs="仿宋_GB2312"/>
                <w:sz w:val="24"/>
                <w:szCs w:val="20"/>
              </w:rPr>
            </w:pPr>
            <w:r>
              <w:rPr>
                <w:rFonts w:hint="eastAsia" w:ascii="仿宋" w:hAnsi="仿宋" w:eastAsia="仿宋" w:cs="仿宋_GB2312"/>
                <w:sz w:val="24"/>
                <w:szCs w:val="20"/>
              </w:rPr>
              <w:t>见投标文件</w:t>
            </w:r>
          </w:p>
          <w:p>
            <w:pPr>
              <w:spacing w:before="0" w:beforeAutospacing="0" w:after="0" w:afterAutospacing="0"/>
              <w:ind w:left="0" w:right="0"/>
              <w:rPr>
                <w:rFonts w:hint="eastAsia" w:ascii="Times New Roman" w:hAnsi="Times New Roman" w:cs="Times New Roman"/>
                <w:sz w:val="20"/>
                <w:szCs w:val="20"/>
              </w:rPr>
            </w:pPr>
            <w:r>
              <w:rPr>
                <w:rFonts w:hint="eastAsia" w:ascii="仿宋" w:hAnsi="Times New Roman" w:eastAsia="仿宋" w:cs="仿宋_GB2312"/>
                <w:sz w:val="24"/>
                <w:szCs w:val="20"/>
              </w:rPr>
              <w:t>第</w:t>
            </w:r>
            <w:r>
              <w:rPr>
                <w:rFonts w:hint="eastAsia" w:ascii="仿宋" w:hAnsi="Times New Roman" w:eastAsia="仿宋" w:cs="仿宋_GB2312"/>
                <w:sz w:val="24"/>
                <w:szCs w:val="20"/>
                <w:u w:val="single"/>
              </w:rPr>
              <w:t xml:space="preserve">  </w:t>
            </w:r>
            <w:r>
              <w:rPr>
                <w:rFonts w:hint="eastAsia" w:ascii="仿宋" w:hAnsi="Times New Roman" w:eastAsia="仿宋" w:cs="仿宋_GB2312"/>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2</w:t>
            </w:r>
          </w:p>
        </w:tc>
        <w:tc>
          <w:tcPr>
            <w:tcW w:w="4991" w:type="dxa"/>
            <w:vAlign w:val="top"/>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_GB2312" w:hAnsi="仿宋" w:eastAsia="仿宋_GB2312" w:cs="仿宋_GB2312"/>
                <w:sz w:val="24"/>
                <w:szCs w:val="20"/>
              </w:rPr>
              <w:t>节能产品认证证书（本项目</w:t>
            </w:r>
            <w:r>
              <w:rPr>
                <w:rFonts w:hint="eastAsia" w:ascii="仿宋_GB2312" w:hAnsi="仿宋" w:eastAsia="仿宋_GB2312" w:cs="Times New Roman"/>
                <w:sz w:val="24"/>
                <w:szCs w:val="20"/>
              </w:rPr>
              <w:t>拟采购的产品不属于政府强制采购的节能产品品目清单范围的</w:t>
            </w:r>
            <w:r>
              <w:rPr>
                <w:rFonts w:hint="eastAsia" w:ascii="仿宋_GB2312" w:hAnsi="仿宋" w:eastAsia="仿宋_GB2312" w:cs="仿宋_GB2312"/>
                <w:sz w:val="24"/>
                <w:szCs w:val="20"/>
              </w:rPr>
              <w:t>，无需提供）</w:t>
            </w:r>
          </w:p>
        </w:tc>
        <w:tc>
          <w:tcPr>
            <w:tcW w:w="1418" w:type="dxa"/>
            <w:vAlign w:val="top"/>
          </w:tcPr>
          <w:p>
            <w:pPr>
              <w:spacing w:before="0" w:beforeAutospacing="0" w:after="0" w:afterAutospacing="0"/>
              <w:ind w:left="0" w:right="0"/>
              <w:rPr>
                <w:rFonts w:hint="eastAsia" w:ascii="仿宋" w:hAnsi="仿宋" w:eastAsia="仿宋" w:cs="仿宋_GB2312"/>
                <w:sz w:val="24"/>
                <w:szCs w:val="20"/>
              </w:rPr>
            </w:pPr>
          </w:p>
          <w:p>
            <w:pPr>
              <w:spacing w:before="0" w:beforeAutospacing="0" w:after="0" w:afterAutospacing="0"/>
              <w:ind w:left="0" w:right="0"/>
              <w:rPr>
                <w:rFonts w:hint="eastAsia" w:ascii="仿宋" w:hAnsi="仿宋" w:eastAsia="仿宋" w:cs="仿宋_GB2312"/>
                <w:sz w:val="24"/>
                <w:szCs w:val="20"/>
              </w:rPr>
            </w:pPr>
          </w:p>
          <w:p>
            <w:pPr>
              <w:spacing w:before="0" w:beforeAutospacing="0" w:after="0" w:afterAutospacing="0"/>
              <w:ind w:left="0" w:right="0"/>
              <w:rPr>
                <w:rFonts w:hint="eastAsia" w:ascii="仿宋" w:hAnsi="仿宋" w:eastAsia="仿宋" w:cs="仿宋_GB2312"/>
                <w:sz w:val="24"/>
                <w:szCs w:val="20"/>
              </w:rPr>
            </w:pPr>
            <w:r>
              <w:rPr>
                <w:rFonts w:hint="eastAsia" w:ascii="仿宋" w:hAnsi="仿宋" w:eastAsia="仿宋" w:cs="仿宋_GB2312"/>
                <w:sz w:val="24"/>
                <w:szCs w:val="20"/>
              </w:rPr>
              <w:t>见投标文件</w:t>
            </w:r>
          </w:p>
          <w:p>
            <w:pPr>
              <w:pStyle w:val="3"/>
              <w:spacing w:before="0" w:beforeAutospacing="0" w:after="0" w:afterAutospacing="0"/>
              <w:ind w:right="0"/>
              <w:rPr>
                <w:rFonts w:hint="eastAsia" w:ascii="Times New Roman" w:hAnsi="Times New Roman" w:cs="Times New Roman"/>
                <w:sz w:val="20"/>
                <w:szCs w:val="20"/>
                <w:lang w:val="en-US"/>
              </w:rPr>
            </w:pPr>
            <w:r>
              <w:rPr>
                <w:rFonts w:hint="eastAsia" w:ascii="仿宋" w:hAnsi="Times New Roman" w:eastAsia="仿宋" w:cs="仿宋_GB2312"/>
                <w:b w:val="0"/>
                <w:bCs w:val="0"/>
                <w:sz w:val="24"/>
                <w:szCs w:val="24"/>
                <w:lang w:val="en-US"/>
              </w:rPr>
              <w:t>第</w:t>
            </w:r>
            <w:r>
              <w:rPr>
                <w:rFonts w:hint="eastAsia" w:ascii="仿宋" w:hAnsi="Times New Roman" w:eastAsia="仿宋" w:cs="仿宋_GB2312"/>
                <w:b w:val="0"/>
                <w:bCs w:val="0"/>
                <w:sz w:val="24"/>
                <w:szCs w:val="24"/>
                <w:u w:val="single"/>
                <w:lang w:val="en-US"/>
              </w:rPr>
              <w:t xml:space="preserve">  </w:t>
            </w:r>
            <w:r>
              <w:rPr>
                <w:rFonts w:hint="eastAsia" w:ascii="仿宋" w:hAnsi="Times New Roman"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3</w:t>
            </w:r>
          </w:p>
        </w:tc>
        <w:tc>
          <w:tcPr>
            <w:tcW w:w="4991" w:type="dxa"/>
            <w:vAlign w:val="top"/>
          </w:tcPr>
          <w:p>
            <w:pPr>
              <w:spacing w:before="0" w:beforeAutospacing="0" w:after="0" w:afterAutospacing="0" w:line="360" w:lineRule="auto"/>
              <w:ind w:left="0" w:right="0"/>
              <w:rPr>
                <w:rFonts w:hint="eastAsia" w:ascii="仿宋_GB2312" w:hAnsi="仿宋" w:eastAsia="仿宋_GB2312" w:cs="仿宋_GB2312"/>
                <w:sz w:val="24"/>
                <w:szCs w:val="20"/>
              </w:rPr>
            </w:pPr>
            <w:r>
              <w:rPr>
                <w:rFonts w:hint="eastAsia" w:ascii="仿宋_GB2312" w:hAnsi="仿宋" w:eastAsia="仿宋_GB2312" w:cs="Times New Roman"/>
                <w:sz w:val="24"/>
                <w:szCs w:val="20"/>
              </w:rPr>
              <w:t>投标文件中承诺的投标有效期不少于招标文件中载明的投标有效期。</w:t>
            </w:r>
          </w:p>
        </w:tc>
        <w:tc>
          <w:tcPr>
            <w:tcW w:w="2551"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投标函</w:t>
            </w:r>
          </w:p>
        </w:tc>
        <w:tc>
          <w:tcPr>
            <w:tcW w:w="1418" w:type="dxa"/>
            <w:vAlign w:val="top"/>
          </w:tcPr>
          <w:p>
            <w:pPr>
              <w:spacing w:before="0" w:beforeAutospacing="0" w:after="0" w:afterAutospacing="0"/>
              <w:ind w:left="0" w:right="0"/>
              <w:rPr>
                <w:rFonts w:hint="eastAsia" w:ascii="Times New Roman" w:hAnsi="Times New Roman" w:cs="Times New Roman"/>
                <w:sz w:val="20"/>
                <w:szCs w:val="20"/>
              </w:rPr>
            </w:pPr>
            <w:r>
              <w:rPr>
                <w:rFonts w:hint="eastAsia" w:ascii="仿宋" w:hAnsi="仿宋" w:eastAsia="仿宋" w:cs="仿宋_GB2312"/>
                <w:sz w:val="24"/>
                <w:szCs w:val="20"/>
              </w:rPr>
              <w:t>见投标文件第</w:t>
            </w:r>
            <w:r>
              <w:rPr>
                <w:rFonts w:hint="eastAsia" w:ascii="仿宋" w:hAnsi="仿宋" w:eastAsia="仿宋" w:cs="仿宋_GB2312"/>
                <w:sz w:val="24"/>
                <w:szCs w:val="20"/>
                <w:u w:val="single"/>
              </w:rPr>
              <w:t xml:space="preserve">  </w:t>
            </w:r>
            <w:r>
              <w:rPr>
                <w:rFonts w:hint="eastAsia" w:ascii="仿宋" w:hAnsi="仿宋" w:eastAsia="仿宋" w:cs="仿宋_GB2312"/>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4</w:t>
            </w:r>
          </w:p>
        </w:tc>
        <w:tc>
          <w:tcPr>
            <w:tcW w:w="4991" w:type="dxa"/>
            <w:vAlign w:val="top"/>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投标文件满足招标文件的其它实质性要求。</w:t>
            </w:r>
          </w:p>
        </w:tc>
        <w:tc>
          <w:tcPr>
            <w:tcW w:w="2551"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_GB2312" w:hAnsi="仿宋" w:eastAsia="仿宋_GB2312" w:cs="仿宋_GB2312"/>
                <w:kern w:val="0"/>
                <w:sz w:val="24"/>
                <w:szCs w:val="20"/>
              </w:rPr>
              <w:t>招标文件其它实质性要求相应的材料（“▲” 系指实质性要求条款，招标文件无其它实质性要求的，无需提供）</w:t>
            </w:r>
          </w:p>
        </w:tc>
        <w:tc>
          <w:tcPr>
            <w:tcW w:w="1418" w:type="dxa"/>
            <w:vAlign w:val="top"/>
          </w:tcPr>
          <w:p>
            <w:pPr>
              <w:spacing w:before="0" w:beforeAutospacing="0" w:after="0" w:afterAutospacing="0"/>
              <w:ind w:left="0" w:right="0"/>
              <w:rPr>
                <w:rFonts w:hint="eastAsia" w:ascii="Times New Roman" w:hAnsi="Times New Roman" w:cs="Times New Roman"/>
                <w:sz w:val="20"/>
                <w:szCs w:val="20"/>
              </w:rPr>
            </w:pPr>
            <w:r>
              <w:rPr>
                <w:rFonts w:hint="eastAsia" w:ascii="仿宋" w:hAnsi="仿宋" w:eastAsia="仿宋" w:cs="仿宋_GB2312"/>
                <w:sz w:val="24"/>
                <w:szCs w:val="20"/>
              </w:rPr>
              <w:t>见投标文件第</w:t>
            </w:r>
            <w:r>
              <w:rPr>
                <w:rFonts w:hint="eastAsia" w:ascii="仿宋" w:hAnsi="仿宋" w:eastAsia="仿宋" w:cs="仿宋_GB2312"/>
                <w:sz w:val="24"/>
                <w:szCs w:val="20"/>
                <w:u w:val="single"/>
              </w:rPr>
              <w:t xml:space="preserve">  </w:t>
            </w:r>
            <w:r>
              <w:rPr>
                <w:rFonts w:hint="eastAsia" w:ascii="仿宋" w:hAnsi="仿宋" w:eastAsia="仿宋" w:cs="仿宋_GB2312"/>
                <w:sz w:val="24"/>
                <w:szCs w:val="20"/>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3"/>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仿宋_GB2312" w:hAnsi="仿宋" w:eastAsia="仿宋_GB2312" w:cs="仿宋_GB2312"/>
          <w:b/>
          <w:kern w:val="0"/>
          <w:sz w:val="32"/>
          <w:szCs w:val="32"/>
          <w:highlight w:val="green"/>
        </w:rPr>
      </w:pPr>
    </w:p>
    <w:p>
      <w:pPr>
        <w:jc w:val="center"/>
        <w:rPr>
          <w:rFonts w:hint="eastAsia" w:ascii="仿宋_GB2312" w:hAnsi="仿宋" w:eastAsia="仿宋_GB2312" w:cs="仿宋_GB2312"/>
          <w:b/>
          <w:kern w:val="0"/>
          <w:sz w:val="32"/>
          <w:szCs w:val="32"/>
          <w:highlight w:val="green"/>
        </w:rPr>
      </w:pPr>
    </w:p>
    <w:p>
      <w:pPr>
        <w:rPr>
          <w:rFonts w:hint="eastAsia" w:ascii="仿宋_GB2312" w:hAnsi="仿宋" w:eastAsia="仿宋_GB2312" w:cs="仿宋_GB2312"/>
          <w:b/>
          <w:kern w:val="0"/>
          <w:sz w:val="32"/>
          <w:szCs w:val="32"/>
        </w:rPr>
      </w:pPr>
    </w:p>
    <w:p>
      <w:pPr>
        <w:pStyle w:val="3"/>
        <w:rPr>
          <w:rFonts w:hint="eastAsia" w:ascii="仿宋_GB2312" w:hAnsi="仿宋" w:eastAsia="仿宋_GB2312" w:cs="仿宋_GB2312"/>
          <w:b/>
          <w:kern w:val="0"/>
          <w:sz w:val="32"/>
          <w:szCs w:val="32"/>
        </w:rPr>
      </w:pPr>
    </w:p>
    <w:p>
      <w:pPr>
        <w:rPr>
          <w:rFonts w:hint="eastAsia"/>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八</w:t>
      </w:r>
      <w:r>
        <w:rPr>
          <w:rFonts w:hint="eastAsia" w:ascii="仿宋_GB2312" w:hAnsi="仿宋" w:eastAsia="仿宋_GB2312" w:cs="仿宋_GB2312"/>
          <w:b/>
          <w:kern w:val="0"/>
          <w:sz w:val="32"/>
          <w:szCs w:val="32"/>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序号</w:t>
            </w:r>
          </w:p>
        </w:tc>
        <w:tc>
          <w:tcPr>
            <w:tcW w:w="3683" w:type="dxa"/>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招标文件章节及具体内容</w:t>
            </w:r>
          </w:p>
        </w:tc>
        <w:tc>
          <w:tcPr>
            <w:tcW w:w="3546" w:type="dxa"/>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投标文件章节及具体内容</w:t>
            </w:r>
          </w:p>
        </w:tc>
        <w:tc>
          <w:tcPr>
            <w:tcW w:w="1276" w:type="dxa"/>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spacing w:before="0" w:beforeAutospacing="0" w:after="0" w:afterAutospacing="0"/>
              <w:ind w:left="0" w:right="0"/>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1</w:t>
            </w:r>
          </w:p>
        </w:tc>
        <w:tc>
          <w:tcPr>
            <w:tcW w:w="3683"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354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127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spacing w:before="0" w:beforeAutospacing="0" w:after="0" w:afterAutospacing="0"/>
              <w:ind w:left="0" w:right="0"/>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2</w:t>
            </w:r>
          </w:p>
        </w:tc>
        <w:tc>
          <w:tcPr>
            <w:tcW w:w="3683"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354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127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spacing w:before="0" w:beforeAutospacing="0" w:after="0" w:afterAutospacing="0"/>
              <w:ind w:left="0" w:right="0"/>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354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127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81"/>
        <w:rPr>
          <w:rFonts w:ascii="仿宋_GB2312" w:hAnsi="仿宋" w:eastAsia="仿宋_GB2312" w:cs="仿宋_GB2312"/>
          <w:b/>
          <w:kern w:val="0"/>
          <w:sz w:val="32"/>
          <w:szCs w:val="32"/>
        </w:rPr>
      </w:pPr>
    </w:p>
    <w:p>
      <w:pPr>
        <w:pStyle w:val="81"/>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九</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both"/>
        <w:rPr>
          <w:rFonts w:ascii="仿宋_GB2312" w:hAnsi="仿宋" w:eastAsia="仿宋_GB2312" w:cs="仿宋_GB2312"/>
          <w:b/>
          <w:kern w:val="0"/>
          <w:sz w:val="32"/>
          <w:szCs w:val="32"/>
        </w:rPr>
      </w:pPr>
      <w:r>
        <w:rPr>
          <w:rFonts w:hint="eastAsia" w:ascii="仿宋_GB2312" w:hAnsi="仿宋" w:eastAsia="仿宋_GB2312" w:cs="仿宋_GB2312"/>
          <w:sz w:val="24"/>
          <w:lang w:eastAsia="zh-CN"/>
        </w:rPr>
        <w:t>（</w:t>
      </w:r>
      <w:r>
        <w:rPr>
          <w:rFonts w:hint="eastAsia" w:ascii="仿宋_GB2312" w:hAnsi="仿宋" w:eastAsia="仿宋_GB2312" w:cs="仿宋_GB2312"/>
          <w:sz w:val="24"/>
          <w:lang w:val="en-US" w:eastAsia="zh-CN"/>
        </w:rPr>
        <w:t>3</w:t>
      </w:r>
      <w:r>
        <w:rPr>
          <w:rFonts w:hint="eastAsia" w:ascii="仿宋_GB2312" w:hAnsi="仿宋" w:eastAsia="仿宋_GB2312" w:cs="仿宋_GB2312"/>
          <w:sz w:val="24"/>
          <w:lang w:eastAsia="zh-CN"/>
        </w:rPr>
        <w:t>）</w:t>
      </w:r>
      <w:r>
        <w:rPr>
          <w:rFonts w:hint="default" w:ascii="仿宋_GB2312" w:hAnsi="仿宋" w:eastAsia="仿宋_GB2312" w:cs="仿宋_GB2312"/>
          <w:sz w:val="24"/>
        </w:rPr>
        <w:t>投标人针对报价需要说明的其他文件和说明</w:t>
      </w:r>
      <w:r>
        <w:rPr>
          <w:rFonts w:hint="default" w:ascii="仿宋_GB2312" w:hAnsi="仿宋" w:eastAsia="仿宋_GB2312" w:cs="仿宋_GB2312"/>
          <w:sz w:val="24"/>
          <w:lang w:eastAsia="zh-CN"/>
        </w:rPr>
        <w:t>（如有）</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76"/>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376"/>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lang w:val="en-US" w:eastAsia="zh-CN"/>
        </w:rPr>
        <w:t>项目编号</w:t>
      </w:r>
      <w:r>
        <w:rPr>
          <w:rFonts w:hint="eastAsia" w:ascii="仿宋_GB2312" w:hAnsi="仿宋" w:eastAsia="仿宋_GB2312" w:cs="仿宋_GB2312"/>
          <w:kern w:val="0"/>
          <w:sz w:val="24"/>
          <w:lang w:val="zh-CN"/>
        </w:rPr>
        <w:t>：</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序号</w:t>
            </w:r>
          </w:p>
        </w:tc>
        <w:tc>
          <w:tcPr>
            <w:tcW w:w="1417"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名称</w:t>
            </w:r>
          </w:p>
        </w:tc>
        <w:tc>
          <w:tcPr>
            <w:tcW w:w="1843" w:type="dxa"/>
            <w:vAlign w:val="top"/>
          </w:tcPr>
          <w:p>
            <w:pPr>
              <w:spacing w:before="0" w:beforeAutospacing="0" w:after="0" w:afterAutospacing="0" w:line="360" w:lineRule="auto"/>
              <w:ind w:left="0" w:right="0"/>
              <w:jc w:val="center"/>
              <w:rPr>
                <w:rFonts w:hint="eastAsia" w:ascii="宋体" w:hAnsi="宋体" w:cs="宋体"/>
                <w:b/>
                <w:sz w:val="24"/>
                <w:szCs w:val="20"/>
                <w:highlight w:val="none"/>
              </w:rPr>
            </w:pPr>
          </w:p>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品牌（如果有）</w:t>
            </w:r>
          </w:p>
        </w:tc>
        <w:tc>
          <w:tcPr>
            <w:tcW w:w="3118"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规格型号</w:t>
            </w:r>
          </w:p>
        </w:tc>
        <w:tc>
          <w:tcPr>
            <w:tcW w:w="993"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数量</w:t>
            </w:r>
          </w:p>
        </w:tc>
        <w:tc>
          <w:tcPr>
            <w:tcW w:w="1559"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单价</w:t>
            </w:r>
          </w:p>
        </w:tc>
        <w:tc>
          <w:tcPr>
            <w:tcW w:w="1984"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合计</w:t>
            </w:r>
          </w:p>
        </w:tc>
        <w:tc>
          <w:tcPr>
            <w:tcW w:w="3119"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p>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备注（如果有）</w:t>
            </w:r>
          </w:p>
          <w:p>
            <w:pPr>
              <w:spacing w:before="0" w:beforeAutospacing="0" w:after="0" w:afterAutospacing="0" w:line="360" w:lineRule="auto"/>
              <w:ind w:left="0" w:right="0"/>
              <w:jc w:val="center"/>
              <w:rPr>
                <w:rFonts w:hint="eastAsia" w:ascii="宋体" w:hAnsi="宋体" w:cs="宋体"/>
                <w:b/>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1</w:t>
            </w:r>
          </w:p>
        </w:tc>
        <w:tc>
          <w:tcPr>
            <w:tcW w:w="1417"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XX</w:t>
            </w:r>
          </w:p>
        </w:tc>
        <w:tc>
          <w:tcPr>
            <w:tcW w:w="1843"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311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993"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1559"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1984"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3119"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2</w:t>
            </w:r>
          </w:p>
        </w:tc>
        <w:tc>
          <w:tcPr>
            <w:tcW w:w="1417"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XX</w:t>
            </w:r>
          </w:p>
        </w:tc>
        <w:tc>
          <w:tcPr>
            <w:tcW w:w="1843"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311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993"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1559"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1984"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3119"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w:t>
            </w:r>
          </w:p>
        </w:tc>
        <w:tc>
          <w:tcPr>
            <w:tcW w:w="1417"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1843"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311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993"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1559"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1984"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3119"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1417"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1843"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311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993"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1559"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1984"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3119"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1417"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1843"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311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993"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1559"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1984"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3119"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投标报价（小写）</w:t>
            </w:r>
          </w:p>
        </w:tc>
        <w:tc>
          <w:tcPr>
            <w:tcW w:w="7655" w:type="dxa"/>
            <w:gridSpan w:val="4"/>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投标报价（大写）</w:t>
            </w:r>
          </w:p>
        </w:tc>
        <w:tc>
          <w:tcPr>
            <w:tcW w:w="7655" w:type="dxa"/>
            <w:gridSpan w:val="4"/>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bl>
    <w:p>
      <w:pPr>
        <w:snapToGrid w:val="0"/>
        <w:spacing w:line="360" w:lineRule="auto"/>
        <w:ind w:left="480"/>
        <w:rPr>
          <w:rFonts w:hint="eastAsia" w:ascii="仿宋_GB2312" w:hAnsi="仿宋" w:eastAsia="仿宋_GB2312" w:cs="仿宋_GB2312"/>
          <w:b/>
          <w:kern w:val="0"/>
          <w:sz w:val="24"/>
          <w:highlight w:val="none"/>
          <w:lang w:val="zh-CN"/>
        </w:rPr>
      </w:pPr>
    </w:p>
    <w:p>
      <w:pPr>
        <w:pStyle w:val="3"/>
        <w:rPr>
          <w:rFonts w:hint="eastAsia"/>
          <w:highlight w:val="none"/>
          <w:lang w:val="zh-CN"/>
        </w:rPr>
      </w:pPr>
    </w:p>
    <w:p>
      <w:pPr>
        <w:snapToGrid w:val="0"/>
        <w:spacing w:line="360" w:lineRule="auto"/>
        <w:ind w:left="480"/>
        <w:rPr>
          <w:rFonts w:hint="eastAsia"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注：</w:t>
      </w:r>
    </w:p>
    <w:p>
      <w:pPr>
        <w:spacing w:line="360" w:lineRule="auto"/>
        <w:ind w:left="-2"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1、投标人需按本表格式填写，否则视为投标文件含有采购人不能接受的附加条件，投标无效。</w:t>
      </w:r>
    </w:p>
    <w:p>
      <w:pPr>
        <w:spacing w:line="360" w:lineRule="auto"/>
        <w:ind w:left="-2"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en-US" w:eastAsia="zh-CN"/>
        </w:rPr>
        <w:t>2</w:t>
      </w:r>
      <w:r>
        <w:rPr>
          <w:rFonts w:hint="eastAsia" w:ascii="宋体" w:hAnsi="宋体" w:cs="宋体"/>
          <w:kern w:val="0"/>
          <w:sz w:val="24"/>
          <w:highlight w:val="none"/>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采购内容未包含在《开标一览表（报价表）》名称栏中，投标人不能作出合理解释的，视为投标文件含有采购人不能接受的附加条件的，投标无效。</w:t>
      </w:r>
    </w:p>
    <w:p>
      <w:pPr>
        <w:spacing w:line="360" w:lineRule="auto"/>
        <w:ind w:left="-2" w:firstLine="480" w:firstLineChars="200"/>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3</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left="-2"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en-US" w:eastAsia="zh-CN"/>
        </w:rPr>
        <w:t>4</w:t>
      </w:r>
      <w:r>
        <w:rPr>
          <w:rFonts w:hint="eastAsia" w:ascii="宋体" w:hAnsi="宋体" w:cs="宋体"/>
          <w:kern w:val="0"/>
          <w:sz w:val="24"/>
          <w:highlight w:val="none"/>
          <w:lang w:val="zh-CN"/>
        </w:rPr>
        <w:t>、特别提示：采购机构将对项目名称和项目编号，中标供应商名称、地址和中标金额，主要中标标的名称、品牌（如果有）、规格型号、数量、单价等予以公示。</w:t>
      </w:r>
    </w:p>
    <w:p>
      <w:pPr>
        <w:pStyle w:val="3"/>
        <w:rPr>
          <w:rFonts w:hint="eastAsia"/>
          <w:highlight w:val="none"/>
          <w:lang w:val="en-US" w:eastAsia="zh-CN"/>
        </w:rPr>
      </w:pPr>
    </w:p>
    <w:p>
      <w:pPr>
        <w:rPr>
          <w:rFonts w:ascii="仿宋_GB2312" w:hAnsi="仿宋" w:eastAsia="仿宋_GB2312" w:cs="仿宋_GB2312"/>
          <w:kern w:val="0"/>
          <w:sz w:val="24"/>
          <w:highlight w:val="none"/>
          <w:lang w:val="zh-CN"/>
        </w:rPr>
      </w:pPr>
    </w:p>
    <w:p>
      <w:pPr>
        <w:pStyle w:val="3"/>
        <w:rPr>
          <w:highlight w:val="none"/>
        </w:rPr>
        <w:sectPr>
          <w:pgSz w:w="16838" w:h="11906" w:orient="landscape"/>
          <w:pgMar w:top="1418" w:right="1247" w:bottom="1418" w:left="1276" w:header="851" w:footer="992" w:gutter="0"/>
          <w:cols w:space="720" w:num="1"/>
          <w:titlePg/>
          <w:docGrid w:linePitch="312" w:charSpace="0"/>
        </w:sectPr>
      </w:pPr>
    </w:p>
    <w:p>
      <w:pPr>
        <w:pStyle w:val="376"/>
        <w:tabs>
          <w:tab w:val="clear" w:pos="720"/>
        </w:tabs>
        <w:snapToGrid w:val="0"/>
        <w:spacing w:before="120" w:after="120"/>
        <w:ind w:firstLine="643"/>
        <w:outlineLvl w:val="9"/>
        <w:rPr>
          <w:rFonts w:ascii="仿宋_GB2312" w:hAnsi="宋体" w:eastAsia="仿宋_GB2312"/>
          <w:sz w:val="32"/>
          <w:szCs w:val="32"/>
          <w:highlight w:val="none"/>
        </w:rPr>
      </w:pPr>
      <w:r>
        <w:rPr>
          <w:rFonts w:hint="eastAsia" w:ascii="仿宋_GB2312" w:hAnsi="仿宋" w:eastAsia="仿宋_GB2312" w:cs="仿宋_GB2312"/>
          <w:kern w:val="2"/>
          <w:sz w:val="32"/>
          <w:szCs w:val="32"/>
          <w:highlight w:val="none"/>
        </w:rPr>
        <w:t>二、</w:t>
      </w:r>
      <w:r>
        <w:rPr>
          <w:rFonts w:hint="eastAsia" w:ascii="仿宋_GB2312" w:hAnsi="宋体" w:eastAsia="仿宋_GB2312"/>
          <w:sz w:val="32"/>
          <w:szCs w:val="32"/>
          <w:highlight w:val="none"/>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highlight w:val="none"/>
        </w:rPr>
        <w:t>[招标公告落实政府采购政策需满足的资格要求为“无”即本项目或标项未预留份额专</w:t>
      </w:r>
      <w:r>
        <w:rPr>
          <w:rFonts w:hint="eastAsia" w:ascii="仿宋_GB2312" w:hAnsi="仿宋" w:eastAsia="仿宋_GB2312" w:cs="仿宋_GB2312"/>
          <w:b/>
          <w:sz w:val="24"/>
        </w:rPr>
        <w:t>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tabs>
          <w:tab w:val="left" w:pos="8085"/>
        </w:tabs>
        <w:spacing w:line="360" w:lineRule="auto"/>
        <w:ind w:firstLine="1285" w:firstLineChars="400"/>
        <w:jc w:val="left"/>
        <w:rPr>
          <w:rFonts w:hint="eastAsia" w:ascii="仿宋_GB2312" w:hAnsi="仿宋" w:eastAsia="仿宋_GB2312" w:cs="仿宋_GB2312"/>
          <w:b/>
          <w:sz w:val="32"/>
          <w:szCs w:val="32"/>
        </w:rPr>
      </w:pPr>
      <w:r>
        <w:rPr>
          <w:rFonts w:hint="eastAsia" w:ascii="仿宋_GB2312" w:hAnsi="仿宋" w:eastAsia="仿宋_GB2312" w:cs="仿宋_GB2312"/>
          <w:b/>
          <w:sz w:val="32"/>
          <w:szCs w:val="32"/>
        </w:rPr>
        <w:br w:type="page"/>
      </w: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3"/>
        <w:numPr>
          <w:ilvl w:val="0"/>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3"/>
        <w:numPr>
          <w:ilvl w:val="0"/>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2"/>
        <w:pageBreakBefore/>
        <w:widowControl/>
        <w:spacing w:before="100" w:beforeAutospacing="1" w:after="100" w:afterAutospacing="1" w:line="360" w:lineRule="auto"/>
        <w:ind w:left="1290" w:firstLine="3092" w:firstLineChars="700"/>
        <w:rPr>
          <w:rFonts w:ascii="仿宋_GB2312" w:hAnsi="仿宋" w:eastAsia="仿宋_GB2312"/>
        </w:rPr>
      </w:pPr>
      <w:bookmarkStart w:id="404" w:name="_Toc465665161"/>
      <w:r>
        <w:rPr>
          <w:rFonts w:hint="eastAsia" w:ascii="仿宋_GB2312" w:hAnsi="仿宋" w:eastAsia="仿宋_GB2312"/>
        </w:rPr>
        <w:t>附件</w:t>
      </w:r>
      <w:bookmarkEnd w:id="404"/>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05" w:name="OLE_LINK13"/>
      <w:bookmarkStart w:id="406" w:name="OLE_LINK14"/>
      <w:r>
        <w:rPr>
          <w:rFonts w:hint="eastAsia" w:ascii="仿宋_GB2312" w:hAnsi="仿宋" w:eastAsia="仿宋_GB2312"/>
          <w:b/>
          <w:spacing w:val="6"/>
          <w:sz w:val="32"/>
          <w:szCs w:val="32"/>
        </w:rPr>
        <w:t>残疾人福利性单位声明函</w:t>
      </w:r>
    </w:p>
    <w:bookmarkEnd w:id="405"/>
    <w:bookmarkEnd w:id="406"/>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r>
        <w:br w:type="page"/>
      </w:r>
    </w:p>
    <w:p>
      <w:pPr>
        <w:pStyle w:val="3"/>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cs="Times New Roman"/>
          <w:b/>
          <w:bCs/>
          <w:kern w:val="2"/>
          <w:sz w:val="24"/>
          <w:szCs w:val="24"/>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ascii="仿宋" w:hAnsi="仿宋" w:eastAsia="仿宋" w:cs="Times New Roman"/>
          <w:b/>
          <w:bCs/>
          <w:kern w:val="2"/>
          <w:sz w:val="24"/>
          <w:szCs w:val="24"/>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r>
        <w:rPr>
          <w:rFonts w:hint="eastAsia" w:ascii="仿宋" w:hAnsi="仿宋" w:eastAsia="仿宋"/>
          <w:b/>
          <w:spacing w:val="6"/>
          <w:sz w:val="32"/>
          <w:szCs w:val="32"/>
        </w:rPr>
        <w:br w:type="page"/>
      </w: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hint="eastAsia" w:ascii="仿宋_GB2312" w:hAnsi="仿宋" w:eastAsia="仿宋_GB2312" w:cs="仿宋_GB2312"/>
          <w:b/>
          <w:sz w:val="32"/>
          <w:szCs w:val="32"/>
        </w:rPr>
      </w:pPr>
      <w:r>
        <w:rPr>
          <w:rFonts w:hint="eastAsia" w:ascii="仿宋_GB2312" w:hAnsi="仿宋" w:eastAsia="仿宋_GB2312" w:cs="仿宋_GB2312"/>
          <w:b/>
          <w:sz w:val="32"/>
          <w:szCs w:val="32"/>
        </w:rPr>
        <w:br w:type="page"/>
      </w: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lang w:val="en-US"/>
        </w:rPr>
      </w:pPr>
    </w:p>
    <w:p>
      <w:pPr>
        <w:spacing w:line="360" w:lineRule="auto"/>
        <w:ind w:right="420"/>
      </w:pPr>
    </w:p>
    <w:p>
      <w:pPr>
        <w:spacing w:line="360" w:lineRule="auto"/>
        <w:rPr>
          <w:rFonts w:ascii="仿宋" w:hAnsi="仿宋" w:eastAsia="仿宋"/>
          <w:bCs/>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Helvetica">
    <w:panose1 w:val="020B0604020202020204"/>
    <w:charset w:val="00"/>
    <w:family w:val="auto"/>
    <w:pitch w:val="default"/>
    <w:sig w:usb0="00000000" w:usb1="00000000" w:usb2="00000000" w:usb3="00000000" w:csb0="00000000"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7" w:name="_Toc91899912"/>
    <w:bookmarkStart w:id="408" w:name="_Toc164085800"/>
    <w:bookmarkStart w:id="409" w:name="_Toc131845147"/>
    <w:bookmarkStart w:id="410" w:name="_Toc36110187"/>
    <w:r>
      <w:rPr>
        <w:rFonts w:hint="eastAsia" w:ascii="仿宋_GB2312" w:eastAsia="仿宋_GB2312"/>
        <w:kern w:val="0"/>
        <w:szCs w:val="21"/>
      </w:rPr>
      <w:t xml:space="preserve"> 页</w:t>
    </w:r>
    <w:bookmarkEnd w:id="407"/>
    <w:bookmarkEnd w:id="408"/>
    <w:bookmarkEnd w:id="409"/>
    <w:bookmarkEnd w:id="41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separate"/>
    </w:r>
    <w:r>
      <w:rPr>
        <w:rStyle w:val="74"/>
      </w:rPr>
      <w:t>4</w:t>
    </w:r>
    <w:r>
      <w:fldChar w:fldCharType="end"/>
    </w:r>
  </w:p>
  <w:p>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rPr>
        <w:rFonts w:hint="eastAsia"/>
        <w:lang w:val="en-US" w:eastAsia="zh-CN"/>
      </w:rPr>
      <w:t>临平区</w:t>
    </w:r>
    <w:r>
      <w:t>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临平区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B0554"/>
    <w:multiLevelType w:val="multilevel"/>
    <w:tmpl w:val="04EB0554"/>
    <w:lvl w:ilvl="0" w:tentative="0">
      <w:start w:val="1"/>
      <w:numFmt w:val="decimal"/>
      <w:suff w:val="nothing"/>
      <w:lvlText w:val="（%1）"/>
      <w:lvlJc w:val="left"/>
      <w:rPr>
        <w:rFonts w:cs="Times New Roman"/>
      </w:rPr>
    </w:lvl>
    <w:lvl w:ilvl="1" w:tentative="0">
      <w:start w:val="1"/>
      <w:numFmt w:val="decimal"/>
      <w:lvlText w:val="%2．"/>
      <w:lvlJc w:val="left"/>
      <w:pPr>
        <w:tabs>
          <w:tab w:val="left" w:pos="360"/>
        </w:tabs>
        <w:ind w:left="360" w:hanging="360"/>
      </w:pPr>
      <w:rPr>
        <w:rFonts w:hint="eastAsia"/>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
    <w:nsid w:val="629D9D1F"/>
    <w:multiLevelType w:val="singleLevel"/>
    <w:tmpl w:val="629D9D1F"/>
    <w:lvl w:ilvl="0" w:tentative="0">
      <w:start w:val="6"/>
      <w:numFmt w:val="chineseCounting"/>
      <w:suff w:val="nothing"/>
      <w:lvlText w:val="%1、"/>
      <w:lvlJc w:val="left"/>
    </w:lvl>
  </w:abstractNum>
  <w:abstractNum w:abstractNumId="2">
    <w:nsid w:val="62E8DB7B"/>
    <w:multiLevelType w:val="singleLevel"/>
    <w:tmpl w:val="62E8DB7B"/>
    <w:lvl w:ilvl="0" w:tentative="0">
      <w:start w:val="1"/>
      <w:numFmt w:val="decimal"/>
      <w:suff w:val="nothing"/>
      <w:lvlText w:val="%1、"/>
      <w:lvlJc w:val="left"/>
    </w:lvl>
  </w:abstractNum>
  <w:abstractNum w:abstractNumId="3">
    <w:nsid w:val="63193CA1"/>
    <w:multiLevelType w:val="singleLevel"/>
    <w:tmpl w:val="63193CA1"/>
    <w:lvl w:ilvl="0" w:tentative="0">
      <w:start w:val="3"/>
      <w:numFmt w:val="decimal"/>
      <w:suff w:val="nothing"/>
      <w:lvlText w:val="%1."/>
      <w:lvlJc w:val="left"/>
    </w:lvl>
  </w:abstractNum>
  <w:abstractNum w:abstractNumId="4">
    <w:nsid w:val="77D3C752"/>
    <w:multiLevelType w:val="singleLevel"/>
    <w:tmpl w:val="77D3C752"/>
    <w:lvl w:ilvl="0" w:tentative="0">
      <w:start w:val="1"/>
      <w:numFmt w:val="decimal"/>
      <w:suff w:val="nothing"/>
      <w:lvlText w:val="%1、"/>
      <w:lvlJc w:val="left"/>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GY1MmEyNmIzOWVmY2Y1Mjg1NGNjNzFjMzI3M2RmZT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96C"/>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3280B"/>
    <w:rsid w:val="019F7441"/>
    <w:rsid w:val="01B37585"/>
    <w:rsid w:val="01D55165"/>
    <w:rsid w:val="01DF6BF8"/>
    <w:rsid w:val="01EC2C57"/>
    <w:rsid w:val="026B2E25"/>
    <w:rsid w:val="02824D4D"/>
    <w:rsid w:val="02827F58"/>
    <w:rsid w:val="02DC4B10"/>
    <w:rsid w:val="02DD76CE"/>
    <w:rsid w:val="02F36323"/>
    <w:rsid w:val="02F5619C"/>
    <w:rsid w:val="0326446A"/>
    <w:rsid w:val="032D5555"/>
    <w:rsid w:val="035D4591"/>
    <w:rsid w:val="036634D2"/>
    <w:rsid w:val="03DD35E4"/>
    <w:rsid w:val="04076900"/>
    <w:rsid w:val="041A5A3B"/>
    <w:rsid w:val="042311BA"/>
    <w:rsid w:val="042B157A"/>
    <w:rsid w:val="046E4E16"/>
    <w:rsid w:val="048F763B"/>
    <w:rsid w:val="049F330E"/>
    <w:rsid w:val="04AA775C"/>
    <w:rsid w:val="04AF1889"/>
    <w:rsid w:val="04F66F48"/>
    <w:rsid w:val="05251E14"/>
    <w:rsid w:val="05A16594"/>
    <w:rsid w:val="05A7762D"/>
    <w:rsid w:val="05B437EC"/>
    <w:rsid w:val="060E5941"/>
    <w:rsid w:val="06110FAF"/>
    <w:rsid w:val="063F5B0F"/>
    <w:rsid w:val="06493CA7"/>
    <w:rsid w:val="065A6178"/>
    <w:rsid w:val="06667154"/>
    <w:rsid w:val="066F1CF3"/>
    <w:rsid w:val="06930BB8"/>
    <w:rsid w:val="07245D42"/>
    <w:rsid w:val="07264C62"/>
    <w:rsid w:val="072A2FCD"/>
    <w:rsid w:val="0779354C"/>
    <w:rsid w:val="07C231CA"/>
    <w:rsid w:val="07FC7AE3"/>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42132"/>
    <w:rsid w:val="0AEE5A69"/>
    <w:rsid w:val="0B30404E"/>
    <w:rsid w:val="0B4C6C14"/>
    <w:rsid w:val="0B631A88"/>
    <w:rsid w:val="0B683D45"/>
    <w:rsid w:val="0B7F3F11"/>
    <w:rsid w:val="0B884417"/>
    <w:rsid w:val="0B907F82"/>
    <w:rsid w:val="0BED39EC"/>
    <w:rsid w:val="0BF6188C"/>
    <w:rsid w:val="0BF73C91"/>
    <w:rsid w:val="0C170175"/>
    <w:rsid w:val="0C571A41"/>
    <w:rsid w:val="0C5C1171"/>
    <w:rsid w:val="0C5C1BCC"/>
    <w:rsid w:val="0C5E1CBC"/>
    <w:rsid w:val="0C615B50"/>
    <w:rsid w:val="0C8445DA"/>
    <w:rsid w:val="0C87121B"/>
    <w:rsid w:val="0CC007F7"/>
    <w:rsid w:val="0CFE707A"/>
    <w:rsid w:val="0D063BDA"/>
    <w:rsid w:val="0D08375F"/>
    <w:rsid w:val="0D0B2C6C"/>
    <w:rsid w:val="0D184CFB"/>
    <w:rsid w:val="0D4A7419"/>
    <w:rsid w:val="0D827401"/>
    <w:rsid w:val="0D84094E"/>
    <w:rsid w:val="0D8A00E9"/>
    <w:rsid w:val="0D8D589E"/>
    <w:rsid w:val="0D985DAE"/>
    <w:rsid w:val="0DA01C73"/>
    <w:rsid w:val="0DD63300"/>
    <w:rsid w:val="0DDB0848"/>
    <w:rsid w:val="0DF50604"/>
    <w:rsid w:val="0DF702FE"/>
    <w:rsid w:val="0E060E51"/>
    <w:rsid w:val="0E4B1AE2"/>
    <w:rsid w:val="0E5604B2"/>
    <w:rsid w:val="0E6D5D79"/>
    <w:rsid w:val="0E9D0089"/>
    <w:rsid w:val="0EB803EE"/>
    <w:rsid w:val="0EF42DB7"/>
    <w:rsid w:val="0EF94D4B"/>
    <w:rsid w:val="0F056591"/>
    <w:rsid w:val="0F4958DC"/>
    <w:rsid w:val="0F515DF7"/>
    <w:rsid w:val="0F596BA8"/>
    <w:rsid w:val="0F6248D2"/>
    <w:rsid w:val="0F693536"/>
    <w:rsid w:val="0F7B0511"/>
    <w:rsid w:val="0F7B76D9"/>
    <w:rsid w:val="0F816ACD"/>
    <w:rsid w:val="0F9832DB"/>
    <w:rsid w:val="0FBF3FD2"/>
    <w:rsid w:val="0FBF7FF3"/>
    <w:rsid w:val="10646583"/>
    <w:rsid w:val="107D4B15"/>
    <w:rsid w:val="108A3C80"/>
    <w:rsid w:val="108B72E4"/>
    <w:rsid w:val="10C26171"/>
    <w:rsid w:val="10F26336"/>
    <w:rsid w:val="10F33360"/>
    <w:rsid w:val="10FC16EA"/>
    <w:rsid w:val="110F1D40"/>
    <w:rsid w:val="11266F33"/>
    <w:rsid w:val="11644A89"/>
    <w:rsid w:val="118963A1"/>
    <w:rsid w:val="11C6522A"/>
    <w:rsid w:val="11E104CC"/>
    <w:rsid w:val="11E20309"/>
    <w:rsid w:val="11FE0013"/>
    <w:rsid w:val="120C7329"/>
    <w:rsid w:val="12255233"/>
    <w:rsid w:val="12530213"/>
    <w:rsid w:val="127723A9"/>
    <w:rsid w:val="12862074"/>
    <w:rsid w:val="12883966"/>
    <w:rsid w:val="129E45B4"/>
    <w:rsid w:val="12BB25D2"/>
    <w:rsid w:val="12D81596"/>
    <w:rsid w:val="13072A44"/>
    <w:rsid w:val="13386A96"/>
    <w:rsid w:val="135F4BE2"/>
    <w:rsid w:val="137A4BC0"/>
    <w:rsid w:val="139B1A0A"/>
    <w:rsid w:val="139D25C7"/>
    <w:rsid w:val="13BF3CE4"/>
    <w:rsid w:val="141008D8"/>
    <w:rsid w:val="14125FE6"/>
    <w:rsid w:val="146D271E"/>
    <w:rsid w:val="14982588"/>
    <w:rsid w:val="149A5AD9"/>
    <w:rsid w:val="14A7619D"/>
    <w:rsid w:val="14BB7B9C"/>
    <w:rsid w:val="150536C3"/>
    <w:rsid w:val="150C1963"/>
    <w:rsid w:val="151447A0"/>
    <w:rsid w:val="154A6454"/>
    <w:rsid w:val="15762120"/>
    <w:rsid w:val="16A8729C"/>
    <w:rsid w:val="16B33777"/>
    <w:rsid w:val="16BC70A7"/>
    <w:rsid w:val="16C6339E"/>
    <w:rsid w:val="172F2D79"/>
    <w:rsid w:val="17557BEF"/>
    <w:rsid w:val="175F3F5B"/>
    <w:rsid w:val="17D349C1"/>
    <w:rsid w:val="1830729E"/>
    <w:rsid w:val="1841525A"/>
    <w:rsid w:val="1870062C"/>
    <w:rsid w:val="18817102"/>
    <w:rsid w:val="18830A15"/>
    <w:rsid w:val="18852B28"/>
    <w:rsid w:val="188B5321"/>
    <w:rsid w:val="196453DF"/>
    <w:rsid w:val="19857D7E"/>
    <w:rsid w:val="19932372"/>
    <w:rsid w:val="19A20DD5"/>
    <w:rsid w:val="19A93527"/>
    <w:rsid w:val="19AE03F1"/>
    <w:rsid w:val="1A071A03"/>
    <w:rsid w:val="1A1F16AE"/>
    <w:rsid w:val="1A3B5C77"/>
    <w:rsid w:val="1A65423B"/>
    <w:rsid w:val="1A984BAD"/>
    <w:rsid w:val="1AB8220E"/>
    <w:rsid w:val="1AE4166C"/>
    <w:rsid w:val="1AF06CFB"/>
    <w:rsid w:val="1AF11B8D"/>
    <w:rsid w:val="1AF85A85"/>
    <w:rsid w:val="1B11359C"/>
    <w:rsid w:val="1B2A271F"/>
    <w:rsid w:val="1B46204F"/>
    <w:rsid w:val="1B530544"/>
    <w:rsid w:val="1B713184"/>
    <w:rsid w:val="1B741675"/>
    <w:rsid w:val="1BA209CF"/>
    <w:rsid w:val="1BB4777D"/>
    <w:rsid w:val="1BC258DA"/>
    <w:rsid w:val="1BD75AB8"/>
    <w:rsid w:val="1BDB6D00"/>
    <w:rsid w:val="1C0459C2"/>
    <w:rsid w:val="1C143C0E"/>
    <w:rsid w:val="1C1B3B4A"/>
    <w:rsid w:val="1C767BD0"/>
    <w:rsid w:val="1C88086E"/>
    <w:rsid w:val="1D266CE1"/>
    <w:rsid w:val="1D3963AF"/>
    <w:rsid w:val="1D6A673C"/>
    <w:rsid w:val="1D9247AE"/>
    <w:rsid w:val="1DB567EC"/>
    <w:rsid w:val="1DE54FD0"/>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502A11"/>
    <w:rsid w:val="208921B3"/>
    <w:rsid w:val="208A67B8"/>
    <w:rsid w:val="20973DEB"/>
    <w:rsid w:val="20B26522"/>
    <w:rsid w:val="20B44310"/>
    <w:rsid w:val="211116EB"/>
    <w:rsid w:val="2124626D"/>
    <w:rsid w:val="2133151A"/>
    <w:rsid w:val="216133FC"/>
    <w:rsid w:val="21D56769"/>
    <w:rsid w:val="21E52EF3"/>
    <w:rsid w:val="21FB5D7B"/>
    <w:rsid w:val="220B1C3D"/>
    <w:rsid w:val="22130FA3"/>
    <w:rsid w:val="221D1D20"/>
    <w:rsid w:val="22334A87"/>
    <w:rsid w:val="225C3C79"/>
    <w:rsid w:val="22681CF7"/>
    <w:rsid w:val="22BE6801"/>
    <w:rsid w:val="233500BF"/>
    <w:rsid w:val="23377FF7"/>
    <w:rsid w:val="236B425F"/>
    <w:rsid w:val="23836192"/>
    <w:rsid w:val="23901F29"/>
    <w:rsid w:val="239C0061"/>
    <w:rsid w:val="23B908A4"/>
    <w:rsid w:val="23D46191"/>
    <w:rsid w:val="23E95BEF"/>
    <w:rsid w:val="23F23D7D"/>
    <w:rsid w:val="23FD0064"/>
    <w:rsid w:val="245375B0"/>
    <w:rsid w:val="24642C0A"/>
    <w:rsid w:val="24B22173"/>
    <w:rsid w:val="24B95AD9"/>
    <w:rsid w:val="24BE24DA"/>
    <w:rsid w:val="24CF5825"/>
    <w:rsid w:val="24D663E6"/>
    <w:rsid w:val="24D77F2B"/>
    <w:rsid w:val="253E1FB4"/>
    <w:rsid w:val="258B00E2"/>
    <w:rsid w:val="25A917A6"/>
    <w:rsid w:val="25BE27CC"/>
    <w:rsid w:val="25F654BC"/>
    <w:rsid w:val="25F74A5C"/>
    <w:rsid w:val="2628662C"/>
    <w:rsid w:val="262A3C8B"/>
    <w:rsid w:val="262D45DE"/>
    <w:rsid w:val="26A02F87"/>
    <w:rsid w:val="26A53EF9"/>
    <w:rsid w:val="26A94201"/>
    <w:rsid w:val="26AC274F"/>
    <w:rsid w:val="27044A29"/>
    <w:rsid w:val="27106BE8"/>
    <w:rsid w:val="271D34C8"/>
    <w:rsid w:val="27592B0A"/>
    <w:rsid w:val="276142BF"/>
    <w:rsid w:val="27783712"/>
    <w:rsid w:val="278B3C24"/>
    <w:rsid w:val="27907362"/>
    <w:rsid w:val="28084A26"/>
    <w:rsid w:val="28333E1D"/>
    <w:rsid w:val="28454BD6"/>
    <w:rsid w:val="28455253"/>
    <w:rsid w:val="28551971"/>
    <w:rsid w:val="285B1C53"/>
    <w:rsid w:val="28676146"/>
    <w:rsid w:val="289F7086"/>
    <w:rsid w:val="28C32028"/>
    <w:rsid w:val="28CC490F"/>
    <w:rsid w:val="28DE40AA"/>
    <w:rsid w:val="29345E77"/>
    <w:rsid w:val="294C65AD"/>
    <w:rsid w:val="29806583"/>
    <w:rsid w:val="298B3C4C"/>
    <w:rsid w:val="29F26D24"/>
    <w:rsid w:val="2A15033F"/>
    <w:rsid w:val="2A1662C1"/>
    <w:rsid w:val="2A1C7367"/>
    <w:rsid w:val="2A2815FA"/>
    <w:rsid w:val="2A5218FD"/>
    <w:rsid w:val="2A6D6092"/>
    <w:rsid w:val="2A7D76B4"/>
    <w:rsid w:val="2B437463"/>
    <w:rsid w:val="2B7807EE"/>
    <w:rsid w:val="2BBF00EC"/>
    <w:rsid w:val="2BC33EED"/>
    <w:rsid w:val="2BC37CFD"/>
    <w:rsid w:val="2BD5237F"/>
    <w:rsid w:val="2BE536CE"/>
    <w:rsid w:val="2BE758D9"/>
    <w:rsid w:val="2C09049E"/>
    <w:rsid w:val="2C0A653C"/>
    <w:rsid w:val="2C191F85"/>
    <w:rsid w:val="2C4E7785"/>
    <w:rsid w:val="2CE40F12"/>
    <w:rsid w:val="2CE82D6F"/>
    <w:rsid w:val="2CF24727"/>
    <w:rsid w:val="2D343236"/>
    <w:rsid w:val="2D491B1B"/>
    <w:rsid w:val="2D9228D3"/>
    <w:rsid w:val="2DAE7101"/>
    <w:rsid w:val="2DD15014"/>
    <w:rsid w:val="2DF72DE4"/>
    <w:rsid w:val="2E0173EF"/>
    <w:rsid w:val="2E0220AF"/>
    <w:rsid w:val="2E1D5395"/>
    <w:rsid w:val="2E4B082A"/>
    <w:rsid w:val="2E5D4E86"/>
    <w:rsid w:val="2E5D790B"/>
    <w:rsid w:val="2E984B00"/>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A41A99"/>
    <w:rsid w:val="32BE5C2C"/>
    <w:rsid w:val="32FB6478"/>
    <w:rsid w:val="33196747"/>
    <w:rsid w:val="33263B3F"/>
    <w:rsid w:val="336963EB"/>
    <w:rsid w:val="33757D46"/>
    <w:rsid w:val="33816EEB"/>
    <w:rsid w:val="33EB55CD"/>
    <w:rsid w:val="33EC4C02"/>
    <w:rsid w:val="340D2360"/>
    <w:rsid w:val="3410665D"/>
    <w:rsid w:val="34211214"/>
    <w:rsid w:val="342E63AB"/>
    <w:rsid w:val="345E3A80"/>
    <w:rsid w:val="34950E68"/>
    <w:rsid w:val="34986E94"/>
    <w:rsid w:val="34A064BE"/>
    <w:rsid w:val="34AF62C9"/>
    <w:rsid w:val="34CB4388"/>
    <w:rsid w:val="34ED54E4"/>
    <w:rsid w:val="34FA6E12"/>
    <w:rsid w:val="350456C1"/>
    <w:rsid w:val="358D5588"/>
    <w:rsid w:val="363A3B40"/>
    <w:rsid w:val="365302AE"/>
    <w:rsid w:val="36607A0A"/>
    <w:rsid w:val="366E227C"/>
    <w:rsid w:val="366F2E0D"/>
    <w:rsid w:val="367B6A5C"/>
    <w:rsid w:val="3696421B"/>
    <w:rsid w:val="36A74ADA"/>
    <w:rsid w:val="36AD60D5"/>
    <w:rsid w:val="36B224F9"/>
    <w:rsid w:val="36EC0CC9"/>
    <w:rsid w:val="373F410B"/>
    <w:rsid w:val="37AB62E1"/>
    <w:rsid w:val="37EE7094"/>
    <w:rsid w:val="38120769"/>
    <w:rsid w:val="38296C89"/>
    <w:rsid w:val="383002EB"/>
    <w:rsid w:val="38586797"/>
    <w:rsid w:val="3885610C"/>
    <w:rsid w:val="38BC0149"/>
    <w:rsid w:val="38BC34BF"/>
    <w:rsid w:val="38D87D1C"/>
    <w:rsid w:val="38EC33C3"/>
    <w:rsid w:val="39636459"/>
    <w:rsid w:val="396B7F6C"/>
    <w:rsid w:val="398A029A"/>
    <w:rsid w:val="39922E55"/>
    <w:rsid w:val="39B417A9"/>
    <w:rsid w:val="39BB3AC3"/>
    <w:rsid w:val="39FC5695"/>
    <w:rsid w:val="3A006D8E"/>
    <w:rsid w:val="3A23749D"/>
    <w:rsid w:val="3A3651E5"/>
    <w:rsid w:val="3A744481"/>
    <w:rsid w:val="3A8C7BEF"/>
    <w:rsid w:val="3A906246"/>
    <w:rsid w:val="3B2349B7"/>
    <w:rsid w:val="3B3D2948"/>
    <w:rsid w:val="3B616CFF"/>
    <w:rsid w:val="3B6259F6"/>
    <w:rsid w:val="3B976654"/>
    <w:rsid w:val="3B9F72A2"/>
    <w:rsid w:val="3BBF0D15"/>
    <w:rsid w:val="3BC01EFC"/>
    <w:rsid w:val="3BCA786A"/>
    <w:rsid w:val="3BD31E2F"/>
    <w:rsid w:val="3BF15831"/>
    <w:rsid w:val="3C105946"/>
    <w:rsid w:val="3C2A4B82"/>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B13283"/>
    <w:rsid w:val="3EC33DFA"/>
    <w:rsid w:val="3F060E16"/>
    <w:rsid w:val="3F1D1096"/>
    <w:rsid w:val="3F2F0234"/>
    <w:rsid w:val="3F307A4B"/>
    <w:rsid w:val="3F35117A"/>
    <w:rsid w:val="3F6363FE"/>
    <w:rsid w:val="3F756B8F"/>
    <w:rsid w:val="3F95482B"/>
    <w:rsid w:val="4019356B"/>
    <w:rsid w:val="40592157"/>
    <w:rsid w:val="406E1CAE"/>
    <w:rsid w:val="4081473A"/>
    <w:rsid w:val="40A0133A"/>
    <w:rsid w:val="40C31A53"/>
    <w:rsid w:val="40FF545D"/>
    <w:rsid w:val="410067C8"/>
    <w:rsid w:val="41586BC4"/>
    <w:rsid w:val="418F0D2A"/>
    <w:rsid w:val="41D01505"/>
    <w:rsid w:val="42474939"/>
    <w:rsid w:val="424C3C57"/>
    <w:rsid w:val="42562163"/>
    <w:rsid w:val="42613FF3"/>
    <w:rsid w:val="42660D96"/>
    <w:rsid w:val="428667D2"/>
    <w:rsid w:val="42CD1CE0"/>
    <w:rsid w:val="42E1381E"/>
    <w:rsid w:val="42EA34EA"/>
    <w:rsid w:val="42ED6459"/>
    <w:rsid w:val="42FE58DD"/>
    <w:rsid w:val="43036A81"/>
    <w:rsid w:val="43174B3D"/>
    <w:rsid w:val="434B790E"/>
    <w:rsid w:val="4360274F"/>
    <w:rsid w:val="436854A3"/>
    <w:rsid w:val="43977AB6"/>
    <w:rsid w:val="43A3342B"/>
    <w:rsid w:val="43C77C27"/>
    <w:rsid w:val="43DE09EE"/>
    <w:rsid w:val="44002FAD"/>
    <w:rsid w:val="44375C29"/>
    <w:rsid w:val="449101DD"/>
    <w:rsid w:val="44A97134"/>
    <w:rsid w:val="44AB6CB7"/>
    <w:rsid w:val="44DE1391"/>
    <w:rsid w:val="451B225C"/>
    <w:rsid w:val="452410C9"/>
    <w:rsid w:val="45317DFB"/>
    <w:rsid w:val="456D3CE4"/>
    <w:rsid w:val="4579042C"/>
    <w:rsid w:val="457F0571"/>
    <w:rsid w:val="45851176"/>
    <w:rsid w:val="45C63B94"/>
    <w:rsid w:val="460E7DA5"/>
    <w:rsid w:val="461770B6"/>
    <w:rsid w:val="46422483"/>
    <w:rsid w:val="4659254A"/>
    <w:rsid w:val="465B0637"/>
    <w:rsid w:val="465E3F0D"/>
    <w:rsid w:val="466A16E6"/>
    <w:rsid w:val="46893F2B"/>
    <w:rsid w:val="46C4686E"/>
    <w:rsid w:val="477B778F"/>
    <w:rsid w:val="478203EC"/>
    <w:rsid w:val="47B025FA"/>
    <w:rsid w:val="480510B4"/>
    <w:rsid w:val="4809698F"/>
    <w:rsid w:val="4811697D"/>
    <w:rsid w:val="486F6CFB"/>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60425D"/>
    <w:rsid w:val="4CB6685F"/>
    <w:rsid w:val="4CC367FE"/>
    <w:rsid w:val="4D077F3C"/>
    <w:rsid w:val="4D123355"/>
    <w:rsid w:val="4D2A3B31"/>
    <w:rsid w:val="4D312C52"/>
    <w:rsid w:val="4D735297"/>
    <w:rsid w:val="4D905305"/>
    <w:rsid w:val="4D964A72"/>
    <w:rsid w:val="4D9C1254"/>
    <w:rsid w:val="4E793892"/>
    <w:rsid w:val="4E800872"/>
    <w:rsid w:val="4EC569ED"/>
    <w:rsid w:val="4ED50EA1"/>
    <w:rsid w:val="4EEC050C"/>
    <w:rsid w:val="4F104EC3"/>
    <w:rsid w:val="4F1D73A5"/>
    <w:rsid w:val="4F47354A"/>
    <w:rsid w:val="4F911C54"/>
    <w:rsid w:val="4FE625E0"/>
    <w:rsid w:val="4FE65BDF"/>
    <w:rsid w:val="5021480F"/>
    <w:rsid w:val="50527997"/>
    <w:rsid w:val="50962ECB"/>
    <w:rsid w:val="50A42E38"/>
    <w:rsid w:val="50A4577F"/>
    <w:rsid w:val="50B73D1F"/>
    <w:rsid w:val="50BD5BC9"/>
    <w:rsid w:val="50C11EEE"/>
    <w:rsid w:val="50E97CFC"/>
    <w:rsid w:val="50FA4028"/>
    <w:rsid w:val="510D65B7"/>
    <w:rsid w:val="511157AB"/>
    <w:rsid w:val="5142540C"/>
    <w:rsid w:val="518832C8"/>
    <w:rsid w:val="518F5CC6"/>
    <w:rsid w:val="51A0432A"/>
    <w:rsid w:val="51A86090"/>
    <w:rsid w:val="51B7396D"/>
    <w:rsid w:val="522E4CC3"/>
    <w:rsid w:val="5244713B"/>
    <w:rsid w:val="52615633"/>
    <w:rsid w:val="52977FD4"/>
    <w:rsid w:val="52A25790"/>
    <w:rsid w:val="52A96B6F"/>
    <w:rsid w:val="52B45975"/>
    <w:rsid w:val="52D94AA4"/>
    <w:rsid w:val="52EA3A62"/>
    <w:rsid w:val="52F50BB8"/>
    <w:rsid w:val="53097272"/>
    <w:rsid w:val="534F37BA"/>
    <w:rsid w:val="535350EA"/>
    <w:rsid w:val="53544462"/>
    <w:rsid w:val="535B71BB"/>
    <w:rsid w:val="5397158E"/>
    <w:rsid w:val="54013861"/>
    <w:rsid w:val="54487265"/>
    <w:rsid w:val="544D6070"/>
    <w:rsid w:val="54605E1E"/>
    <w:rsid w:val="548652EB"/>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8D608C"/>
    <w:rsid w:val="56A64417"/>
    <w:rsid w:val="57032A2C"/>
    <w:rsid w:val="570F5219"/>
    <w:rsid w:val="575D12B5"/>
    <w:rsid w:val="57610A87"/>
    <w:rsid w:val="577B1140"/>
    <w:rsid w:val="577B7F21"/>
    <w:rsid w:val="577F181B"/>
    <w:rsid w:val="57921984"/>
    <w:rsid w:val="579737F0"/>
    <w:rsid w:val="57AB7B30"/>
    <w:rsid w:val="57AF5251"/>
    <w:rsid w:val="57B26373"/>
    <w:rsid w:val="57B63F04"/>
    <w:rsid w:val="57BA117B"/>
    <w:rsid w:val="57CD20C2"/>
    <w:rsid w:val="57D675AB"/>
    <w:rsid w:val="57D95FDD"/>
    <w:rsid w:val="583A6DC9"/>
    <w:rsid w:val="58917D2F"/>
    <w:rsid w:val="5894085C"/>
    <w:rsid w:val="58AE4F0C"/>
    <w:rsid w:val="58B85899"/>
    <w:rsid w:val="58D64DCB"/>
    <w:rsid w:val="58E363A9"/>
    <w:rsid w:val="58F87A10"/>
    <w:rsid w:val="59120131"/>
    <w:rsid w:val="595E1678"/>
    <w:rsid w:val="59686533"/>
    <w:rsid w:val="596D5BD4"/>
    <w:rsid w:val="597E3DD8"/>
    <w:rsid w:val="59F80043"/>
    <w:rsid w:val="5A09252F"/>
    <w:rsid w:val="5A0B2778"/>
    <w:rsid w:val="5A2A7C7B"/>
    <w:rsid w:val="5A3C0E89"/>
    <w:rsid w:val="5A3E2560"/>
    <w:rsid w:val="5A5D3B6E"/>
    <w:rsid w:val="5A637A76"/>
    <w:rsid w:val="5A6D33BA"/>
    <w:rsid w:val="5A7449E7"/>
    <w:rsid w:val="5A792B1F"/>
    <w:rsid w:val="5A874767"/>
    <w:rsid w:val="5AAD6F28"/>
    <w:rsid w:val="5AD63A24"/>
    <w:rsid w:val="5B024457"/>
    <w:rsid w:val="5B091AC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9A3F78"/>
    <w:rsid w:val="5FA73D89"/>
    <w:rsid w:val="5FCC5339"/>
    <w:rsid w:val="5FE34A5B"/>
    <w:rsid w:val="5FFE1E36"/>
    <w:rsid w:val="60232584"/>
    <w:rsid w:val="603354CB"/>
    <w:rsid w:val="607330CE"/>
    <w:rsid w:val="60825176"/>
    <w:rsid w:val="609F2AC4"/>
    <w:rsid w:val="60FA2EE8"/>
    <w:rsid w:val="61054A27"/>
    <w:rsid w:val="610A52BC"/>
    <w:rsid w:val="611D2366"/>
    <w:rsid w:val="61421856"/>
    <w:rsid w:val="615227C4"/>
    <w:rsid w:val="61654E3F"/>
    <w:rsid w:val="61821187"/>
    <w:rsid w:val="6182292A"/>
    <w:rsid w:val="619145DE"/>
    <w:rsid w:val="619F7F92"/>
    <w:rsid w:val="61B51E9A"/>
    <w:rsid w:val="61E3027B"/>
    <w:rsid w:val="61F94C26"/>
    <w:rsid w:val="62000E56"/>
    <w:rsid w:val="624F3E49"/>
    <w:rsid w:val="62557CB5"/>
    <w:rsid w:val="62632286"/>
    <w:rsid w:val="626671FB"/>
    <w:rsid w:val="62885958"/>
    <w:rsid w:val="629058F8"/>
    <w:rsid w:val="62A847ED"/>
    <w:rsid w:val="62F10564"/>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25E6A"/>
    <w:rsid w:val="66195831"/>
    <w:rsid w:val="662E75B1"/>
    <w:rsid w:val="66342C2E"/>
    <w:rsid w:val="663E784C"/>
    <w:rsid w:val="664F67DA"/>
    <w:rsid w:val="668B6A45"/>
    <w:rsid w:val="672F3F24"/>
    <w:rsid w:val="673E055F"/>
    <w:rsid w:val="67430B21"/>
    <w:rsid w:val="67551CE3"/>
    <w:rsid w:val="6766369B"/>
    <w:rsid w:val="67A22552"/>
    <w:rsid w:val="67B22DCC"/>
    <w:rsid w:val="67BE71AA"/>
    <w:rsid w:val="67D90273"/>
    <w:rsid w:val="67DE5875"/>
    <w:rsid w:val="67E55852"/>
    <w:rsid w:val="67EB1AB4"/>
    <w:rsid w:val="67FA1285"/>
    <w:rsid w:val="68551F4F"/>
    <w:rsid w:val="686F02F5"/>
    <w:rsid w:val="687C10C9"/>
    <w:rsid w:val="68840C16"/>
    <w:rsid w:val="68876EFB"/>
    <w:rsid w:val="68884654"/>
    <w:rsid w:val="689F444F"/>
    <w:rsid w:val="68B96DBB"/>
    <w:rsid w:val="68CA2805"/>
    <w:rsid w:val="68E937A3"/>
    <w:rsid w:val="693E15D3"/>
    <w:rsid w:val="69627681"/>
    <w:rsid w:val="6977531D"/>
    <w:rsid w:val="69A2559F"/>
    <w:rsid w:val="69CC2BFF"/>
    <w:rsid w:val="69EC2FA3"/>
    <w:rsid w:val="69FD55B8"/>
    <w:rsid w:val="6A0B1C62"/>
    <w:rsid w:val="6A2406C8"/>
    <w:rsid w:val="6ADE0BD1"/>
    <w:rsid w:val="6AE96859"/>
    <w:rsid w:val="6B147746"/>
    <w:rsid w:val="6B24787C"/>
    <w:rsid w:val="6B573233"/>
    <w:rsid w:val="6B5B6274"/>
    <w:rsid w:val="6B795CEF"/>
    <w:rsid w:val="6B8E6844"/>
    <w:rsid w:val="6B935D53"/>
    <w:rsid w:val="6BE96690"/>
    <w:rsid w:val="6C196F71"/>
    <w:rsid w:val="6C226FCB"/>
    <w:rsid w:val="6C31226F"/>
    <w:rsid w:val="6C354FE2"/>
    <w:rsid w:val="6C406744"/>
    <w:rsid w:val="6C552F0B"/>
    <w:rsid w:val="6C5F420E"/>
    <w:rsid w:val="6C8C67B7"/>
    <w:rsid w:val="6C9D744C"/>
    <w:rsid w:val="6D167928"/>
    <w:rsid w:val="6D26299B"/>
    <w:rsid w:val="6D4772EC"/>
    <w:rsid w:val="6D9078AF"/>
    <w:rsid w:val="6D956F05"/>
    <w:rsid w:val="6DAA3FEF"/>
    <w:rsid w:val="6DC0172B"/>
    <w:rsid w:val="6DCB690C"/>
    <w:rsid w:val="6DD41A5B"/>
    <w:rsid w:val="6DF43C2E"/>
    <w:rsid w:val="6DF51CA3"/>
    <w:rsid w:val="6E8335BD"/>
    <w:rsid w:val="6E8E12EF"/>
    <w:rsid w:val="6E972936"/>
    <w:rsid w:val="6ED446C5"/>
    <w:rsid w:val="6EFA5469"/>
    <w:rsid w:val="6F2A7D94"/>
    <w:rsid w:val="6F8331F1"/>
    <w:rsid w:val="6FAE1A09"/>
    <w:rsid w:val="6FD75BF8"/>
    <w:rsid w:val="707723D0"/>
    <w:rsid w:val="70F5661B"/>
    <w:rsid w:val="710F2246"/>
    <w:rsid w:val="712A6211"/>
    <w:rsid w:val="71360107"/>
    <w:rsid w:val="713B688E"/>
    <w:rsid w:val="71565065"/>
    <w:rsid w:val="71750118"/>
    <w:rsid w:val="71D43752"/>
    <w:rsid w:val="71F1796A"/>
    <w:rsid w:val="72154626"/>
    <w:rsid w:val="721750DD"/>
    <w:rsid w:val="72262B5D"/>
    <w:rsid w:val="72283FF7"/>
    <w:rsid w:val="722E7212"/>
    <w:rsid w:val="723A0474"/>
    <w:rsid w:val="725923E4"/>
    <w:rsid w:val="725F4533"/>
    <w:rsid w:val="72864BF7"/>
    <w:rsid w:val="729023FC"/>
    <w:rsid w:val="73C0646E"/>
    <w:rsid w:val="742222F5"/>
    <w:rsid w:val="74476126"/>
    <w:rsid w:val="74706664"/>
    <w:rsid w:val="747F3682"/>
    <w:rsid w:val="749C4185"/>
    <w:rsid w:val="7502127F"/>
    <w:rsid w:val="75067759"/>
    <w:rsid w:val="752E6DCD"/>
    <w:rsid w:val="75342268"/>
    <w:rsid w:val="754A11EA"/>
    <w:rsid w:val="7551380D"/>
    <w:rsid w:val="75600BE5"/>
    <w:rsid w:val="7564475C"/>
    <w:rsid w:val="7583797F"/>
    <w:rsid w:val="75D20F1D"/>
    <w:rsid w:val="75DA2C18"/>
    <w:rsid w:val="75F54412"/>
    <w:rsid w:val="75FB1168"/>
    <w:rsid w:val="761D08E0"/>
    <w:rsid w:val="765D347C"/>
    <w:rsid w:val="76826699"/>
    <w:rsid w:val="76C87133"/>
    <w:rsid w:val="76CD08D5"/>
    <w:rsid w:val="76DB4B92"/>
    <w:rsid w:val="77052AA4"/>
    <w:rsid w:val="77136511"/>
    <w:rsid w:val="77340A39"/>
    <w:rsid w:val="77351FD0"/>
    <w:rsid w:val="77472422"/>
    <w:rsid w:val="777F31F2"/>
    <w:rsid w:val="77D1700D"/>
    <w:rsid w:val="77EC04CC"/>
    <w:rsid w:val="78510AC5"/>
    <w:rsid w:val="78590B7C"/>
    <w:rsid w:val="78744975"/>
    <w:rsid w:val="78775729"/>
    <w:rsid w:val="78A42DB0"/>
    <w:rsid w:val="78A656AB"/>
    <w:rsid w:val="78B2245C"/>
    <w:rsid w:val="78E172CC"/>
    <w:rsid w:val="78EA1D1F"/>
    <w:rsid w:val="7904172F"/>
    <w:rsid w:val="790F7E27"/>
    <w:rsid w:val="792A231A"/>
    <w:rsid w:val="79316829"/>
    <w:rsid w:val="797A4741"/>
    <w:rsid w:val="797E66A9"/>
    <w:rsid w:val="79A97383"/>
    <w:rsid w:val="79E27E8B"/>
    <w:rsid w:val="79F850CE"/>
    <w:rsid w:val="79F90271"/>
    <w:rsid w:val="79FD443C"/>
    <w:rsid w:val="7A1D1975"/>
    <w:rsid w:val="7A3E5150"/>
    <w:rsid w:val="7A4670D6"/>
    <w:rsid w:val="7A534B63"/>
    <w:rsid w:val="7A615382"/>
    <w:rsid w:val="7A67303B"/>
    <w:rsid w:val="7AAB1D04"/>
    <w:rsid w:val="7AAE485B"/>
    <w:rsid w:val="7AB636E5"/>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CFD1A9F"/>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2CCC"/>
    <w:rsid w:val="7F715AF2"/>
    <w:rsid w:val="7F886E69"/>
    <w:rsid w:val="7F904620"/>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7"/>
    <w:link w:val="83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08"/>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7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0"/>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0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link w:val="71"/>
    <w:unhideWhenUsed/>
    <w:qFormat/>
    <w:uiPriority w:val="1"/>
    <w:rPr>
      <w:rFonts w:ascii="仿宋_GB2312" w:eastAsia="仿宋_GB2312"/>
      <w:b/>
      <w:sz w:val="32"/>
      <w:szCs w:val="32"/>
    </w:rPr>
  </w:style>
  <w:style w:type="table" w:default="1" w:styleId="63">
    <w:name w:val="Normal Table"/>
    <w:unhideWhenUsed/>
    <w:qFormat/>
    <w:uiPriority w:val="99"/>
    <w:pPr>
      <w:widowControl/>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customStyle="1" w:styleId="5">
    <w:name w:val="正文段"/>
    <w:basedOn w:val="1"/>
    <w:link w:val="901"/>
    <w:qFormat/>
    <w:uiPriority w:val="0"/>
    <w:pPr>
      <w:widowControl/>
      <w:snapToGrid w:val="0"/>
      <w:spacing w:after="156" w:afterLines="50"/>
      <w:ind w:firstLine="200" w:firstLineChars="200"/>
    </w:pPr>
    <w:rPr>
      <w:kern w:val="0"/>
      <w:sz w:val="24"/>
      <w:szCs w:val="20"/>
    </w:rPr>
  </w:style>
  <w:style w:type="paragraph" w:styleId="7">
    <w:name w:val="Normal Indent"/>
    <w:basedOn w:val="1"/>
    <w:link w:val="718"/>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75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25"/>
    <w:qFormat/>
    <w:uiPriority w:val="0"/>
    <w:pPr>
      <w:shd w:val="clear" w:color="auto" w:fill="000080"/>
    </w:pPr>
  </w:style>
  <w:style w:type="paragraph" w:styleId="20">
    <w:name w:val="annotation text"/>
    <w:basedOn w:val="1"/>
    <w:link w:val="853"/>
    <w:qFormat/>
    <w:uiPriority w:val="99"/>
    <w:pPr>
      <w:widowControl w:val="0"/>
      <w:spacing w:before="0" w:beforeAutospacing="0" w:after="0" w:afterAutospacing="0"/>
      <w:ind w:left="0" w:right="0"/>
      <w:jc w:val="left"/>
    </w:pPr>
    <w:rPr>
      <w:rFonts w:hint="eastAsia" w:ascii="Times New Roman" w:hAnsi="Times New Roman" w:eastAsia="宋体" w:cs="Times New Roman"/>
      <w:kern w:val="2"/>
      <w:sz w:val="21"/>
      <w:szCs w:val="24"/>
      <w:lang w:val="en-US" w:eastAsia="zh-CN" w:bidi="ar-SA"/>
    </w:rPr>
  </w:style>
  <w:style w:type="paragraph" w:styleId="21">
    <w:name w:val="Salutation"/>
    <w:basedOn w:val="1"/>
    <w:next w:val="1"/>
    <w:link w:val="813"/>
    <w:qFormat/>
    <w:uiPriority w:val="0"/>
    <w:rPr>
      <w:rFonts w:ascii="仿宋_GB2312" w:eastAsia="仿宋_GB2312"/>
      <w:sz w:val="28"/>
      <w:szCs w:val="20"/>
    </w:rPr>
  </w:style>
  <w:style w:type="paragraph" w:styleId="22">
    <w:name w:val="Body Text 3"/>
    <w:basedOn w:val="1"/>
    <w:link w:val="84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930"/>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781"/>
    <w:qFormat/>
    <w:uiPriority w:val="0"/>
    <w:pPr>
      <w:spacing w:line="480" w:lineRule="exact"/>
      <w:ind w:firstLine="480" w:firstLineChars="200"/>
    </w:pPr>
    <w:rPr>
      <w:rFonts w:ascii="宋体" w:hAnsi="宋体"/>
      <w:sz w:val="24"/>
    </w:rPr>
  </w:style>
  <w:style w:type="paragraph" w:styleId="26">
    <w:name w:val="Body Text First Indent 2"/>
    <w:basedOn w:val="25"/>
    <w:link w:val="653"/>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657"/>
    <w:qFormat/>
    <w:uiPriority w:val="0"/>
    <w:rPr>
      <w:rFonts w:ascii="宋体" w:hAnsi="Courier New" w:cs="Arial"/>
      <w:snapToGrid w:val="0"/>
      <w:szCs w:val="21"/>
    </w:rPr>
  </w:style>
  <w:style w:type="paragraph" w:styleId="35">
    <w:name w:val="Date"/>
    <w:basedOn w:val="1"/>
    <w:next w:val="1"/>
    <w:link w:val="707"/>
    <w:qFormat/>
    <w:uiPriority w:val="0"/>
    <w:pPr>
      <w:ind w:left="100" w:leftChars="2500"/>
    </w:pPr>
    <w:rPr>
      <w:rFonts w:ascii="宋体"/>
      <w:sz w:val="24"/>
      <w:szCs w:val="21"/>
      <w:lang w:val="zh-CN"/>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Body Text Indent 2"/>
    <w:basedOn w:val="1"/>
    <w:link w:val="821"/>
    <w:qFormat/>
    <w:uiPriority w:val="0"/>
    <w:pPr>
      <w:spacing w:line="360" w:lineRule="auto"/>
      <w:ind w:firstLine="601"/>
      <w:textAlignment w:val="baseline"/>
    </w:pPr>
    <w:rPr>
      <w:rFonts w:ascii="宋体"/>
      <w:kern w:val="0"/>
      <w:sz w:val="28"/>
      <w:szCs w:val="20"/>
    </w:rPr>
  </w:style>
  <w:style w:type="paragraph" w:styleId="39">
    <w:name w:val="endnote text"/>
    <w:basedOn w:val="1"/>
    <w:link w:val="938"/>
    <w:qFormat/>
    <w:uiPriority w:val="0"/>
    <w:rPr>
      <w:lang w:val="zh-CN"/>
    </w:rPr>
  </w:style>
  <w:style w:type="paragraph" w:styleId="40">
    <w:name w:val="Balloon Text"/>
    <w:basedOn w:val="1"/>
    <w:link w:val="714"/>
    <w:qFormat/>
    <w:uiPriority w:val="0"/>
    <w:rPr>
      <w:sz w:val="18"/>
      <w:szCs w:val="18"/>
    </w:rPr>
  </w:style>
  <w:style w:type="paragraph" w:styleId="41">
    <w:name w:val="footer"/>
    <w:basedOn w:val="1"/>
    <w:link w:val="889"/>
    <w:qFormat/>
    <w:uiPriority w:val="99"/>
    <w:pPr>
      <w:tabs>
        <w:tab w:val="center" w:pos="4153"/>
        <w:tab w:val="right" w:pos="8306"/>
      </w:tabs>
      <w:snapToGrid w:val="0"/>
      <w:jc w:val="left"/>
    </w:pPr>
    <w:rPr>
      <w:sz w:val="18"/>
      <w:szCs w:val="18"/>
    </w:rPr>
  </w:style>
  <w:style w:type="paragraph" w:styleId="42">
    <w:name w:val="header"/>
    <w:basedOn w:val="1"/>
    <w:link w:val="897"/>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823"/>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17"/>
    <w:qFormat/>
    <w:uiPriority w:val="0"/>
    <w:pPr>
      <w:spacing w:after="120" w:line="480" w:lineRule="auto"/>
    </w:pPr>
  </w:style>
  <w:style w:type="paragraph" w:styleId="58">
    <w:name w:val="HTML Preformatted"/>
    <w:basedOn w:val="1"/>
    <w:link w:val="8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801"/>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0"/>
    <w:next w:val="20"/>
    <w:link w:val="630"/>
    <w:qFormat/>
    <w:uiPriority w:val="0"/>
    <w:rPr>
      <w:b/>
      <w:bCs/>
    </w:rPr>
  </w:style>
  <w:style w:type="paragraph" w:styleId="62">
    <w:name w:val="Body Text First Indent"/>
    <w:basedOn w:val="24"/>
    <w:link w:val="832"/>
    <w:qFormat/>
    <w:uiPriority w:val="0"/>
    <w:pPr>
      <w:ind w:firstLine="420"/>
    </w:pPr>
    <w:rPr>
      <w:rFonts w:hAnsi="Calibri" w:cs="Times New Roman"/>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1">
    <w:name w:val="Char Char Char Char Char Char Char Char Char Char Char Char Char"/>
    <w:basedOn w:val="1"/>
    <w:link w:val="70"/>
    <w:qFormat/>
    <w:uiPriority w:val="0"/>
    <w:rPr>
      <w:rFonts w:ascii="仿宋_GB2312" w:eastAsia="仿宋_GB2312"/>
      <w:b/>
      <w:sz w:val="32"/>
      <w:szCs w:val="32"/>
    </w:r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0"/>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0"/>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2">
    <w:name w:val="_Style 3"/>
    <w:basedOn w:val="1"/>
    <w:qFormat/>
    <w:uiPriority w:val="0"/>
    <w:pPr>
      <w:adjustRightInd/>
      <w:ind w:firstLine="420" w:firstLineChars="200"/>
    </w:pPr>
    <w:rPr>
      <w:rFonts w:eastAsia="仿宋_GB2312"/>
      <w:sz w:val="28"/>
    </w:rPr>
  </w:style>
  <w:style w:type="paragraph" w:customStyle="1" w:styleId="83">
    <w:name w:val="表格非标题文字"/>
    <w:link w:val="61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0"/>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28"/>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35"/>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4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2"/>
    <w:qFormat/>
    <w:uiPriority w:val="0"/>
    <w:pPr>
      <w:spacing w:before="156" w:line="360" w:lineRule="auto"/>
      <w:ind w:firstLine="510" w:firstLineChars="200"/>
    </w:pPr>
    <w:rPr>
      <w:sz w:val="24"/>
      <w:szCs w:val="20"/>
    </w:rPr>
  </w:style>
  <w:style w:type="paragraph" w:customStyle="1" w:styleId="89">
    <w:name w:val="无间隔1"/>
    <w:link w:val="670"/>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78"/>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88"/>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3"/>
    <w:link w:val="69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17"/>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23"/>
    <w:qFormat/>
    <w:uiPriority w:val="0"/>
    <w:pPr>
      <w:ind w:left="0" w:right="466" w:firstLine="288"/>
    </w:pPr>
    <w:rPr>
      <w:rFonts w:hAnsi="宋体"/>
    </w:rPr>
  </w:style>
  <w:style w:type="paragraph" w:customStyle="1" w:styleId="96">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6"/>
    <w:link w:val="7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47"/>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link w:val="7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65"/>
    <w:qFormat/>
    <w:uiPriority w:val="0"/>
    <w:pPr>
      <w:adjustRightInd/>
      <w:spacing w:line="360" w:lineRule="auto"/>
      <w:ind w:firstLine="480" w:firstLineChars="200"/>
    </w:pPr>
    <w:rPr>
      <w:kern w:val="0"/>
      <w:sz w:val="24"/>
    </w:rPr>
  </w:style>
  <w:style w:type="paragraph" w:customStyle="1" w:styleId="101">
    <w:name w:val="gf正文1"/>
    <w:basedOn w:val="1"/>
    <w:link w:val="77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7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List Paragraph"/>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796"/>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18"/>
    <w:qFormat/>
    <w:uiPriority w:val="0"/>
    <w:pPr>
      <w:tabs>
        <w:tab w:val="left" w:pos="2356"/>
      </w:tabs>
    </w:pPr>
  </w:style>
  <w:style w:type="paragraph" w:customStyle="1" w:styleId="106">
    <w:name w:val="样式 标题 4h4H4Fab-4T5Ref Heading 1rh1Heading sqlsect 1.2.3...."/>
    <w:basedOn w:val="6"/>
    <w:link w:val="9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1"/>
    <w:qFormat/>
    <w:uiPriority w:val="0"/>
    <w:pPr>
      <w:adjustRightInd/>
    </w:pPr>
    <w:rPr>
      <w:rFonts w:ascii="宋体" w:hAnsi="Courier New"/>
      <w:kern w:val="0"/>
      <w:sz w:val="20"/>
      <w:szCs w:val="20"/>
    </w:rPr>
  </w:style>
  <w:style w:type="paragraph" w:customStyle="1" w:styleId="109">
    <w:name w:val="正文说明"/>
    <w:basedOn w:val="1"/>
    <w:link w:val="843"/>
    <w:qFormat/>
    <w:uiPriority w:val="0"/>
    <w:pPr>
      <w:adjustRightInd/>
      <w:spacing w:line="360" w:lineRule="auto"/>
    </w:pPr>
    <w:rPr>
      <w:kern w:val="0"/>
      <w:sz w:val="24"/>
    </w:rPr>
  </w:style>
  <w:style w:type="paragraph" w:customStyle="1" w:styleId="110">
    <w:name w:val="Table Text"/>
    <w:basedOn w:val="1"/>
    <w:link w:val="849"/>
    <w:qFormat/>
    <w:uiPriority w:val="0"/>
    <w:pPr>
      <w:widowControl/>
      <w:spacing w:before="60" w:after="60"/>
      <w:jc w:val="left"/>
    </w:pPr>
    <w:rPr>
      <w:kern w:val="0"/>
      <w:sz w:val="24"/>
    </w:rPr>
  </w:style>
  <w:style w:type="paragraph" w:customStyle="1" w:styleId="111">
    <w:name w:val="公文正文"/>
    <w:basedOn w:val="1"/>
    <w:link w:val="861"/>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894"/>
    <w:qFormat/>
    <w:uiPriority w:val="0"/>
    <w:pPr>
      <w:adjustRightInd/>
      <w:spacing w:line="360" w:lineRule="auto"/>
      <w:ind w:firstLine="480" w:firstLineChars="200"/>
    </w:pPr>
    <w:rPr>
      <w:rFonts w:ascii="宋体" w:hAnsi="宋体"/>
      <w:kern w:val="0"/>
      <w:sz w:val="24"/>
      <w:szCs w:val="20"/>
    </w:rPr>
  </w:style>
  <w:style w:type="paragraph" w:customStyle="1" w:styleId="115">
    <w:name w:val="冯广丽"/>
    <w:basedOn w:val="1"/>
    <w:link w:val="904"/>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0"/>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17"/>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7"/>
    <w:link w:val="92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6"/>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312"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qFormat/>
    <w:uiPriority w:val="0"/>
    <w:rPr>
      <w:rFonts w:ascii="仿宋_GB2312" w:eastAsia="仿宋_GB2312"/>
      <w:b/>
      <w:sz w:val="32"/>
      <w:szCs w:val="32"/>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spacing w:before="0" w:after="0"/>
      <w:outlineLvl w:val="5"/>
    </w:pPr>
  </w:style>
  <w:style w:type="paragraph" w:customStyle="1" w:styleId="159">
    <w:name w:val="5级标题"/>
    <w:basedOn w:val="160"/>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0">
    <w:name w:val="4级标题"/>
    <w:basedOn w:val="10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No Spacing"/>
    <w:basedOn w:val="1"/>
    <w:link w:val="939"/>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4"/>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8"/>
    <w:qFormat/>
    <w:uiPriority w:val="0"/>
    <w:pPr>
      <w:tabs>
        <w:tab w:val="left" w:pos="2520"/>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8"/>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4"/>
    <w:qFormat/>
    <w:uiPriority w:val="0"/>
    <w:pPr>
      <w:tabs>
        <w:tab w:val="left" w:pos="1680"/>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6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6"/>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9"/>
    <w:next w:val="99"/>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9"/>
    <w:next w:val="99"/>
    <w:qFormat/>
    <w:uiPriority w:val="0"/>
    <w:rPr>
      <w:rFonts w:ascii="宋体" w:eastAsia="宋体" w:cs="Times New Roman"/>
      <w:color w:val="auto"/>
    </w:rPr>
  </w:style>
  <w:style w:type="paragraph" w:customStyle="1" w:styleId="23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156"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7"/>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2"/>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156"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0" w:beforeLines="0" w:after="0" w:afterLines="0"/>
      <w:ind w:left="1680"/>
      <w:outlineLvl w:val="2"/>
    </w:pPr>
  </w:style>
  <w:style w:type="paragraph" w:customStyle="1" w:styleId="342">
    <w:name w:val="章标题"/>
    <w:next w:val="32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6"/>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8"/>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4"/>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24"/>
    <w:qFormat/>
    <w:uiPriority w:val="0"/>
    <w:pPr>
      <w:snapToGrid w:val="0"/>
      <w:ind w:firstLine="480" w:firstLineChars="200"/>
    </w:pPr>
    <w:rPr>
      <w:rFonts w:ascii="Times New Roman"/>
      <w:szCs w:val="24"/>
      <w:lang w:val="en-US"/>
    </w:rPr>
  </w:style>
  <w:style w:type="paragraph" w:customStyle="1" w:styleId="45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4"/>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9"/>
    <w:next w:val="324"/>
    <w:qFormat/>
    <w:uiPriority w:val="0"/>
    <w:pPr>
      <w:tabs>
        <w:tab w:val="left" w:pos="2940"/>
        <w:tab w:val="clear" w:pos="1260"/>
        <w:tab w:val="clear" w:pos="1680"/>
        <w:tab w:val="clear" w:pos="210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8"/>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19"/>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2"/>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8"/>
    <w:next w:val="1"/>
    <w:qFormat/>
    <w:uiPriority w:val="0"/>
    <w:pPr>
      <w:tabs>
        <w:tab w:val="left" w:pos="1080"/>
        <w:tab w:val="clear" w:pos="1008"/>
      </w:tabs>
      <w:ind w:left="1080" w:hanging="1080"/>
    </w:pPr>
  </w:style>
  <w:style w:type="paragraph" w:customStyle="1" w:styleId="580">
    <w:name w:val="数字标题1"/>
    <w:basedOn w:val="2"/>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8"/>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6"/>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0"/>
    <w:qFormat/>
    <w:uiPriority w:val="0"/>
    <w:pPr>
      <w:adjustRightInd/>
      <w:spacing w:line="360" w:lineRule="auto"/>
      <w:ind w:firstLine="480" w:firstLineChars="200"/>
    </w:pPr>
    <w:rPr>
      <w:rFonts w:cs="宋体"/>
      <w:sz w:val="24"/>
      <w:szCs w:val="20"/>
    </w:rPr>
  </w:style>
  <w:style w:type="paragraph" w:customStyle="1" w:styleId="606">
    <w:name w:val="_Style 947"/>
    <w:basedOn w:val="1"/>
    <w:next w:val="103"/>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619">
    <w:name w:val="表格非标题文字 Char"/>
    <w:link w:val="83"/>
    <w:qFormat/>
    <w:uiPriority w:val="0"/>
    <w:rPr>
      <w:rFonts w:ascii="Futura Bk" w:hAnsi="Futura Bk"/>
      <w:kern w:val="2"/>
      <w:sz w:val="18"/>
      <w:szCs w:val="21"/>
      <w:lang w:val="en-US" w:eastAsia="zh-CN" w:bidi="ar-SA"/>
    </w:rPr>
  </w:style>
  <w:style w:type="character" w:customStyle="1" w:styleId="620">
    <w:name w:val="*正文 Char"/>
    <w:link w:val="84"/>
    <w:qFormat/>
    <w:locked/>
    <w:uiPriority w:val="0"/>
    <w:rPr>
      <w:rFonts w:ascii="宋体" w:hAnsi="宋体"/>
      <w:sz w:val="24"/>
    </w:rPr>
  </w:style>
  <w:style w:type="character" w:customStyle="1" w:styleId="621">
    <w:name w:val="Char Char71"/>
    <w:semiHidden/>
    <w:qFormat/>
    <w:uiPriority w:val="0"/>
    <w:rPr>
      <w:rFonts w:eastAsia="宋体"/>
      <w:kern w:val="2"/>
      <w:sz w:val="21"/>
      <w:szCs w:val="24"/>
      <w:lang w:val="en-US" w:eastAsia="zh-CN" w:bidi="ar-SA"/>
    </w:rPr>
  </w:style>
  <w:style w:type="character" w:customStyle="1" w:styleId="622">
    <w:name w:val="Char Char6"/>
    <w:qFormat/>
    <w:uiPriority w:val="0"/>
    <w:rPr>
      <w:rFonts w:eastAsia="宋体"/>
      <w:kern w:val="2"/>
      <w:sz w:val="21"/>
      <w:szCs w:val="24"/>
      <w:lang w:val="en-US" w:eastAsia="zh-CN" w:bidi="ar-SA"/>
    </w:rPr>
  </w:style>
  <w:style w:type="character" w:customStyle="1" w:styleId="623">
    <w:name w:val="正文缩进 Char"/>
    <w:qFormat/>
    <w:uiPriority w:val="0"/>
    <w:rPr>
      <w:rFonts w:eastAsia="宋体"/>
      <w:kern w:val="2"/>
      <w:sz w:val="21"/>
      <w:lang w:val="en-US" w:eastAsia="zh-CN"/>
    </w:rPr>
  </w:style>
  <w:style w:type="character" w:customStyle="1" w:styleId="624">
    <w:name w:val="正文首行缩进 Char1"/>
    <w:qFormat/>
    <w:uiPriority w:val="0"/>
    <w:rPr>
      <w:rFonts w:ascii="宋体" w:hAnsi="Times New Roman" w:eastAsia="宋体" w:cs="Times New Roman"/>
      <w:snapToGrid w:val="0"/>
      <w:kern w:val="2"/>
      <w:sz w:val="24"/>
      <w:szCs w:val="21"/>
      <w:lang w:val="zh-CN"/>
    </w:rPr>
  </w:style>
  <w:style w:type="character" w:customStyle="1" w:styleId="625">
    <w:name w:val="Char Char28"/>
    <w:qFormat/>
    <w:uiPriority w:val="6"/>
    <w:rPr>
      <w:rFonts w:ascii="仿宋_GB2312" w:hAnsi="仿宋_GB2312" w:eastAsia="仿宋_GB2312"/>
      <w:kern w:val="1"/>
      <w:sz w:val="28"/>
    </w:rPr>
  </w:style>
  <w:style w:type="character" w:customStyle="1" w:styleId="6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7">
    <w:name w:val="Heading 1 Char"/>
    <w:qFormat/>
    <w:uiPriority w:val="6"/>
    <w:rPr>
      <w:rFonts w:ascii="Times New Roman" w:hAnsi="Times New Roman" w:eastAsia="黑体" w:cs="Times New Roman"/>
      <w:b/>
      <w:kern w:val="0"/>
      <w:sz w:val="24"/>
      <w:szCs w:val="24"/>
    </w:rPr>
  </w:style>
  <w:style w:type="character" w:customStyle="1" w:styleId="628">
    <w:name w:val="U_正文 Char"/>
    <w:link w:val="85"/>
    <w:qFormat/>
    <w:uiPriority w:val="0"/>
    <w:rPr>
      <w:sz w:val="24"/>
      <w:szCs w:val="24"/>
    </w:rPr>
  </w:style>
  <w:style w:type="character" w:customStyle="1" w:styleId="629">
    <w:name w:val="HTML 地址 Char1"/>
    <w:qFormat/>
    <w:uiPriority w:val="0"/>
    <w:rPr>
      <w:rFonts w:ascii="Times New Roman" w:hAnsi="Times New Roman" w:eastAsia="宋体" w:cs="Times New Roman"/>
      <w:i/>
      <w:iCs/>
      <w:szCs w:val="24"/>
    </w:rPr>
  </w:style>
  <w:style w:type="character" w:customStyle="1" w:styleId="630">
    <w:name w:val="批注主题 Char1"/>
    <w:link w:val="61"/>
    <w:qFormat/>
    <w:uiPriority w:val="0"/>
    <w:rPr>
      <w:b/>
      <w:bCs/>
      <w:kern w:val="2"/>
      <w:sz w:val="21"/>
      <w:szCs w:val="24"/>
    </w:rPr>
  </w:style>
  <w:style w:type="character" w:customStyle="1" w:styleId="631">
    <w:name w:val="Char Char51"/>
    <w:qFormat/>
    <w:uiPriority w:val="0"/>
    <w:rPr>
      <w:rFonts w:ascii="宋体" w:hAnsi="Courier New" w:eastAsia="宋体"/>
      <w:kern w:val="2"/>
      <w:sz w:val="21"/>
      <w:lang w:val="en-US" w:eastAsia="zh-CN"/>
    </w:rPr>
  </w:style>
  <w:style w:type="character" w:customStyle="1" w:styleId="632">
    <w:name w:val="表正文 Char"/>
    <w:qFormat/>
    <w:uiPriority w:val="0"/>
    <w:rPr>
      <w:rFonts w:ascii="宋体" w:eastAsia="宋体"/>
      <w:snapToGrid w:val="0"/>
      <w:color w:val="000000"/>
      <w:kern w:val="28"/>
      <w:sz w:val="28"/>
      <w:lang w:val="en-US" w:eastAsia="zh-CN" w:bidi="ar-SA"/>
    </w:rPr>
  </w:style>
  <w:style w:type="character" w:customStyle="1" w:styleId="633">
    <w:name w:val="Char Char34"/>
    <w:qFormat/>
    <w:uiPriority w:val="6"/>
    <w:rPr>
      <w:b/>
      <w:kern w:val="1"/>
      <w:sz w:val="28"/>
      <w:szCs w:val="28"/>
    </w:rPr>
  </w:style>
  <w:style w:type="character" w:customStyle="1" w:styleId="6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5">
    <w:name w:val="哈哈正文 Char"/>
    <w:link w:val="86"/>
    <w:qFormat/>
    <w:uiPriority w:val="0"/>
    <w:rPr>
      <w:rFonts w:ascii="宋体" w:hAnsi="宋体" w:eastAsia="宋体"/>
      <w:kern w:val="2"/>
      <w:sz w:val="24"/>
      <w:lang w:bidi="ar-SA"/>
    </w:rPr>
  </w:style>
  <w:style w:type="character" w:customStyle="1" w:styleId="636">
    <w:name w:val="未处理的提及1"/>
    <w:qFormat/>
    <w:uiPriority w:val="0"/>
    <w:rPr>
      <w:color w:val="808080"/>
      <w:shd w:val="clear" w:color="auto" w:fill="E6E6E6"/>
    </w:rPr>
  </w:style>
  <w:style w:type="character" w:customStyle="1" w:styleId="637">
    <w:name w:val="txt"/>
    <w:qFormat/>
    <w:uiPriority w:val="0"/>
    <w:rPr>
      <w:rFonts w:ascii="仿宋_GB2312" w:eastAsia="微软雅黑"/>
      <w:b/>
      <w:kern w:val="2"/>
      <w:sz w:val="32"/>
      <w:szCs w:val="32"/>
      <w:lang w:val="en-US" w:eastAsia="zh-CN" w:bidi="ar-SA"/>
    </w:rPr>
  </w:style>
  <w:style w:type="character" w:customStyle="1" w:styleId="638">
    <w:name w:val="二级标题 Char Char"/>
    <w:qFormat/>
    <w:uiPriority w:val="0"/>
    <w:rPr>
      <w:rFonts w:ascii="宋体" w:hAnsi="宋体" w:eastAsia="宋体"/>
      <w:b/>
      <w:snapToGrid w:val="0"/>
      <w:kern w:val="2"/>
      <w:sz w:val="24"/>
      <w:szCs w:val="24"/>
      <w:lang w:val="en-US" w:eastAsia="zh-CN" w:bidi="ar-SA"/>
    </w:rPr>
  </w:style>
  <w:style w:type="character" w:customStyle="1" w:styleId="639">
    <w:name w:val="Char Char32"/>
    <w:qFormat/>
    <w:uiPriority w:val="6"/>
    <w:rPr>
      <w:b/>
      <w:kern w:val="1"/>
      <w:sz w:val="24"/>
      <w:szCs w:val="24"/>
    </w:rPr>
  </w:style>
  <w:style w:type="character" w:customStyle="1" w:styleId="640">
    <w:name w:val="PI Char1"/>
    <w:qFormat/>
    <w:uiPriority w:val="0"/>
    <w:rPr>
      <w:rFonts w:ascii="宋体" w:hAnsi="宋体"/>
      <w:kern w:val="2"/>
      <w:sz w:val="24"/>
      <w:szCs w:val="24"/>
    </w:rPr>
  </w:style>
  <w:style w:type="character" w:customStyle="1" w:styleId="641">
    <w:name w:val="tw4winTerm"/>
    <w:qFormat/>
    <w:uiPriority w:val="0"/>
    <w:rPr>
      <w:color w:val="0000FF"/>
    </w:rPr>
  </w:style>
  <w:style w:type="character" w:customStyle="1" w:styleId="642">
    <w:name w:val="Footer Char"/>
    <w:qFormat/>
    <w:locked/>
    <w:uiPriority w:val="0"/>
    <w:rPr>
      <w:rFonts w:eastAsia="宋体"/>
      <w:kern w:val="2"/>
      <w:sz w:val="18"/>
      <w:lang w:val="en-US" w:eastAsia="zh-CN" w:bidi="ar-SA"/>
    </w:rPr>
  </w:style>
  <w:style w:type="character" w:customStyle="1" w:styleId="643">
    <w:name w:val="普通文字 Char Char1"/>
    <w:qFormat/>
    <w:uiPriority w:val="0"/>
    <w:rPr>
      <w:rFonts w:ascii="宋体" w:hAnsi="Courier New"/>
      <w:kern w:val="2"/>
      <w:sz w:val="21"/>
    </w:rPr>
  </w:style>
  <w:style w:type="character" w:customStyle="1" w:styleId="644">
    <w:name w:val="Char Char101"/>
    <w:qFormat/>
    <w:uiPriority w:val="6"/>
    <w:rPr>
      <w:rFonts w:ascii="宋体" w:hAnsi="宋体"/>
      <w:kern w:val="2"/>
      <w:sz w:val="21"/>
      <w:szCs w:val="24"/>
      <w:lang w:val="en-US" w:eastAsia="zh-CN"/>
    </w:rPr>
  </w:style>
  <w:style w:type="character" w:customStyle="1" w:styleId="645">
    <w:name w:val="标题 4 Char"/>
    <w:qFormat/>
    <w:uiPriority w:val="0"/>
    <w:rPr>
      <w:rFonts w:ascii="Arial" w:hAnsi="Arial" w:eastAsia="黑体"/>
      <w:b/>
      <w:kern w:val="2"/>
      <w:sz w:val="28"/>
    </w:rPr>
  </w:style>
  <w:style w:type="character" w:customStyle="1" w:styleId="646">
    <w:name w:val="链接"/>
    <w:qFormat/>
    <w:uiPriority w:val="0"/>
    <w:rPr>
      <w:color w:val="0000FF"/>
      <w:sz w:val="21"/>
      <w:szCs w:val="21"/>
      <w:u w:val="single"/>
    </w:rPr>
  </w:style>
  <w:style w:type="character" w:customStyle="1" w:styleId="647">
    <w:name w:val="h4 Char"/>
    <w:qFormat/>
    <w:uiPriority w:val="0"/>
    <w:rPr>
      <w:rFonts w:ascii="Arial" w:hAnsi="Arial" w:eastAsia="黑体"/>
      <w:b/>
      <w:bCs/>
      <w:kern w:val="2"/>
      <w:sz w:val="28"/>
      <w:szCs w:val="28"/>
      <w:lang w:val="zh-CN" w:eastAsia="zh-CN" w:bidi="ar-SA"/>
    </w:rPr>
  </w:style>
  <w:style w:type="character" w:customStyle="1" w:styleId="648">
    <w:name w:val="5正文 Char"/>
    <w:link w:val="87"/>
    <w:qFormat/>
    <w:uiPriority w:val="0"/>
    <w:rPr>
      <w:rFonts w:ascii="仿宋_GB2312" w:hAnsi="微软雅黑" w:eastAsia="仿宋_GB2312"/>
      <w:sz w:val="28"/>
      <w:szCs w:val="21"/>
    </w:rPr>
  </w:style>
  <w:style w:type="character" w:customStyle="1" w:styleId="649">
    <w:name w:val="标题 3 字符"/>
    <w:qFormat/>
    <w:uiPriority w:val="9"/>
    <w:rPr>
      <w:b/>
      <w:bCs/>
      <w:kern w:val="2"/>
      <w:sz w:val="32"/>
      <w:szCs w:val="32"/>
    </w:rPr>
  </w:style>
  <w:style w:type="character" w:customStyle="1" w:styleId="650">
    <w:name w:val="样式6 Char"/>
    <w:qFormat/>
    <w:uiPriority w:val="0"/>
    <w:rPr>
      <w:rFonts w:ascii="仿宋_GB2312" w:hAnsi="宋体" w:eastAsia="仿宋_GB2312"/>
      <w:b/>
      <w:bCs/>
      <w:kern w:val="2"/>
      <w:sz w:val="24"/>
      <w:szCs w:val="24"/>
      <w:lang w:val="en-US" w:eastAsia="zh-CN" w:bidi="ar-SA"/>
    </w:rPr>
  </w:style>
  <w:style w:type="character" w:customStyle="1" w:styleId="651">
    <w:name w:val="Char Char14"/>
    <w:qFormat/>
    <w:uiPriority w:val="6"/>
    <w:rPr>
      <w:rFonts w:ascii="黑体" w:hAnsi="黑体" w:eastAsia="黑体"/>
    </w:rPr>
  </w:style>
  <w:style w:type="character" w:customStyle="1" w:styleId="652">
    <w:name w:val="Heading 2 Hidden Char"/>
    <w:qFormat/>
    <w:uiPriority w:val="0"/>
    <w:rPr>
      <w:rFonts w:ascii="仿宋_GB2312" w:eastAsia="仿宋_GB2312"/>
      <w:b/>
      <w:bCs/>
      <w:kern w:val="2"/>
      <w:sz w:val="24"/>
      <w:szCs w:val="24"/>
      <w:lang w:val="zh-CN" w:eastAsia="zh-CN" w:bidi="ar-SA"/>
    </w:rPr>
  </w:style>
  <w:style w:type="character" w:customStyle="1" w:styleId="653">
    <w:name w:val="正文首行缩进 2 Char"/>
    <w:link w:val="26"/>
    <w:qFormat/>
    <w:uiPriority w:val="0"/>
    <w:rPr>
      <w:rFonts w:ascii="宋体" w:hAnsi="宋体"/>
      <w:kern w:val="2"/>
      <w:sz w:val="21"/>
      <w:szCs w:val="24"/>
    </w:rPr>
  </w:style>
  <w:style w:type="character" w:customStyle="1" w:styleId="654">
    <w:name w:val="font11"/>
    <w:qFormat/>
    <w:uiPriority w:val="0"/>
    <w:rPr>
      <w:rFonts w:hint="default" w:ascii="Times New Roman" w:hAnsi="Times New Roman" w:cs="Times New Roman"/>
      <w:color w:val="000000"/>
      <w:sz w:val="22"/>
      <w:szCs w:val="22"/>
      <w:u w:val="none"/>
    </w:rPr>
  </w:style>
  <w:style w:type="character" w:customStyle="1" w:styleId="655">
    <w:name w:val="表正文 Char1"/>
    <w:qFormat/>
    <w:uiPriority w:val="0"/>
    <w:rPr>
      <w:rFonts w:ascii="宋体" w:eastAsia="宋体"/>
      <w:snapToGrid w:val="0"/>
      <w:color w:val="000000"/>
      <w:kern w:val="28"/>
      <w:sz w:val="28"/>
    </w:rPr>
  </w:style>
  <w:style w:type="character" w:customStyle="1" w:styleId="656">
    <w:name w:val="blue1"/>
    <w:basedOn w:val="70"/>
    <w:qFormat/>
    <w:uiPriority w:val="0"/>
    <w:rPr>
      <w:rFonts w:ascii="Arial" w:hAnsi="Arial" w:eastAsia="黑体" w:cs="Arial"/>
      <w:snapToGrid w:val="0"/>
      <w:kern w:val="0"/>
      <w:szCs w:val="21"/>
    </w:rPr>
  </w:style>
  <w:style w:type="character" w:customStyle="1" w:styleId="65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58">
    <w:name w:val="标书1 Char"/>
    <w:qFormat/>
    <w:uiPriority w:val="0"/>
    <w:rPr>
      <w:rFonts w:eastAsia="宋体"/>
      <w:b/>
      <w:bCs/>
      <w:kern w:val="44"/>
      <w:sz w:val="44"/>
      <w:szCs w:val="44"/>
      <w:lang w:val="en-US" w:eastAsia="zh-CN" w:bidi="ar-SA"/>
    </w:rPr>
  </w:style>
  <w:style w:type="character" w:customStyle="1" w:styleId="659">
    <w:name w:val="样式5 Char"/>
    <w:qFormat/>
    <w:uiPriority w:val="0"/>
    <w:rPr>
      <w:rFonts w:ascii="仿宋_GB2312" w:hAnsi="仿宋" w:eastAsia="仿宋_GB2312"/>
      <w:kern w:val="2"/>
      <w:sz w:val="24"/>
      <w:szCs w:val="24"/>
    </w:rPr>
  </w:style>
  <w:style w:type="character" w:customStyle="1" w:styleId="660">
    <w:name w:val="样式4 Char"/>
    <w:qFormat/>
    <w:uiPriority w:val="0"/>
    <w:rPr>
      <w:rFonts w:ascii="仿宋_GB2312" w:hAnsi="仿宋" w:eastAsia="仿宋_GB2312"/>
      <w:b/>
      <w:kern w:val="2"/>
      <w:sz w:val="32"/>
      <w:szCs w:val="32"/>
      <w:lang w:bidi="ar-SA"/>
    </w:rPr>
  </w:style>
  <w:style w:type="character" w:customStyle="1" w:styleId="661">
    <w:name w:val="插图说明 Char"/>
    <w:qFormat/>
    <w:uiPriority w:val="0"/>
    <w:rPr>
      <w:rFonts w:eastAsia="黑体"/>
      <w:sz w:val="24"/>
      <w:lang w:val="en-US" w:eastAsia="zh-CN"/>
    </w:rPr>
  </w:style>
  <w:style w:type="character" w:customStyle="1" w:styleId="662">
    <w:name w:val="正文2 Char Char"/>
    <w:link w:val="88"/>
    <w:qFormat/>
    <w:uiPriority w:val="0"/>
    <w:rPr>
      <w:rFonts w:eastAsia="宋体"/>
      <w:kern w:val="2"/>
      <w:sz w:val="24"/>
      <w:lang w:val="en-US" w:eastAsia="zh-CN" w:bidi="ar-SA"/>
    </w:rPr>
  </w:style>
  <w:style w:type="character" w:customStyle="1" w:styleId="663">
    <w:name w:val="Char Char24"/>
    <w:qFormat/>
    <w:uiPriority w:val="6"/>
    <w:rPr>
      <w:kern w:val="1"/>
      <w:sz w:val="21"/>
    </w:rPr>
  </w:style>
  <w:style w:type="character" w:customStyle="1" w:styleId="664">
    <w:name w:val="副标题 Char"/>
    <w:link w:val="48"/>
    <w:qFormat/>
    <w:uiPriority w:val="0"/>
    <w:rPr>
      <w:rFonts w:ascii="Arial" w:hAnsi="Arial" w:eastAsia="隶书"/>
      <w:b/>
      <w:bCs/>
      <w:kern w:val="28"/>
      <w:sz w:val="44"/>
      <w:szCs w:val="32"/>
      <w:lang w:val="en-US" w:eastAsia="zh-CN" w:bidi="ar-SA"/>
    </w:rPr>
  </w:style>
  <w:style w:type="character" w:customStyle="1" w:styleId="665">
    <w:name w:val="普通文字 Char1 Char"/>
    <w:qFormat/>
    <w:uiPriority w:val="0"/>
    <w:rPr>
      <w:rFonts w:ascii="宋体" w:hAnsi="Courier New" w:eastAsia="宋体"/>
      <w:kern w:val="2"/>
      <w:sz w:val="21"/>
      <w:szCs w:val="24"/>
      <w:lang w:val="en-US" w:eastAsia="zh-CN" w:bidi="ar-SA"/>
    </w:rPr>
  </w:style>
  <w:style w:type="character" w:customStyle="1" w:styleId="666">
    <w:name w:val="h3 Char1"/>
    <w:qFormat/>
    <w:uiPriority w:val="0"/>
    <w:rPr>
      <w:rFonts w:eastAsia="宋体"/>
      <w:b/>
      <w:bCs/>
      <w:kern w:val="2"/>
      <w:sz w:val="32"/>
      <w:szCs w:val="32"/>
      <w:lang w:bidi="ar-SA"/>
    </w:rPr>
  </w:style>
  <w:style w:type="character" w:customStyle="1" w:styleId="667">
    <w:name w:val="标题 Char1"/>
    <w:qFormat/>
    <w:uiPriority w:val="0"/>
    <w:rPr>
      <w:rFonts w:ascii="Cambria" w:hAnsi="Cambria" w:eastAsia="宋体" w:cs="Times New Roman"/>
      <w:b/>
      <w:bCs/>
      <w:sz w:val="32"/>
      <w:szCs w:val="32"/>
      <w:lang w:bidi="ar-SA"/>
    </w:rPr>
  </w:style>
  <w:style w:type="character" w:customStyle="1" w:styleId="668">
    <w:name w:val="gf正文1 Char"/>
    <w:qFormat/>
    <w:uiPriority w:val="0"/>
    <w:rPr>
      <w:rFonts w:ascii="宋体" w:hAnsi="宋体" w:eastAsia="宋体" w:cs="宋体"/>
      <w:kern w:val="2"/>
      <w:sz w:val="24"/>
      <w:szCs w:val="24"/>
      <w:lang w:val="en-US" w:eastAsia="zh-CN" w:bidi="ar-SA"/>
    </w:rPr>
  </w:style>
  <w:style w:type="character" w:customStyle="1" w:styleId="669">
    <w:name w:val="正文文本缩进 Char1"/>
    <w:qFormat/>
    <w:uiPriority w:val="0"/>
    <w:rPr>
      <w:rFonts w:ascii="Calibri" w:hAnsi="Calibri"/>
      <w:sz w:val="28"/>
    </w:rPr>
  </w:style>
  <w:style w:type="character" w:customStyle="1" w:styleId="670">
    <w:name w:val="No Spacing Char"/>
    <w:link w:val="89"/>
    <w:qFormat/>
    <w:uiPriority w:val="1"/>
    <w:rPr>
      <w:sz w:val="22"/>
      <w:szCs w:val="22"/>
      <w:lang w:val="en-US" w:eastAsia="zh-CN" w:bidi="ar-SA"/>
    </w:rPr>
  </w:style>
  <w:style w:type="character" w:customStyle="1" w:styleId="671">
    <w:name w:val="样式7 Char"/>
    <w:qFormat/>
    <w:uiPriority w:val="0"/>
    <w:rPr>
      <w:rFonts w:ascii="仿宋_GB2312" w:hAnsi="仿宋" w:eastAsia="仿宋_GB2312"/>
      <w:b/>
      <w:kern w:val="2"/>
      <w:sz w:val="24"/>
      <w:szCs w:val="24"/>
    </w:rPr>
  </w:style>
  <w:style w:type="character" w:customStyle="1" w:styleId="672">
    <w:name w:val="font12gray1"/>
    <w:qFormat/>
    <w:uiPriority w:val="0"/>
    <w:rPr>
      <w:rFonts w:ascii="仿宋_GB2312" w:eastAsia="微软雅黑"/>
      <w:b/>
      <w:spacing w:val="300"/>
      <w:kern w:val="2"/>
      <w:sz w:val="18"/>
      <w:szCs w:val="18"/>
      <w:lang w:val="en-US" w:eastAsia="zh-CN" w:bidi="ar-SA"/>
    </w:rPr>
  </w:style>
  <w:style w:type="character" w:customStyle="1" w:styleId="673">
    <w:name w:val="Char Char7"/>
    <w:semiHidden/>
    <w:qFormat/>
    <w:uiPriority w:val="0"/>
    <w:rPr>
      <w:rFonts w:eastAsia="宋体"/>
      <w:kern w:val="2"/>
      <w:sz w:val="21"/>
      <w:szCs w:val="24"/>
      <w:lang w:val="en-US" w:eastAsia="zh-CN" w:bidi="ar-SA"/>
    </w:rPr>
  </w:style>
  <w:style w:type="character" w:customStyle="1" w:styleId="674">
    <w:name w:val="表名 Char"/>
    <w:qFormat/>
    <w:uiPriority w:val="0"/>
    <w:rPr>
      <w:rFonts w:eastAsia="宋体"/>
      <w:b/>
      <w:bCs/>
      <w:kern w:val="2"/>
      <w:sz w:val="24"/>
      <w:szCs w:val="24"/>
      <w:lang w:val="en-US" w:eastAsia="zh-CN" w:bidi="ar-SA"/>
    </w:rPr>
  </w:style>
  <w:style w:type="character" w:customStyle="1" w:styleId="675">
    <w:name w:val="Document Map Char"/>
    <w:qFormat/>
    <w:locked/>
    <w:uiPriority w:val="0"/>
    <w:rPr>
      <w:rFonts w:eastAsia="宋体"/>
      <w:kern w:val="2"/>
      <w:sz w:val="21"/>
      <w:szCs w:val="24"/>
      <w:lang w:val="en-US" w:eastAsia="zh-CN" w:bidi="ar-SA"/>
    </w:rPr>
  </w:style>
  <w:style w:type="character" w:customStyle="1" w:styleId="676">
    <w:name w:val="font41"/>
    <w:qFormat/>
    <w:uiPriority w:val="0"/>
    <w:rPr>
      <w:rFonts w:hint="eastAsia" w:ascii="仿宋_GB2312" w:eastAsia="仿宋_GB2312" w:cs="仿宋_GB2312"/>
      <w:color w:val="000000"/>
      <w:sz w:val="22"/>
      <w:szCs w:val="22"/>
      <w:u w:val="none"/>
    </w:rPr>
  </w:style>
  <w:style w:type="character" w:customStyle="1" w:styleId="677">
    <w:name w:val="标题 6 Char"/>
    <w:link w:val="9"/>
    <w:qFormat/>
    <w:uiPriority w:val="0"/>
    <w:rPr>
      <w:rFonts w:ascii="Arial" w:hAnsi="Arial" w:eastAsia="黑体"/>
      <w:b/>
      <w:bCs/>
      <w:kern w:val="2"/>
      <w:sz w:val="24"/>
      <w:szCs w:val="24"/>
    </w:rPr>
  </w:style>
  <w:style w:type="character" w:customStyle="1" w:styleId="678">
    <w:name w:val="纯文本 Char_0"/>
    <w:link w:val="90"/>
    <w:qFormat/>
    <w:uiPriority w:val="0"/>
    <w:rPr>
      <w:rFonts w:ascii="宋体" w:hAnsi="Courier New"/>
      <w:kern w:val="2"/>
      <w:sz w:val="21"/>
      <w:szCs w:val="21"/>
      <w:lang w:val="en-US" w:eastAsia="zh-CN"/>
    </w:rPr>
  </w:style>
  <w:style w:type="character" w:customStyle="1" w:styleId="679">
    <w:name w:val="Balloon Text Char"/>
    <w:qFormat/>
    <w:locked/>
    <w:uiPriority w:val="0"/>
    <w:rPr>
      <w:rFonts w:eastAsia="宋体"/>
      <w:kern w:val="2"/>
      <w:sz w:val="18"/>
      <w:szCs w:val="18"/>
      <w:lang w:val="en-US" w:eastAsia="zh-CN" w:bidi="ar-SA"/>
    </w:rPr>
  </w:style>
  <w:style w:type="character" w:customStyle="1" w:styleId="680">
    <w:name w:val="正文 项目2 Char"/>
    <w:basedOn w:val="681"/>
    <w:qFormat/>
    <w:uiPriority w:val="0"/>
    <w:rPr>
      <w:rFonts w:ascii="仿宋_GB2312" w:hAnsi="仿宋_GB2312" w:eastAsia="仿宋_GB2312"/>
      <w:kern w:val="2"/>
      <w:sz w:val="24"/>
      <w:lang w:bidi="ar-SA"/>
    </w:rPr>
  </w:style>
  <w:style w:type="character" w:customStyle="1" w:styleId="681">
    <w:name w:val="正文 项目 Char"/>
    <w:qFormat/>
    <w:uiPriority w:val="0"/>
    <w:rPr>
      <w:rFonts w:ascii="仿宋_GB2312" w:hAnsi="仿宋_GB2312" w:eastAsia="仿宋_GB2312"/>
      <w:kern w:val="2"/>
      <w:sz w:val="24"/>
      <w:lang w:bidi="ar-SA"/>
    </w:rPr>
  </w:style>
  <w:style w:type="character" w:customStyle="1" w:styleId="682">
    <w:name w:val="h Char Char1"/>
    <w:qFormat/>
    <w:uiPriority w:val="0"/>
    <w:rPr>
      <w:rFonts w:eastAsia="宋体"/>
      <w:kern w:val="2"/>
      <w:sz w:val="18"/>
      <w:szCs w:val="18"/>
      <w:lang w:val="en-US" w:eastAsia="zh-CN" w:bidi="ar-SA"/>
    </w:rPr>
  </w:style>
  <w:style w:type="character" w:customStyle="1" w:styleId="683">
    <w:name w:val="Char Char27"/>
    <w:qFormat/>
    <w:uiPriority w:val="6"/>
    <w:rPr>
      <w:rFonts w:ascii="宋体" w:hAnsi="宋体" w:eastAsia="宋体"/>
      <w:color w:val="000000"/>
      <w:kern w:val="1"/>
      <w:sz w:val="28"/>
      <w:lang w:val="en-US" w:eastAsia="zh-CN" w:bidi="ar-SA"/>
    </w:rPr>
  </w:style>
  <w:style w:type="character" w:customStyle="1" w:styleId="684">
    <w:name w:val="px14"/>
    <w:qFormat/>
    <w:uiPriority w:val="0"/>
    <w:rPr>
      <w:rFonts w:ascii="仿宋_GB2312" w:eastAsia="微软雅黑" w:cs="Times New Roman"/>
      <w:b/>
      <w:kern w:val="2"/>
      <w:sz w:val="32"/>
      <w:szCs w:val="32"/>
      <w:lang w:val="en-US" w:eastAsia="zh-CN" w:bidi="ar-SA"/>
    </w:rPr>
  </w:style>
  <w:style w:type="character" w:customStyle="1" w:styleId="685">
    <w:name w:val="HTML 预设格式 Char1"/>
    <w:qFormat/>
    <w:uiPriority w:val="0"/>
    <w:rPr>
      <w:rFonts w:ascii="Courier New" w:hAnsi="Courier New" w:eastAsia="宋体" w:cs="Courier New"/>
      <w:sz w:val="20"/>
      <w:szCs w:val="20"/>
    </w:rPr>
  </w:style>
  <w:style w:type="character" w:customStyle="1" w:styleId="686">
    <w:name w:val="普通文字 Char1"/>
    <w:qFormat/>
    <w:uiPriority w:val="0"/>
    <w:rPr>
      <w:rFonts w:ascii="宋体" w:hAnsi="Courier New" w:eastAsia="宋体"/>
      <w:kern w:val="2"/>
      <w:sz w:val="21"/>
      <w:lang w:val="en-US" w:eastAsia="zh-CN"/>
    </w:rPr>
  </w:style>
  <w:style w:type="character" w:customStyle="1" w:styleId="687">
    <w:name w:val="hei16b1"/>
    <w:qFormat/>
    <w:uiPriority w:val="0"/>
    <w:rPr>
      <w:rFonts w:hint="default" w:ascii="Arial" w:hAnsi="Arial" w:cs="Arial"/>
      <w:b/>
      <w:bCs/>
      <w:color w:val="000000"/>
      <w:sz w:val="24"/>
      <w:szCs w:val="24"/>
    </w:rPr>
  </w:style>
  <w:style w:type="character" w:customStyle="1" w:styleId="688">
    <w:name w:val="正文（绿盟科技） Char"/>
    <w:link w:val="92"/>
    <w:qFormat/>
    <w:uiPriority w:val="0"/>
    <w:rPr>
      <w:rFonts w:ascii="Arial" w:hAnsi="Arial"/>
      <w:sz w:val="21"/>
      <w:szCs w:val="21"/>
    </w:rPr>
  </w:style>
  <w:style w:type="character" w:customStyle="1" w:styleId="689">
    <w:name w:val="Char Char19"/>
    <w:qFormat/>
    <w:uiPriority w:val="6"/>
    <w:rPr>
      <w:rFonts w:ascii="宋体" w:hAnsi="宋体"/>
      <w:i/>
      <w:sz w:val="24"/>
      <w:szCs w:val="24"/>
    </w:rPr>
  </w:style>
  <w:style w:type="character" w:customStyle="1" w:styleId="690">
    <w:name w:val="页脚 Char"/>
    <w:qFormat/>
    <w:uiPriority w:val="0"/>
    <w:rPr>
      <w:rFonts w:eastAsia="仿宋_GB2312"/>
      <w:kern w:val="2"/>
      <w:sz w:val="18"/>
      <w:lang w:val="en-US" w:eastAsia="zh-CN"/>
    </w:rPr>
  </w:style>
  <w:style w:type="character" w:customStyle="1" w:styleId="691">
    <w:name w:val="批注主题 Char"/>
    <w:qFormat/>
    <w:uiPriority w:val="0"/>
    <w:rPr>
      <w:rFonts w:eastAsia="宋体"/>
      <w:b/>
      <w:bCs/>
      <w:kern w:val="2"/>
      <w:sz w:val="21"/>
      <w:szCs w:val="24"/>
      <w:lang w:val="en-US" w:eastAsia="zh-CN" w:bidi="ar-SA"/>
    </w:rPr>
  </w:style>
  <w:style w:type="character" w:customStyle="1" w:styleId="692">
    <w:name w:val="Comment Text Char"/>
    <w:qFormat/>
    <w:locked/>
    <w:uiPriority w:val="0"/>
    <w:rPr>
      <w:rFonts w:ascii="宋体" w:hAnsi="宋体" w:eastAsia="宋体"/>
      <w:kern w:val="2"/>
      <w:sz w:val="24"/>
      <w:lang w:val="en-US" w:eastAsia="zh-CN" w:bidi="ar-SA"/>
    </w:rPr>
  </w:style>
  <w:style w:type="character" w:customStyle="1" w:styleId="693">
    <w:name w:val="标题 2 字符"/>
    <w:qFormat/>
    <w:uiPriority w:val="1"/>
    <w:rPr>
      <w:rFonts w:ascii="仿宋_GB2312" w:hAnsi="Times New Roman" w:eastAsia="仿宋_GB2312" w:cs="Times New Roman"/>
      <w:b/>
      <w:kern w:val="2"/>
      <w:sz w:val="24"/>
      <w:lang w:val="zh-CN"/>
    </w:rPr>
  </w:style>
  <w:style w:type="character" w:customStyle="1" w:styleId="694">
    <w:name w:val="Char Char72"/>
    <w:qFormat/>
    <w:uiPriority w:val="0"/>
    <w:rPr>
      <w:rFonts w:eastAsia="宋体"/>
      <w:kern w:val="2"/>
      <w:sz w:val="21"/>
      <w:szCs w:val="24"/>
      <w:lang w:val="en-US" w:eastAsia="zh-CN" w:bidi="ar-SA"/>
    </w:rPr>
  </w:style>
  <w:style w:type="character" w:customStyle="1" w:styleId="695">
    <w:name w:val="正文文本缩进 Char2"/>
    <w:qFormat/>
    <w:uiPriority w:val="0"/>
    <w:rPr>
      <w:rFonts w:ascii="Times New Roman" w:hAnsi="Times New Roman" w:eastAsia="宋体" w:cs="Times New Roman"/>
      <w:snapToGrid w:val="0"/>
      <w:kern w:val="0"/>
      <w:szCs w:val="24"/>
    </w:rPr>
  </w:style>
  <w:style w:type="character" w:customStyle="1" w:styleId="696">
    <w:name w:val="样式2 Char"/>
    <w:qFormat/>
    <w:uiPriority w:val="0"/>
    <w:rPr>
      <w:rFonts w:ascii="仿宋_GB2312" w:hAnsi="仿宋" w:eastAsia="仿宋_GB2312" w:cs="仿宋_GB2312"/>
      <w:b/>
      <w:bCs/>
      <w:sz w:val="32"/>
      <w:szCs w:val="30"/>
      <w:lang w:val="zh-CN"/>
    </w:rPr>
  </w:style>
  <w:style w:type="character" w:customStyle="1" w:styleId="697">
    <w:name w:val="表格名称[858D7CFB-ED40-4347-BF05-701D383B685F]"/>
    <w:link w:val="93"/>
    <w:qFormat/>
    <w:uiPriority w:val="0"/>
    <w:rPr>
      <w:sz w:val="32"/>
    </w:rPr>
  </w:style>
  <w:style w:type="character" w:customStyle="1" w:styleId="698">
    <w:name w:val="Char Char4"/>
    <w:qFormat/>
    <w:uiPriority w:val="0"/>
    <w:rPr>
      <w:rFonts w:eastAsia="宋体"/>
      <w:b/>
      <w:sz w:val="24"/>
      <w:lang w:eastAsia="zh-CN" w:bidi="ar-SA"/>
    </w:rPr>
  </w:style>
  <w:style w:type="character" w:customStyle="1" w:styleId="699">
    <w:name w:val="c7 style3"/>
    <w:qFormat/>
    <w:uiPriority w:val="0"/>
  </w:style>
  <w:style w:type="character" w:customStyle="1" w:styleId="700">
    <w:name w:val="正文文本 3 Char1"/>
    <w:semiHidden/>
    <w:qFormat/>
    <w:uiPriority w:val="99"/>
    <w:rPr>
      <w:rFonts w:ascii="Times New Roman" w:hAnsi="Times New Roman" w:eastAsia="宋体" w:cs="Times New Roman"/>
      <w:sz w:val="16"/>
      <w:szCs w:val="16"/>
    </w:rPr>
  </w:style>
  <w:style w:type="character" w:customStyle="1" w:styleId="701">
    <w:name w:val="tw4winInternal"/>
    <w:qFormat/>
    <w:uiPriority w:val="0"/>
    <w:rPr>
      <w:rFonts w:ascii="Courier New" w:hAnsi="Courier New" w:cs="Courier New"/>
      <w:color w:val="FF0000"/>
      <w:lang w:val="en-US" w:eastAsia="zh-CN"/>
    </w:rPr>
  </w:style>
  <w:style w:type="character" w:customStyle="1" w:styleId="702">
    <w:name w:val="Char Char10"/>
    <w:semiHidden/>
    <w:qFormat/>
    <w:uiPriority w:val="0"/>
    <w:rPr>
      <w:rFonts w:ascii="宋体" w:hAnsi="宋体"/>
      <w:kern w:val="2"/>
      <w:sz w:val="21"/>
      <w:szCs w:val="24"/>
      <w:lang w:val="en-US" w:eastAsia="zh-CN"/>
    </w:rPr>
  </w:style>
  <w:style w:type="character" w:customStyle="1" w:styleId="703">
    <w:name w:val="shadow11"/>
    <w:qFormat/>
    <w:uiPriority w:val="0"/>
    <w:rPr>
      <w:color w:val="000000"/>
      <w:sz w:val="21"/>
    </w:rPr>
  </w:style>
  <w:style w:type="character" w:customStyle="1" w:styleId="704">
    <w:name w:val="正文非缩进 Char3"/>
    <w:qFormat/>
    <w:uiPriority w:val="0"/>
    <w:rPr>
      <w:rFonts w:ascii="宋体" w:eastAsia="宋体"/>
      <w:snapToGrid w:val="0"/>
      <w:color w:val="000000"/>
      <w:kern w:val="28"/>
      <w:sz w:val="28"/>
      <w:lang w:val="en-US" w:eastAsia="zh-CN" w:bidi="ar-SA"/>
    </w:rPr>
  </w:style>
  <w:style w:type="character" w:customStyle="1" w:styleId="705">
    <w:name w:val="Char Char"/>
    <w:qFormat/>
    <w:uiPriority w:val="0"/>
    <w:rPr>
      <w:rFonts w:ascii="宋体" w:hAnsi="Courier New" w:eastAsia="宋体"/>
      <w:kern w:val="2"/>
      <w:sz w:val="21"/>
      <w:lang w:val="en-US" w:eastAsia="zh-CN" w:bidi="ar-SA"/>
    </w:rPr>
  </w:style>
  <w:style w:type="character" w:customStyle="1" w:styleId="706">
    <w:name w:val="签名 Char1"/>
    <w:qFormat/>
    <w:uiPriority w:val="0"/>
    <w:rPr>
      <w:rFonts w:ascii="Times New Roman" w:hAnsi="Times New Roman" w:eastAsia="宋体" w:cs="Times New Roman"/>
      <w:szCs w:val="24"/>
    </w:rPr>
  </w:style>
  <w:style w:type="character" w:customStyle="1" w:styleId="707">
    <w:name w:val="日期 Char"/>
    <w:link w:val="35"/>
    <w:qFormat/>
    <w:uiPriority w:val="0"/>
    <w:rPr>
      <w:rFonts w:ascii="宋体"/>
      <w:kern w:val="2"/>
      <w:sz w:val="24"/>
      <w:szCs w:val="21"/>
      <w:lang w:val="zh-CN"/>
    </w:rPr>
  </w:style>
  <w:style w:type="character" w:customStyle="1" w:styleId="708">
    <w:name w:val="标题 9 Char"/>
    <w:link w:val="12"/>
    <w:qFormat/>
    <w:uiPriority w:val="0"/>
    <w:rPr>
      <w:rFonts w:ascii="Arial" w:hAnsi="Arial" w:eastAsia="黑体"/>
      <w:kern w:val="2"/>
      <w:sz w:val="21"/>
      <w:szCs w:val="21"/>
    </w:rPr>
  </w:style>
  <w:style w:type="character" w:customStyle="1" w:styleId="709">
    <w:name w:val="Char Char18"/>
    <w:qFormat/>
    <w:uiPriority w:val="6"/>
    <w:rPr>
      <w:rFonts w:ascii="宋体" w:hAnsi="宋体"/>
      <w:sz w:val="28"/>
    </w:rPr>
  </w:style>
  <w:style w:type="character" w:customStyle="1" w:styleId="710">
    <w:name w:val="批注文字 Char"/>
    <w:qFormat/>
    <w:uiPriority w:val="99"/>
    <w:rPr>
      <w:kern w:val="2"/>
      <w:sz w:val="21"/>
      <w:szCs w:val="24"/>
    </w:rPr>
  </w:style>
  <w:style w:type="character" w:customStyle="1" w:styleId="711">
    <w:name w:val="Char Char22"/>
    <w:qFormat/>
    <w:uiPriority w:val="6"/>
    <w:rPr>
      <w:rFonts w:ascii="宋体" w:hAnsi="宋体"/>
      <w:kern w:val="1"/>
      <w:sz w:val="24"/>
      <w:szCs w:val="24"/>
    </w:rPr>
  </w:style>
  <w:style w:type="character" w:customStyle="1" w:styleId="712">
    <w:name w:val="pt141"/>
    <w:qFormat/>
    <w:uiPriority w:val="0"/>
    <w:rPr>
      <w:color w:val="330066"/>
      <w:sz w:val="22"/>
      <w:szCs w:val="22"/>
    </w:rPr>
  </w:style>
  <w:style w:type="character" w:customStyle="1" w:styleId="713">
    <w:name w:val="正文文本缩进 2 Char1"/>
    <w:semiHidden/>
    <w:qFormat/>
    <w:uiPriority w:val="99"/>
    <w:rPr>
      <w:rFonts w:ascii="Times New Roman" w:hAnsi="Times New Roman" w:eastAsia="宋体" w:cs="Times New Roman"/>
      <w:szCs w:val="24"/>
    </w:rPr>
  </w:style>
  <w:style w:type="character" w:customStyle="1" w:styleId="714">
    <w:name w:val="批注框文本 Char"/>
    <w:link w:val="40"/>
    <w:qFormat/>
    <w:uiPriority w:val="0"/>
    <w:rPr>
      <w:kern w:val="2"/>
      <w:sz w:val="18"/>
      <w:szCs w:val="18"/>
    </w:rPr>
  </w:style>
  <w:style w:type="character" w:customStyle="1" w:styleId="715">
    <w:name w:val="Char Char611"/>
    <w:qFormat/>
    <w:uiPriority w:val="0"/>
    <w:rPr>
      <w:rFonts w:eastAsia="宋体"/>
      <w:kern w:val="2"/>
      <w:sz w:val="21"/>
      <w:szCs w:val="24"/>
      <w:lang w:val="en-US" w:eastAsia="zh-CN" w:bidi="ar-SA"/>
    </w:rPr>
  </w:style>
  <w:style w:type="character" w:customStyle="1" w:styleId="716">
    <w:name w:val="highlight1"/>
    <w:qFormat/>
    <w:uiPriority w:val="0"/>
    <w:rPr>
      <w:rFonts w:ascii="仿宋_GB2312" w:eastAsia="微软雅黑"/>
      <w:b/>
      <w:kern w:val="2"/>
      <w:sz w:val="23"/>
      <w:szCs w:val="23"/>
      <w:lang w:val="en-US" w:eastAsia="zh-CN" w:bidi="ar-SA"/>
    </w:rPr>
  </w:style>
  <w:style w:type="character" w:customStyle="1" w:styleId="717">
    <w:name w:val="my正文 Char"/>
    <w:link w:val="94"/>
    <w:qFormat/>
    <w:locked/>
    <w:uiPriority w:val="0"/>
    <w:rPr>
      <w:rFonts w:ascii="Tahoma" w:hAnsi="Tahoma"/>
      <w:sz w:val="24"/>
      <w:szCs w:val="24"/>
    </w:rPr>
  </w:style>
  <w:style w:type="character" w:customStyle="1" w:styleId="718">
    <w:name w:val="正文缩进 Char2"/>
    <w:link w:val="7"/>
    <w:qFormat/>
    <w:uiPriority w:val="0"/>
    <w:rPr>
      <w:rFonts w:ascii="宋体" w:eastAsia="宋体"/>
      <w:snapToGrid w:val="0"/>
      <w:color w:val="000000"/>
      <w:kern w:val="28"/>
      <w:sz w:val="28"/>
      <w:lang w:val="en-US" w:eastAsia="zh-CN" w:bidi="ar-SA"/>
    </w:rPr>
  </w:style>
  <w:style w:type="character" w:customStyle="1" w:styleId="719">
    <w:name w:val="Used by Word for text of Help footnotes Char Char1"/>
    <w:qFormat/>
    <w:uiPriority w:val="0"/>
    <w:rPr>
      <w:color w:val="0000FF"/>
      <w:sz w:val="21"/>
    </w:rPr>
  </w:style>
  <w:style w:type="character" w:customStyle="1" w:styleId="720">
    <w:name w:val="页眉 Char"/>
    <w:qFormat/>
    <w:uiPriority w:val="0"/>
    <w:rPr>
      <w:rFonts w:eastAsia="仿宋_GB2312"/>
      <w:kern w:val="2"/>
      <w:sz w:val="18"/>
      <w:lang w:val="en-US" w:eastAsia="zh-CN"/>
    </w:rPr>
  </w:style>
  <w:style w:type="character" w:customStyle="1" w:styleId="721">
    <w:name w:val="FA正文 Char Char"/>
    <w:qFormat/>
    <w:uiPriority w:val="0"/>
    <w:rPr>
      <w:rFonts w:hAnsi="宋体"/>
      <w:kern w:val="2"/>
      <w:sz w:val="24"/>
      <w:lang w:bidi="ar-SA"/>
    </w:rPr>
  </w:style>
  <w:style w:type="character" w:customStyle="1" w:styleId="722">
    <w:name w:val="纯文本 字符"/>
    <w:qFormat/>
    <w:uiPriority w:val="0"/>
    <w:rPr>
      <w:rFonts w:ascii="宋体" w:hAnsi="Courier New" w:eastAsia="宋体" w:cs="Arial"/>
      <w:snapToGrid w:val="0"/>
      <w:kern w:val="2"/>
      <w:sz w:val="21"/>
      <w:szCs w:val="21"/>
      <w:lang w:val="en-US" w:eastAsia="zh-CN" w:bidi="ar-SA"/>
    </w:rPr>
  </w:style>
  <w:style w:type="character" w:customStyle="1" w:styleId="723">
    <w:name w:val="3级 Char"/>
    <w:link w:val="95"/>
    <w:qFormat/>
    <w:uiPriority w:val="0"/>
    <w:rPr>
      <w:rFonts w:ascii="宋体" w:hAnsi="宋体"/>
      <w:b/>
      <w:bCs/>
      <w:sz w:val="28"/>
    </w:rPr>
  </w:style>
  <w:style w:type="character" w:customStyle="1" w:styleId="724">
    <w:name w:val="myp11"/>
    <w:qFormat/>
    <w:uiPriority w:val="0"/>
    <w:rPr>
      <w:rFonts w:ascii="仿宋_GB2312" w:eastAsia="微软雅黑"/>
      <w:b/>
      <w:kern w:val="2"/>
      <w:sz w:val="32"/>
      <w:szCs w:val="32"/>
      <w:lang w:val="en-US" w:eastAsia="zh-CN" w:bidi="ar-SA"/>
    </w:rPr>
  </w:style>
  <w:style w:type="character" w:customStyle="1" w:styleId="725">
    <w:name w:val="文档结构图 Char1"/>
    <w:link w:val="19"/>
    <w:qFormat/>
    <w:uiPriority w:val="0"/>
    <w:rPr>
      <w:kern w:val="2"/>
      <w:sz w:val="21"/>
      <w:szCs w:val="24"/>
      <w:shd w:val="clear" w:color="auto" w:fill="000080"/>
    </w:rPr>
  </w:style>
  <w:style w:type="character" w:customStyle="1" w:styleId="726">
    <w:name w:val="H6 Char"/>
    <w:qFormat/>
    <w:uiPriority w:val="0"/>
    <w:rPr>
      <w:rFonts w:ascii="Arial" w:hAnsi="Arial" w:eastAsia="黑体"/>
      <w:b/>
      <w:bCs/>
      <w:kern w:val="2"/>
      <w:sz w:val="24"/>
      <w:szCs w:val="24"/>
    </w:rPr>
  </w:style>
  <w:style w:type="character" w:customStyle="1" w:styleId="727">
    <w:name w:val="Char Char91"/>
    <w:qFormat/>
    <w:uiPriority w:val="0"/>
    <w:rPr>
      <w:rFonts w:eastAsia="宋体"/>
      <w:kern w:val="2"/>
      <w:sz w:val="18"/>
      <w:szCs w:val="18"/>
      <w:lang w:val="en-US" w:eastAsia="zh-CN" w:bidi="ar-SA"/>
    </w:rPr>
  </w:style>
  <w:style w:type="character" w:customStyle="1" w:styleId="728">
    <w:name w:val="副标题 Char1"/>
    <w:qFormat/>
    <w:uiPriority w:val="0"/>
    <w:rPr>
      <w:rFonts w:ascii="Cambria" w:hAnsi="Cambria" w:eastAsia="宋体" w:cs="Times New Roman"/>
      <w:b/>
      <w:bCs/>
      <w:snapToGrid w:val="0"/>
      <w:kern w:val="28"/>
      <w:sz w:val="32"/>
      <w:szCs w:val="32"/>
    </w:rPr>
  </w:style>
  <w:style w:type="character" w:customStyle="1" w:styleId="729">
    <w:name w:val="font61"/>
    <w:qFormat/>
    <w:uiPriority w:val="0"/>
    <w:rPr>
      <w:rFonts w:hint="eastAsia" w:ascii="仿宋" w:hAnsi="仿宋" w:eastAsia="仿宋" w:cs="仿宋"/>
      <w:color w:val="000000"/>
      <w:sz w:val="20"/>
      <w:szCs w:val="20"/>
      <w:u w:val="none"/>
    </w:rPr>
  </w:style>
  <w:style w:type="character" w:customStyle="1" w:styleId="7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1">
    <w:name w:val="Char Char211"/>
    <w:qFormat/>
    <w:uiPriority w:val="0"/>
    <w:rPr>
      <w:rFonts w:eastAsia="宋体"/>
      <w:b/>
      <w:bCs/>
      <w:kern w:val="2"/>
      <w:sz w:val="21"/>
      <w:szCs w:val="24"/>
      <w:lang w:val="en-US" w:eastAsia="zh-CN" w:bidi="ar-SA"/>
    </w:rPr>
  </w:style>
  <w:style w:type="character" w:customStyle="1" w:styleId="732">
    <w:name w:val="标题 2 Char"/>
    <w:qFormat/>
    <w:uiPriority w:val="0"/>
    <w:rPr>
      <w:rFonts w:ascii="Arial" w:hAnsi="Arial" w:eastAsia="黑体"/>
      <w:b/>
      <w:kern w:val="2"/>
      <w:sz w:val="32"/>
      <w:lang w:val="en-US" w:eastAsia="zh-CN"/>
    </w:rPr>
  </w:style>
  <w:style w:type="character" w:customStyle="1" w:styleId="733">
    <w:name w:val="maywed421"/>
    <w:qFormat/>
    <w:uiPriority w:val="0"/>
    <w:rPr>
      <w:color w:val="366FB6"/>
      <w:u w:val="none"/>
    </w:rPr>
  </w:style>
  <w:style w:type="character" w:customStyle="1" w:styleId="734">
    <w:name w:val="正文文本缩进 Char"/>
    <w:qFormat/>
    <w:uiPriority w:val="0"/>
    <w:rPr>
      <w:rFonts w:ascii="宋体" w:hAnsi="宋体"/>
      <w:kern w:val="2"/>
      <w:sz w:val="24"/>
      <w:szCs w:val="24"/>
    </w:rPr>
  </w:style>
  <w:style w:type="character" w:customStyle="1" w:styleId="735">
    <w:name w:val="Char Char102"/>
    <w:semiHidden/>
    <w:qFormat/>
    <w:uiPriority w:val="0"/>
    <w:rPr>
      <w:rFonts w:ascii="宋体" w:hAnsi="宋体"/>
      <w:kern w:val="2"/>
      <w:sz w:val="21"/>
      <w:szCs w:val="24"/>
      <w:lang w:val="en-US" w:eastAsia="zh-CN"/>
    </w:rPr>
  </w:style>
  <w:style w:type="character" w:customStyle="1" w:styleId="736">
    <w:name w:val="页眉 Char1"/>
    <w:qFormat/>
    <w:uiPriority w:val="0"/>
    <w:rPr>
      <w:rFonts w:eastAsia="宋体"/>
      <w:kern w:val="2"/>
      <w:sz w:val="18"/>
      <w:szCs w:val="18"/>
      <w:lang w:val="en-US" w:eastAsia="zh-CN" w:bidi="ar-SA"/>
    </w:rPr>
  </w:style>
  <w:style w:type="character" w:customStyle="1" w:styleId="737">
    <w:name w:val="md"/>
    <w:basedOn w:val="70"/>
    <w:qFormat/>
    <w:uiPriority w:val="0"/>
    <w:rPr>
      <w:rFonts w:ascii="Arial" w:hAnsi="Arial" w:eastAsia="黑体" w:cs="Arial"/>
      <w:snapToGrid w:val="0"/>
      <w:kern w:val="0"/>
      <w:szCs w:val="21"/>
    </w:rPr>
  </w:style>
  <w:style w:type="character" w:customStyle="1" w:styleId="738">
    <w:name w:val="big1"/>
    <w:qFormat/>
    <w:uiPriority w:val="0"/>
    <w:rPr>
      <w:rFonts w:hint="eastAsia" w:ascii="宋体" w:hAnsi="宋体" w:eastAsia="宋体"/>
      <w:color w:val="333333"/>
      <w:sz w:val="22"/>
      <w:szCs w:val="22"/>
    </w:rPr>
  </w:style>
  <w:style w:type="character" w:customStyle="1" w:styleId="739">
    <w:name w:val="Char Char311"/>
    <w:qFormat/>
    <w:uiPriority w:val="0"/>
    <w:rPr>
      <w:rFonts w:eastAsia="宋体"/>
      <w:kern w:val="2"/>
      <w:sz w:val="21"/>
      <w:szCs w:val="24"/>
      <w:lang w:val="en-US" w:eastAsia="zh-CN" w:bidi="ar-SA"/>
    </w:rPr>
  </w:style>
  <w:style w:type="character" w:customStyle="1" w:styleId="740">
    <w:name w:val="Char Char81"/>
    <w:qFormat/>
    <w:uiPriority w:val="6"/>
    <w:rPr>
      <w:rFonts w:eastAsia="宋体"/>
      <w:b/>
      <w:sz w:val="24"/>
      <w:lang w:eastAsia="zh-CN"/>
    </w:rPr>
  </w:style>
  <w:style w:type="character" w:customStyle="1" w:styleId="741">
    <w:name w:val="样式3 Char"/>
    <w:basedOn w:val="696"/>
    <w:qFormat/>
    <w:uiPriority w:val="0"/>
    <w:rPr>
      <w:rFonts w:ascii="仿宋_GB2312" w:hAnsi="仿宋" w:eastAsia="仿宋_GB2312" w:cs="仿宋_GB2312"/>
      <w:sz w:val="32"/>
      <w:szCs w:val="30"/>
      <w:lang w:val="zh-CN"/>
    </w:rPr>
  </w:style>
  <w:style w:type="character" w:customStyle="1" w:styleId="742">
    <w:name w:val="HTML 地址 Char"/>
    <w:link w:val="31"/>
    <w:qFormat/>
    <w:uiPriority w:val="0"/>
    <w:rPr>
      <w:rFonts w:ascii="宋体" w:hAnsi="宋体"/>
      <w:i/>
      <w:iCs/>
      <w:sz w:val="24"/>
      <w:szCs w:val="24"/>
    </w:rPr>
  </w:style>
  <w:style w:type="character" w:customStyle="1" w:styleId="743">
    <w:name w:val="正文首行缩进 2 Char1"/>
    <w:qFormat/>
    <w:uiPriority w:val="0"/>
    <w:rPr>
      <w:rFonts w:ascii="Times New Roman" w:hAnsi="Times New Roman" w:eastAsia="宋体" w:cs="Times New Roman"/>
      <w:kern w:val="2"/>
      <w:sz w:val="24"/>
      <w:szCs w:val="24"/>
    </w:rPr>
  </w:style>
  <w:style w:type="character" w:customStyle="1" w:styleId="744">
    <w:name w:val="副标题 Char2"/>
    <w:qFormat/>
    <w:uiPriority w:val="0"/>
    <w:rPr>
      <w:rFonts w:ascii="Cambria" w:hAnsi="Cambria" w:eastAsia="宋体" w:cs="Times New Roman"/>
      <w:b/>
      <w:bCs/>
      <w:snapToGrid w:val="0"/>
      <w:kern w:val="28"/>
      <w:sz w:val="32"/>
      <w:szCs w:val="32"/>
    </w:rPr>
  </w:style>
  <w:style w:type="character" w:customStyle="1" w:styleId="745">
    <w:name w:val="标题4-dyf Char"/>
    <w:link w:val="97"/>
    <w:qFormat/>
    <w:uiPriority w:val="0"/>
    <w:rPr>
      <w:rFonts w:ascii="Cambria" w:hAnsi="Cambria"/>
      <w:b/>
      <w:bCs/>
      <w:color w:val="000000"/>
      <w:kern w:val="2"/>
      <w:sz w:val="21"/>
      <w:szCs w:val="21"/>
    </w:rPr>
  </w:style>
  <w:style w:type="character" w:customStyle="1" w:styleId="746">
    <w:name w:val="dectext1"/>
    <w:qFormat/>
    <w:uiPriority w:val="0"/>
    <w:rPr>
      <w:rFonts w:ascii="宋体" w:hAnsi="宋体" w:eastAsia="宋体"/>
      <w:color w:val="333333"/>
      <w:sz w:val="21"/>
      <w:szCs w:val="21"/>
      <w:u w:val="none"/>
    </w:rPr>
  </w:style>
  <w:style w:type="character" w:customStyle="1" w:styleId="747">
    <w:name w:val="冯 Char"/>
    <w:link w:val="98"/>
    <w:qFormat/>
    <w:uiPriority w:val="0"/>
    <w:rPr>
      <w:rFonts w:ascii="宋体" w:hAnsi="宋体"/>
      <w:color w:val="000000"/>
      <w:sz w:val="24"/>
      <w:szCs w:val="24"/>
    </w:rPr>
  </w:style>
  <w:style w:type="character" w:customStyle="1" w:styleId="748">
    <w:name w:val="Header Char"/>
    <w:qFormat/>
    <w:locked/>
    <w:uiPriority w:val="0"/>
    <w:rPr>
      <w:rFonts w:eastAsia="宋体"/>
      <w:kern w:val="2"/>
      <w:sz w:val="18"/>
      <w:szCs w:val="18"/>
      <w:lang w:val="en-US" w:eastAsia="zh-CN" w:bidi="ar-SA"/>
    </w:rPr>
  </w:style>
  <w:style w:type="character" w:customStyle="1" w:styleId="749">
    <w:name w:val="Char Char12"/>
    <w:qFormat/>
    <w:uiPriority w:val="0"/>
    <w:rPr>
      <w:rFonts w:ascii="仿宋_GB2312" w:eastAsia="仿宋_GB2312"/>
      <w:b/>
      <w:bCs/>
      <w:kern w:val="2"/>
      <w:sz w:val="24"/>
      <w:szCs w:val="24"/>
      <w:lang w:val="zh-CN" w:eastAsia="zh-CN" w:bidi="ar-SA"/>
    </w:rPr>
  </w:style>
  <w:style w:type="character" w:customStyle="1" w:styleId="750">
    <w:name w:val="题注 Char"/>
    <w:link w:val="17"/>
    <w:qFormat/>
    <w:uiPriority w:val="0"/>
    <w:rPr>
      <w:b/>
      <w:kern w:val="2"/>
      <w:sz w:val="28"/>
    </w:rPr>
  </w:style>
  <w:style w:type="character" w:customStyle="1" w:styleId="751">
    <w:name w:val="普通文字 Char3"/>
    <w:qFormat/>
    <w:uiPriority w:val="0"/>
    <w:rPr>
      <w:rFonts w:ascii="宋体" w:hAnsi="Courier New" w:eastAsia="宋体"/>
      <w:kern w:val="2"/>
      <w:sz w:val="21"/>
      <w:lang w:val="en-US" w:eastAsia="zh-CN" w:bidi="ar-SA"/>
    </w:rPr>
  </w:style>
  <w:style w:type="character" w:customStyle="1" w:styleId="752">
    <w:name w:val="公文正文 Char"/>
    <w:qFormat/>
    <w:uiPriority w:val="0"/>
    <w:rPr>
      <w:rFonts w:ascii="仿宋_GB2312" w:eastAsia="仿宋_GB2312"/>
      <w:kern w:val="2"/>
      <w:sz w:val="24"/>
      <w:szCs w:val="24"/>
      <w:lang w:val="en-US" w:eastAsia="zh-CN" w:bidi="ar-SA"/>
    </w:rPr>
  </w:style>
  <w:style w:type="character" w:customStyle="1" w:styleId="753">
    <w:name w:val="正文首行缩进 Char Char Char Char Char"/>
    <w:qFormat/>
    <w:uiPriority w:val="0"/>
    <w:rPr>
      <w:rFonts w:ascii="宋体"/>
      <w:kern w:val="2"/>
      <w:sz w:val="24"/>
      <w:lang w:val="zh-CN"/>
    </w:rPr>
  </w:style>
  <w:style w:type="character" w:customStyle="1" w:styleId="754">
    <w:name w:val="PI Char"/>
    <w:qFormat/>
    <w:uiPriority w:val="0"/>
    <w:rPr>
      <w:rFonts w:ascii="宋体" w:hAnsi="宋体" w:eastAsia="宋体"/>
      <w:kern w:val="2"/>
      <w:sz w:val="24"/>
      <w:szCs w:val="24"/>
      <w:lang w:val="en-US" w:eastAsia="zh-CN" w:bidi="ar-SA"/>
    </w:rPr>
  </w:style>
  <w:style w:type="character" w:customStyle="1" w:styleId="755">
    <w:name w:val="Default Char"/>
    <w:link w:val="99"/>
    <w:qFormat/>
    <w:uiPriority w:val="0"/>
    <w:rPr>
      <w:rFonts w:ascii="仿宋_GB2312" w:eastAsia="仿宋_GB2312" w:cs="仿宋_GB2312"/>
      <w:color w:val="000000"/>
      <w:sz w:val="24"/>
      <w:szCs w:val="24"/>
      <w:lang w:val="en-US" w:eastAsia="zh-CN" w:bidi="ar-SA"/>
    </w:rPr>
  </w:style>
  <w:style w:type="character" w:customStyle="1" w:styleId="756">
    <w:name w:val="style91"/>
    <w:qFormat/>
    <w:uiPriority w:val="0"/>
    <w:rPr>
      <w:color w:val="333333"/>
    </w:rPr>
  </w:style>
  <w:style w:type="character" w:customStyle="1" w:styleId="757">
    <w:name w:val="列出段落 Char2"/>
    <w:qFormat/>
    <w:uiPriority w:val="34"/>
    <w:rPr>
      <w:rFonts w:ascii="Calibri" w:hAnsi="Calibri"/>
      <w:kern w:val="2"/>
      <w:sz w:val="28"/>
    </w:rPr>
  </w:style>
  <w:style w:type="character" w:customStyle="1" w:styleId="758">
    <w:name w:val="mdeck"/>
    <w:qFormat/>
    <w:uiPriority w:val="0"/>
    <w:rPr>
      <w:rFonts w:ascii="仿宋_GB2312" w:eastAsia="微软雅黑"/>
      <w:b/>
      <w:kern w:val="2"/>
      <w:sz w:val="32"/>
      <w:szCs w:val="32"/>
      <w:lang w:val="en-US" w:eastAsia="zh-CN" w:bidi="ar-SA"/>
    </w:rPr>
  </w:style>
  <w:style w:type="character" w:customStyle="1" w:styleId="759">
    <w:name w:val="unnamed11"/>
    <w:qFormat/>
    <w:uiPriority w:val="0"/>
    <w:rPr>
      <w:sz w:val="20"/>
      <w:szCs w:val="20"/>
    </w:rPr>
  </w:style>
  <w:style w:type="character" w:customStyle="1" w:styleId="760">
    <w:name w:val="正文文本 Char2"/>
    <w:semiHidden/>
    <w:qFormat/>
    <w:uiPriority w:val="99"/>
    <w:rPr>
      <w:rFonts w:ascii="Times New Roman" w:hAnsi="Times New Roman" w:eastAsia="宋体" w:cs="Times New Roman"/>
      <w:snapToGrid w:val="0"/>
      <w:kern w:val="0"/>
      <w:szCs w:val="24"/>
    </w:rPr>
  </w:style>
  <w:style w:type="character" w:customStyle="1" w:styleId="761">
    <w:name w:val="标书正文格式 Char"/>
    <w:qFormat/>
    <w:uiPriority w:val="0"/>
    <w:rPr>
      <w:rFonts w:eastAsia="楷体_GB2312"/>
      <w:kern w:val="2"/>
      <w:sz w:val="24"/>
      <w:szCs w:val="24"/>
      <w:lang w:bidi="ar-SA"/>
    </w:rPr>
  </w:style>
  <w:style w:type="character" w:customStyle="1" w:styleId="762">
    <w:name w:val="Char Char11"/>
    <w:qFormat/>
    <w:locked/>
    <w:uiPriority w:val="0"/>
    <w:rPr>
      <w:rFonts w:ascii="宋体" w:hAnsi="宋体" w:eastAsia="宋体"/>
      <w:b/>
      <w:kern w:val="2"/>
      <w:sz w:val="24"/>
      <w:szCs w:val="24"/>
      <w:lang w:val="en-US" w:eastAsia="zh-CN" w:bidi="ar-SA"/>
    </w:rPr>
  </w:style>
  <w:style w:type="character" w:customStyle="1" w:styleId="763">
    <w:name w:val="ca-131"/>
    <w:qFormat/>
    <w:uiPriority w:val="0"/>
    <w:rPr>
      <w:rFonts w:hint="eastAsia" w:ascii="仿宋_GB2312" w:eastAsia="仿宋_GB2312"/>
      <w:b/>
      <w:bCs/>
      <w:color w:val="000000"/>
      <w:spacing w:val="-20"/>
      <w:sz w:val="24"/>
      <w:szCs w:val="24"/>
    </w:rPr>
  </w:style>
  <w:style w:type="character" w:customStyle="1" w:styleId="764">
    <w:name w:val="tw4winMark"/>
    <w:qFormat/>
    <w:uiPriority w:val="0"/>
    <w:rPr>
      <w:rFonts w:ascii="Courier New" w:hAnsi="Courier New" w:cs="Courier New"/>
      <w:vanish/>
      <w:color w:val="800080"/>
      <w:sz w:val="24"/>
      <w:szCs w:val="24"/>
      <w:vertAlign w:val="subscript"/>
    </w:rPr>
  </w:style>
  <w:style w:type="character" w:customStyle="1" w:styleId="765">
    <w:name w:val="正文样式 Char"/>
    <w:link w:val="100"/>
    <w:qFormat/>
    <w:uiPriority w:val="0"/>
    <w:rPr>
      <w:rFonts w:ascii="Calibri" w:hAnsi="Calibri"/>
      <w:sz w:val="24"/>
      <w:szCs w:val="24"/>
    </w:rPr>
  </w:style>
  <w:style w:type="character" w:customStyle="1" w:styleId="766">
    <w:name w:val="表正文 Char3"/>
    <w:qFormat/>
    <w:uiPriority w:val="0"/>
    <w:rPr>
      <w:rFonts w:eastAsia="宋体"/>
    </w:rPr>
  </w:style>
  <w:style w:type="character" w:customStyle="1" w:styleId="767">
    <w:name w:val="H5 Char"/>
    <w:qFormat/>
    <w:uiPriority w:val="0"/>
    <w:rPr>
      <w:b/>
      <w:bCs/>
      <w:kern w:val="2"/>
      <w:sz w:val="28"/>
      <w:szCs w:val="28"/>
    </w:rPr>
  </w:style>
  <w:style w:type="character" w:customStyle="1" w:styleId="768">
    <w:name w:val="Char Char3"/>
    <w:qFormat/>
    <w:uiPriority w:val="0"/>
    <w:rPr>
      <w:rFonts w:eastAsia="宋体"/>
      <w:kern w:val="2"/>
      <w:sz w:val="21"/>
      <w:szCs w:val="24"/>
      <w:lang w:val="en-US" w:eastAsia="zh-CN" w:bidi="ar-SA"/>
    </w:rPr>
  </w:style>
  <w:style w:type="character" w:customStyle="1" w:styleId="769">
    <w:name w:val="正文 编号 Char"/>
    <w:qFormat/>
    <w:uiPriority w:val="0"/>
    <w:rPr>
      <w:rFonts w:ascii="仿宋_GB2312" w:hAnsi="仿宋_GB2312" w:eastAsia="仿宋_GB2312"/>
      <w:kern w:val="2"/>
      <w:sz w:val="24"/>
      <w:lang w:bidi="ar-SA"/>
    </w:rPr>
  </w:style>
  <w:style w:type="character" w:customStyle="1" w:styleId="770">
    <w:name w:val="question-title2"/>
    <w:qFormat/>
    <w:uiPriority w:val="6"/>
    <w:rPr>
      <w:rFonts w:ascii="Arial" w:hAnsi="Arial" w:eastAsia="黑体" w:cs="Arial"/>
      <w:snapToGrid w:val="0"/>
      <w:kern w:val="0"/>
      <w:szCs w:val="21"/>
    </w:rPr>
  </w:style>
  <w:style w:type="character" w:customStyle="1" w:styleId="771">
    <w:name w:val="gf正文1 Char Char"/>
    <w:link w:val="101"/>
    <w:qFormat/>
    <w:uiPriority w:val="0"/>
    <w:rPr>
      <w:rFonts w:ascii="宋体" w:hAnsi="宋体" w:cs="宋体"/>
      <w:kern w:val="2"/>
      <w:sz w:val="24"/>
      <w:szCs w:val="24"/>
    </w:rPr>
  </w:style>
  <w:style w:type="character" w:customStyle="1" w:styleId="772">
    <w:name w:val="Char Char15"/>
    <w:qFormat/>
    <w:uiPriority w:val="6"/>
    <w:rPr>
      <w:rFonts w:ascii="宋体" w:hAnsi="宋体"/>
      <w:kern w:val="1"/>
      <w:sz w:val="21"/>
    </w:rPr>
  </w:style>
  <w:style w:type="character" w:customStyle="1" w:styleId="773">
    <w:name w:val="正文缩进 Char3"/>
    <w:qFormat/>
    <w:uiPriority w:val="0"/>
    <w:rPr>
      <w:rFonts w:ascii="宋体" w:eastAsia="宋体"/>
      <w:snapToGrid w:val="0"/>
      <w:color w:val="000000"/>
      <w:kern w:val="28"/>
      <w:sz w:val="28"/>
      <w:lang w:val="en-US" w:eastAsia="zh-CN" w:bidi="ar-SA"/>
    </w:rPr>
  </w:style>
  <w:style w:type="character" w:customStyle="1" w:styleId="774">
    <w:name w:val="列出段落 Char1"/>
    <w:link w:val="102"/>
    <w:qFormat/>
    <w:uiPriority w:val="0"/>
    <w:rPr>
      <w:rFonts w:ascii="Calibri" w:hAnsi="Calibri"/>
      <w:sz w:val="24"/>
      <w:lang w:eastAsia="en-US"/>
    </w:rPr>
  </w:style>
  <w:style w:type="character" w:customStyle="1" w:styleId="775">
    <w:name w:val="Char Char8"/>
    <w:qFormat/>
    <w:uiPriority w:val="0"/>
    <w:rPr>
      <w:rFonts w:eastAsia="宋体"/>
      <w:b/>
      <w:sz w:val="24"/>
      <w:lang w:eastAsia="zh-CN"/>
    </w:rPr>
  </w:style>
  <w:style w:type="character" w:customStyle="1" w:styleId="776">
    <w:name w:val="Normal Indent Char Char"/>
    <w:qFormat/>
    <w:uiPriority w:val="0"/>
    <w:rPr>
      <w:rFonts w:eastAsia="宋体"/>
      <w:kern w:val="2"/>
      <w:sz w:val="21"/>
      <w:lang w:val="en-US" w:eastAsia="zh-CN" w:bidi="ar-SA"/>
    </w:rPr>
  </w:style>
  <w:style w:type="character" w:customStyle="1" w:styleId="777">
    <w:name w:val="列表段落 字符"/>
    <w:qFormat/>
    <w:uiPriority w:val="99"/>
  </w:style>
  <w:style w:type="character" w:customStyle="1" w:styleId="778">
    <w:name w:val="Ò³Ã¼ Char Char1"/>
    <w:qFormat/>
    <w:uiPriority w:val="0"/>
    <w:rPr>
      <w:rFonts w:eastAsia="宋体"/>
      <w:kern w:val="2"/>
      <w:sz w:val="18"/>
      <w:szCs w:val="18"/>
      <w:lang w:val="en-US" w:eastAsia="zh-CN" w:bidi="ar-SA"/>
    </w:rPr>
  </w:style>
  <w:style w:type="character" w:customStyle="1" w:styleId="779">
    <w:name w:val="方案正文 Char"/>
    <w:qFormat/>
    <w:uiPriority w:val="0"/>
    <w:rPr>
      <w:rFonts w:ascii="仿宋_GB2312" w:eastAsia="仿宋_GB2312"/>
      <w:b/>
      <w:color w:val="000000"/>
      <w:kern w:val="2"/>
      <w:sz w:val="24"/>
      <w:lang w:val="en-US" w:eastAsia="zh-CN" w:bidi="ar-SA"/>
    </w:rPr>
  </w:style>
  <w:style w:type="character" w:customStyle="1" w:styleId="780">
    <w:name w:val="Char Char30"/>
    <w:qFormat/>
    <w:uiPriority w:val="6"/>
    <w:rPr>
      <w:rFonts w:ascii="Arial" w:hAnsi="Arial" w:eastAsia="黑体"/>
      <w:kern w:val="1"/>
      <w:sz w:val="21"/>
      <w:szCs w:val="21"/>
    </w:rPr>
  </w:style>
  <w:style w:type="character" w:customStyle="1" w:styleId="781">
    <w:name w:val="正文文本缩进 Char3"/>
    <w:link w:val="25"/>
    <w:qFormat/>
    <w:uiPriority w:val="0"/>
    <w:rPr>
      <w:rFonts w:ascii="宋体" w:hAnsi="宋体"/>
      <w:kern w:val="2"/>
      <w:sz w:val="24"/>
      <w:szCs w:val="24"/>
    </w:rPr>
  </w:style>
  <w:style w:type="character" w:customStyle="1" w:styleId="782">
    <w:name w:val="font01"/>
    <w:qFormat/>
    <w:uiPriority w:val="0"/>
    <w:rPr>
      <w:rFonts w:hint="eastAsia" w:ascii="微软雅黑" w:hAnsi="微软雅黑" w:eastAsia="微软雅黑" w:cs="微软雅黑"/>
      <w:color w:val="000000"/>
      <w:sz w:val="20"/>
      <w:szCs w:val="20"/>
      <w:u w:val="none"/>
    </w:rPr>
  </w:style>
  <w:style w:type="character" w:customStyle="1" w:styleId="783">
    <w:name w:val="Char Char20"/>
    <w:qFormat/>
    <w:uiPriority w:val="6"/>
    <w:rPr>
      <w:kern w:val="1"/>
      <w:sz w:val="24"/>
    </w:rPr>
  </w:style>
  <w:style w:type="character" w:customStyle="1" w:styleId="784">
    <w:name w:val="tw4winExternal"/>
    <w:qFormat/>
    <w:uiPriority w:val="0"/>
    <w:rPr>
      <w:rFonts w:ascii="Courier New" w:hAnsi="Courier New" w:cs="Courier New"/>
      <w:color w:val="808080"/>
      <w:lang w:val="en-US" w:eastAsia="zh-CN"/>
    </w:rPr>
  </w:style>
  <w:style w:type="character" w:customStyle="1" w:styleId="785">
    <w:name w:val="标题 4 Char1"/>
    <w:qFormat/>
    <w:uiPriority w:val="9"/>
    <w:rPr>
      <w:rFonts w:ascii="Cambria" w:hAnsi="Cambria" w:eastAsia="宋体" w:cs="Times New Roman"/>
      <w:b/>
      <w:bCs/>
      <w:kern w:val="2"/>
      <w:sz w:val="28"/>
      <w:szCs w:val="28"/>
    </w:rPr>
  </w:style>
  <w:style w:type="character" w:customStyle="1" w:styleId="786">
    <w:name w:val="批注文字 Char2"/>
    <w:qFormat/>
    <w:uiPriority w:val="99"/>
    <w:rPr>
      <w:rFonts w:ascii="Times New Roman" w:hAnsi="Times New Roman" w:eastAsia="宋体" w:cs="Times New Roman"/>
      <w:snapToGrid w:val="0"/>
      <w:kern w:val="0"/>
      <w:szCs w:val="24"/>
    </w:rPr>
  </w:style>
  <w:style w:type="character" w:customStyle="1" w:styleId="787">
    <w:name w:val="正文文本 2 Char"/>
    <w:qFormat/>
    <w:uiPriority w:val="0"/>
    <w:rPr>
      <w:rFonts w:eastAsia="宋体"/>
      <w:kern w:val="2"/>
      <w:sz w:val="21"/>
      <w:szCs w:val="24"/>
      <w:lang w:val="en-US" w:eastAsia="zh-CN" w:bidi="ar-SA"/>
    </w:rPr>
  </w:style>
  <w:style w:type="character" w:customStyle="1" w:styleId="788">
    <w:name w:val="Ò³Ã¼ Char Char"/>
    <w:qFormat/>
    <w:uiPriority w:val="0"/>
    <w:rPr>
      <w:rFonts w:eastAsia="宋体"/>
      <w:kern w:val="2"/>
      <w:sz w:val="18"/>
      <w:lang w:val="en-US" w:eastAsia="zh-CN" w:bidi="ar-SA"/>
    </w:rPr>
  </w:style>
  <w:style w:type="character" w:customStyle="1" w:styleId="789">
    <w:name w:val="message1"/>
    <w:qFormat/>
    <w:uiPriority w:val="0"/>
    <w:rPr>
      <w:rFonts w:hint="default" w:ascii="Tahoma" w:hAnsi="Tahoma" w:cs="Tahoma"/>
      <w:sz w:val="18"/>
      <w:szCs w:val="18"/>
    </w:rPr>
  </w:style>
  <w:style w:type="character" w:customStyle="1" w:styleId="790">
    <w:name w:val="Char Char23"/>
    <w:qFormat/>
    <w:uiPriority w:val="6"/>
    <w:rPr>
      <w:color w:val="0000FF"/>
      <w:sz w:val="21"/>
    </w:rPr>
  </w:style>
  <w:style w:type="character" w:customStyle="1" w:styleId="791">
    <w:name w:val="批注框文本 字符"/>
    <w:qFormat/>
    <w:uiPriority w:val="0"/>
    <w:rPr>
      <w:rFonts w:ascii="Arial" w:hAnsi="Arial" w:eastAsia="黑体" w:cs="Arial"/>
      <w:snapToGrid w:val="0"/>
      <w:kern w:val="0"/>
      <w:sz w:val="18"/>
      <w:szCs w:val="18"/>
    </w:rPr>
  </w:style>
  <w:style w:type="character" w:customStyle="1" w:styleId="792">
    <w:name w:val="纯文本 Char2"/>
    <w:semiHidden/>
    <w:qFormat/>
    <w:uiPriority w:val="99"/>
    <w:rPr>
      <w:rFonts w:ascii="宋体" w:hAnsi="Courier New" w:eastAsia="宋体" w:cs="Courier New"/>
    </w:rPr>
  </w:style>
  <w:style w:type="character" w:customStyle="1" w:styleId="793">
    <w:name w:val="Char Char25"/>
    <w:qFormat/>
    <w:uiPriority w:val="6"/>
    <w:rPr>
      <w:rFonts w:ascii="宋体" w:hAnsi="宋体"/>
      <w:kern w:val="1"/>
      <w:sz w:val="24"/>
      <w:lang w:val="zh-CN"/>
    </w:rPr>
  </w:style>
  <w:style w:type="character" w:customStyle="1" w:styleId="794">
    <w:name w:val="Char Char411"/>
    <w:qFormat/>
    <w:uiPriority w:val="0"/>
    <w:rPr>
      <w:rFonts w:eastAsia="宋体"/>
      <w:b/>
      <w:sz w:val="24"/>
      <w:lang w:eastAsia="zh-CN" w:bidi="ar-SA"/>
    </w:rPr>
  </w:style>
  <w:style w:type="character" w:customStyle="1" w:styleId="795">
    <w:name w:val="Heading 7 Char"/>
    <w:qFormat/>
    <w:locked/>
    <w:uiPriority w:val="0"/>
    <w:rPr>
      <w:rFonts w:ascii="宋体" w:hAnsi="宋体" w:eastAsia="宋体"/>
      <w:b/>
      <w:bCs/>
      <w:kern w:val="2"/>
      <w:sz w:val="24"/>
      <w:szCs w:val="24"/>
      <w:lang w:val="en-US" w:eastAsia="zh-CN" w:bidi="ar-SA"/>
    </w:rPr>
  </w:style>
  <w:style w:type="character" w:customStyle="1" w:styleId="796">
    <w:name w:val="此正文 Char"/>
    <w:link w:val="104"/>
    <w:qFormat/>
    <w:uiPriority w:val="0"/>
    <w:rPr>
      <w:kern w:val="2"/>
      <w:sz w:val="24"/>
      <w:szCs w:val="24"/>
    </w:rPr>
  </w:style>
  <w:style w:type="character" w:customStyle="1" w:styleId="797">
    <w:name w:val="Char Char2"/>
    <w:qFormat/>
    <w:uiPriority w:val="0"/>
    <w:rPr>
      <w:rFonts w:eastAsia="宋体"/>
      <w:b/>
      <w:bCs/>
      <w:kern w:val="2"/>
      <w:sz w:val="21"/>
      <w:szCs w:val="24"/>
      <w:lang w:val="en-US" w:eastAsia="zh-CN" w:bidi="ar-SA"/>
    </w:rPr>
  </w:style>
  <w:style w:type="character" w:customStyle="1" w:styleId="798">
    <w:name w:val="标题 1 Char"/>
    <w:link w:val="2"/>
    <w:qFormat/>
    <w:uiPriority w:val="9"/>
    <w:rPr>
      <w:b/>
      <w:bCs/>
      <w:kern w:val="44"/>
      <w:sz w:val="44"/>
      <w:szCs w:val="44"/>
    </w:rPr>
  </w:style>
  <w:style w:type="character" w:customStyle="1" w:styleId="799">
    <w:name w:val="Footer-Even Char1"/>
    <w:qFormat/>
    <w:uiPriority w:val="0"/>
    <w:rPr>
      <w:rFonts w:eastAsia="宋体"/>
      <w:kern w:val="2"/>
      <w:sz w:val="18"/>
      <w:szCs w:val="18"/>
      <w:lang w:val="en-US" w:eastAsia="zh-CN" w:bidi="ar-SA"/>
    </w:rPr>
  </w:style>
  <w:style w:type="character" w:customStyle="1" w:styleId="800">
    <w:name w:val="Char Char29"/>
    <w:qFormat/>
    <w:uiPriority w:val="6"/>
    <w:rPr>
      <w:rFonts w:ascii="Arial" w:hAnsi="Arial" w:eastAsia="微软雅黑"/>
      <w:b/>
      <w:kern w:val="1"/>
      <w:sz w:val="44"/>
      <w:szCs w:val="32"/>
      <w:lang w:val="en-US" w:eastAsia="zh-CN" w:bidi="ar-SA"/>
    </w:rPr>
  </w:style>
  <w:style w:type="character" w:customStyle="1" w:styleId="801">
    <w:name w:val="标题 Char2"/>
    <w:link w:val="60"/>
    <w:qFormat/>
    <w:uiPriority w:val="10"/>
    <w:rPr>
      <w:b/>
      <w:sz w:val="24"/>
    </w:rPr>
  </w:style>
  <w:style w:type="character" w:customStyle="1" w:styleId="802">
    <w:name w:val="font81"/>
    <w:qFormat/>
    <w:uiPriority w:val="0"/>
    <w:rPr>
      <w:rFonts w:ascii="微软雅黑" w:hAnsi="微软雅黑" w:eastAsia="微软雅黑" w:cs="微软雅黑"/>
      <w:color w:val="000000"/>
      <w:sz w:val="20"/>
      <w:szCs w:val="20"/>
      <w:u w:val="none"/>
    </w:rPr>
  </w:style>
  <w:style w:type="character" w:customStyle="1" w:styleId="803">
    <w:name w:val="Char Char312"/>
    <w:qFormat/>
    <w:uiPriority w:val="0"/>
    <w:rPr>
      <w:rFonts w:ascii="Times New Roman" w:hAnsi="Times New Roman" w:eastAsia="宋体" w:cs="Times New Roman"/>
      <w:b/>
      <w:kern w:val="2"/>
      <w:sz w:val="32"/>
      <w:szCs w:val="24"/>
      <w:lang w:val="en-US" w:eastAsia="zh-CN" w:bidi="ar-SA"/>
    </w:rPr>
  </w:style>
  <w:style w:type="character" w:customStyle="1" w:styleId="804">
    <w:name w:val="t21"/>
    <w:qFormat/>
    <w:uiPriority w:val="0"/>
    <w:rPr>
      <w:rFonts w:ascii="仿宋_GB2312" w:eastAsia="微软雅黑"/>
      <w:b/>
      <w:kern w:val="2"/>
      <w:sz w:val="23"/>
      <w:szCs w:val="23"/>
      <w:lang w:val="en-US" w:eastAsia="zh-CN" w:bidi="ar-SA"/>
    </w:rPr>
  </w:style>
  <w:style w:type="character" w:customStyle="1" w:styleId="805">
    <w:name w:val="样式8 Char"/>
    <w:qFormat/>
    <w:uiPriority w:val="0"/>
    <w:rPr>
      <w:rFonts w:ascii="仿宋_GB2312" w:hAnsi="宋体" w:eastAsia="仿宋_GB2312"/>
      <w:b/>
      <w:bCs/>
      <w:kern w:val="2"/>
      <w:sz w:val="24"/>
      <w:szCs w:val="24"/>
    </w:rPr>
  </w:style>
  <w:style w:type="character" w:customStyle="1" w:styleId="806">
    <w:name w:val="表格 Char Char"/>
    <w:qFormat/>
    <w:uiPriority w:val="0"/>
    <w:rPr>
      <w:rFonts w:ascii="宋体" w:hAnsi="宋体" w:eastAsia="宋体"/>
      <w:lang w:bidi="ar-SA"/>
    </w:rPr>
  </w:style>
  <w:style w:type="character" w:customStyle="1" w:styleId="807">
    <w:name w:val="正文文本 字符1"/>
    <w:qFormat/>
    <w:uiPriority w:val="0"/>
    <w:rPr>
      <w:rFonts w:ascii="Calibri" w:hAnsi="Calibri" w:eastAsia="黑体" w:cs="Arial"/>
      <w:snapToGrid w:val="0"/>
      <w:kern w:val="2"/>
      <w:sz w:val="28"/>
      <w:szCs w:val="21"/>
    </w:rPr>
  </w:style>
  <w:style w:type="character" w:customStyle="1" w:styleId="808">
    <w:name w:val="标题 5 Char"/>
    <w:link w:val="8"/>
    <w:qFormat/>
    <w:uiPriority w:val="9"/>
    <w:rPr>
      <w:b/>
      <w:bCs/>
      <w:kern w:val="2"/>
      <w:sz w:val="28"/>
      <w:szCs w:val="28"/>
    </w:rPr>
  </w:style>
  <w:style w:type="character" w:customStyle="1" w:styleId="809">
    <w:name w:val="标题 6 Char1"/>
    <w:qFormat/>
    <w:uiPriority w:val="0"/>
    <w:rPr>
      <w:rFonts w:ascii="Arial" w:hAnsi="Arial" w:eastAsia="黑体" w:cs="Times New Roman"/>
      <w:b/>
      <w:sz w:val="24"/>
      <w:szCs w:val="20"/>
      <w:lang w:bidi="ar-SA"/>
    </w:rPr>
  </w:style>
  <w:style w:type="character" w:customStyle="1" w:styleId="810">
    <w:name w:val="带编号样式 Char"/>
    <w:qFormat/>
    <w:uiPriority w:val="0"/>
    <w:rPr>
      <w:rFonts w:ascii="仿宋_GB2312" w:eastAsia="仿宋_GB2312"/>
      <w:color w:val="000000"/>
      <w:sz w:val="24"/>
      <w:lang w:bidi="ar-SA"/>
    </w:rPr>
  </w:style>
  <w:style w:type="character" w:customStyle="1" w:styleId="811">
    <w:name w:val="unnamed31"/>
    <w:qFormat/>
    <w:uiPriority w:val="0"/>
    <w:rPr>
      <w:rFonts w:ascii="Tahoma" w:hAnsi="Tahoma" w:eastAsia="宋体"/>
      <w:b/>
      <w:kern w:val="2"/>
      <w:sz w:val="24"/>
      <w:szCs w:val="32"/>
      <w:u w:val="none"/>
      <w:lang w:val="en-US" w:eastAsia="zh-CN" w:bidi="ar-SA"/>
    </w:rPr>
  </w:style>
  <w:style w:type="character" w:customStyle="1" w:styleId="812">
    <w:name w:val="正文首行缩进 Char Char Char Char Char Char1"/>
    <w:qFormat/>
    <w:uiPriority w:val="0"/>
    <w:rPr>
      <w:rFonts w:ascii="宋体" w:eastAsia="宋体"/>
      <w:kern w:val="2"/>
      <w:sz w:val="24"/>
      <w:szCs w:val="24"/>
      <w:lang w:val="zh-CN" w:bidi="ar-SA"/>
    </w:rPr>
  </w:style>
  <w:style w:type="character" w:customStyle="1" w:styleId="813">
    <w:name w:val="称呼 Char"/>
    <w:link w:val="21"/>
    <w:qFormat/>
    <w:uiPriority w:val="0"/>
    <w:rPr>
      <w:rFonts w:ascii="仿宋_GB2312" w:eastAsia="仿宋_GB2312"/>
      <w:kern w:val="2"/>
      <w:sz w:val="28"/>
    </w:rPr>
  </w:style>
  <w:style w:type="character" w:customStyle="1" w:styleId="814">
    <w:name w:val="文本正文 Char Char"/>
    <w:qFormat/>
    <w:locked/>
    <w:uiPriority w:val="0"/>
    <w:rPr>
      <w:sz w:val="24"/>
      <w:lang w:bidi="ar-SA"/>
    </w:rPr>
  </w:style>
  <w:style w:type="character" w:customStyle="1" w:styleId="815">
    <w:name w:val="正文缩进 字符"/>
    <w:qFormat/>
    <w:uiPriority w:val="0"/>
    <w:rPr>
      <w:rFonts w:ascii="宋体" w:eastAsia="宋体"/>
      <w:snapToGrid w:val="0"/>
      <w:color w:val="000000"/>
      <w:kern w:val="28"/>
      <w:sz w:val="28"/>
      <w:lang w:val="en-US" w:eastAsia="zh-CN" w:bidi="ar-SA"/>
    </w:rPr>
  </w:style>
  <w:style w:type="character" w:customStyle="1" w:styleId="816">
    <w:name w:val="HTML 预设格式 Char"/>
    <w:link w:val="58"/>
    <w:qFormat/>
    <w:uiPriority w:val="0"/>
    <w:rPr>
      <w:rFonts w:ascii="黑体" w:hAnsi="Courier New" w:eastAsia="黑体"/>
    </w:rPr>
  </w:style>
  <w:style w:type="character" w:customStyle="1" w:styleId="817">
    <w:name w:val="正文文本 2 Char1"/>
    <w:link w:val="57"/>
    <w:qFormat/>
    <w:uiPriority w:val="0"/>
    <w:rPr>
      <w:kern w:val="2"/>
      <w:sz w:val="21"/>
      <w:szCs w:val="24"/>
    </w:rPr>
  </w:style>
  <w:style w:type="character" w:customStyle="1" w:styleId="818">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19">
    <w:name w:val="正文非缩进 Char"/>
    <w:qFormat/>
    <w:uiPriority w:val="0"/>
    <w:rPr>
      <w:rFonts w:ascii="宋体" w:eastAsia="宋体"/>
      <w:snapToGrid w:val="0"/>
      <w:color w:val="000000"/>
      <w:kern w:val="28"/>
      <w:sz w:val="28"/>
      <w:lang w:val="en-US" w:eastAsia="zh-CN" w:bidi="ar-SA"/>
    </w:rPr>
  </w:style>
  <w:style w:type="character" w:customStyle="1" w:styleId="820">
    <w:name w:val="标题 7 Char"/>
    <w:link w:val="10"/>
    <w:qFormat/>
    <w:uiPriority w:val="0"/>
    <w:rPr>
      <w:b/>
      <w:bCs/>
      <w:kern w:val="2"/>
      <w:sz w:val="24"/>
      <w:szCs w:val="24"/>
    </w:rPr>
  </w:style>
  <w:style w:type="character" w:customStyle="1" w:styleId="821">
    <w:name w:val="正文文本缩进 2 Char"/>
    <w:link w:val="38"/>
    <w:qFormat/>
    <w:uiPriority w:val="0"/>
    <w:rPr>
      <w:rFonts w:ascii="宋体"/>
      <w:sz w:val="28"/>
    </w:rPr>
  </w:style>
  <w:style w:type="character" w:customStyle="1" w:styleId="822">
    <w:name w:val="Char Char5"/>
    <w:qFormat/>
    <w:uiPriority w:val="0"/>
    <w:rPr>
      <w:rFonts w:ascii="宋体" w:hAnsi="Courier New" w:eastAsia="宋体"/>
      <w:kern w:val="2"/>
      <w:sz w:val="21"/>
      <w:lang w:val="en-US" w:eastAsia="zh-CN"/>
    </w:rPr>
  </w:style>
  <w:style w:type="character" w:customStyle="1" w:styleId="823">
    <w:name w:val="脚注文本 Char"/>
    <w:link w:val="51"/>
    <w:qFormat/>
    <w:uiPriority w:val="0"/>
    <w:rPr>
      <w:color w:val="0000FF"/>
      <w:sz w:val="21"/>
    </w:rPr>
  </w:style>
  <w:style w:type="character" w:customStyle="1" w:styleId="824">
    <w:name w:val="称呼 Char1"/>
    <w:qFormat/>
    <w:uiPriority w:val="0"/>
    <w:rPr>
      <w:rFonts w:ascii="Times New Roman" w:hAnsi="Times New Roman" w:eastAsia="宋体" w:cs="Times New Roman"/>
      <w:szCs w:val="24"/>
    </w:rPr>
  </w:style>
  <w:style w:type="character" w:customStyle="1" w:styleId="825">
    <w:name w:val="正文1 Char"/>
    <w:qFormat/>
    <w:uiPriority w:val="0"/>
    <w:rPr>
      <w:rFonts w:ascii="宋体" w:eastAsia="宋体"/>
      <w:snapToGrid w:val="0"/>
      <w:color w:val="000000"/>
      <w:kern w:val="28"/>
      <w:sz w:val="28"/>
      <w:lang w:val="en-US" w:eastAsia="zh-CN" w:bidi="ar-SA"/>
    </w:rPr>
  </w:style>
  <w:style w:type="character" w:customStyle="1" w:styleId="826">
    <w:name w:val="正文缩进 Char1"/>
    <w:qFormat/>
    <w:uiPriority w:val="0"/>
    <w:rPr>
      <w:rFonts w:ascii="宋体" w:eastAsia="宋体"/>
      <w:snapToGrid w:val="0"/>
      <w:color w:val="000000"/>
      <w:kern w:val="28"/>
      <w:sz w:val="28"/>
      <w:lang w:val="en-US" w:eastAsia="zh-CN" w:bidi="ar-SA"/>
    </w:rPr>
  </w:style>
  <w:style w:type="character" w:customStyle="1" w:styleId="827">
    <w:name w:val="font21"/>
    <w:qFormat/>
    <w:uiPriority w:val="0"/>
    <w:rPr>
      <w:rFonts w:hint="eastAsia" w:ascii="宋体" w:hAnsi="宋体" w:eastAsia="宋体"/>
      <w:kern w:val="2"/>
      <w:sz w:val="28"/>
      <w:szCs w:val="28"/>
      <w:lang w:val="en-US" w:eastAsia="zh-CN" w:bidi="ar-SA"/>
    </w:rPr>
  </w:style>
  <w:style w:type="character" w:customStyle="1" w:styleId="828">
    <w:name w:val="Char Char26"/>
    <w:qFormat/>
    <w:uiPriority w:val="6"/>
    <w:rPr>
      <w:kern w:val="1"/>
      <w:sz w:val="21"/>
      <w:szCs w:val="24"/>
    </w:rPr>
  </w:style>
  <w:style w:type="character" w:customStyle="1" w:styleId="829">
    <w:name w:val="Item List Char"/>
    <w:link w:val="107"/>
    <w:qFormat/>
    <w:uiPriority w:val="0"/>
    <w:rPr>
      <w:rFonts w:ascii="Arial"/>
      <w:bCs/>
      <w:sz w:val="21"/>
      <w:szCs w:val="21"/>
      <w:lang w:val="en-US" w:eastAsia="zh-CN" w:bidi="ar-SA"/>
    </w:rPr>
  </w:style>
  <w:style w:type="character" w:customStyle="1" w:styleId="830">
    <w:name w:val="批注框文本 Char1"/>
    <w:qFormat/>
    <w:uiPriority w:val="0"/>
    <w:rPr>
      <w:rFonts w:ascii="Times New Roman" w:hAnsi="Times New Roman" w:eastAsia="宋体" w:cs="Times New Roman"/>
      <w:sz w:val="18"/>
      <w:szCs w:val="18"/>
    </w:rPr>
  </w:style>
  <w:style w:type="character" w:customStyle="1" w:styleId="831">
    <w:name w:val="纯文本 Char1"/>
    <w:link w:val="108"/>
    <w:qFormat/>
    <w:uiPriority w:val="0"/>
    <w:rPr>
      <w:rFonts w:ascii="宋体" w:hAnsi="Courier New"/>
    </w:rPr>
  </w:style>
  <w:style w:type="character" w:customStyle="1" w:styleId="832">
    <w:name w:val="正文首行缩进 Char"/>
    <w:link w:val="62"/>
    <w:qFormat/>
    <w:uiPriority w:val="0"/>
    <w:rPr>
      <w:rFonts w:ascii="宋体"/>
      <w:kern w:val="2"/>
      <w:sz w:val="24"/>
      <w:lang w:val="zh-CN"/>
    </w:rPr>
  </w:style>
  <w:style w:type="character" w:customStyle="1" w:styleId="833">
    <w:name w:val="h3 Char"/>
    <w:qFormat/>
    <w:uiPriority w:val="0"/>
    <w:rPr>
      <w:rFonts w:eastAsia="宋体"/>
      <w:b/>
      <w:kern w:val="2"/>
      <w:sz w:val="32"/>
      <w:lang w:val="en-US" w:eastAsia="zh-CN" w:bidi="ar-SA"/>
    </w:rPr>
  </w:style>
  <w:style w:type="character" w:customStyle="1" w:styleId="834">
    <w:name w:val="dandyren_title1"/>
    <w:qFormat/>
    <w:uiPriority w:val="0"/>
    <w:rPr>
      <w:b/>
      <w:bCs/>
      <w:color w:val="FF6633"/>
      <w:sz w:val="18"/>
      <w:szCs w:val="18"/>
    </w:rPr>
  </w:style>
  <w:style w:type="character" w:customStyle="1" w:styleId="835">
    <w:name w:val="Char Char31"/>
    <w:qFormat/>
    <w:uiPriority w:val="6"/>
    <w:rPr>
      <w:rFonts w:ascii="Arial" w:hAnsi="Arial" w:eastAsia="黑体"/>
      <w:kern w:val="1"/>
      <w:sz w:val="24"/>
      <w:szCs w:val="24"/>
    </w:rPr>
  </w:style>
  <w:style w:type="character" w:customStyle="1" w:styleId="836">
    <w:name w:val="h Char1"/>
    <w:qFormat/>
    <w:uiPriority w:val="0"/>
    <w:rPr>
      <w:sz w:val="18"/>
      <w:szCs w:val="18"/>
    </w:rPr>
  </w:style>
  <w:style w:type="character" w:customStyle="1" w:styleId="837">
    <w:name w:val="solutionfonts"/>
    <w:qFormat/>
    <w:uiPriority w:val="0"/>
  </w:style>
  <w:style w:type="character" w:customStyle="1" w:styleId="838">
    <w:name w:val="标题 4 Char2"/>
    <w:link w:val="6"/>
    <w:qFormat/>
    <w:uiPriority w:val="9"/>
    <w:rPr>
      <w:rFonts w:ascii="Arial" w:hAnsi="Arial" w:eastAsia="黑体"/>
      <w:b/>
      <w:bCs/>
      <w:kern w:val="2"/>
      <w:sz w:val="28"/>
      <w:szCs w:val="28"/>
      <w:lang w:val="zh-CN"/>
    </w:rPr>
  </w:style>
  <w:style w:type="character" w:customStyle="1" w:styleId="839">
    <w:name w:val="首行缩进 Char"/>
    <w:qFormat/>
    <w:uiPriority w:val="0"/>
    <w:rPr>
      <w:rFonts w:ascii="宋体" w:eastAsia="宋体"/>
      <w:kern w:val="2"/>
      <w:sz w:val="24"/>
      <w:lang w:val="en-US" w:eastAsia="zh-CN" w:bidi="ar-SA"/>
    </w:rPr>
  </w:style>
  <w:style w:type="character" w:customStyle="1" w:styleId="840">
    <w:name w:val="Char Char52"/>
    <w:qFormat/>
    <w:uiPriority w:val="0"/>
    <w:rPr>
      <w:rFonts w:ascii="宋体" w:hAnsi="Courier New" w:eastAsia="宋体"/>
      <w:kern w:val="2"/>
      <w:sz w:val="21"/>
      <w:lang w:val="en-US" w:eastAsia="zh-CN"/>
    </w:rPr>
  </w:style>
  <w:style w:type="character" w:customStyle="1" w:styleId="841">
    <w:name w:val="正文文本 3 Char"/>
    <w:link w:val="22"/>
    <w:qFormat/>
    <w:uiPriority w:val="0"/>
    <w:rPr>
      <w:kern w:val="2"/>
      <w:sz w:val="21"/>
    </w:rPr>
  </w:style>
  <w:style w:type="character" w:customStyle="1" w:styleId="842">
    <w:name w:val="font31"/>
    <w:qFormat/>
    <w:uiPriority w:val="0"/>
    <w:rPr>
      <w:rFonts w:hint="eastAsia" w:ascii="仿宋" w:hAnsi="仿宋" w:eastAsia="仿宋" w:cs="仿宋"/>
      <w:color w:val="000000"/>
      <w:sz w:val="20"/>
      <w:szCs w:val="20"/>
      <w:u w:val="none"/>
    </w:rPr>
  </w:style>
  <w:style w:type="character" w:customStyle="1" w:styleId="843">
    <w:name w:val="正文说明 Char"/>
    <w:link w:val="109"/>
    <w:qFormat/>
    <w:uiPriority w:val="0"/>
    <w:rPr>
      <w:sz w:val="24"/>
      <w:szCs w:val="24"/>
    </w:rPr>
  </w:style>
  <w:style w:type="character" w:customStyle="1" w:styleId="844">
    <w:name w:val="脚注文本 Char1"/>
    <w:qFormat/>
    <w:uiPriority w:val="0"/>
    <w:rPr>
      <w:rFonts w:ascii="Times New Roman" w:hAnsi="Times New Roman" w:eastAsia="宋体" w:cs="Times New Roman"/>
      <w:sz w:val="18"/>
      <w:szCs w:val="18"/>
    </w:rPr>
  </w:style>
  <w:style w:type="character" w:customStyle="1" w:styleId="845">
    <w:name w:val="Char Char1211"/>
    <w:qFormat/>
    <w:uiPriority w:val="0"/>
    <w:rPr>
      <w:rFonts w:ascii="仿宋_GB2312" w:eastAsia="仿宋_GB2312"/>
      <w:b/>
      <w:bCs/>
      <w:kern w:val="2"/>
      <w:sz w:val="24"/>
      <w:szCs w:val="24"/>
      <w:lang w:val="zh-CN" w:eastAsia="zh-CN" w:bidi="ar-SA"/>
    </w:rPr>
  </w:style>
  <w:style w:type="character" w:customStyle="1" w:styleId="846">
    <w:name w:val="标题 Char"/>
    <w:qFormat/>
    <w:uiPriority w:val="0"/>
    <w:rPr>
      <w:rFonts w:eastAsia="宋体"/>
      <w:b/>
      <w:sz w:val="24"/>
      <w:lang w:eastAsia="zh-CN" w:bidi="ar-SA"/>
    </w:rPr>
  </w:style>
  <w:style w:type="character" w:customStyle="1" w:styleId="847">
    <w:name w:val="Char Char35"/>
    <w:qFormat/>
    <w:uiPriority w:val="6"/>
    <w:rPr>
      <w:rFonts w:ascii="Arial" w:hAnsi="Arial" w:eastAsia="黑体"/>
      <w:b/>
      <w:kern w:val="1"/>
      <w:sz w:val="28"/>
      <w:szCs w:val="28"/>
      <w:lang w:val="zh-CN"/>
    </w:rPr>
  </w:style>
  <w:style w:type="character" w:customStyle="1" w:styleId="848">
    <w:name w:val="纯文本 Char Char Char"/>
    <w:qFormat/>
    <w:uiPriority w:val="0"/>
    <w:rPr>
      <w:rFonts w:ascii="宋体" w:hAnsi="Courier New" w:eastAsia="宋体"/>
      <w:kern w:val="2"/>
      <w:sz w:val="21"/>
      <w:lang w:val="en-US" w:eastAsia="zh-CN" w:bidi="ar-SA"/>
    </w:rPr>
  </w:style>
  <w:style w:type="character" w:customStyle="1" w:styleId="849">
    <w:name w:val="Table Text Char"/>
    <w:link w:val="110"/>
    <w:qFormat/>
    <w:uiPriority w:val="0"/>
    <w:rPr>
      <w:sz w:val="24"/>
      <w:szCs w:val="24"/>
    </w:rPr>
  </w:style>
  <w:style w:type="character" w:customStyle="1" w:styleId="850">
    <w:name w:val="正文1 Char1"/>
    <w:qFormat/>
    <w:uiPriority w:val="0"/>
    <w:rPr>
      <w:rFonts w:ascii="仿宋_GB2312" w:hAnsi="Courier New" w:eastAsia="仿宋_GB2312"/>
      <w:kern w:val="28"/>
      <w:sz w:val="24"/>
      <w:szCs w:val="24"/>
      <w:lang w:val="en-US" w:eastAsia="zh-CN"/>
    </w:rPr>
  </w:style>
  <w:style w:type="character" w:customStyle="1" w:styleId="851">
    <w:name w:val="页脚 Char1"/>
    <w:qFormat/>
    <w:uiPriority w:val="0"/>
    <w:rPr>
      <w:rFonts w:eastAsia="宋体"/>
      <w:kern w:val="2"/>
      <w:sz w:val="18"/>
      <w:szCs w:val="18"/>
      <w:lang w:val="en-US" w:eastAsia="zh-CN" w:bidi="ar-SA"/>
    </w:rPr>
  </w:style>
  <w:style w:type="character" w:customStyle="1" w:styleId="852">
    <w:name w:val="Bold"/>
    <w:qFormat/>
    <w:uiPriority w:val="0"/>
    <w:rPr>
      <w:rFonts w:ascii="Arial" w:hAnsi="Arial" w:eastAsia="黑体" w:cs="Times New Roman"/>
      <w:b/>
      <w:kern w:val="2"/>
      <w:sz w:val="32"/>
      <w:szCs w:val="32"/>
      <w:lang w:val="en-US" w:eastAsia="zh-CN" w:bidi="ar-SA"/>
    </w:rPr>
  </w:style>
  <w:style w:type="character" w:customStyle="1" w:styleId="853">
    <w:name w:val="批注文字 Char1"/>
    <w:link w:val="20"/>
    <w:qFormat/>
    <w:uiPriority w:val="0"/>
    <w:rPr>
      <w:kern w:val="2"/>
      <w:sz w:val="21"/>
      <w:szCs w:val="24"/>
    </w:rPr>
  </w:style>
  <w:style w:type="character" w:customStyle="1" w:styleId="854">
    <w:name w:val="签名 Char"/>
    <w:link w:val="43"/>
    <w:qFormat/>
    <w:uiPriority w:val="0"/>
    <w:rPr>
      <w:rFonts w:eastAsia="仿宋_GB2312"/>
      <w:sz w:val="24"/>
    </w:rPr>
  </w:style>
  <w:style w:type="character" w:customStyle="1" w:styleId="855">
    <w:name w:val="hui3"/>
    <w:qFormat/>
    <w:uiPriority w:val="0"/>
    <w:rPr>
      <w:color w:val="333333"/>
    </w:rPr>
  </w:style>
  <w:style w:type="character" w:customStyle="1" w:styleId="856">
    <w:name w:val="Char Char17"/>
    <w:qFormat/>
    <w:uiPriority w:val="6"/>
    <w:rPr>
      <w:rFonts w:eastAsia="仿宋_GB2312"/>
      <w:sz w:val="24"/>
    </w:rPr>
  </w:style>
  <w:style w:type="character" w:customStyle="1" w:styleId="857">
    <w:name w:val="标题 4 字符"/>
    <w:qFormat/>
    <w:uiPriority w:val="9"/>
    <w:rPr>
      <w:rFonts w:ascii="等线 Light" w:hAnsi="等线 Light" w:eastAsia="等线 Light" w:cs="Times New Roman"/>
      <w:b/>
      <w:bCs/>
      <w:snapToGrid w:val="0"/>
      <w:kern w:val="0"/>
      <w:sz w:val="28"/>
      <w:szCs w:val="28"/>
    </w:rPr>
  </w:style>
  <w:style w:type="character" w:customStyle="1" w:styleId="858">
    <w:name w:val="Char Char37"/>
    <w:qFormat/>
    <w:uiPriority w:val="6"/>
    <w:rPr>
      <w:b/>
      <w:kern w:val="1"/>
      <w:sz w:val="44"/>
      <w:szCs w:val="44"/>
    </w:rPr>
  </w:style>
  <w:style w:type="character" w:customStyle="1" w:styleId="859">
    <w:name w:val="列出段落 Char"/>
    <w:qFormat/>
    <w:uiPriority w:val="0"/>
    <w:rPr>
      <w:rFonts w:eastAsia="楷体_GB2312" w:cs="Lucida Sans"/>
      <w:kern w:val="2"/>
      <w:sz w:val="24"/>
      <w:szCs w:val="24"/>
      <w:lang w:val="en-US" w:eastAsia="zh-CN" w:bidi="ar-SA"/>
    </w:rPr>
  </w:style>
  <w:style w:type="character" w:customStyle="1" w:styleId="860">
    <w:name w:val="正文文本缩进 3 Char1"/>
    <w:semiHidden/>
    <w:qFormat/>
    <w:uiPriority w:val="99"/>
    <w:rPr>
      <w:rFonts w:ascii="Times New Roman" w:hAnsi="Times New Roman" w:eastAsia="宋体" w:cs="Times New Roman"/>
      <w:sz w:val="16"/>
      <w:szCs w:val="16"/>
    </w:rPr>
  </w:style>
  <w:style w:type="character" w:customStyle="1" w:styleId="861">
    <w:name w:val="公文正文 Char Char"/>
    <w:link w:val="111"/>
    <w:qFormat/>
    <w:uiPriority w:val="0"/>
    <w:rPr>
      <w:rFonts w:ascii="仿宋_GB2312" w:eastAsia="仿宋_GB2312"/>
      <w:kern w:val="2"/>
      <w:sz w:val="24"/>
      <w:szCs w:val="24"/>
    </w:rPr>
  </w:style>
  <w:style w:type="character" w:customStyle="1" w:styleId="862">
    <w:name w:val="Table Text Char1"/>
    <w:qFormat/>
    <w:uiPriority w:val="0"/>
    <w:rPr>
      <w:rFonts w:eastAsia="宋体"/>
      <w:sz w:val="24"/>
      <w:szCs w:val="24"/>
      <w:lang w:val="en-US" w:eastAsia="zh-CN" w:bidi="ar-SA"/>
    </w:rPr>
  </w:style>
  <w:style w:type="character" w:customStyle="1" w:styleId="863">
    <w:name w:val="标题 1 Char Char"/>
    <w:qFormat/>
    <w:uiPriority w:val="0"/>
    <w:rPr>
      <w:rFonts w:hint="eastAsia" w:ascii="宋体" w:hAnsi="宋体" w:eastAsia="宋体"/>
      <w:b/>
      <w:spacing w:val="-2"/>
      <w:sz w:val="24"/>
      <w:lang w:val="en-US" w:eastAsia="zh-CN" w:bidi="ar-SA"/>
    </w:rPr>
  </w:style>
  <w:style w:type="character" w:customStyle="1" w:styleId="864">
    <w:name w:val="正文（缩进2汉字） Char"/>
    <w:link w:val="112"/>
    <w:qFormat/>
    <w:uiPriority w:val="0"/>
    <w:rPr>
      <w:rFonts w:ascii="宋体"/>
    </w:rPr>
  </w:style>
  <w:style w:type="character" w:customStyle="1" w:styleId="865">
    <w:name w:val="标题 8 Char"/>
    <w:link w:val="11"/>
    <w:qFormat/>
    <w:uiPriority w:val="0"/>
    <w:rPr>
      <w:rFonts w:ascii="Arial" w:hAnsi="Arial" w:eastAsia="黑体"/>
      <w:kern w:val="2"/>
      <w:sz w:val="24"/>
      <w:szCs w:val="24"/>
    </w:rPr>
  </w:style>
  <w:style w:type="character" w:customStyle="1" w:styleId="866">
    <w:name w:val="标书表格字体格式 Char"/>
    <w:qFormat/>
    <w:uiPriority w:val="0"/>
    <w:rPr>
      <w:kern w:val="2"/>
      <w:sz w:val="21"/>
      <w:szCs w:val="24"/>
      <w:lang w:bidi="ar-SA"/>
    </w:rPr>
  </w:style>
  <w:style w:type="character" w:customStyle="1" w:styleId="867">
    <w:name w:val="tw4winError"/>
    <w:qFormat/>
    <w:uiPriority w:val="0"/>
    <w:rPr>
      <w:rFonts w:ascii="Courier New" w:hAnsi="Courier New" w:cs="Courier New"/>
      <w:color w:val="00FF00"/>
      <w:sz w:val="40"/>
      <w:szCs w:val="40"/>
    </w:rPr>
  </w:style>
  <w:style w:type="character" w:customStyle="1" w:styleId="868">
    <w:name w:val="Body Text(ch) Char Char"/>
    <w:qFormat/>
    <w:uiPriority w:val="0"/>
    <w:rPr>
      <w:rFonts w:ascii="宋体"/>
      <w:kern w:val="2"/>
      <w:sz w:val="24"/>
      <w:szCs w:val="21"/>
      <w:lang w:val="zh-CN"/>
    </w:rPr>
  </w:style>
  <w:style w:type="character" w:customStyle="1" w:styleId="869">
    <w:name w:val="正文首行缩进两字 Char"/>
    <w:qFormat/>
    <w:uiPriority w:val="0"/>
    <w:rPr>
      <w:sz w:val="24"/>
      <w:szCs w:val="24"/>
      <w:lang w:val="en-US" w:eastAsia="zh-CN" w:bidi="ar-SA"/>
    </w:rPr>
  </w:style>
  <w:style w:type="character" w:customStyle="1" w:styleId="870">
    <w:name w:val="正文文本 Char"/>
    <w:qFormat/>
    <w:uiPriority w:val="0"/>
    <w:rPr>
      <w:rFonts w:eastAsia="宋体"/>
      <w:kern w:val="2"/>
      <w:sz w:val="24"/>
      <w:szCs w:val="24"/>
      <w:lang w:val="en-US" w:eastAsia="zh-CN" w:bidi="ar-SA"/>
    </w:rPr>
  </w:style>
  <w:style w:type="character" w:customStyle="1" w:styleId="871">
    <w:name w:val="文档结构图 字符1"/>
    <w:qFormat/>
    <w:uiPriority w:val="0"/>
    <w:rPr>
      <w:rFonts w:ascii="宋体" w:hAnsi="Calibri" w:eastAsia="黑体" w:cs="Arial"/>
      <w:snapToGrid w:val="0"/>
      <w:kern w:val="2"/>
      <w:sz w:val="18"/>
      <w:szCs w:val="18"/>
    </w:rPr>
  </w:style>
  <w:style w:type="character" w:customStyle="1" w:styleId="872">
    <w:name w:val="content"/>
    <w:qFormat/>
    <w:uiPriority w:val="0"/>
  </w:style>
  <w:style w:type="character" w:customStyle="1" w:styleId="873">
    <w:name w:val="tw4winPopup"/>
    <w:qFormat/>
    <w:uiPriority w:val="0"/>
    <w:rPr>
      <w:rFonts w:ascii="Courier New" w:hAnsi="Courier New" w:cs="Courier New"/>
      <w:color w:val="008000"/>
      <w:lang w:val="en-US" w:eastAsia="zh-CN"/>
    </w:rPr>
  </w:style>
  <w:style w:type="character" w:customStyle="1" w:styleId="874">
    <w:name w:val="param-name"/>
    <w:qFormat/>
    <w:uiPriority w:val="99"/>
    <w:rPr>
      <w:rFonts w:ascii="Arial" w:hAnsi="Arial" w:eastAsia="黑体" w:cs="Arial"/>
      <w:snapToGrid w:val="0"/>
      <w:kern w:val="0"/>
      <w:szCs w:val="21"/>
    </w:rPr>
  </w:style>
  <w:style w:type="character" w:customStyle="1" w:styleId="875">
    <w:name w:val="标准正文格式 Char"/>
    <w:qFormat/>
    <w:uiPriority w:val="0"/>
    <w:rPr>
      <w:rFonts w:ascii="宋体" w:eastAsia="仿宋_GB2312" w:cs="宋体"/>
      <w:color w:val="000000"/>
      <w:sz w:val="24"/>
      <w:lang w:val="en-US" w:eastAsia="zh-CN" w:bidi="ar-SA"/>
    </w:rPr>
  </w:style>
  <w:style w:type="character" w:customStyle="1" w:styleId="876">
    <w:name w:val="Char Char212"/>
    <w:qFormat/>
    <w:uiPriority w:val="0"/>
    <w:rPr>
      <w:rFonts w:eastAsia="宋体"/>
      <w:b/>
      <w:bCs/>
      <w:kern w:val="2"/>
      <w:sz w:val="21"/>
      <w:szCs w:val="24"/>
      <w:lang w:val="en-US" w:eastAsia="zh-CN" w:bidi="ar-SA"/>
    </w:rPr>
  </w:style>
  <w:style w:type="character" w:customStyle="1" w:styleId="877">
    <w:name w:val="文档结构图 Char"/>
    <w:qFormat/>
    <w:uiPriority w:val="0"/>
    <w:rPr>
      <w:rFonts w:eastAsia="宋体"/>
      <w:kern w:val="2"/>
      <w:sz w:val="21"/>
      <w:szCs w:val="24"/>
      <w:lang w:val="en-US" w:eastAsia="zh-CN" w:bidi="ar-SA"/>
    </w:rPr>
  </w:style>
  <w:style w:type="character" w:customStyle="1" w:styleId="878">
    <w:name w:val="zbggmain style9"/>
    <w:qFormat/>
    <w:uiPriority w:val="0"/>
  </w:style>
  <w:style w:type="character" w:customStyle="1" w:styleId="879">
    <w:name w:val="Char Char16"/>
    <w:qFormat/>
    <w:uiPriority w:val="6"/>
    <w:rPr>
      <w:kern w:val="1"/>
      <w:sz w:val="18"/>
      <w:szCs w:val="18"/>
    </w:rPr>
  </w:style>
  <w:style w:type="character" w:customStyle="1" w:styleId="880">
    <w:name w:val="font51"/>
    <w:qFormat/>
    <w:uiPriority w:val="0"/>
    <w:rPr>
      <w:rFonts w:hint="eastAsia" w:ascii="仿宋" w:hAnsi="仿宋" w:eastAsia="仿宋" w:cs="仿宋"/>
      <w:color w:val="000000"/>
      <w:sz w:val="20"/>
      <w:szCs w:val="20"/>
      <w:u w:val="none"/>
    </w:rPr>
  </w:style>
  <w:style w:type="character" w:customStyle="1" w:styleId="881">
    <w:name w:val="Char Char82"/>
    <w:qFormat/>
    <w:uiPriority w:val="0"/>
    <w:rPr>
      <w:rFonts w:eastAsia="宋体"/>
      <w:b/>
      <w:sz w:val="24"/>
      <w:lang w:eastAsia="zh-CN"/>
    </w:rPr>
  </w:style>
  <w:style w:type="character" w:customStyle="1" w:styleId="882">
    <w:name w:val="正文文本缩进 3 Char"/>
    <w:link w:val="54"/>
    <w:qFormat/>
    <w:uiPriority w:val="0"/>
    <w:rPr>
      <w:kern w:val="2"/>
      <w:sz w:val="24"/>
    </w:rPr>
  </w:style>
  <w:style w:type="character" w:customStyle="1" w:styleId="883">
    <w:name w:val="日期 Char1"/>
    <w:semiHidden/>
    <w:qFormat/>
    <w:uiPriority w:val="99"/>
    <w:rPr>
      <w:rFonts w:ascii="Times New Roman" w:hAnsi="Times New Roman" w:eastAsia="宋体" w:cs="Times New Roman"/>
      <w:szCs w:val="24"/>
    </w:rPr>
  </w:style>
  <w:style w:type="character" w:customStyle="1" w:styleId="884">
    <w:name w:val="页眉 字符"/>
    <w:qFormat/>
    <w:uiPriority w:val="99"/>
    <w:rPr>
      <w:kern w:val="2"/>
      <w:sz w:val="18"/>
      <w:szCs w:val="18"/>
    </w:rPr>
  </w:style>
  <w:style w:type="character" w:customStyle="1" w:styleId="885">
    <w:name w:val="Char Char33"/>
    <w:qFormat/>
    <w:uiPriority w:val="6"/>
    <w:rPr>
      <w:rFonts w:ascii="Arial" w:hAnsi="Arial" w:eastAsia="黑体"/>
      <w:b/>
      <w:kern w:val="1"/>
      <w:sz w:val="24"/>
      <w:szCs w:val="24"/>
    </w:rPr>
  </w:style>
  <w:style w:type="character" w:customStyle="1" w:styleId="886">
    <w:name w:val="b11_01b Char"/>
    <w:link w:val="113"/>
    <w:qFormat/>
    <w:uiPriority w:val="0"/>
    <w:rPr>
      <w:rFonts w:ascii="Verdana" w:hAnsi="Verdana"/>
      <w:b/>
      <w:bCs/>
      <w:color w:val="4A82CA"/>
      <w:sz w:val="17"/>
      <w:szCs w:val="17"/>
    </w:rPr>
  </w:style>
  <w:style w:type="character" w:customStyle="1" w:styleId="887">
    <w:name w:val="Char Char121"/>
    <w:qFormat/>
    <w:uiPriority w:val="6"/>
    <w:rPr>
      <w:rFonts w:ascii="仿宋_GB2312" w:eastAsia="仿宋_GB2312"/>
      <w:b/>
      <w:bCs/>
      <w:kern w:val="2"/>
      <w:sz w:val="24"/>
      <w:szCs w:val="24"/>
      <w:lang w:val="zh-CN" w:eastAsia="zh-CN" w:bidi="ar-SA"/>
    </w:rPr>
  </w:style>
  <w:style w:type="character" w:customStyle="1" w:styleId="888">
    <w:name w:val="Footer-Even Char"/>
    <w:qFormat/>
    <w:uiPriority w:val="0"/>
    <w:rPr>
      <w:rFonts w:eastAsia="宋体"/>
      <w:kern w:val="2"/>
      <w:sz w:val="18"/>
      <w:lang w:val="en-US" w:eastAsia="zh-CN" w:bidi="ar-SA"/>
    </w:rPr>
  </w:style>
  <w:style w:type="character" w:customStyle="1" w:styleId="889">
    <w:name w:val="页脚 Char2"/>
    <w:link w:val="41"/>
    <w:qFormat/>
    <w:locked/>
    <w:uiPriority w:val="99"/>
    <w:rPr>
      <w:kern w:val="2"/>
      <w:sz w:val="18"/>
      <w:szCs w:val="18"/>
    </w:rPr>
  </w:style>
  <w:style w:type="character" w:customStyle="1" w:styleId="890">
    <w:name w:val="Char Char36"/>
    <w:qFormat/>
    <w:uiPriority w:val="6"/>
    <w:rPr>
      <w:rFonts w:ascii="仿宋_GB2312" w:hAnsi="仿宋_GB2312" w:eastAsia="仿宋_GB2312" w:cs="Arial"/>
      <w:b/>
      <w:kern w:val="1"/>
      <w:sz w:val="32"/>
      <w:szCs w:val="32"/>
      <w:lang w:val="zh-CN" w:eastAsia="zh-CN" w:bidi="ar-SA"/>
    </w:rPr>
  </w:style>
  <w:style w:type="character" w:customStyle="1" w:styleId="891">
    <w:name w:val="Char Char61"/>
    <w:qFormat/>
    <w:uiPriority w:val="6"/>
    <w:rPr>
      <w:rFonts w:eastAsia="宋体"/>
      <w:kern w:val="2"/>
      <w:sz w:val="21"/>
      <w:szCs w:val="24"/>
      <w:lang w:val="en-US" w:eastAsia="zh-CN" w:bidi="ar-SA"/>
    </w:rPr>
  </w:style>
  <w:style w:type="character" w:customStyle="1" w:styleId="892">
    <w:name w:val="正文文字缩进 2 Char Char"/>
    <w:qFormat/>
    <w:uiPriority w:val="0"/>
    <w:rPr>
      <w:rFonts w:ascii="宋体"/>
      <w:sz w:val="28"/>
    </w:rPr>
  </w:style>
  <w:style w:type="character" w:customStyle="1" w:styleId="893">
    <w:name w:val="f141"/>
    <w:qFormat/>
    <w:uiPriority w:val="0"/>
    <w:rPr>
      <w:rFonts w:ascii="Tahoma" w:hAnsi="Tahoma" w:eastAsia="宋体"/>
      <w:b/>
      <w:kern w:val="2"/>
      <w:sz w:val="21"/>
      <w:szCs w:val="21"/>
      <w:lang w:val="en-US" w:eastAsia="zh-CN" w:bidi="ar-SA"/>
    </w:rPr>
  </w:style>
  <w:style w:type="character" w:customStyle="1" w:styleId="894">
    <w:name w:val="段落 Char Char"/>
    <w:link w:val="114"/>
    <w:qFormat/>
    <w:uiPriority w:val="0"/>
    <w:rPr>
      <w:rFonts w:ascii="宋体" w:hAnsi="宋体"/>
      <w:sz w:val="24"/>
    </w:rPr>
  </w:style>
  <w:style w:type="character" w:customStyle="1" w:styleId="895">
    <w:name w:val="标题 3 Char2"/>
    <w:qFormat/>
    <w:uiPriority w:val="0"/>
    <w:rPr>
      <w:rFonts w:eastAsia="宋体"/>
      <w:b/>
      <w:bCs/>
      <w:kern w:val="2"/>
      <w:sz w:val="32"/>
      <w:szCs w:val="32"/>
      <w:lang w:val="en-US" w:eastAsia="zh-CN" w:bidi="ar-SA"/>
    </w:rPr>
  </w:style>
  <w:style w:type="character" w:customStyle="1" w:styleId="896">
    <w:name w:val="apple-converted-space"/>
    <w:qFormat/>
    <w:uiPriority w:val="0"/>
  </w:style>
  <w:style w:type="character" w:customStyle="1" w:styleId="897">
    <w:name w:val="页眉 Char2"/>
    <w:link w:val="42"/>
    <w:qFormat/>
    <w:uiPriority w:val="99"/>
    <w:rPr>
      <w:kern w:val="2"/>
      <w:sz w:val="18"/>
      <w:szCs w:val="18"/>
    </w:rPr>
  </w:style>
  <w:style w:type="character" w:customStyle="1" w:styleId="898">
    <w:name w:val="Char Char9"/>
    <w:qFormat/>
    <w:uiPriority w:val="0"/>
    <w:rPr>
      <w:rFonts w:eastAsia="宋体"/>
      <w:kern w:val="2"/>
      <w:sz w:val="18"/>
      <w:szCs w:val="18"/>
      <w:lang w:val="en-US" w:eastAsia="zh-CN" w:bidi="ar-SA"/>
    </w:rPr>
  </w:style>
  <w:style w:type="character" w:customStyle="1" w:styleId="899">
    <w:name w:val="Char Char41"/>
    <w:qFormat/>
    <w:uiPriority w:val="0"/>
    <w:rPr>
      <w:rFonts w:eastAsia="宋体"/>
      <w:b/>
      <w:sz w:val="24"/>
      <w:lang w:eastAsia="zh-CN" w:bidi="ar-SA"/>
    </w:rPr>
  </w:style>
  <w:style w:type="character" w:customStyle="1" w:styleId="900">
    <w:name w:val="large1"/>
    <w:qFormat/>
    <w:uiPriority w:val="0"/>
    <w:rPr>
      <w:rFonts w:hint="eastAsia" w:ascii="宋体" w:hAnsi="宋体" w:eastAsia="宋体"/>
      <w:sz w:val="21"/>
      <w:szCs w:val="21"/>
    </w:rPr>
  </w:style>
  <w:style w:type="character" w:customStyle="1" w:styleId="901">
    <w:name w:val="正文段 Char"/>
    <w:link w:val="5"/>
    <w:qFormat/>
    <w:uiPriority w:val="0"/>
    <w:rPr>
      <w:sz w:val="24"/>
    </w:rPr>
  </w:style>
  <w:style w:type="character" w:customStyle="1" w:styleId="902">
    <w:name w:val="Char Char13"/>
    <w:qFormat/>
    <w:uiPriority w:val="6"/>
    <w:rPr>
      <w:rFonts w:ascii="宋体" w:hAnsi="宋体"/>
      <w:kern w:val="1"/>
      <w:sz w:val="21"/>
      <w:szCs w:val="24"/>
    </w:rPr>
  </w:style>
  <w:style w:type="character" w:customStyle="1" w:styleId="9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4">
    <w:name w:val="冯广丽 Char"/>
    <w:link w:val="115"/>
    <w:qFormat/>
    <w:uiPriority w:val="0"/>
    <w:rPr>
      <w:rFonts w:ascii="宋体" w:hAnsi="宋体"/>
      <w:kern w:val="2"/>
      <w:sz w:val="24"/>
      <w:szCs w:val="22"/>
    </w:rPr>
  </w:style>
  <w:style w:type="character" w:customStyle="1" w:styleId="905">
    <w:name w:val="批注文字 字符"/>
    <w:qFormat/>
    <w:uiPriority w:val="0"/>
    <w:rPr>
      <w:rFonts w:ascii="Arial" w:hAnsi="Arial" w:eastAsia="黑体" w:cs="Arial"/>
      <w:snapToGrid w:val="0"/>
      <w:kern w:val="0"/>
      <w:szCs w:val="21"/>
    </w:rPr>
  </w:style>
  <w:style w:type="character" w:customStyle="1" w:styleId="906">
    <w:name w:val="Char Char161"/>
    <w:qFormat/>
    <w:uiPriority w:val="0"/>
    <w:rPr>
      <w:rFonts w:eastAsia="宋体"/>
      <w:b/>
      <w:kern w:val="2"/>
      <w:sz w:val="32"/>
      <w:lang w:val="en-US" w:eastAsia="zh-CN"/>
    </w:rPr>
  </w:style>
  <w:style w:type="character" w:customStyle="1" w:styleId="907">
    <w:name w:val="javascript"/>
    <w:qFormat/>
    <w:uiPriority w:val="0"/>
  </w:style>
  <w:style w:type="character" w:customStyle="1" w:styleId="908">
    <w:name w:val="图名 Char"/>
    <w:qFormat/>
    <w:uiPriority w:val="0"/>
    <w:rPr>
      <w:rFonts w:ascii="Arial" w:hAnsi="Arial" w:eastAsia="黑体"/>
      <w:kern w:val="2"/>
      <w:sz w:val="24"/>
      <w:szCs w:val="24"/>
      <w:lang w:val="en-US" w:eastAsia="zh-CN" w:bidi="ar-SA"/>
    </w:rPr>
  </w:style>
  <w:style w:type="character" w:customStyle="1" w:styleId="909">
    <w:name w:val="Used by Word for text of Help footnotes Char Char"/>
    <w:qFormat/>
    <w:uiPriority w:val="0"/>
    <w:rPr>
      <w:rFonts w:ascii="Times New Roman" w:hAnsi="Times New Roman" w:eastAsia="宋体" w:cs="Times New Roman"/>
      <w:sz w:val="20"/>
      <w:szCs w:val="20"/>
    </w:rPr>
  </w:style>
  <w:style w:type="character" w:customStyle="1" w:styleId="910">
    <w:name w:val="编号，小四 Char"/>
    <w:link w:val="116"/>
    <w:qFormat/>
    <w:uiPriority w:val="0"/>
    <w:rPr>
      <w:rFonts w:ascii="Arial" w:hAnsi="Arial"/>
      <w:sz w:val="24"/>
    </w:rPr>
  </w:style>
  <w:style w:type="character" w:customStyle="1" w:styleId="911">
    <w:name w:val="Font Style82"/>
    <w:qFormat/>
    <w:uiPriority w:val="99"/>
    <w:rPr>
      <w:rFonts w:ascii="宋体" w:eastAsia="宋体" w:cs="宋体"/>
      <w:color w:val="000000"/>
      <w:sz w:val="14"/>
      <w:szCs w:val="14"/>
    </w:rPr>
  </w:style>
  <w:style w:type="character" w:customStyle="1" w:styleId="912">
    <w:name w:val="标题 2 Char Char"/>
    <w:qFormat/>
    <w:uiPriority w:val="0"/>
    <w:rPr>
      <w:rFonts w:ascii="楷体_GB2312" w:hAnsi="Arial" w:eastAsia="楷体_GB2312"/>
      <w:b/>
      <w:bCs/>
      <w:kern w:val="2"/>
      <w:sz w:val="24"/>
      <w:szCs w:val="32"/>
      <w:lang w:val="en-US" w:eastAsia="zh-CN" w:bidi="ar-SA"/>
    </w:rPr>
  </w:style>
  <w:style w:type="character" w:customStyle="1" w:styleId="913">
    <w:name w:val="未用 Char"/>
    <w:qFormat/>
    <w:uiPriority w:val="0"/>
    <w:rPr>
      <w:rFonts w:ascii="Arial" w:hAnsi="Arial" w:eastAsia="黑体"/>
      <w:kern w:val="2"/>
      <w:sz w:val="21"/>
      <w:szCs w:val="21"/>
      <w:lang w:val="en-US" w:eastAsia="zh-CN" w:bidi="ar-SA"/>
    </w:rPr>
  </w:style>
  <w:style w:type="character" w:customStyle="1" w:styleId="914">
    <w:name w:val="myp1111"/>
    <w:qFormat/>
    <w:uiPriority w:val="0"/>
    <w:rPr>
      <w:rFonts w:hint="default" w:ascii="ˎ̥" w:hAnsi="ˎ̥"/>
      <w:color w:val="000000"/>
      <w:sz w:val="20"/>
      <w:szCs w:val="20"/>
      <w:u w:val="none"/>
    </w:rPr>
  </w:style>
  <w:style w:type="character" w:customStyle="1" w:styleId="915">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16">
    <w:name w:val="h Char Char"/>
    <w:qFormat/>
    <w:uiPriority w:val="0"/>
    <w:rPr>
      <w:rFonts w:eastAsia="宋体"/>
      <w:kern w:val="2"/>
      <w:sz w:val="18"/>
      <w:lang w:val="en-US" w:eastAsia="zh-CN" w:bidi="ar-SA"/>
    </w:rPr>
  </w:style>
  <w:style w:type="character" w:customStyle="1" w:styleId="917">
    <w:name w:val="仿宋正文 Char"/>
    <w:link w:val="117"/>
    <w:qFormat/>
    <w:uiPriority w:val="0"/>
    <w:rPr>
      <w:rFonts w:ascii="仿宋_GB2312" w:eastAsia="仿宋_GB2312"/>
      <w:kern w:val="2"/>
      <w:sz w:val="24"/>
      <w:lang w:val="en-US" w:eastAsia="zh-CN" w:bidi="ar-SA"/>
    </w:rPr>
  </w:style>
  <w:style w:type="character" w:customStyle="1" w:styleId="918">
    <w:name w:val="正文首行缩进 Char Char Char Char Char Char"/>
    <w:qFormat/>
    <w:uiPriority w:val="0"/>
    <w:rPr>
      <w:rFonts w:ascii="宋体" w:eastAsia="宋体"/>
      <w:kern w:val="2"/>
      <w:sz w:val="24"/>
      <w:lang w:val="zh-CN" w:bidi="ar-SA"/>
    </w:rPr>
  </w:style>
  <w:style w:type="character" w:customStyle="1" w:styleId="919">
    <w:name w:val="样式 宋体"/>
    <w:qFormat/>
    <w:uiPriority w:val="0"/>
    <w:rPr>
      <w:rFonts w:ascii="宋体" w:hAnsi="宋体"/>
      <w:sz w:val="24"/>
    </w:rPr>
  </w:style>
  <w:style w:type="character" w:customStyle="1" w:styleId="920">
    <w:name w:val="tw4winJump"/>
    <w:qFormat/>
    <w:uiPriority w:val="0"/>
    <w:rPr>
      <w:rFonts w:ascii="Courier New" w:hAnsi="Courier New" w:cs="Courier New"/>
      <w:color w:val="008080"/>
      <w:lang w:val="en-US" w:eastAsia="zh-CN"/>
    </w:rPr>
  </w:style>
  <w:style w:type="character" w:customStyle="1" w:styleId="921">
    <w:name w:val="标题 1 字符"/>
    <w:qFormat/>
    <w:uiPriority w:val="9"/>
    <w:rPr>
      <w:rFonts w:ascii="Arial" w:hAnsi="Arial" w:eastAsia="黑体" w:cs="Arial"/>
      <w:b/>
      <w:bCs/>
      <w:snapToGrid w:val="0"/>
      <w:kern w:val="44"/>
      <w:sz w:val="44"/>
      <w:szCs w:val="44"/>
    </w:rPr>
  </w:style>
  <w:style w:type="character" w:customStyle="1" w:styleId="922">
    <w:name w:val="style36"/>
    <w:basedOn w:val="70"/>
    <w:qFormat/>
    <w:uiPriority w:val="0"/>
    <w:rPr>
      <w:rFonts w:ascii="Arial" w:hAnsi="Arial" w:eastAsia="黑体" w:cs="Arial"/>
      <w:snapToGrid w:val="0"/>
      <w:kern w:val="0"/>
      <w:szCs w:val="21"/>
    </w:rPr>
  </w:style>
  <w:style w:type="character" w:customStyle="1" w:styleId="923">
    <w:name w:val="pt9"/>
    <w:qFormat/>
    <w:uiPriority w:val="0"/>
    <w:rPr>
      <w:rFonts w:ascii="仿宋_GB2312" w:eastAsia="微软雅黑"/>
      <w:b/>
      <w:kern w:val="2"/>
      <w:sz w:val="32"/>
      <w:szCs w:val="32"/>
      <w:lang w:val="en-US" w:eastAsia="zh-CN" w:bidi="ar-SA"/>
    </w:rPr>
  </w:style>
  <w:style w:type="character" w:customStyle="1" w:styleId="924">
    <w:name w:val="DO_NOT_TRANSLATE"/>
    <w:qFormat/>
    <w:uiPriority w:val="0"/>
    <w:rPr>
      <w:rFonts w:ascii="Courier New" w:hAnsi="Courier New" w:cs="Courier New"/>
      <w:color w:val="800000"/>
      <w:lang w:val="en-US" w:eastAsia="zh-CN"/>
    </w:rPr>
  </w:style>
  <w:style w:type="character" w:customStyle="1" w:styleId="925">
    <w:name w:val="标书1 Char1"/>
    <w:qFormat/>
    <w:uiPriority w:val="0"/>
    <w:rPr>
      <w:rFonts w:eastAsia="宋体"/>
      <w:b/>
      <w:bCs/>
      <w:kern w:val="44"/>
      <w:sz w:val="44"/>
      <w:szCs w:val="44"/>
      <w:lang w:val="en-US" w:eastAsia="zh-CN" w:bidi="ar-SA"/>
    </w:rPr>
  </w:style>
  <w:style w:type="character" w:customStyle="1" w:styleId="926">
    <w:name w:val="页脚 字符"/>
    <w:qFormat/>
    <w:uiPriority w:val="99"/>
    <w:rPr>
      <w:kern w:val="2"/>
      <w:sz w:val="18"/>
      <w:szCs w:val="18"/>
    </w:rPr>
  </w:style>
  <w:style w:type="character" w:customStyle="1" w:styleId="927">
    <w:name w:val="正文2 Char"/>
    <w:qFormat/>
    <w:uiPriority w:val="0"/>
    <w:rPr>
      <w:rFonts w:eastAsia="宋体"/>
      <w:kern w:val="2"/>
      <w:sz w:val="24"/>
      <w:lang w:val="en-US" w:eastAsia="zh-CN" w:bidi="ar-SA"/>
    </w:rPr>
  </w:style>
  <w:style w:type="character" w:customStyle="1" w:styleId="928">
    <w:name w:val="Char Char21"/>
    <w:qFormat/>
    <w:uiPriority w:val="6"/>
    <w:rPr>
      <w:rFonts w:ascii="宋体" w:hAnsi="宋体"/>
      <w:kern w:val="1"/>
      <w:sz w:val="24"/>
      <w:szCs w:val="21"/>
      <w:lang w:val="zh-CN"/>
    </w:rPr>
  </w:style>
  <w:style w:type="character" w:customStyle="1" w:styleId="929">
    <w:name w:val="样式 正文缩进 + 首行缩进:  2 字符 Char Char"/>
    <w:link w:val="118"/>
    <w:qFormat/>
    <w:uiPriority w:val="0"/>
    <w:rPr>
      <w:rFonts w:cs="宋体"/>
      <w:kern w:val="2"/>
      <w:sz w:val="24"/>
    </w:rPr>
  </w:style>
  <w:style w:type="character" w:customStyle="1" w:styleId="9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31">
    <w:name w:val="gray6"/>
    <w:basedOn w:val="70"/>
    <w:qFormat/>
    <w:uiPriority w:val="0"/>
    <w:rPr>
      <w:rFonts w:ascii="Arial" w:hAnsi="Arial" w:eastAsia="黑体" w:cs="Arial"/>
      <w:snapToGrid w:val="0"/>
      <w:kern w:val="0"/>
      <w:szCs w:val="21"/>
    </w:rPr>
  </w:style>
  <w:style w:type="character" w:customStyle="1" w:styleId="932">
    <w:name w:val="hui"/>
    <w:basedOn w:val="70"/>
    <w:qFormat/>
    <w:uiPriority w:val="0"/>
    <w:rPr>
      <w:rFonts w:ascii="Arial" w:hAnsi="Arial" w:eastAsia="黑体" w:cs="Arial"/>
      <w:snapToGrid w:val="0"/>
      <w:kern w:val="0"/>
      <w:szCs w:val="21"/>
    </w:rPr>
  </w:style>
  <w:style w:type="character" w:customStyle="1" w:styleId="933">
    <w:name w:val="哈哈正文 Char Char"/>
    <w:qFormat/>
    <w:uiPriority w:val="0"/>
    <w:rPr>
      <w:rFonts w:ascii="宋体" w:hAnsi="宋体" w:eastAsia="宋体" w:cs="宋体"/>
      <w:kern w:val="2"/>
      <w:sz w:val="24"/>
      <w:lang w:val="en-US" w:eastAsia="zh-CN" w:bidi="ar-SA"/>
    </w:r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39"/>
    <w:qFormat/>
    <w:uiPriority w:val="0"/>
    <w:rPr>
      <w:kern w:val="2"/>
      <w:sz w:val="21"/>
      <w:szCs w:val="24"/>
      <w:lang w:val="zh-CN"/>
    </w:rPr>
  </w:style>
  <w:style w:type="character" w:customStyle="1" w:styleId="939">
    <w:name w:val="无间隔 Char"/>
    <w:link w:val="168"/>
    <w:qFormat/>
    <w:uiPriority w:val="99"/>
    <w:rPr>
      <w:kern w:val="2"/>
      <w:sz w:val="21"/>
      <w:szCs w:val="22"/>
    </w:rPr>
  </w:style>
  <w:style w:type="character" w:customStyle="1" w:styleId="940">
    <w:name w:val="标准文本 Char Char"/>
    <w:link w:val="605"/>
    <w:qFormat/>
    <w:uiPriority w:val="0"/>
    <w:rPr>
      <w:rFonts w:cs="宋体"/>
      <w:kern w:val="2"/>
      <w:sz w:val="24"/>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character" w:customStyle="1" w:styleId="954">
    <w:name w:val="ksfind_class_select1"/>
    <w:basedOn w:val="70"/>
    <w:qFormat/>
    <w:uiPriority w:val="0"/>
    <w:rPr>
      <w:color w:val="000000"/>
      <w:shd w:val="clear" w:color="auto" w:fill="EFD200"/>
    </w:rPr>
  </w:style>
  <w:style w:type="character" w:customStyle="1" w:styleId="955">
    <w:name w:val="font71"/>
    <w:qFormat/>
    <w:uiPriority w:val="0"/>
    <w:rPr>
      <w:rFonts w:hint="eastAsia" w:ascii="宋体" w:hAnsi="宋体" w:eastAsia="宋体" w:cs="宋体"/>
      <w:color w:val="000000"/>
      <w:sz w:val="22"/>
      <w:szCs w:val="22"/>
      <w:u w:val="none"/>
    </w:rPr>
  </w:style>
  <w:style w:type="character" w:customStyle="1" w:styleId="956">
    <w:name w:val="font91"/>
    <w:qFormat/>
    <w:uiPriority w:val="0"/>
    <w:rPr>
      <w:rFonts w:hint="eastAsia" w:ascii="仿宋" w:hAnsi="仿宋" w:eastAsia="仿宋" w:cs="仿宋"/>
      <w:color w:val="000000"/>
      <w:sz w:val="22"/>
      <w:szCs w:val="22"/>
      <w:u w:val="none"/>
    </w:rPr>
  </w:style>
  <w:style w:type="character" w:customStyle="1" w:styleId="957">
    <w:name w:val="fontstyle01"/>
    <w:basedOn w:val="70"/>
    <w:uiPriority w:val="0"/>
    <w:rPr>
      <w:rFonts w:ascii="宋体" w:hAnsi="宋体" w:eastAsia="宋体" w:cs="宋体"/>
      <w:b w:val="0"/>
      <w:color w:val="000000"/>
      <w:sz w:val="22"/>
      <w:szCs w:val="22"/>
    </w:rPr>
  </w:style>
  <w:style w:type="table" w:customStyle="1" w:styleId="95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118</Pages>
  <Words>55477</Words>
  <Characters>61747</Characters>
  <Lines>287</Lines>
  <Paragraphs>81</Paragraphs>
  <TotalTime>4</TotalTime>
  <ScaleCrop>false</ScaleCrop>
  <LinksUpToDate>false</LinksUpToDate>
  <CharactersWithSpaces>68814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天阳建设管理有限公司</cp:lastModifiedBy>
  <cp:lastPrinted>2022-09-19T08:49:00Z</cp:lastPrinted>
  <dcterms:modified xsi:type="dcterms:W3CDTF">2022-10-20T03:29:11Z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31A395C04D3D49AC876996DB7FBB14A8</vt:lpwstr>
  </property>
</Properties>
</file>