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77C8A7">
      <w:pPr>
        <w:spacing w:line="360" w:lineRule="auto"/>
        <w:jc w:val="center"/>
        <w:rPr>
          <w:rFonts w:ascii="宋体" w:hAnsi="宋体" w:cs="宋体"/>
          <w:b/>
          <w:color w:val="auto"/>
          <w:sz w:val="24"/>
          <w:highlight w:val="none"/>
        </w:rPr>
      </w:pPr>
    </w:p>
    <w:p w14:paraId="0A5C5A0D">
      <w:pPr>
        <w:spacing w:line="360" w:lineRule="auto"/>
        <w:jc w:val="center"/>
        <w:rPr>
          <w:rFonts w:ascii="宋体" w:hAnsi="宋体" w:cs="宋体"/>
          <w:b/>
          <w:color w:val="auto"/>
          <w:sz w:val="24"/>
          <w:highlight w:val="none"/>
        </w:rPr>
      </w:pPr>
    </w:p>
    <w:p w14:paraId="0F01F23D">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“杭北门户·未来贤城”城市新区风貌区建设方案编制和综合评估咨询服务项目</w:t>
      </w:r>
    </w:p>
    <w:p w14:paraId="7F808CB1">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2C8D9204">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1F4C79A8">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TKZXCG-2025-032</w:t>
      </w:r>
    </w:p>
    <w:p w14:paraId="5BBD926D">
      <w:pPr>
        <w:adjustRightInd/>
        <w:spacing w:line="360" w:lineRule="auto"/>
        <w:rPr>
          <w:rFonts w:ascii="宋体" w:hAnsi="宋体" w:cs="宋体"/>
          <w:color w:val="auto"/>
          <w:sz w:val="28"/>
          <w:szCs w:val="20"/>
          <w:highlight w:val="none"/>
        </w:rPr>
      </w:pPr>
    </w:p>
    <w:p w14:paraId="0BA468A7">
      <w:pPr>
        <w:pStyle w:val="79"/>
        <w:rPr>
          <w:rFonts w:ascii="宋体" w:hAnsi="宋体" w:cs="宋体"/>
          <w:color w:val="auto"/>
          <w:sz w:val="28"/>
          <w:szCs w:val="20"/>
          <w:highlight w:val="none"/>
        </w:rPr>
      </w:pPr>
    </w:p>
    <w:p w14:paraId="112092E3">
      <w:pPr>
        <w:pStyle w:val="79"/>
        <w:rPr>
          <w:rFonts w:ascii="宋体" w:hAnsi="宋体" w:cs="宋体"/>
          <w:color w:val="auto"/>
          <w:sz w:val="28"/>
          <w:szCs w:val="20"/>
          <w:highlight w:val="none"/>
        </w:rPr>
      </w:pPr>
    </w:p>
    <w:p w14:paraId="5649A9C9">
      <w:pPr>
        <w:spacing w:line="360" w:lineRule="auto"/>
        <w:jc w:val="center"/>
        <w:rPr>
          <w:rFonts w:ascii="宋体" w:hAnsi="宋体" w:cs="宋体"/>
          <w:b/>
          <w:color w:val="auto"/>
          <w:sz w:val="44"/>
          <w:szCs w:val="44"/>
          <w:highlight w:val="none"/>
        </w:rPr>
      </w:pPr>
      <w:r>
        <w:rPr>
          <w:rFonts w:hint="eastAsia" w:ascii="仿宋" w:hAnsi="仿宋" w:eastAsia="仿宋" w:cs="仿宋"/>
          <w:b/>
          <w:color w:val="auto"/>
          <w:sz w:val="44"/>
          <w:szCs w:val="44"/>
          <w:highlight w:val="none"/>
        </w:rPr>
        <w:drawing>
          <wp:inline distT="0" distB="0" distL="114300" distR="114300">
            <wp:extent cx="4740910" cy="1256030"/>
            <wp:effectExtent l="0" t="0" r="2540" b="1270"/>
            <wp:docPr id="1" name="图片 1"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天坤LOGO"/>
                    <pic:cNvPicPr>
                      <a:picLocks noChangeAspect="1"/>
                    </pic:cNvPicPr>
                  </pic:nvPicPr>
                  <pic:blipFill>
                    <a:blip r:embed="rId26"/>
                    <a:stretch>
                      <a:fillRect/>
                    </a:stretch>
                  </pic:blipFill>
                  <pic:spPr>
                    <a:xfrm>
                      <a:off x="0" y="0"/>
                      <a:ext cx="4740910" cy="1256030"/>
                    </a:xfrm>
                    <a:prstGeom prst="rect">
                      <a:avLst/>
                    </a:prstGeom>
                  </pic:spPr>
                </pic:pic>
              </a:graphicData>
            </a:graphic>
          </wp:inline>
        </w:drawing>
      </w:r>
      <w:r>
        <w:rPr>
          <w:rFonts w:hint="eastAsia" w:ascii="宋体" w:hAnsi="宋体" w:cs="宋体"/>
          <w:b/>
          <w:color w:val="auto"/>
          <w:sz w:val="44"/>
          <w:szCs w:val="44"/>
          <w:highlight w:val="none"/>
        </w:rPr>
        <w:t xml:space="preserve"> </w:t>
      </w:r>
    </w:p>
    <w:p w14:paraId="5BC8996A">
      <w:pPr>
        <w:spacing w:line="360" w:lineRule="auto"/>
        <w:jc w:val="center"/>
        <w:rPr>
          <w:rFonts w:ascii="宋体" w:hAnsi="宋体" w:cs="宋体"/>
          <w:b/>
          <w:color w:val="auto"/>
          <w:sz w:val="44"/>
          <w:szCs w:val="44"/>
          <w:highlight w:val="none"/>
        </w:rPr>
      </w:pPr>
    </w:p>
    <w:p w14:paraId="6854E374">
      <w:pPr>
        <w:spacing w:line="360" w:lineRule="auto"/>
        <w:jc w:val="center"/>
        <w:rPr>
          <w:rFonts w:ascii="宋体" w:hAnsi="宋体" w:cs="宋体"/>
          <w:color w:val="auto"/>
          <w:sz w:val="24"/>
          <w:highlight w:val="none"/>
        </w:rPr>
      </w:pPr>
    </w:p>
    <w:p w14:paraId="46C38D6F">
      <w:pPr>
        <w:spacing w:line="360" w:lineRule="auto"/>
        <w:jc w:val="center"/>
        <w:rPr>
          <w:rFonts w:ascii="宋体" w:hAnsi="宋体" w:cs="宋体"/>
          <w:color w:val="auto"/>
          <w:sz w:val="24"/>
          <w:highlight w:val="none"/>
        </w:rPr>
      </w:pPr>
    </w:p>
    <w:p w14:paraId="72941B48">
      <w:pPr>
        <w:spacing w:line="360" w:lineRule="auto"/>
        <w:rPr>
          <w:rFonts w:ascii="宋体" w:hAnsi="宋体" w:cs="宋体"/>
          <w:color w:val="auto"/>
          <w:sz w:val="32"/>
          <w:szCs w:val="32"/>
          <w:highlight w:val="none"/>
        </w:rPr>
      </w:pPr>
    </w:p>
    <w:p w14:paraId="48366948">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杭州市临平区人民政府崇贤街道办事处</w:t>
      </w:r>
    </w:p>
    <w:p w14:paraId="289DCB78">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杭州天坤建设咨询有限公司</w:t>
      </w:r>
    </w:p>
    <w:p w14:paraId="59BEA590">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六二十四</w:t>
      </w:r>
      <w:r>
        <w:rPr>
          <w:rFonts w:hint="eastAsia" w:ascii="宋体" w:hAnsi="宋体" w:cs="宋体"/>
          <w:bCs/>
          <w:color w:val="auto"/>
          <w:sz w:val="32"/>
          <w:szCs w:val="32"/>
          <w:highlight w:val="none"/>
        </w:rPr>
        <w:t>日</w:t>
      </w:r>
    </w:p>
    <w:p w14:paraId="0875FCC9">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19A67650">
      <w:pPr>
        <w:pStyle w:val="637"/>
        <w:rPr>
          <w:color w:val="auto"/>
          <w:highlight w:val="none"/>
        </w:rPr>
      </w:pPr>
    </w:p>
    <w:p w14:paraId="6FA1B737">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486412B2">
      <w:pPr>
        <w:spacing w:line="360" w:lineRule="auto"/>
        <w:rPr>
          <w:rFonts w:ascii="宋体" w:hAnsi="宋体" w:cs="宋体"/>
          <w:color w:val="auto"/>
          <w:sz w:val="32"/>
          <w:szCs w:val="32"/>
          <w:highlight w:val="none"/>
        </w:rPr>
      </w:pPr>
    </w:p>
    <w:p w14:paraId="1D3A535C">
      <w:pPr>
        <w:spacing w:line="360" w:lineRule="auto"/>
        <w:rPr>
          <w:rFonts w:ascii="宋体" w:hAnsi="宋体" w:cs="宋体"/>
          <w:color w:val="auto"/>
          <w:sz w:val="32"/>
          <w:szCs w:val="32"/>
          <w:highlight w:val="none"/>
        </w:rPr>
      </w:pPr>
    </w:p>
    <w:p w14:paraId="7BE113A9">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2E973D95">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22203D1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66EF074B">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7309CF14">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1F6815E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11AB8175">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6E2B1657">
      <w:pPr>
        <w:spacing w:line="360" w:lineRule="auto"/>
        <w:ind w:firstLine="549" w:firstLineChars="229"/>
        <w:rPr>
          <w:rFonts w:ascii="宋体" w:hAnsi="宋体" w:cs="宋体"/>
          <w:color w:val="auto"/>
          <w:sz w:val="24"/>
          <w:highlight w:val="none"/>
        </w:rPr>
      </w:pPr>
    </w:p>
    <w:p w14:paraId="4B655421">
      <w:pPr>
        <w:spacing w:line="360" w:lineRule="auto"/>
        <w:ind w:firstLine="549" w:firstLineChars="229"/>
        <w:rPr>
          <w:rFonts w:ascii="宋体" w:hAnsi="宋体" w:cs="宋体"/>
          <w:color w:val="auto"/>
          <w:sz w:val="24"/>
          <w:highlight w:val="none"/>
        </w:rPr>
      </w:pPr>
    </w:p>
    <w:p w14:paraId="0737F2FF">
      <w:pPr>
        <w:spacing w:line="360" w:lineRule="auto"/>
        <w:ind w:firstLine="549" w:firstLineChars="229"/>
        <w:rPr>
          <w:rFonts w:ascii="宋体" w:hAnsi="宋体" w:cs="宋体"/>
          <w:color w:val="auto"/>
          <w:sz w:val="24"/>
          <w:highlight w:val="none"/>
        </w:rPr>
      </w:pPr>
    </w:p>
    <w:p w14:paraId="0D24148D">
      <w:pPr>
        <w:spacing w:line="360" w:lineRule="auto"/>
        <w:ind w:firstLine="549" w:firstLineChars="229"/>
        <w:rPr>
          <w:rFonts w:ascii="宋体" w:hAnsi="宋体" w:cs="宋体"/>
          <w:color w:val="auto"/>
          <w:sz w:val="24"/>
          <w:highlight w:val="none"/>
        </w:rPr>
      </w:pPr>
    </w:p>
    <w:p w14:paraId="78FDDF64">
      <w:pPr>
        <w:spacing w:line="360" w:lineRule="auto"/>
        <w:ind w:firstLine="549" w:firstLineChars="229"/>
        <w:rPr>
          <w:rFonts w:ascii="宋体" w:hAnsi="宋体" w:cs="宋体"/>
          <w:color w:val="auto"/>
          <w:sz w:val="24"/>
          <w:highlight w:val="none"/>
        </w:rPr>
      </w:pPr>
    </w:p>
    <w:p w14:paraId="0A915DB0">
      <w:pPr>
        <w:spacing w:line="360" w:lineRule="auto"/>
        <w:ind w:firstLine="549" w:firstLineChars="229"/>
        <w:rPr>
          <w:rFonts w:ascii="宋体" w:hAnsi="宋体" w:cs="宋体"/>
          <w:color w:val="auto"/>
          <w:sz w:val="24"/>
          <w:highlight w:val="none"/>
        </w:rPr>
      </w:pPr>
    </w:p>
    <w:p w14:paraId="0B435453">
      <w:pPr>
        <w:spacing w:line="360" w:lineRule="auto"/>
        <w:ind w:firstLine="549" w:firstLineChars="229"/>
        <w:rPr>
          <w:rFonts w:ascii="宋体" w:hAnsi="宋体" w:cs="宋体"/>
          <w:color w:val="auto"/>
          <w:sz w:val="24"/>
          <w:highlight w:val="none"/>
        </w:rPr>
      </w:pPr>
    </w:p>
    <w:p w14:paraId="283CD491">
      <w:pPr>
        <w:spacing w:line="360" w:lineRule="auto"/>
        <w:ind w:firstLine="549" w:firstLineChars="229"/>
        <w:rPr>
          <w:rFonts w:ascii="宋体" w:hAnsi="宋体" w:cs="宋体"/>
          <w:color w:val="auto"/>
          <w:sz w:val="24"/>
          <w:highlight w:val="none"/>
        </w:rPr>
      </w:pPr>
    </w:p>
    <w:p w14:paraId="6721B4C0">
      <w:pPr>
        <w:spacing w:line="360" w:lineRule="auto"/>
        <w:ind w:firstLine="549" w:firstLineChars="229"/>
        <w:rPr>
          <w:rFonts w:ascii="宋体" w:hAnsi="宋体" w:cs="宋体"/>
          <w:color w:val="auto"/>
          <w:sz w:val="24"/>
          <w:highlight w:val="none"/>
        </w:rPr>
      </w:pPr>
    </w:p>
    <w:p w14:paraId="578FE1E8">
      <w:pPr>
        <w:spacing w:line="360" w:lineRule="auto"/>
        <w:ind w:firstLine="549" w:firstLineChars="229"/>
        <w:rPr>
          <w:rFonts w:ascii="宋体" w:hAnsi="宋体" w:cs="宋体"/>
          <w:color w:val="auto"/>
          <w:sz w:val="24"/>
          <w:highlight w:val="none"/>
        </w:rPr>
      </w:pPr>
    </w:p>
    <w:p w14:paraId="38BD0AC8">
      <w:pPr>
        <w:spacing w:line="360" w:lineRule="auto"/>
        <w:ind w:firstLine="549" w:firstLineChars="229"/>
        <w:rPr>
          <w:rFonts w:ascii="宋体" w:hAnsi="宋体" w:cs="宋体"/>
          <w:color w:val="auto"/>
          <w:sz w:val="24"/>
          <w:highlight w:val="none"/>
        </w:rPr>
      </w:pPr>
    </w:p>
    <w:p w14:paraId="0D0F25D2">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07423"/>
      <w:bookmarkEnd w:id="4"/>
      <w:bookmarkStart w:id="5" w:name="_Hlt74649545"/>
      <w:bookmarkEnd w:id="5"/>
      <w:bookmarkStart w:id="6" w:name="_Hlt74728647"/>
      <w:bookmarkEnd w:id="6"/>
      <w:bookmarkStart w:id="7" w:name="_Hlt74729822"/>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26C42557">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77733431">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lang w:eastAsia="zh-CN"/>
        </w:rPr>
        <w:t>“杭北门户·未来贤城”城市新区风貌区建设方案编制和综合评估咨询服务项目</w:t>
      </w:r>
      <w:r>
        <w:rPr>
          <w:rFonts w:hint="eastAsia" w:ascii="宋体" w:hAnsi="宋体" w:cs="宋体"/>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https://www.zcygov.cn/）获取（下载）招标文件，并于202</w:t>
      </w:r>
      <w:r>
        <w:rPr>
          <w:rStyle w:val="76"/>
          <w:rFonts w:hint="eastAsia" w:ascii="宋体" w:hAnsi="宋体" w:cs="宋体"/>
          <w:snapToGrid/>
          <w:color w:val="auto"/>
          <w:kern w:val="2"/>
          <w:sz w:val="24"/>
          <w:szCs w:val="24"/>
          <w:highlight w:val="none"/>
          <w:lang w:val="en-US" w:eastAsia="zh-CN"/>
        </w:rPr>
        <w:t>5</w:t>
      </w:r>
      <w:r>
        <w:rPr>
          <w:rStyle w:val="76"/>
          <w:rFonts w:hint="eastAsia" w:ascii="宋体" w:hAnsi="宋体" w:eastAsia="宋体" w:cs="宋体"/>
          <w:snapToGrid/>
          <w:color w:val="auto"/>
          <w:kern w:val="2"/>
          <w:sz w:val="24"/>
          <w:szCs w:val="24"/>
          <w:highlight w:val="none"/>
        </w:rPr>
        <w:t>年</w:t>
      </w:r>
      <w:r>
        <w:rPr>
          <w:rStyle w:val="76"/>
          <w:rFonts w:hint="eastAsia" w:ascii="宋体" w:hAnsi="宋体" w:cs="宋体"/>
          <w:snapToGrid/>
          <w:color w:val="auto"/>
          <w:kern w:val="2"/>
          <w:sz w:val="24"/>
          <w:szCs w:val="24"/>
          <w:highlight w:val="none"/>
          <w:lang w:val="en-US" w:eastAsia="zh-CN"/>
        </w:rPr>
        <w:t>7</w:t>
      </w:r>
      <w:r>
        <w:rPr>
          <w:rStyle w:val="76"/>
          <w:rFonts w:hint="eastAsia" w:ascii="宋体" w:hAnsi="宋体" w:eastAsia="宋体" w:cs="宋体"/>
          <w:snapToGrid/>
          <w:color w:val="auto"/>
          <w:kern w:val="2"/>
          <w:sz w:val="24"/>
          <w:szCs w:val="24"/>
          <w:highlight w:val="none"/>
        </w:rPr>
        <w:t>月</w:t>
      </w:r>
      <w:r>
        <w:rPr>
          <w:rStyle w:val="76"/>
          <w:rFonts w:hint="eastAsia" w:ascii="宋体" w:hAnsi="宋体" w:cs="宋体"/>
          <w:snapToGrid/>
          <w:color w:val="auto"/>
          <w:kern w:val="2"/>
          <w:sz w:val="24"/>
          <w:szCs w:val="24"/>
          <w:highlight w:val="none"/>
          <w:lang w:val="en-US" w:eastAsia="zh-CN"/>
        </w:rPr>
        <w:t>14</w:t>
      </w:r>
      <w:r>
        <w:rPr>
          <w:rStyle w:val="76"/>
          <w:rFonts w:hint="eastAsia" w:ascii="宋体" w:hAnsi="宋体" w:eastAsia="宋体" w:cs="宋体"/>
          <w:snapToGrid/>
          <w:color w:val="auto"/>
          <w:kern w:val="2"/>
          <w:sz w:val="24"/>
          <w:szCs w:val="24"/>
          <w:highlight w:val="none"/>
        </w:rPr>
        <w:t>日</w:t>
      </w:r>
      <w:r>
        <w:rPr>
          <w:rStyle w:val="76"/>
          <w:rFonts w:hint="eastAsia" w:ascii="宋体" w:hAnsi="宋体" w:cs="宋体"/>
          <w:snapToGrid/>
          <w:color w:val="auto"/>
          <w:kern w:val="2"/>
          <w:sz w:val="24"/>
          <w:szCs w:val="24"/>
          <w:highlight w:val="none"/>
          <w:lang w:val="en-US" w:eastAsia="zh-CN"/>
        </w:rPr>
        <w:t>14</w:t>
      </w:r>
      <w:r>
        <w:rPr>
          <w:rStyle w:val="76"/>
          <w:rFonts w:hint="eastAsia" w:ascii="宋体" w:hAnsi="宋体" w:eastAsia="宋体" w:cs="宋体"/>
          <w:snapToGrid/>
          <w:color w:val="auto"/>
          <w:kern w:val="2"/>
          <w:sz w:val="24"/>
          <w:szCs w:val="24"/>
          <w:highlight w:val="none"/>
        </w:rPr>
        <w:t>点</w:t>
      </w:r>
      <w:r>
        <w:rPr>
          <w:rStyle w:val="76"/>
          <w:rFonts w:hint="eastAsia" w:ascii="宋体" w:hAnsi="宋体" w:cs="宋体"/>
          <w:snapToGrid/>
          <w:color w:val="auto"/>
          <w:kern w:val="2"/>
          <w:sz w:val="24"/>
          <w:szCs w:val="24"/>
          <w:highlight w:val="none"/>
          <w:lang w:val="en-US" w:eastAsia="zh-CN"/>
        </w:rPr>
        <w:t>00</w:t>
      </w:r>
      <w:r>
        <w:rPr>
          <w:rStyle w:val="76"/>
          <w:rFonts w:hint="eastAsia" w:ascii="宋体" w:hAnsi="宋体" w:eastAsia="宋体" w:cs="宋体"/>
          <w:snapToGrid/>
          <w:color w:val="auto"/>
          <w:kern w:val="2"/>
          <w:sz w:val="24"/>
          <w:szCs w:val="24"/>
          <w:highlight w:val="none"/>
        </w:rPr>
        <w:t>分</w:t>
      </w:r>
      <w:r>
        <w:rPr>
          <w:rStyle w:val="76"/>
          <w:rFonts w:hint="eastAsia" w:ascii="宋体" w:hAnsi="宋体" w:eastAsia="宋体" w:cs="宋体"/>
          <w:bCs/>
          <w:snapToGrid/>
          <w:color w:val="auto"/>
          <w:kern w:val="2"/>
          <w:sz w:val="24"/>
          <w:szCs w:val="24"/>
          <w:highlight w:val="none"/>
        </w:rPr>
        <w:t>00秒</w:t>
      </w:r>
      <w:r>
        <w:rPr>
          <w:rStyle w:val="76"/>
          <w:rFonts w:hint="eastAsia" w:ascii="宋体" w:hAnsi="宋体" w:eastAsia="宋体" w:cs="宋体"/>
          <w:bCs/>
          <w:snapToGrid/>
          <w:color w:val="auto"/>
          <w:kern w:val="2"/>
          <w:sz w:val="24"/>
          <w:szCs w:val="24"/>
          <w:highlight w:val="non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3FCC9302">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6CAB100E">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TKZXCG-2025-032</w:t>
      </w:r>
    </w:p>
    <w:p w14:paraId="0312DF7F">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“杭北门户·未来贤城”城市新区风貌区建设方案编制和综合评估咨询服务项目</w:t>
      </w:r>
    </w:p>
    <w:p w14:paraId="1C6D4CA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b/>
          <w:color w:val="auto"/>
          <w:sz w:val="24"/>
          <w:highlight w:val="none"/>
          <w:lang w:val="en-US" w:eastAsia="zh-CN"/>
        </w:rPr>
        <w:t>800000</w:t>
      </w:r>
      <w:r>
        <w:rPr>
          <w:rFonts w:ascii="宋体" w:hAnsi="宋体" w:cs="宋体"/>
          <w:color w:val="auto"/>
          <w:sz w:val="24"/>
          <w:highlight w:val="none"/>
        </w:rPr>
        <w:t xml:space="preserve"> </w:t>
      </w:r>
    </w:p>
    <w:p w14:paraId="524783DF">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b/>
          <w:color w:val="auto"/>
          <w:sz w:val="24"/>
          <w:highlight w:val="none"/>
          <w:lang w:val="en-US" w:eastAsia="zh-CN"/>
        </w:rPr>
        <w:t>800000</w:t>
      </w:r>
      <w:r>
        <w:rPr>
          <w:rFonts w:ascii="宋体" w:hAnsi="宋体" w:cs="宋体"/>
          <w:color w:val="auto"/>
          <w:sz w:val="24"/>
          <w:highlight w:val="none"/>
        </w:rPr>
        <w:t xml:space="preserve"> </w:t>
      </w:r>
    </w:p>
    <w:p w14:paraId="6EC5DB8E">
      <w:pPr>
        <w:pStyle w:val="17"/>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lang w:eastAsia="zh-CN"/>
        </w:rPr>
        <w:t>“杭北门户·未来贤城”城市新区风貌区建设方案编制和综合评估咨询服务项目</w:t>
      </w:r>
      <w:r>
        <w:rPr>
          <w:rFonts w:hint="eastAsia" w:hAnsi="宋体" w:cs="宋体"/>
          <w:bCs/>
          <w:snapToGrid/>
          <w:color w:val="auto"/>
          <w:kern w:val="2"/>
          <w:sz w:val="24"/>
          <w:szCs w:val="24"/>
          <w:highlight w:val="none"/>
        </w:rPr>
        <w:t>主要内容：</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14:paraId="0CF83623">
      <w:pPr>
        <w:pStyle w:val="131"/>
        <w:ind w:firstLine="482"/>
        <w:outlineLvl w:val="2"/>
        <w:rPr>
          <w:rFonts w:ascii="宋体" w:hAnsi="宋体" w:cs="宋体"/>
          <w:color w:val="auto"/>
          <w:highlight w:val="none"/>
        </w:rPr>
      </w:pPr>
      <w:r>
        <w:rPr>
          <w:rFonts w:hint="eastAsia" w:ascii="宋体" w:hAnsi="宋体" w:cs="宋体"/>
          <w:b/>
          <w:color w:val="auto"/>
          <w:highlight w:val="none"/>
        </w:rPr>
        <w:t>合同履约期限：</w:t>
      </w:r>
      <w:r>
        <w:rPr>
          <w:rFonts w:hint="eastAsia" w:ascii="宋体" w:hAnsi="宋体" w:cs="宋体"/>
          <w:b/>
          <w:color w:val="auto"/>
          <w:highlight w:val="none"/>
          <w:lang w:val="en-US" w:eastAsia="zh-CN"/>
        </w:rPr>
        <w:t>合同签订之日起到2026年12月。</w:t>
      </w:r>
      <w:r>
        <w:rPr>
          <w:rFonts w:ascii="宋体" w:hAnsi="宋体" w:cs="宋体"/>
          <w:color w:val="auto"/>
          <w:highlight w:val="none"/>
        </w:rPr>
        <w:t xml:space="preserve"> </w:t>
      </w:r>
    </w:p>
    <w:p w14:paraId="07281B02">
      <w:pPr>
        <w:pStyle w:val="17"/>
        <w:spacing w:line="360" w:lineRule="auto"/>
        <w:ind w:firstLine="480"/>
        <w:rPr>
          <w:rFonts w:hAnsi="宋体" w:cs="宋体"/>
          <w:b/>
          <w:color w:val="auto"/>
          <w:highlight w:val="none"/>
        </w:rPr>
      </w:pPr>
      <w:r>
        <w:rPr>
          <w:rFonts w:hint="eastAsia" w:hAnsi="宋体" w:cs="宋体"/>
          <w:b/>
          <w:color w:val="auto"/>
          <w:sz w:val="24"/>
          <w:highlight w:val="none"/>
        </w:rPr>
        <w:t>本项目接受联合体投标：</w:t>
      </w:r>
      <w:r>
        <w:rPr>
          <w:rFonts w:hAnsi="宋体" w:cs="宋体"/>
          <w:color w:val="auto"/>
          <w:kern w:val="0"/>
          <w:sz w:val="24"/>
          <w:highlight w:val="none"/>
        </w:rPr>
        <w:t xml:space="preserve"> </w:t>
      </w:r>
      <w:sdt>
        <w:sdtPr>
          <w:rPr>
            <w:rFonts w:hAnsi="宋体" w:cs="宋体"/>
            <w:color w:val="auto"/>
            <w:kern w:val="0"/>
            <w:sz w:val="24"/>
            <w:highlight w:val="none"/>
          </w:rPr>
          <w:id w:val="-1"/>
          <w14:checkbox>
            <w14:checked w14:val="1"/>
            <w14:checkedState w14:val="00FE" w14:font="Wingdings"/>
            <w14:uncheckedState w14:val="2610" w14:font="MS Gothic"/>
          </w14:checkbox>
        </w:sdtPr>
        <w:sdtEndPr>
          <w:rPr>
            <w:rFonts w:hAnsi="宋体" w:cs="宋体"/>
            <w:color w:val="auto"/>
            <w:kern w:val="0"/>
            <w:sz w:val="24"/>
            <w:highlight w:val="none"/>
          </w:rPr>
        </w:sdtEndPr>
        <w:sdtContent>
          <w:r>
            <w:rPr>
              <w:rFonts w:hAnsi="宋体" w:cs="宋体"/>
              <w:color w:val="auto"/>
              <w:kern w:val="0"/>
              <w:sz w:val="24"/>
              <w:highlight w:val="none"/>
            </w:rPr>
            <w:sym w:font="Wingdings" w:char="F0FE"/>
          </w:r>
        </w:sdtContent>
      </w:sdt>
      <w:r>
        <w:rPr>
          <w:rFonts w:hint="eastAsia" w:hAnsi="宋体" w:cs="宋体"/>
          <w:b/>
          <w:color w:val="auto"/>
          <w:sz w:val="24"/>
          <w:highlight w:val="none"/>
        </w:rPr>
        <w:t>是；</w:t>
      </w:r>
      <w:sdt>
        <w:sdtPr>
          <w:rPr>
            <w:rFonts w:hAnsi="宋体" w:cs="宋体"/>
            <w:color w:val="auto"/>
            <w:kern w:val="0"/>
            <w:sz w:val="24"/>
            <w:highlight w:val="none"/>
          </w:rPr>
          <w:id w:val="747548208"/>
          <w14:checkbox>
            <w14:checked w14:val="0"/>
            <w14:checkedState w14:val="00FE" w14:font="Wingdings"/>
            <w14:uncheckedState w14:val="2610" w14:font="MS Gothic"/>
          </w14:checkbox>
        </w:sdtPr>
        <w:sdtEndPr>
          <w:rPr>
            <w:rFonts w:hAnsi="宋体" w:cs="宋体"/>
            <w:color w:val="auto"/>
            <w:kern w:val="0"/>
            <w:sz w:val="24"/>
            <w:highlight w:val="none"/>
          </w:rPr>
        </w:sdtEndPr>
        <w:sdtContent>
          <w:r>
            <w:rPr>
              <w:rFonts w:ascii="Segoe UI Symbol" w:hAnsi="Segoe UI Symbol" w:cs="Segoe UI Symbol"/>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08B50DBF">
      <w:pPr>
        <w:spacing w:line="360" w:lineRule="auto"/>
        <w:rPr>
          <w:rFonts w:ascii="宋体" w:hAnsi="宋体" w:cs="宋体"/>
          <w:b/>
          <w:color w:val="auto"/>
          <w:sz w:val="24"/>
          <w:highlight w:val="none"/>
        </w:rPr>
      </w:pPr>
      <w:r>
        <w:rPr>
          <w:rFonts w:hint="eastAsia" w:ascii="宋体" w:hAnsi="宋体" w:cs="宋体"/>
          <w:b/>
          <w:color w:val="auto"/>
          <w:sz w:val="24"/>
          <w:highlight w:val="none"/>
        </w:rPr>
        <w:t>二、申请人的资格要求：</w:t>
      </w:r>
    </w:p>
    <w:p w14:paraId="5FDBAFE8">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07A2EF5">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1F9DEC0D">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7269F9B4">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p>
    <w:p w14:paraId="7D88538E">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59783230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1253AD27">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41445526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服务全部由符合政策要求的中小企业承接，提供中小企业声明函；</w:t>
      </w:r>
    </w:p>
    <w:p w14:paraId="2FFE48BA">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42002746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服务全部由符合政策要求的小微企业承接，提供中小企业声明函；</w:t>
      </w:r>
    </w:p>
    <w:p w14:paraId="2FD4197A">
      <w:pPr>
        <w:rPr>
          <w:rFonts w:ascii="宋体" w:hAnsi="宋体" w:cs="宋体"/>
          <w:color w:val="auto"/>
          <w:highlight w:val="none"/>
        </w:rPr>
      </w:pPr>
    </w:p>
    <w:p w14:paraId="58C41DE8">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294765341"/>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p w14:paraId="17804FE0">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3E29ACB2">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4C0D77A1">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cs="宋体"/>
            <w:color w:val="auto"/>
            <w:kern w:val="0"/>
            <w:sz w:val="24"/>
            <w:highlight w:val="none"/>
          </w:rPr>
          <w:id w:val="14746646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lang w:val="en-US" w:eastAsia="zh-CN"/>
        </w:rPr>
        <w:t>无。</w:t>
      </w:r>
    </w:p>
    <w:p w14:paraId="54F80419">
      <w:pPr>
        <w:snapToGrid w:val="0"/>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81344519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D0DBA15">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E891A5B">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086F1345">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0DC67309">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34D5C0F8">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634F2D62">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7F44D63D">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7FA20757">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（北京时间）</w:t>
      </w:r>
    </w:p>
    <w:p w14:paraId="3790463E">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2B5D577C">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 xml:space="preserve">  </w:t>
      </w:r>
    </w:p>
    <w:p w14:paraId="0784271B">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54B8770C">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4EE0361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5C8F6F1C">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02C1E3D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454F1F4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D0DC5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3E805E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EAD3211">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6F83661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14:paraId="5B5231C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w:t>
      </w:r>
      <w:r>
        <w:rPr>
          <w:rFonts w:hint="eastAsia" w:ascii="宋体" w:hAnsi="宋体" w:cs="宋体"/>
          <w:color w:val="auto"/>
          <w:sz w:val="24"/>
          <w:highlight w:val="none"/>
          <w:lang w:eastAsia="zh-CN"/>
        </w:rPr>
        <w:t>杭州市临平区人民政府崇贤街道办事处</w:t>
      </w:r>
      <w:r>
        <w:rPr>
          <w:rFonts w:hint="eastAsia" w:ascii="宋体" w:hAnsi="宋体" w:cs="宋体"/>
          <w:color w:val="auto"/>
          <w:sz w:val="24"/>
          <w:highlight w:val="none"/>
        </w:rPr>
        <w:t xml:space="preserve"> </w:t>
      </w:r>
    </w:p>
    <w:p w14:paraId="141E4C2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cs="宋体"/>
          <w:color w:val="auto"/>
          <w:sz w:val="24"/>
        </w:rPr>
        <w:t>崇贤街道办事处府新街105号</w:t>
      </w:r>
      <w:r>
        <w:rPr>
          <w:rFonts w:hint="eastAsia" w:ascii="宋体" w:hAnsi="宋体" w:cs="宋体"/>
          <w:color w:val="auto"/>
          <w:sz w:val="24"/>
          <w:highlight w:val="none"/>
        </w:rPr>
        <w:t xml:space="preserve">       </w:t>
      </w:r>
    </w:p>
    <w:p w14:paraId="37825947">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14:paraId="7911895F">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项目联系人（询问）：叶</w:t>
      </w:r>
      <w:r>
        <w:rPr>
          <w:rFonts w:hint="eastAsia" w:ascii="宋体" w:hAnsi="宋体" w:cs="宋体"/>
          <w:color w:val="auto"/>
          <w:sz w:val="24"/>
          <w:highlight w:val="none"/>
          <w:lang w:val="en-US" w:eastAsia="zh-CN"/>
        </w:rPr>
        <w:t>女士</w:t>
      </w:r>
      <w:r>
        <w:rPr>
          <w:rFonts w:hint="eastAsia" w:ascii="宋体" w:hAnsi="宋体" w:cs="宋体"/>
          <w:color w:val="auto"/>
          <w:sz w:val="24"/>
          <w:highlight w:val="none"/>
        </w:rPr>
        <w:t xml:space="preserve">  </w:t>
      </w:r>
    </w:p>
    <w:p w14:paraId="31CC70F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项目联系方式（询问）：0571-86258525 </w:t>
      </w:r>
    </w:p>
    <w:p w14:paraId="160DB77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质疑联系人：许先生 </w:t>
      </w:r>
    </w:p>
    <w:p w14:paraId="6722B27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质疑联系方式：0571-86271340 </w:t>
      </w:r>
    </w:p>
    <w:p w14:paraId="4A6470C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14:paraId="065B99F8">
      <w:pPr>
        <w:spacing w:line="360" w:lineRule="auto"/>
        <w:ind w:firstLine="480"/>
        <w:rPr>
          <w:rFonts w:hint="eastAsia" w:ascii="宋体" w:hAnsi="宋体" w:eastAsia="宋体" w:cs="宋体"/>
          <w:color w:val="auto"/>
          <w:sz w:val="24"/>
          <w:highlight w:val="none"/>
          <w:lang w:eastAsia="zh-CN"/>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杭州天坤建设咨询有限公司</w:t>
      </w:r>
    </w:p>
    <w:p w14:paraId="0CB7646A">
      <w:pPr>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rPr>
        <w:t>地    址：</w:t>
      </w:r>
      <w:r>
        <w:rPr>
          <w:rFonts w:hint="eastAsia" w:ascii="宋体" w:hAnsi="宋体" w:cs="宋体"/>
          <w:color w:val="auto"/>
          <w:sz w:val="24"/>
          <w:highlight w:val="none"/>
          <w:lang w:eastAsia="zh-CN"/>
        </w:rPr>
        <w:t>杭州市余杭区余杭街道智溢路136号金生科创园3号楼3楼</w:t>
      </w:r>
    </w:p>
    <w:p w14:paraId="3E461FD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项目联系人（询问）：杨杨         </w:t>
      </w:r>
    </w:p>
    <w:p w14:paraId="6C5C32B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项目联系方式（询问）：13735806559 </w:t>
      </w:r>
    </w:p>
    <w:p w14:paraId="6A0BC5A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质疑联系人：</w:t>
      </w:r>
      <w:r>
        <w:rPr>
          <w:rFonts w:hint="eastAsia" w:ascii="宋体" w:hAnsi="宋体" w:cs="宋体"/>
          <w:color w:val="auto"/>
          <w:sz w:val="24"/>
          <w:highlight w:val="none"/>
          <w:lang w:val="en-US" w:eastAsia="zh-CN"/>
        </w:rPr>
        <w:t>周嘉文</w:t>
      </w:r>
      <w:r>
        <w:rPr>
          <w:rFonts w:hint="eastAsia" w:ascii="宋体" w:hAnsi="宋体" w:cs="宋体"/>
          <w:color w:val="auto"/>
          <w:sz w:val="24"/>
          <w:highlight w:val="none"/>
        </w:rPr>
        <w:t xml:space="preserve">               </w:t>
      </w:r>
    </w:p>
    <w:p w14:paraId="247F35CD">
      <w:pPr>
        <w:spacing w:line="360" w:lineRule="auto"/>
        <w:ind w:firstLine="480" w:firstLineChars="200"/>
        <w:rPr>
          <w:rFonts w:hint="default" w:ascii="宋体" w:hAnsi="宋体" w:cs="宋体"/>
          <w:color w:val="auto"/>
          <w:sz w:val="24"/>
          <w:highlight w:val="none"/>
          <w:lang w:val="en-US"/>
        </w:rPr>
      </w:pPr>
      <w:r>
        <w:rPr>
          <w:rFonts w:hint="eastAsia" w:ascii="宋体" w:hAnsi="宋体" w:cs="宋体"/>
          <w:color w:val="auto"/>
          <w:sz w:val="24"/>
          <w:highlight w:val="none"/>
        </w:rPr>
        <w:t>质疑联系方式：</w:t>
      </w:r>
      <w:r>
        <w:rPr>
          <w:rFonts w:hint="eastAsia" w:ascii="宋体" w:hAnsi="宋体" w:cs="宋体"/>
          <w:color w:val="auto"/>
          <w:sz w:val="24"/>
          <w:highlight w:val="none"/>
          <w:lang w:val="en-US" w:eastAsia="zh-CN"/>
        </w:rPr>
        <w:t>15715746046</w:t>
      </w:r>
    </w:p>
    <w:p w14:paraId="1905126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3.同级政府采购监督管理部门            </w:t>
      </w:r>
    </w:p>
    <w:p w14:paraId="0B28FC7E">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称：杭州市财政局政府采购监管处 /浙江省政府采购行政裁决服务中心（杭州）</w:t>
      </w:r>
    </w:p>
    <w:p w14:paraId="67B3324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p>
    <w:p w14:paraId="3557A2F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 /</w:t>
      </w:r>
    </w:p>
    <w:p w14:paraId="4C1D65FF">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联系人 ：</w:t>
      </w:r>
      <w:r>
        <w:rPr>
          <w:rFonts w:hint="eastAsia" w:ascii="宋体" w:hAnsi="宋体" w:cs="宋体"/>
          <w:color w:val="auto"/>
          <w:sz w:val="24"/>
          <w:highlight w:val="none"/>
          <w:lang w:eastAsia="zh-CN"/>
        </w:rPr>
        <w:t>王老师</w:t>
      </w:r>
    </w:p>
    <w:p w14:paraId="421A9656">
      <w:pPr>
        <w:spacing w:line="360" w:lineRule="auto"/>
        <w:ind w:firstLine="48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监督投诉电话：</w:t>
      </w:r>
      <w:r>
        <w:rPr>
          <w:rFonts w:hint="eastAsia" w:ascii="宋体" w:hAnsi="宋体" w:cs="宋体"/>
          <w:i w:val="0"/>
          <w:caps w:val="0"/>
          <w:color w:val="auto"/>
          <w:spacing w:val="0"/>
          <w:sz w:val="24"/>
          <w:szCs w:val="24"/>
          <w:highlight w:val="none"/>
          <w:lang w:eastAsia="zh-CN"/>
        </w:rPr>
        <w:t>0571-87227671</w:t>
      </w:r>
    </w:p>
    <w:p w14:paraId="0BA22B16">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7DCC92E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579A3491">
      <w:pPr>
        <w:widowControl/>
        <w:adjustRightInd/>
        <w:jc w:val="left"/>
        <w:rPr>
          <w:rFonts w:ascii="宋体" w:hAnsi="宋体" w:cs="宋体"/>
          <w:b/>
          <w:color w:val="auto"/>
          <w:sz w:val="36"/>
          <w:szCs w:val="20"/>
          <w:highlight w:val="none"/>
        </w:rPr>
      </w:pPr>
      <w:r>
        <w:rPr>
          <w:rFonts w:ascii="宋体" w:hAnsi="宋体" w:cs="宋体"/>
          <w:b/>
          <w:color w:val="auto"/>
          <w:sz w:val="36"/>
          <w:szCs w:val="20"/>
          <w:highlight w:val="none"/>
        </w:rPr>
        <w:br w:type="page"/>
      </w:r>
    </w:p>
    <w:p w14:paraId="4753FAE8">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68601067">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5129D1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37CF1AE6">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3BF79A5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023DC294">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70CFFE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C299B4A">
            <w:pPr>
              <w:snapToGrid w:val="0"/>
              <w:spacing w:line="360" w:lineRule="auto"/>
              <w:jc w:val="center"/>
              <w:rPr>
                <w:rFonts w:ascii="宋体" w:hAnsi="宋体" w:cs="宋体"/>
                <w:color w:val="auto"/>
                <w:sz w:val="24"/>
                <w:highlight w:val="none"/>
              </w:rPr>
            </w:pPr>
          </w:p>
          <w:p w14:paraId="6308F35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04E4AB13">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5EEA470E">
            <w:pPr>
              <w:spacing w:line="360" w:lineRule="auto"/>
              <w:rPr>
                <w:rFonts w:ascii="宋体" w:hAnsi="宋体" w:cs="宋体"/>
                <w:color w:val="auto"/>
                <w:sz w:val="24"/>
                <w:highlight w:val="none"/>
              </w:rPr>
            </w:pPr>
            <w:r>
              <w:rPr>
                <w:rFonts w:hint="eastAsia" w:ascii="宋体" w:hAnsi="宋体" w:cs="宋体"/>
                <w:color w:val="auto"/>
                <w:sz w:val="24"/>
                <w:highlight w:val="none"/>
              </w:rPr>
              <w:t>服务类。</w:t>
            </w:r>
          </w:p>
        </w:tc>
      </w:tr>
      <w:tr w14:paraId="71E22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9A206F5">
            <w:pPr>
              <w:snapToGrid w:val="0"/>
              <w:spacing w:line="360" w:lineRule="auto"/>
              <w:jc w:val="center"/>
              <w:rPr>
                <w:rFonts w:ascii="宋体" w:hAnsi="宋体" w:cs="宋体"/>
                <w:color w:val="auto"/>
                <w:sz w:val="24"/>
                <w:highlight w:val="none"/>
              </w:rPr>
            </w:pPr>
          </w:p>
          <w:p w14:paraId="241F26C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6AA107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29380E4B">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sz w:val="24"/>
                <w:highlight w:val="none"/>
                <w:lang w:eastAsia="zh-CN"/>
              </w:rPr>
              <w:t>城市新区风貌区建设方案编制和综合评估咨询服务</w:t>
            </w:r>
            <w:r>
              <w:rPr>
                <w:rFonts w:hint="eastAsia" w:ascii="宋体" w:hAnsi="宋体" w:cs="宋体"/>
                <w:color w:val="auto"/>
                <w:kern w:val="0"/>
                <w:sz w:val="24"/>
                <w:highlight w:val="none"/>
              </w:rPr>
              <w:t>，属</w:t>
            </w:r>
            <w:r>
              <w:rPr>
                <w:rFonts w:hint="eastAsia" w:ascii="宋体" w:hAnsi="宋体" w:cs="宋体"/>
                <w:color w:val="auto"/>
                <w:kern w:val="0"/>
                <w:sz w:val="24"/>
                <w:highlight w:val="none"/>
                <w:u w:val="none"/>
              </w:rPr>
              <w:t>于</w:t>
            </w:r>
            <w:r>
              <w:rPr>
                <w:rFonts w:hint="eastAsia" w:ascii="宋体" w:hAnsi="宋体" w:cs="宋体"/>
                <w:color w:val="auto"/>
                <w:kern w:val="0"/>
                <w:sz w:val="24"/>
                <w:highlight w:val="none"/>
                <w:u w:val="none"/>
                <w:lang w:val="en-US" w:eastAsia="zh-CN"/>
              </w:rPr>
              <w:t>其他未列明</w:t>
            </w:r>
            <w:r>
              <w:rPr>
                <w:rFonts w:hint="eastAsia" w:ascii="宋体" w:hAnsi="宋体" w:cs="宋体"/>
                <w:color w:val="auto"/>
                <w:kern w:val="0"/>
                <w:sz w:val="24"/>
                <w:highlight w:val="none"/>
                <w:u w:val="none"/>
              </w:rPr>
              <w:t>行</w:t>
            </w:r>
            <w:r>
              <w:rPr>
                <w:rFonts w:hint="eastAsia" w:ascii="宋体" w:hAnsi="宋体" w:cs="宋体"/>
                <w:color w:val="auto"/>
                <w:kern w:val="0"/>
                <w:sz w:val="24"/>
                <w:highlight w:val="none"/>
              </w:rPr>
              <w:t>业；</w:t>
            </w:r>
          </w:p>
          <w:p w14:paraId="27019300">
            <w:pPr>
              <w:snapToGrid w:val="0"/>
              <w:rPr>
                <w:rFonts w:ascii="宋体" w:hAnsi="宋体" w:eastAsia="宋体" w:cs="宋体"/>
                <w:color w:val="auto"/>
                <w:highlight w:val="none"/>
                <w:lang w:val="en-US"/>
              </w:rPr>
            </w:pPr>
            <w:r>
              <w:rPr>
                <w:rFonts w:hint="eastAsia" w:ascii="宋体" w:hAnsi="宋体" w:eastAsia="宋体" w:cs="宋体"/>
                <w:b w:val="0"/>
                <w:bCs w:val="0"/>
                <w:color w:val="auto"/>
                <w:kern w:val="0"/>
                <w:sz w:val="24"/>
                <w:szCs w:val="24"/>
                <w:highlight w:val="none"/>
                <w:lang w:val="en-US" w:eastAsia="zh-CN" w:bidi="ar-SA"/>
              </w:rPr>
              <w:t>根据《关于印发中小企业划型标准规定的通知》（工信部联企业〔2011〕300号）第四条规定：</w:t>
            </w:r>
            <w:r>
              <w:rPr>
                <w:rFonts w:hint="eastAsia" w:ascii="宋体" w:hAnsi="宋体" w:cs="宋体"/>
                <w:b w:val="0"/>
                <w:bCs w:val="0"/>
                <w:color w:val="auto"/>
                <w:kern w:val="0"/>
                <w:sz w:val="24"/>
                <w:szCs w:val="24"/>
                <w:highlight w:val="none"/>
                <w:lang w:val="en-US" w:eastAsia="zh-CN" w:bidi="ar-SA"/>
              </w:rPr>
              <w:t>其他未列明</w:t>
            </w:r>
            <w:r>
              <w:rPr>
                <w:rFonts w:hint="eastAsia" w:ascii="宋体" w:hAnsi="宋体" w:eastAsia="宋体" w:cs="宋体"/>
                <w:b w:val="0"/>
                <w:bCs w:val="0"/>
                <w:color w:val="auto"/>
                <w:kern w:val="0"/>
                <w:sz w:val="24"/>
                <w:szCs w:val="24"/>
                <w:highlight w:val="none"/>
                <w:lang w:val="en-US" w:eastAsia="zh-CN" w:bidi="ar-SA"/>
              </w:rPr>
              <w:t>行业。从业人员</w:t>
            </w:r>
            <w:r>
              <w:rPr>
                <w:rFonts w:hint="eastAsia" w:ascii="宋体" w:hAnsi="宋体" w:cs="宋体"/>
                <w:b w:val="0"/>
                <w:bCs w:val="0"/>
                <w:color w:val="auto"/>
                <w:kern w:val="0"/>
                <w:sz w:val="24"/>
                <w:szCs w:val="24"/>
                <w:highlight w:val="none"/>
                <w:lang w:val="en-US" w:eastAsia="zh-CN" w:bidi="ar-SA"/>
              </w:rPr>
              <w:t>300</w:t>
            </w:r>
            <w:r>
              <w:rPr>
                <w:rFonts w:hint="eastAsia" w:ascii="宋体" w:hAnsi="宋体" w:eastAsia="宋体" w:cs="宋体"/>
                <w:b w:val="0"/>
                <w:bCs w:val="0"/>
                <w:color w:val="auto"/>
                <w:kern w:val="0"/>
                <w:sz w:val="24"/>
                <w:szCs w:val="24"/>
                <w:highlight w:val="none"/>
                <w:lang w:val="en-US" w:eastAsia="zh-CN" w:bidi="ar-SA"/>
              </w:rPr>
              <w:t>人以下的为中小微型企业。其中，从业人员</w:t>
            </w:r>
            <w:r>
              <w:rPr>
                <w:rFonts w:hint="eastAsia" w:ascii="宋体" w:hAnsi="宋体" w:cs="宋体"/>
                <w:b w:val="0"/>
                <w:bCs w:val="0"/>
                <w:color w:val="auto"/>
                <w:kern w:val="0"/>
                <w:sz w:val="24"/>
                <w:szCs w:val="24"/>
                <w:highlight w:val="none"/>
                <w:lang w:val="en-US" w:eastAsia="zh-CN" w:bidi="ar-SA"/>
              </w:rPr>
              <w:t>100</w:t>
            </w:r>
            <w:r>
              <w:rPr>
                <w:rFonts w:hint="eastAsia" w:ascii="宋体" w:hAnsi="宋体" w:eastAsia="宋体" w:cs="宋体"/>
                <w:b w:val="0"/>
                <w:bCs w:val="0"/>
                <w:color w:val="auto"/>
                <w:kern w:val="0"/>
                <w:sz w:val="24"/>
                <w:szCs w:val="24"/>
                <w:highlight w:val="none"/>
                <w:lang w:val="en-US" w:eastAsia="zh-CN" w:bidi="ar-SA"/>
              </w:rPr>
              <w:t>人及以上的为中型企业；从业人员</w:t>
            </w:r>
            <w:r>
              <w:rPr>
                <w:rFonts w:hint="eastAsia" w:ascii="宋体" w:hAnsi="宋体" w:cs="宋体"/>
                <w:b w:val="0"/>
                <w:bCs w:val="0"/>
                <w:color w:val="auto"/>
                <w:kern w:val="0"/>
                <w:sz w:val="24"/>
                <w:szCs w:val="24"/>
                <w:highlight w:val="none"/>
                <w:lang w:val="en-US" w:eastAsia="zh-CN" w:bidi="ar-SA"/>
              </w:rPr>
              <w:t>10</w:t>
            </w:r>
            <w:r>
              <w:rPr>
                <w:rFonts w:hint="eastAsia" w:ascii="宋体" w:hAnsi="宋体" w:eastAsia="宋体" w:cs="宋体"/>
                <w:b w:val="0"/>
                <w:bCs w:val="0"/>
                <w:color w:val="auto"/>
                <w:kern w:val="0"/>
                <w:sz w:val="24"/>
                <w:szCs w:val="24"/>
                <w:highlight w:val="none"/>
                <w:lang w:val="en-US" w:eastAsia="zh-CN" w:bidi="ar-SA"/>
              </w:rPr>
              <w:t>人及以上的为小型企业；从业人员</w:t>
            </w:r>
            <w:r>
              <w:rPr>
                <w:rFonts w:hint="eastAsia" w:ascii="宋体" w:hAnsi="宋体" w:cs="宋体"/>
                <w:b w:val="0"/>
                <w:bCs w:val="0"/>
                <w:color w:val="auto"/>
                <w:kern w:val="0"/>
                <w:sz w:val="24"/>
                <w:szCs w:val="24"/>
                <w:highlight w:val="none"/>
                <w:lang w:val="en-US" w:eastAsia="zh-CN" w:bidi="ar-SA"/>
              </w:rPr>
              <w:t>10</w:t>
            </w:r>
            <w:r>
              <w:rPr>
                <w:rFonts w:hint="eastAsia" w:ascii="宋体" w:hAnsi="宋体" w:eastAsia="宋体" w:cs="宋体"/>
                <w:b w:val="0"/>
                <w:bCs w:val="0"/>
                <w:color w:val="auto"/>
                <w:kern w:val="0"/>
                <w:sz w:val="24"/>
                <w:szCs w:val="24"/>
                <w:highlight w:val="none"/>
                <w:lang w:val="en-US" w:eastAsia="zh-CN" w:bidi="ar-SA"/>
              </w:rPr>
              <w:t>人以下的为微型企业。</w:t>
            </w:r>
          </w:p>
        </w:tc>
      </w:tr>
      <w:tr w14:paraId="021C6E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254054B7">
            <w:pPr>
              <w:snapToGrid w:val="0"/>
              <w:spacing w:line="360" w:lineRule="auto"/>
              <w:jc w:val="center"/>
              <w:rPr>
                <w:rFonts w:ascii="宋体" w:hAnsi="宋体" w:cs="宋体"/>
                <w:color w:val="auto"/>
                <w:sz w:val="24"/>
                <w:highlight w:val="none"/>
              </w:rPr>
            </w:pPr>
          </w:p>
          <w:p w14:paraId="7E72046F">
            <w:pPr>
              <w:snapToGrid w:val="0"/>
              <w:spacing w:line="360" w:lineRule="auto"/>
              <w:jc w:val="center"/>
              <w:rPr>
                <w:rFonts w:ascii="宋体" w:hAnsi="宋体" w:cs="宋体"/>
                <w:color w:val="auto"/>
                <w:sz w:val="24"/>
                <w:highlight w:val="none"/>
              </w:rPr>
            </w:pPr>
          </w:p>
          <w:p w14:paraId="73FFBC6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586A7D26">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8D6E171">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292530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14:paraId="59CFD0C2">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45069696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5E622E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D9677A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79E4312">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2FE069BD">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54654123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sdt>
              <w:sdtPr>
                <w:rPr>
                  <w:rFonts w:hint="eastAsia" w:ascii="宋体" w:hAnsi="宋体" w:cs="宋体"/>
                  <w:color w:val="auto"/>
                  <w:kern w:val="0"/>
                  <w:sz w:val="24"/>
                  <w:highlight w:val="none"/>
                </w:rPr>
                <w:id w:val="681655650"/>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75748277">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1F94EE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2F8702D">
            <w:pPr>
              <w:snapToGrid w:val="0"/>
              <w:spacing w:line="360" w:lineRule="auto"/>
              <w:jc w:val="center"/>
              <w:rPr>
                <w:rFonts w:ascii="宋体" w:hAnsi="宋体" w:cs="宋体"/>
                <w:color w:val="auto"/>
                <w:sz w:val="24"/>
                <w:highlight w:val="none"/>
              </w:rPr>
            </w:pPr>
          </w:p>
          <w:p w14:paraId="5A407A49">
            <w:pPr>
              <w:snapToGrid w:val="0"/>
              <w:spacing w:line="360" w:lineRule="auto"/>
              <w:jc w:val="center"/>
              <w:rPr>
                <w:rFonts w:ascii="宋体" w:hAnsi="宋体" w:cs="宋体"/>
                <w:color w:val="auto"/>
                <w:sz w:val="24"/>
                <w:highlight w:val="none"/>
              </w:rPr>
            </w:pPr>
          </w:p>
          <w:p w14:paraId="4E3B3BF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2F59C2C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607723BC">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86549752"/>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6C03CD1E">
            <w:pPr>
              <w:spacing w:line="360" w:lineRule="auto"/>
              <w:rPr>
                <w:rFonts w:hint="eastAsia" w:ascii="宋体" w:hAnsi="宋体" w:cs="宋体"/>
                <w:color w:val="auto"/>
                <w:sz w:val="24"/>
                <w:szCs w:val="20"/>
                <w:highlight w:val="none"/>
              </w:rPr>
            </w:pPr>
            <w:sdt>
              <w:sdtPr>
                <w:rPr>
                  <w:rFonts w:hint="eastAsia" w:ascii="宋体" w:hAnsi="宋体" w:cs="宋体"/>
                  <w:color w:val="auto"/>
                  <w:kern w:val="0"/>
                  <w:sz w:val="24"/>
                  <w:highlight w:val="none"/>
                </w:rPr>
                <w:id w:val="3889990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p w14:paraId="478D25F3">
            <w:pPr>
              <w:pStyle w:val="79"/>
              <w:ind w:firstLine="0" w:firstLineChars="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☐C不统一组织，供应商在获取采购文件后，自行至项目现场考察。地点： ，联系人： ，联系方式： 。</w:t>
            </w:r>
          </w:p>
          <w:p w14:paraId="418E5266">
            <w:pPr>
              <w:pStyle w:val="79"/>
              <w:ind w:firstLine="0" w:firstLineChars="0"/>
              <w:rPr>
                <w:color w:val="auto"/>
                <w:highlight w:val="none"/>
              </w:rPr>
            </w:pPr>
          </w:p>
        </w:tc>
      </w:tr>
      <w:tr w14:paraId="475635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0405E14">
            <w:pPr>
              <w:snapToGrid w:val="0"/>
              <w:spacing w:line="360" w:lineRule="auto"/>
              <w:jc w:val="center"/>
              <w:rPr>
                <w:rFonts w:ascii="宋体" w:hAnsi="宋体" w:cs="宋体"/>
                <w:color w:val="auto"/>
                <w:sz w:val="24"/>
                <w:highlight w:val="none"/>
              </w:rPr>
            </w:pPr>
          </w:p>
          <w:p w14:paraId="748F2304">
            <w:pPr>
              <w:snapToGrid w:val="0"/>
              <w:spacing w:line="360" w:lineRule="auto"/>
              <w:jc w:val="center"/>
              <w:rPr>
                <w:rFonts w:ascii="宋体" w:hAnsi="宋体" w:cs="宋体"/>
                <w:color w:val="auto"/>
                <w:sz w:val="24"/>
                <w:highlight w:val="none"/>
              </w:rPr>
            </w:pPr>
          </w:p>
          <w:p w14:paraId="390C1AD1">
            <w:pPr>
              <w:snapToGrid w:val="0"/>
              <w:spacing w:line="360" w:lineRule="auto"/>
              <w:jc w:val="center"/>
              <w:rPr>
                <w:rFonts w:ascii="宋体" w:hAnsi="宋体" w:cs="宋体"/>
                <w:color w:val="auto"/>
                <w:sz w:val="24"/>
                <w:highlight w:val="none"/>
              </w:rPr>
            </w:pPr>
          </w:p>
          <w:p w14:paraId="6E646EC9">
            <w:pPr>
              <w:snapToGrid w:val="0"/>
              <w:spacing w:line="360" w:lineRule="auto"/>
              <w:jc w:val="center"/>
              <w:rPr>
                <w:rFonts w:ascii="宋体" w:hAnsi="宋体" w:cs="宋体"/>
                <w:color w:val="auto"/>
                <w:sz w:val="24"/>
                <w:highlight w:val="none"/>
              </w:rPr>
            </w:pPr>
          </w:p>
          <w:p w14:paraId="266EEE47">
            <w:pPr>
              <w:snapToGrid w:val="0"/>
              <w:spacing w:line="360" w:lineRule="auto"/>
              <w:jc w:val="center"/>
              <w:rPr>
                <w:rFonts w:ascii="宋体" w:hAnsi="宋体" w:cs="宋体"/>
                <w:color w:val="auto"/>
                <w:sz w:val="24"/>
                <w:highlight w:val="none"/>
              </w:rPr>
            </w:pPr>
          </w:p>
          <w:p w14:paraId="5A1660CB">
            <w:pPr>
              <w:snapToGrid w:val="0"/>
              <w:spacing w:line="360" w:lineRule="auto"/>
              <w:jc w:val="center"/>
              <w:rPr>
                <w:rFonts w:ascii="宋体" w:hAnsi="宋体" w:cs="宋体"/>
                <w:color w:val="auto"/>
                <w:sz w:val="24"/>
                <w:highlight w:val="none"/>
              </w:rPr>
            </w:pPr>
          </w:p>
          <w:p w14:paraId="69111327">
            <w:pPr>
              <w:snapToGrid w:val="0"/>
              <w:spacing w:line="360" w:lineRule="auto"/>
              <w:jc w:val="center"/>
              <w:rPr>
                <w:rFonts w:ascii="宋体" w:hAnsi="宋体" w:cs="宋体"/>
                <w:color w:val="auto"/>
                <w:sz w:val="24"/>
                <w:highlight w:val="none"/>
              </w:rPr>
            </w:pPr>
          </w:p>
          <w:p w14:paraId="3E72E277">
            <w:pPr>
              <w:snapToGrid w:val="0"/>
              <w:spacing w:line="360" w:lineRule="auto"/>
              <w:jc w:val="center"/>
              <w:rPr>
                <w:rFonts w:ascii="宋体" w:hAnsi="宋体" w:cs="宋体"/>
                <w:color w:val="auto"/>
                <w:sz w:val="24"/>
                <w:highlight w:val="none"/>
              </w:rPr>
            </w:pPr>
          </w:p>
          <w:p w14:paraId="12D2F995">
            <w:pPr>
              <w:snapToGrid w:val="0"/>
              <w:spacing w:line="360" w:lineRule="auto"/>
              <w:jc w:val="center"/>
              <w:rPr>
                <w:rFonts w:ascii="宋体" w:hAnsi="宋体" w:cs="宋体"/>
                <w:color w:val="auto"/>
                <w:sz w:val="24"/>
                <w:highlight w:val="none"/>
              </w:rPr>
            </w:pPr>
          </w:p>
          <w:p w14:paraId="39258284">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34F96D8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29A19C74">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98628233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5E0D3FFD">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B要求提供，</w:t>
            </w:r>
          </w:p>
          <w:p w14:paraId="49DE0ED2">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1DE88776">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2AE00BAE">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3216AAEE">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756F4883">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0A11BDB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14:paraId="78AD61E6">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6B10D7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52246244">
            <w:pPr>
              <w:snapToGrid w:val="0"/>
              <w:spacing w:line="360" w:lineRule="auto"/>
              <w:jc w:val="center"/>
              <w:rPr>
                <w:rFonts w:ascii="宋体" w:hAnsi="宋体" w:cs="宋体"/>
                <w:color w:val="auto"/>
                <w:sz w:val="24"/>
                <w:highlight w:val="none"/>
              </w:rPr>
            </w:pPr>
          </w:p>
          <w:p w14:paraId="29FA9A8C">
            <w:pPr>
              <w:snapToGrid w:val="0"/>
              <w:spacing w:line="360" w:lineRule="auto"/>
              <w:jc w:val="center"/>
              <w:rPr>
                <w:rFonts w:ascii="宋体" w:hAnsi="宋体" w:cs="宋体"/>
                <w:color w:val="auto"/>
                <w:sz w:val="24"/>
                <w:highlight w:val="none"/>
              </w:rPr>
            </w:pPr>
          </w:p>
          <w:p w14:paraId="18497155">
            <w:pPr>
              <w:snapToGrid w:val="0"/>
              <w:spacing w:line="360" w:lineRule="auto"/>
              <w:jc w:val="center"/>
              <w:rPr>
                <w:rFonts w:ascii="宋体" w:hAnsi="宋体" w:cs="宋体"/>
                <w:color w:val="auto"/>
                <w:sz w:val="24"/>
                <w:highlight w:val="none"/>
              </w:rPr>
            </w:pPr>
          </w:p>
          <w:p w14:paraId="42DDB8BE">
            <w:pPr>
              <w:snapToGrid w:val="0"/>
              <w:spacing w:line="360" w:lineRule="auto"/>
              <w:jc w:val="center"/>
              <w:rPr>
                <w:rFonts w:ascii="宋体" w:hAnsi="宋体" w:cs="宋体"/>
                <w:color w:val="auto"/>
                <w:sz w:val="24"/>
                <w:highlight w:val="none"/>
              </w:rPr>
            </w:pPr>
          </w:p>
          <w:p w14:paraId="1D875970">
            <w:pPr>
              <w:snapToGrid w:val="0"/>
              <w:spacing w:line="360" w:lineRule="auto"/>
              <w:jc w:val="center"/>
              <w:rPr>
                <w:rFonts w:ascii="宋体" w:hAnsi="宋体" w:cs="宋体"/>
                <w:color w:val="auto"/>
                <w:sz w:val="24"/>
                <w:highlight w:val="none"/>
              </w:rPr>
            </w:pPr>
          </w:p>
          <w:p w14:paraId="0BC922C3">
            <w:pPr>
              <w:snapToGrid w:val="0"/>
              <w:spacing w:line="360" w:lineRule="auto"/>
              <w:jc w:val="center"/>
              <w:rPr>
                <w:rFonts w:ascii="宋体" w:hAnsi="宋体" w:cs="宋体"/>
                <w:color w:val="auto"/>
                <w:sz w:val="24"/>
                <w:highlight w:val="none"/>
              </w:rPr>
            </w:pPr>
          </w:p>
          <w:p w14:paraId="2D356E36">
            <w:pPr>
              <w:snapToGrid w:val="0"/>
              <w:spacing w:line="360" w:lineRule="auto"/>
              <w:jc w:val="center"/>
              <w:rPr>
                <w:rFonts w:ascii="宋体" w:hAnsi="宋体" w:cs="宋体"/>
                <w:color w:val="auto"/>
                <w:sz w:val="24"/>
                <w:highlight w:val="none"/>
              </w:rPr>
            </w:pPr>
          </w:p>
          <w:p w14:paraId="32D3B44A">
            <w:pPr>
              <w:snapToGrid w:val="0"/>
              <w:spacing w:line="360" w:lineRule="auto"/>
              <w:jc w:val="center"/>
              <w:rPr>
                <w:rFonts w:ascii="宋体" w:hAnsi="宋体" w:cs="宋体"/>
                <w:color w:val="auto"/>
                <w:sz w:val="24"/>
                <w:highlight w:val="none"/>
              </w:rPr>
            </w:pPr>
          </w:p>
          <w:p w14:paraId="32C2B9F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CE53DDF">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150BEE83">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91410713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65A64D05">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012FD38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人。讲解演示结束后按要求解答评标委员会提问。</w:t>
            </w:r>
          </w:p>
          <w:p w14:paraId="0CAC870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6EEF9621">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14:paraId="76B6E23D">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552D1C2A">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7401FD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0B401F15">
            <w:pPr>
              <w:snapToGrid w:val="0"/>
              <w:spacing w:line="360" w:lineRule="auto"/>
              <w:jc w:val="center"/>
              <w:rPr>
                <w:rFonts w:ascii="宋体" w:hAnsi="宋体" w:cs="宋体"/>
                <w:color w:val="auto"/>
                <w:sz w:val="24"/>
                <w:highlight w:val="none"/>
              </w:rPr>
            </w:pPr>
          </w:p>
          <w:p w14:paraId="6D928564">
            <w:pPr>
              <w:snapToGrid w:val="0"/>
              <w:spacing w:line="360" w:lineRule="auto"/>
              <w:jc w:val="center"/>
              <w:rPr>
                <w:rFonts w:ascii="宋体" w:hAnsi="宋体" w:cs="宋体"/>
                <w:color w:val="auto"/>
                <w:sz w:val="24"/>
                <w:highlight w:val="none"/>
              </w:rPr>
            </w:pPr>
          </w:p>
          <w:p w14:paraId="40B1E49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4DDDB98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31715BE8">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64058F87">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0CBE65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5C7A07D6">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4590D7B1">
            <w:pP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A08AE2E">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442031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584C4EC5">
            <w:pPr>
              <w:snapToGrid w:val="0"/>
              <w:spacing w:line="360" w:lineRule="auto"/>
              <w:jc w:val="center"/>
              <w:rPr>
                <w:rFonts w:ascii="宋体" w:hAnsi="宋体" w:cs="宋体"/>
                <w:color w:val="auto"/>
                <w:sz w:val="24"/>
                <w:highlight w:val="none"/>
              </w:rPr>
            </w:pPr>
          </w:p>
          <w:p w14:paraId="38589266">
            <w:pPr>
              <w:snapToGrid w:val="0"/>
              <w:spacing w:line="360" w:lineRule="auto"/>
              <w:jc w:val="center"/>
              <w:rPr>
                <w:rFonts w:ascii="宋体" w:hAnsi="宋体" w:cs="宋体"/>
                <w:color w:val="auto"/>
                <w:sz w:val="24"/>
                <w:highlight w:val="none"/>
              </w:rPr>
            </w:pPr>
          </w:p>
          <w:p w14:paraId="6F751B8C">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6A8F342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79EFCC3">
            <w:pPr>
              <w:pStyle w:val="79"/>
              <w:snapToGrid w:val="0"/>
              <w:spacing w:line="36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0294ECC9">
            <w:pPr>
              <w:pStyle w:val="79"/>
              <w:jc w:val="both"/>
              <w:rPr>
                <w:rFonts w:hint="eastAsia" w:ascii="宋体" w:hAnsi="宋体" w:eastAsia="宋体" w:cs="宋体"/>
                <w:color w:val="auto"/>
                <w:kern w:val="2"/>
                <w:sz w:val="24"/>
                <w:szCs w:val="24"/>
                <w:highlight w:val="none"/>
                <w:lang w:val="en-US" w:eastAsia="zh-CN" w:bidi="ar-SA"/>
              </w:rPr>
            </w:pPr>
            <w:sdt>
              <w:sdtPr>
                <w:rPr>
                  <w:rFonts w:hint="eastAsia" w:ascii="宋体" w:hAnsi="宋体" w:eastAsia="宋体" w:cs="宋体"/>
                  <w:color w:val="auto"/>
                  <w:kern w:val="2"/>
                  <w:sz w:val="24"/>
                  <w:szCs w:val="24"/>
                  <w:highlight w:val="none"/>
                  <w:lang w:val="en-US" w:eastAsia="zh-CN" w:bidi="ar-SA"/>
                </w:rPr>
                <w:id w:val="147461840"/>
                <w14:checkbox>
                  <w14:checked w14:val="0"/>
                  <w14:checkedState w14:val="00FE" w14:font="Wingdings"/>
                  <w14:uncheckedState w14:val="2610" w14:font="MS Gothic"/>
                </w14:checkbox>
              </w:sdtPr>
              <w:sdtEndPr>
                <w:rPr>
                  <w:rFonts w:hint="eastAsia" w:ascii="宋体" w:hAnsi="宋体" w:eastAsia="宋体" w:cs="宋体"/>
                  <w:color w:val="auto"/>
                  <w:kern w:val="2"/>
                  <w:sz w:val="24"/>
                  <w:szCs w:val="24"/>
                  <w:highlight w:val="none"/>
                  <w:lang w:val="en-US" w:eastAsia="zh-CN" w:bidi="ar-SA"/>
                </w:rPr>
              </w:sdtEndPr>
              <w:sdtContent>
                <w:r>
                  <w:rPr>
                    <w:rFonts w:hint="eastAsia" w:ascii="宋体" w:hAnsi="宋体" w:eastAsia="宋体" w:cs="宋体"/>
                    <w:color w:val="auto"/>
                    <w:kern w:val="2"/>
                    <w:sz w:val="24"/>
                    <w:szCs w:val="24"/>
                    <w:highlight w:val="none"/>
                    <w:lang w:val="en-US" w:eastAsia="zh-CN" w:bidi="ar-SA"/>
                  </w:rPr>
                  <w:t>☐</w:t>
                </w:r>
              </w:sdtContent>
            </w:sdt>
            <w:r>
              <w:rPr>
                <w:rFonts w:hint="eastAsia" w:ascii="宋体" w:hAnsi="宋体" w:eastAsia="宋体" w:cs="宋体"/>
                <w:color w:val="auto"/>
                <w:kern w:val="2"/>
                <w:sz w:val="24"/>
                <w:szCs w:val="24"/>
                <w:highlight w:val="none"/>
                <w:lang w:val="en-US" w:eastAsia="zh-CN" w:bidi="ar-SA"/>
              </w:rPr>
              <w:t xml:space="preserve">强制采购。产品：    </w:t>
            </w:r>
          </w:p>
          <w:p w14:paraId="3002CF9E">
            <w:pPr>
              <w:pStyle w:val="79"/>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☑优先采购节能产品。产品：   </w:t>
            </w:r>
          </w:p>
          <w:p w14:paraId="76782679">
            <w:pPr>
              <w:pStyle w:val="79"/>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☑优先采购环保产品。产品：    </w:t>
            </w:r>
          </w:p>
          <w:p w14:paraId="36C9C289">
            <w:pPr>
              <w:pStyle w:val="79"/>
              <w:jc w:val="both"/>
              <w:rPr>
                <w:color w:val="auto"/>
                <w:highlight w:val="none"/>
              </w:rPr>
            </w:pPr>
            <w:r>
              <w:rPr>
                <w:rFonts w:hint="eastAsia" w:ascii="宋体" w:hAnsi="宋体" w:eastAsia="宋体" w:cs="宋体"/>
                <w:color w:val="auto"/>
                <w:kern w:val="2"/>
                <w:sz w:val="24"/>
                <w:szCs w:val="24"/>
                <w:highlight w:val="none"/>
                <w:lang w:val="en-US" w:eastAsia="zh-CN" w:bidi="ar-SA"/>
              </w:rPr>
              <w:t>□无</w:t>
            </w:r>
          </w:p>
        </w:tc>
      </w:tr>
      <w:tr w14:paraId="341A2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DD6CE36">
            <w:pPr>
              <w:snapToGrid w:val="0"/>
              <w:spacing w:line="360" w:lineRule="auto"/>
              <w:jc w:val="center"/>
              <w:rPr>
                <w:rFonts w:ascii="宋体" w:hAnsi="宋体" w:cs="宋体"/>
                <w:color w:val="auto"/>
                <w:sz w:val="24"/>
                <w:highlight w:val="none"/>
              </w:rPr>
            </w:pPr>
          </w:p>
          <w:p w14:paraId="26731BE1">
            <w:pPr>
              <w:snapToGrid w:val="0"/>
              <w:spacing w:line="360" w:lineRule="auto"/>
              <w:jc w:val="center"/>
              <w:rPr>
                <w:rFonts w:ascii="宋体" w:hAnsi="宋体" w:cs="宋体"/>
                <w:color w:val="auto"/>
                <w:sz w:val="24"/>
                <w:highlight w:val="none"/>
              </w:rPr>
            </w:pPr>
          </w:p>
          <w:p w14:paraId="79F3F4C6">
            <w:pPr>
              <w:snapToGrid w:val="0"/>
              <w:spacing w:line="360" w:lineRule="auto"/>
              <w:jc w:val="center"/>
              <w:rPr>
                <w:rFonts w:ascii="宋体" w:hAnsi="宋体" w:cs="宋体"/>
                <w:color w:val="auto"/>
                <w:sz w:val="24"/>
                <w:highlight w:val="none"/>
              </w:rPr>
            </w:pPr>
          </w:p>
          <w:p w14:paraId="0CC08E98">
            <w:pPr>
              <w:snapToGrid w:val="0"/>
              <w:spacing w:line="360" w:lineRule="auto"/>
              <w:jc w:val="center"/>
              <w:rPr>
                <w:rFonts w:ascii="宋体" w:hAnsi="宋体" w:cs="宋体"/>
                <w:color w:val="auto"/>
                <w:sz w:val="24"/>
                <w:highlight w:val="none"/>
              </w:rPr>
            </w:pPr>
          </w:p>
          <w:p w14:paraId="35826F79">
            <w:pPr>
              <w:snapToGrid w:val="0"/>
              <w:spacing w:line="360" w:lineRule="auto"/>
              <w:jc w:val="center"/>
              <w:rPr>
                <w:rFonts w:ascii="宋体" w:hAnsi="宋体" w:cs="宋体"/>
                <w:color w:val="auto"/>
                <w:sz w:val="24"/>
                <w:highlight w:val="none"/>
              </w:rPr>
            </w:pPr>
          </w:p>
          <w:p w14:paraId="65ED4C9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00383485">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6C0E6760">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107CE792">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05A1A0FA">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04968A37">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02250257">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5289611D">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0E0D5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14:paraId="1128B2D4">
            <w:pPr>
              <w:snapToGrid w:val="0"/>
              <w:spacing w:line="360" w:lineRule="auto"/>
              <w:jc w:val="center"/>
              <w:rPr>
                <w:rFonts w:ascii="宋体" w:hAnsi="宋体" w:cs="宋体"/>
                <w:color w:val="auto"/>
                <w:sz w:val="24"/>
                <w:highlight w:val="none"/>
              </w:rPr>
            </w:pPr>
          </w:p>
          <w:p w14:paraId="508204F4">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3D8BAA3D">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204574E8">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276C55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3E67B04">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002ED00">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1C4D0354">
            <w:pPr>
              <w:pStyle w:val="33"/>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ascii="宋体" w:hAnsi="宋体" w:eastAsia="宋体" w:cs="宋体"/>
                <w:color w:val="auto"/>
                <w:kern w:val="28"/>
                <w:sz w:val="24"/>
                <w:szCs w:val="24"/>
                <w:highlight w:val="none"/>
                <w:u w:val="single"/>
                <w:lang w:eastAsia="zh-CN"/>
              </w:rPr>
              <w:t>杭州市余杭区余杭街道</w:t>
            </w:r>
            <w:r>
              <w:rPr>
                <w:rFonts w:hint="eastAsia" w:ascii="宋体" w:hAnsi="宋体" w:eastAsia="宋体" w:cs="宋体"/>
                <w:color w:val="auto"/>
                <w:kern w:val="28"/>
                <w:sz w:val="24"/>
                <w:szCs w:val="24"/>
                <w:highlight w:val="none"/>
                <w:u w:val="single"/>
                <w:lang w:val="en-US" w:eastAsia="zh-CN"/>
              </w:rPr>
              <w:t>智溢</w:t>
            </w:r>
            <w:r>
              <w:rPr>
                <w:rFonts w:hint="eastAsia" w:ascii="宋体" w:hAnsi="宋体" w:eastAsia="宋体" w:cs="宋体"/>
                <w:color w:val="auto"/>
                <w:kern w:val="28"/>
                <w:sz w:val="24"/>
                <w:szCs w:val="24"/>
                <w:highlight w:val="none"/>
                <w:u w:val="single"/>
                <w:lang w:eastAsia="zh-CN"/>
              </w:rPr>
              <w:t>路</w:t>
            </w:r>
            <w:r>
              <w:rPr>
                <w:rFonts w:hint="eastAsia" w:ascii="宋体" w:hAnsi="宋体" w:eastAsia="宋体" w:cs="宋体"/>
                <w:color w:val="auto"/>
                <w:kern w:val="28"/>
                <w:sz w:val="24"/>
                <w:szCs w:val="24"/>
                <w:highlight w:val="none"/>
                <w:u w:val="single"/>
                <w:lang w:val="en-US" w:eastAsia="zh-CN"/>
              </w:rPr>
              <w:t>136</w:t>
            </w:r>
            <w:r>
              <w:rPr>
                <w:rFonts w:hint="eastAsia" w:ascii="宋体" w:hAnsi="宋体" w:eastAsia="宋体" w:cs="宋体"/>
                <w:color w:val="auto"/>
                <w:kern w:val="28"/>
                <w:sz w:val="24"/>
                <w:szCs w:val="24"/>
                <w:highlight w:val="none"/>
                <w:u w:val="single"/>
                <w:lang w:eastAsia="zh-CN"/>
              </w:rPr>
              <w:t>号</w:t>
            </w:r>
            <w:r>
              <w:rPr>
                <w:rFonts w:hint="eastAsia" w:ascii="宋体" w:hAnsi="宋体" w:eastAsia="宋体" w:cs="宋体"/>
                <w:color w:val="auto"/>
                <w:kern w:val="28"/>
                <w:sz w:val="24"/>
                <w:szCs w:val="24"/>
                <w:highlight w:val="none"/>
                <w:u w:val="single"/>
                <w:lang w:val="en-US" w:eastAsia="zh-CN"/>
              </w:rPr>
              <w:t>金生科创园3号楼3楼</w:t>
            </w:r>
            <w:r>
              <w:rPr>
                <w:rFonts w:hint="eastAsia" w:hAnsi="宋体" w:cs="宋体"/>
                <w:color w:val="auto"/>
                <w:kern w:val="28"/>
                <w:sz w:val="24"/>
                <w:szCs w:val="24"/>
                <w:highlight w:val="none"/>
              </w:rPr>
              <w:t>；备份投标文件签收人员联系电话：</w:t>
            </w:r>
            <w:r>
              <w:rPr>
                <w:rFonts w:hint="eastAsia" w:hAnsi="宋体" w:cs="宋体"/>
                <w:color w:val="auto"/>
                <w:kern w:val="28"/>
                <w:sz w:val="24"/>
                <w:szCs w:val="24"/>
                <w:highlight w:val="none"/>
                <w:u w:val="single"/>
                <w:lang w:val="en-US" w:eastAsia="zh-CN"/>
              </w:rPr>
              <w:t>13735806559</w:t>
            </w:r>
            <w:r>
              <w:rPr>
                <w:rFonts w:hint="eastAsia" w:hAnsi="宋体" w:cs="宋体"/>
                <w:color w:val="auto"/>
                <w:sz w:val="24"/>
                <w:szCs w:val="24"/>
                <w:highlight w:val="none"/>
              </w:rPr>
              <w:t>。</w:t>
            </w:r>
            <w:r>
              <w:rPr>
                <w:rFonts w:hint="eastAsia" w:hAnsi="宋体" w:cs="宋体"/>
                <w:b/>
                <w:color w:val="auto"/>
                <w:sz w:val="24"/>
                <w:szCs w:val="24"/>
                <w:highlight w:val="none"/>
              </w:rPr>
              <w:t>采购人、采购代理机构不强制或变相强制投标人提交备份投标文件。</w:t>
            </w:r>
          </w:p>
        </w:tc>
      </w:tr>
      <w:tr w14:paraId="190467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26667A4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251E7FA4">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087E5F2E">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48560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14:paraId="7FF9857B">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500B23DB">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1456170E">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621138027"/>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14:paraId="273E0D79">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8299227"/>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cs="Arial" w:asciiTheme="minorEastAsia" w:hAnsiTheme="minorEastAsia" w:eastAsiaTheme="minorEastAsia"/>
                    <w:color w:val="auto"/>
                    <w:kern w:val="0"/>
                    <w:sz w:val="24"/>
                    <w:highlight w:val="none"/>
                  </w:rPr>
                  <w:sym w:font="Wingdings" w:char="F0FE"/>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67AD759D">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7BF9C4C7">
            <w:pP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中标候选人数量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5C98162B">
            <w:pPr>
              <w:spacing w:line="360" w:lineRule="auto"/>
              <w:rPr>
                <w:rFonts w:hint="eastAsia" w:ascii="宋体" w:hAnsi="宋体" w:eastAsia="宋体" w:cs="宋体"/>
                <w:color w:val="auto"/>
                <w:kern w:val="0"/>
                <w:sz w:val="24"/>
                <w:highlight w:val="none"/>
                <w:lang w:val="en" w:eastAsia="zh-CN"/>
              </w:rPr>
            </w:pPr>
            <w:r>
              <w:rPr>
                <w:rFonts w:hint="eastAsia" w:ascii="宋体" w:hAnsi="宋体" w:eastAsia="宋体" w:cs="宋体"/>
                <w:color w:val="auto"/>
                <w:kern w:val="0"/>
                <w:sz w:val="24"/>
                <w:highlight w:val="none"/>
                <w:lang w:val="en" w:eastAsia="zh-CN"/>
              </w:rPr>
              <w:t>本项目推荐的中标候选人数量：</w:t>
            </w:r>
            <w:r>
              <w:rPr>
                <w:rFonts w:hint="eastAsia" w:ascii="宋体" w:hAnsi="宋体" w:eastAsia="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lang w:val="en-US" w:eastAsia="zh-CN"/>
              </w:rPr>
              <w:t>1</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en" w:eastAsia="zh-CN"/>
              </w:rPr>
              <w:t>。</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14:paraId="7D09EDAD">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61E57FAC">
            <w:pP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代理费用收取方式及标准</w:t>
            </w:r>
          </w:p>
        </w:tc>
        <w:tc>
          <w:tcPr>
            <w:tcW w:w="6095" w:type="dxa"/>
            <w:tcBorders>
              <w:top w:val="single" w:color="000000" w:sz="8" w:space="0"/>
              <w:left w:val="single" w:color="auto" w:sz="4" w:space="0"/>
              <w:bottom w:val="single" w:color="000000" w:sz="8" w:space="0"/>
              <w:right w:val="single" w:color="auto" w:sz="4" w:space="0"/>
            </w:tcBorders>
            <w:vAlign w:val="center"/>
          </w:tcPr>
          <w:p w14:paraId="71738083">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本次招标代理服务费由中标人支付，招标代理服务费按照国家计委印发的《招标代理服务收费管理暂行办法》计价格[2002]1980号</w:t>
            </w:r>
            <w:r>
              <w:rPr>
                <w:rFonts w:hint="eastAsia" w:ascii="宋体" w:hAnsi="宋体" w:eastAsia="宋体" w:cs="宋体"/>
                <w:color w:val="auto"/>
                <w:sz w:val="24"/>
                <w:szCs w:val="24"/>
                <w:highlight w:val="none"/>
                <w:lang w:val="en-US" w:eastAsia="zh-CN"/>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以中标价为收费基数进行计取</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      </w:t>
            </w:r>
          </w:p>
          <w:p w14:paraId="2335738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由中标人在领取中标通知书前支付给招标代理机构，各投标人应在投标报价中予以考虑，不单独列项报价。</w:t>
            </w:r>
          </w:p>
          <w:p w14:paraId="471B10A5">
            <w:pPr>
              <w:pStyle w:val="5"/>
              <w:ind w:left="433" w:leftChars="202" w:hanging="9" w:hangingChars="4"/>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中标服务费的交纳方式：以转帐的形式支付；</w:t>
            </w:r>
          </w:p>
          <w:p w14:paraId="0922EC7B">
            <w:pPr>
              <w:pStyle w:val="5"/>
              <w:ind w:left="433" w:leftChars="202" w:hanging="9" w:hangingChars="4"/>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开户行名称：台州银行余杭凤新路小微企业专营支行；</w:t>
            </w:r>
          </w:p>
          <w:p w14:paraId="6C00AE27">
            <w:pPr>
              <w:pStyle w:val="5"/>
              <w:ind w:left="433" w:leftChars="202" w:hanging="9" w:hangingChars="4"/>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帐号：550884964700015；</w:t>
            </w:r>
          </w:p>
          <w:p w14:paraId="578B8EF1">
            <w:pPr>
              <w:pStyle w:val="5"/>
              <w:ind w:left="433" w:leftChars="202" w:hanging="9" w:hangingChars="4"/>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收款单位（账户名称）：杭州天坤建设咨询有限公司；</w:t>
            </w:r>
          </w:p>
          <w:p w14:paraId="7E6D603F">
            <w:pPr>
              <w:pStyle w:val="5"/>
              <w:ind w:left="433" w:leftChars="202" w:hanging="9" w:hangingChars="4"/>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中标单位需在领取中标通知书时缴纳中标服务费，缴</w:t>
            </w:r>
          </w:p>
          <w:p w14:paraId="5C3A71B5">
            <w:pPr>
              <w:pStyle w:val="5"/>
              <w:ind w:left="0" w:leftChars="0" w:firstLine="0" w:firstLineChars="0"/>
              <w:rPr>
                <w:rFonts w:hint="eastAsia" w:ascii="宋体" w:hAnsi="宋体" w:eastAsia="宋体" w:cs="宋体"/>
                <w:color w:val="auto"/>
                <w:kern w:val="0"/>
                <w:sz w:val="24"/>
                <w:highlight w:val="none"/>
                <w:lang w:val="en" w:eastAsia="zh-CN"/>
              </w:rPr>
            </w:pPr>
            <w:r>
              <w:rPr>
                <w:rFonts w:hint="eastAsia" w:ascii="宋体" w:hAnsi="宋体" w:eastAsia="宋体" w:cs="宋体"/>
                <w:b w:val="0"/>
                <w:bCs w:val="0"/>
                <w:color w:val="auto"/>
                <w:kern w:val="2"/>
                <w:sz w:val="24"/>
                <w:szCs w:val="24"/>
                <w:highlight w:val="none"/>
                <w:lang w:val="en-US" w:eastAsia="zh-CN" w:bidi="ar-SA"/>
              </w:rPr>
              <w:t>纳时注明招标编号。</w:t>
            </w:r>
          </w:p>
        </w:tc>
      </w:tr>
      <w:tr w14:paraId="697A14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14:paraId="312D9155">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16</w:t>
            </w:r>
          </w:p>
        </w:tc>
        <w:tc>
          <w:tcPr>
            <w:tcW w:w="1843" w:type="dxa"/>
            <w:tcBorders>
              <w:top w:val="single" w:color="auto" w:sz="4" w:space="0"/>
              <w:left w:val="single" w:color="000000" w:sz="2" w:space="0"/>
              <w:bottom w:val="single" w:color="auto" w:sz="4" w:space="0"/>
              <w:right w:val="single" w:color="auto" w:sz="4" w:space="0"/>
            </w:tcBorders>
            <w:vAlign w:val="center"/>
          </w:tcPr>
          <w:p w14:paraId="58B41844">
            <w:pPr>
              <w:snapToGrid w:val="0"/>
              <w:spacing w:line="360" w:lineRule="auto"/>
              <w:jc w:val="center"/>
              <w:rPr>
                <w:rFonts w:hint="eastAsia" w:cs="仿宋_GB2312" w:asciiTheme="minorEastAsia" w:hAnsiTheme="minorEastAsia" w:eastAsiaTheme="minorEastAsia"/>
                <w:b/>
                <w:color w:val="auto"/>
                <w:sz w:val="24"/>
                <w:highlight w:val="none"/>
                <w:lang w:val="en" w:eastAsia="zh-CN"/>
              </w:rPr>
            </w:pPr>
            <w:r>
              <w:rPr>
                <w:rFonts w:hint="eastAsia" w:ascii="宋体" w:hAnsi="宋体" w:eastAsia="宋体" w:cs="宋体"/>
                <w:b/>
                <w:bCs/>
                <w:color w:val="auto"/>
                <w:sz w:val="24"/>
                <w:szCs w:val="24"/>
                <w:highlight w:val="none"/>
                <w:lang w:val="en-US" w:eastAsia="zh-CN"/>
              </w:rPr>
              <w:t>其他要求</w:t>
            </w:r>
          </w:p>
        </w:tc>
        <w:tc>
          <w:tcPr>
            <w:tcW w:w="6095" w:type="dxa"/>
            <w:tcBorders>
              <w:top w:val="single" w:color="000000" w:sz="8" w:space="0"/>
              <w:left w:val="single" w:color="auto" w:sz="4" w:space="0"/>
              <w:bottom w:val="single" w:color="auto" w:sz="4" w:space="0"/>
              <w:right w:val="single" w:color="auto" w:sz="4" w:space="0"/>
            </w:tcBorders>
            <w:vAlign w:val="center"/>
          </w:tcPr>
          <w:p w14:paraId="697DD709">
            <w:pPr>
              <w:snapToGrid w:val="0"/>
              <w:spacing w:line="360" w:lineRule="auto"/>
              <w:ind w:firstLine="0" w:firstLineChars="0"/>
              <w:jc w:val="left"/>
              <w:rPr>
                <w:rFonts w:hint="eastAsia" w:ascii="宋体" w:hAnsi="宋体" w:eastAsia="宋体" w:cs="宋体"/>
                <w:color w:val="auto"/>
                <w:kern w:val="0"/>
                <w:sz w:val="24"/>
                <w:highlight w:val="none"/>
                <w:lang w:val="en" w:eastAsia="zh-CN"/>
              </w:rPr>
            </w:pPr>
            <w:r>
              <w:rPr>
                <w:rFonts w:hint="eastAsia" w:ascii="宋体" w:hAnsi="宋体" w:eastAsia="宋体" w:cs="宋体"/>
                <w:b w:val="0"/>
                <w:bCs w:val="0"/>
                <w:color w:val="auto"/>
                <w:sz w:val="24"/>
                <w:szCs w:val="24"/>
                <w:highlight w:val="none"/>
                <w:lang w:val="en-US" w:eastAsia="zh-CN"/>
              </w:rPr>
              <w:t>中标单位在领取中标通知书时，提供承诺书和加盖公章的纸质版投标文件（正本一份，副本二份）。</w:t>
            </w:r>
          </w:p>
        </w:tc>
      </w:tr>
    </w:tbl>
    <w:p w14:paraId="74ABD082">
      <w:pPr>
        <w:snapToGrid w:val="0"/>
        <w:spacing w:line="360" w:lineRule="auto"/>
        <w:jc w:val="center"/>
        <w:rPr>
          <w:rFonts w:ascii="宋体" w:hAnsi="宋体" w:cs="宋体"/>
          <w:b/>
          <w:color w:val="auto"/>
          <w:sz w:val="32"/>
          <w:szCs w:val="20"/>
          <w:highlight w:val="none"/>
        </w:rPr>
      </w:pPr>
    </w:p>
    <w:bookmarkEnd w:id="10"/>
    <w:p w14:paraId="75264CA2">
      <w:pPr>
        <w:adjustRightInd/>
        <w:spacing w:line="360" w:lineRule="auto"/>
        <w:ind w:firstLine="3845" w:firstLineChars="1197"/>
        <w:outlineLvl w:val="0"/>
        <w:rPr>
          <w:rFonts w:ascii="宋体" w:hAnsi="宋体" w:cs="宋体"/>
          <w:b/>
          <w:color w:val="auto"/>
          <w:sz w:val="32"/>
          <w:szCs w:val="20"/>
          <w:highlight w:val="none"/>
        </w:rPr>
      </w:pPr>
      <w:bookmarkStart w:id="11" w:name="_Toc164416483"/>
      <w:bookmarkStart w:id="12" w:name="第三部分"/>
      <w:r>
        <w:rPr>
          <w:rFonts w:hint="eastAsia" w:ascii="宋体" w:hAnsi="宋体" w:cs="宋体"/>
          <w:b/>
          <w:color w:val="auto"/>
          <w:sz w:val="32"/>
          <w:szCs w:val="20"/>
          <w:highlight w:val="none"/>
        </w:rPr>
        <w:t>一、总则</w:t>
      </w:r>
    </w:p>
    <w:p w14:paraId="56B79E12">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0B2D25F0">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1874DAD6">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452AA16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07D0D80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7719B6B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25340D5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0F6878F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E85373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14:paraId="512A4CF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79F2398D">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174331AF">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134CA64D">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29B8521C">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51ADA57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修缮、装修类项目采购建材的，采购人应将绿色建筑和绿色建材性能、指标等作为实质性条件纳入招标文件和合同。</w:t>
      </w:r>
    </w:p>
    <w:p w14:paraId="358A0BF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2FE2BED8">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 xml:space="preserve">3.2.4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45958D2A">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4D267C7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E520BB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45D5B39E">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22CE230F">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46AAD41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1556AA1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7862C9C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678CC8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0CE3729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57C7E74F">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42DB100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3663ABCB">
      <w:pPr>
        <w:pStyle w:val="5"/>
        <w:adjustRightInd w:val="0"/>
        <w:ind w:left="0" w:firstLine="480" w:firstLineChars="200"/>
        <w:rPr>
          <w:color w:val="auto"/>
          <w:highlight w:val="none"/>
          <w:u w:val="none"/>
        </w:rPr>
      </w:pPr>
      <w:r>
        <w:rPr>
          <w:rFonts w:hint="eastAsia" w:ascii="宋体" w:hAnsi="宋体" w:eastAsia="宋体" w:cs="仿宋"/>
          <w:b w:val="0"/>
          <w:bCs w:val="0"/>
          <w:color w:val="auto"/>
          <w:sz w:val="24"/>
          <w:szCs w:val="24"/>
          <w:highlight w:val="none"/>
          <w:u w:val="none"/>
          <w:lang w:val="en-US"/>
        </w:rPr>
        <w:t>3.4.</w:t>
      </w:r>
      <w:r>
        <w:rPr>
          <w:rFonts w:hint="eastAsia" w:ascii="宋体" w:hAnsi="宋体" w:eastAsia="宋体" w:cs="仿宋"/>
          <w:b w:val="0"/>
          <w:bCs w:val="0"/>
          <w:color w:val="auto"/>
          <w:sz w:val="24"/>
          <w:szCs w:val="24"/>
          <w:highlight w:val="none"/>
          <w:u w:val="none"/>
          <w:lang w:val="en-US" w:eastAsia="zh-CN"/>
        </w:rPr>
        <w:t>2</w:t>
      </w:r>
      <w:r>
        <w:rPr>
          <w:rFonts w:hint="eastAsia" w:ascii="宋体" w:hAnsi="宋体" w:eastAsia="宋体" w:cs="仿宋"/>
          <w:b w:val="0"/>
          <w:bCs w:val="0"/>
          <w:color w:val="auto"/>
          <w:sz w:val="24"/>
          <w:szCs w:val="24"/>
          <w:highlight w:val="none"/>
          <w:u w:val="none"/>
          <w:lang w:val="en-US"/>
        </w:rPr>
        <w:t xml:space="preserve"> </w:t>
      </w:r>
      <w:r>
        <w:rPr>
          <w:rFonts w:hint="eastAsia" w:ascii="宋体" w:hAnsi="宋体" w:eastAsia="宋体" w:cs="仿宋"/>
          <w:b w:val="0"/>
          <w:bCs w:val="0"/>
          <w:color w:val="auto"/>
          <w:sz w:val="24"/>
          <w:szCs w:val="24"/>
          <w:highlight w:val="none"/>
          <w:u w:val="none"/>
          <w:lang w:val="en-US" w:eastAsia="zh-CN"/>
        </w:rPr>
        <w:t>采购人应当贯彻落实知识产权保护相关法律法规，</w:t>
      </w:r>
      <w:r>
        <w:rPr>
          <w:rFonts w:hint="eastAsia" w:ascii="宋体" w:hAnsi="宋体" w:eastAsia="宋体" w:cs="仿宋"/>
          <w:b w:val="0"/>
          <w:bCs w:val="0"/>
          <w:color w:val="auto"/>
          <w:sz w:val="24"/>
          <w:szCs w:val="24"/>
          <w:highlight w:val="none"/>
          <w:u w:val="none"/>
          <w:lang w:val="en-US"/>
        </w:rPr>
        <w:t>应当采购使用正版软件。</w:t>
      </w:r>
    </w:p>
    <w:p w14:paraId="3097E85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3EE38953">
      <w:pPr>
        <w:spacing w:line="360" w:lineRule="auto"/>
        <w:ind w:firstLine="240" w:firstLineChars="100"/>
        <w:rPr>
          <w:rFonts w:hint="eastAsia" w:ascii="宋体" w:hAnsi="宋体" w:eastAsia="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r>
        <w:rPr>
          <w:rFonts w:hint="eastAsia" w:ascii="宋体" w:hAnsi="宋体" w:eastAsia="宋体" w:cs="宋体"/>
          <w:b/>
          <w:color w:val="auto"/>
          <w:sz w:val="24"/>
          <w:highlight w:val="none"/>
        </w:rPr>
        <w:t>、补偿救济</w:t>
      </w:r>
    </w:p>
    <w:p w14:paraId="6F1AE62F">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02F5A95">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6ACB7464">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1C00706">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053F4E11">
      <w:pPr>
        <w:pStyle w:val="33"/>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4DB81FF4">
      <w:pPr>
        <w:pStyle w:val="33"/>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6521B6BF">
      <w:pPr>
        <w:pStyle w:val="17"/>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593C149A">
      <w:pPr>
        <w:pStyle w:val="33"/>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34CBB85F">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0C727DD6">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3E3EAF25">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2486A27E">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4D239430">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6C90EC9C">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5D64CD02">
      <w:pPr>
        <w:pStyle w:val="33"/>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35E9E5F8">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0CE89DCF">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13D330D2">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6BAEB4ED">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14:paraId="63F18984">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2680FC7B">
      <w:pPr>
        <w:pStyle w:val="889"/>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3B98A2A9">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0B604195">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245CA2ED">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14:paraId="65D7F310">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4.4.4以联合体形式参加政府采购活动的，其投诉应当由组成联合体的所有供应商共同提出。</w:t>
      </w:r>
    </w:p>
    <w:p w14:paraId="700A975D">
      <w:pPr>
        <w:pStyle w:val="889"/>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w:t>
      </w:r>
      <w:r>
        <w:rPr>
          <w:rFonts w:hint="eastAsia"/>
          <w:color w:val="auto"/>
          <w:highlight w:val="none"/>
          <w:lang w:eastAsia="zh-CN"/>
        </w:rPr>
        <w:t>王老师</w:t>
      </w:r>
      <w:r>
        <w:rPr>
          <w:rFonts w:hint="eastAsia"/>
          <w:color w:val="auto"/>
          <w:highlight w:val="none"/>
        </w:rPr>
        <w:t>，电话：</w:t>
      </w:r>
      <w:r>
        <w:rPr>
          <w:rFonts w:hint="eastAsia"/>
          <w:color w:val="auto"/>
          <w:highlight w:val="none"/>
          <w:lang w:eastAsia="zh-CN"/>
        </w:rPr>
        <w:t>0571-87227671</w:t>
      </w:r>
      <w:r>
        <w:rPr>
          <w:rFonts w:hint="eastAsia"/>
          <w:color w:val="auto"/>
          <w:highlight w:val="none"/>
        </w:rPr>
        <w:t>。</w:t>
      </w:r>
    </w:p>
    <w:p w14:paraId="712FF852">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14:paraId="54AEF823">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22C34A00">
      <w:pPr>
        <w:pStyle w:val="889"/>
        <w:shd w:val="clear" w:color="auto" w:fill="FFFFFF"/>
        <w:snapToGrid w:val="0"/>
        <w:spacing w:after="240" w:afterAutospacing="0" w:line="360" w:lineRule="auto"/>
        <w:ind w:firstLine="400"/>
        <w:contextualSpacing/>
        <w:rPr>
          <w:rFonts w:hint="eastAsia"/>
          <w:color w:val="auto"/>
          <w:highlight w:val="none"/>
        </w:rPr>
      </w:pPr>
    </w:p>
    <w:p w14:paraId="72BB4CFD">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14:paraId="00B71198">
      <w:pPr>
        <w:pStyle w:val="131"/>
        <w:snapToGrid w:val="0"/>
        <w:spacing w:before="0"/>
        <w:ind w:firstLine="360"/>
        <w:rPr>
          <w:rFonts w:ascii="宋体" w:hAnsi="宋体" w:cs="宋体"/>
          <w:color w:val="auto"/>
          <w:sz w:val="18"/>
          <w:szCs w:val="18"/>
          <w:highlight w:val="none"/>
        </w:rPr>
      </w:pPr>
    </w:p>
    <w:p w14:paraId="60847ABF">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4B83C9F8">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743FBF41">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448832F7">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40208193">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3DECB49D">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7B107D15">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7FEA5162">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4C8291B4">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196C0DD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3455F096">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6177C236">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64AD250A">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BB4D946">
      <w:pPr>
        <w:pStyle w:val="25"/>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53A42102">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11640B7F">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1FE5694F">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67BCB54C">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04728D9E">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10177369">
      <w:pPr>
        <w:pStyle w:val="33"/>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617BD70F">
      <w:pPr>
        <w:pStyle w:val="17"/>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37DA2D84">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39107709">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699A92E7">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693E5C2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5B3DB47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03F8D47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r>
        <w:rPr>
          <w:rFonts w:hint="eastAsia" w:ascii="宋体" w:hAnsi="宋体" w:cs="宋体"/>
          <w:snapToGrid w:val="0"/>
          <w:color w:val="auto"/>
          <w:kern w:val="28"/>
          <w:sz w:val="24"/>
          <w:szCs w:val="20"/>
          <w:highlight w:val="none"/>
        </w:rPr>
        <w:t>联合协议（如果有)；</w:t>
      </w:r>
    </w:p>
    <w:p w14:paraId="208560E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9013B6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6AD56734">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3A185A56">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0B74C80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279A306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3E7F7D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5DDBD84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3B9291F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21A42F8C">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75AAD2E4">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37ABAA2">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1C3D93F9">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2BDB0CA6">
      <w:pPr>
        <w:pStyle w:val="5"/>
        <w:snapToGrid w:val="0"/>
        <w:spacing w:line="360" w:lineRule="auto"/>
        <w:ind w:left="0" w:firstLine="960" w:firstLineChars="4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highlight w:val="none"/>
        </w:rPr>
        <w:t>中小企业声明函。</w:t>
      </w:r>
    </w:p>
    <w:p w14:paraId="1DC36947">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768BB57C">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0F02E42D">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30120E37">
      <w:pPr>
        <w:pStyle w:val="131"/>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5599684A">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44919A0">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499FF374">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616CD10A">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3B93CB6D">
      <w:pPr>
        <w:pStyle w:val="131"/>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286B4080">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2F65C72E">
      <w:pPr>
        <w:pStyle w:val="131"/>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348BCF79">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45BCDF5B">
      <w:pPr>
        <w:pStyle w:val="131"/>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029645">
      <w:pPr>
        <w:pStyle w:val="131"/>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2C0FF7C3">
      <w:pPr>
        <w:pStyle w:val="131"/>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1CFFFBD8">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42A04E0C">
      <w:pPr>
        <w:pStyle w:val="33"/>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45B22E94">
      <w:pPr>
        <w:pStyle w:val="33"/>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17435F7A">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343F0A03">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251A884F">
      <w:pPr>
        <w:pStyle w:val="33"/>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6DB60A0B">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074E5FFB">
      <w:pPr>
        <w:pStyle w:val="3"/>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szCs w:val="21"/>
          <w:highlight w:val="none"/>
        </w:rPr>
        <w:t>4.2规定</w:t>
      </w:r>
      <w:r>
        <w:rPr>
          <w:rFonts w:hint="eastAsia" w:cs="宋体"/>
          <w:color w:val="auto"/>
          <w:szCs w:val="21"/>
          <w:highlight w:val="none"/>
        </w:rPr>
        <w:t>的情形之一的，投标无效：</w:t>
      </w:r>
    </w:p>
    <w:p w14:paraId="77669CCC">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4E78CE15">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159A5936">
      <w:pPr>
        <w:pStyle w:val="131"/>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0B27342F">
      <w:pPr>
        <w:pStyle w:val="131"/>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2B060547">
      <w:pPr>
        <w:pStyle w:val="131"/>
        <w:spacing w:before="0"/>
        <w:ind w:firstLine="643"/>
        <w:rPr>
          <w:rFonts w:ascii="宋体" w:hAnsi="宋体" w:cs="宋体"/>
          <w:b/>
          <w:color w:val="auto"/>
          <w:sz w:val="32"/>
          <w:highlight w:val="none"/>
        </w:rPr>
      </w:pPr>
    </w:p>
    <w:p w14:paraId="25870E80">
      <w:pPr>
        <w:pStyle w:val="131"/>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1D3F69FE">
      <w:pPr>
        <w:pStyle w:val="557"/>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6B6042C8">
      <w:pPr>
        <w:pStyle w:val="557"/>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75EC8592">
      <w:pPr>
        <w:pStyle w:val="557"/>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2E1B55E9">
      <w:pPr>
        <w:pStyle w:val="557"/>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7CBE3002">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14:paraId="5023066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7ECDA655">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58AA200A">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3869969E">
      <w:pPr>
        <w:pStyle w:val="131"/>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56CCE8D2">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14:paraId="385E7C5D">
      <w:pPr>
        <w:pStyle w:val="1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将在资格审查时通过“信用中国”网站(www.creditchina.gov.cn)、中国政府采购网(www.ccgp.gov.cn)渠道查询投标人接受资格时的信用记录。</w:t>
      </w:r>
    </w:p>
    <w:p w14:paraId="1F25F72F">
      <w:pPr>
        <w:pStyle w:val="1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5987AE4E">
      <w:pPr>
        <w:pStyle w:val="1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7E3A0A42">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018D73C6">
      <w:pPr>
        <w:pStyle w:val="131"/>
        <w:spacing w:before="0"/>
        <w:ind w:firstLine="0" w:firstLineChars="0"/>
        <w:rPr>
          <w:rFonts w:ascii="宋体" w:hAnsi="宋体" w:cs="宋体"/>
          <w:color w:val="auto"/>
          <w:kern w:val="0"/>
          <w:szCs w:val="24"/>
          <w:highlight w:val="none"/>
        </w:rPr>
      </w:pPr>
    </w:p>
    <w:p w14:paraId="46D47E96">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11FD2421">
      <w:pPr>
        <w:spacing w:line="360" w:lineRule="auto"/>
        <w:rPr>
          <w:rFonts w:ascii="宋体" w:hAnsi="宋体" w:cs="宋体"/>
          <w:b/>
          <w:color w:val="auto"/>
          <w:sz w:val="24"/>
          <w:highlight w:val="none"/>
        </w:rPr>
      </w:pPr>
      <w:bookmarkStart w:id="13"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0DC5F1C0">
      <w:pPr>
        <w:spacing w:line="360" w:lineRule="auto"/>
        <w:rPr>
          <w:rFonts w:ascii="宋体" w:hAnsi="宋体" w:cs="宋体"/>
          <w:b/>
          <w:color w:val="auto"/>
          <w:sz w:val="24"/>
          <w:highlight w:val="none"/>
        </w:rPr>
      </w:pPr>
    </w:p>
    <w:p w14:paraId="53E6E205">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1F2C2BB3">
      <w:pPr>
        <w:pStyle w:val="3"/>
        <w:spacing w:line="360" w:lineRule="auto"/>
        <w:ind w:left="479" w:hanging="479" w:hangingChars="199"/>
        <w:rPr>
          <w:rFonts w:cs="宋体"/>
          <w:b/>
          <w:color w:val="auto"/>
          <w:highlight w:val="none"/>
        </w:rPr>
      </w:pPr>
      <w:r>
        <w:rPr>
          <w:rFonts w:hint="eastAsia" w:cs="宋体"/>
          <w:b/>
          <w:color w:val="auto"/>
          <w:highlight w:val="none"/>
        </w:rPr>
        <w:t>22. 确定中标供应商</w:t>
      </w:r>
    </w:p>
    <w:p w14:paraId="724C3DA6">
      <w:pPr>
        <w:pStyle w:val="131"/>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5FA0F692">
      <w:pPr>
        <w:pStyle w:val="131"/>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76E71B64">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681D7DB4">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w:t>
      </w:r>
      <w:bookmarkStart w:id="14" w:name="_Hlk101184471"/>
      <w:r>
        <w:rPr>
          <w:rFonts w:hint="eastAsia" w:ascii="宋体" w:hAnsi="宋体" w:cs="宋体"/>
          <w:color w:val="auto"/>
          <w:sz w:val="24"/>
          <w:highlight w:val="none"/>
        </w:rPr>
        <w:t>资格审查情况、评审专家抽取规则、符合性审查情况、</w:t>
      </w:r>
      <w:bookmarkEnd w:id="14"/>
      <w:r>
        <w:rPr>
          <w:rFonts w:hint="eastAsia" w:ascii="宋体" w:hAnsi="宋体" w:cs="宋体"/>
          <w:color w:val="auto"/>
          <w:sz w:val="24"/>
          <w:highlight w:val="none"/>
        </w:rPr>
        <w:t>未中标情况说明、中标公告期限以及评审专家名单、评分汇总及明细。</w:t>
      </w:r>
    </w:p>
    <w:p w14:paraId="63BD62E0">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7BEABF55">
      <w:pPr>
        <w:pStyle w:val="131"/>
        <w:adjustRightInd w:val="0"/>
        <w:snapToGrid w:val="0"/>
        <w:spacing w:before="0"/>
        <w:ind w:firstLine="482" w:firstLineChars="200"/>
        <w:rPr>
          <w:rStyle w:val="78"/>
          <w:color w:val="auto"/>
          <w:highlight w:val="none"/>
        </w:rPr>
      </w:pPr>
      <w:r>
        <w:rPr>
          <w:rFonts w:hint="eastAsia" w:ascii="宋体" w:hAnsi="宋体" w:cs="宋体"/>
          <w:b/>
          <w:color w:val="auto"/>
          <w:szCs w:val="24"/>
          <w:highlight w:val="none"/>
          <w:lang w:val="en-US" w:eastAsia="zh-CN"/>
        </w:rPr>
        <w:t xml:space="preserve">23.4 </w:t>
      </w:r>
      <w:r>
        <w:rPr>
          <w:rFonts w:hint="eastAsia" w:ascii="宋体" w:hAnsi="宋体" w:cs="宋体"/>
          <w:b w:val="0"/>
          <w:bCs/>
          <w:color w:val="auto"/>
          <w:szCs w:val="24"/>
          <w:highlight w:val="none"/>
        </w:rPr>
        <w:t>由于</w:t>
      </w:r>
      <w:r>
        <w:rPr>
          <w:rFonts w:hint="eastAsia" w:ascii="宋体" w:hAnsi="宋体" w:cs="宋体"/>
          <w:bCs/>
          <w:color w:val="auto"/>
          <w:szCs w:val="24"/>
          <w:highlight w:val="none"/>
        </w:rPr>
        <w:t>中标、成交供应商原因导致重新采购的，应当承担支付代理费和专家评审费等费用在内的赔偿责任。</w:t>
      </w:r>
    </w:p>
    <w:p w14:paraId="45E8376F">
      <w:pPr>
        <w:pStyle w:val="80"/>
        <w:rPr>
          <w:color w:val="auto"/>
          <w:highlight w:val="none"/>
        </w:rPr>
      </w:pPr>
    </w:p>
    <w:p w14:paraId="618C358E">
      <w:pPr>
        <w:snapToGrid w:val="0"/>
        <w:spacing w:line="360" w:lineRule="auto"/>
        <w:ind w:left="120" w:leftChars="57" w:firstLine="482" w:firstLineChars="150"/>
        <w:jc w:val="center"/>
        <w:rPr>
          <w:rFonts w:ascii="宋体" w:hAnsi="宋体" w:cs="宋体"/>
          <w:b/>
          <w:color w:val="auto"/>
          <w:sz w:val="32"/>
          <w:highlight w:val="none"/>
        </w:rPr>
      </w:pPr>
    </w:p>
    <w:p w14:paraId="0F58D648">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3BB7C477">
      <w:pPr>
        <w:pStyle w:val="3"/>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216AA38D">
      <w:pPr>
        <w:pStyle w:val="3"/>
        <w:spacing w:line="360" w:lineRule="auto"/>
        <w:ind w:left="479" w:hanging="479" w:hangingChars="199"/>
        <w:rPr>
          <w:rFonts w:cs="宋体"/>
          <w:b/>
          <w:color w:val="auto"/>
          <w:highlight w:val="none"/>
        </w:rPr>
      </w:pPr>
      <w:r>
        <w:rPr>
          <w:rFonts w:hint="eastAsia" w:cs="宋体"/>
          <w:b/>
          <w:color w:val="auto"/>
          <w:highlight w:val="none"/>
        </w:rPr>
        <w:t>25. 合同的签订</w:t>
      </w:r>
    </w:p>
    <w:p w14:paraId="6670DD70">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554482F7">
      <w:pPr>
        <w:pStyle w:val="131"/>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12A0FF6F">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6FE73C7B">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0E217D3C">
      <w:pPr>
        <w:pStyle w:val="131"/>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686FF9F0">
      <w:pPr>
        <w:pStyle w:val="3"/>
        <w:spacing w:line="360" w:lineRule="auto"/>
        <w:ind w:left="479" w:hanging="479" w:hangingChars="199"/>
        <w:rPr>
          <w:rFonts w:cs="宋体"/>
          <w:b/>
          <w:color w:val="auto"/>
          <w:highlight w:val="none"/>
        </w:rPr>
      </w:pPr>
      <w:r>
        <w:rPr>
          <w:rFonts w:hint="eastAsia" w:cs="宋体"/>
          <w:b/>
          <w:color w:val="auto"/>
          <w:highlight w:val="none"/>
        </w:rPr>
        <w:t>26. 履约保证金</w:t>
      </w:r>
    </w:p>
    <w:p w14:paraId="5155207B">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4068AD04">
      <w:pPr>
        <w:pStyle w:val="5"/>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3C939F7B">
      <w:pPr>
        <w:pStyle w:val="5"/>
        <w:rPr>
          <w:color w:val="auto"/>
          <w:highlight w:val="none"/>
        </w:rPr>
      </w:pPr>
      <w:r>
        <w:rPr>
          <w:rFonts w:ascii="宋体" w:hAnsi="宋体" w:eastAsia="宋体"/>
          <w:b/>
          <w:bCs/>
          <w:color w:val="auto"/>
          <w:sz w:val="24"/>
          <w:szCs w:val="32"/>
          <w:highlight w:val="none"/>
          <w:lang w:val="en-US"/>
        </w:rPr>
        <w:t>27.预付款</w:t>
      </w:r>
    </w:p>
    <w:p w14:paraId="02CAFB67">
      <w:pPr>
        <w:adjustRightInd/>
        <w:spacing w:line="360" w:lineRule="auto"/>
        <w:ind w:firstLine="480" w:firstLineChars="200"/>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提交银行、保险公司等金融机构出具的预付款保函或其他担保措施。政府采购预付款应在合同生效以及具备实施条件后5个工作日内支付。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hint="eastAsia" w:ascii="宋体" w:hAnsi="宋体"/>
          <w:color w:val="auto"/>
          <w:sz w:val="24"/>
          <w:highlight w:val="none"/>
          <w:lang w:val="en-US" w:eastAsia="zh-CN"/>
        </w:rPr>
        <w:t>95763</w:t>
      </w:r>
      <w:r>
        <w:rPr>
          <w:rFonts w:ascii="宋体" w:hAnsi="宋体"/>
          <w:color w:val="auto"/>
          <w:sz w:val="24"/>
          <w:highlight w:val="none"/>
        </w:rPr>
        <w:t>。</w:t>
      </w:r>
    </w:p>
    <w:p w14:paraId="3E18607F">
      <w:pPr>
        <w:rPr>
          <w:color w:val="auto"/>
          <w:highlight w:val="none"/>
        </w:rPr>
      </w:pPr>
    </w:p>
    <w:p w14:paraId="6CF853D2">
      <w:pPr>
        <w:snapToGrid w:val="0"/>
        <w:spacing w:line="360" w:lineRule="auto"/>
        <w:ind w:firstLine="3357" w:firstLineChars="1045"/>
        <w:rPr>
          <w:rFonts w:ascii="宋体" w:hAnsi="宋体" w:cs="宋体"/>
          <w:b/>
          <w:color w:val="auto"/>
          <w:sz w:val="32"/>
          <w:highlight w:val="none"/>
        </w:rPr>
      </w:pPr>
    </w:p>
    <w:p w14:paraId="3C901466">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26658814">
      <w:pPr>
        <w:pStyle w:val="131"/>
        <w:snapToGrid w:val="0"/>
        <w:spacing w:before="0"/>
        <w:ind w:firstLine="0" w:firstLineChars="0"/>
        <w:rPr>
          <w:rFonts w:ascii="宋体" w:hAnsi="宋体" w:cs="宋体"/>
          <w:color w:val="auto"/>
          <w:highlight w:val="none"/>
        </w:rPr>
      </w:pPr>
      <w:r>
        <w:rPr>
          <w:rFonts w:ascii="宋体" w:hAnsi="宋体" w:cs="宋体"/>
          <w:b/>
          <w:bCs/>
          <w:color w:val="auto"/>
          <w:sz w:val="24"/>
          <w:szCs w:val="20"/>
          <w:highlight w:val="none"/>
        </w:rPr>
        <w:t>2</w:t>
      </w:r>
      <w:r>
        <w:rPr>
          <w:rFonts w:ascii="宋体" w:hAnsi="宋体" w:cs="宋体"/>
          <w:b/>
          <w:bCs/>
          <w:color w:val="auto"/>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1B73C079">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3E46E7D4">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47FAC8CC">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5FD1FB31">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0C80746A">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45181751">
      <w:pPr>
        <w:pStyle w:val="131"/>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3F4F139C">
      <w:pPr>
        <w:tabs>
          <w:tab w:val="left" w:pos="0"/>
        </w:tabs>
        <w:spacing w:line="360" w:lineRule="auto"/>
        <w:ind w:firstLine="480"/>
        <w:rPr>
          <w:rFonts w:ascii="宋体" w:hAnsi="宋体" w:cs="宋体"/>
          <w:color w:val="auto"/>
          <w:sz w:val="24"/>
          <w:highlight w:val="none"/>
        </w:rPr>
      </w:pPr>
    </w:p>
    <w:p w14:paraId="652757CD">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3E32013D">
      <w:pPr>
        <w:pStyle w:val="3"/>
        <w:spacing w:line="360" w:lineRule="auto"/>
        <w:ind w:firstLine="0" w:firstLineChars="0"/>
        <w:rPr>
          <w:rFonts w:cs="宋体"/>
          <w:b/>
          <w:color w:val="auto"/>
          <w:highlight w:val="none"/>
        </w:rPr>
      </w:pPr>
      <w:r>
        <w:rPr>
          <w:rFonts w:hint="eastAsia" w:cs="宋体"/>
          <w:b/>
          <w:color w:val="auto"/>
          <w:highlight w:val="none"/>
        </w:rPr>
        <w:t>30.验收</w:t>
      </w:r>
    </w:p>
    <w:p w14:paraId="76A3AA3B">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29E4F88">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1658F911">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25485AF">
      <w:pPr>
        <w:tabs>
          <w:tab w:val="left" w:pos="0"/>
        </w:tabs>
        <w:spacing w:line="360" w:lineRule="auto"/>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6515D65">
      <w:pPr>
        <w:pStyle w:val="5"/>
        <w:adjustRightInd w:val="0"/>
        <w:snapToGrid w:val="0"/>
        <w:ind w:left="0"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411DFA42">
      <w:pPr>
        <w:pStyle w:val="80"/>
        <w:rPr>
          <w:color w:val="auto"/>
          <w:highlight w:val="none"/>
        </w:rPr>
      </w:pPr>
    </w:p>
    <w:bookmarkEnd w:id="13"/>
    <w:p w14:paraId="4A7945A2">
      <w:pP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5" w:name="_Hlt74707468"/>
      <w:bookmarkEnd w:id="15"/>
      <w:bookmarkStart w:id="16" w:name="_Hlt75236011"/>
      <w:bookmarkEnd w:id="16"/>
      <w:bookmarkStart w:id="17" w:name="_Hlt68072998"/>
      <w:bookmarkEnd w:id="17"/>
      <w:bookmarkStart w:id="18" w:name="_Hlt68073093"/>
      <w:bookmarkEnd w:id="18"/>
      <w:bookmarkStart w:id="19" w:name="_Hlt68057669"/>
      <w:bookmarkEnd w:id="19"/>
      <w:bookmarkStart w:id="20" w:name="_Hlt75236101"/>
      <w:bookmarkEnd w:id="20"/>
      <w:bookmarkStart w:id="21" w:name="_Hlt74730295"/>
      <w:bookmarkEnd w:id="21"/>
      <w:bookmarkStart w:id="22" w:name="_Hlt74714665"/>
      <w:bookmarkEnd w:id="22"/>
      <w:bookmarkStart w:id="23" w:name="_Hlt68403820"/>
      <w:bookmarkEnd w:id="23"/>
      <w:bookmarkStart w:id="24" w:name="_Hlt74729768"/>
      <w:bookmarkEnd w:id="24"/>
      <w:bookmarkStart w:id="25" w:name="_Hlt75236290"/>
      <w:bookmarkEnd w:id="25"/>
      <w:bookmarkStart w:id="26" w:name="_Hlt68072990"/>
      <w:bookmarkEnd w:id="26"/>
    </w:p>
    <w:bookmarkEnd w:id="11"/>
    <w:bookmarkEnd w:id="12"/>
    <w:p w14:paraId="5EB35967">
      <w:pPr>
        <w:spacing w:line="360" w:lineRule="auto"/>
        <w:jc w:val="center"/>
        <w:outlineLvl w:val="0"/>
        <w:rPr>
          <w:rFonts w:ascii="宋体" w:hAnsi="宋体" w:cs="宋体"/>
          <w:b/>
          <w:color w:val="auto"/>
          <w:sz w:val="36"/>
          <w:szCs w:val="36"/>
          <w:highlight w:val="none"/>
        </w:rPr>
      </w:pPr>
      <w:bookmarkStart w:id="27" w:name="第四部分"/>
      <w:r>
        <w:rPr>
          <w:rFonts w:hint="eastAsia" w:ascii="宋体" w:hAnsi="宋体" w:cs="宋体"/>
          <w:b/>
          <w:color w:val="auto"/>
          <w:sz w:val="36"/>
          <w:szCs w:val="36"/>
          <w:highlight w:val="none"/>
        </w:rPr>
        <w:t>第三部分   采购需求</w:t>
      </w:r>
    </w:p>
    <w:p w14:paraId="0BC713B4">
      <w:pPr>
        <w:spacing w:line="480" w:lineRule="exact"/>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1、技术需求：</w:t>
      </w:r>
    </w:p>
    <w:p w14:paraId="6F4B8D3C">
      <w:pPr>
        <w:snapToGrid w:val="0"/>
        <w:spacing w:line="480" w:lineRule="exact"/>
        <w:ind w:firstLine="482" w:firstLineChars="20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一、项目范围：</w:t>
      </w:r>
    </w:p>
    <w:p w14:paraId="4CC5F941">
      <w:pPr>
        <w:snapToGrid w:val="0"/>
        <w:spacing w:line="48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临平“杭北门户·未来贤城”城市新区风貌区位于</w:t>
      </w:r>
      <w:r>
        <w:rPr>
          <w:rFonts w:hint="eastAsia" w:ascii="宋体" w:hAnsi="宋体" w:eastAsia="宋体" w:cs="宋体"/>
          <w:color w:val="000000" w:themeColor="text1"/>
          <w:sz w:val="24"/>
          <w:highlight w:val="none"/>
          <w:lang w:val="en-US" w:eastAsia="zh-CN"/>
          <w14:textFill>
            <w14:solidFill>
              <w14:schemeClr w14:val="tx1"/>
            </w14:solidFill>
          </w14:textFill>
        </w:rPr>
        <w:t>临平西南</w:t>
      </w:r>
      <w:r>
        <w:rPr>
          <w:rFonts w:hint="eastAsia" w:ascii="宋体" w:hAnsi="宋体" w:eastAsia="宋体" w:cs="宋体"/>
          <w:color w:val="000000" w:themeColor="text1"/>
          <w:sz w:val="24"/>
          <w:highlight w:val="none"/>
          <w14:textFill>
            <w14:solidFill>
              <w14:schemeClr w14:val="tx1"/>
            </w14:solidFill>
          </w14:textFill>
        </w:rPr>
        <w:t>部，项目范围东至塘康路，南至龙腾街，西至沾桥港，北至前村街，片区总规模约</w:t>
      </w:r>
      <w:r>
        <w:rPr>
          <w:rFonts w:hint="eastAsia" w:ascii="宋体" w:hAnsi="宋体" w:eastAsia="宋体" w:cs="宋体"/>
          <w:color w:val="000000" w:themeColor="text1"/>
          <w:sz w:val="24"/>
          <w:highlight w:val="none"/>
          <w:lang w:val="en-US" w:eastAsia="zh-CN"/>
          <w14:textFill>
            <w14:solidFill>
              <w14:schemeClr w14:val="tx1"/>
            </w14:solidFill>
          </w14:textFill>
        </w:rPr>
        <w:t>135</w:t>
      </w:r>
      <w:r>
        <w:rPr>
          <w:rFonts w:hint="eastAsia" w:ascii="宋体" w:hAnsi="宋体" w:eastAsia="宋体" w:cs="宋体"/>
          <w:color w:val="000000" w:themeColor="text1"/>
          <w:sz w:val="24"/>
          <w:highlight w:val="none"/>
          <w14:textFill>
            <w14:solidFill>
              <w14:schemeClr w14:val="tx1"/>
            </w14:solidFill>
          </w14:textFill>
        </w:rPr>
        <w:t>公顷。</w:t>
      </w:r>
    </w:p>
    <w:p w14:paraId="56EB5F56">
      <w:pPr>
        <w:pStyle w:val="2"/>
        <w:ind w:left="0" w:leftChars="0"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100320" cy="3253105"/>
            <wp:effectExtent l="0" t="0" r="5080" b="444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7"/>
                    <a:stretch>
                      <a:fillRect/>
                    </a:stretch>
                  </pic:blipFill>
                  <pic:spPr>
                    <a:xfrm>
                      <a:off x="0" y="0"/>
                      <a:ext cx="5100320" cy="3253105"/>
                    </a:xfrm>
                    <a:prstGeom prst="rect">
                      <a:avLst/>
                    </a:prstGeom>
                  </pic:spPr>
                </pic:pic>
              </a:graphicData>
            </a:graphic>
          </wp:inline>
        </w:drawing>
      </w:r>
    </w:p>
    <w:p w14:paraId="6D28D880">
      <w:pPr>
        <w:pStyle w:val="2"/>
        <w:ind w:left="0" w:leftChars="0" w:firstLine="0" w:firstLineChars="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项目范围示意图</w:t>
      </w:r>
    </w:p>
    <w:p w14:paraId="001AE87D">
      <w:pPr>
        <w:snapToGrid w:val="0"/>
        <w:spacing w:line="480" w:lineRule="exact"/>
        <w:ind w:firstLine="482" w:firstLineChars="20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二、编制背景</w:t>
      </w:r>
    </w:p>
    <w:p w14:paraId="2355B6D0">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新时期，高质量共同富裕全面推进，对我省打造“整体大美、浙江气质”的全省城乡风貌“新时代富春山居图”提出了新的要求。省委省政府决策部署城乡风貌整治提升行动，推动高品质美丽浙江建设，全面提升全省城乡风貌建设水平。按照省城乡风貌整治提升</w:t>
      </w:r>
      <w:r>
        <w:rPr>
          <w:rFonts w:hint="eastAsia" w:ascii="宋体" w:hAnsi="宋体" w:eastAsia="宋体" w:cs="宋体"/>
          <w:color w:val="000000" w:themeColor="text1"/>
          <w:sz w:val="24"/>
          <w:lang w:val="en-US" w:eastAsia="zh-CN"/>
          <w14:textFill>
            <w14:solidFill>
              <w14:schemeClr w14:val="tx1"/>
            </w14:solidFill>
          </w14:textFill>
        </w:rPr>
        <w:t>工</w:t>
      </w:r>
      <w:r>
        <w:rPr>
          <w:rFonts w:hint="eastAsia" w:ascii="宋体" w:hAnsi="宋体" w:eastAsia="宋体" w:cs="宋体"/>
          <w:color w:val="000000" w:themeColor="text1"/>
          <w:sz w:val="24"/>
          <w14:textFill>
            <w14:solidFill>
              <w14:schemeClr w14:val="tx1"/>
            </w14:solidFill>
          </w14:textFill>
        </w:rPr>
        <w:t>作专班</w:t>
      </w:r>
      <w:r>
        <w:rPr>
          <w:rFonts w:hint="eastAsia" w:ascii="宋体" w:hAnsi="宋体" w:eastAsia="宋体" w:cs="宋体"/>
          <w:color w:val="000000" w:themeColor="text1"/>
          <w:sz w:val="24"/>
          <w:lang w:val="en-US" w:eastAsia="zh-CN"/>
          <w14:textFill>
            <w14:solidFill>
              <w14:schemeClr w14:val="tx1"/>
            </w14:solidFill>
          </w14:textFill>
        </w:rPr>
        <w:t>办公室</w:t>
      </w:r>
      <w:r>
        <w:rPr>
          <w:rFonts w:hint="eastAsia" w:ascii="宋体" w:hAnsi="宋体" w:eastAsia="宋体" w:cs="宋体"/>
          <w:color w:val="000000" w:themeColor="text1"/>
          <w:sz w:val="24"/>
          <w14:textFill>
            <w14:solidFill>
              <w14:schemeClr w14:val="tx1"/>
            </w14:solidFill>
          </w14:textFill>
        </w:rPr>
        <w:t>的统一部署，</w:t>
      </w:r>
      <w:r>
        <w:rPr>
          <w:rFonts w:hint="eastAsia" w:ascii="宋体" w:hAnsi="宋体" w:eastAsia="宋体" w:cs="宋体"/>
          <w:color w:val="000000" w:themeColor="text1"/>
          <w:sz w:val="24"/>
          <w:lang w:val="en-US" w:eastAsia="zh-CN"/>
          <w14:textFill>
            <w14:solidFill>
              <w14:schemeClr w14:val="tx1"/>
            </w14:solidFill>
          </w14:textFill>
        </w:rPr>
        <w:t>临平</w:t>
      </w:r>
      <w:r>
        <w:rPr>
          <w:rFonts w:hint="eastAsia" w:ascii="宋体" w:hAnsi="宋体" w:eastAsia="宋体" w:cs="宋体"/>
          <w:color w:val="000000" w:themeColor="text1"/>
          <w:sz w:val="24"/>
          <w14:textFill>
            <w14:solidFill>
              <w14:schemeClr w14:val="tx1"/>
            </w14:solidFill>
          </w14:textFill>
        </w:rPr>
        <w:t>山区组织编制了《</w:t>
      </w:r>
      <w:r>
        <w:rPr>
          <w:rFonts w:hint="eastAsia" w:ascii="宋体" w:hAnsi="宋体" w:eastAsia="宋体" w:cs="宋体"/>
          <w:color w:val="000000" w:themeColor="text1"/>
          <w:sz w:val="24"/>
          <w:lang w:val="en-US" w:eastAsia="zh-CN"/>
          <w14:textFill>
            <w14:solidFill>
              <w14:schemeClr w14:val="tx1"/>
            </w14:solidFill>
          </w14:textFill>
        </w:rPr>
        <w:t>临平</w:t>
      </w:r>
      <w:r>
        <w:rPr>
          <w:rFonts w:hint="eastAsia" w:ascii="宋体" w:hAnsi="宋体" w:eastAsia="宋体" w:cs="宋体"/>
          <w:color w:val="000000" w:themeColor="text1"/>
          <w:sz w:val="24"/>
          <w14:textFill>
            <w14:solidFill>
              <w14:schemeClr w14:val="tx1"/>
            </w14:solidFill>
          </w14:textFill>
        </w:rPr>
        <w:t>区城乡风貌整治提升行动方案》，并明确了2022-2025年</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14:textFill>
            <w14:solidFill>
              <w14:schemeClr w14:val="tx1"/>
            </w14:solidFill>
          </w14:textFill>
        </w:rPr>
        <w:t>个风貌样板区建设计划，“杭北门户·未来贤城”城市新区风貌区为其中第三批打造的风貌样板区。</w:t>
      </w:r>
    </w:p>
    <w:p w14:paraId="2A531445">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为高质量推进“杭北门户·未来贤城”城市新区风貌区建设提升工作，规范</w:t>
      </w:r>
      <w:r>
        <w:rPr>
          <w:rFonts w:hint="eastAsia" w:ascii="宋体" w:hAnsi="宋体" w:eastAsia="宋体" w:cs="宋体"/>
          <w:color w:val="000000" w:themeColor="text1"/>
          <w:sz w:val="24"/>
          <w:lang w:val="en-US" w:eastAsia="zh-CN"/>
          <w14:textFill>
            <w14:solidFill>
              <w14:schemeClr w14:val="tx1"/>
            </w14:solidFill>
          </w14:textFill>
        </w:rPr>
        <w:t>风貌</w:t>
      </w:r>
      <w:r>
        <w:rPr>
          <w:rFonts w:hint="eastAsia" w:ascii="宋体" w:hAnsi="宋体" w:eastAsia="宋体" w:cs="宋体"/>
          <w:color w:val="000000" w:themeColor="text1"/>
          <w:sz w:val="24"/>
          <w14:textFill>
            <w14:solidFill>
              <w14:schemeClr w14:val="tx1"/>
            </w14:solidFill>
          </w14:textFill>
        </w:rPr>
        <w:t>区风貌整治提升行动，决定开展</w:t>
      </w:r>
      <w:r>
        <w:rPr>
          <w:rFonts w:hint="eastAsia" w:ascii="宋体" w:hAnsi="宋体" w:eastAsia="宋体" w:cs="宋体"/>
          <w:color w:val="000000" w:themeColor="text1"/>
          <w:sz w:val="24"/>
          <w:lang w:val="en-US" w:eastAsia="zh-CN"/>
          <w14:textFill>
            <w14:solidFill>
              <w14:schemeClr w14:val="tx1"/>
            </w14:solidFill>
          </w14:textFill>
        </w:rPr>
        <w:t>临平</w:t>
      </w:r>
      <w:r>
        <w:rPr>
          <w:rFonts w:hint="eastAsia" w:ascii="宋体" w:hAnsi="宋体" w:eastAsia="宋体" w:cs="宋体"/>
          <w:color w:val="000000" w:themeColor="text1"/>
          <w:sz w:val="24"/>
          <w14:textFill>
            <w14:solidFill>
              <w14:schemeClr w14:val="tx1"/>
            </w14:solidFill>
          </w14:textFill>
        </w:rPr>
        <w:t>“杭北门户·未来贤城”城市新区风貌区建设方案编制工作。</w:t>
      </w:r>
    </w:p>
    <w:p w14:paraId="503D6099">
      <w:pPr>
        <w:snapToGrid w:val="0"/>
        <w:spacing w:line="480" w:lineRule="exact"/>
        <w:ind w:firstLine="482" w:firstLineChars="20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三、编制要求</w:t>
      </w:r>
    </w:p>
    <w:p w14:paraId="5DAFBD00">
      <w:pPr>
        <w:snapToGrid w:val="0"/>
        <w:spacing w:line="480" w:lineRule="exact"/>
        <w:ind w:firstLine="482" w:firstLineChars="20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（一）编制目的</w:t>
      </w:r>
    </w:p>
    <w:p w14:paraId="39F286A9">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有效指导城乡空间品质提升，加快城乡风貌迭代升级，推进城乡风貌样板区建设。</w:t>
      </w:r>
    </w:p>
    <w:p w14:paraId="2824DD2F">
      <w:pPr>
        <w:snapToGrid w:val="0"/>
        <w:spacing w:line="480" w:lineRule="exact"/>
        <w:ind w:firstLine="482" w:firstLineChars="20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（二）编制原则</w:t>
      </w:r>
    </w:p>
    <w:p w14:paraId="29461B1C">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在前期《</w:t>
      </w:r>
      <w:r>
        <w:rPr>
          <w:rFonts w:hint="eastAsia" w:ascii="宋体" w:hAnsi="宋体" w:eastAsia="宋体" w:cs="宋体"/>
          <w:color w:val="000000" w:themeColor="text1"/>
          <w:sz w:val="24"/>
          <w:lang w:val="en-US" w:eastAsia="zh-CN"/>
          <w14:textFill>
            <w14:solidFill>
              <w14:schemeClr w14:val="tx1"/>
            </w14:solidFill>
          </w14:textFill>
        </w:rPr>
        <w:t>临平</w:t>
      </w:r>
      <w:r>
        <w:rPr>
          <w:rFonts w:hint="eastAsia" w:ascii="宋体" w:hAnsi="宋体" w:eastAsia="宋体" w:cs="宋体"/>
          <w:color w:val="000000" w:themeColor="text1"/>
          <w:sz w:val="24"/>
          <w14:textFill>
            <w14:solidFill>
              <w14:schemeClr w14:val="tx1"/>
            </w14:solidFill>
          </w14:textFill>
        </w:rPr>
        <w:t>区城乡风貌整治提升行动方案》研究成果基础上，明确拟建样板区整治提升的具体内容，更加注重空间整合、项目落地、机制创新、要素保障等。</w:t>
      </w:r>
    </w:p>
    <w:p w14:paraId="018ABC25">
      <w:pPr>
        <w:snapToGrid w:val="0"/>
        <w:spacing w:line="480" w:lineRule="exact"/>
        <w:ind w:firstLine="482" w:firstLineChars="20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（三）编制依据</w:t>
      </w:r>
    </w:p>
    <w:p w14:paraId="4260890B">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以</w:t>
      </w:r>
      <w:r>
        <w:rPr>
          <w:rFonts w:hint="eastAsia" w:ascii="宋体" w:hAnsi="宋体" w:eastAsia="宋体" w:cs="宋体"/>
          <w:color w:val="000000" w:themeColor="text1"/>
          <w:sz w:val="24"/>
          <w:lang w:val="en-US" w:eastAsia="zh-CN"/>
          <w14:textFill>
            <w14:solidFill>
              <w14:schemeClr w14:val="tx1"/>
            </w14:solidFill>
          </w14:textFill>
        </w:rPr>
        <w:t>临平</w:t>
      </w:r>
      <w:r>
        <w:rPr>
          <w:rFonts w:hint="eastAsia" w:ascii="宋体" w:hAnsi="宋体" w:eastAsia="宋体" w:cs="宋体"/>
          <w:color w:val="000000" w:themeColor="text1"/>
          <w:sz w:val="24"/>
          <w14:textFill>
            <w14:solidFill>
              <w14:schemeClr w14:val="tx1"/>
            </w14:solidFill>
          </w14:textFill>
        </w:rPr>
        <w:t>区国土空间总体规划为指导，与详细城市设计、其它专项规划相衔接，参照浙江省《城乡风貌样板区建设方案编制大纲》，结合拟建样板区自身特色和基础，因地制宜推进样板区建设方案编制。</w:t>
      </w:r>
    </w:p>
    <w:p w14:paraId="0C764E48">
      <w:pPr>
        <w:snapToGrid w:val="0"/>
        <w:spacing w:line="480" w:lineRule="exact"/>
        <w:ind w:firstLine="482" w:firstLineChars="20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（四）编制内容</w:t>
      </w:r>
    </w:p>
    <w:p w14:paraId="31A5D296">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本次建设方案编制需要充分衔接《杭州市城乡风貌整治提升行动方案》、《</w:t>
      </w:r>
      <w:r>
        <w:rPr>
          <w:rFonts w:hint="eastAsia" w:ascii="宋体" w:hAnsi="宋体" w:eastAsia="宋体" w:cs="宋体"/>
          <w:color w:val="000000" w:themeColor="text1"/>
          <w:sz w:val="24"/>
          <w:lang w:val="en-US" w:eastAsia="zh-CN"/>
          <w14:textFill>
            <w14:solidFill>
              <w14:schemeClr w14:val="tx1"/>
            </w14:solidFill>
          </w14:textFill>
        </w:rPr>
        <w:t>临平</w:t>
      </w:r>
      <w:r>
        <w:rPr>
          <w:rFonts w:hint="eastAsia" w:ascii="宋体" w:hAnsi="宋体" w:eastAsia="宋体" w:cs="宋体"/>
          <w:color w:val="000000" w:themeColor="text1"/>
          <w:sz w:val="24"/>
          <w14:textFill>
            <w14:solidFill>
              <w14:schemeClr w14:val="tx1"/>
            </w14:solidFill>
          </w14:textFill>
        </w:rPr>
        <w:t>区城乡风貌整治提升行动方案》相关上位指引，充分挖掘</w:t>
      </w:r>
      <w:r>
        <w:rPr>
          <w:rFonts w:hint="eastAsia" w:ascii="宋体" w:hAnsi="宋体" w:eastAsia="宋体" w:cs="宋体"/>
          <w:color w:val="000000" w:themeColor="text1"/>
          <w:sz w:val="24"/>
          <w:lang w:val="en-US" w:eastAsia="zh-CN"/>
          <w14:textFill>
            <w14:solidFill>
              <w14:schemeClr w14:val="tx1"/>
            </w14:solidFill>
          </w14:textFill>
        </w:rPr>
        <w:t>风貌</w:t>
      </w:r>
      <w:r>
        <w:rPr>
          <w:rFonts w:hint="eastAsia" w:ascii="宋体" w:hAnsi="宋体" w:eastAsia="宋体" w:cs="宋体"/>
          <w:color w:val="000000" w:themeColor="text1"/>
          <w:sz w:val="24"/>
          <w14:textFill>
            <w14:solidFill>
              <w14:schemeClr w14:val="tx1"/>
            </w14:solidFill>
          </w14:textFill>
        </w:rPr>
        <w:t>区建设基础，重点把握</w:t>
      </w:r>
      <w:r>
        <w:rPr>
          <w:rFonts w:hint="eastAsia" w:ascii="宋体" w:hAnsi="宋体" w:eastAsia="宋体" w:cs="宋体"/>
          <w:color w:val="000000" w:themeColor="text1"/>
          <w:sz w:val="24"/>
          <w:lang w:val="en-US" w:eastAsia="zh-CN"/>
          <w14:textFill>
            <w14:solidFill>
              <w14:schemeClr w14:val="tx1"/>
            </w14:solidFill>
          </w14:textFill>
        </w:rPr>
        <w:t>风貌区</w:t>
      </w:r>
      <w:r>
        <w:rPr>
          <w:rFonts w:hint="eastAsia" w:ascii="宋体" w:hAnsi="宋体" w:eastAsia="宋体" w:cs="宋体"/>
          <w:color w:val="000000" w:themeColor="text1"/>
          <w:sz w:val="24"/>
          <w14:textFill>
            <w14:solidFill>
              <w14:schemeClr w14:val="tx1"/>
            </w14:solidFill>
          </w14:textFill>
        </w:rPr>
        <w:t>风貌类型特征，切实做到突出主题、示范引领。</w:t>
      </w:r>
    </w:p>
    <w:p w14:paraId="418C8156">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根据《城乡风貌样板区建设方案编制大纲》要求，本次《建设方案》的具体内容及技术要求如下所述。</w:t>
      </w:r>
    </w:p>
    <w:p w14:paraId="464A869A">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r>
        <w:rPr>
          <w:rFonts w:hint="eastAsia" w:ascii="宋体" w:hAnsi="宋体" w:eastAsia="宋体" w:cs="宋体"/>
          <w:color w:val="000000" w:themeColor="text1"/>
          <w:sz w:val="24"/>
          <w:lang w:val="en-US" w:eastAsia="zh-CN"/>
          <w14:textFill>
            <w14:solidFill>
              <w14:schemeClr w14:val="tx1"/>
            </w14:solidFill>
          </w14:textFill>
        </w:rPr>
        <w:t>建设</w:t>
      </w:r>
      <w:r>
        <w:rPr>
          <w:rFonts w:hint="eastAsia" w:ascii="宋体" w:hAnsi="宋体" w:eastAsia="宋体" w:cs="宋体"/>
          <w:color w:val="000000" w:themeColor="text1"/>
          <w:sz w:val="24"/>
          <w14:textFill>
            <w14:solidFill>
              <w14:schemeClr w14:val="tx1"/>
            </w14:solidFill>
          </w14:textFill>
        </w:rPr>
        <w:t>基础。包括</w:t>
      </w:r>
      <w:r>
        <w:rPr>
          <w:rFonts w:hint="eastAsia" w:ascii="宋体" w:hAnsi="宋体" w:eastAsia="宋体" w:cs="宋体"/>
          <w:color w:val="000000" w:themeColor="text1"/>
          <w:sz w:val="24"/>
          <w:lang w:val="en-US" w:eastAsia="zh-CN"/>
          <w14:textFill>
            <w14:solidFill>
              <w14:schemeClr w14:val="tx1"/>
            </w14:solidFill>
          </w14:textFill>
        </w:rPr>
        <w:t>发展背景</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风貌</w:t>
      </w:r>
      <w:r>
        <w:rPr>
          <w:rFonts w:hint="eastAsia" w:ascii="宋体" w:hAnsi="宋体" w:eastAsia="宋体" w:cs="宋体"/>
          <w:color w:val="000000" w:themeColor="text1"/>
          <w:sz w:val="24"/>
          <w14:textFill>
            <w14:solidFill>
              <w14:schemeClr w14:val="tx1"/>
            </w14:solidFill>
          </w14:textFill>
        </w:rPr>
        <w:t>基础</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规划衔接</w:t>
      </w:r>
      <w:r>
        <w:rPr>
          <w:rFonts w:hint="eastAsia" w:ascii="宋体" w:hAnsi="宋体" w:eastAsia="宋体" w:cs="宋体"/>
          <w:color w:val="000000" w:themeColor="text1"/>
          <w:sz w:val="24"/>
          <w14:textFill>
            <w14:solidFill>
              <w14:schemeClr w14:val="tx1"/>
            </w14:solidFill>
          </w14:textFill>
        </w:rPr>
        <w:t>等。</w:t>
      </w:r>
    </w:p>
    <w:p w14:paraId="341A8AED">
      <w:pPr>
        <w:snapToGrid w:val="0"/>
        <w:spacing w:line="480" w:lineRule="exact"/>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r>
        <w:rPr>
          <w:rFonts w:hint="eastAsia" w:ascii="宋体" w:hAnsi="宋体" w:eastAsia="宋体" w:cs="宋体"/>
          <w:color w:val="000000" w:themeColor="text1"/>
          <w:sz w:val="24"/>
          <w:lang w:val="en-US" w:eastAsia="zh-CN"/>
          <w14:textFill>
            <w14:solidFill>
              <w14:schemeClr w14:val="tx1"/>
            </w14:solidFill>
          </w14:textFill>
        </w:rPr>
        <w:t>发展背景</w:t>
      </w:r>
    </w:p>
    <w:p w14:paraId="79507CC9">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分析风貌区总体发展背景、宏观政策、地方战略等；阐述样板区的所处具体区位、规模及与周边区域的关系；阐述样板区内的主要建设要素等基本情况。</w:t>
      </w:r>
    </w:p>
    <w:p w14:paraId="48782F2E">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2</w:t>
      </w:r>
      <w:r>
        <w:rPr>
          <w:rFonts w:hint="eastAsia" w:ascii="宋体" w:hAnsi="宋体" w:eastAsia="宋体" w:cs="宋体"/>
          <w:color w:val="000000" w:themeColor="text1"/>
          <w:sz w:val="24"/>
          <w14:textFill>
            <w14:solidFill>
              <w14:schemeClr w14:val="tx1"/>
            </w14:solidFill>
          </w14:textFill>
        </w:rPr>
        <w:t>）风貌基础</w:t>
      </w:r>
    </w:p>
    <w:p w14:paraId="3D31AF22">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阐述风貌区最主要的</w:t>
      </w:r>
      <w:r>
        <w:rPr>
          <w:rFonts w:hint="eastAsia" w:ascii="宋体" w:hAnsi="宋体" w:eastAsia="宋体" w:cs="宋体"/>
          <w:color w:val="000000" w:themeColor="text1"/>
          <w:sz w:val="24"/>
          <w:lang w:val="en-US" w:eastAsia="zh-CN"/>
          <w14:textFill>
            <w14:solidFill>
              <w14:schemeClr w14:val="tx1"/>
            </w14:solidFill>
          </w14:textFill>
        </w:rPr>
        <w:t>建设要素与风貌要素</w:t>
      </w:r>
      <w:r>
        <w:rPr>
          <w:rFonts w:hint="eastAsia" w:ascii="宋体" w:hAnsi="宋体" w:eastAsia="宋体" w:cs="宋体"/>
          <w:color w:val="000000" w:themeColor="text1"/>
          <w:sz w:val="24"/>
          <w14:textFill>
            <w14:solidFill>
              <w14:schemeClr w14:val="tx1"/>
            </w14:solidFill>
          </w14:textFill>
        </w:rPr>
        <w:t>。</w:t>
      </w:r>
    </w:p>
    <w:p w14:paraId="47B07B9D">
      <w:pPr>
        <w:numPr>
          <w:ilvl w:val="0"/>
          <w:numId w:val="1"/>
        </w:numPr>
        <w:snapToGrid w:val="0"/>
        <w:spacing w:line="480" w:lineRule="exact"/>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规划衔接</w:t>
      </w:r>
    </w:p>
    <w:p w14:paraId="30D2AD26">
      <w:pPr>
        <w:snapToGrid w:val="0"/>
        <w:spacing w:line="480" w:lineRule="exact"/>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衔接与风貌区相关的</w:t>
      </w:r>
      <w:r>
        <w:rPr>
          <w:rFonts w:hint="eastAsia" w:ascii="宋体" w:hAnsi="宋体" w:eastAsia="宋体" w:cs="宋体"/>
          <w:color w:val="000000" w:themeColor="text1"/>
          <w:sz w:val="24"/>
          <w14:textFill>
            <w14:solidFill>
              <w14:schemeClr w14:val="tx1"/>
            </w14:solidFill>
          </w14:textFill>
        </w:rPr>
        <w:t>规划，</w:t>
      </w:r>
      <w:r>
        <w:rPr>
          <w:rFonts w:hint="eastAsia" w:ascii="宋体" w:hAnsi="宋体" w:eastAsia="宋体" w:cs="宋体"/>
          <w:color w:val="000000" w:themeColor="text1"/>
          <w:sz w:val="24"/>
          <w:lang w:val="en-US" w:eastAsia="zh-CN"/>
          <w14:textFill>
            <w14:solidFill>
              <w14:schemeClr w14:val="tx1"/>
            </w14:solidFill>
          </w14:textFill>
        </w:rPr>
        <w:t>规划衔接要注重</w:t>
      </w:r>
      <w:r>
        <w:rPr>
          <w:rFonts w:hint="eastAsia" w:ascii="宋体" w:hAnsi="宋体" w:eastAsia="宋体" w:cs="宋体"/>
          <w:color w:val="000000" w:themeColor="text1"/>
          <w:sz w:val="24"/>
          <w14:textFill>
            <w14:solidFill>
              <w14:schemeClr w14:val="tx1"/>
            </w14:solidFill>
          </w14:textFill>
        </w:rPr>
        <w:t>准确性、科学性、针对性</w:t>
      </w:r>
      <w:r>
        <w:rPr>
          <w:rFonts w:hint="eastAsia" w:ascii="宋体" w:hAnsi="宋体" w:eastAsia="宋体" w:cs="宋体"/>
          <w:color w:val="000000" w:themeColor="text1"/>
          <w:sz w:val="24"/>
          <w:lang w:eastAsia="zh-CN"/>
          <w14:textFill>
            <w14:solidFill>
              <w14:schemeClr w14:val="tx1"/>
            </w14:solidFill>
          </w14:textFill>
        </w:rPr>
        <w:t>。</w:t>
      </w:r>
    </w:p>
    <w:p w14:paraId="4AA3D647">
      <w:pPr>
        <w:snapToGrid w:val="0"/>
        <w:spacing w:line="480" w:lineRule="exact"/>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现状</w:t>
      </w:r>
      <w:r>
        <w:rPr>
          <w:rFonts w:hint="eastAsia" w:ascii="宋体" w:hAnsi="宋体" w:eastAsia="宋体" w:cs="宋体"/>
          <w:color w:val="000000" w:themeColor="text1"/>
          <w:sz w:val="24"/>
          <w:lang w:val="en-US" w:eastAsia="zh-CN"/>
          <w14:textFill>
            <w14:solidFill>
              <w14:schemeClr w14:val="tx1"/>
            </w14:solidFill>
          </w14:textFill>
        </w:rPr>
        <w:t>研究。包括现状基础、指标自评、短板总结等。</w:t>
      </w:r>
    </w:p>
    <w:p w14:paraId="6BE50EF5">
      <w:pPr>
        <w:snapToGrid w:val="0"/>
        <w:spacing w:line="480" w:lineRule="exact"/>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1</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现状基础</w:t>
      </w:r>
    </w:p>
    <w:p w14:paraId="00430A25">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阐述风貌区最主要的特色禀赋，包括自然格局、功能</w:t>
      </w:r>
      <w:r>
        <w:rPr>
          <w:rFonts w:hint="eastAsia" w:ascii="宋体" w:hAnsi="宋体" w:eastAsia="宋体" w:cs="宋体"/>
          <w:color w:val="000000" w:themeColor="text1"/>
          <w:sz w:val="24"/>
          <w:lang w:val="en-US" w:eastAsia="zh-CN"/>
          <w14:textFill>
            <w14:solidFill>
              <w14:schemeClr w14:val="tx1"/>
            </w14:solidFill>
          </w14:textFill>
        </w:rPr>
        <w:t>构成、道路交通</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公共服务和建筑风貌</w:t>
      </w:r>
      <w:r>
        <w:rPr>
          <w:rFonts w:hint="eastAsia" w:ascii="宋体" w:hAnsi="宋体" w:eastAsia="宋体" w:cs="宋体"/>
          <w:color w:val="000000" w:themeColor="text1"/>
          <w:sz w:val="24"/>
          <w14:textFill>
            <w14:solidFill>
              <w14:schemeClr w14:val="tx1"/>
            </w14:solidFill>
          </w14:textFill>
        </w:rPr>
        <w:t>等。</w:t>
      </w:r>
    </w:p>
    <w:p w14:paraId="3FFFCC2F">
      <w:pPr>
        <w:snapToGrid w:val="0"/>
        <w:spacing w:line="480" w:lineRule="exact"/>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2</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指标自评</w:t>
      </w:r>
    </w:p>
    <w:p w14:paraId="50A10E8F">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对标《浙江省城乡风貌样板区建设评价办法》相关指标和细则，进行建设评估，明确需重点改善或提升的短板和内容。</w:t>
      </w:r>
    </w:p>
    <w:p w14:paraId="55CD6F07">
      <w:pPr>
        <w:snapToGrid w:val="0"/>
        <w:spacing w:line="480" w:lineRule="exact"/>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（3）短板总结</w:t>
      </w:r>
    </w:p>
    <w:p w14:paraId="37C0E58B">
      <w:pPr>
        <w:snapToGrid w:val="0"/>
        <w:spacing w:line="480" w:lineRule="exact"/>
        <w:ind w:firstLine="480" w:firstLineChars="2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通过对片区风貌存在问题的分析，</w:t>
      </w:r>
      <w:r>
        <w:rPr>
          <w:rFonts w:hint="eastAsia" w:ascii="宋体" w:hAnsi="宋体" w:eastAsia="宋体" w:cs="宋体"/>
          <w:color w:val="000000" w:themeColor="text1"/>
          <w:sz w:val="24"/>
          <w:lang w:val="en-US" w:eastAsia="zh-CN"/>
          <w14:textFill>
            <w14:solidFill>
              <w14:schemeClr w14:val="tx1"/>
            </w14:solidFill>
          </w14:textFill>
        </w:rPr>
        <w:t>进行</w:t>
      </w:r>
      <w:r>
        <w:rPr>
          <w:rFonts w:hint="eastAsia" w:ascii="宋体" w:hAnsi="宋体" w:eastAsia="宋体" w:cs="宋体"/>
          <w:color w:val="000000" w:themeColor="text1"/>
          <w:sz w:val="24"/>
          <w:lang w:eastAsia="zh-CN"/>
          <w14:textFill>
            <w14:solidFill>
              <w14:schemeClr w14:val="tx1"/>
            </w14:solidFill>
          </w14:textFill>
        </w:rPr>
        <w:t>短板总结。</w:t>
      </w:r>
    </w:p>
    <w:p w14:paraId="00134201">
      <w:pPr>
        <w:snapToGrid w:val="0"/>
        <w:spacing w:line="480" w:lineRule="exact"/>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3、目标愿景。</w:t>
      </w:r>
      <w:r>
        <w:rPr>
          <w:rFonts w:hint="eastAsia" w:ascii="宋体" w:hAnsi="宋体" w:eastAsia="宋体" w:cs="宋体"/>
          <w:color w:val="000000" w:themeColor="text1"/>
          <w:sz w:val="24"/>
          <w14:textFill>
            <w14:solidFill>
              <w14:schemeClr w14:val="tx1"/>
            </w14:solidFill>
          </w14:textFill>
        </w:rPr>
        <w:t>包括目标定位、</w:t>
      </w:r>
      <w:r>
        <w:rPr>
          <w:rFonts w:hint="eastAsia" w:ascii="宋体" w:hAnsi="宋体" w:eastAsia="宋体" w:cs="宋体"/>
          <w:color w:val="000000" w:themeColor="text1"/>
          <w:sz w:val="24"/>
          <w:lang w:val="en-US" w:eastAsia="zh-CN"/>
          <w14:textFill>
            <w14:solidFill>
              <w14:schemeClr w14:val="tx1"/>
            </w14:solidFill>
          </w14:textFill>
        </w:rPr>
        <w:t>总体设计、</w:t>
      </w:r>
      <w:r>
        <w:rPr>
          <w:rFonts w:hint="eastAsia" w:ascii="宋体" w:hAnsi="宋体" w:eastAsia="宋体" w:cs="宋体"/>
          <w:color w:val="000000" w:themeColor="text1"/>
          <w:sz w:val="24"/>
          <w14:textFill>
            <w14:solidFill>
              <w14:schemeClr w14:val="tx1"/>
            </w14:solidFill>
          </w14:textFill>
        </w:rPr>
        <w:t>提升策略。</w:t>
      </w:r>
    </w:p>
    <w:p w14:paraId="72EB0031">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（1）目标定位</w:t>
      </w:r>
    </w:p>
    <w:p w14:paraId="3C735D53">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从形象定位、建设主题、建设目标等维度提出总体目标定位，合理构建空间格局，描绘风貌区总体蓝图。</w:t>
      </w:r>
    </w:p>
    <w:p w14:paraId="58F00F84">
      <w:pPr>
        <w:snapToGrid w:val="0"/>
        <w:spacing w:line="480" w:lineRule="exact"/>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2</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总体设计</w:t>
      </w:r>
    </w:p>
    <w:p w14:paraId="79E84C65">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明确规划结构，</w:t>
      </w:r>
      <w:r>
        <w:rPr>
          <w:rFonts w:hint="eastAsia" w:ascii="宋体" w:hAnsi="宋体" w:eastAsia="宋体" w:cs="宋体"/>
          <w:color w:val="000000" w:themeColor="text1"/>
          <w:sz w:val="24"/>
          <w14:textFill>
            <w14:solidFill>
              <w14:schemeClr w14:val="tx1"/>
            </w14:solidFill>
          </w14:textFill>
        </w:rPr>
        <w:t>根据风貌区实际情况，按照整体有序、风貌大美的原则，通过空间整合、形态优化、项目组织，明确风貌区风貌整治提升总体空间布局方案。</w:t>
      </w:r>
    </w:p>
    <w:p w14:paraId="30D00701">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3</w:t>
      </w:r>
      <w:r>
        <w:rPr>
          <w:rFonts w:hint="eastAsia" w:ascii="宋体" w:hAnsi="宋体" w:eastAsia="宋体" w:cs="宋体"/>
          <w:color w:val="000000" w:themeColor="text1"/>
          <w:sz w:val="24"/>
          <w14:textFill>
            <w14:solidFill>
              <w14:schemeClr w14:val="tx1"/>
            </w14:solidFill>
          </w14:textFill>
        </w:rPr>
        <w:t>）提升策略</w:t>
      </w:r>
    </w:p>
    <w:p w14:paraId="37A980A3">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按照目标导向、问题导向的要求，结合新建项目和存量空间，针对性提出样板区整治提升策略。</w:t>
      </w:r>
    </w:p>
    <w:p w14:paraId="7CB8CDCB">
      <w:pPr>
        <w:snapToGrid w:val="0"/>
        <w:spacing w:line="48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r>
        <w:rPr>
          <w:rFonts w:hint="eastAsia" w:ascii="宋体" w:hAnsi="宋体" w:eastAsia="宋体" w:cs="宋体"/>
          <w:color w:val="000000" w:themeColor="text1"/>
          <w:sz w:val="24"/>
          <w:highlight w:val="none"/>
          <w:lang w:val="en-US" w:eastAsia="zh-CN"/>
          <w14:textFill>
            <w14:solidFill>
              <w14:schemeClr w14:val="tx1"/>
            </w14:solidFill>
          </w14:textFill>
        </w:rPr>
        <w:t>行动计划</w:t>
      </w:r>
      <w:r>
        <w:rPr>
          <w:rFonts w:hint="eastAsia" w:ascii="宋体" w:hAnsi="宋体" w:eastAsia="宋体" w:cs="宋体"/>
          <w:color w:val="000000" w:themeColor="text1"/>
          <w:sz w:val="24"/>
          <w:highlight w:val="none"/>
          <w14:textFill>
            <w14:solidFill>
              <w14:schemeClr w14:val="tx1"/>
            </w14:solidFill>
          </w14:textFill>
        </w:rPr>
        <w:t>。包括</w:t>
      </w:r>
      <w:r>
        <w:rPr>
          <w:rFonts w:hint="eastAsia" w:ascii="宋体" w:hAnsi="宋体" w:eastAsia="宋体" w:cs="宋体"/>
          <w:color w:val="000000" w:themeColor="text1"/>
          <w:sz w:val="24"/>
          <w:highlight w:val="none"/>
          <w:lang w:val="en-US" w:eastAsia="zh-CN"/>
          <w14:textFill>
            <w14:solidFill>
              <w14:schemeClr w14:val="tx1"/>
            </w14:solidFill>
          </w14:textFill>
        </w:rPr>
        <w:t>提升举措</w:t>
      </w:r>
      <w:r>
        <w:rPr>
          <w:rFonts w:hint="eastAsia" w:ascii="宋体" w:hAnsi="宋体" w:eastAsia="宋体" w:cs="宋体"/>
          <w:color w:val="000000" w:themeColor="text1"/>
          <w:sz w:val="24"/>
          <w:highlight w:val="none"/>
          <w14:textFill>
            <w14:solidFill>
              <w14:schemeClr w14:val="tx1"/>
            </w14:solidFill>
          </w14:textFill>
        </w:rPr>
        <w:t>、项目安排。</w:t>
      </w:r>
    </w:p>
    <w:p w14:paraId="58BBEA1E">
      <w:pPr>
        <w:snapToGrid w:val="0"/>
        <w:spacing w:line="480" w:lineRule="exact"/>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提升举措</w:t>
      </w:r>
    </w:p>
    <w:p w14:paraId="4EBA73CE">
      <w:pPr>
        <w:snapToGrid w:val="0"/>
        <w:spacing w:line="480" w:lineRule="exact"/>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依据提升策略，基于本底资源禀赋、服务配套、社会需求等条件，因地制宜提出相关提升举措，制定差异化、精准化的策略。</w:t>
      </w:r>
    </w:p>
    <w:p w14:paraId="02AA4120">
      <w:pPr>
        <w:snapToGrid w:val="0"/>
        <w:spacing w:line="48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（2）项目安排</w:t>
      </w:r>
    </w:p>
    <w:p w14:paraId="58912A56">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制定与整治提升行动策略相对应的建设项目计划，包括项目数量、类型、内</w:t>
      </w:r>
      <w:r>
        <w:rPr>
          <w:rFonts w:hint="eastAsia" w:ascii="宋体" w:hAnsi="宋体" w:eastAsia="宋体" w:cs="宋体"/>
          <w:color w:val="000000" w:themeColor="text1"/>
          <w:sz w:val="24"/>
          <w14:textFill>
            <w14:solidFill>
              <w14:schemeClr w14:val="tx1"/>
            </w14:solidFill>
          </w14:textFill>
        </w:rPr>
        <w:t>容、实施进度、实施主体、投资估算和资金来源。</w:t>
      </w:r>
    </w:p>
    <w:p w14:paraId="54120A8C">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4、保障与支撑。包括管理保障、要素保障与特色创新。</w:t>
      </w:r>
    </w:p>
    <w:p w14:paraId="532B7D84">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（1）管理保障</w:t>
      </w:r>
    </w:p>
    <w:p w14:paraId="467B16EE">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根据风貌区风貌整治提升方案，结合地方发展实际，制定相应实施管理保障机制，包括实施主体、组织机制等具体内容。</w:t>
      </w:r>
    </w:p>
    <w:p w14:paraId="7B2B8A77">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（2）要素保障</w:t>
      </w:r>
    </w:p>
    <w:p w14:paraId="506BE78C">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提出涉及风貌区的资金、土地及相应技术力量支撑方面的保障措施。</w:t>
      </w:r>
    </w:p>
    <w:p w14:paraId="569ECA7D">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（3）特色创新</w:t>
      </w:r>
    </w:p>
    <w:p w14:paraId="24CAF514">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结合风貌区的实际情况，提出理念创新、技术创新、模式创新、政策创新、制度创新等方面的特色作法。</w:t>
      </w:r>
    </w:p>
    <w:p w14:paraId="1928C7AD">
      <w:pPr>
        <w:snapToGrid w:val="0"/>
        <w:spacing w:line="480" w:lineRule="exact"/>
        <w:ind w:firstLine="482" w:firstLineChars="20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（五）实施方案成果构成及质量要求</w:t>
      </w:r>
    </w:p>
    <w:p w14:paraId="4C80EF4B">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1、成果构成</w:t>
      </w:r>
    </w:p>
    <w:p w14:paraId="0968F9F9">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各风貌区建设方案需包含方案文本、图集和项目库表。方案文本应当规范、准确、含义清晰，与图纸内容相一致。图集可结合文本配置，图集包括但不局限于以下图件：</w:t>
      </w:r>
    </w:p>
    <w:p w14:paraId="1B4A8440">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（一）样板区区位图、规划范围</w:t>
      </w:r>
    </w:p>
    <w:p w14:paraId="14C046F9">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（二）样板区现状图及现状照片若干</w:t>
      </w:r>
    </w:p>
    <w:p w14:paraId="2F6F6905">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（三）样板区的上位规划图</w:t>
      </w:r>
    </w:p>
    <w:p w14:paraId="601C9EE2">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（四）样板区整治提升总体思路图</w:t>
      </w:r>
    </w:p>
    <w:p w14:paraId="45083B8A">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（五）样板区总体设计图</w:t>
      </w:r>
    </w:p>
    <w:p w14:paraId="67E0E523">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（六）样板区项目表及项目方案图</w:t>
      </w:r>
    </w:p>
    <w:p w14:paraId="39C35EE9">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2、质量要求</w:t>
      </w:r>
    </w:p>
    <w:p w14:paraId="171CD967">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风貌区</w:t>
      </w:r>
      <w:r>
        <w:rPr>
          <w:rFonts w:hint="eastAsia" w:ascii="宋体" w:hAnsi="宋体" w:eastAsia="宋体" w:cs="宋体"/>
          <w:color w:val="000000" w:themeColor="text1"/>
          <w:sz w:val="24"/>
          <w14:textFill>
            <w14:solidFill>
              <w14:schemeClr w14:val="tx1"/>
            </w14:solidFill>
          </w14:textFill>
        </w:rPr>
        <w:t>建设方案内容需满足《中华人民共和国城乡规划法》《中华人民共和国土地管理法》《中华人民共和国土地管理法实施条例》《中华人民共和国乡村振兴促进法》《浙江省景观风貌管理条例》《浙江省土地管理条例》等相关要求。</w:t>
      </w:r>
    </w:p>
    <w:p w14:paraId="48CD0634">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风貌区</w:t>
      </w:r>
      <w:r>
        <w:rPr>
          <w:rFonts w:hint="eastAsia" w:ascii="宋体" w:hAnsi="宋体" w:eastAsia="宋体" w:cs="宋体"/>
          <w:color w:val="000000" w:themeColor="text1"/>
          <w:sz w:val="24"/>
          <w14:textFill>
            <w14:solidFill>
              <w14:schemeClr w14:val="tx1"/>
            </w14:solidFill>
          </w14:textFill>
        </w:rPr>
        <w:t>建设方案需满足国家、浙江省、杭州市、</w:t>
      </w:r>
      <w:r>
        <w:rPr>
          <w:rFonts w:hint="eastAsia" w:ascii="宋体" w:hAnsi="宋体" w:eastAsia="宋体" w:cs="宋体"/>
          <w:color w:val="000000" w:themeColor="text1"/>
          <w:sz w:val="24"/>
          <w:lang w:val="en-US" w:eastAsia="zh-CN"/>
          <w14:textFill>
            <w14:solidFill>
              <w14:schemeClr w14:val="tx1"/>
            </w14:solidFill>
          </w14:textFill>
        </w:rPr>
        <w:t>临平</w:t>
      </w:r>
      <w:r>
        <w:rPr>
          <w:rFonts w:hint="eastAsia" w:ascii="宋体" w:hAnsi="宋体" w:eastAsia="宋体" w:cs="宋体"/>
          <w:color w:val="000000" w:themeColor="text1"/>
          <w:sz w:val="24"/>
          <w14:textFill>
            <w14:solidFill>
              <w14:schemeClr w14:val="tx1"/>
            </w14:solidFill>
          </w14:textFill>
        </w:rPr>
        <w:t>区城乡风貌管控要求，最终成果能够指导</w:t>
      </w:r>
      <w:r>
        <w:rPr>
          <w:rFonts w:hint="eastAsia" w:ascii="宋体" w:hAnsi="宋体" w:eastAsia="宋体" w:cs="宋体"/>
          <w:color w:val="000000" w:themeColor="text1"/>
          <w:sz w:val="24"/>
          <w:lang w:val="en-US" w:eastAsia="zh-CN"/>
          <w14:textFill>
            <w14:solidFill>
              <w14:schemeClr w14:val="tx1"/>
            </w14:solidFill>
          </w14:textFill>
        </w:rPr>
        <w:t>风貌区</w:t>
      </w:r>
      <w:r>
        <w:rPr>
          <w:rFonts w:hint="eastAsia" w:ascii="宋体" w:hAnsi="宋体" w:eastAsia="宋体" w:cs="宋体"/>
          <w:color w:val="000000" w:themeColor="text1"/>
          <w:sz w:val="24"/>
          <w14:textFill>
            <w14:solidFill>
              <w14:schemeClr w14:val="tx1"/>
            </w14:solidFill>
          </w14:textFill>
        </w:rPr>
        <w:t>区高标准、高质量开展城乡风貌整治提升工作。</w:t>
      </w:r>
    </w:p>
    <w:p w14:paraId="7C73E529">
      <w:pPr>
        <w:snapToGrid w:val="0"/>
        <w:spacing w:line="480" w:lineRule="exact"/>
        <w:ind w:firstLine="482" w:firstLineChars="20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（六）成果要求及提交形式</w:t>
      </w:r>
    </w:p>
    <w:p w14:paraId="052B41CC">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提供《</w:t>
      </w:r>
      <w:r>
        <w:rPr>
          <w:rFonts w:hint="eastAsia" w:ascii="宋体" w:hAnsi="宋体" w:eastAsia="宋体" w:cs="宋体"/>
          <w:color w:val="000000" w:themeColor="text1"/>
          <w:sz w:val="24"/>
          <w:lang w:val="en-US" w:eastAsia="zh-CN"/>
          <w14:textFill>
            <w14:solidFill>
              <w14:schemeClr w14:val="tx1"/>
            </w14:solidFill>
          </w14:textFill>
        </w:rPr>
        <w:t>临平</w:t>
      </w:r>
      <w:r>
        <w:rPr>
          <w:rFonts w:hint="eastAsia" w:ascii="宋体" w:hAnsi="宋体" w:eastAsia="宋体" w:cs="宋体"/>
          <w:color w:val="000000" w:themeColor="text1"/>
          <w:sz w:val="24"/>
          <w14:textFill>
            <w14:solidFill>
              <w14:schemeClr w14:val="tx1"/>
            </w14:solidFill>
          </w14:textFill>
        </w:rPr>
        <w:t>“杭北门户·未来贤城”城市新区风貌区建设方案》成果稿。</w:t>
      </w:r>
    </w:p>
    <w:p w14:paraId="6787D1CD">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配合管理单位，对项目的服务进行动态跟踪。</w:t>
      </w:r>
    </w:p>
    <w:p w14:paraId="60888322">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成果要求：</w:t>
      </w:r>
    </w:p>
    <w:p w14:paraId="701B8B23">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1．成果必须符合国家、地方相关法规及技术文件的有关规定。</w:t>
      </w:r>
    </w:p>
    <w:p w14:paraId="6BB5AB1C">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2．需提供方案文本、图集及项目库表2套，电子光盘1套。</w:t>
      </w:r>
    </w:p>
    <w:p w14:paraId="33723281">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3．成果说明要求</w:t>
      </w:r>
    </w:p>
    <w:p w14:paraId="3F0856E8">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成果文字说明要准确、完整，能表达行动方案的意图及内容。</w:t>
      </w:r>
    </w:p>
    <w:p w14:paraId="3DFAC62B">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第一部分 方案文本</w:t>
      </w:r>
    </w:p>
    <w:p w14:paraId="589128D3">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第二部分 图纸</w:t>
      </w:r>
    </w:p>
    <w:p w14:paraId="53D81240">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第三部分 项目库表</w:t>
      </w:r>
    </w:p>
    <w:p w14:paraId="464569AA">
      <w:pPr>
        <w:snapToGrid w:val="0"/>
        <w:spacing w:line="480" w:lineRule="exact"/>
        <w:ind w:firstLine="482" w:firstLineChars="20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（七）项目团队</w:t>
      </w:r>
    </w:p>
    <w:p w14:paraId="6FF385C8">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投标人需具有城乡规划编制乙级以上资质。</w:t>
      </w:r>
    </w:p>
    <w:p w14:paraId="6C60407D">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投入的项目组人员应不少于6人（含项目负责人），由城乡规划、土地规划、建筑、</w:t>
      </w:r>
      <w:r>
        <w:rPr>
          <w:rFonts w:hint="eastAsia" w:ascii="宋体" w:hAnsi="宋体" w:eastAsia="宋体" w:cs="宋体"/>
          <w:color w:val="000000" w:themeColor="text1"/>
          <w:kern w:val="0"/>
          <w:sz w:val="24"/>
          <w14:textFill>
            <w14:solidFill>
              <w14:schemeClr w14:val="tx1"/>
            </w14:solidFill>
          </w14:textFill>
        </w:rPr>
        <w:t>风景园林</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市政道路</w:t>
      </w:r>
      <w:r>
        <w:rPr>
          <w:rFonts w:hint="eastAsia" w:ascii="宋体" w:hAnsi="宋体" w:eastAsia="宋体" w:cs="宋体"/>
          <w:color w:val="000000" w:themeColor="text1"/>
          <w:sz w:val="24"/>
          <w14:textFill>
            <w14:solidFill>
              <w14:schemeClr w14:val="tx1"/>
            </w14:solidFill>
          </w14:textFill>
        </w:rPr>
        <w:t>等专业构成，其中拟派的项目负责人具有高级工程师及以上职称证书（城乡规划类）、具有注册城乡规划师证书；拟派的项目组成员应不少于5名具有高级工程师及以上职称证书。</w:t>
      </w:r>
    </w:p>
    <w:p w14:paraId="1747EE1F">
      <w:pPr>
        <w:snapToGrid w:val="0"/>
        <w:spacing w:line="480" w:lineRule="exact"/>
        <w:ind w:firstLine="482" w:firstLineChars="20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四、服务年限</w:t>
      </w:r>
    </w:p>
    <w:p w14:paraId="3D86CA04">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本次《</w:t>
      </w:r>
      <w:r>
        <w:rPr>
          <w:rFonts w:hint="eastAsia" w:ascii="宋体" w:hAnsi="宋体" w:eastAsia="宋体" w:cs="宋体"/>
          <w:color w:val="000000" w:themeColor="text1"/>
          <w:sz w:val="24"/>
          <w:lang w:val="en-US" w:eastAsia="zh-CN"/>
          <w14:textFill>
            <w14:solidFill>
              <w14:schemeClr w14:val="tx1"/>
            </w14:solidFill>
          </w14:textFill>
        </w:rPr>
        <w:t>临平</w:t>
      </w:r>
      <w:r>
        <w:rPr>
          <w:rFonts w:hint="eastAsia" w:ascii="宋体" w:hAnsi="宋体" w:eastAsia="宋体" w:cs="宋体"/>
          <w:color w:val="000000" w:themeColor="text1"/>
          <w:sz w:val="24"/>
          <w14:textFill>
            <w14:solidFill>
              <w14:schemeClr w14:val="tx1"/>
            </w14:solidFill>
          </w14:textFill>
        </w:rPr>
        <w:t>“杭北门户·未来贤城”城市新区风貌区建设方案》的服务年限为中标后至202</w:t>
      </w:r>
      <w:r>
        <w:rPr>
          <w:rFonts w:hint="eastAsia" w:ascii="宋体" w:hAnsi="宋体" w:eastAsia="宋体" w:cs="宋体"/>
          <w:color w:val="000000" w:themeColor="text1"/>
          <w:sz w:val="24"/>
          <w:lang w:val="en-US" w:eastAsia="zh-CN"/>
          <w14:textFill>
            <w14:solidFill>
              <w14:schemeClr w14:val="tx1"/>
            </w14:solidFill>
          </w14:textFill>
        </w:rPr>
        <w:t>6</w:t>
      </w:r>
      <w:r>
        <w:rPr>
          <w:rFonts w:hint="eastAsia" w:ascii="宋体" w:hAnsi="宋体" w:eastAsia="宋体" w:cs="宋体"/>
          <w:color w:val="000000" w:themeColor="text1"/>
          <w:sz w:val="24"/>
          <w14:textFill>
            <w14:solidFill>
              <w14:schemeClr w14:val="tx1"/>
            </w14:solidFill>
          </w14:textFill>
        </w:rPr>
        <w:t>年</w:t>
      </w:r>
      <w:r>
        <w:rPr>
          <w:rFonts w:hint="eastAsia" w:ascii="宋体" w:hAnsi="宋体" w:eastAsia="宋体" w:cs="宋体"/>
          <w:color w:val="000000" w:themeColor="text1"/>
          <w:sz w:val="24"/>
          <w:lang w:val="en-US" w:eastAsia="zh-CN"/>
          <w14:textFill>
            <w14:solidFill>
              <w14:schemeClr w14:val="tx1"/>
            </w14:solidFill>
          </w14:textFill>
        </w:rPr>
        <w:t>12</w:t>
      </w:r>
      <w:r>
        <w:rPr>
          <w:rFonts w:hint="eastAsia" w:ascii="宋体" w:hAnsi="宋体" w:eastAsia="宋体" w:cs="宋体"/>
          <w:color w:val="000000" w:themeColor="text1"/>
          <w:sz w:val="24"/>
          <w14:textFill>
            <w14:solidFill>
              <w14:schemeClr w14:val="tx1"/>
            </w14:solidFill>
          </w14:textFill>
        </w:rPr>
        <w:t>月。</w:t>
      </w:r>
    </w:p>
    <w:p w14:paraId="7700E27A">
      <w:pPr>
        <w:snapToGrid w:val="0"/>
        <w:spacing w:line="480" w:lineRule="exact"/>
        <w:ind w:firstLine="482" w:firstLineChars="20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五、付款方式</w:t>
      </w:r>
    </w:p>
    <w:p w14:paraId="77FD5927">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（1）合同签订后10个工作日内支付该部分合同金额</w:t>
      </w:r>
      <w:r>
        <w:rPr>
          <w:rFonts w:hint="eastAsia" w:ascii="宋体" w:hAnsi="宋体" w:eastAsia="宋体" w:cs="宋体"/>
          <w:color w:val="000000" w:themeColor="text1"/>
          <w:sz w:val="24"/>
          <w:lang w:val="en-US" w:eastAsia="zh-CN"/>
          <w14:textFill>
            <w14:solidFill>
              <w14:schemeClr w14:val="tx1"/>
            </w14:solidFill>
          </w14:textFill>
        </w:rPr>
        <w:t>2</w:t>
      </w:r>
      <w:r>
        <w:rPr>
          <w:rFonts w:hint="eastAsia" w:ascii="宋体" w:hAnsi="宋体" w:eastAsia="宋体" w:cs="宋体"/>
          <w:color w:val="000000" w:themeColor="text1"/>
          <w:sz w:val="24"/>
          <w14:textFill>
            <w14:solidFill>
              <w14:schemeClr w14:val="tx1"/>
            </w14:solidFill>
          </w14:textFill>
        </w:rPr>
        <w:t>0%的预付款。</w:t>
      </w:r>
    </w:p>
    <w:p w14:paraId="4D5230AB">
      <w:pPr>
        <w:snapToGrid w:val="0"/>
        <w:spacing w:line="480" w:lineRule="exact"/>
        <w:ind w:firstLine="480" w:firstLineChars="2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r>
        <w:rPr>
          <w:rFonts w:hint="eastAsia" w:ascii="宋体" w:hAnsi="宋体" w:eastAsia="宋体" w:cs="宋体"/>
          <w:color w:val="auto"/>
          <w:sz w:val="24"/>
          <w:szCs w:val="24"/>
          <w:highlight w:val="none"/>
          <w:lang w:val="en-US" w:eastAsia="en-US" w:bidi="ar-SA"/>
        </w:rPr>
        <w:t>建设方案成果通过评审并上传省风貌办平台后，10</w:t>
      </w:r>
      <w:r>
        <w:rPr>
          <w:rFonts w:hint="eastAsia" w:ascii="宋体" w:hAnsi="宋体" w:eastAsia="宋体" w:cs="宋体"/>
          <w:color w:val="auto"/>
          <w:sz w:val="24"/>
          <w:szCs w:val="24"/>
          <w:highlight w:val="none"/>
          <w:lang w:val="en-US" w:eastAsia="zh-CN" w:bidi="ar-SA"/>
        </w:rPr>
        <w:t>个工作</w:t>
      </w:r>
      <w:r>
        <w:rPr>
          <w:rFonts w:hint="eastAsia" w:ascii="宋体" w:hAnsi="宋体" w:eastAsia="宋体" w:cs="宋体"/>
          <w:color w:val="auto"/>
          <w:sz w:val="24"/>
          <w:szCs w:val="24"/>
          <w:highlight w:val="none"/>
          <w:lang w:val="en-US" w:eastAsia="en-US" w:bidi="ar-SA"/>
        </w:rPr>
        <w:t>日内支付</w:t>
      </w:r>
      <w:r>
        <w:rPr>
          <w:rFonts w:hint="eastAsia" w:ascii="宋体" w:hAnsi="宋体" w:eastAsia="宋体" w:cs="宋体"/>
          <w:color w:val="auto"/>
          <w:sz w:val="24"/>
          <w:highlight w:val="none"/>
          <w:lang w:val="en-US" w:eastAsia="en-US"/>
        </w:rPr>
        <w:t>该部分合同金额</w:t>
      </w:r>
      <w:r>
        <w:rPr>
          <w:rFonts w:hint="eastAsia" w:ascii="宋体" w:hAnsi="宋体" w:eastAsia="宋体" w:cs="宋体"/>
          <w:color w:val="auto"/>
          <w:sz w:val="24"/>
          <w:highlight w:val="none"/>
          <w:lang w:val="en-US" w:eastAsia="zh-CN"/>
        </w:rPr>
        <w:t>的40</w:t>
      </w:r>
      <w:r>
        <w:rPr>
          <w:rFonts w:hint="eastAsia" w:ascii="宋体" w:hAnsi="宋体" w:eastAsia="宋体" w:cs="宋体"/>
          <w:color w:val="auto"/>
          <w:sz w:val="24"/>
          <w:highlight w:val="none"/>
          <w:lang w:val="en-US" w:eastAsia="en-US"/>
        </w:rPr>
        <w:t>%</w:t>
      </w:r>
      <w:r>
        <w:rPr>
          <w:rFonts w:hint="eastAsia" w:ascii="宋体" w:hAnsi="宋体" w:eastAsia="宋体" w:cs="宋体"/>
          <w:color w:val="000000" w:themeColor="text1"/>
          <w:sz w:val="24"/>
          <w:lang w:eastAsia="zh-CN"/>
          <w14:textFill>
            <w14:solidFill>
              <w14:schemeClr w14:val="tx1"/>
            </w14:solidFill>
          </w14:textFill>
        </w:rPr>
        <w:t>。</w:t>
      </w:r>
    </w:p>
    <w:p w14:paraId="26FD68F2">
      <w:pPr>
        <w:snapToGrid w:val="0"/>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w:t>
      </w:r>
      <w:r>
        <w:rPr>
          <w:rFonts w:hint="eastAsia" w:ascii="宋体" w:hAnsi="宋体" w:eastAsia="宋体" w:cs="宋体"/>
          <w:color w:val="000000" w:themeColor="text1"/>
          <w:sz w:val="24"/>
          <w:lang w:val="en-US" w:eastAsia="en-US"/>
          <w14:textFill>
            <w14:solidFill>
              <w14:schemeClr w14:val="tx1"/>
            </w14:solidFill>
          </w14:textFill>
        </w:rPr>
        <w:t>风貌区完成省级验收后，10</w:t>
      </w:r>
      <w:r>
        <w:rPr>
          <w:rFonts w:hint="eastAsia" w:ascii="宋体" w:hAnsi="宋体" w:eastAsia="宋体" w:cs="宋体"/>
          <w:color w:val="000000" w:themeColor="text1"/>
          <w:sz w:val="24"/>
          <w:lang w:val="en-US" w:eastAsia="zh-CN"/>
          <w14:textFill>
            <w14:solidFill>
              <w14:schemeClr w14:val="tx1"/>
            </w14:solidFill>
          </w14:textFill>
        </w:rPr>
        <w:t>个工作</w:t>
      </w:r>
      <w:r>
        <w:rPr>
          <w:rFonts w:hint="eastAsia" w:ascii="宋体" w:hAnsi="宋体" w:eastAsia="宋体" w:cs="宋体"/>
          <w:color w:val="000000" w:themeColor="text1"/>
          <w:sz w:val="24"/>
          <w:lang w:val="en-US" w:eastAsia="en-US"/>
          <w14:textFill>
            <w14:solidFill>
              <w14:schemeClr w14:val="tx1"/>
            </w14:solidFill>
          </w14:textFill>
        </w:rPr>
        <w:t>日内支付该部分合同金额</w:t>
      </w:r>
      <w:r>
        <w:rPr>
          <w:rFonts w:hint="eastAsia" w:ascii="宋体" w:hAnsi="宋体" w:eastAsia="宋体" w:cs="宋体"/>
          <w:color w:val="000000" w:themeColor="text1"/>
          <w:sz w:val="24"/>
          <w:lang w:val="en-US" w:eastAsia="zh-CN"/>
          <w14:textFill>
            <w14:solidFill>
              <w14:schemeClr w14:val="tx1"/>
            </w14:solidFill>
          </w14:textFill>
        </w:rPr>
        <w:t>的1</w:t>
      </w:r>
      <w:r>
        <w:rPr>
          <w:rFonts w:hint="eastAsia" w:ascii="宋体" w:hAnsi="宋体" w:eastAsia="宋体" w:cs="宋体"/>
          <w:color w:val="000000" w:themeColor="text1"/>
          <w:sz w:val="24"/>
          <w:lang w:val="en-US" w:eastAsia="en-US"/>
          <w14:textFill>
            <w14:solidFill>
              <w14:schemeClr w14:val="tx1"/>
            </w14:solidFill>
          </w14:textFill>
        </w:rPr>
        <w:t>0%</w:t>
      </w:r>
      <w:r>
        <w:rPr>
          <w:rFonts w:hint="eastAsia" w:ascii="宋体" w:hAnsi="宋体" w:eastAsia="宋体" w:cs="宋体"/>
          <w:color w:val="000000" w:themeColor="text1"/>
          <w:sz w:val="24"/>
          <w14:textFill>
            <w14:solidFill>
              <w14:schemeClr w14:val="tx1"/>
            </w14:solidFill>
          </w14:textFill>
        </w:rPr>
        <w:t>。</w:t>
      </w:r>
    </w:p>
    <w:p w14:paraId="24AB3527">
      <w:pPr>
        <w:snapToGrid w:val="0"/>
        <w:spacing w:line="480" w:lineRule="exact"/>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4</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列入省级风貌样板区名单，省办发文后</w:t>
      </w:r>
      <w:r>
        <w:rPr>
          <w:rFonts w:hint="eastAsia" w:ascii="宋体" w:hAnsi="宋体" w:eastAsia="宋体" w:cs="宋体"/>
          <w:color w:val="000000" w:themeColor="text1"/>
          <w:sz w:val="24"/>
          <w:lang w:val="en-US" w:eastAsia="en-US"/>
          <w14:textFill>
            <w14:solidFill>
              <w14:schemeClr w14:val="tx1"/>
            </w14:solidFill>
          </w14:textFill>
        </w:rPr>
        <w:t>10</w:t>
      </w:r>
      <w:r>
        <w:rPr>
          <w:rFonts w:hint="eastAsia" w:ascii="宋体" w:hAnsi="宋体" w:eastAsia="宋体" w:cs="宋体"/>
          <w:color w:val="000000" w:themeColor="text1"/>
          <w:sz w:val="24"/>
          <w:lang w:val="en-US" w:eastAsia="zh-CN"/>
          <w14:textFill>
            <w14:solidFill>
              <w14:schemeClr w14:val="tx1"/>
            </w14:solidFill>
          </w14:textFill>
        </w:rPr>
        <w:t>个工作</w:t>
      </w:r>
      <w:r>
        <w:rPr>
          <w:rFonts w:hint="eastAsia" w:ascii="宋体" w:hAnsi="宋体" w:eastAsia="宋体" w:cs="宋体"/>
          <w:color w:val="000000" w:themeColor="text1"/>
          <w:sz w:val="24"/>
          <w:lang w:val="en-US" w:eastAsia="en-US"/>
          <w14:textFill>
            <w14:solidFill>
              <w14:schemeClr w14:val="tx1"/>
            </w14:solidFill>
          </w14:textFill>
        </w:rPr>
        <w:t>日内支付该部分合同金额</w:t>
      </w:r>
      <w:r>
        <w:rPr>
          <w:rFonts w:hint="eastAsia" w:ascii="宋体" w:hAnsi="宋体" w:eastAsia="宋体" w:cs="宋体"/>
          <w:color w:val="000000" w:themeColor="text1"/>
          <w:sz w:val="24"/>
          <w:lang w:val="en-US" w:eastAsia="zh-CN"/>
          <w14:textFill>
            <w14:solidFill>
              <w14:schemeClr w14:val="tx1"/>
            </w14:solidFill>
          </w14:textFill>
        </w:rPr>
        <w:t>1</w:t>
      </w:r>
      <w:r>
        <w:rPr>
          <w:rFonts w:hint="eastAsia" w:ascii="宋体" w:hAnsi="宋体" w:eastAsia="宋体" w:cs="宋体"/>
          <w:color w:val="000000" w:themeColor="text1"/>
          <w:sz w:val="24"/>
          <w:lang w:val="en-US" w:eastAsia="en-US"/>
          <w14:textFill>
            <w14:solidFill>
              <w14:schemeClr w14:val="tx1"/>
            </w14:solidFill>
          </w14:textFill>
        </w:rPr>
        <w:t>0%</w:t>
      </w:r>
      <w:r>
        <w:rPr>
          <w:rFonts w:hint="eastAsia" w:ascii="宋体" w:hAnsi="宋体" w:eastAsia="宋体" w:cs="宋体"/>
          <w:color w:val="000000" w:themeColor="text1"/>
          <w:sz w:val="24"/>
          <w:lang w:val="en-US" w:eastAsia="zh-CN"/>
          <w14:textFill>
            <w14:solidFill>
              <w14:schemeClr w14:val="tx1"/>
            </w14:solidFill>
          </w14:textFill>
        </w:rPr>
        <w:t>。</w:t>
      </w:r>
    </w:p>
    <w:p w14:paraId="77969B52">
      <w:pPr>
        <w:snapToGrid w:val="0"/>
        <w:spacing w:line="480" w:lineRule="exact"/>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（5）</w:t>
      </w:r>
      <w:r>
        <w:rPr>
          <w:rFonts w:hint="eastAsia" w:ascii="宋体" w:hAnsi="宋体" w:eastAsia="宋体" w:cs="宋体"/>
          <w:color w:val="000000" w:themeColor="text1"/>
          <w:sz w:val="24"/>
          <w:lang w:val="en-US" w:eastAsia="en-US"/>
          <w14:textFill>
            <w14:solidFill>
              <w14:schemeClr w14:val="tx1"/>
            </w14:solidFill>
          </w14:textFill>
        </w:rPr>
        <w:t>列入省级新时代富春山居图样板区</w:t>
      </w:r>
      <w:r>
        <w:rPr>
          <w:rFonts w:hint="eastAsia" w:ascii="宋体" w:hAnsi="宋体" w:eastAsia="宋体" w:cs="宋体"/>
          <w:color w:val="000000" w:themeColor="text1"/>
          <w:sz w:val="24"/>
          <w:lang w:val="en-US" w:eastAsia="zh-CN"/>
          <w14:textFill>
            <w14:solidFill>
              <w14:schemeClr w14:val="tx1"/>
            </w14:solidFill>
          </w14:textFill>
        </w:rPr>
        <w:t>名单</w:t>
      </w:r>
      <w:r>
        <w:rPr>
          <w:rFonts w:hint="eastAsia" w:ascii="宋体" w:hAnsi="宋体" w:eastAsia="宋体" w:cs="宋体"/>
          <w:color w:val="000000" w:themeColor="text1"/>
          <w:sz w:val="24"/>
          <w:lang w:val="en-US" w:eastAsia="en-US"/>
          <w14:textFill>
            <w14:solidFill>
              <w14:schemeClr w14:val="tx1"/>
            </w14:solidFill>
          </w14:textFill>
        </w:rPr>
        <w:t>，省办发文后10</w:t>
      </w:r>
      <w:r>
        <w:rPr>
          <w:rFonts w:hint="eastAsia" w:ascii="宋体" w:hAnsi="宋体" w:eastAsia="宋体" w:cs="宋体"/>
          <w:color w:val="000000" w:themeColor="text1"/>
          <w:sz w:val="24"/>
          <w:lang w:val="en-US" w:eastAsia="zh-CN"/>
          <w14:textFill>
            <w14:solidFill>
              <w14:schemeClr w14:val="tx1"/>
            </w14:solidFill>
          </w14:textFill>
        </w:rPr>
        <w:t>个工作</w:t>
      </w:r>
      <w:r>
        <w:rPr>
          <w:rFonts w:hint="eastAsia" w:ascii="宋体" w:hAnsi="宋体" w:eastAsia="宋体" w:cs="宋体"/>
          <w:color w:val="000000" w:themeColor="text1"/>
          <w:sz w:val="24"/>
          <w:lang w:val="en-US" w:eastAsia="en-US"/>
          <w14:textFill>
            <w14:solidFill>
              <w14:schemeClr w14:val="tx1"/>
            </w14:solidFill>
          </w14:textFill>
        </w:rPr>
        <w:t>日内支付该部分合同金额</w:t>
      </w:r>
      <w:r>
        <w:rPr>
          <w:rFonts w:hint="eastAsia" w:ascii="宋体" w:hAnsi="宋体" w:eastAsia="宋体" w:cs="宋体"/>
          <w:color w:val="000000" w:themeColor="text1"/>
          <w:sz w:val="24"/>
          <w:lang w:val="en-US" w:eastAsia="zh-CN"/>
          <w14:textFill>
            <w14:solidFill>
              <w14:schemeClr w14:val="tx1"/>
            </w14:solidFill>
          </w14:textFill>
        </w:rPr>
        <w:t>2</w:t>
      </w:r>
      <w:r>
        <w:rPr>
          <w:rFonts w:hint="eastAsia" w:ascii="宋体" w:hAnsi="宋体" w:eastAsia="宋体" w:cs="宋体"/>
          <w:color w:val="000000" w:themeColor="text1"/>
          <w:sz w:val="24"/>
          <w:lang w:val="en-US" w:eastAsia="en-US"/>
          <w14:textFill>
            <w14:solidFill>
              <w14:schemeClr w14:val="tx1"/>
            </w14:solidFill>
          </w14:textFill>
        </w:rPr>
        <w:t>0%</w:t>
      </w:r>
      <w:r>
        <w:rPr>
          <w:rFonts w:hint="eastAsia" w:ascii="宋体" w:hAnsi="宋体" w:eastAsia="宋体" w:cs="宋体"/>
          <w:color w:val="000000" w:themeColor="text1"/>
          <w:sz w:val="24"/>
          <w:lang w:val="en-US" w:eastAsia="zh-CN"/>
          <w14:textFill>
            <w14:solidFill>
              <w14:schemeClr w14:val="tx1"/>
            </w14:solidFill>
          </w14:textFill>
        </w:rPr>
        <w:t>。</w:t>
      </w:r>
    </w:p>
    <w:p w14:paraId="1D77A451">
      <w:pPr>
        <w:spacing w:line="360" w:lineRule="auto"/>
        <w:ind w:firstLine="181" w:firstLineChars="50"/>
        <w:rPr>
          <w:rFonts w:ascii="宋体" w:hAnsi="宋体" w:cs="宋体"/>
          <w:b/>
          <w:color w:val="auto"/>
          <w:sz w:val="36"/>
          <w:szCs w:val="36"/>
          <w:highlight w:val="none"/>
        </w:rPr>
      </w:pPr>
    </w:p>
    <w:p w14:paraId="16A70E79">
      <w:pPr>
        <w:spacing w:line="360" w:lineRule="auto"/>
        <w:rPr>
          <w:rFonts w:ascii="宋体" w:hAnsi="宋体" w:cs="宋体"/>
          <w:color w:val="auto"/>
          <w:sz w:val="24"/>
          <w:highlight w:val="none"/>
        </w:rPr>
      </w:pPr>
    </w:p>
    <w:p w14:paraId="78FEAA71">
      <w:pPr>
        <w:widowControl/>
        <w:ind w:firstLine="720" w:firstLineChars="300"/>
        <w:jc w:val="left"/>
        <w:rPr>
          <w:rFonts w:ascii="宋体" w:hAnsi="宋体" w:cs="宋体"/>
          <w:bCs/>
          <w:color w:val="auto"/>
          <w:sz w:val="24"/>
          <w:highlight w:val="none"/>
        </w:rPr>
      </w:pPr>
    </w:p>
    <w:p w14:paraId="6D636660">
      <w:pPr>
        <w:rPr>
          <w:rFonts w:ascii="宋体" w:hAnsi="宋体" w:cs="宋体"/>
          <w:snapToGrid w:val="0"/>
          <w:color w:val="auto"/>
          <w:kern w:val="0"/>
          <w:sz w:val="24"/>
          <w:highlight w:val="none"/>
        </w:rPr>
      </w:pPr>
    </w:p>
    <w:p w14:paraId="7D18B210">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第四部分   </w:t>
      </w:r>
      <w:bookmarkStart w:id="28" w:name="_Toc184313260"/>
      <w:bookmarkEnd w:id="28"/>
      <w:bookmarkStart w:id="29" w:name="_Toc184310277"/>
      <w:bookmarkEnd w:id="29"/>
      <w:bookmarkStart w:id="30" w:name="_Toc184314430"/>
      <w:bookmarkEnd w:id="30"/>
      <w:bookmarkStart w:id="31" w:name="_Toc184310295"/>
      <w:bookmarkEnd w:id="31"/>
      <w:bookmarkStart w:id="32" w:name="_Toc184313263"/>
      <w:bookmarkEnd w:id="32"/>
      <w:bookmarkStart w:id="33" w:name="_Toc184308059"/>
      <w:bookmarkEnd w:id="33"/>
      <w:bookmarkStart w:id="34" w:name="_Toc184313291"/>
      <w:bookmarkEnd w:id="34"/>
      <w:bookmarkStart w:id="35" w:name="_Toc184312131"/>
      <w:bookmarkEnd w:id="35"/>
      <w:bookmarkStart w:id="36" w:name="_Toc184312119"/>
      <w:bookmarkEnd w:id="36"/>
      <w:bookmarkStart w:id="37" w:name="_Toc184314423"/>
      <w:bookmarkEnd w:id="37"/>
      <w:bookmarkStart w:id="38" w:name="_Toc184314468"/>
      <w:bookmarkEnd w:id="38"/>
      <w:bookmarkStart w:id="39" w:name="_Toc184313275"/>
      <w:bookmarkEnd w:id="39"/>
      <w:bookmarkStart w:id="40" w:name="_Toc184310273"/>
      <w:bookmarkEnd w:id="40"/>
      <w:bookmarkStart w:id="41" w:name="_Toc184312077"/>
      <w:bookmarkEnd w:id="41"/>
      <w:bookmarkStart w:id="42" w:name="_Toc184312127"/>
      <w:bookmarkEnd w:id="42"/>
      <w:bookmarkStart w:id="43" w:name="_Toc184310312"/>
      <w:bookmarkEnd w:id="43"/>
      <w:bookmarkStart w:id="44" w:name="_Toc184314458"/>
      <w:bookmarkEnd w:id="44"/>
      <w:bookmarkStart w:id="45" w:name="_Toc184313261"/>
      <w:bookmarkEnd w:id="45"/>
      <w:bookmarkStart w:id="46" w:name="_Toc184314411"/>
      <w:bookmarkEnd w:id="46"/>
      <w:bookmarkStart w:id="47" w:name="_Toc184312136"/>
      <w:bookmarkEnd w:id="47"/>
      <w:bookmarkStart w:id="48" w:name="_Toc184313302"/>
      <w:bookmarkEnd w:id="48"/>
      <w:bookmarkStart w:id="49" w:name="_Toc184312123"/>
      <w:bookmarkEnd w:id="49"/>
      <w:bookmarkStart w:id="50" w:name="_Toc184313294"/>
      <w:bookmarkEnd w:id="50"/>
      <w:bookmarkStart w:id="51" w:name="_Toc184310300"/>
      <w:bookmarkEnd w:id="51"/>
      <w:bookmarkStart w:id="52" w:name="_Toc184312120"/>
      <w:bookmarkEnd w:id="52"/>
      <w:bookmarkStart w:id="53" w:name="_Toc184313301"/>
      <w:bookmarkEnd w:id="53"/>
      <w:bookmarkStart w:id="54" w:name="_Toc184308103"/>
      <w:bookmarkEnd w:id="54"/>
      <w:bookmarkStart w:id="55" w:name="_Toc184312094"/>
      <w:bookmarkEnd w:id="55"/>
      <w:bookmarkStart w:id="56" w:name="_Toc184313257"/>
      <w:bookmarkEnd w:id="56"/>
      <w:bookmarkStart w:id="57" w:name="_Toc184312099"/>
      <w:bookmarkEnd w:id="57"/>
      <w:bookmarkStart w:id="58" w:name="_Toc184314457"/>
      <w:bookmarkEnd w:id="58"/>
      <w:bookmarkStart w:id="59" w:name="_Toc184314442"/>
      <w:bookmarkEnd w:id="59"/>
      <w:bookmarkStart w:id="60" w:name="_Toc184312108"/>
      <w:bookmarkEnd w:id="60"/>
      <w:bookmarkStart w:id="61" w:name="_Toc184313288"/>
      <w:bookmarkEnd w:id="61"/>
      <w:bookmarkStart w:id="62" w:name="_Toc184308071"/>
      <w:bookmarkEnd w:id="62"/>
      <w:bookmarkStart w:id="63" w:name="_Toc184310301"/>
      <w:bookmarkEnd w:id="63"/>
      <w:bookmarkStart w:id="64" w:name="_Toc184310321"/>
      <w:bookmarkEnd w:id="64"/>
      <w:bookmarkStart w:id="65" w:name="_Toc184312096"/>
      <w:bookmarkEnd w:id="65"/>
      <w:bookmarkStart w:id="66" w:name="_Toc184312112"/>
      <w:bookmarkEnd w:id="66"/>
      <w:bookmarkStart w:id="67" w:name="_Toc184314454"/>
      <w:bookmarkEnd w:id="67"/>
      <w:bookmarkStart w:id="68" w:name="_Toc184314439"/>
      <w:bookmarkEnd w:id="68"/>
      <w:bookmarkStart w:id="69" w:name="_Toc184314443"/>
      <w:bookmarkEnd w:id="69"/>
      <w:bookmarkStart w:id="70" w:name="_Toc184313295"/>
      <w:bookmarkEnd w:id="70"/>
      <w:bookmarkStart w:id="71" w:name="_Toc184308036"/>
      <w:bookmarkEnd w:id="71"/>
      <w:bookmarkStart w:id="72" w:name="_Toc184308097"/>
      <w:bookmarkEnd w:id="72"/>
      <w:bookmarkStart w:id="73" w:name="_Toc184308096"/>
      <w:bookmarkEnd w:id="73"/>
      <w:bookmarkStart w:id="74" w:name="_Toc184308086"/>
      <w:bookmarkEnd w:id="74"/>
      <w:bookmarkStart w:id="75" w:name="_Toc184314419"/>
      <w:bookmarkEnd w:id="75"/>
      <w:bookmarkStart w:id="76" w:name="_Toc184312138"/>
      <w:bookmarkEnd w:id="76"/>
      <w:bookmarkStart w:id="77" w:name="_Toc184308073"/>
      <w:bookmarkEnd w:id="77"/>
      <w:bookmarkStart w:id="78" w:name="_Toc184310332"/>
      <w:bookmarkEnd w:id="78"/>
      <w:bookmarkStart w:id="79" w:name="_Toc184308092"/>
      <w:bookmarkEnd w:id="79"/>
      <w:bookmarkStart w:id="80" w:name="_Toc184308077"/>
      <w:bookmarkEnd w:id="80"/>
      <w:bookmarkStart w:id="81" w:name="_Toc184313239"/>
      <w:bookmarkEnd w:id="81"/>
      <w:bookmarkStart w:id="82" w:name="_Toc184310309"/>
      <w:bookmarkEnd w:id="82"/>
      <w:bookmarkStart w:id="83" w:name="_Toc184308082"/>
      <w:bookmarkEnd w:id="83"/>
      <w:bookmarkStart w:id="84" w:name="_Toc184310288"/>
      <w:bookmarkEnd w:id="84"/>
      <w:bookmarkStart w:id="85" w:name="_Toc184312072"/>
      <w:bookmarkEnd w:id="85"/>
      <w:bookmarkStart w:id="86" w:name="_Toc184312107"/>
      <w:bookmarkEnd w:id="86"/>
      <w:bookmarkStart w:id="87" w:name="_Toc184310284"/>
      <w:bookmarkEnd w:id="87"/>
      <w:bookmarkStart w:id="88" w:name="_Toc184314425"/>
      <w:bookmarkEnd w:id="88"/>
      <w:bookmarkStart w:id="89" w:name="_Toc184313300"/>
      <w:bookmarkEnd w:id="89"/>
      <w:bookmarkStart w:id="90" w:name="_Toc184312070"/>
      <w:bookmarkEnd w:id="90"/>
      <w:bookmarkStart w:id="91" w:name="_Toc184312104"/>
      <w:bookmarkEnd w:id="91"/>
      <w:bookmarkStart w:id="92" w:name="_Toc184314463"/>
      <w:bookmarkEnd w:id="92"/>
      <w:bookmarkStart w:id="93" w:name="_Toc184312098"/>
      <w:bookmarkEnd w:id="93"/>
      <w:bookmarkStart w:id="94" w:name="_Toc184312086"/>
      <w:bookmarkEnd w:id="94"/>
      <w:bookmarkStart w:id="95" w:name="_Toc184314476"/>
      <w:bookmarkEnd w:id="95"/>
      <w:bookmarkStart w:id="96" w:name="_Toc184308054"/>
      <w:bookmarkEnd w:id="96"/>
      <w:bookmarkStart w:id="97" w:name="_Toc184313268"/>
      <w:bookmarkEnd w:id="97"/>
      <w:bookmarkStart w:id="98" w:name="_Toc184314420"/>
      <w:bookmarkEnd w:id="98"/>
      <w:bookmarkStart w:id="99" w:name="_Toc184310276"/>
      <w:bookmarkEnd w:id="99"/>
      <w:bookmarkStart w:id="100" w:name="_Toc184312125"/>
      <w:bookmarkEnd w:id="100"/>
      <w:bookmarkStart w:id="101" w:name="_Toc184313244"/>
      <w:bookmarkEnd w:id="101"/>
      <w:bookmarkStart w:id="102" w:name="_Toc184313242"/>
      <w:bookmarkEnd w:id="102"/>
      <w:bookmarkStart w:id="103" w:name="_Toc184312090"/>
      <w:bookmarkEnd w:id="103"/>
      <w:bookmarkStart w:id="104" w:name="_Toc184310322"/>
      <w:bookmarkEnd w:id="104"/>
      <w:bookmarkStart w:id="105" w:name="_Toc184310294"/>
      <w:bookmarkEnd w:id="105"/>
      <w:bookmarkStart w:id="106" w:name="_Toc184312105"/>
      <w:bookmarkEnd w:id="106"/>
      <w:bookmarkStart w:id="107" w:name="_Toc184313266"/>
      <w:bookmarkEnd w:id="107"/>
      <w:bookmarkStart w:id="108" w:name="_Toc184308102"/>
      <w:bookmarkEnd w:id="108"/>
      <w:bookmarkStart w:id="109" w:name="_Toc184308060"/>
      <w:bookmarkEnd w:id="109"/>
      <w:bookmarkStart w:id="110" w:name="_Toc184314429"/>
      <w:bookmarkEnd w:id="110"/>
      <w:bookmarkStart w:id="111" w:name="_Toc184308085"/>
      <w:bookmarkEnd w:id="111"/>
      <w:bookmarkStart w:id="112" w:name="_Toc184313306"/>
      <w:bookmarkEnd w:id="112"/>
      <w:bookmarkStart w:id="113" w:name="_Toc184313290"/>
      <w:bookmarkEnd w:id="113"/>
      <w:bookmarkStart w:id="114" w:name="_Toc184308106"/>
      <w:bookmarkEnd w:id="114"/>
      <w:bookmarkStart w:id="115" w:name="_Toc184308057"/>
      <w:bookmarkEnd w:id="115"/>
      <w:bookmarkStart w:id="116" w:name="_Toc184313297"/>
      <w:bookmarkEnd w:id="116"/>
      <w:bookmarkStart w:id="117" w:name="_Toc184314456"/>
      <w:bookmarkEnd w:id="117"/>
      <w:bookmarkStart w:id="118" w:name="_Toc184312121"/>
      <w:bookmarkEnd w:id="118"/>
      <w:bookmarkStart w:id="119" w:name="_Toc184312129"/>
      <w:bookmarkEnd w:id="119"/>
      <w:bookmarkStart w:id="120" w:name="_Toc184310313"/>
      <w:bookmarkEnd w:id="120"/>
      <w:bookmarkStart w:id="121" w:name="_Toc184313248"/>
      <w:bookmarkEnd w:id="121"/>
      <w:bookmarkStart w:id="122" w:name="_Toc184313264"/>
      <w:bookmarkEnd w:id="122"/>
      <w:bookmarkStart w:id="123" w:name="_Toc184312067"/>
      <w:bookmarkEnd w:id="123"/>
      <w:bookmarkStart w:id="124" w:name="_Toc184314467"/>
      <w:bookmarkEnd w:id="124"/>
      <w:bookmarkStart w:id="125" w:name="_Toc184310306"/>
      <w:bookmarkEnd w:id="125"/>
      <w:bookmarkStart w:id="126" w:name="_Toc184308069"/>
      <w:bookmarkEnd w:id="126"/>
      <w:bookmarkStart w:id="127" w:name="_Toc184313281"/>
      <w:bookmarkEnd w:id="127"/>
      <w:bookmarkStart w:id="128" w:name="_Toc184308081"/>
      <w:bookmarkEnd w:id="128"/>
      <w:bookmarkStart w:id="129" w:name="_Toc184313272"/>
      <w:bookmarkEnd w:id="129"/>
      <w:bookmarkStart w:id="130" w:name="_Toc184312082"/>
      <w:bookmarkEnd w:id="130"/>
      <w:bookmarkStart w:id="131" w:name="_Toc184313267"/>
      <w:bookmarkEnd w:id="131"/>
      <w:bookmarkStart w:id="132" w:name="_Toc184313296"/>
      <w:bookmarkEnd w:id="132"/>
      <w:bookmarkStart w:id="133" w:name="_Toc184313249"/>
      <w:bookmarkEnd w:id="133"/>
      <w:bookmarkStart w:id="134" w:name="_Toc184313280"/>
      <w:bookmarkEnd w:id="134"/>
      <w:bookmarkStart w:id="135" w:name="_Toc184310274"/>
      <w:bookmarkEnd w:id="135"/>
      <w:bookmarkStart w:id="136" w:name="_Toc184313292"/>
      <w:bookmarkEnd w:id="136"/>
      <w:bookmarkStart w:id="137" w:name="_Toc184312093"/>
      <w:bookmarkEnd w:id="137"/>
      <w:bookmarkStart w:id="138" w:name="_Toc184312078"/>
      <w:bookmarkEnd w:id="138"/>
      <w:bookmarkStart w:id="139" w:name="_Toc184314451"/>
      <w:bookmarkEnd w:id="139"/>
      <w:bookmarkStart w:id="140" w:name="_Toc184308075"/>
      <w:bookmarkEnd w:id="140"/>
      <w:bookmarkStart w:id="141" w:name="_Toc184312095"/>
      <w:bookmarkEnd w:id="141"/>
      <w:bookmarkStart w:id="142" w:name="_Toc184312091"/>
      <w:bookmarkEnd w:id="142"/>
      <w:bookmarkStart w:id="143" w:name="_Toc184314424"/>
      <w:bookmarkEnd w:id="143"/>
      <w:bookmarkStart w:id="144" w:name="_Toc184313273"/>
      <w:bookmarkEnd w:id="144"/>
      <w:bookmarkStart w:id="145" w:name="_Toc184313250"/>
      <w:bookmarkEnd w:id="145"/>
      <w:bookmarkStart w:id="146" w:name="_Toc184313270"/>
      <w:bookmarkEnd w:id="146"/>
      <w:bookmarkStart w:id="147" w:name="_Toc184314447"/>
      <w:bookmarkEnd w:id="147"/>
      <w:bookmarkStart w:id="148" w:name="_Toc184312097"/>
      <w:bookmarkEnd w:id="148"/>
      <w:bookmarkStart w:id="149" w:name="_Toc184314437"/>
      <w:bookmarkEnd w:id="149"/>
      <w:bookmarkStart w:id="150" w:name="_Toc184313285"/>
      <w:bookmarkEnd w:id="150"/>
      <w:bookmarkStart w:id="151" w:name="_Toc184310330"/>
      <w:bookmarkEnd w:id="151"/>
      <w:bookmarkStart w:id="152" w:name="_Toc184308067"/>
      <w:bookmarkEnd w:id="152"/>
      <w:bookmarkStart w:id="153" w:name="_Toc184308044"/>
      <w:bookmarkEnd w:id="153"/>
      <w:bookmarkStart w:id="154" w:name="_Toc184310308"/>
      <w:bookmarkEnd w:id="154"/>
      <w:bookmarkStart w:id="155" w:name="_Toc184310334"/>
      <w:bookmarkEnd w:id="155"/>
      <w:bookmarkStart w:id="156" w:name="_Toc184314481"/>
      <w:bookmarkEnd w:id="156"/>
      <w:bookmarkStart w:id="157" w:name="_Toc184308084"/>
      <w:bookmarkEnd w:id="157"/>
      <w:bookmarkStart w:id="158" w:name="_Toc184308095"/>
      <w:bookmarkEnd w:id="158"/>
      <w:bookmarkStart w:id="159" w:name="_Toc184313305"/>
      <w:bookmarkEnd w:id="159"/>
      <w:bookmarkStart w:id="160" w:name="_Toc184314459"/>
      <w:bookmarkEnd w:id="160"/>
      <w:bookmarkStart w:id="161" w:name="_Toc184313256"/>
      <w:bookmarkEnd w:id="161"/>
      <w:bookmarkStart w:id="162" w:name="_Toc184310343"/>
      <w:bookmarkEnd w:id="162"/>
      <w:bookmarkStart w:id="163" w:name="_Toc184313279"/>
      <w:bookmarkEnd w:id="163"/>
      <w:bookmarkStart w:id="164" w:name="_Toc184314482"/>
      <w:bookmarkEnd w:id="164"/>
      <w:bookmarkStart w:id="165" w:name="_Toc184310320"/>
      <w:bookmarkEnd w:id="165"/>
      <w:bookmarkStart w:id="166" w:name="_Toc184312081"/>
      <w:bookmarkEnd w:id="166"/>
      <w:bookmarkStart w:id="167" w:name="_Toc184312126"/>
      <w:bookmarkEnd w:id="167"/>
      <w:bookmarkStart w:id="168" w:name="_Toc184313259"/>
      <w:bookmarkEnd w:id="168"/>
      <w:bookmarkStart w:id="169" w:name="_Toc184308094"/>
      <w:bookmarkEnd w:id="169"/>
      <w:bookmarkStart w:id="170" w:name="_Toc184314422"/>
      <w:bookmarkEnd w:id="170"/>
      <w:bookmarkStart w:id="171" w:name="_Toc184310287"/>
      <w:bookmarkEnd w:id="171"/>
      <w:bookmarkStart w:id="172" w:name="_Toc184314446"/>
      <w:bookmarkEnd w:id="172"/>
      <w:bookmarkStart w:id="173" w:name="_Toc184310307"/>
      <w:bookmarkEnd w:id="173"/>
      <w:bookmarkStart w:id="174" w:name="_Toc184312083"/>
      <w:bookmarkEnd w:id="174"/>
      <w:bookmarkStart w:id="175" w:name="_Toc184313309"/>
      <w:bookmarkEnd w:id="175"/>
      <w:bookmarkStart w:id="176" w:name="_Toc184308080"/>
      <w:bookmarkEnd w:id="176"/>
      <w:bookmarkStart w:id="177" w:name="_Toc184308039"/>
      <w:bookmarkEnd w:id="177"/>
      <w:bookmarkStart w:id="178" w:name="_Toc184314415"/>
      <w:bookmarkEnd w:id="178"/>
      <w:bookmarkStart w:id="179" w:name="_Toc184310281"/>
      <w:bookmarkEnd w:id="179"/>
      <w:bookmarkStart w:id="180" w:name="_Toc184314462"/>
      <w:bookmarkEnd w:id="180"/>
      <w:bookmarkStart w:id="181" w:name="_Toc184312084"/>
      <w:bookmarkEnd w:id="181"/>
      <w:bookmarkStart w:id="182" w:name="_Toc184308098"/>
      <w:bookmarkEnd w:id="182"/>
      <w:bookmarkStart w:id="183" w:name="_Toc184314440"/>
      <w:bookmarkEnd w:id="183"/>
      <w:bookmarkStart w:id="184" w:name="_Toc184313262"/>
      <w:bookmarkEnd w:id="184"/>
      <w:bookmarkStart w:id="185" w:name="_Toc184313303"/>
      <w:bookmarkEnd w:id="185"/>
      <w:bookmarkStart w:id="186" w:name="_Toc184314478"/>
      <w:bookmarkEnd w:id="186"/>
      <w:bookmarkStart w:id="187" w:name="_Toc184308087"/>
      <w:bookmarkEnd w:id="187"/>
      <w:bookmarkStart w:id="188" w:name="_Toc184312074"/>
      <w:bookmarkEnd w:id="188"/>
      <w:bookmarkStart w:id="189" w:name="_Toc184308053"/>
      <w:bookmarkEnd w:id="189"/>
      <w:bookmarkStart w:id="190" w:name="_Toc184313238"/>
      <w:bookmarkEnd w:id="190"/>
      <w:bookmarkStart w:id="191" w:name="_Toc184312115"/>
      <w:bookmarkEnd w:id="191"/>
      <w:bookmarkStart w:id="192" w:name="_Toc184310286"/>
      <w:bookmarkEnd w:id="192"/>
      <w:bookmarkStart w:id="193" w:name="_Toc184314434"/>
      <w:bookmarkEnd w:id="193"/>
      <w:bookmarkStart w:id="194" w:name="_Toc184308072"/>
      <w:bookmarkEnd w:id="194"/>
      <w:bookmarkStart w:id="195" w:name="_Toc184313299"/>
      <w:bookmarkEnd w:id="195"/>
      <w:bookmarkStart w:id="196" w:name="_Toc184313274"/>
      <w:bookmarkEnd w:id="196"/>
      <w:bookmarkStart w:id="197" w:name="_Toc184313284"/>
      <w:bookmarkEnd w:id="197"/>
      <w:bookmarkStart w:id="198" w:name="_Toc184310315"/>
      <w:bookmarkEnd w:id="198"/>
      <w:bookmarkStart w:id="199" w:name="_Toc184310326"/>
      <w:bookmarkEnd w:id="199"/>
      <w:bookmarkStart w:id="200" w:name="_Toc184312069"/>
      <w:bookmarkEnd w:id="200"/>
      <w:bookmarkStart w:id="201" w:name="_Toc184310324"/>
      <w:bookmarkEnd w:id="201"/>
      <w:bookmarkStart w:id="202" w:name="_Toc184312079"/>
      <w:bookmarkEnd w:id="202"/>
      <w:bookmarkStart w:id="203" w:name="_Toc184308045"/>
      <w:bookmarkEnd w:id="203"/>
      <w:bookmarkStart w:id="204" w:name="_Toc184314445"/>
      <w:bookmarkEnd w:id="204"/>
      <w:bookmarkStart w:id="205" w:name="_Toc184310296"/>
      <w:bookmarkEnd w:id="205"/>
      <w:bookmarkStart w:id="206" w:name="_Toc184310275"/>
      <w:bookmarkEnd w:id="206"/>
      <w:bookmarkStart w:id="207" w:name="_Toc184308061"/>
      <w:bookmarkEnd w:id="207"/>
      <w:bookmarkStart w:id="208" w:name="_Toc184310282"/>
      <w:bookmarkEnd w:id="208"/>
      <w:bookmarkStart w:id="209" w:name="_Toc184312113"/>
      <w:bookmarkEnd w:id="209"/>
      <w:bookmarkStart w:id="210" w:name="_Toc184310272"/>
      <w:bookmarkEnd w:id="210"/>
      <w:bookmarkStart w:id="211" w:name="_Toc184314417"/>
      <w:bookmarkEnd w:id="211"/>
      <w:bookmarkStart w:id="212" w:name="_Toc184310278"/>
      <w:bookmarkEnd w:id="212"/>
      <w:bookmarkStart w:id="213" w:name="_Toc184314474"/>
      <w:bookmarkEnd w:id="213"/>
      <w:bookmarkStart w:id="214" w:name="_Toc184314452"/>
      <w:bookmarkEnd w:id="214"/>
      <w:bookmarkStart w:id="215" w:name="_Toc184310319"/>
      <w:bookmarkEnd w:id="215"/>
      <w:bookmarkStart w:id="216" w:name="_Toc184313265"/>
      <w:bookmarkEnd w:id="216"/>
      <w:bookmarkStart w:id="217" w:name="_Toc184314455"/>
      <w:bookmarkEnd w:id="217"/>
      <w:bookmarkStart w:id="218" w:name="_Toc184308040"/>
      <w:bookmarkEnd w:id="218"/>
      <w:bookmarkStart w:id="219" w:name="_Toc184312110"/>
      <w:bookmarkEnd w:id="219"/>
      <w:bookmarkStart w:id="220" w:name="_Toc184314453"/>
      <w:bookmarkEnd w:id="220"/>
      <w:bookmarkStart w:id="221" w:name="_Toc184313276"/>
      <w:bookmarkEnd w:id="221"/>
      <w:bookmarkStart w:id="222" w:name="_Toc184312137"/>
      <w:bookmarkEnd w:id="222"/>
      <w:bookmarkStart w:id="223" w:name="_Toc184312076"/>
      <w:bookmarkEnd w:id="223"/>
      <w:bookmarkStart w:id="224" w:name="_Toc184313269"/>
      <w:bookmarkEnd w:id="224"/>
      <w:bookmarkStart w:id="225" w:name="_Toc184313310"/>
      <w:bookmarkEnd w:id="225"/>
      <w:bookmarkStart w:id="226" w:name="_Toc184314473"/>
      <w:bookmarkEnd w:id="226"/>
      <w:bookmarkStart w:id="227" w:name="_Toc184312109"/>
      <w:bookmarkEnd w:id="227"/>
      <w:bookmarkStart w:id="228" w:name="_Toc184314470"/>
      <w:bookmarkEnd w:id="228"/>
      <w:bookmarkStart w:id="229" w:name="_Toc184312130"/>
      <w:bookmarkEnd w:id="229"/>
      <w:bookmarkStart w:id="230" w:name="_Toc184313278"/>
      <w:bookmarkEnd w:id="230"/>
      <w:bookmarkStart w:id="231" w:name="_Toc184314480"/>
      <w:bookmarkEnd w:id="231"/>
      <w:bookmarkStart w:id="232" w:name="_Toc184310344"/>
      <w:bookmarkEnd w:id="232"/>
      <w:bookmarkStart w:id="233" w:name="_Toc184312103"/>
      <w:bookmarkEnd w:id="233"/>
      <w:bookmarkStart w:id="234" w:name="_Toc184308104"/>
      <w:bookmarkEnd w:id="234"/>
      <w:bookmarkStart w:id="235" w:name="_Toc184308046"/>
      <w:bookmarkEnd w:id="235"/>
      <w:bookmarkStart w:id="236" w:name="_Toc184308068"/>
      <w:bookmarkEnd w:id="236"/>
      <w:bookmarkStart w:id="237" w:name="_Toc184312106"/>
      <w:bookmarkEnd w:id="237"/>
      <w:bookmarkStart w:id="238" w:name="_Toc184312114"/>
      <w:bookmarkEnd w:id="238"/>
      <w:bookmarkStart w:id="239" w:name="_Toc184313245"/>
      <w:bookmarkEnd w:id="239"/>
      <w:bookmarkStart w:id="240" w:name="_Toc184312075"/>
      <w:bookmarkEnd w:id="240"/>
      <w:bookmarkStart w:id="241" w:name="_Toc184310337"/>
      <w:bookmarkEnd w:id="241"/>
      <w:bookmarkStart w:id="242" w:name="_Toc184310329"/>
      <w:bookmarkEnd w:id="242"/>
      <w:bookmarkStart w:id="243" w:name="_Toc184310323"/>
      <w:bookmarkEnd w:id="243"/>
      <w:bookmarkStart w:id="244" w:name="_Toc184308074"/>
      <w:bookmarkEnd w:id="244"/>
      <w:bookmarkStart w:id="245" w:name="_Toc184308041"/>
      <w:bookmarkEnd w:id="245"/>
      <w:bookmarkStart w:id="246" w:name="_Toc184310331"/>
      <w:bookmarkEnd w:id="246"/>
      <w:bookmarkStart w:id="247" w:name="_Toc184312134"/>
      <w:bookmarkEnd w:id="247"/>
      <w:bookmarkStart w:id="248" w:name="_Toc184314436"/>
      <w:bookmarkEnd w:id="248"/>
      <w:bookmarkStart w:id="249" w:name="_Toc184310311"/>
      <w:bookmarkEnd w:id="249"/>
      <w:bookmarkStart w:id="250" w:name="_Toc184313251"/>
      <w:bookmarkEnd w:id="250"/>
      <w:bookmarkStart w:id="251" w:name="_Toc184310292"/>
      <w:bookmarkEnd w:id="251"/>
      <w:bookmarkStart w:id="252" w:name="_Toc184313293"/>
      <w:bookmarkEnd w:id="252"/>
      <w:bookmarkStart w:id="253" w:name="_Toc184314469"/>
      <w:bookmarkEnd w:id="253"/>
      <w:bookmarkStart w:id="254" w:name="_Toc184308078"/>
      <w:bookmarkEnd w:id="254"/>
      <w:bookmarkStart w:id="255" w:name="_Toc184310293"/>
      <w:bookmarkEnd w:id="255"/>
      <w:bookmarkStart w:id="256" w:name="_Toc184312101"/>
      <w:bookmarkEnd w:id="256"/>
      <w:bookmarkStart w:id="257" w:name="_Toc184314427"/>
      <w:bookmarkEnd w:id="257"/>
      <w:bookmarkStart w:id="258" w:name="_Toc184310341"/>
      <w:bookmarkEnd w:id="258"/>
      <w:bookmarkStart w:id="259" w:name="_Toc184312118"/>
      <w:bookmarkEnd w:id="259"/>
      <w:bookmarkStart w:id="260" w:name="_Toc184310290"/>
      <w:bookmarkEnd w:id="260"/>
      <w:bookmarkStart w:id="261" w:name="_Toc184314433"/>
      <w:bookmarkEnd w:id="261"/>
      <w:bookmarkStart w:id="262" w:name="_Toc184308108"/>
      <w:bookmarkEnd w:id="262"/>
      <w:bookmarkStart w:id="263" w:name="_Toc184312088"/>
      <w:bookmarkEnd w:id="263"/>
      <w:bookmarkStart w:id="264" w:name="_Toc184310310"/>
      <w:bookmarkEnd w:id="264"/>
      <w:bookmarkStart w:id="265" w:name="_Toc184313271"/>
      <w:bookmarkEnd w:id="265"/>
      <w:bookmarkStart w:id="266" w:name="_Toc184308101"/>
      <w:bookmarkEnd w:id="266"/>
      <w:bookmarkStart w:id="267" w:name="_Toc184313287"/>
      <w:bookmarkEnd w:id="267"/>
      <w:bookmarkStart w:id="268" w:name="_Toc184314428"/>
      <w:bookmarkEnd w:id="268"/>
      <w:bookmarkStart w:id="269" w:name="_Toc184308064"/>
      <w:bookmarkEnd w:id="269"/>
      <w:bookmarkStart w:id="270" w:name="_Toc184310335"/>
      <w:bookmarkEnd w:id="270"/>
      <w:bookmarkStart w:id="271" w:name="_Toc184308076"/>
      <w:bookmarkEnd w:id="271"/>
      <w:bookmarkStart w:id="272" w:name="_Toc184312087"/>
      <w:bookmarkEnd w:id="272"/>
      <w:bookmarkStart w:id="273" w:name="_Toc184310303"/>
      <w:bookmarkEnd w:id="273"/>
      <w:bookmarkStart w:id="274" w:name="_Toc184314426"/>
      <w:bookmarkEnd w:id="274"/>
      <w:bookmarkStart w:id="275" w:name="_Toc184308070"/>
      <w:bookmarkEnd w:id="275"/>
      <w:bookmarkStart w:id="276" w:name="_Toc184313282"/>
      <w:bookmarkEnd w:id="276"/>
      <w:bookmarkStart w:id="277" w:name="_Toc184314460"/>
      <w:bookmarkEnd w:id="277"/>
      <w:bookmarkStart w:id="278" w:name="_Toc184314444"/>
      <w:bookmarkEnd w:id="278"/>
      <w:bookmarkStart w:id="279" w:name="_Toc184308107"/>
      <w:bookmarkEnd w:id="279"/>
      <w:bookmarkStart w:id="280" w:name="_Toc184314471"/>
      <w:bookmarkEnd w:id="280"/>
      <w:bookmarkStart w:id="281" w:name="_Toc184312122"/>
      <w:bookmarkEnd w:id="281"/>
      <w:bookmarkStart w:id="282" w:name="_Toc184310279"/>
      <w:bookmarkEnd w:id="282"/>
      <w:bookmarkStart w:id="283" w:name="_Toc184308058"/>
      <w:bookmarkEnd w:id="283"/>
      <w:bookmarkStart w:id="284" w:name="_Toc184313308"/>
      <w:bookmarkEnd w:id="284"/>
      <w:bookmarkStart w:id="285" w:name="_Toc184308099"/>
      <w:bookmarkEnd w:id="285"/>
      <w:bookmarkStart w:id="286" w:name="_Toc184308088"/>
      <w:bookmarkEnd w:id="286"/>
      <w:bookmarkStart w:id="287" w:name="_Toc184314412"/>
      <w:bookmarkEnd w:id="287"/>
      <w:bookmarkStart w:id="288" w:name="_Toc184314448"/>
      <w:bookmarkEnd w:id="288"/>
      <w:bookmarkStart w:id="289" w:name="_Toc184313307"/>
      <w:bookmarkEnd w:id="289"/>
      <w:bookmarkStart w:id="290" w:name="_Toc184314441"/>
      <w:bookmarkEnd w:id="290"/>
      <w:bookmarkStart w:id="291" w:name="_Toc184314477"/>
      <w:bookmarkEnd w:id="291"/>
      <w:bookmarkStart w:id="292" w:name="_Toc184313247"/>
      <w:bookmarkEnd w:id="292"/>
      <w:bookmarkStart w:id="293" w:name="_Toc184308042"/>
      <w:bookmarkEnd w:id="293"/>
      <w:bookmarkStart w:id="294" w:name="_Toc184310304"/>
      <w:bookmarkEnd w:id="294"/>
      <w:bookmarkStart w:id="295" w:name="_Toc184313252"/>
      <w:bookmarkEnd w:id="295"/>
      <w:bookmarkStart w:id="296" w:name="_Toc184310314"/>
      <w:bookmarkEnd w:id="296"/>
      <w:bookmarkStart w:id="297" w:name="_Toc184308089"/>
      <w:bookmarkEnd w:id="297"/>
      <w:bookmarkStart w:id="298" w:name="_Toc184314410"/>
      <w:bookmarkEnd w:id="298"/>
      <w:bookmarkStart w:id="299" w:name="_Toc184310327"/>
      <w:bookmarkEnd w:id="299"/>
      <w:bookmarkStart w:id="300" w:name="_Toc184308049"/>
      <w:bookmarkEnd w:id="300"/>
      <w:bookmarkStart w:id="301" w:name="_Toc184308055"/>
      <w:bookmarkEnd w:id="301"/>
      <w:bookmarkStart w:id="302" w:name="_Toc184313246"/>
      <w:bookmarkEnd w:id="302"/>
      <w:bookmarkStart w:id="303" w:name="_Toc184308048"/>
      <w:bookmarkEnd w:id="303"/>
      <w:bookmarkStart w:id="304" w:name="_Toc184310342"/>
      <w:bookmarkEnd w:id="304"/>
      <w:bookmarkStart w:id="305" w:name="_Toc184308066"/>
      <w:bookmarkEnd w:id="305"/>
      <w:bookmarkStart w:id="306" w:name="_Toc184312139"/>
      <w:bookmarkEnd w:id="306"/>
      <w:bookmarkStart w:id="307" w:name="_Toc184312085"/>
      <w:bookmarkEnd w:id="307"/>
      <w:bookmarkStart w:id="308" w:name="_Toc184308105"/>
      <w:bookmarkEnd w:id="308"/>
      <w:bookmarkStart w:id="309" w:name="_Toc184310317"/>
      <w:bookmarkEnd w:id="309"/>
      <w:bookmarkStart w:id="310" w:name="_Toc184310283"/>
      <w:bookmarkEnd w:id="310"/>
      <w:bookmarkStart w:id="311" w:name="_Toc184314431"/>
      <w:bookmarkEnd w:id="311"/>
      <w:bookmarkStart w:id="312" w:name="_Toc184314421"/>
      <w:bookmarkEnd w:id="312"/>
      <w:bookmarkStart w:id="313" w:name="_Toc184308065"/>
      <w:bookmarkEnd w:id="313"/>
      <w:bookmarkStart w:id="314" w:name="_Toc184312111"/>
      <w:bookmarkEnd w:id="314"/>
      <w:bookmarkStart w:id="315" w:name="_Toc184314449"/>
      <w:bookmarkEnd w:id="315"/>
      <w:bookmarkStart w:id="316" w:name="_Toc184313277"/>
      <w:bookmarkEnd w:id="316"/>
      <w:bookmarkStart w:id="317" w:name="_Toc184314475"/>
      <w:bookmarkEnd w:id="317"/>
      <w:bookmarkStart w:id="318" w:name="_Toc184313253"/>
      <w:bookmarkEnd w:id="318"/>
      <w:bookmarkStart w:id="319" w:name="_Toc184310316"/>
      <w:bookmarkEnd w:id="319"/>
      <w:bookmarkStart w:id="320" w:name="_Toc184312071"/>
      <w:bookmarkEnd w:id="320"/>
      <w:bookmarkStart w:id="321" w:name="_Toc184308090"/>
      <w:bookmarkEnd w:id="321"/>
      <w:bookmarkStart w:id="322" w:name="_Toc184314472"/>
      <w:bookmarkEnd w:id="322"/>
      <w:bookmarkStart w:id="323" w:name="_Toc184312100"/>
      <w:bookmarkEnd w:id="323"/>
      <w:bookmarkStart w:id="324" w:name="_Toc184313283"/>
      <w:bookmarkEnd w:id="324"/>
      <w:bookmarkStart w:id="325" w:name="_Toc184314432"/>
      <w:bookmarkEnd w:id="325"/>
      <w:bookmarkStart w:id="326" w:name="_Toc184308056"/>
      <w:bookmarkEnd w:id="326"/>
      <w:bookmarkStart w:id="327" w:name="_Toc184312132"/>
      <w:bookmarkEnd w:id="327"/>
      <w:bookmarkStart w:id="328" w:name="_Toc184312117"/>
      <w:bookmarkEnd w:id="328"/>
      <w:bookmarkStart w:id="329" w:name="_Toc184313286"/>
      <w:bookmarkEnd w:id="329"/>
      <w:bookmarkStart w:id="330" w:name="_Toc184308052"/>
      <w:bookmarkEnd w:id="330"/>
      <w:bookmarkStart w:id="331" w:name="_Toc184310280"/>
      <w:bookmarkEnd w:id="331"/>
      <w:bookmarkStart w:id="332" w:name="_Toc184312128"/>
      <w:bookmarkEnd w:id="332"/>
      <w:bookmarkStart w:id="333" w:name="_Toc184308093"/>
      <w:bookmarkEnd w:id="333"/>
      <w:bookmarkStart w:id="334" w:name="_Toc184314466"/>
      <w:bookmarkEnd w:id="334"/>
      <w:bookmarkStart w:id="335" w:name="_Toc184308062"/>
      <w:bookmarkEnd w:id="335"/>
      <w:bookmarkStart w:id="336" w:name="_Toc184310333"/>
      <w:bookmarkEnd w:id="336"/>
      <w:bookmarkStart w:id="337" w:name="_Toc184308037"/>
      <w:bookmarkEnd w:id="337"/>
      <w:bookmarkStart w:id="338" w:name="_Toc184310302"/>
      <w:bookmarkEnd w:id="338"/>
      <w:bookmarkStart w:id="339" w:name="_Toc184310291"/>
      <w:bookmarkEnd w:id="339"/>
      <w:bookmarkStart w:id="340" w:name="_Toc184310289"/>
      <w:bookmarkEnd w:id="340"/>
      <w:bookmarkStart w:id="341" w:name="_Toc184314416"/>
      <w:bookmarkEnd w:id="341"/>
      <w:bookmarkStart w:id="342" w:name="_Toc184314461"/>
      <w:bookmarkEnd w:id="342"/>
      <w:bookmarkStart w:id="343" w:name="_Toc184310339"/>
      <w:bookmarkEnd w:id="343"/>
      <w:bookmarkStart w:id="344" w:name="_Toc184310298"/>
      <w:bookmarkEnd w:id="344"/>
      <w:bookmarkStart w:id="345" w:name="_Toc184312135"/>
      <w:bookmarkEnd w:id="345"/>
      <w:bookmarkStart w:id="346" w:name="_Toc184310305"/>
      <w:bookmarkEnd w:id="346"/>
      <w:bookmarkStart w:id="347" w:name="_Toc184308083"/>
      <w:bookmarkEnd w:id="347"/>
      <w:bookmarkStart w:id="348" w:name="_Toc184312089"/>
      <w:bookmarkEnd w:id="348"/>
      <w:bookmarkStart w:id="349" w:name="_Toc184312092"/>
      <w:bookmarkEnd w:id="349"/>
      <w:bookmarkStart w:id="350" w:name="_Toc184310338"/>
      <w:bookmarkEnd w:id="350"/>
      <w:bookmarkStart w:id="351" w:name="_Toc184310328"/>
      <w:bookmarkEnd w:id="351"/>
      <w:bookmarkStart w:id="352" w:name="_Toc184308050"/>
      <w:bookmarkEnd w:id="352"/>
      <w:bookmarkStart w:id="353" w:name="_Toc184314464"/>
      <w:bookmarkEnd w:id="353"/>
      <w:bookmarkStart w:id="354" w:name="_Toc184314435"/>
      <w:bookmarkEnd w:id="354"/>
      <w:bookmarkStart w:id="355" w:name="_Toc184314413"/>
      <w:bookmarkEnd w:id="355"/>
      <w:bookmarkStart w:id="356" w:name="_Toc184308063"/>
      <w:bookmarkEnd w:id="356"/>
      <w:bookmarkStart w:id="357" w:name="_Toc184310340"/>
      <w:bookmarkEnd w:id="357"/>
      <w:bookmarkStart w:id="358" w:name="_Toc184313304"/>
      <w:bookmarkEnd w:id="358"/>
      <w:bookmarkStart w:id="359" w:name="_Toc184312133"/>
      <w:bookmarkEnd w:id="359"/>
      <w:bookmarkStart w:id="360" w:name="_Toc184310336"/>
      <w:bookmarkEnd w:id="360"/>
      <w:bookmarkStart w:id="361" w:name="_Toc184308038"/>
      <w:bookmarkEnd w:id="361"/>
      <w:bookmarkStart w:id="362" w:name="_Toc184313255"/>
      <w:bookmarkEnd w:id="362"/>
      <w:bookmarkStart w:id="363" w:name="_Toc184310325"/>
      <w:bookmarkEnd w:id="363"/>
      <w:bookmarkStart w:id="364" w:name="_Toc184313243"/>
      <w:bookmarkEnd w:id="364"/>
      <w:bookmarkStart w:id="365" w:name="_Toc184308100"/>
      <w:bookmarkEnd w:id="365"/>
      <w:bookmarkStart w:id="366" w:name="_Toc184314465"/>
      <w:bookmarkEnd w:id="366"/>
      <w:bookmarkStart w:id="367" w:name="_Toc184312080"/>
      <w:bookmarkEnd w:id="367"/>
      <w:bookmarkStart w:id="368" w:name="_Toc184310299"/>
      <w:bookmarkEnd w:id="368"/>
      <w:bookmarkStart w:id="369" w:name="_Toc184312073"/>
      <w:bookmarkEnd w:id="369"/>
      <w:bookmarkStart w:id="370" w:name="_Toc184313258"/>
      <w:bookmarkEnd w:id="370"/>
      <w:bookmarkStart w:id="371" w:name="_Toc184313240"/>
      <w:bookmarkEnd w:id="371"/>
      <w:bookmarkStart w:id="372" w:name="_Toc184308079"/>
      <w:bookmarkEnd w:id="372"/>
      <w:bookmarkStart w:id="373" w:name="_Toc184313298"/>
      <w:bookmarkEnd w:id="373"/>
      <w:bookmarkStart w:id="374" w:name="_Toc184314414"/>
      <w:bookmarkEnd w:id="374"/>
      <w:bookmarkStart w:id="375" w:name="_Toc184314450"/>
      <w:bookmarkEnd w:id="375"/>
      <w:bookmarkStart w:id="376" w:name="_Toc184312124"/>
      <w:bookmarkEnd w:id="376"/>
      <w:bookmarkStart w:id="377" w:name="_Toc184308043"/>
      <w:bookmarkEnd w:id="377"/>
      <w:bookmarkStart w:id="378" w:name="_Toc184312068"/>
      <w:bookmarkEnd w:id="378"/>
      <w:bookmarkStart w:id="379" w:name="_Toc184314418"/>
      <w:bookmarkEnd w:id="379"/>
      <w:bookmarkStart w:id="380" w:name="_Toc184310318"/>
      <w:bookmarkEnd w:id="380"/>
      <w:bookmarkStart w:id="381" w:name="_Toc184313241"/>
      <w:bookmarkEnd w:id="381"/>
      <w:bookmarkStart w:id="382" w:name="_Toc184313289"/>
      <w:bookmarkEnd w:id="382"/>
      <w:bookmarkStart w:id="383" w:name="_Toc184312116"/>
      <w:bookmarkEnd w:id="383"/>
      <w:bookmarkStart w:id="384" w:name="_Toc184308051"/>
      <w:bookmarkEnd w:id="384"/>
      <w:bookmarkStart w:id="385" w:name="_Toc184310297"/>
      <w:bookmarkEnd w:id="385"/>
      <w:bookmarkStart w:id="386" w:name="_Toc184308091"/>
      <w:bookmarkEnd w:id="386"/>
      <w:bookmarkStart w:id="387" w:name="_Toc184312102"/>
      <w:bookmarkEnd w:id="387"/>
      <w:bookmarkStart w:id="388" w:name="_Toc184308047"/>
      <w:bookmarkEnd w:id="388"/>
      <w:bookmarkStart w:id="389" w:name="_Toc184314479"/>
      <w:bookmarkEnd w:id="389"/>
      <w:bookmarkStart w:id="390" w:name="_Toc184314438"/>
      <w:bookmarkEnd w:id="390"/>
      <w:bookmarkStart w:id="391" w:name="_Toc184313254"/>
      <w:bookmarkEnd w:id="391"/>
      <w:bookmarkStart w:id="392" w:name="_Toc184310285"/>
      <w:bookmarkEnd w:id="392"/>
      <w:r>
        <w:rPr>
          <w:rFonts w:hint="eastAsia" w:ascii="宋体" w:hAnsi="宋体" w:cs="宋体"/>
          <w:b/>
          <w:color w:val="auto"/>
          <w:sz w:val="36"/>
          <w:szCs w:val="36"/>
          <w:highlight w:val="none"/>
        </w:rPr>
        <w:t>评标办法</w:t>
      </w:r>
    </w:p>
    <w:p w14:paraId="38468B90">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2"/>
        <w:tblW w:w="5573" w:type="pct"/>
        <w:tblInd w:w="-289" w:type="dxa"/>
        <w:tblLayout w:type="autofit"/>
        <w:tblCellMar>
          <w:top w:w="0" w:type="dxa"/>
          <w:left w:w="108" w:type="dxa"/>
          <w:bottom w:w="0" w:type="dxa"/>
          <w:right w:w="108" w:type="dxa"/>
        </w:tblCellMar>
      </w:tblPr>
      <w:tblGrid>
        <w:gridCol w:w="579"/>
        <w:gridCol w:w="582"/>
        <w:gridCol w:w="983"/>
        <w:gridCol w:w="5409"/>
        <w:gridCol w:w="961"/>
        <w:gridCol w:w="955"/>
      </w:tblGrid>
      <w:tr w14:paraId="5248C22B">
        <w:tblPrEx>
          <w:tblCellMar>
            <w:top w:w="0" w:type="dxa"/>
            <w:left w:w="108" w:type="dxa"/>
            <w:bottom w:w="0" w:type="dxa"/>
            <w:right w:w="108" w:type="dxa"/>
          </w:tblCellMar>
        </w:tblPrEx>
        <w:trPr>
          <w:trHeight w:val="570" w:hRule="atLeast"/>
          <w:tblHeader/>
        </w:trPr>
        <w:tc>
          <w:tcPr>
            <w:tcW w:w="306" w:type="pct"/>
            <w:tcBorders>
              <w:top w:val="single" w:color="auto" w:sz="4" w:space="0"/>
              <w:left w:val="single" w:color="auto" w:sz="4" w:space="0"/>
              <w:bottom w:val="single" w:color="auto" w:sz="4" w:space="0"/>
              <w:right w:val="single" w:color="auto" w:sz="4" w:space="0"/>
            </w:tcBorders>
            <w:shd w:val="clear" w:color="auto" w:fill="auto"/>
            <w:vAlign w:val="center"/>
          </w:tcPr>
          <w:p w14:paraId="7BA7AA76">
            <w:pPr>
              <w:widowControl/>
              <w:adjustRightInd/>
              <w:jc w:val="center"/>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分类</w:t>
            </w:r>
          </w:p>
        </w:tc>
        <w:tc>
          <w:tcPr>
            <w:tcW w:w="306" w:type="pct"/>
            <w:tcBorders>
              <w:top w:val="single" w:color="auto" w:sz="4" w:space="0"/>
              <w:left w:val="nil"/>
              <w:bottom w:val="single" w:color="auto" w:sz="4" w:space="0"/>
              <w:right w:val="single" w:color="auto" w:sz="4" w:space="0"/>
            </w:tcBorders>
            <w:shd w:val="clear" w:color="auto" w:fill="auto"/>
            <w:vAlign w:val="center"/>
          </w:tcPr>
          <w:p w14:paraId="6A437530">
            <w:pPr>
              <w:widowControl/>
              <w:adjustRightInd/>
              <w:jc w:val="center"/>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序号</w:t>
            </w:r>
          </w:p>
        </w:tc>
        <w:tc>
          <w:tcPr>
            <w:tcW w:w="3374" w:type="pct"/>
            <w:gridSpan w:val="2"/>
            <w:tcBorders>
              <w:top w:val="single" w:color="auto" w:sz="4" w:space="0"/>
              <w:left w:val="nil"/>
              <w:bottom w:val="single" w:color="auto" w:sz="4" w:space="0"/>
              <w:right w:val="single" w:color="000000" w:sz="4" w:space="0"/>
            </w:tcBorders>
            <w:shd w:val="clear" w:color="auto" w:fill="auto"/>
            <w:vAlign w:val="center"/>
          </w:tcPr>
          <w:p w14:paraId="38F3AA40">
            <w:pPr>
              <w:widowControl/>
              <w:adjustRightInd/>
              <w:jc w:val="center"/>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评分内容和标准</w:t>
            </w:r>
          </w:p>
        </w:tc>
        <w:tc>
          <w:tcPr>
            <w:tcW w:w="507" w:type="pct"/>
            <w:tcBorders>
              <w:top w:val="single" w:color="auto" w:sz="4" w:space="0"/>
              <w:left w:val="nil"/>
              <w:bottom w:val="single" w:color="auto" w:sz="4" w:space="0"/>
              <w:right w:val="single" w:color="auto" w:sz="4" w:space="0"/>
            </w:tcBorders>
            <w:shd w:val="clear" w:color="auto" w:fill="auto"/>
            <w:vAlign w:val="center"/>
          </w:tcPr>
          <w:p w14:paraId="76D71DBB">
            <w:pPr>
              <w:widowControl/>
              <w:adjustRightInd/>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cs="宋体"/>
                <w:b/>
                <w:bCs/>
                <w:color w:val="000000" w:themeColor="text1"/>
                <w:kern w:val="0"/>
                <w:sz w:val="24"/>
                <w:lang w:val="en-US" w:eastAsia="zh-CN"/>
                <w14:textFill>
                  <w14:solidFill>
                    <w14:schemeClr w14:val="tx1"/>
                  </w14:solidFill>
                </w14:textFill>
              </w:rPr>
              <w:t>权重</w:t>
            </w:r>
          </w:p>
        </w:tc>
        <w:tc>
          <w:tcPr>
            <w:tcW w:w="504" w:type="pct"/>
            <w:tcBorders>
              <w:top w:val="single" w:color="auto" w:sz="4" w:space="0"/>
              <w:left w:val="nil"/>
              <w:bottom w:val="single" w:color="auto" w:sz="4" w:space="0"/>
              <w:right w:val="single" w:color="auto" w:sz="4" w:space="0"/>
            </w:tcBorders>
            <w:shd w:val="clear" w:color="auto" w:fill="auto"/>
            <w:vAlign w:val="center"/>
          </w:tcPr>
          <w:p w14:paraId="359C8FE3">
            <w:pPr>
              <w:widowControl/>
              <w:adjustRightInd/>
              <w:jc w:val="center"/>
              <w:rPr>
                <w:rFonts w:hint="eastAsia" w:ascii="宋体" w:hAnsi="宋体" w:eastAsia="宋体" w:cs="宋体"/>
                <w:b/>
                <w:bCs/>
                <w:color w:val="000000" w:themeColor="text1"/>
                <w:kern w:val="0"/>
                <w:sz w:val="24"/>
                <w:lang w:val="en-US" w:eastAsia="zh-CN"/>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主</w:t>
            </w:r>
            <w:r>
              <w:rPr>
                <w:rFonts w:hint="eastAsia" w:ascii="宋体" w:hAnsi="宋体" w:cs="宋体"/>
                <w:b/>
                <w:bCs/>
                <w:color w:val="000000" w:themeColor="text1"/>
                <w:kern w:val="0"/>
                <w:sz w:val="24"/>
                <w:lang w:val="en-US" w:eastAsia="zh-CN"/>
                <w14:textFill>
                  <w14:solidFill>
                    <w14:schemeClr w14:val="tx1"/>
                  </w14:solidFill>
                </w14:textFill>
              </w:rPr>
              <w:t>观分/客观</w:t>
            </w:r>
            <w:r>
              <w:rPr>
                <w:rFonts w:hint="eastAsia" w:ascii="宋体" w:hAnsi="宋体" w:eastAsia="宋体" w:cs="宋体"/>
                <w:b/>
                <w:bCs/>
                <w:color w:val="000000" w:themeColor="text1"/>
                <w:kern w:val="0"/>
                <w:sz w:val="24"/>
                <w14:textFill>
                  <w14:solidFill>
                    <w14:schemeClr w14:val="tx1"/>
                  </w14:solidFill>
                </w14:textFill>
              </w:rPr>
              <w:t>分</w:t>
            </w:r>
            <w:r>
              <w:rPr>
                <w:rFonts w:hint="eastAsia" w:ascii="宋体" w:hAnsi="宋体" w:cs="宋体"/>
                <w:b/>
                <w:bCs/>
                <w:color w:val="000000" w:themeColor="text1"/>
                <w:kern w:val="0"/>
                <w:sz w:val="24"/>
                <w:lang w:val="en-US" w:eastAsia="zh-CN"/>
                <w14:textFill>
                  <w14:solidFill>
                    <w14:schemeClr w14:val="tx1"/>
                  </w14:solidFill>
                </w14:textFill>
              </w:rPr>
              <w:t>属性</w:t>
            </w:r>
          </w:p>
        </w:tc>
      </w:tr>
      <w:tr w14:paraId="11A3E9C6">
        <w:tblPrEx>
          <w:tblCellMar>
            <w:top w:w="0" w:type="dxa"/>
            <w:left w:w="108" w:type="dxa"/>
            <w:bottom w:w="0" w:type="dxa"/>
            <w:right w:w="108" w:type="dxa"/>
          </w:tblCellMar>
        </w:tblPrEx>
        <w:trPr>
          <w:trHeight w:val="212" w:hRule="atLeast"/>
        </w:trPr>
        <w:tc>
          <w:tcPr>
            <w:tcW w:w="306" w:type="pct"/>
            <w:vMerge w:val="restart"/>
            <w:tcBorders>
              <w:top w:val="nil"/>
              <w:left w:val="single" w:color="auto" w:sz="4" w:space="0"/>
              <w:bottom w:val="single" w:color="auto" w:sz="4" w:space="0"/>
              <w:right w:val="single" w:color="auto" w:sz="4" w:space="0"/>
            </w:tcBorders>
            <w:shd w:val="clear" w:color="auto" w:fill="auto"/>
            <w:vAlign w:val="center"/>
          </w:tcPr>
          <w:p w14:paraId="4C4DC922">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商务资信分</w:t>
            </w:r>
          </w:p>
        </w:tc>
        <w:tc>
          <w:tcPr>
            <w:tcW w:w="306" w:type="pct"/>
            <w:tcBorders>
              <w:top w:val="nil"/>
              <w:left w:val="single" w:color="auto" w:sz="4" w:space="0"/>
              <w:bottom w:val="single" w:color="auto" w:sz="4" w:space="0"/>
              <w:right w:val="single" w:color="auto" w:sz="4" w:space="0"/>
            </w:tcBorders>
            <w:shd w:val="clear" w:color="auto" w:fill="auto"/>
            <w:vAlign w:val="center"/>
          </w:tcPr>
          <w:p w14:paraId="5F29EB33">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w:t>
            </w:r>
          </w:p>
        </w:tc>
        <w:tc>
          <w:tcPr>
            <w:tcW w:w="3374" w:type="pct"/>
            <w:gridSpan w:val="2"/>
            <w:tcBorders>
              <w:top w:val="single" w:color="auto" w:sz="4" w:space="0"/>
              <w:left w:val="nil"/>
              <w:bottom w:val="single" w:color="auto" w:sz="4" w:space="0"/>
              <w:right w:val="single" w:color="auto" w:sz="4" w:space="0"/>
            </w:tcBorders>
            <w:shd w:val="clear" w:color="auto" w:fill="auto"/>
            <w:vAlign w:val="center"/>
          </w:tcPr>
          <w:p w14:paraId="6630F92A">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1、投标人具有城乡规划编制甲级资质的得</w:t>
            </w:r>
            <w:r>
              <w:rPr>
                <w:rFonts w:hint="eastAsia" w:ascii="宋体" w:hAnsi="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14:textFill>
                  <w14:solidFill>
                    <w14:schemeClr w14:val="tx1"/>
                  </w14:solidFill>
                </w14:textFill>
              </w:rPr>
              <w:t>分，具有城乡规划编制乙级资质的得</w:t>
            </w:r>
            <w:r>
              <w:rPr>
                <w:rFonts w:hint="eastAsia" w:ascii="宋体" w:hAnsi="宋体" w:cs="宋体"/>
                <w:color w:val="000000" w:themeColor="text1"/>
                <w:kern w:val="0"/>
                <w:sz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highlight w:val="none"/>
                <w14:textFill>
                  <w14:solidFill>
                    <w14:schemeClr w14:val="tx1"/>
                  </w14:solidFill>
                </w14:textFill>
              </w:rPr>
              <w:t>分。</w:t>
            </w:r>
          </w:p>
          <w:p w14:paraId="7FD3A0D6">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2、投标人具有工程设计（市政行业、建筑行业、风景园林）甲级资质得2分；具有工程设计（市政行业、建筑行业、风景园林）乙级资质得1分。未提供或不齐全不得分。</w:t>
            </w:r>
          </w:p>
          <w:p w14:paraId="262539AA">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（提供资质证书扫描件并加盖公章）</w:t>
            </w:r>
          </w:p>
        </w:tc>
        <w:tc>
          <w:tcPr>
            <w:tcW w:w="507" w:type="pct"/>
            <w:tcBorders>
              <w:top w:val="nil"/>
              <w:left w:val="single" w:color="auto" w:sz="4" w:space="0"/>
              <w:bottom w:val="single" w:color="auto" w:sz="4" w:space="0"/>
              <w:right w:val="single" w:color="auto" w:sz="4" w:space="0"/>
            </w:tcBorders>
            <w:shd w:val="clear" w:color="auto" w:fill="auto"/>
            <w:vAlign w:val="center"/>
          </w:tcPr>
          <w:p w14:paraId="7D21F869">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6</w:t>
            </w:r>
            <w:r>
              <w:rPr>
                <w:rFonts w:hint="eastAsia" w:ascii="宋体" w:hAnsi="宋体" w:eastAsia="宋体" w:cs="宋体"/>
                <w:color w:val="000000" w:themeColor="text1"/>
                <w:kern w:val="0"/>
                <w:sz w:val="24"/>
                <w:highlight w:val="none"/>
                <w14:textFill>
                  <w14:solidFill>
                    <w14:schemeClr w14:val="tx1"/>
                  </w14:solidFill>
                </w14:textFill>
              </w:rPr>
              <w:t>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1B43C331">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客观分</w:t>
            </w:r>
          </w:p>
        </w:tc>
      </w:tr>
      <w:tr w14:paraId="43ABE0A0">
        <w:tblPrEx>
          <w:tblCellMar>
            <w:top w:w="0" w:type="dxa"/>
            <w:left w:w="108" w:type="dxa"/>
            <w:bottom w:w="0" w:type="dxa"/>
            <w:right w:w="108" w:type="dxa"/>
          </w:tblCellMar>
        </w:tblPrEx>
        <w:trPr>
          <w:trHeight w:val="605" w:hRule="atLeast"/>
        </w:trPr>
        <w:tc>
          <w:tcPr>
            <w:tcW w:w="306" w:type="pct"/>
            <w:vMerge w:val="continue"/>
            <w:tcBorders>
              <w:top w:val="nil"/>
              <w:left w:val="single" w:color="auto" w:sz="4" w:space="0"/>
              <w:bottom w:val="single" w:color="auto" w:sz="4" w:space="0"/>
              <w:right w:val="single" w:color="auto" w:sz="4" w:space="0"/>
            </w:tcBorders>
            <w:vAlign w:val="center"/>
          </w:tcPr>
          <w:p w14:paraId="584C0288">
            <w:pPr>
              <w:widowControl/>
              <w:adjustRightInd/>
              <w:jc w:val="left"/>
              <w:rPr>
                <w:rFonts w:hint="eastAsia" w:ascii="宋体" w:hAnsi="宋体" w:eastAsia="宋体" w:cs="宋体"/>
                <w:color w:val="000000" w:themeColor="text1"/>
                <w:kern w:val="0"/>
                <w:sz w:val="24"/>
                <w14:textFill>
                  <w14:solidFill>
                    <w14:schemeClr w14:val="tx1"/>
                  </w14:solidFill>
                </w14:textFill>
              </w:rPr>
            </w:pPr>
          </w:p>
        </w:tc>
        <w:tc>
          <w:tcPr>
            <w:tcW w:w="306" w:type="pct"/>
            <w:tcBorders>
              <w:top w:val="nil"/>
              <w:left w:val="single" w:color="auto" w:sz="4" w:space="0"/>
              <w:bottom w:val="single" w:color="auto" w:sz="4" w:space="0"/>
              <w:right w:val="single" w:color="auto" w:sz="4" w:space="0"/>
            </w:tcBorders>
            <w:shd w:val="clear" w:color="auto" w:fill="auto"/>
            <w:vAlign w:val="center"/>
          </w:tcPr>
          <w:p w14:paraId="7709FEAF">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w:t>
            </w:r>
          </w:p>
        </w:tc>
        <w:tc>
          <w:tcPr>
            <w:tcW w:w="3374" w:type="pct"/>
            <w:gridSpan w:val="2"/>
            <w:tcBorders>
              <w:top w:val="single" w:color="auto" w:sz="4" w:space="0"/>
              <w:left w:val="nil"/>
              <w:bottom w:val="single" w:color="auto" w:sz="4" w:space="0"/>
              <w:right w:val="single" w:color="auto" w:sz="4" w:space="0"/>
            </w:tcBorders>
            <w:shd w:val="clear" w:color="auto" w:fill="auto"/>
            <w:vAlign w:val="center"/>
          </w:tcPr>
          <w:p w14:paraId="557C7343">
            <w:pPr>
              <w:widowControl/>
              <w:adjustRightInd/>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投标人近五年以来承担过类似项目（城市城乡风貌）的每个得</w:t>
            </w:r>
            <w:r>
              <w:rPr>
                <w:rFonts w:hint="eastAsia" w:ascii="宋体" w:hAnsi="宋体" w:cs="宋体"/>
                <w:color w:val="000000" w:themeColor="text1"/>
                <w:kern w:val="0"/>
                <w:sz w:val="24"/>
                <w:lang w:val="en-US" w:eastAsia="zh-CN"/>
                <w14:textFill>
                  <w14:solidFill>
                    <w14:schemeClr w14:val="tx1"/>
                  </w14:solidFill>
                </w14:textFill>
              </w:rPr>
              <w:t>0.25</w:t>
            </w:r>
            <w:r>
              <w:rPr>
                <w:rFonts w:hint="eastAsia" w:ascii="宋体" w:hAnsi="宋体" w:eastAsia="宋体" w:cs="宋体"/>
                <w:color w:val="000000" w:themeColor="text1"/>
                <w:kern w:val="0"/>
                <w:sz w:val="24"/>
                <w14:textFill>
                  <w14:solidFill>
                    <w14:schemeClr w14:val="tx1"/>
                  </w14:solidFill>
                </w14:textFill>
              </w:rPr>
              <w:t>分，本项最高得</w:t>
            </w:r>
            <w:r>
              <w:rPr>
                <w:rFonts w:hint="eastAsia" w:ascii="宋体" w:hAnsi="宋体" w:cs="宋体"/>
                <w:color w:val="000000" w:themeColor="text1"/>
                <w:kern w:val="0"/>
                <w:sz w:val="24"/>
                <w:lang w:val="en-US" w:eastAsia="zh-CN"/>
                <w14:textFill>
                  <w14:solidFill>
                    <w14:schemeClr w14:val="tx1"/>
                  </w14:solidFill>
                </w14:textFill>
              </w:rPr>
              <w:t>1</w:t>
            </w:r>
            <w:r>
              <w:rPr>
                <w:rFonts w:hint="eastAsia" w:ascii="宋体" w:hAnsi="宋体" w:eastAsia="宋体" w:cs="宋体"/>
                <w:color w:val="000000" w:themeColor="text1"/>
                <w:kern w:val="0"/>
                <w:sz w:val="24"/>
                <w14:textFill>
                  <w14:solidFill>
                    <w14:schemeClr w14:val="tx1"/>
                  </w14:solidFill>
                </w14:textFill>
              </w:rPr>
              <w:t>分。（提供合同扫描件并加盖公章）</w:t>
            </w:r>
          </w:p>
        </w:tc>
        <w:tc>
          <w:tcPr>
            <w:tcW w:w="507" w:type="pct"/>
            <w:tcBorders>
              <w:top w:val="nil"/>
              <w:left w:val="single" w:color="auto" w:sz="4" w:space="0"/>
              <w:bottom w:val="single" w:color="auto" w:sz="4" w:space="0"/>
              <w:right w:val="single" w:color="auto" w:sz="4" w:space="0"/>
            </w:tcBorders>
            <w:shd w:val="clear" w:color="auto" w:fill="auto"/>
            <w:vAlign w:val="center"/>
          </w:tcPr>
          <w:p w14:paraId="225EBC90">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w:t>
            </w:r>
            <w:r>
              <w:rPr>
                <w:rFonts w:hint="eastAsia" w:ascii="宋体" w:hAnsi="宋体" w:eastAsia="宋体" w:cs="宋体"/>
                <w:color w:val="000000" w:themeColor="text1"/>
                <w:kern w:val="0"/>
                <w:sz w:val="24"/>
                <w14:textFill>
                  <w14:solidFill>
                    <w14:schemeClr w14:val="tx1"/>
                  </w14:solidFill>
                </w14:textFill>
              </w:rPr>
              <w:t>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2774B762">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客观分</w:t>
            </w:r>
          </w:p>
        </w:tc>
      </w:tr>
      <w:tr w14:paraId="26A6886F">
        <w:tblPrEx>
          <w:tblCellMar>
            <w:top w:w="0" w:type="dxa"/>
            <w:left w:w="108" w:type="dxa"/>
            <w:bottom w:w="0" w:type="dxa"/>
            <w:right w:w="108" w:type="dxa"/>
          </w:tblCellMar>
        </w:tblPrEx>
        <w:trPr>
          <w:trHeight w:val="1560" w:hRule="atLeast"/>
        </w:trPr>
        <w:tc>
          <w:tcPr>
            <w:tcW w:w="306" w:type="pct"/>
            <w:vMerge w:val="continue"/>
            <w:tcBorders>
              <w:top w:val="nil"/>
              <w:left w:val="single" w:color="auto" w:sz="4" w:space="0"/>
              <w:bottom w:val="single" w:color="auto" w:sz="4" w:space="0"/>
              <w:right w:val="single" w:color="auto" w:sz="4" w:space="0"/>
            </w:tcBorders>
            <w:vAlign w:val="center"/>
          </w:tcPr>
          <w:p w14:paraId="33D5328B">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p>
        </w:tc>
        <w:tc>
          <w:tcPr>
            <w:tcW w:w="306" w:type="pct"/>
            <w:tcBorders>
              <w:top w:val="nil"/>
              <w:left w:val="single" w:color="auto" w:sz="4" w:space="0"/>
              <w:bottom w:val="single" w:color="auto" w:sz="4" w:space="0"/>
              <w:right w:val="single" w:color="auto" w:sz="4" w:space="0"/>
            </w:tcBorders>
            <w:shd w:val="clear" w:color="auto" w:fill="auto"/>
            <w:vAlign w:val="center"/>
          </w:tcPr>
          <w:p w14:paraId="1500BEDD">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w:t>
            </w:r>
          </w:p>
        </w:tc>
        <w:tc>
          <w:tcPr>
            <w:tcW w:w="3374" w:type="pct"/>
            <w:gridSpan w:val="2"/>
            <w:tcBorders>
              <w:top w:val="single" w:color="auto" w:sz="4" w:space="0"/>
              <w:left w:val="nil"/>
              <w:bottom w:val="single" w:color="auto" w:sz="4" w:space="0"/>
              <w:right w:val="single" w:color="auto" w:sz="4" w:space="0"/>
            </w:tcBorders>
            <w:shd w:val="clear" w:color="auto" w:fill="auto"/>
            <w:vAlign w:val="center"/>
          </w:tcPr>
          <w:p w14:paraId="12D1AEFC">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投标人近五年以来(时间以获奖证书颁发时间为准)，城乡风貌类项目或设计竞赛获得国家级或省级一等奖的每提供一个得1分;城乡风貌类项目或设计竞赛获得国家级或省级等奖、三等奖的每提供一个得0.5分;本项最高得</w:t>
            </w:r>
            <w:r>
              <w:rPr>
                <w:rFonts w:hint="eastAsia" w:ascii="宋体" w:hAnsi="宋体" w:eastAsia="宋体" w:cs="宋体"/>
                <w:color w:val="000000" w:themeColor="text1"/>
                <w:kern w:val="0"/>
                <w:sz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highlight w:val="none"/>
                <w14:textFill>
                  <w14:solidFill>
                    <w14:schemeClr w14:val="tx1"/>
                  </w14:solidFill>
                </w14:textFill>
              </w:rPr>
              <w:t>分，可累计得分。</w:t>
            </w:r>
          </w:p>
          <w:p w14:paraId="13DB4393">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(提供由政府部门颁发的获奖证书或获奖文件复印件并加盖公章)</w:t>
            </w:r>
          </w:p>
        </w:tc>
        <w:tc>
          <w:tcPr>
            <w:tcW w:w="507" w:type="pct"/>
            <w:tcBorders>
              <w:top w:val="nil"/>
              <w:left w:val="single" w:color="auto" w:sz="4" w:space="0"/>
              <w:bottom w:val="single" w:color="auto" w:sz="4" w:space="0"/>
              <w:right w:val="single" w:color="auto" w:sz="4" w:space="0"/>
            </w:tcBorders>
            <w:shd w:val="clear" w:color="auto" w:fill="auto"/>
            <w:vAlign w:val="center"/>
          </w:tcPr>
          <w:p w14:paraId="5DBC2056">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highlight w:val="none"/>
                <w14:textFill>
                  <w14:solidFill>
                    <w14:schemeClr w14:val="tx1"/>
                  </w14:solidFill>
                </w14:textFill>
              </w:rPr>
              <w:t>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15317D74">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客观分</w:t>
            </w:r>
          </w:p>
        </w:tc>
      </w:tr>
      <w:tr w14:paraId="6CB0E64B">
        <w:tblPrEx>
          <w:tblCellMar>
            <w:top w:w="0" w:type="dxa"/>
            <w:left w:w="108" w:type="dxa"/>
            <w:bottom w:w="0" w:type="dxa"/>
            <w:right w:w="108" w:type="dxa"/>
          </w:tblCellMar>
        </w:tblPrEx>
        <w:trPr>
          <w:trHeight w:val="1010" w:hRule="atLeast"/>
        </w:trPr>
        <w:tc>
          <w:tcPr>
            <w:tcW w:w="306" w:type="pct"/>
            <w:vMerge w:val="continue"/>
            <w:tcBorders>
              <w:top w:val="nil"/>
              <w:left w:val="single" w:color="auto" w:sz="4" w:space="0"/>
              <w:bottom w:val="single" w:color="auto" w:sz="4" w:space="0"/>
              <w:right w:val="single" w:color="auto" w:sz="4" w:space="0"/>
            </w:tcBorders>
            <w:vAlign w:val="center"/>
          </w:tcPr>
          <w:p w14:paraId="5DCCD421">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p>
        </w:tc>
        <w:tc>
          <w:tcPr>
            <w:tcW w:w="306" w:type="pct"/>
            <w:tcBorders>
              <w:top w:val="nil"/>
              <w:left w:val="single" w:color="auto" w:sz="4" w:space="0"/>
              <w:bottom w:val="single" w:color="auto" w:sz="4" w:space="0"/>
              <w:right w:val="single" w:color="auto" w:sz="4" w:space="0"/>
            </w:tcBorders>
            <w:shd w:val="clear" w:color="auto" w:fill="auto"/>
            <w:vAlign w:val="center"/>
          </w:tcPr>
          <w:p w14:paraId="15F2CC9C">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w:t>
            </w:r>
          </w:p>
        </w:tc>
        <w:tc>
          <w:tcPr>
            <w:tcW w:w="3374" w:type="pct"/>
            <w:gridSpan w:val="2"/>
            <w:tcBorders>
              <w:top w:val="single" w:color="auto" w:sz="4" w:space="0"/>
              <w:left w:val="nil"/>
              <w:bottom w:val="single" w:color="auto" w:sz="4" w:space="0"/>
              <w:right w:val="single" w:color="auto" w:sz="4" w:space="0"/>
            </w:tcBorders>
            <w:shd w:val="clear" w:color="auto" w:fill="auto"/>
            <w:vAlign w:val="center"/>
          </w:tcPr>
          <w:p w14:paraId="1EA02F40">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投标人具有有效期内质量管理体系认证证书、环境管理体系认证证书、职业健康安全管理体系认证证书</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信息安全管理体系认证证书、信息技术服务管理体系认证证书</w:t>
            </w: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每个</w:t>
            </w:r>
            <w:r>
              <w:rPr>
                <w:rFonts w:hint="eastAsia" w:ascii="宋体" w:hAnsi="宋体" w:eastAsia="宋体" w:cs="宋体"/>
                <w:color w:val="000000" w:themeColor="text1"/>
                <w:kern w:val="0"/>
                <w:sz w:val="24"/>
                <w:highlight w:val="none"/>
                <w14:textFill>
                  <w14:solidFill>
                    <w14:schemeClr w14:val="tx1"/>
                  </w14:solidFill>
                </w14:textFill>
              </w:rPr>
              <w:t>得1分。</w:t>
            </w:r>
          </w:p>
          <w:p w14:paraId="02417508">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（须提供</w:t>
            </w:r>
            <w:r>
              <w:rPr>
                <w:rFonts w:hint="eastAsia" w:ascii="宋体" w:hAnsi="宋体" w:eastAsia="宋体" w:cs="宋体"/>
                <w:color w:val="000000" w:themeColor="text1"/>
                <w:kern w:val="0"/>
                <w:sz w:val="24"/>
                <w:highlight w:val="none"/>
                <w:lang w:val="en-US" w:eastAsia="zh-CN"/>
                <w14:textFill>
                  <w14:solidFill>
                    <w14:schemeClr w14:val="tx1"/>
                  </w14:solidFill>
                </w14:textFill>
              </w:rPr>
              <w:t>有效期内的</w:t>
            </w:r>
            <w:r>
              <w:rPr>
                <w:rFonts w:hint="eastAsia" w:ascii="宋体" w:hAnsi="宋体" w:eastAsia="宋体" w:cs="宋体"/>
                <w:color w:val="000000" w:themeColor="text1"/>
                <w:kern w:val="0"/>
                <w:sz w:val="24"/>
                <w:highlight w:val="none"/>
                <w14:textFill>
                  <w14:solidFill>
                    <w14:schemeClr w14:val="tx1"/>
                  </w14:solidFill>
                </w14:textFill>
              </w:rPr>
              <w:t>认证证书的复印件，否则不得分）</w:t>
            </w:r>
          </w:p>
        </w:tc>
        <w:tc>
          <w:tcPr>
            <w:tcW w:w="507" w:type="pct"/>
            <w:tcBorders>
              <w:top w:val="nil"/>
              <w:left w:val="single" w:color="auto" w:sz="4" w:space="0"/>
              <w:bottom w:val="single" w:color="auto" w:sz="4" w:space="0"/>
              <w:right w:val="single" w:color="auto" w:sz="4" w:space="0"/>
            </w:tcBorders>
            <w:shd w:val="clear" w:color="auto" w:fill="auto"/>
            <w:vAlign w:val="center"/>
          </w:tcPr>
          <w:p w14:paraId="24337206">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64AA19E9">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客观分</w:t>
            </w:r>
          </w:p>
        </w:tc>
      </w:tr>
      <w:tr w14:paraId="0826268B">
        <w:tblPrEx>
          <w:tblCellMar>
            <w:top w:w="0" w:type="dxa"/>
            <w:left w:w="108" w:type="dxa"/>
            <w:bottom w:w="0" w:type="dxa"/>
            <w:right w:w="108" w:type="dxa"/>
          </w:tblCellMar>
        </w:tblPrEx>
        <w:trPr>
          <w:trHeight w:val="1357" w:hRule="atLeast"/>
        </w:trPr>
        <w:tc>
          <w:tcPr>
            <w:tcW w:w="306" w:type="pct"/>
            <w:vMerge w:val="restart"/>
            <w:tcBorders>
              <w:top w:val="nil"/>
              <w:left w:val="single" w:color="auto" w:sz="4" w:space="0"/>
              <w:bottom w:val="single" w:color="auto" w:sz="4" w:space="0"/>
              <w:right w:val="single" w:color="auto" w:sz="4" w:space="0"/>
            </w:tcBorders>
            <w:shd w:val="clear" w:color="auto" w:fill="auto"/>
            <w:vAlign w:val="center"/>
          </w:tcPr>
          <w:p w14:paraId="597FC59A">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技术分</w:t>
            </w:r>
          </w:p>
        </w:tc>
        <w:tc>
          <w:tcPr>
            <w:tcW w:w="306" w:type="pct"/>
            <w:tcBorders>
              <w:top w:val="nil"/>
              <w:left w:val="single" w:color="auto" w:sz="4" w:space="0"/>
              <w:bottom w:val="single" w:color="auto" w:sz="4" w:space="0"/>
              <w:right w:val="single" w:color="auto" w:sz="4" w:space="0"/>
            </w:tcBorders>
            <w:shd w:val="clear" w:color="auto" w:fill="auto"/>
            <w:vAlign w:val="center"/>
          </w:tcPr>
          <w:p w14:paraId="15CC969D">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w:t>
            </w:r>
          </w:p>
        </w:tc>
        <w:tc>
          <w:tcPr>
            <w:tcW w:w="519" w:type="pct"/>
            <w:vMerge w:val="restart"/>
            <w:tcBorders>
              <w:top w:val="nil"/>
              <w:left w:val="single" w:color="auto" w:sz="4" w:space="0"/>
              <w:bottom w:val="single" w:color="auto" w:sz="4" w:space="0"/>
              <w:right w:val="single" w:color="auto" w:sz="4" w:space="0"/>
            </w:tcBorders>
            <w:shd w:val="clear" w:color="auto" w:fill="auto"/>
            <w:vAlign w:val="center"/>
          </w:tcPr>
          <w:p w14:paraId="64BACD90">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对本项目的总体认识</w:t>
            </w:r>
          </w:p>
        </w:tc>
        <w:tc>
          <w:tcPr>
            <w:tcW w:w="2855" w:type="pct"/>
            <w:tcBorders>
              <w:top w:val="single" w:color="auto" w:sz="4" w:space="0"/>
              <w:left w:val="nil"/>
              <w:bottom w:val="single" w:color="auto" w:sz="4" w:space="0"/>
              <w:right w:val="single" w:color="auto" w:sz="4" w:space="0"/>
            </w:tcBorders>
            <w:shd w:val="clear" w:color="auto" w:fill="auto"/>
            <w:vAlign w:val="center"/>
          </w:tcPr>
          <w:p w14:paraId="6D6D06EB">
            <w:pPr>
              <w:widowControl/>
              <w:adjustRightInd/>
              <w:jc w:val="left"/>
              <w:rPr>
                <w:rFonts w:hint="eastAsia" w:ascii="宋体" w:hAnsi="宋体" w:eastAsia="宋体" w:cs="宋体"/>
                <w:b/>
                <w:bCs/>
                <w:color w:val="000000" w:themeColor="text1"/>
                <w:kern w:val="0"/>
                <w:sz w:val="24"/>
                <w:highlight w:val="none"/>
                <w:lang w:eastAsia="zh-CN"/>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解读相关政策要求，衔接相关规划，对本次项目的目标任务理解清晰准确</w:t>
            </w:r>
            <w:r>
              <w:rPr>
                <w:rFonts w:hint="eastAsia" w:ascii="宋体" w:hAnsi="宋体" w:eastAsia="宋体" w:cs="宋体"/>
                <w:b/>
                <w:bCs/>
                <w:color w:val="000000" w:themeColor="text1"/>
                <w:kern w:val="0"/>
                <w:sz w:val="24"/>
                <w:highlight w:val="none"/>
                <w:lang w:eastAsia="zh-CN"/>
                <w14:textFill>
                  <w14:solidFill>
                    <w14:schemeClr w14:val="tx1"/>
                  </w14:solidFill>
                </w14:textFill>
              </w:rPr>
              <w:t>。</w:t>
            </w:r>
            <w:r>
              <w:rPr>
                <w:rFonts w:hint="eastAsia" w:ascii="宋体" w:hAnsi="宋体" w:eastAsia="宋体" w:cs="宋体"/>
                <w:b/>
                <w:bCs/>
                <w:color w:val="000000" w:themeColor="text1"/>
                <w:kern w:val="0"/>
                <w:sz w:val="24"/>
                <w:highlight w:val="none"/>
                <w14:textFill>
                  <w14:solidFill>
                    <w14:schemeClr w14:val="tx1"/>
                  </w14:solidFill>
                </w14:textFill>
              </w:rPr>
              <w:t>对本次项目发展背景认知和相关政策解读具有完整性、准确性、科学性、针对性</w:t>
            </w:r>
            <w:r>
              <w:rPr>
                <w:rFonts w:hint="eastAsia" w:ascii="宋体" w:hAnsi="宋体" w:eastAsia="宋体" w:cs="宋体"/>
                <w:b/>
                <w:bCs/>
                <w:color w:val="000000" w:themeColor="text1"/>
                <w:kern w:val="0"/>
                <w:sz w:val="24"/>
                <w:highlight w:val="none"/>
                <w:lang w:eastAsia="zh-CN"/>
                <w14:textFill>
                  <w14:solidFill>
                    <w14:schemeClr w14:val="tx1"/>
                  </w14:solidFill>
                </w14:textFill>
              </w:rPr>
              <w:t>，</w:t>
            </w:r>
            <w:r>
              <w:rPr>
                <w:rFonts w:hint="eastAsia" w:ascii="宋体" w:hAnsi="宋体" w:eastAsia="宋体" w:cs="宋体"/>
                <w:b/>
                <w:bCs/>
                <w:color w:val="000000" w:themeColor="text1"/>
                <w:kern w:val="0"/>
                <w:sz w:val="24"/>
                <w:highlight w:val="none"/>
                <w:lang w:val="en-US" w:eastAsia="zh-CN"/>
                <w14:textFill>
                  <w14:solidFill>
                    <w14:schemeClr w14:val="tx1"/>
                  </w14:solidFill>
                </w14:textFill>
              </w:rPr>
              <w:t>做好</w:t>
            </w:r>
            <w:r>
              <w:rPr>
                <w:rFonts w:hint="eastAsia" w:ascii="宋体" w:hAnsi="宋体" w:eastAsia="宋体" w:cs="宋体"/>
                <w:b/>
                <w:bCs/>
                <w:color w:val="000000" w:themeColor="text1"/>
                <w:kern w:val="0"/>
                <w:sz w:val="24"/>
                <w:highlight w:val="none"/>
                <w14:textFill>
                  <w14:solidFill>
                    <w14:schemeClr w14:val="tx1"/>
                  </w14:solidFill>
                </w14:textFill>
              </w:rPr>
              <w:t>现状分析工作</w:t>
            </w:r>
            <w:r>
              <w:rPr>
                <w:rFonts w:hint="eastAsia" w:ascii="宋体" w:hAnsi="宋体" w:eastAsia="宋体" w:cs="宋体"/>
                <w:b/>
                <w:bCs/>
                <w:color w:val="000000" w:themeColor="text1"/>
                <w:kern w:val="0"/>
                <w:sz w:val="24"/>
                <w:highlight w:val="none"/>
                <w:lang w:eastAsia="zh-CN"/>
                <w14:textFill>
                  <w14:solidFill>
                    <w14:schemeClr w14:val="tx1"/>
                  </w14:solidFill>
                </w14:textFill>
              </w:rPr>
              <w:t>。</w:t>
            </w:r>
          </w:p>
          <w:p w14:paraId="0AAF5E02">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背景理解、现状分析透彻，贴合采购需求的得</w:t>
            </w:r>
            <w:r>
              <w:rPr>
                <w:rFonts w:hint="eastAsia" w:ascii="宋体" w:hAnsi="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14:textFill>
                  <w14:solidFill>
                    <w14:schemeClr w14:val="tx1"/>
                  </w14:solidFill>
                </w14:textFill>
              </w:rPr>
              <w:t>分；</w:t>
            </w:r>
          </w:p>
          <w:p w14:paraId="04B6374A">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背景理解、现状分析基本到位，思路较清晰的得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highlight w:val="none"/>
                <w14:textFill>
                  <w14:solidFill>
                    <w14:schemeClr w14:val="tx1"/>
                  </w14:solidFill>
                </w14:textFill>
              </w:rPr>
              <w:t>分；</w:t>
            </w:r>
          </w:p>
          <w:p w14:paraId="5D73CD13">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背景理解、现状分析一般的得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highlight w:val="none"/>
                <w14:textFill>
                  <w14:solidFill>
                    <w14:schemeClr w14:val="tx1"/>
                  </w14:solidFill>
                </w14:textFill>
              </w:rPr>
              <w:t>分；</w:t>
            </w:r>
          </w:p>
          <w:p w14:paraId="3E8F3EC6">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背景理解、现状分析不符合现状的得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1</w:t>
            </w:r>
            <w:r>
              <w:rPr>
                <w:rFonts w:hint="eastAsia" w:ascii="宋体" w:hAnsi="宋体" w:eastAsia="宋体" w:cs="宋体"/>
                <w:color w:val="000000" w:themeColor="text1"/>
                <w:kern w:val="0"/>
                <w:sz w:val="24"/>
                <w:highlight w:val="none"/>
                <w14:textFill>
                  <w14:solidFill>
                    <w14:schemeClr w14:val="tx1"/>
                  </w14:solidFill>
                </w14:textFill>
              </w:rPr>
              <w:t>分；</w:t>
            </w:r>
          </w:p>
          <w:p w14:paraId="186808D9">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未提供的不得分。</w:t>
            </w:r>
          </w:p>
        </w:tc>
        <w:tc>
          <w:tcPr>
            <w:tcW w:w="507" w:type="pct"/>
            <w:tcBorders>
              <w:top w:val="nil"/>
              <w:left w:val="single" w:color="auto" w:sz="4" w:space="0"/>
              <w:bottom w:val="single" w:color="auto" w:sz="4" w:space="0"/>
              <w:right w:val="single" w:color="auto" w:sz="4" w:space="0"/>
            </w:tcBorders>
            <w:shd w:val="clear" w:color="auto" w:fill="auto"/>
            <w:vAlign w:val="center"/>
          </w:tcPr>
          <w:p w14:paraId="6A283B48">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14:textFill>
                  <w14:solidFill>
                    <w14:schemeClr w14:val="tx1"/>
                  </w14:solidFill>
                </w14:textFill>
              </w:rPr>
              <w:t>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247719D1">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主观分</w:t>
            </w:r>
          </w:p>
        </w:tc>
      </w:tr>
      <w:tr w14:paraId="2A6B7800">
        <w:tblPrEx>
          <w:tblCellMar>
            <w:top w:w="0" w:type="dxa"/>
            <w:left w:w="108" w:type="dxa"/>
            <w:bottom w:w="0" w:type="dxa"/>
            <w:right w:w="108" w:type="dxa"/>
          </w:tblCellMar>
        </w:tblPrEx>
        <w:trPr>
          <w:trHeight w:val="723" w:hRule="atLeast"/>
        </w:trPr>
        <w:tc>
          <w:tcPr>
            <w:tcW w:w="306" w:type="pct"/>
            <w:vMerge w:val="continue"/>
            <w:tcBorders>
              <w:top w:val="nil"/>
              <w:left w:val="single" w:color="auto" w:sz="4" w:space="0"/>
              <w:bottom w:val="single" w:color="auto" w:sz="4" w:space="0"/>
              <w:right w:val="single" w:color="auto" w:sz="4" w:space="0"/>
            </w:tcBorders>
            <w:vAlign w:val="center"/>
          </w:tcPr>
          <w:p w14:paraId="3AA15E24">
            <w:pPr>
              <w:widowControl/>
              <w:adjustRightInd/>
              <w:jc w:val="left"/>
              <w:rPr>
                <w:rFonts w:hint="eastAsia" w:ascii="宋体" w:hAnsi="宋体" w:eastAsia="宋体" w:cs="宋体"/>
                <w:color w:val="000000" w:themeColor="text1"/>
                <w:kern w:val="0"/>
                <w:sz w:val="24"/>
                <w14:textFill>
                  <w14:solidFill>
                    <w14:schemeClr w14:val="tx1"/>
                  </w14:solidFill>
                </w14:textFill>
              </w:rPr>
            </w:pPr>
          </w:p>
        </w:tc>
        <w:tc>
          <w:tcPr>
            <w:tcW w:w="306" w:type="pct"/>
            <w:tcBorders>
              <w:top w:val="nil"/>
              <w:left w:val="single" w:color="auto" w:sz="4" w:space="0"/>
              <w:bottom w:val="single" w:color="auto" w:sz="4" w:space="0"/>
              <w:right w:val="single" w:color="auto" w:sz="4" w:space="0"/>
            </w:tcBorders>
            <w:shd w:val="clear" w:color="auto" w:fill="auto"/>
            <w:vAlign w:val="center"/>
          </w:tcPr>
          <w:p w14:paraId="5BA55508">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6</w:t>
            </w:r>
          </w:p>
        </w:tc>
        <w:tc>
          <w:tcPr>
            <w:tcW w:w="519" w:type="pct"/>
            <w:vMerge w:val="continue"/>
            <w:tcBorders>
              <w:top w:val="nil"/>
              <w:left w:val="single" w:color="auto" w:sz="4" w:space="0"/>
              <w:bottom w:val="single" w:color="auto" w:sz="4" w:space="0"/>
              <w:right w:val="single" w:color="auto" w:sz="4" w:space="0"/>
            </w:tcBorders>
            <w:vAlign w:val="center"/>
          </w:tcPr>
          <w:p w14:paraId="70BBF875">
            <w:pPr>
              <w:widowControl/>
              <w:adjustRightInd/>
              <w:jc w:val="left"/>
              <w:rPr>
                <w:rFonts w:hint="eastAsia" w:ascii="宋体" w:hAnsi="宋体" w:eastAsia="宋体" w:cs="宋体"/>
                <w:color w:val="000000" w:themeColor="text1"/>
                <w:kern w:val="0"/>
                <w:sz w:val="24"/>
                <w14:textFill>
                  <w14:solidFill>
                    <w14:schemeClr w14:val="tx1"/>
                  </w14:solidFill>
                </w14:textFill>
              </w:rPr>
            </w:pPr>
          </w:p>
        </w:tc>
        <w:tc>
          <w:tcPr>
            <w:tcW w:w="2855" w:type="pct"/>
            <w:tcBorders>
              <w:top w:val="single" w:color="auto" w:sz="4" w:space="0"/>
              <w:left w:val="nil"/>
              <w:bottom w:val="single" w:color="auto" w:sz="4" w:space="0"/>
              <w:right w:val="single" w:color="auto" w:sz="4" w:space="0"/>
            </w:tcBorders>
            <w:shd w:val="clear" w:color="auto" w:fill="auto"/>
            <w:vAlign w:val="center"/>
          </w:tcPr>
          <w:p w14:paraId="76379790">
            <w:pPr>
              <w:widowControl/>
              <w:adjustRightInd/>
              <w:jc w:val="left"/>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开展风貌区现状存在的问题短板总结，对问题的总结要符合实际情况且全面到位。</w:t>
            </w:r>
          </w:p>
          <w:p w14:paraId="4DBE6147">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问题短板总结到位，贴合采购需求的得3分；</w:t>
            </w:r>
          </w:p>
          <w:p w14:paraId="1BA6C546">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问题短板总结基本到位，思路较清晰的得2分；</w:t>
            </w:r>
          </w:p>
          <w:p w14:paraId="67EAD828">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问题短板总结一般的得1分；</w:t>
            </w:r>
          </w:p>
          <w:p w14:paraId="37736C8B">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问题短板总结不符合现状的得0.5分；</w:t>
            </w:r>
          </w:p>
          <w:p w14:paraId="6217ED8E">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未提供的不得分。</w:t>
            </w:r>
          </w:p>
        </w:tc>
        <w:tc>
          <w:tcPr>
            <w:tcW w:w="507" w:type="pct"/>
            <w:tcBorders>
              <w:top w:val="nil"/>
              <w:left w:val="single" w:color="auto" w:sz="4" w:space="0"/>
              <w:bottom w:val="single" w:color="auto" w:sz="4" w:space="0"/>
              <w:right w:val="single" w:color="auto" w:sz="4" w:space="0"/>
            </w:tcBorders>
            <w:shd w:val="clear" w:color="auto" w:fill="auto"/>
            <w:vAlign w:val="center"/>
          </w:tcPr>
          <w:p w14:paraId="4B01515A">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0C9AD1B3">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主观分</w:t>
            </w:r>
          </w:p>
        </w:tc>
      </w:tr>
      <w:tr w14:paraId="789E67FE">
        <w:tblPrEx>
          <w:tblCellMar>
            <w:top w:w="0" w:type="dxa"/>
            <w:left w:w="108" w:type="dxa"/>
            <w:bottom w:w="0" w:type="dxa"/>
            <w:right w:w="108" w:type="dxa"/>
          </w:tblCellMar>
        </w:tblPrEx>
        <w:trPr>
          <w:trHeight w:val="637" w:hRule="atLeast"/>
        </w:trPr>
        <w:tc>
          <w:tcPr>
            <w:tcW w:w="306" w:type="pct"/>
            <w:vMerge w:val="continue"/>
            <w:tcBorders>
              <w:top w:val="nil"/>
              <w:left w:val="single" w:color="auto" w:sz="4" w:space="0"/>
              <w:bottom w:val="single" w:color="auto" w:sz="4" w:space="0"/>
              <w:right w:val="single" w:color="auto" w:sz="4" w:space="0"/>
            </w:tcBorders>
            <w:vAlign w:val="center"/>
          </w:tcPr>
          <w:p w14:paraId="77E765C6">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p>
        </w:tc>
        <w:tc>
          <w:tcPr>
            <w:tcW w:w="306" w:type="pct"/>
            <w:tcBorders>
              <w:top w:val="nil"/>
              <w:left w:val="single" w:color="auto" w:sz="4" w:space="0"/>
              <w:bottom w:val="single" w:color="auto" w:sz="4" w:space="0"/>
              <w:right w:val="single" w:color="auto" w:sz="4" w:space="0"/>
            </w:tcBorders>
            <w:shd w:val="clear" w:color="auto" w:fill="auto"/>
            <w:vAlign w:val="center"/>
          </w:tcPr>
          <w:p w14:paraId="03384B9A">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7</w:t>
            </w:r>
          </w:p>
        </w:tc>
        <w:tc>
          <w:tcPr>
            <w:tcW w:w="519" w:type="pct"/>
            <w:vMerge w:val="restart"/>
            <w:tcBorders>
              <w:top w:val="nil"/>
              <w:left w:val="single" w:color="auto" w:sz="4" w:space="0"/>
              <w:bottom w:val="single" w:color="auto" w:sz="4" w:space="0"/>
              <w:right w:val="single" w:color="auto" w:sz="4" w:space="0"/>
            </w:tcBorders>
            <w:shd w:val="clear" w:color="auto" w:fill="auto"/>
            <w:vAlign w:val="center"/>
          </w:tcPr>
          <w:p w14:paraId="21B9115D">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提出本项目的框架思路、技术路线</w:t>
            </w:r>
          </w:p>
        </w:tc>
        <w:tc>
          <w:tcPr>
            <w:tcW w:w="2855" w:type="pct"/>
            <w:tcBorders>
              <w:top w:val="single" w:color="auto" w:sz="4" w:space="0"/>
              <w:left w:val="nil"/>
              <w:bottom w:val="single" w:color="auto" w:sz="4" w:space="0"/>
              <w:right w:val="single" w:color="auto" w:sz="4" w:space="0"/>
            </w:tcBorders>
            <w:shd w:val="clear" w:color="auto" w:fill="auto"/>
            <w:vAlign w:val="center"/>
          </w:tcPr>
          <w:p w14:paraId="53DBDC07">
            <w:pPr>
              <w:widowControl/>
              <w:adjustRightInd/>
              <w:jc w:val="left"/>
              <w:rPr>
                <w:rFonts w:hint="eastAsia" w:ascii="宋体" w:hAnsi="宋体" w:eastAsia="宋体" w:cs="宋体"/>
                <w:b/>
                <w:bCs/>
                <w:color w:val="000000" w:themeColor="text1"/>
                <w:kern w:val="0"/>
                <w:sz w:val="24"/>
                <w:highlight w:val="none"/>
                <w14:textFill>
                  <w14:solidFill>
                    <w14:schemeClr w14:val="tx1"/>
                  </w14:solidFill>
                </w14:textFill>
              </w:rPr>
            </w:pPr>
            <w:bookmarkStart w:id="519" w:name="_GoBack"/>
            <w:r>
              <w:rPr>
                <w:rFonts w:hint="eastAsia" w:ascii="宋体" w:hAnsi="宋体" w:eastAsia="宋体" w:cs="宋体"/>
                <w:b/>
                <w:bCs/>
                <w:color w:val="000000" w:themeColor="text1"/>
                <w:kern w:val="0"/>
                <w:sz w:val="24"/>
                <w:highlight w:val="none"/>
                <w14:textFill>
                  <w14:solidFill>
                    <w14:schemeClr w14:val="tx1"/>
                  </w14:solidFill>
                </w14:textFill>
              </w:rPr>
              <w:t>提出风貌区整治提升形象定位、建设目标等目标定位，要分析具有针对性，定位合理、描述详细。</w:t>
            </w:r>
          </w:p>
          <w:p w14:paraId="3494CEB6">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目标定位表述准确，贴合采购需求的得4分；</w:t>
            </w:r>
          </w:p>
          <w:p w14:paraId="4BCAF19C">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目标定位表述基本到位，思路较清晰的得3分；</w:t>
            </w:r>
          </w:p>
          <w:p w14:paraId="43A3D12D">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目标定位表述一般的得2分；</w:t>
            </w:r>
          </w:p>
          <w:p w14:paraId="7E9C8D93">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目标定位表述不符合实际需求的得1分；</w:t>
            </w:r>
          </w:p>
          <w:p w14:paraId="56F045A0">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未提供的不得分。</w:t>
            </w:r>
            <w:bookmarkEnd w:id="519"/>
          </w:p>
        </w:tc>
        <w:tc>
          <w:tcPr>
            <w:tcW w:w="507" w:type="pct"/>
            <w:tcBorders>
              <w:top w:val="nil"/>
              <w:left w:val="single" w:color="auto" w:sz="4" w:space="0"/>
              <w:bottom w:val="single" w:color="auto" w:sz="4" w:space="0"/>
              <w:right w:val="single" w:color="auto" w:sz="4" w:space="0"/>
            </w:tcBorders>
            <w:shd w:val="clear" w:color="auto" w:fill="auto"/>
            <w:vAlign w:val="center"/>
          </w:tcPr>
          <w:p w14:paraId="5AABE377">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0F422BFE">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主观分</w:t>
            </w:r>
          </w:p>
        </w:tc>
      </w:tr>
      <w:tr w14:paraId="526C7051">
        <w:tblPrEx>
          <w:tblCellMar>
            <w:top w:w="0" w:type="dxa"/>
            <w:left w:w="108" w:type="dxa"/>
            <w:bottom w:w="0" w:type="dxa"/>
            <w:right w:w="108" w:type="dxa"/>
          </w:tblCellMar>
        </w:tblPrEx>
        <w:trPr>
          <w:trHeight w:val="1511" w:hRule="atLeast"/>
        </w:trPr>
        <w:tc>
          <w:tcPr>
            <w:tcW w:w="306" w:type="pct"/>
            <w:vMerge w:val="continue"/>
            <w:tcBorders>
              <w:top w:val="nil"/>
              <w:left w:val="single" w:color="auto" w:sz="4" w:space="0"/>
              <w:bottom w:val="single" w:color="auto" w:sz="4" w:space="0"/>
              <w:right w:val="single" w:color="auto" w:sz="4" w:space="0"/>
            </w:tcBorders>
            <w:vAlign w:val="center"/>
          </w:tcPr>
          <w:p w14:paraId="7008685E">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p>
        </w:tc>
        <w:tc>
          <w:tcPr>
            <w:tcW w:w="306" w:type="pct"/>
            <w:tcBorders>
              <w:top w:val="nil"/>
              <w:left w:val="single" w:color="auto" w:sz="4" w:space="0"/>
              <w:bottom w:val="single" w:color="auto" w:sz="4" w:space="0"/>
              <w:right w:val="single" w:color="auto" w:sz="4" w:space="0"/>
            </w:tcBorders>
            <w:shd w:val="clear" w:color="auto" w:fill="auto"/>
            <w:vAlign w:val="center"/>
          </w:tcPr>
          <w:p w14:paraId="0D98C9F9">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8</w:t>
            </w:r>
          </w:p>
        </w:tc>
        <w:tc>
          <w:tcPr>
            <w:tcW w:w="519" w:type="pct"/>
            <w:vMerge w:val="continue"/>
            <w:tcBorders>
              <w:top w:val="nil"/>
              <w:left w:val="single" w:color="auto" w:sz="4" w:space="0"/>
              <w:bottom w:val="single" w:color="auto" w:sz="4" w:space="0"/>
              <w:right w:val="single" w:color="auto" w:sz="4" w:space="0"/>
            </w:tcBorders>
            <w:vAlign w:val="center"/>
          </w:tcPr>
          <w:p w14:paraId="3989179F">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p>
        </w:tc>
        <w:tc>
          <w:tcPr>
            <w:tcW w:w="2855" w:type="pct"/>
            <w:tcBorders>
              <w:top w:val="single" w:color="auto" w:sz="4" w:space="0"/>
              <w:left w:val="nil"/>
              <w:bottom w:val="single" w:color="auto" w:sz="4" w:space="0"/>
              <w:right w:val="single" w:color="auto" w:sz="4" w:space="0"/>
            </w:tcBorders>
            <w:shd w:val="clear" w:color="auto" w:fill="auto"/>
            <w:vAlign w:val="center"/>
          </w:tcPr>
          <w:p w14:paraId="5B5BF126">
            <w:pPr>
              <w:widowControl/>
              <w:adjustRightInd/>
              <w:jc w:val="left"/>
              <w:rPr>
                <w:rFonts w:hint="eastAsia"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提出风貌区整治提升技术路线，要求技术路线科学、合理、全面。</w:t>
            </w:r>
          </w:p>
          <w:p w14:paraId="713F1618">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技术路线合理，贴合采购需求的得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highlight w:val="none"/>
                <w14:textFill>
                  <w14:solidFill>
                    <w14:schemeClr w14:val="tx1"/>
                  </w14:solidFill>
                </w14:textFill>
              </w:rPr>
              <w:t>分；</w:t>
            </w:r>
          </w:p>
          <w:p w14:paraId="1C3F8803">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技术路线表述基本到位，思路较清晰的得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highlight w:val="none"/>
                <w14:textFill>
                  <w14:solidFill>
                    <w14:schemeClr w14:val="tx1"/>
                  </w14:solidFill>
                </w14:textFill>
              </w:rPr>
              <w:t>分；</w:t>
            </w:r>
          </w:p>
          <w:p w14:paraId="4C51A724">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技术路线表述一般的得1分；</w:t>
            </w:r>
          </w:p>
          <w:p w14:paraId="7385F7ED">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技术路线表述不符合实际需求的得0.5分；</w:t>
            </w:r>
          </w:p>
          <w:p w14:paraId="758535DB">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未提供的不得分。</w:t>
            </w:r>
          </w:p>
        </w:tc>
        <w:tc>
          <w:tcPr>
            <w:tcW w:w="507" w:type="pct"/>
            <w:tcBorders>
              <w:top w:val="nil"/>
              <w:left w:val="single" w:color="auto" w:sz="4" w:space="0"/>
              <w:bottom w:val="single" w:color="auto" w:sz="4" w:space="0"/>
              <w:right w:val="single" w:color="auto" w:sz="4" w:space="0"/>
            </w:tcBorders>
            <w:shd w:val="clear" w:color="auto" w:fill="auto"/>
            <w:vAlign w:val="center"/>
          </w:tcPr>
          <w:p w14:paraId="12700F05">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highlight w:val="none"/>
                <w14:textFill>
                  <w14:solidFill>
                    <w14:schemeClr w14:val="tx1"/>
                  </w14:solidFill>
                </w14:textFill>
              </w:rPr>
              <w:t>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6FFCDB0D">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主观分</w:t>
            </w:r>
          </w:p>
        </w:tc>
      </w:tr>
      <w:tr w14:paraId="3C73147A">
        <w:tblPrEx>
          <w:tblCellMar>
            <w:top w:w="0" w:type="dxa"/>
            <w:left w:w="108" w:type="dxa"/>
            <w:bottom w:w="0" w:type="dxa"/>
            <w:right w:w="108" w:type="dxa"/>
          </w:tblCellMar>
        </w:tblPrEx>
        <w:trPr>
          <w:trHeight w:val="2273" w:hRule="atLeast"/>
        </w:trPr>
        <w:tc>
          <w:tcPr>
            <w:tcW w:w="306" w:type="pct"/>
            <w:vMerge w:val="continue"/>
            <w:tcBorders>
              <w:top w:val="nil"/>
              <w:left w:val="single" w:color="auto" w:sz="4" w:space="0"/>
              <w:bottom w:val="single" w:color="auto" w:sz="4" w:space="0"/>
              <w:right w:val="single" w:color="auto" w:sz="4" w:space="0"/>
            </w:tcBorders>
            <w:vAlign w:val="center"/>
          </w:tcPr>
          <w:p w14:paraId="251DB12A">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p>
        </w:tc>
        <w:tc>
          <w:tcPr>
            <w:tcW w:w="306" w:type="pct"/>
            <w:tcBorders>
              <w:top w:val="nil"/>
              <w:left w:val="single" w:color="auto" w:sz="4" w:space="0"/>
              <w:bottom w:val="single" w:color="auto" w:sz="4" w:space="0"/>
              <w:right w:val="single" w:color="auto" w:sz="4" w:space="0"/>
            </w:tcBorders>
            <w:shd w:val="clear" w:color="auto" w:fill="auto"/>
            <w:vAlign w:val="center"/>
          </w:tcPr>
          <w:p w14:paraId="7F2254A6">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9</w:t>
            </w:r>
          </w:p>
        </w:tc>
        <w:tc>
          <w:tcPr>
            <w:tcW w:w="519" w:type="pct"/>
            <w:vMerge w:val="restart"/>
            <w:tcBorders>
              <w:top w:val="nil"/>
              <w:left w:val="single" w:color="auto" w:sz="4" w:space="0"/>
              <w:right w:val="single" w:color="auto" w:sz="4" w:space="0"/>
            </w:tcBorders>
            <w:shd w:val="clear" w:color="auto" w:fill="auto"/>
            <w:vAlign w:val="center"/>
          </w:tcPr>
          <w:p w14:paraId="63164D94">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提出本项目的重点、难点把握，分析与解决方案</w:t>
            </w:r>
          </w:p>
        </w:tc>
        <w:tc>
          <w:tcPr>
            <w:tcW w:w="2855" w:type="pct"/>
            <w:tcBorders>
              <w:top w:val="single" w:color="auto" w:sz="4" w:space="0"/>
              <w:left w:val="nil"/>
              <w:bottom w:val="single" w:color="auto" w:sz="4" w:space="0"/>
              <w:right w:val="single" w:color="auto" w:sz="4" w:space="0"/>
            </w:tcBorders>
            <w:shd w:val="clear" w:color="auto" w:fill="auto"/>
            <w:vAlign w:val="center"/>
          </w:tcPr>
          <w:p w14:paraId="69AB088B">
            <w:pPr>
              <w:widowControl/>
              <w:adjustRightInd/>
              <w:jc w:val="left"/>
              <w:rPr>
                <w:rFonts w:hint="eastAsia"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提供风貌区空间格局</w:t>
            </w:r>
            <w:r>
              <w:rPr>
                <w:rFonts w:hint="eastAsia" w:ascii="宋体" w:hAnsi="宋体" w:eastAsia="宋体" w:cs="宋体"/>
                <w:b/>
                <w:bCs/>
                <w:color w:val="000000" w:themeColor="text1"/>
                <w:kern w:val="0"/>
                <w:sz w:val="24"/>
                <w:highlight w:val="none"/>
                <w:lang w:eastAsia="zh-CN"/>
                <w14:textFill>
                  <w14:solidFill>
                    <w14:schemeClr w14:val="tx1"/>
                  </w14:solidFill>
                </w14:textFill>
              </w:rPr>
              <w:t>、</w:t>
            </w:r>
            <w:r>
              <w:rPr>
                <w:rFonts w:hint="eastAsia" w:ascii="宋体" w:hAnsi="宋体" w:eastAsia="宋体" w:cs="宋体"/>
                <w:b/>
                <w:bCs/>
                <w:color w:val="000000" w:themeColor="text1"/>
                <w:kern w:val="0"/>
                <w:sz w:val="24"/>
                <w:highlight w:val="none"/>
                <w14:textFill>
                  <w14:solidFill>
                    <w14:schemeClr w14:val="tx1"/>
                  </w14:solidFill>
                </w14:textFill>
              </w:rPr>
              <w:t>总体设计指引，要求结构清晰、特色鲜明、表述精准。</w:t>
            </w:r>
          </w:p>
          <w:p w14:paraId="6173BE45">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空间格局</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总体设计指引等，贴合采购需求的得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8</w:t>
            </w:r>
            <w:r>
              <w:rPr>
                <w:rFonts w:hint="eastAsia" w:ascii="宋体" w:hAnsi="宋体" w:eastAsia="宋体" w:cs="宋体"/>
                <w:color w:val="000000" w:themeColor="text1"/>
                <w:kern w:val="0"/>
                <w:sz w:val="24"/>
                <w:highlight w:val="none"/>
                <w14:textFill>
                  <w14:solidFill>
                    <w14:schemeClr w14:val="tx1"/>
                  </w14:solidFill>
                </w14:textFill>
              </w:rPr>
              <w:t>分；</w:t>
            </w:r>
          </w:p>
          <w:p w14:paraId="30574DFC">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空间格局</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总体设计指引等表述基本到位，思路较清晰的得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6</w:t>
            </w:r>
            <w:r>
              <w:rPr>
                <w:rFonts w:hint="eastAsia" w:ascii="宋体" w:hAnsi="宋体" w:eastAsia="宋体" w:cs="宋体"/>
                <w:color w:val="000000" w:themeColor="text1"/>
                <w:kern w:val="0"/>
                <w:sz w:val="24"/>
                <w:highlight w:val="none"/>
                <w14:textFill>
                  <w14:solidFill>
                    <w14:schemeClr w14:val="tx1"/>
                  </w14:solidFill>
                </w14:textFill>
              </w:rPr>
              <w:t>.5分；</w:t>
            </w:r>
          </w:p>
          <w:p w14:paraId="20578C1F">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空间格局</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总体设计指引等表述一般的得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14:textFill>
                  <w14:solidFill>
                    <w14:schemeClr w14:val="tx1"/>
                  </w14:solidFill>
                </w14:textFill>
              </w:rPr>
              <w:t>分；</w:t>
            </w:r>
          </w:p>
          <w:p w14:paraId="59A7575A">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空间格局</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总体设计指引等表述不符合实际需求的得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highlight w:val="none"/>
                <w14:textFill>
                  <w14:solidFill>
                    <w14:schemeClr w14:val="tx1"/>
                  </w14:solidFill>
                </w14:textFill>
              </w:rPr>
              <w:t>分；</w:t>
            </w:r>
          </w:p>
          <w:p w14:paraId="03CF0C96">
            <w:pP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未提供的不得分。</w:t>
            </w:r>
          </w:p>
        </w:tc>
        <w:tc>
          <w:tcPr>
            <w:tcW w:w="507" w:type="pct"/>
            <w:tcBorders>
              <w:top w:val="nil"/>
              <w:left w:val="single" w:color="auto" w:sz="4" w:space="0"/>
              <w:bottom w:val="single" w:color="auto" w:sz="4" w:space="0"/>
              <w:right w:val="single" w:color="auto" w:sz="4" w:space="0"/>
            </w:tcBorders>
            <w:shd w:val="clear" w:color="auto" w:fill="auto"/>
            <w:vAlign w:val="center"/>
          </w:tcPr>
          <w:p w14:paraId="392297C1">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8</w:t>
            </w:r>
            <w:r>
              <w:rPr>
                <w:rFonts w:hint="eastAsia" w:ascii="宋体" w:hAnsi="宋体" w:eastAsia="宋体" w:cs="宋体"/>
                <w:color w:val="000000" w:themeColor="text1"/>
                <w:kern w:val="0"/>
                <w:sz w:val="24"/>
                <w:highlight w:val="none"/>
                <w14:textFill>
                  <w14:solidFill>
                    <w14:schemeClr w14:val="tx1"/>
                  </w14:solidFill>
                </w14:textFill>
              </w:rPr>
              <w:t>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7F24A8F7">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主观分</w:t>
            </w:r>
          </w:p>
        </w:tc>
      </w:tr>
      <w:tr w14:paraId="77A33ED3">
        <w:tblPrEx>
          <w:tblCellMar>
            <w:top w:w="0" w:type="dxa"/>
            <w:left w:w="108" w:type="dxa"/>
            <w:bottom w:w="0" w:type="dxa"/>
            <w:right w:w="108" w:type="dxa"/>
          </w:tblCellMar>
        </w:tblPrEx>
        <w:trPr>
          <w:trHeight w:val="2410" w:hRule="atLeast"/>
        </w:trPr>
        <w:tc>
          <w:tcPr>
            <w:tcW w:w="306" w:type="pct"/>
            <w:vMerge w:val="continue"/>
            <w:tcBorders>
              <w:top w:val="nil"/>
              <w:left w:val="single" w:color="auto" w:sz="4" w:space="0"/>
              <w:bottom w:val="single" w:color="auto" w:sz="4" w:space="0"/>
              <w:right w:val="single" w:color="auto" w:sz="4" w:space="0"/>
            </w:tcBorders>
            <w:vAlign w:val="center"/>
          </w:tcPr>
          <w:p w14:paraId="25E552D4">
            <w:pPr>
              <w:widowControl/>
              <w:adjustRightInd/>
              <w:jc w:val="left"/>
              <w:rPr>
                <w:rFonts w:hint="eastAsia" w:ascii="宋体" w:hAnsi="宋体" w:eastAsia="宋体" w:cs="宋体"/>
                <w:color w:val="000000" w:themeColor="text1"/>
                <w:kern w:val="0"/>
                <w:sz w:val="24"/>
                <w14:textFill>
                  <w14:solidFill>
                    <w14:schemeClr w14:val="tx1"/>
                  </w14:solidFill>
                </w14:textFill>
              </w:rPr>
            </w:pPr>
          </w:p>
        </w:tc>
        <w:tc>
          <w:tcPr>
            <w:tcW w:w="306" w:type="pct"/>
            <w:tcBorders>
              <w:top w:val="nil"/>
              <w:left w:val="single" w:color="auto" w:sz="4" w:space="0"/>
              <w:bottom w:val="single" w:color="auto" w:sz="4" w:space="0"/>
              <w:right w:val="single" w:color="auto" w:sz="4" w:space="0"/>
            </w:tcBorders>
            <w:shd w:val="clear" w:color="auto" w:fill="auto"/>
            <w:vAlign w:val="center"/>
          </w:tcPr>
          <w:p w14:paraId="69A765EE">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w:t>
            </w:r>
          </w:p>
        </w:tc>
        <w:tc>
          <w:tcPr>
            <w:tcW w:w="519" w:type="pct"/>
            <w:vMerge w:val="continue"/>
            <w:tcBorders>
              <w:left w:val="single" w:color="auto" w:sz="4" w:space="0"/>
              <w:right w:val="single" w:color="auto" w:sz="4" w:space="0"/>
            </w:tcBorders>
            <w:vAlign w:val="center"/>
          </w:tcPr>
          <w:p w14:paraId="55FE5046">
            <w:pPr>
              <w:widowControl/>
              <w:adjustRightInd/>
              <w:jc w:val="left"/>
              <w:rPr>
                <w:rFonts w:hint="eastAsia" w:ascii="宋体" w:hAnsi="宋体" w:eastAsia="宋体" w:cs="宋体"/>
                <w:color w:val="000000" w:themeColor="text1"/>
                <w:kern w:val="0"/>
                <w:sz w:val="24"/>
                <w14:textFill>
                  <w14:solidFill>
                    <w14:schemeClr w14:val="tx1"/>
                  </w14:solidFill>
                </w14:textFill>
              </w:rPr>
            </w:pPr>
          </w:p>
        </w:tc>
        <w:tc>
          <w:tcPr>
            <w:tcW w:w="2855" w:type="pct"/>
            <w:tcBorders>
              <w:top w:val="single" w:color="auto" w:sz="4" w:space="0"/>
              <w:left w:val="single" w:color="auto" w:sz="4" w:space="0"/>
              <w:bottom w:val="single" w:color="auto" w:sz="4" w:space="0"/>
              <w:right w:val="single" w:color="auto" w:sz="4" w:space="0"/>
            </w:tcBorders>
            <w:shd w:val="clear" w:color="auto" w:fill="auto"/>
            <w:vAlign w:val="center"/>
          </w:tcPr>
          <w:p w14:paraId="185A6E17">
            <w:pPr>
              <w:widowControl/>
              <w:adjustRightInd/>
              <w:jc w:val="left"/>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提出风貌区整治提升规划策略，要求对策思路清晰、方案合理、可行性高，符合风貌区实际。</w:t>
            </w:r>
          </w:p>
          <w:p w14:paraId="603E27F8">
            <w:pPr>
              <w:widowControl/>
              <w:adjustRightInd/>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规划策略贴合采购需求的得5分；</w:t>
            </w:r>
          </w:p>
          <w:p w14:paraId="4B903719">
            <w:pPr>
              <w:widowControl/>
              <w:adjustRightInd/>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规划策略表述基本到位，思路较清晰的得3.5分；</w:t>
            </w:r>
          </w:p>
          <w:p w14:paraId="769EAA66">
            <w:pPr>
              <w:widowControl/>
              <w:adjustRightInd/>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规划策略表述一般的得2分；</w:t>
            </w:r>
          </w:p>
          <w:p w14:paraId="3FFBEF9C">
            <w:pPr>
              <w:widowControl/>
              <w:adjustRightInd/>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规划策略表述不符合实际需求的得1分；</w:t>
            </w:r>
          </w:p>
          <w:p w14:paraId="3F240485">
            <w:pPr>
              <w:widowControl/>
              <w:adjustRightInd/>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未提供的不得分。</w:t>
            </w:r>
          </w:p>
        </w:tc>
        <w:tc>
          <w:tcPr>
            <w:tcW w:w="507" w:type="pct"/>
            <w:tcBorders>
              <w:top w:val="nil"/>
              <w:left w:val="single" w:color="auto" w:sz="4" w:space="0"/>
              <w:bottom w:val="single" w:color="auto" w:sz="4" w:space="0"/>
              <w:right w:val="single" w:color="auto" w:sz="4" w:space="0"/>
            </w:tcBorders>
            <w:shd w:val="clear" w:color="auto" w:fill="auto"/>
            <w:vAlign w:val="center"/>
          </w:tcPr>
          <w:p w14:paraId="63CE3BC7">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5分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79D83CD9">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主观分</w:t>
            </w:r>
          </w:p>
        </w:tc>
      </w:tr>
      <w:tr w14:paraId="5CC3E3E6">
        <w:tblPrEx>
          <w:tblCellMar>
            <w:top w:w="0" w:type="dxa"/>
            <w:left w:w="108" w:type="dxa"/>
            <w:bottom w:w="0" w:type="dxa"/>
            <w:right w:w="108" w:type="dxa"/>
          </w:tblCellMar>
        </w:tblPrEx>
        <w:trPr>
          <w:trHeight w:val="2705" w:hRule="atLeast"/>
        </w:trPr>
        <w:tc>
          <w:tcPr>
            <w:tcW w:w="306" w:type="pct"/>
            <w:vMerge w:val="continue"/>
            <w:tcBorders>
              <w:top w:val="nil"/>
              <w:left w:val="single" w:color="auto" w:sz="4" w:space="0"/>
              <w:bottom w:val="single" w:color="auto" w:sz="4" w:space="0"/>
              <w:right w:val="single" w:color="auto" w:sz="4" w:space="0"/>
            </w:tcBorders>
            <w:vAlign w:val="center"/>
          </w:tcPr>
          <w:p w14:paraId="4CAE175E">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p>
        </w:tc>
        <w:tc>
          <w:tcPr>
            <w:tcW w:w="306" w:type="pct"/>
            <w:tcBorders>
              <w:top w:val="single" w:color="auto" w:sz="4" w:space="0"/>
              <w:left w:val="single" w:color="auto" w:sz="4" w:space="0"/>
              <w:bottom w:val="single" w:color="auto" w:sz="4" w:space="0"/>
              <w:right w:val="single" w:color="auto" w:sz="4" w:space="0"/>
            </w:tcBorders>
            <w:shd w:val="clear" w:color="auto" w:fill="auto"/>
            <w:vAlign w:val="center"/>
          </w:tcPr>
          <w:p w14:paraId="4DC34E95">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11</w:t>
            </w:r>
          </w:p>
        </w:tc>
        <w:tc>
          <w:tcPr>
            <w:tcW w:w="519" w:type="pct"/>
            <w:vMerge w:val="continue"/>
            <w:tcBorders>
              <w:left w:val="single" w:color="auto" w:sz="4" w:space="0"/>
              <w:right w:val="single" w:color="auto" w:sz="4" w:space="0"/>
            </w:tcBorders>
            <w:vAlign w:val="center"/>
          </w:tcPr>
          <w:p w14:paraId="58AA9760">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p>
        </w:tc>
        <w:tc>
          <w:tcPr>
            <w:tcW w:w="2855" w:type="pct"/>
            <w:tcBorders>
              <w:top w:val="single" w:color="auto" w:sz="4" w:space="0"/>
              <w:left w:val="single" w:color="auto" w:sz="4" w:space="0"/>
              <w:bottom w:val="single" w:color="auto" w:sz="4" w:space="0"/>
              <w:right w:val="single" w:color="auto" w:sz="4" w:space="0"/>
            </w:tcBorders>
            <w:shd w:val="clear" w:color="auto" w:fill="auto"/>
            <w:vAlign w:val="center"/>
          </w:tcPr>
          <w:p w14:paraId="237E1146">
            <w:pPr>
              <w:widowControl/>
              <w:adjustRightInd/>
              <w:jc w:val="left"/>
              <w:rPr>
                <w:rFonts w:hint="eastAsia"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明确风貌区整治提升</w:t>
            </w:r>
            <w:r>
              <w:rPr>
                <w:rFonts w:hint="eastAsia" w:ascii="宋体" w:hAnsi="宋体" w:eastAsia="宋体" w:cs="宋体"/>
                <w:b/>
                <w:bCs/>
                <w:color w:val="000000" w:themeColor="text1"/>
                <w:kern w:val="0"/>
                <w:sz w:val="24"/>
                <w:highlight w:val="none"/>
                <w:lang w:val="en-US" w:eastAsia="zh-CN"/>
                <w14:textFill>
                  <w14:solidFill>
                    <w14:schemeClr w14:val="tx1"/>
                  </w14:solidFill>
                </w14:textFill>
              </w:rPr>
              <w:t>的具体举措</w:t>
            </w:r>
            <w:r>
              <w:rPr>
                <w:rFonts w:hint="eastAsia" w:ascii="宋体" w:hAnsi="宋体" w:eastAsia="宋体" w:cs="宋体"/>
                <w:b/>
                <w:bCs/>
                <w:color w:val="000000" w:themeColor="text1"/>
                <w:kern w:val="0"/>
                <w:sz w:val="24"/>
                <w:highlight w:val="none"/>
                <w14:textFill>
                  <w14:solidFill>
                    <w14:schemeClr w14:val="tx1"/>
                  </w14:solidFill>
                </w14:textFill>
              </w:rPr>
              <w:t>，要求方案条理清晰、内容全面、科学合理、有针对性，符合风貌区建设实际和提升导向。</w:t>
            </w:r>
          </w:p>
          <w:p w14:paraId="36696446">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行动举措</w:t>
            </w:r>
            <w:r>
              <w:rPr>
                <w:rFonts w:hint="eastAsia" w:ascii="宋体" w:hAnsi="宋体" w:eastAsia="宋体" w:cs="宋体"/>
                <w:color w:val="000000" w:themeColor="text1"/>
                <w:kern w:val="0"/>
                <w:sz w:val="24"/>
                <w:highlight w:val="none"/>
                <w14:textFill>
                  <w14:solidFill>
                    <w14:schemeClr w14:val="tx1"/>
                  </w14:solidFill>
                </w14:textFill>
              </w:rPr>
              <w:t>贴合采购需求的得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20</w:t>
            </w:r>
            <w:r>
              <w:rPr>
                <w:rFonts w:hint="eastAsia" w:ascii="宋体" w:hAnsi="宋体" w:eastAsia="宋体" w:cs="宋体"/>
                <w:color w:val="000000" w:themeColor="text1"/>
                <w:kern w:val="0"/>
                <w:sz w:val="24"/>
                <w:highlight w:val="none"/>
                <w14:textFill>
                  <w14:solidFill>
                    <w14:schemeClr w14:val="tx1"/>
                  </w14:solidFill>
                </w14:textFill>
              </w:rPr>
              <w:t>分；</w:t>
            </w:r>
          </w:p>
          <w:p w14:paraId="0438B3F7">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行动举措</w:t>
            </w:r>
            <w:r>
              <w:rPr>
                <w:rFonts w:hint="eastAsia" w:ascii="宋体" w:hAnsi="宋体" w:eastAsia="宋体" w:cs="宋体"/>
                <w:color w:val="000000" w:themeColor="text1"/>
                <w:kern w:val="0"/>
                <w:sz w:val="24"/>
                <w:highlight w:val="none"/>
                <w14:textFill>
                  <w14:solidFill>
                    <w14:schemeClr w14:val="tx1"/>
                  </w14:solidFill>
                </w14:textFill>
              </w:rPr>
              <w:t>表述基本到位，思路较清晰的得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15</w:t>
            </w:r>
            <w:r>
              <w:rPr>
                <w:rFonts w:hint="eastAsia" w:ascii="宋体" w:hAnsi="宋体" w:eastAsia="宋体" w:cs="宋体"/>
                <w:color w:val="000000" w:themeColor="text1"/>
                <w:kern w:val="0"/>
                <w:sz w:val="24"/>
                <w:highlight w:val="none"/>
                <w14:textFill>
                  <w14:solidFill>
                    <w14:schemeClr w14:val="tx1"/>
                  </w14:solidFill>
                </w14:textFill>
              </w:rPr>
              <w:t>分；</w:t>
            </w:r>
          </w:p>
          <w:p w14:paraId="0E5CB8BD">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行动举措</w:t>
            </w:r>
            <w:r>
              <w:rPr>
                <w:rFonts w:hint="eastAsia" w:ascii="宋体" w:hAnsi="宋体" w:eastAsia="宋体" w:cs="宋体"/>
                <w:color w:val="000000" w:themeColor="text1"/>
                <w:kern w:val="0"/>
                <w:sz w:val="24"/>
                <w:highlight w:val="none"/>
                <w14:textFill>
                  <w14:solidFill>
                    <w14:schemeClr w14:val="tx1"/>
                  </w14:solidFill>
                </w14:textFill>
              </w:rPr>
              <w:t>表述一般的得10分；</w:t>
            </w:r>
          </w:p>
          <w:p w14:paraId="1627F25F">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行动举措</w:t>
            </w:r>
            <w:r>
              <w:rPr>
                <w:rFonts w:hint="eastAsia" w:ascii="宋体" w:hAnsi="宋体" w:eastAsia="宋体" w:cs="宋体"/>
                <w:color w:val="000000" w:themeColor="text1"/>
                <w:kern w:val="0"/>
                <w:sz w:val="24"/>
                <w:highlight w:val="none"/>
                <w14:textFill>
                  <w14:solidFill>
                    <w14:schemeClr w14:val="tx1"/>
                  </w14:solidFill>
                </w14:textFill>
              </w:rPr>
              <w:t>表述不符合实际需求的得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分；</w:t>
            </w:r>
          </w:p>
          <w:p w14:paraId="1589D379">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未提供的不得分。</w:t>
            </w:r>
          </w:p>
        </w:tc>
        <w:tc>
          <w:tcPr>
            <w:tcW w:w="507" w:type="pct"/>
            <w:tcBorders>
              <w:top w:val="nil"/>
              <w:left w:val="single" w:color="auto" w:sz="4" w:space="0"/>
              <w:bottom w:val="single" w:color="auto" w:sz="4" w:space="0"/>
              <w:right w:val="single" w:color="auto" w:sz="4" w:space="0"/>
            </w:tcBorders>
            <w:shd w:val="clear" w:color="auto" w:fill="auto"/>
            <w:vAlign w:val="center"/>
          </w:tcPr>
          <w:p w14:paraId="63827BD5">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highlight w:val="none"/>
                <w14:textFill>
                  <w14:solidFill>
                    <w14:schemeClr w14:val="tx1"/>
                  </w14:solidFill>
                </w14:textFill>
              </w:rPr>
              <w:t>0分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1FD58108">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主观分</w:t>
            </w:r>
          </w:p>
        </w:tc>
      </w:tr>
      <w:tr w14:paraId="5708B8A5">
        <w:tblPrEx>
          <w:tblCellMar>
            <w:top w:w="0" w:type="dxa"/>
            <w:left w:w="108" w:type="dxa"/>
            <w:bottom w:w="0" w:type="dxa"/>
            <w:right w:w="108" w:type="dxa"/>
          </w:tblCellMar>
        </w:tblPrEx>
        <w:trPr>
          <w:trHeight w:val="212" w:hRule="atLeast"/>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20AE025">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p>
        </w:tc>
        <w:tc>
          <w:tcPr>
            <w:tcW w:w="306" w:type="pct"/>
            <w:tcBorders>
              <w:top w:val="single" w:color="auto" w:sz="4" w:space="0"/>
              <w:left w:val="single" w:color="auto" w:sz="4" w:space="0"/>
              <w:bottom w:val="single" w:color="auto" w:sz="4" w:space="0"/>
              <w:right w:val="single" w:color="auto" w:sz="4" w:space="0"/>
            </w:tcBorders>
            <w:shd w:val="clear" w:color="auto" w:fill="auto"/>
            <w:vAlign w:val="center"/>
          </w:tcPr>
          <w:p w14:paraId="5645D35E">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12</w:t>
            </w:r>
          </w:p>
        </w:tc>
        <w:tc>
          <w:tcPr>
            <w:tcW w:w="519" w:type="pct"/>
            <w:vMerge w:val="continue"/>
            <w:tcBorders>
              <w:left w:val="single" w:color="auto" w:sz="4" w:space="0"/>
              <w:right w:val="single" w:color="auto" w:sz="4" w:space="0"/>
            </w:tcBorders>
            <w:vAlign w:val="center"/>
          </w:tcPr>
          <w:p w14:paraId="4FCA9484">
            <w:pPr>
              <w:widowControl/>
              <w:adjustRightInd/>
              <w:jc w:val="left"/>
              <w:rPr>
                <w:rFonts w:hint="eastAsia" w:ascii="宋体" w:hAnsi="宋体" w:eastAsia="宋体" w:cs="宋体"/>
                <w:color w:val="000000" w:themeColor="text1"/>
                <w:kern w:val="0"/>
                <w:sz w:val="24"/>
                <w:highlight w:val="none"/>
                <w14:textFill>
                  <w14:solidFill>
                    <w14:schemeClr w14:val="tx1"/>
                  </w14:solidFill>
                </w14:textFill>
              </w:rPr>
            </w:pPr>
          </w:p>
        </w:tc>
        <w:tc>
          <w:tcPr>
            <w:tcW w:w="2855" w:type="pct"/>
            <w:tcBorders>
              <w:top w:val="single" w:color="auto" w:sz="4" w:space="0"/>
              <w:left w:val="single" w:color="auto" w:sz="4" w:space="0"/>
              <w:bottom w:val="single" w:color="auto" w:sz="4" w:space="0"/>
              <w:right w:val="single" w:color="auto" w:sz="4" w:space="0"/>
            </w:tcBorders>
            <w:shd w:val="clear" w:color="auto" w:fill="auto"/>
            <w:vAlign w:val="center"/>
          </w:tcPr>
          <w:p w14:paraId="29B05DDA">
            <w:pPr>
              <w:widowControl/>
              <w:adjustRightInd/>
              <w:jc w:val="left"/>
              <w:rPr>
                <w:rFonts w:hint="eastAsia"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明确风貌区整治提升项目近远期计划，要求项目切实可行、远近结合、科学合理，符合风貌区行动方案要求，符合省城乡风貌整治提升八个方面专项提升行动和杭州市城乡风貌十大专项行动的工作导向。</w:t>
            </w:r>
          </w:p>
          <w:p w14:paraId="6E0D3C20">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项目支撑与近远期计划，贴合采购需求的得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分；</w:t>
            </w:r>
          </w:p>
          <w:p w14:paraId="0CC87FDB">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项目支撑与近远期计划表述基本到位，思路较清晰的得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highlight w:val="none"/>
                <w14:textFill>
                  <w14:solidFill>
                    <w14:schemeClr w14:val="tx1"/>
                  </w14:solidFill>
                </w14:textFill>
              </w:rPr>
              <w:t>分；</w:t>
            </w:r>
          </w:p>
          <w:p w14:paraId="02DD9B27">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项目支撑与近远期计划表述一般的得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highlight w:val="none"/>
                <w14:textFill>
                  <w14:solidFill>
                    <w14:schemeClr w14:val="tx1"/>
                  </w14:solidFill>
                </w14:textFill>
              </w:rPr>
              <w:t>分；</w:t>
            </w:r>
          </w:p>
          <w:p w14:paraId="0A95C930">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项目支撑与近远期计划表述不符合实际需求的得</w:t>
            </w:r>
            <w:r>
              <w:rPr>
                <w:rFonts w:hint="eastAsia" w:ascii="宋体" w:hAnsi="宋体" w:eastAsia="宋体" w:cs="宋体"/>
                <w:color w:val="000000" w:themeColor="text1"/>
                <w:kern w:val="0"/>
                <w:sz w:val="24"/>
                <w:highlight w:val="none"/>
                <w:lang w:val="en-US" w:eastAsia="zh-CN"/>
                <w14:textFill>
                  <w14:solidFill>
                    <w14:schemeClr w14:val="tx1"/>
                  </w14:solidFill>
                </w14:textFill>
              </w:rPr>
              <w:t>1</w:t>
            </w:r>
            <w:r>
              <w:rPr>
                <w:rFonts w:hint="eastAsia" w:ascii="宋体" w:hAnsi="宋体" w:eastAsia="宋体" w:cs="宋体"/>
                <w:color w:val="000000" w:themeColor="text1"/>
                <w:kern w:val="0"/>
                <w:sz w:val="24"/>
                <w:highlight w:val="none"/>
                <w14:textFill>
                  <w14:solidFill>
                    <w14:schemeClr w14:val="tx1"/>
                  </w14:solidFill>
                </w14:textFill>
              </w:rPr>
              <w:t>分；</w:t>
            </w:r>
          </w:p>
          <w:p w14:paraId="2F53FBC0">
            <w:pPr>
              <w:widowControl/>
              <w:adjustRightInd/>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未提供的不得分。</w:t>
            </w:r>
          </w:p>
        </w:tc>
        <w:tc>
          <w:tcPr>
            <w:tcW w:w="507" w:type="pct"/>
            <w:tcBorders>
              <w:top w:val="nil"/>
              <w:left w:val="single" w:color="auto" w:sz="4" w:space="0"/>
              <w:bottom w:val="single" w:color="auto" w:sz="4" w:space="0"/>
              <w:right w:val="single" w:color="auto" w:sz="4" w:space="0"/>
            </w:tcBorders>
            <w:shd w:val="clear" w:color="auto" w:fill="auto"/>
            <w:vAlign w:val="center"/>
          </w:tcPr>
          <w:p w14:paraId="43EDBFE5">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12E785E7">
            <w:pPr>
              <w:widowControl/>
              <w:adjustRightInd/>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主观分</w:t>
            </w:r>
          </w:p>
        </w:tc>
      </w:tr>
      <w:tr w14:paraId="126B2E8E">
        <w:tblPrEx>
          <w:tblCellMar>
            <w:top w:w="0" w:type="dxa"/>
            <w:left w:w="108" w:type="dxa"/>
            <w:bottom w:w="0" w:type="dxa"/>
            <w:right w:w="108" w:type="dxa"/>
          </w:tblCellMar>
        </w:tblPrEx>
        <w:trPr>
          <w:trHeight w:val="212" w:hRule="atLeast"/>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04A087F5">
            <w:pPr>
              <w:widowControl/>
              <w:adjustRightInd/>
              <w:jc w:val="left"/>
              <w:rPr>
                <w:rFonts w:hint="eastAsia" w:ascii="宋体" w:hAnsi="宋体" w:eastAsia="宋体" w:cs="宋体"/>
                <w:color w:val="000000" w:themeColor="text1"/>
                <w:kern w:val="0"/>
                <w:sz w:val="24"/>
                <w14:textFill>
                  <w14:solidFill>
                    <w14:schemeClr w14:val="tx1"/>
                  </w14:solidFill>
                </w14:textFill>
              </w:rPr>
            </w:pPr>
          </w:p>
        </w:tc>
        <w:tc>
          <w:tcPr>
            <w:tcW w:w="306" w:type="pct"/>
            <w:tcBorders>
              <w:top w:val="single" w:color="auto" w:sz="4" w:space="0"/>
              <w:left w:val="single" w:color="auto" w:sz="4" w:space="0"/>
              <w:bottom w:val="single" w:color="auto" w:sz="4" w:space="0"/>
              <w:right w:val="single" w:color="auto" w:sz="4" w:space="0"/>
            </w:tcBorders>
            <w:shd w:val="clear" w:color="auto" w:fill="auto"/>
            <w:vAlign w:val="center"/>
          </w:tcPr>
          <w:p w14:paraId="1D8C78B4">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w:t>
            </w:r>
          </w:p>
        </w:tc>
        <w:tc>
          <w:tcPr>
            <w:tcW w:w="519" w:type="pct"/>
            <w:vMerge w:val="continue"/>
            <w:tcBorders>
              <w:left w:val="single" w:color="auto" w:sz="4" w:space="0"/>
              <w:bottom w:val="single" w:color="auto" w:sz="4" w:space="0"/>
              <w:right w:val="single" w:color="auto" w:sz="4" w:space="0"/>
            </w:tcBorders>
            <w:vAlign w:val="center"/>
          </w:tcPr>
          <w:p w14:paraId="30FF5BCC">
            <w:pPr>
              <w:widowControl/>
              <w:adjustRightInd/>
              <w:jc w:val="left"/>
              <w:rPr>
                <w:rFonts w:hint="eastAsia" w:ascii="宋体" w:hAnsi="宋体" w:eastAsia="宋体" w:cs="宋体"/>
                <w:color w:val="000000" w:themeColor="text1"/>
                <w:kern w:val="0"/>
                <w:sz w:val="24"/>
                <w14:textFill>
                  <w14:solidFill>
                    <w14:schemeClr w14:val="tx1"/>
                  </w14:solidFill>
                </w14:textFill>
              </w:rPr>
            </w:pPr>
          </w:p>
        </w:tc>
        <w:tc>
          <w:tcPr>
            <w:tcW w:w="2855" w:type="pct"/>
            <w:tcBorders>
              <w:top w:val="single" w:color="auto" w:sz="4" w:space="0"/>
              <w:left w:val="single" w:color="auto" w:sz="4" w:space="0"/>
              <w:bottom w:val="single" w:color="auto" w:sz="4" w:space="0"/>
              <w:right w:val="single" w:color="auto" w:sz="4" w:space="0"/>
            </w:tcBorders>
            <w:shd w:val="clear" w:color="auto" w:fill="auto"/>
            <w:vAlign w:val="center"/>
          </w:tcPr>
          <w:p w14:paraId="4F7162BF">
            <w:pPr>
              <w:widowControl/>
              <w:adjustRightInd/>
              <w:jc w:val="left"/>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总结风貌区整治提升的特色创新做法，要求体现</w:t>
            </w:r>
            <w:r>
              <w:rPr>
                <w:rFonts w:hint="eastAsia" w:ascii="宋体" w:hAnsi="宋体" w:eastAsia="宋体" w:cs="宋体"/>
                <w:b/>
                <w:bCs/>
                <w:color w:val="000000" w:themeColor="text1"/>
                <w:kern w:val="0"/>
                <w:sz w:val="24"/>
                <w:lang w:val="en-US" w:eastAsia="zh-CN"/>
                <w14:textFill>
                  <w14:solidFill>
                    <w14:schemeClr w14:val="tx1"/>
                  </w14:solidFill>
                </w14:textFill>
              </w:rPr>
              <w:t>本地</w:t>
            </w:r>
            <w:r>
              <w:rPr>
                <w:rFonts w:hint="eastAsia" w:ascii="宋体" w:hAnsi="宋体" w:eastAsia="宋体" w:cs="宋体"/>
                <w:b/>
                <w:bCs/>
                <w:color w:val="000000" w:themeColor="text1"/>
                <w:kern w:val="0"/>
                <w:sz w:val="24"/>
                <w14:textFill>
                  <w14:solidFill>
                    <w14:schemeClr w14:val="tx1"/>
                  </w14:solidFill>
                </w14:textFill>
              </w:rPr>
              <w:t>特点、特色鲜明、具有可复制可推广的借鉴意义，符合风貌区实际。</w:t>
            </w:r>
          </w:p>
          <w:p w14:paraId="4BE617B9">
            <w:pPr>
              <w:widowControl/>
              <w:adjustRightInd/>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相关做法总结准确，特色鲜明，具有推广价值，贴合采购需求的得6分；</w:t>
            </w:r>
          </w:p>
          <w:p w14:paraId="5528E1FB">
            <w:pPr>
              <w:widowControl/>
              <w:adjustRightInd/>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相关做法总结较为准确，特色较为鲜明，具有一定推广价值，的得4.5分；</w:t>
            </w:r>
          </w:p>
          <w:p w14:paraId="1C7248DB">
            <w:pPr>
              <w:widowControl/>
              <w:adjustRightInd/>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相关做法总结表述一般的得3分；</w:t>
            </w:r>
          </w:p>
          <w:p w14:paraId="6761B7E6">
            <w:pPr>
              <w:widowControl/>
              <w:adjustRightInd/>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相关做法总结表述不符合实际需求的得1.5分；</w:t>
            </w:r>
          </w:p>
          <w:p w14:paraId="2AD8D131">
            <w:pPr>
              <w:widowControl/>
              <w:adjustRightInd/>
              <w:rPr>
                <w:rFonts w:hint="eastAsia" w:ascii="宋体" w:hAnsi="宋体" w:eastAsia="宋体" w:cs="宋体"/>
              </w:rPr>
            </w:pPr>
            <w:r>
              <w:rPr>
                <w:rFonts w:hint="eastAsia" w:ascii="宋体" w:hAnsi="宋体" w:eastAsia="宋体" w:cs="宋体"/>
                <w:color w:val="000000" w:themeColor="text1"/>
                <w:kern w:val="0"/>
                <w:sz w:val="24"/>
                <w14:textFill>
                  <w14:solidFill>
                    <w14:schemeClr w14:val="tx1"/>
                  </w14:solidFill>
                </w14:textFill>
              </w:rPr>
              <w:t>未提供的不得分。</w:t>
            </w:r>
          </w:p>
        </w:tc>
        <w:tc>
          <w:tcPr>
            <w:tcW w:w="507" w:type="pct"/>
            <w:tcBorders>
              <w:top w:val="nil"/>
              <w:left w:val="single" w:color="auto" w:sz="4" w:space="0"/>
              <w:bottom w:val="single" w:color="auto" w:sz="4" w:space="0"/>
              <w:right w:val="single" w:color="auto" w:sz="4" w:space="0"/>
            </w:tcBorders>
            <w:shd w:val="clear" w:color="auto" w:fill="auto"/>
            <w:vAlign w:val="center"/>
          </w:tcPr>
          <w:p w14:paraId="5ADE0816">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6分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12E9122E">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主观分</w:t>
            </w:r>
          </w:p>
        </w:tc>
      </w:tr>
      <w:tr w14:paraId="578E3765">
        <w:tblPrEx>
          <w:tblCellMar>
            <w:top w:w="0" w:type="dxa"/>
            <w:left w:w="108" w:type="dxa"/>
            <w:bottom w:w="0" w:type="dxa"/>
            <w:right w:w="108" w:type="dxa"/>
          </w:tblCellMar>
        </w:tblPrEx>
        <w:trPr>
          <w:trHeight w:val="2583" w:hRule="atLeast"/>
        </w:trPr>
        <w:tc>
          <w:tcPr>
            <w:tcW w:w="306" w:type="pct"/>
            <w:vMerge w:val="continue"/>
            <w:tcBorders>
              <w:top w:val="nil"/>
              <w:left w:val="single" w:color="auto" w:sz="4" w:space="0"/>
              <w:bottom w:val="single" w:color="auto" w:sz="4" w:space="0"/>
              <w:right w:val="single" w:color="auto" w:sz="4" w:space="0"/>
            </w:tcBorders>
            <w:vAlign w:val="center"/>
          </w:tcPr>
          <w:p w14:paraId="34E5A7C6">
            <w:pPr>
              <w:widowControl/>
              <w:adjustRightInd/>
              <w:jc w:val="left"/>
              <w:rPr>
                <w:rFonts w:hint="eastAsia" w:ascii="宋体" w:hAnsi="宋体" w:eastAsia="宋体" w:cs="宋体"/>
                <w:color w:val="000000" w:themeColor="text1"/>
                <w:kern w:val="0"/>
                <w:sz w:val="24"/>
                <w14:textFill>
                  <w14:solidFill>
                    <w14:schemeClr w14:val="tx1"/>
                  </w14:solidFill>
                </w14:textFill>
              </w:rPr>
            </w:pPr>
          </w:p>
        </w:tc>
        <w:tc>
          <w:tcPr>
            <w:tcW w:w="306" w:type="pct"/>
            <w:tcBorders>
              <w:top w:val="nil"/>
              <w:left w:val="single" w:color="auto" w:sz="4" w:space="0"/>
              <w:bottom w:val="single" w:color="auto" w:sz="4" w:space="0"/>
              <w:right w:val="single" w:color="auto" w:sz="4" w:space="0"/>
            </w:tcBorders>
            <w:shd w:val="clear" w:color="auto" w:fill="auto"/>
            <w:vAlign w:val="center"/>
          </w:tcPr>
          <w:p w14:paraId="69621485">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14</w:t>
            </w:r>
          </w:p>
        </w:tc>
        <w:tc>
          <w:tcPr>
            <w:tcW w:w="519" w:type="pct"/>
            <w:vMerge w:val="restart"/>
            <w:tcBorders>
              <w:top w:val="nil"/>
              <w:left w:val="single" w:color="auto" w:sz="4" w:space="0"/>
              <w:bottom w:val="single" w:color="auto" w:sz="4" w:space="0"/>
              <w:right w:val="single" w:color="auto" w:sz="4" w:space="0"/>
            </w:tcBorders>
            <w:shd w:val="clear" w:color="auto" w:fill="auto"/>
            <w:vAlign w:val="center"/>
          </w:tcPr>
          <w:p w14:paraId="72BA17FE">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本项目的进度计划、质量管理等</w:t>
            </w:r>
          </w:p>
        </w:tc>
        <w:tc>
          <w:tcPr>
            <w:tcW w:w="2855" w:type="pct"/>
            <w:tcBorders>
              <w:top w:val="single" w:color="auto" w:sz="4" w:space="0"/>
              <w:left w:val="nil"/>
              <w:bottom w:val="single" w:color="auto" w:sz="4" w:space="0"/>
              <w:right w:val="single" w:color="auto" w:sz="4" w:space="0"/>
            </w:tcBorders>
            <w:shd w:val="clear" w:color="auto" w:fill="auto"/>
            <w:vAlign w:val="center"/>
          </w:tcPr>
          <w:p w14:paraId="683757C4">
            <w:pPr>
              <w:widowControl/>
              <w:adjustRightInd/>
              <w:jc w:val="left"/>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1）整体工作阶段及任务划分、进度计划安排合理、可行，关键时节点把握科学准确，综合评定。</w:t>
            </w:r>
          </w:p>
          <w:p w14:paraId="2E2EFB02">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整体工作阶段及任务划分科学合理，进度控制措施合理可行，关键时间节点把握精准的得2分；</w:t>
            </w:r>
          </w:p>
          <w:p w14:paraId="5B60386B">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整体工作阶段及任务划分较合理，进度控制措施较可行，关键时间节点把握准确的得1.5分；</w:t>
            </w:r>
          </w:p>
          <w:p w14:paraId="15613FA9">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整体工作阶段及任务划分部分合理，进度控制措施较基本可行，关键时间节点把握欠佳的得1分；</w:t>
            </w:r>
          </w:p>
          <w:p w14:paraId="4ED3E141">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不详细、不完善的0.5分；</w:t>
            </w:r>
          </w:p>
          <w:p w14:paraId="3175508F">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未提供的不得分。</w:t>
            </w:r>
          </w:p>
        </w:tc>
        <w:tc>
          <w:tcPr>
            <w:tcW w:w="507" w:type="pct"/>
            <w:tcBorders>
              <w:top w:val="nil"/>
              <w:left w:val="single" w:color="auto" w:sz="4" w:space="0"/>
              <w:bottom w:val="single" w:color="auto" w:sz="4" w:space="0"/>
              <w:right w:val="single" w:color="auto" w:sz="4" w:space="0"/>
            </w:tcBorders>
            <w:shd w:val="clear" w:color="auto" w:fill="auto"/>
            <w:vAlign w:val="center"/>
          </w:tcPr>
          <w:p w14:paraId="7CA03E89">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2A8BFDA4">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主观分</w:t>
            </w:r>
          </w:p>
        </w:tc>
      </w:tr>
      <w:tr w14:paraId="3565BD3E">
        <w:tblPrEx>
          <w:tblCellMar>
            <w:top w:w="0" w:type="dxa"/>
            <w:left w:w="108" w:type="dxa"/>
            <w:bottom w:w="0" w:type="dxa"/>
            <w:right w:w="108" w:type="dxa"/>
          </w:tblCellMar>
        </w:tblPrEx>
        <w:trPr>
          <w:trHeight w:val="936" w:hRule="atLeast"/>
        </w:trPr>
        <w:tc>
          <w:tcPr>
            <w:tcW w:w="306" w:type="pct"/>
            <w:vMerge w:val="continue"/>
            <w:tcBorders>
              <w:top w:val="nil"/>
              <w:left w:val="single" w:color="auto" w:sz="4" w:space="0"/>
              <w:bottom w:val="single" w:color="auto" w:sz="4" w:space="0"/>
              <w:right w:val="single" w:color="auto" w:sz="4" w:space="0"/>
            </w:tcBorders>
            <w:vAlign w:val="center"/>
          </w:tcPr>
          <w:p w14:paraId="05F00E16">
            <w:pPr>
              <w:widowControl/>
              <w:adjustRightInd/>
              <w:jc w:val="left"/>
              <w:rPr>
                <w:rFonts w:hint="eastAsia" w:ascii="宋体" w:hAnsi="宋体" w:eastAsia="宋体" w:cs="宋体"/>
                <w:color w:val="000000" w:themeColor="text1"/>
                <w:kern w:val="0"/>
                <w:sz w:val="24"/>
                <w14:textFill>
                  <w14:solidFill>
                    <w14:schemeClr w14:val="tx1"/>
                  </w14:solidFill>
                </w14:textFill>
              </w:rPr>
            </w:pPr>
          </w:p>
        </w:tc>
        <w:tc>
          <w:tcPr>
            <w:tcW w:w="306" w:type="pct"/>
            <w:tcBorders>
              <w:top w:val="nil"/>
              <w:left w:val="single" w:color="auto" w:sz="4" w:space="0"/>
              <w:bottom w:val="single" w:color="auto" w:sz="4" w:space="0"/>
              <w:right w:val="single" w:color="auto" w:sz="4" w:space="0"/>
            </w:tcBorders>
            <w:shd w:val="clear" w:color="auto" w:fill="auto"/>
            <w:vAlign w:val="center"/>
          </w:tcPr>
          <w:p w14:paraId="65592726">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15</w:t>
            </w:r>
          </w:p>
        </w:tc>
        <w:tc>
          <w:tcPr>
            <w:tcW w:w="519" w:type="pct"/>
            <w:vMerge w:val="continue"/>
            <w:tcBorders>
              <w:top w:val="nil"/>
              <w:left w:val="single" w:color="auto" w:sz="4" w:space="0"/>
              <w:bottom w:val="single" w:color="auto" w:sz="4" w:space="0"/>
              <w:right w:val="single" w:color="auto" w:sz="4" w:space="0"/>
            </w:tcBorders>
            <w:vAlign w:val="center"/>
          </w:tcPr>
          <w:p w14:paraId="283FCFBF">
            <w:pPr>
              <w:widowControl/>
              <w:adjustRightInd/>
              <w:jc w:val="center"/>
              <w:rPr>
                <w:rFonts w:hint="eastAsia" w:ascii="宋体" w:hAnsi="宋体" w:eastAsia="宋体" w:cs="宋体"/>
                <w:color w:val="000000" w:themeColor="text1"/>
                <w:kern w:val="0"/>
                <w:sz w:val="24"/>
                <w14:textFill>
                  <w14:solidFill>
                    <w14:schemeClr w14:val="tx1"/>
                  </w14:solidFill>
                </w14:textFill>
              </w:rPr>
            </w:pPr>
          </w:p>
        </w:tc>
        <w:tc>
          <w:tcPr>
            <w:tcW w:w="2855" w:type="pct"/>
            <w:tcBorders>
              <w:top w:val="single" w:color="auto" w:sz="4" w:space="0"/>
              <w:left w:val="nil"/>
              <w:bottom w:val="single" w:color="auto" w:sz="4" w:space="0"/>
              <w:right w:val="single" w:color="auto" w:sz="4" w:space="0"/>
            </w:tcBorders>
            <w:shd w:val="clear" w:color="auto" w:fill="auto"/>
            <w:vAlign w:val="center"/>
          </w:tcPr>
          <w:p w14:paraId="33119E4A">
            <w:pPr>
              <w:widowControl/>
              <w:adjustRightInd/>
              <w:jc w:val="left"/>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2）各阶段工作质量措施科学、可行，质量保证体系完备周全，并具有针对性应对措施，符合采购质量要求，综合评定。</w:t>
            </w:r>
          </w:p>
          <w:p w14:paraId="45F256CC">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针对本项目的质量保证体系完备周全，具有针对性应对措施的得2分；</w:t>
            </w:r>
          </w:p>
          <w:p w14:paraId="7CF8A8BF">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质量保证体系基本完备，具有一定针对性的得1.5分；</w:t>
            </w:r>
          </w:p>
          <w:p w14:paraId="6A6EA304">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质量保证体系不完备且考虑不周全或针对性较弱，应对措施欠佳的得1分；</w:t>
            </w:r>
          </w:p>
          <w:p w14:paraId="3170C591">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质量保证体系不周全且不具有针对性应对措施的得0.5分；</w:t>
            </w:r>
          </w:p>
          <w:p w14:paraId="4E5821D8">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未提供的不得分。</w:t>
            </w:r>
          </w:p>
        </w:tc>
        <w:tc>
          <w:tcPr>
            <w:tcW w:w="507" w:type="pct"/>
            <w:tcBorders>
              <w:top w:val="nil"/>
              <w:left w:val="single" w:color="auto" w:sz="4" w:space="0"/>
              <w:bottom w:val="single" w:color="auto" w:sz="4" w:space="0"/>
              <w:right w:val="single" w:color="auto" w:sz="4" w:space="0"/>
            </w:tcBorders>
            <w:shd w:val="clear" w:color="auto" w:fill="auto"/>
            <w:vAlign w:val="center"/>
          </w:tcPr>
          <w:p w14:paraId="261730F7">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62BE30DF">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主观分</w:t>
            </w:r>
          </w:p>
        </w:tc>
      </w:tr>
      <w:tr w14:paraId="30E6DD54">
        <w:tblPrEx>
          <w:tblCellMar>
            <w:top w:w="0" w:type="dxa"/>
            <w:left w:w="108" w:type="dxa"/>
            <w:bottom w:w="0" w:type="dxa"/>
            <w:right w:w="108" w:type="dxa"/>
          </w:tblCellMar>
        </w:tblPrEx>
        <w:trPr>
          <w:trHeight w:val="2178" w:hRule="atLeast"/>
        </w:trPr>
        <w:tc>
          <w:tcPr>
            <w:tcW w:w="306" w:type="pct"/>
            <w:vMerge w:val="continue"/>
            <w:tcBorders>
              <w:top w:val="nil"/>
              <w:left w:val="single" w:color="auto" w:sz="4" w:space="0"/>
              <w:bottom w:val="single" w:color="auto" w:sz="4" w:space="0"/>
              <w:right w:val="single" w:color="auto" w:sz="4" w:space="0"/>
            </w:tcBorders>
            <w:vAlign w:val="center"/>
          </w:tcPr>
          <w:p w14:paraId="1B19D263">
            <w:pPr>
              <w:widowControl/>
              <w:adjustRightInd/>
              <w:jc w:val="left"/>
              <w:rPr>
                <w:rFonts w:hint="eastAsia" w:ascii="宋体" w:hAnsi="宋体" w:eastAsia="宋体" w:cs="宋体"/>
                <w:color w:val="000000" w:themeColor="text1"/>
                <w:kern w:val="0"/>
                <w:sz w:val="24"/>
                <w14:textFill>
                  <w14:solidFill>
                    <w14:schemeClr w14:val="tx1"/>
                  </w14:solidFill>
                </w14:textFill>
              </w:rPr>
            </w:pPr>
          </w:p>
        </w:tc>
        <w:tc>
          <w:tcPr>
            <w:tcW w:w="306" w:type="pct"/>
            <w:tcBorders>
              <w:top w:val="nil"/>
              <w:left w:val="single" w:color="auto" w:sz="4" w:space="0"/>
              <w:bottom w:val="single" w:color="auto" w:sz="4" w:space="0"/>
              <w:right w:val="single" w:color="auto" w:sz="4" w:space="0"/>
            </w:tcBorders>
            <w:shd w:val="clear" w:color="auto" w:fill="auto"/>
            <w:vAlign w:val="center"/>
          </w:tcPr>
          <w:p w14:paraId="48A8D1CB">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16</w:t>
            </w:r>
          </w:p>
        </w:tc>
        <w:tc>
          <w:tcPr>
            <w:tcW w:w="519" w:type="pct"/>
            <w:tcBorders>
              <w:top w:val="nil"/>
              <w:left w:val="single" w:color="auto" w:sz="4" w:space="0"/>
              <w:bottom w:val="single" w:color="auto" w:sz="4" w:space="0"/>
              <w:right w:val="single" w:color="auto" w:sz="4" w:space="0"/>
            </w:tcBorders>
            <w:shd w:val="clear" w:color="auto" w:fill="auto"/>
            <w:vAlign w:val="center"/>
          </w:tcPr>
          <w:p w14:paraId="0F852A92">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服务承诺及技术保障</w:t>
            </w:r>
          </w:p>
        </w:tc>
        <w:tc>
          <w:tcPr>
            <w:tcW w:w="2855" w:type="pct"/>
            <w:tcBorders>
              <w:top w:val="single" w:color="auto" w:sz="4" w:space="0"/>
              <w:left w:val="nil"/>
              <w:bottom w:val="single" w:color="auto" w:sz="4" w:space="0"/>
              <w:right w:val="single" w:color="auto" w:sz="4" w:space="0"/>
            </w:tcBorders>
            <w:shd w:val="clear" w:color="auto" w:fill="auto"/>
            <w:vAlign w:val="center"/>
          </w:tcPr>
          <w:p w14:paraId="02BEE402">
            <w:pPr>
              <w:widowControl/>
              <w:adjustRightInd/>
              <w:jc w:val="left"/>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合同履行过程中所提供的服务承诺及保障措施是否具体、有效、可行，有利于保障项目实施，综合评定。</w:t>
            </w:r>
          </w:p>
          <w:p w14:paraId="703DC058">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服务承诺方案科学完整，贴合采购需求得2分；</w:t>
            </w:r>
          </w:p>
          <w:p w14:paraId="0C08E2D7">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方案完整，基本贴合采购需求得1.5分；</w:t>
            </w:r>
          </w:p>
          <w:p w14:paraId="4BF307AE">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方案有欠缺，与采购需求有较大偏离的得1分；</w:t>
            </w:r>
          </w:p>
          <w:p w14:paraId="457A732E">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方案不合理，与采购需求不符合的得0.5分；</w:t>
            </w:r>
          </w:p>
          <w:p w14:paraId="05A184CE">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未提供的不得分。</w:t>
            </w:r>
          </w:p>
        </w:tc>
        <w:tc>
          <w:tcPr>
            <w:tcW w:w="507" w:type="pct"/>
            <w:tcBorders>
              <w:top w:val="nil"/>
              <w:left w:val="single" w:color="auto" w:sz="4" w:space="0"/>
              <w:bottom w:val="single" w:color="auto" w:sz="4" w:space="0"/>
              <w:right w:val="single" w:color="auto" w:sz="4" w:space="0"/>
            </w:tcBorders>
            <w:shd w:val="clear" w:color="auto" w:fill="auto"/>
            <w:vAlign w:val="center"/>
          </w:tcPr>
          <w:p w14:paraId="20708531">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17B25EAD">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主观分</w:t>
            </w:r>
          </w:p>
        </w:tc>
      </w:tr>
      <w:tr w14:paraId="0D7BE8EC">
        <w:tblPrEx>
          <w:tblCellMar>
            <w:top w:w="0" w:type="dxa"/>
            <w:left w:w="108" w:type="dxa"/>
            <w:bottom w:w="0" w:type="dxa"/>
            <w:right w:w="108" w:type="dxa"/>
          </w:tblCellMar>
        </w:tblPrEx>
        <w:trPr>
          <w:trHeight w:val="2424" w:hRule="atLeast"/>
        </w:trPr>
        <w:tc>
          <w:tcPr>
            <w:tcW w:w="306" w:type="pct"/>
            <w:vMerge w:val="continue"/>
            <w:tcBorders>
              <w:top w:val="nil"/>
              <w:left w:val="single" w:color="auto" w:sz="4" w:space="0"/>
              <w:bottom w:val="single" w:color="auto" w:sz="4" w:space="0"/>
              <w:right w:val="single" w:color="auto" w:sz="4" w:space="0"/>
            </w:tcBorders>
            <w:vAlign w:val="center"/>
          </w:tcPr>
          <w:p w14:paraId="23C5A820">
            <w:pPr>
              <w:widowControl/>
              <w:adjustRightInd/>
              <w:jc w:val="left"/>
              <w:rPr>
                <w:rFonts w:hint="eastAsia" w:ascii="宋体" w:hAnsi="宋体" w:eastAsia="宋体" w:cs="宋体"/>
                <w:color w:val="000000" w:themeColor="text1"/>
                <w:kern w:val="0"/>
                <w:sz w:val="24"/>
                <w14:textFill>
                  <w14:solidFill>
                    <w14:schemeClr w14:val="tx1"/>
                  </w14:solidFill>
                </w14:textFill>
              </w:rPr>
            </w:pPr>
          </w:p>
        </w:tc>
        <w:tc>
          <w:tcPr>
            <w:tcW w:w="306" w:type="pct"/>
            <w:tcBorders>
              <w:top w:val="nil"/>
              <w:left w:val="single" w:color="auto" w:sz="4" w:space="0"/>
              <w:bottom w:val="single" w:color="auto" w:sz="4" w:space="0"/>
              <w:right w:val="single" w:color="auto" w:sz="4" w:space="0"/>
            </w:tcBorders>
            <w:shd w:val="clear" w:color="auto" w:fill="auto"/>
            <w:vAlign w:val="center"/>
          </w:tcPr>
          <w:p w14:paraId="70CF8779">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17</w:t>
            </w:r>
          </w:p>
        </w:tc>
        <w:tc>
          <w:tcPr>
            <w:tcW w:w="519" w:type="pct"/>
            <w:tcBorders>
              <w:top w:val="nil"/>
              <w:left w:val="single" w:color="auto" w:sz="4" w:space="0"/>
              <w:bottom w:val="single" w:color="auto" w:sz="4" w:space="0"/>
              <w:right w:val="single" w:color="auto" w:sz="4" w:space="0"/>
            </w:tcBorders>
            <w:shd w:val="clear" w:color="auto" w:fill="auto"/>
            <w:vAlign w:val="center"/>
          </w:tcPr>
          <w:p w14:paraId="648D2178">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拟投入项目负责人</w:t>
            </w:r>
          </w:p>
        </w:tc>
        <w:tc>
          <w:tcPr>
            <w:tcW w:w="2855" w:type="pct"/>
            <w:tcBorders>
              <w:top w:val="single" w:color="auto" w:sz="4" w:space="0"/>
              <w:left w:val="nil"/>
              <w:bottom w:val="single" w:color="auto" w:sz="4" w:space="0"/>
              <w:right w:val="single" w:color="auto" w:sz="4" w:space="0"/>
            </w:tcBorders>
            <w:shd w:val="clear" w:color="auto" w:fill="auto"/>
            <w:vAlign w:val="center"/>
          </w:tcPr>
          <w:p w14:paraId="1549E3D2">
            <w:pPr>
              <w:widowControl/>
              <w:adjustRightInd/>
              <w:jc w:val="left"/>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拟投入本项目负责人：</w:t>
            </w:r>
          </w:p>
          <w:p w14:paraId="4EB59FFE">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拟投入本项目负责人具有教授级高级（正高级）工程师职称（城乡规划）及注册城乡规划师证书的得2分；具备高级工程师职称（城乡规划）及注册城乡规划师证书的得1分；具备中级职称（城乡规划）及注册城乡规划师证书的得0.5分；不符合或不提供的不得分。</w:t>
            </w:r>
          </w:p>
          <w:p w14:paraId="28C7AFA9">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2）项目负责人具有政府部门颁发的本项目行业相关的荣誉证书的得1分。</w:t>
            </w:r>
          </w:p>
          <w:p w14:paraId="0FAABED0">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（须提供相关证书及近三个月内任意一个月社保缴费证明复印件并加盖公章。）</w:t>
            </w:r>
          </w:p>
        </w:tc>
        <w:tc>
          <w:tcPr>
            <w:tcW w:w="507" w:type="pct"/>
            <w:tcBorders>
              <w:top w:val="nil"/>
              <w:left w:val="single" w:color="auto" w:sz="4" w:space="0"/>
              <w:bottom w:val="single" w:color="auto" w:sz="4" w:space="0"/>
              <w:right w:val="single" w:color="auto" w:sz="4" w:space="0"/>
            </w:tcBorders>
            <w:shd w:val="clear" w:color="auto" w:fill="auto"/>
            <w:vAlign w:val="center"/>
          </w:tcPr>
          <w:p w14:paraId="2466F1EE">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1C5BEC10">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客观分</w:t>
            </w:r>
          </w:p>
        </w:tc>
      </w:tr>
      <w:tr w14:paraId="7229A5AA">
        <w:tblPrEx>
          <w:tblCellMar>
            <w:top w:w="0" w:type="dxa"/>
            <w:left w:w="108" w:type="dxa"/>
            <w:bottom w:w="0" w:type="dxa"/>
            <w:right w:w="108" w:type="dxa"/>
          </w:tblCellMar>
        </w:tblPrEx>
        <w:trPr>
          <w:trHeight w:val="921" w:hRule="atLeast"/>
        </w:trPr>
        <w:tc>
          <w:tcPr>
            <w:tcW w:w="306" w:type="pct"/>
            <w:vMerge w:val="continue"/>
            <w:tcBorders>
              <w:top w:val="nil"/>
              <w:left w:val="single" w:color="auto" w:sz="4" w:space="0"/>
              <w:bottom w:val="single" w:color="auto" w:sz="4" w:space="0"/>
              <w:right w:val="single" w:color="auto" w:sz="4" w:space="0"/>
            </w:tcBorders>
            <w:vAlign w:val="center"/>
          </w:tcPr>
          <w:p w14:paraId="65A367AB">
            <w:pPr>
              <w:widowControl/>
              <w:adjustRightInd/>
              <w:jc w:val="left"/>
              <w:rPr>
                <w:rFonts w:hint="eastAsia" w:ascii="宋体" w:hAnsi="宋体" w:eastAsia="宋体" w:cs="宋体"/>
                <w:color w:val="000000" w:themeColor="text1"/>
                <w:kern w:val="0"/>
                <w:sz w:val="24"/>
                <w14:textFill>
                  <w14:solidFill>
                    <w14:schemeClr w14:val="tx1"/>
                  </w14:solidFill>
                </w14:textFill>
              </w:rPr>
            </w:pPr>
          </w:p>
        </w:tc>
        <w:tc>
          <w:tcPr>
            <w:tcW w:w="306" w:type="pct"/>
            <w:tcBorders>
              <w:top w:val="nil"/>
              <w:left w:val="single" w:color="auto" w:sz="4" w:space="0"/>
              <w:bottom w:val="single" w:color="auto" w:sz="4" w:space="0"/>
              <w:right w:val="single" w:color="auto" w:sz="4" w:space="0"/>
            </w:tcBorders>
            <w:shd w:val="clear" w:color="auto" w:fill="auto"/>
            <w:vAlign w:val="center"/>
          </w:tcPr>
          <w:p w14:paraId="48CD0554">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18</w:t>
            </w:r>
          </w:p>
        </w:tc>
        <w:tc>
          <w:tcPr>
            <w:tcW w:w="519" w:type="pct"/>
            <w:tcBorders>
              <w:top w:val="nil"/>
              <w:left w:val="single" w:color="auto" w:sz="4" w:space="0"/>
              <w:bottom w:val="single" w:color="auto" w:sz="4" w:space="0"/>
              <w:right w:val="single" w:color="auto" w:sz="4" w:space="0"/>
            </w:tcBorders>
            <w:shd w:val="clear" w:color="auto" w:fill="auto"/>
            <w:vAlign w:val="center"/>
          </w:tcPr>
          <w:p w14:paraId="7C524B2B">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拟投入项目组其他人员</w:t>
            </w:r>
          </w:p>
        </w:tc>
        <w:tc>
          <w:tcPr>
            <w:tcW w:w="2855" w:type="pct"/>
            <w:tcBorders>
              <w:top w:val="single" w:color="auto" w:sz="4" w:space="0"/>
              <w:left w:val="nil"/>
              <w:bottom w:val="single" w:color="auto" w:sz="4" w:space="0"/>
              <w:right w:val="single" w:color="auto" w:sz="4" w:space="0"/>
            </w:tcBorders>
            <w:shd w:val="clear" w:color="auto" w:fill="auto"/>
            <w:vAlign w:val="center"/>
          </w:tcPr>
          <w:p w14:paraId="7C1AA0C9">
            <w:pPr>
              <w:widowControl/>
              <w:adjustRightInd/>
              <w:jc w:val="left"/>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拟投入本项目组其他人员（不含项目负责人）：</w:t>
            </w:r>
          </w:p>
          <w:p w14:paraId="24973C14">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拟投入项目组人员具有教授级高级（正高级）职称（城乡规划）及注册城乡规划师证书的每人得2分；具备高级工程师职称（城乡规划）及注册城乡规划师证书的每人得1分；具备中级职称（城乡规划）及注册城乡规划师证书的每人得0.5分。（0-2分）</w:t>
            </w:r>
          </w:p>
          <w:p w14:paraId="58E884E2">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（2）拟投入本项目组人员具有教授级高级（正高级）工程师职称（风景园林）的每人得2分；具备高级工程师职称（风景园林）的每人得1分；具备中级职称（风景园林）的每人得0.5分。（0-2分）</w:t>
            </w:r>
          </w:p>
          <w:p w14:paraId="6B3EC617">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（3）拟投入本项目组人员具有教授级高级（正高级）工程师职称（建筑）的每人得2分；具备高级工程师职称（建筑）的每人得1分；具备中级职称（建筑）的每人得0.5分。（0-2分）</w:t>
            </w:r>
          </w:p>
          <w:p w14:paraId="62424116">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（4）拟投入本项目组人员具有教授级高级（正高级）工程师职称（市政道路）的每人得2分；具备高级工程师职称（市政道路）的每人得1分；具备中级职称（市政道路）的每人得0.5分。（0-2分）</w:t>
            </w:r>
          </w:p>
          <w:p w14:paraId="22C7D604">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（同一人员有不同专业证书的不重复计算得分。须提供相关证书扫描件及近三个月内任意一个月社保缴费证明复印件并加盖公章。）</w:t>
            </w:r>
          </w:p>
        </w:tc>
        <w:tc>
          <w:tcPr>
            <w:tcW w:w="507" w:type="pct"/>
            <w:tcBorders>
              <w:top w:val="nil"/>
              <w:left w:val="single" w:color="auto" w:sz="4" w:space="0"/>
              <w:bottom w:val="single" w:color="auto" w:sz="4" w:space="0"/>
              <w:right w:val="single" w:color="auto" w:sz="4" w:space="0"/>
            </w:tcBorders>
            <w:shd w:val="clear" w:color="auto" w:fill="auto"/>
            <w:vAlign w:val="center"/>
          </w:tcPr>
          <w:p w14:paraId="676A15F1">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8分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6BD8AB1F">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客观分</w:t>
            </w:r>
          </w:p>
        </w:tc>
      </w:tr>
      <w:tr w14:paraId="35D6D4EB">
        <w:tblPrEx>
          <w:tblCellMar>
            <w:top w:w="0" w:type="dxa"/>
            <w:left w:w="108" w:type="dxa"/>
            <w:bottom w:w="0" w:type="dxa"/>
            <w:right w:w="108" w:type="dxa"/>
          </w:tblCellMar>
        </w:tblPrEx>
        <w:trPr>
          <w:trHeight w:val="2818" w:hRule="atLeast"/>
        </w:trPr>
        <w:tc>
          <w:tcPr>
            <w:tcW w:w="61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C5700E">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价格分</w:t>
            </w:r>
          </w:p>
        </w:tc>
        <w:tc>
          <w:tcPr>
            <w:tcW w:w="3374" w:type="pct"/>
            <w:gridSpan w:val="2"/>
            <w:tcBorders>
              <w:top w:val="nil"/>
              <w:left w:val="single" w:color="auto" w:sz="4" w:space="0"/>
              <w:bottom w:val="single" w:color="auto" w:sz="4" w:space="0"/>
              <w:right w:val="single" w:color="auto" w:sz="4" w:space="0"/>
            </w:tcBorders>
            <w:shd w:val="clear" w:color="auto" w:fill="auto"/>
            <w:vAlign w:val="center"/>
          </w:tcPr>
          <w:p w14:paraId="690E2675">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最低有效投标价格为评标基准价</w:t>
            </w:r>
          </w:p>
          <w:p w14:paraId="5EE63A15">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 xml:space="preserve">投标报价得分=(评标基准价／投标报价)×价格权值×100 </w:t>
            </w:r>
          </w:p>
          <w:p w14:paraId="414F20D4">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（计算得分保留小数点后2位）</w:t>
            </w:r>
          </w:p>
          <w:p w14:paraId="13AB3FC2">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评标过程中，不得去掉报价中的最高报价和最低报价。</w:t>
            </w:r>
          </w:p>
          <w:p w14:paraId="2BB9A7AE">
            <w:pPr>
              <w:widowControl/>
              <w:adjustRightInd/>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p>
        </w:tc>
        <w:tc>
          <w:tcPr>
            <w:tcW w:w="507" w:type="pct"/>
            <w:tcBorders>
              <w:top w:val="nil"/>
              <w:left w:val="single" w:color="auto" w:sz="4" w:space="0"/>
              <w:bottom w:val="single" w:color="auto" w:sz="4" w:space="0"/>
              <w:right w:val="single" w:color="auto" w:sz="4" w:space="0"/>
            </w:tcBorders>
            <w:shd w:val="clear" w:color="auto" w:fill="auto"/>
            <w:vAlign w:val="center"/>
          </w:tcPr>
          <w:p w14:paraId="0C628C84">
            <w:pPr>
              <w:widowControl/>
              <w:adjustRightInd/>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10分</w:t>
            </w:r>
          </w:p>
        </w:tc>
        <w:tc>
          <w:tcPr>
            <w:tcW w:w="504" w:type="pct"/>
            <w:tcBorders>
              <w:top w:val="nil"/>
              <w:left w:val="single" w:color="auto" w:sz="4" w:space="0"/>
              <w:bottom w:val="single" w:color="auto" w:sz="4" w:space="0"/>
              <w:right w:val="single" w:color="auto" w:sz="4" w:space="0"/>
            </w:tcBorders>
            <w:shd w:val="clear" w:color="auto" w:fill="auto"/>
            <w:vAlign w:val="center"/>
          </w:tcPr>
          <w:p w14:paraId="3BB55050">
            <w:pPr>
              <w:widowControl/>
              <w:adjustRightInd/>
              <w:ind w:firstLine="482"/>
              <w:jc w:val="center"/>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w:t>
            </w:r>
          </w:p>
        </w:tc>
      </w:tr>
    </w:tbl>
    <w:p w14:paraId="27407E9A">
      <w:pPr>
        <w:snapToGrid w:val="0"/>
        <w:spacing w:line="360" w:lineRule="auto"/>
        <w:ind w:firstLine="200" w:firstLineChars="100"/>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3362E634">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3FF64587">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16DECDE5">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70896402">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72F4DF3D">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67153BC6">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454B5607">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0F9E20F5">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71C988A2">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3131978F">
      <w:pPr>
        <w:pStyle w:val="131"/>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49DA3F7B">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639F5E79">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785F5427">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323DAB6B">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1AE627D3">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1E4BF763">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1ADF56ED">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28748C96">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6F6D6CF">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678AAB60">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14:paraId="1A32EC83">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8453077">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3877921">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6CEA2D94">
      <w:pPr>
        <w:pStyle w:val="131"/>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CF1E573">
      <w:pPr>
        <w:pStyle w:val="3"/>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513AD5B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3E7459F8">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5EDF052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60047CD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21FF4B1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560148EF">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0856FA22">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0B4AA01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14:paraId="3AD93D1E">
      <w:pPr>
        <w:spacing w:line="360" w:lineRule="auto"/>
        <w:ind w:firstLine="480" w:firstLineChars="200"/>
        <w:rPr>
          <w:color w:val="auto"/>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14:paraId="48FAF0B8">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14:paraId="14A9C99E">
      <w:pPr>
        <w:spacing w:line="360" w:lineRule="auto"/>
        <w:ind w:firstLine="480" w:firstLineChars="200"/>
        <w:rPr>
          <w:color w:val="auto"/>
          <w:highlight w:val="none"/>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52541E9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14:paraId="7AA3D7B1">
      <w:pPr>
        <w:pStyle w:val="5"/>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投标文件不满足招标文件的其它实质性要求的；</w:t>
      </w:r>
    </w:p>
    <w:p w14:paraId="6663592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14:paraId="3D4A9190">
      <w:pPr>
        <w:pStyle w:val="3"/>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037FCDD3">
      <w:pPr>
        <w:pStyle w:val="3"/>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436BE7F6">
      <w:pPr>
        <w:pStyle w:val="3"/>
        <w:snapToGrid w:val="0"/>
        <w:spacing w:line="360" w:lineRule="auto"/>
        <w:rPr>
          <w:rFonts w:cs="宋体"/>
          <w:color w:val="auto"/>
          <w:highlight w:val="none"/>
        </w:rPr>
      </w:pPr>
      <w:r>
        <w:rPr>
          <w:rFonts w:hint="eastAsia" w:cs="宋体"/>
          <w:color w:val="auto"/>
          <w:highlight w:val="none"/>
        </w:rPr>
        <w:t>5.2出现影响采购公正的违法、违规行为的；</w:t>
      </w:r>
    </w:p>
    <w:p w14:paraId="3861788E">
      <w:pPr>
        <w:pStyle w:val="3"/>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2C8A1F44">
      <w:pPr>
        <w:pStyle w:val="3"/>
        <w:snapToGrid w:val="0"/>
        <w:spacing w:line="360" w:lineRule="auto"/>
        <w:rPr>
          <w:rFonts w:cs="宋体"/>
          <w:color w:val="auto"/>
          <w:highlight w:val="none"/>
        </w:rPr>
      </w:pPr>
      <w:r>
        <w:rPr>
          <w:rFonts w:hint="eastAsia" w:cs="宋体"/>
          <w:color w:val="auto"/>
          <w:highlight w:val="none"/>
        </w:rPr>
        <w:t>5.4因重大变故，采购任务取消的。</w:t>
      </w:r>
    </w:p>
    <w:p w14:paraId="0F20D232">
      <w:pPr>
        <w:pStyle w:val="3"/>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728F5DB1">
      <w:pPr>
        <w:pStyle w:val="3"/>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4F2DA9DA">
      <w:pPr>
        <w:pStyle w:val="3"/>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62D94D34">
      <w:pPr>
        <w:pStyle w:val="3"/>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2169EE18">
      <w:pPr>
        <w:pStyle w:val="3"/>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52BC1C79">
      <w:pPr>
        <w:pStyle w:val="3"/>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0C0B7240">
      <w:pPr>
        <w:pStyle w:val="3"/>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194896E4">
      <w:pPr>
        <w:pStyle w:val="3"/>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1B06A045">
      <w:pPr>
        <w:pStyle w:val="3"/>
        <w:snapToGrid w:val="0"/>
        <w:spacing w:line="360" w:lineRule="auto"/>
        <w:ind w:firstLine="0" w:firstLineChars="0"/>
        <w:rPr>
          <w:rFonts w:cs="宋体"/>
          <w:color w:val="auto"/>
          <w:highlight w:val="none"/>
        </w:rPr>
      </w:pPr>
    </w:p>
    <w:bookmarkEnd w:id="27"/>
    <w:p w14:paraId="414513D2">
      <w:pPr>
        <w:spacing w:line="360" w:lineRule="auto"/>
        <w:ind w:left="720" w:leftChars="343" w:firstLine="1084" w:firstLineChars="300"/>
        <w:outlineLvl w:val="0"/>
        <w:rPr>
          <w:rFonts w:ascii="宋体" w:hAnsi="宋体" w:cs="宋体"/>
          <w:b/>
          <w:color w:val="auto"/>
          <w:sz w:val="36"/>
          <w:szCs w:val="36"/>
          <w:highlight w:val="none"/>
        </w:rPr>
      </w:pPr>
      <w:bookmarkStart w:id="393" w:name="第五部分"/>
      <w:bookmarkStart w:id="394" w:name="_Toc86217003"/>
    </w:p>
    <w:p w14:paraId="5F8611A8">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    </w:t>
      </w:r>
    </w:p>
    <w:p w14:paraId="3436DE59">
      <w:pPr>
        <w:spacing w:line="360" w:lineRule="auto"/>
        <w:ind w:left="720" w:leftChars="343" w:firstLine="1084" w:firstLineChars="300"/>
        <w:outlineLvl w:val="0"/>
        <w:rPr>
          <w:rFonts w:ascii="宋体" w:hAnsi="宋体" w:cs="宋体"/>
          <w:b/>
          <w:color w:val="auto"/>
          <w:sz w:val="36"/>
          <w:szCs w:val="36"/>
          <w:highlight w:val="none"/>
        </w:rPr>
      </w:pPr>
    </w:p>
    <w:p w14:paraId="6D25ECCD">
      <w:pPr>
        <w:spacing w:line="360" w:lineRule="auto"/>
        <w:ind w:left="720" w:leftChars="343" w:firstLine="1084" w:firstLineChars="300"/>
        <w:outlineLvl w:val="0"/>
        <w:rPr>
          <w:rFonts w:ascii="宋体" w:hAnsi="宋体" w:cs="宋体"/>
          <w:b/>
          <w:color w:val="auto"/>
          <w:sz w:val="36"/>
          <w:szCs w:val="36"/>
          <w:highlight w:val="none"/>
        </w:rPr>
      </w:pPr>
    </w:p>
    <w:p w14:paraId="2CC431D9">
      <w:pPr>
        <w:spacing w:line="360" w:lineRule="auto"/>
        <w:ind w:left="720" w:leftChars="343" w:firstLine="1084" w:firstLineChars="300"/>
        <w:outlineLvl w:val="0"/>
        <w:rPr>
          <w:rFonts w:ascii="宋体" w:hAnsi="宋体" w:cs="宋体"/>
          <w:b/>
          <w:color w:val="auto"/>
          <w:sz w:val="36"/>
          <w:szCs w:val="36"/>
          <w:highlight w:val="none"/>
        </w:rPr>
      </w:pPr>
    </w:p>
    <w:p w14:paraId="027BB869">
      <w:pPr>
        <w:spacing w:line="360" w:lineRule="auto"/>
        <w:ind w:left="720" w:leftChars="343" w:firstLine="1084" w:firstLineChars="300"/>
        <w:outlineLvl w:val="0"/>
        <w:rPr>
          <w:rFonts w:ascii="宋体" w:hAnsi="宋体" w:cs="宋体"/>
          <w:b/>
          <w:color w:val="auto"/>
          <w:sz w:val="36"/>
          <w:szCs w:val="36"/>
          <w:highlight w:val="none"/>
        </w:rPr>
      </w:pPr>
    </w:p>
    <w:p w14:paraId="6D191506">
      <w:pPr>
        <w:spacing w:line="360" w:lineRule="auto"/>
        <w:ind w:left="720" w:leftChars="343" w:firstLine="1084" w:firstLineChars="300"/>
        <w:outlineLvl w:val="0"/>
        <w:rPr>
          <w:rFonts w:ascii="宋体" w:hAnsi="宋体" w:cs="宋体"/>
          <w:b/>
          <w:color w:val="auto"/>
          <w:sz w:val="36"/>
          <w:szCs w:val="36"/>
          <w:highlight w:val="none"/>
        </w:rPr>
      </w:pPr>
    </w:p>
    <w:p w14:paraId="1100B8C1">
      <w:pPr>
        <w:widowControl/>
        <w:adjustRightInd/>
        <w:jc w:val="left"/>
        <w:rPr>
          <w:rFonts w:ascii="宋体" w:hAnsi="宋体" w:cs="宋体"/>
          <w:b/>
          <w:color w:val="auto"/>
          <w:sz w:val="36"/>
          <w:szCs w:val="36"/>
          <w:highlight w:val="none"/>
        </w:rPr>
      </w:pPr>
      <w:r>
        <w:rPr>
          <w:rFonts w:ascii="宋体" w:hAnsi="宋体" w:cs="宋体"/>
          <w:b/>
          <w:color w:val="auto"/>
          <w:sz w:val="36"/>
          <w:szCs w:val="36"/>
          <w:highlight w:val="none"/>
        </w:rPr>
        <w:br w:type="page"/>
      </w:r>
    </w:p>
    <w:p w14:paraId="3CEA968D">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3816F2F6">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14:paraId="570272BE">
      <w:pPr>
        <w:spacing w:line="480" w:lineRule="auto"/>
        <w:jc w:val="center"/>
        <w:rPr>
          <w:rFonts w:ascii="宋体" w:hAnsi="宋体" w:cs="宋体"/>
          <w:b/>
          <w:color w:val="auto"/>
          <w:sz w:val="28"/>
          <w:szCs w:val="28"/>
          <w:highlight w:val="none"/>
        </w:rPr>
      </w:pPr>
    </w:p>
    <w:p w14:paraId="4C9E886F">
      <w:pPr>
        <w:spacing w:line="480" w:lineRule="auto"/>
        <w:jc w:val="center"/>
        <w:rPr>
          <w:rFonts w:ascii="宋体" w:hAnsi="宋体" w:cs="宋体"/>
          <w:b/>
          <w:color w:val="auto"/>
          <w:sz w:val="24"/>
          <w:highlight w:val="none"/>
        </w:rPr>
      </w:pPr>
    </w:p>
    <w:p w14:paraId="6A210C03">
      <w:pPr>
        <w:spacing w:line="480" w:lineRule="auto"/>
        <w:jc w:val="center"/>
        <w:rPr>
          <w:rFonts w:ascii="宋体" w:hAnsi="宋体" w:cs="宋体"/>
          <w:b/>
          <w:color w:val="auto"/>
          <w:sz w:val="24"/>
          <w:highlight w:val="none"/>
        </w:rPr>
      </w:pPr>
    </w:p>
    <w:p w14:paraId="391DF66D">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14:paraId="511C89FD">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（服务类）</w:t>
      </w:r>
    </w:p>
    <w:p w14:paraId="4419379D">
      <w:pPr>
        <w:pStyle w:val="702"/>
        <w:ind w:firstLine="2843" w:firstLineChars="1180"/>
        <w:rPr>
          <w:rFonts w:ascii="宋体" w:hAnsi="宋体" w:cs="宋体"/>
          <w:b/>
          <w:color w:val="auto"/>
          <w:szCs w:val="24"/>
          <w:highlight w:val="none"/>
        </w:rPr>
      </w:pPr>
      <w:r>
        <w:rPr>
          <w:rFonts w:hint="eastAsia" w:ascii="宋体" w:hAnsi="宋体" w:cs="宋体"/>
          <w:b/>
          <w:color w:val="auto"/>
          <w:szCs w:val="24"/>
          <w:highlight w:val="none"/>
        </w:rPr>
        <w:t>第一部分 合同书</w:t>
      </w:r>
    </w:p>
    <w:p w14:paraId="111642AA">
      <w:pPr>
        <w:spacing w:before="120" w:line="22" w:lineRule="atLeast"/>
        <w:rPr>
          <w:rFonts w:ascii="宋体" w:hAnsi="宋体" w:cs="宋体"/>
          <w:color w:val="auto"/>
          <w:sz w:val="24"/>
          <w:highlight w:val="none"/>
        </w:rPr>
      </w:pPr>
    </w:p>
    <w:p w14:paraId="4EB107E0">
      <w:pPr>
        <w:pStyle w:val="5"/>
        <w:rPr>
          <w:color w:val="auto"/>
          <w:highlight w:val="none"/>
        </w:rPr>
      </w:pPr>
    </w:p>
    <w:p w14:paraId="52C5A054">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6B902B2C">
      <w:pPr>
        <w:pStyle w:val="599"/>
        <w:spacing w:before="120" w:line="22" w:lineRule="atLeast"/>
        <w:rPr>
          <w:rFonts w:ascii="宋体" w:hAnsi="宋体" w:eastAsia="宋体" w:cs="宋体"/>
          <w:color w:val="auto"/>
          <w:szCs w:val="24"/>
          <w:highlight w:val="none"/>
        </w:rPr>
      </w:pPr>
    </w:p>
    <w:p w14:paraId="5912128F">
      <w:pPr>
        <w:pStyle w:val="599"/>
        <w:spacing w:before="120" w:line="22" w:lineRule="atLeast"/>
        <w:rPr>
          <w:rFonts w:ascii="宋体" w:hAnsi="宋体" w:eastAsia="宋体" w:cs="宋体"/>
          <w:color w:val="auto"/>
          <w:szCs w:val="24"/>
          <w:highlight w:val="none"/>
        </w:rPr>
      </w:pPr>
    </w:p>
    <w:p w14:paraId="5FE0C9E3">
      <w:pPr>
        <w:rPr>
          <w:rFonts w:ascii="宋体" w:hAnsi="宋体" w:cs="宋体"/>
          <w:color w:val="auto"/>
          <w:sz w:val="24"/>
          <w:highlight w:val="none"/>
        </w:rPr>
      </w:pPr>
    </w:p>
    <w:p w14:paraId="47A9008A">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14:paraId="0D3D1846">
      <w:pPr>
        <w:spacing w:before="120" w:line="22" w:lineRule="atLeast"/>
        <w:rPr>
          <w:rFonts w:ascii="宋体" w:hAnsi="宋体" w:cs="宋体"/>
          <w:color w:val="auto"/>
          <w:sz w:val="24"/>
          <w:highlight w:val="none"/>
        </w:rPr>
      </w:pPr>
    </w:p>
    <w:p w14:paraId="4F902F54">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14:paraId="15CA71C9">
      <w:pPr>
        <w:spacing w:before="120" w:line="22" w:lineRule="atLeast"/>
        <w:rPr>
          <w:rFonts w:ascii="宋体" w:hAnsi="宋体" w:cs="宋体"/>
          <w:color w:val="auto"/>
          <w:sz w:val="24"/>
          <w:highlight w:val="none"/>
        </w:rPr>
      </w:pPr>
    </w:p>
    <w:p w14:paraId="14015310">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14:paraId="70C1208B">
      <w:pPr>
        <w:spacing w:before="120" w:line="22" w:lineRule="atLeast"/>
        <w:rPr>
          <w:rFonts w:ascii="宋体" w:hAnsi="宋体" w:cs="宋体"/>
          <w:color w:val="auto"/>
          <w:sz w:val="24"/>
          <w:highlight w:val="none"/>
        </w:rPr>
      </w:pPr>
    </w:p>
    <w:p w14:paraId="3A8D1F64">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63FDA7BA">
      <w:pPr>
        <w:widowControl/>
        <w:jc w:val="left"/>
        <w:rPr>
          <w:rFonts w:ascii="宋体" w:hAnsi="宋体" w:cs="宋体"/>
          <w:color w:val="auto"/>
          <w:kern w:val="0"/>
          <w:sz w:val="24"/>
          <w:highlight w:val="none"/>
        </w:rPr>
        <w:sectPr>
          <w:pgSz w:w="11907" w:h="16840"/>
          <w:pgMar w:top="1474" w:right="1814" w:bottom="1474" w:left="1814" w:header="851" w:footer="851" w:gutter="0"/>
          <w:cols w:space="720" w:num="1"/>
        </w:sectPr>
      </w:pPr>
    </w:p>
    <w:p w14:paraId="719C4F9E">
      <w:pPr>
        <w:rPr>
          <w:rFonts w:ascii="宋体" w:hAnsi="宋体" w:cs="宋体"/>
          <w:b/>
          <w:color w:val="auto"/>
          <w:sz w:val="24"/>
          <w:highlight w:val="none"/>
        </w:rPr>
      </w:pPr>
    </w:p>
    <w:p w14:paraId="405B9D13">
      <w:pPr>
        <w:spacing w:line="560" w:lineRule="exact"/>
        <w:ind w:firstLine="480" w:firstLineChars="200"/>
        <w:rPr>
          <w:rFonts w:ascii="宋体" w:hAnsi="宋体"/>
          <w:color w:val="auto"/>
          <w:sz w:val="24"/>
          <w:highlight w:val="none"/>
        </w:rPr>
      </w:pPr>
      <w:r>
        <w:rPr>
          <w:rFonts w:ascii="宋体" w:hAnsi="宋体"/>
          <w:color w:val="auto"/>
          <w:sz w:val="24"/>
          <w:highlight w:val="none"/>
          <w:u w:val="single"/>
          <w:lang w:val="zh-CN"/>
        </w:rPr>
        <w:t xml:space="preserve">        </w:t>
      </w:r>
      <w:r>
        <w:rPr>
          <w:rFonts w:hint="eastAsia" w:ascii="宋体" w:hAnsi="宋体"/>
          <w:color w:val="auto"/>
          <w:sz w:val="24"/>
          <w:highlight w:val="none"/>
          <w:lang w:val="zh-CN"/>
        </w:rPr>
        <w:t>年</w:t>
      </w:r>
      <w:r>
        <w:rPr>
          <w:rFonts w:ascii="宋体" w:hAnsi="宋体"/>
          <w:color w:val="auto"/>
          <w:sz w:val="24"/>
          <w:highlight w:val="none"/>
          <w:u w:val="single"/>
          <w:lang w:val="zh-CN"/>
        </w:rPr>
        <w:t xml:space="preserve">    </w:t>
      </w:r>
      <w:r>
        <w:rPr>
          <w:rFonts w:hint="eastAsia" w:ascii="宋体" w:hAnsi="宋体"/>
          <w:color w:val="auto"/>
          <w:sz w:val="24"/>
          <w:highlight w:val="none"/>
          <w:lang w:val="zh-CN"/>
        </w:rPr>
        <w:t>月</w:t>
      </w:r>
      <w:r>
        <w:rPr>
          <w:rFonts w:ascii="宋体" w:hAnsi="宋体"/>
          <w:color w:val="auto"/>
          <w:sz w:val="24"/>
          <w:highlight w:val="none"/>
          <w:u w:val="single"/>
          <w:lang w:val="zh-CN"/>
        </w:rPr>
        <w:t xml:space="preserve">    </w:t>
      </w:r>
      <w:r>
        <w:rPr>
          <w:rFonts w:hint="eastAsia" w:ascii="宋体" w:hAnsi="宋体"/>
          <w:color w:val="auto"/>
          <w:sz w:val="24"/>
          <w:highlight w:val="none"/>
          <w:lang w:val="zh-CN"/>
        </w:rPr>
        <w:t>日</w:t>
      </w:r>
      <w:r>
        <w:rPr>
          <w:rFonts w:hint="eastAsia" w:ascii="宋体" w:hAnsi="宋体"/>
          <w:color w:val="auto"/>
          <w:sz w:val="24"/>
          <w:highlight w:val="none"/>
        </w:rPr>
        <w:t>，</w:t>
      </w:r>
      <w:r>
        <w:rPr>
          <w:rFonts w:ascii="宋体" w:hAnsi="宋体"/>
          <w:color w:val="auto"/>
          <w:sz w:val="24"/>
          <w:highlight w:val="none"/>
          <w:u w:val="single"/>
        </w:rPr>
        <w:t xml:space="preserve">   </w:t>
      </w:r>
      <w:r>
        <w:rPr>
          <w:rFonts w:hint="eastAsia" w:ascii="宋体" w:hAnsi="宋体" w:cs="宋体"/>
          <w:color w:val="auto"/>
          <w:sz w:val="24"/>
          <w:highlight w:val="none"/>
          <w:u w:val="single"/>
          <w:lang w:eastAsia="zh-CN"/>
        </w:rPr>
        <w:t>杭州市临平区人民政府崇贤街道办事处</w:t>
      </w:r>
      <w:r>
        <w:rPr>
          <w:rFonts w:ascii="宋体" w:hAnsi="宋体"/>
          <w:color w:val="auto"/>
          <w:sz w:val="24"/>
          <w:highlight w:val="none"/>
          <w:u w:val="single"/>
        </w:rPr>
        <w:t xml:space="preserve">   </w:t>
      </w:r>
      <w:r>
        <w:rPr>
          <w:rFonts w:hint="eastAsia" w:ascii="宋体" w:hAnsi="宋体"/>
          <w:color w:val="auto"/>
          <w:sz w:val="24"/>
          <w:highlight w:val="none"/>
        </w:rPr>
        <w:t>以</w:t>
      </w:r>
      <w:r>
        <w:rPr>
          <w:rFonts w:ascii="宋体" w:hAnsi="宋体"/>
          <w:color w:val="auto"/>
          <w:sz w:val="24"/>
          <w:highlight w:val="none"/>
          <w:u w:val="single"/>
        </w:rPr>
        <w:t xml:space="preserve">   （政府采购方式）  </w:t>
      </w:r>
      <w:r>
        <w:rPr>
          <w:rFonts w:hint="eastAsia" w:ascii="宋体" w:hAnsi="宋体"/>
          <w:color w:val="auto"/>
          <w:sz w:val="24"/>
          <w:highlight w:val="none"/>
        </w:rPr>
        <w:t>对</w:t>
      </w:r>
      <w:r>
        <w:rPr>
          <w:rFonts w:ascii="宋体" w:hAnsi="宋体"/>
          <w:color w:val="auto"/>
          <w:sz w:val="24"/>
          <w:highlight w:val="none"/>
          <w:u w:val="single"/>
        </w:rPr>
        <w:t xml:space="preserve">  </w:t>
      </w:r>
      <w:r>
        <w:rPr>
          <w:rFonts w:hint="eastAsia" w:ascii="宋体" w:hAnsi="宋体" w:cs="宋体"/>
          <w:color w:val="auto"/>
          <w:sz w:val="24"/>
          <w:highlight w:val="none"/>
          <w:u w:val="single"/>
          <w:lang w:eastAsia="zh-CN"/>
        </w:rPr>
        <w:t>“杭北门户·未来贤城”城市新区风貌区建设方案编制和综合评估咨询服务项目</w:t>
      </w:r>
      <w:r>
        <w:rPr>
          <w:rFonts w:hint="eastAsia" w:ascii="宋体" w:hAnsi="宋体" w:cs="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项目进行了采购。经</w:t>
      </w:r>
      <w:r>
        <w:rPr>
          <w:rFonts w:ascii="宋体" w:hAnsi="宋体"/>
          <w:color w:val="auto"/>
          <w:sz w:val="24"/>
          <w:highlight w:val="none"/>
          <w:u w:val="single"/>
        </w:rPr>
        <w:t xml:space="preserve">   （相关评定主体名称）   </w:t>
      </w:r>
      <w:r>
        <w:rPr>
          <w:rFonts w:hint="eastAsia" w:ascii="宋体" w:hAnsi="宋体"/>
          <w:color w:val="auto"/>
          <w:sz w:val="24"/>
          <w:highlight w:val="none"/>
        </w:rPr>
        <w:t>评定，</w:t>
      </w:r>
      <w:r>
        <w:rPr>
          <w:rFonts w:ascii="宋体" w:hAnsi="宋体"/>
          <w:color w:val="auto"/>
          <w:sz w:val="24"/>
          <w:highlight w:val="none"/>
          <w:u w:val="single"/>
        </w:rPr>
        <w:t xml:space="preserve">   （中标</w:t>
      </w:r>
      <w:r>
        <w:rPr>
          <w:rFonts w:hint="eastAsia" w:ascii="宋体" w:hAnsi="宋体"/>
          <w:color w:val="auto"/>
          <w:sz w:val="24"/>
          <w:highlight w:val="none"/>
          <w:u w:val="single"/>
        </w:rPr>
        <w:t>或者成交</w:t>
      </w:r>
      <w:r>
        <w:rPr>
          <w:rFonts w:ascii="宋体" w:hAnsi="宋体"/>
          <w:color w:val="auto"/>
          <w:sz w:val="24"/>
          <w:highlight w:val="none"/>
          <w:u w:val="single"/>
        </w:rPr>
        <w:t xml:space="preserve">供应商名称） </w:t>
      </w:r>
      <w:r>
        <w:rPr>
          <w:rFonts w:hint="eastAsia" w:ascii="宋体" w:hAnsi="宋体"/>
          <w:color w:val="auto"/>
          <w:sz w:val="24"/>
          <w:highlight w:val="none"/>
        </w:rPr>
        <w:t>为该项目</w:t>
      </w:r>
      <w:r>
        <w:rPr>
          <w:rFonts w:hint="eastAsia" w:ascii="宋体" w:hAnsi="宋体" w:cs="宋体"/>
          <w:color w:val="auto"/>
          <w:sz w:val="24"/>
          <w:highlight w:val="none"/>
        </w:rPr>
        <w:t>中标或者成交供应商</w:t>
      </w:r>
      <w:r>
        <w:rPr>
          <w:rFonts w:hint="eastAsia" w:ascii="宋体" w:hAnsi="宋体"/>
          <w:color w:val="auto"/>
          <w:sz w:val="24"/>
          <w:highlight w:val="none"/>
        </w:rPr>
        <w:t>。现于</w:t>
      </w:r>
      <w:r>
        <w:rPr>
          <w:rFonts w:hint="eastAsia" w:ascii="宋体" w:hAnsi="宋体" w:cs="宋体"/>
          <w:color w:val="auto"/>
          <w:sz w:val="24"/>
          <w:highlight w:val="none"/>
        </w:rPr>
        <w:t>中标或者成交通知书</w:t>
      </w:r>
      <w:r>
        <w:rPr>
          <w:rFonts w:hint="eastAsia" w:ascii="宋体" w:hAnsi="宋体"/>
          <w:color w:val="auto"/>
          <w:sz w:val="24"/>
          <w:highlight w:val="none"/>
        </w:rPr>
        <w:t>发出之日起10个工作日内，按照采购文件确定的事项签订本合同。</w:t>
      </w:r>
    </w:p>
    <w:p w14:paraId="1822E221">
      <w:pPr>
        <w:spacing w:line="560" w:lineRule="exact"/>
        <w:ind w:firstLine="480" w:firstLineChars="200"/>
        <w:rPr>
          <w:rFonts w:ascii="宋体" w:hAnsi="宋体"/>
          <w:color w:val="auto"/>
          <w:sz w:val="24"/>
          <w:highlight w:val="none"/>
        </w:rPr>
      </w:pPr>
      <w:r>
        <w:rPr>
          <w:rFonts w:hint="eastAsia" w:ascii="宋体" w:hAnsi="宋体"/>
          <w:color w:val="auto"/>
          <w:sz w:val="24"/>
          <w:highlight w:val="none"/>
          <w:lang w:val="zh-CN"/>
        </w:rPr>
        <w:t>根据《中华人民共和国民法典》《中华人民共和国政府采购法》等相关法律法规之规定，按照平等、自愿、公平和诚实信用的原则，经</w:t>
      </w:r>
      <w:r>
        <w:rPr>
          <w:rFonts w:ascii="宋体" w:hAnsi="宋体"/>
          <w:color w:val="auto"/>
          <w:sz w:val="24"/>
          <w:highlight w:val="none"/>
          <w:u w:val="single"/>
        </w:rPr>
        <w:t xml:space="preserve">   </w:t>
      </w:r>
      <w:r>
        <w:rPr>
          <w:rFonts w:hint="eastAsia" w:ascii="宋体" w:hAnsi="宋体"/>
          <w:color w:val="auto"/>
          <w:sz w:val="24"/>
          <w:highlight w:val="none"/>
          <w:u w:val="single"/>
          <w:lang w:eastAsia="zh-CN"/>
        </w:rPr>
        <w:t>杭州市临平区人民政府崇贤街道办事处</w:t>
      </w:r>
      <w:r>
        <w:rPr>
          <w:rFonts w:ascii="宋体" w:hAnsi="宋体"/>
          <w:color w:val="auto"/>
          <w:sz w:val="24"/>
          <w:highlight w:val="none"/>
          <w:u w:val="single"/>
        </w:rPr>
        <w:t xml:space="preserve">   </w:t>
      </w:r>
      <w:r>
        <w:rPr>
          <w:rFonts w:ascii="宋体" w:hAnsi="宋体"/>
          <w:color w:val="auto"/>
          <w:sz w:val="24"/>
          <w:highlight w:val="none"/>
          <w:lang w:val="zh-CN"/>
        </w:rPr>
        <w:t>(以下简称：甲方)和</w:t>
      </w:r>
      <w:r>
        <w:rPr>
          <w:rFonts w:ascii="宋体" w:hAnsi="宋体"/>
          <w:color w:val="auto"/>
          <w:sz w:val="24"/>
          <w:highlight w:val="none"/>
          <w:u w:val="single"/>
        </w:rPr>
        <w:t xml:space="preserve">   （中</w:t>
      </w:r>
      <w:r>
        <w:rPr>
          <w:rFonts w:hint="eastAsia" w:ascii="宋体" w:hAnsi="宋体"/>
          <w:color w:val="auto"/>
          <w:sz w:val="24"/>
          <w:highlight w:val="none"/>
          <w:u w:val="single"/>
        </w:rPr>
        <w:t>或者成交</w:t>
      </w:r>
      <w:r>
        <w:rPr>
          <w:rFonts w:ascii="宋体" w:hAnsi="宋体"/>
          <w:color w:val="auto"/>
          <w:sz w:val="24"/>
          <w:highlight w:val="none"/>
          <w:u w:val="single"/>
        </w:rPr>
        <w:t xml:space="preserve">标供应商名称）   </w:t>
      </w:r>
      <w:r>
        <w:rPr>
          <w:rFonts w:ascii="宋体" w:hAnsi="宋体"/>
          <w:color w:val="auto"/>
          <w:sz w:val="24"/>
          <w:highlight w:val="none"/>
          <w:lang w:val="zh-CN"/>
        </w:rPr>
        <w:t>(以下简称：乙方)协商一致，约定以下合同</w:t>
      </w:r>
      <w:r>
        <w:rPr>
          <w:rFonts w:hint="eastAsia" w:ascii="宋体" w:hAnsi="宋体"/>
          <w:color w:val="auto"/>
          <w:sz w:val="24"/>
          <w:highlight w:val="none"/>
        </w:rPr>
        <w:t>条款，以兹共同遵守、全面履行。</w:t>
      </w:r>
    </w:p>
    <w:p w14:paraId="3B2A92E3">
      <w:pPr>
        <w:spacing w:line="560" w:lineRule="exact"/>
        <w:ind w:firstLine="482" w:firstLineChars="200"/>
        <w:outlineLvl w:val="0"/>
        <w:rPr>
          <w:rFonts w:ascii="宋体" w:hAnsi="宋体"/>
          <w:color w:val="auto"/>
          <w:sz w:val="24"/>
          <w:highlight w:val="none"/>
        </w:rPr>
      </w:pPr>
      <w:bookmarkStart w:id="395" w:name="_Toc22967"/>
      <w:bookmarkStart w:id="396" w:name="_Toc19273"/>
      <w:bookmarkStart w:id="397" w:name="_Toc15367"/>
      <w:bookmarkStart w:id="398" w:name="_Toc20421"/>
      <w:bookmarkStart w:id="399" w:name="_Toc28855"/>
      <w:r>
        <w:rPr>
          <w:rFonts w:ascii="宋体" w:hAnsi="宋体"/>
          <w:b/>
          <w:color w:val="auto"/>
          <w:sz w:val="24"/>
          <w:highlight w:val="none"/>
        </w:rPr>
        <w:t xml:space="preserve">1.1 </w:t>
      </w:r>
      <w:r>
        <w:rPr>
          <w:rFonts w:hint="eastAsia" w:ascii="宋体" w:hAnsi="宋体"/>
          <w:b/>
          <w:color w:val="auto"/>
          <w:sz w:val="24"/>
          <w:highlight w:val="none"/>
        </w:rPr>
        <w:t>合同组成部分</w:t>
      </w:r>
      <w:bookmarkEnd w:id="395"/>
      <w:bookmarkEnd w:id="396"/>
      <w:bookmarkEnd w:id="397"/>
      <w:bookmarkEnd w:id="398"/>
      <w:bookmarkEnd w:id="399"/>
    </w:p>
    <w:p w14:paraId="67759D55">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79FE5ED">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1.1.1 </w:t>
      </w:r>
      <w:r>
        <w:rPr>
          <w:rFonts w:hint="eastAsia" w:ascii="宋体" w:hAnsi="宋体"/>
          <w:color w:val="auto"/>
          <w:sz w:val="24"/>
          <w:highlight w:val="none"/>
        </w:rPr>
        <w:t>本合同及其补充合同、变更协议；</w:t>
      </w:r>
    </w:p>
    <w:p w14:paraId="2DA0E569">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1.1.2 </w:t>
      </w:r>
      <w:r>
        <w:rPr>
          <w:rFonts w:hint="eastAsia" w:ascii="宋体" w:hAnsi="宋体"/>
          <w:color w:val="auto"/>
          <w:sz w:val="24"/>
          <w:highlight w:val="none"/>
        </w:rPr>
        <w:t>中标或者成交通知书；</w:t>
      </w:r>
    </w:p>
    <w:p w14:paraId="6CE74DF2">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1.1.3 </w:t>
      </w:r>
      <w:r>
        <w:rPr>
          <w:rFonts w:hint="eastAsia" w:ascii="宋体" w:hAnsi="宋体"/>
          <w:color w:val="auto"/>
          <w:sz w:val="24"/>
          <w:highlight w:val="none"/>
        </w:rPr>
        <w:t>投标或者响应文件（含澄清或者说明文件）；</w:t>
      </w:r>
    </w:p>
    <w:p w14:paraId="0C254B5F">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1.1.4 </w:t>
      </w:r>
      <w:r>
        <w:rPr>
          <w:rFonts w:hint="eastAsia" w:ascii="宋体" w:hAnsi="宋体"/>
          <w:color w:val="auto"/>
          <w:sz w:val="24"/>
          <w:highlight w:val="none"/>
        </w:rPr>
        <w:t>采购文件（含澄清或者修改文件）；</w:t>
      </w:r>
    </w:p>
    <w:p w14:paraId="4DA2D315">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1.1.5 </w:t>
      </w:r>
      <w:r>
        <w:rPr>
          <w:rFonts w:hint="eastAsia" w:ascii="宋体" w:hAnsi="宋体"/>
          <w:color w:val="auto"/>
          <w:sz w:val="24"/>
          <w:highlight w:val="none"/>
        </w:rPr>
        <w:t>其他相关采购文件。</w:t>
      </w:r>
    </w:p>
    <w:p w14:paraId="03F2DA26">
      <w:pPr>
        <w:spacing w:line="560" w:lineRule="exact"/>
        <w:ind w:firstLine="482" w:firstLineChars="200"/>
        <w:outlineLvl w:val="0"/>
        <w:rPr>
          <w:rFonts w:ascii="宋体" w:hAnsi="宋体"/>
          <w:b/>
          <w:color w:val="auto"/>
          <w:sz w:val="24"/>
          <w:highlight w:val="none"/>
        </w:rPr>
      </w:pPr>
      <w:bookmarkStart w:id="400" w:name="_Toc6773"/>
      <w:bookmarkStart w:id="401" w:name="_Toc2918"/>
      <w:bookmarkStart w:id="402" w:name="_Toc18585"/>
      <w:bookmarkStart w:id="403" w:name="_Toc22185"/>
      <w:bookmarkStart w:id="404" w:name="_Toc6311"/>
      <w:r>
        <w:rPr>
          <w:rFonts w:ascii="宋体" w:hAnsi="宋体"/>
          <w:b/>
          <w:color w:val="auto"/>
          <w:sz w:val="24"/>
          <w:highlight w:val="none"/>
        </w:rPr>
        <w:t xml:space="preserve">1.2 </w:t>
      </w:r>
      <w:r>
        <w:rPr>
          <w:rFonts w:hint="eastAsia" w:ascii="宋体" w:hAnsi="宋体"/>
          <w:b/>
          <w:color w:val="auto"/>
          <w:sz w:val="24"/>
          <w:highlight w:val="none"/>
        </w:rPr>
        <w:t>标的</w:t>
      </w:r>
      <w:bookmarkEnd w:id="400"/>
      <w:bookmarkEnd w:id="401"/>
      <w:bookmarkEnd w:id="402"/>
      <w:bookmarkEnd w:id="403"/>
      <w:bookmarkEnd w:id="404"/>
    </w:p>
    <w:p w14:paraId="06BF8295">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 xml:space="preserve">1.2.1 </w:t>
      </w:r>
      <w:r>
        <w:rPr>
          <w:rFonts w:hint="eastAsia" w:ascii="宋体" w:hAnsi="宋体"/>
          <w:color w:val="auto"/>
          <w:sz w:val="24"/>
          <w:highlight w:val="none"/>
        </w:rPr>
        <w:t>服务内容</w:t>
      </w:r>
      <w:r>
        <w:rPr>
          <w:rFonts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rPr>
        <w:t>；</w:t>
      </w:r>
    </w:p>
    <w:p w14:paraId="7B02B5B6">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 xml:space="preserve">1.2.2 </w:t>
      </w:r>
      <w:r>
        <w:rPr>
          <w:rFonts w:hint="eastAsia" w:ascii="宋体" w:hAnsi="宋体"/>
          <w:color w:val="auto"/>
          <w:sz w:val="24"/>
          <w:highlight w:val="none"/>
        </w:rPr>
        <w:t>服务标准</w:t>
      </w:r>
      <w:r>
        <w:rPr>
          <w:rFonts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rPr>
        <w:t>；</w:t>
      </w:r>
    </w:p>
    <w:p w14:paraId="04C0E35C">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 xml:space="preserve">1.2.3 </w:t>
      </w:r>
      <w:r>
        <w:rPr>
          <w:rFonts w:hint="eastAsia" w:ascii="宋体" w:hAnsi="宋体"/>
          <w:color w:val="auto"/>
          <w:sz w:val="24"/>
          <w:highlight w:val="none"/>
        </w:rPr>
        <w:t>技术保障：</w:t>
      </w:r>
      <w:r>
        <w:rPr>
          <w:rFonts w:ascii="宋体" w:hAnsi="宋体"/>
          <w:color w:val="auto"/>
          <w:sz w:val="24"/>
          <w:highlight w:val="none"/>
          <w:u w:val="single"/>
        </w:rPr>
        <w:t xml:space="preserve">　　　　　　　　　                      　      </w:t>
      </w:r>
      <w:r>
        <w:rPr>
          <w:rFonts w:hint="eastAsia" w:ascii="宋体" w:hAnsi="宋体"/>
          <w:color w:val="auto"/>
          <w:sz w:val="24"/>
          <w:highlight w:val="none"/>
          <w:u w:val="single"/>
        </w:rPr>
        <w:t>；</w:t>
      </w:r>
    </w:p>
    <w:p w14:paraId="11D1A823">
      <w:pPr>
        <w:spacing w:line="560" w:lineRule="exact"/>
        <w:ind w:firstLine="480" w:firstLineChars="200"/>
        <w:jc w:val="left"/>
        <w:rPr>
          <w:rFonts w:ascii="宋体" w:hAnsi="宋体"/>
          <w:color w:val="auto"/>
          <w:sz w:val="24"/>
          <w:highlight w:val="none"/>
        </w:rPr>
      </w:pPr>
      <w:r>
        <w:rPr>
          <w:rFonts w:hint="eastAsia" w:ascii="宋体" w:hAnsi="宋体"/>
          <w:color w:val="auto"/>
          <w:sz w:val="24"/>
          <w:highlight w:val="none"/>
        </w:rPr>
        <w:t>1.2.4 服务人员组成：</w:t>
      </w:r>
      <w:r>
        <w:rPr>
          <w:rFonts w:ascii="宋体" w:hAnsi="宋体"/>
          <w:color w:val="auto"/>
          <w:sz w:val="24"/>
          <w:highlight w:val="none"/>
          <w:u w:val="single"/>
        </w:rPr>
        <w:t xml:space="preserve">　　             　      </w:t>
      </w:r>
      <w:r>
        <w:rPr>
          <w:rFonts w:hint="eastAsia" w:ascii="宋体" w:hAnsi="宋体"/>
          <w:color w:val="auto"/>
          <w:sz w:val="24"/>
          <w:highlight w:val="none"/>
        </w:rPr>
        <w:t>；</w:t>
      </w:r>
    </w:p>
    <w:p w14:paraId="13AAC5AD">
      <w:pPr>
        <w:pStyle w:val="960"/>
        <w:spacing w:before="0" w:beforeAutospacing="0" w:after="0" w:afterAutospacing="0" w:line="360" w:lineRule="auto"/>
        <w:ind w:firstLine="480"/>
        <w:rPr>
          <w:color w:val="auto"/>
          <w:highlight w:val="none"/>
        </w:rPr>
      </w:pPr>
      <w:r>
        <w:rPr>
          <w:rFonts w:hint="eastAsia"/>
          <w:color w:val="auto"/>
          <w:highlight w:val="none"/>
        </w:rPr>
        <w:t>1.2.5合同</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否）涉及货物。若涉及货物的，则：</w:t>
      </w:r>
    </w:p>
    <w:p w14:paraId="266FDA7A">
      <w:pPr>
        <w:spacing w:line="560" w:lineRule="exact"/>
        <w:ind w:firstLine="480" w:firstLineChars="200"/>
        <w:rPr>
          <w:rFonts w:ascii="宋体" w:hAnsi="宋体" w:cs="宋体"/>
          <w:color w:val="auto"/>
          <w:sz w:val="24"/>
          <w:highlight w:val="none"/>
          <w:u w:val="single"/>
        </w:rPr>
      </w:pPr>
      <w:bookmarkStart w:id="405" w:name="_Toc21124"/>
      <w:bookmarkStart w:id="406" w:name="_Toc1386"/>
      <w:bookmarkStart w:id="407" w:name="_Toc5635"/>
      <w:bookmarkStart w:id="408" w:name="_Toc4929"/>
      <w:bookmarkStart w:id="409" w:name="_Toc13918"/>
      <w:r>
        <w:rPr>
          <w:rFonts w:hint="eastAsia" w:ascii="宋体" w:hAnsi="宋体" w:cs="宋体"/>
          <w:color w:val="auto"/>
          <w:sz w:val="24"/>
          <w:highlight w:val="none"/>
        </w:rPr>
        <w:t>1.2.5.1 货物名称、品牌、规格型号、花色：</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BD99C8C">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1.2.5.2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5AA7CDE">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1.2.5.3 货物质量：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8DF0FB4">
      <w:pPr>
        <w:spacing w:line="560" w:lineRule="exact"/>
        <w:ind w:firstLine="482" w:firstLineChars="200"/>
        <w:outlineLvl w:val="0"/>
        <w:rPr>
          <w:rFonts w:ascii="宋体" w:hAnsi="宋体"/>
          <w:b/>
          <w:color w:val="auto"/>
          <w:sz w:val="24"/>
          <w:highlight w:val="none"/>
        </w:rPr>
      </w:pPr>
      <w:r>
        <w:rPr>
          <w:rFonts w:ascii="宋体" w:hAnsi="宋体"/>
          <w:b/>
          <w:color w:val="auto"/>
          <w:sz w:val="24"/>
          <w:highlight w:val="none"/>
        </w:rPr>
        <w:t>1.3 价款</w:t>
      </w:r>
      <w:bookmarkEnd w:id="405"/>
      <w:bookmarkEnd w:id="406"/>
      <w:bookmarkEnd w:id="407"/>
      <w:bookmarkEnd w:id="408"/>
      <w:bookmarkEnd w:id="409"/>
    </w:p>
    <w:p w14:paraId="712B904F">
      <w:pPr>
        <w:spacing w:line="560" w:lineRule="exact"/>
        <w:ind w:firstLine="480" w:firstLineChars="200"/>
        <w:rPr>
          <w:rFonts w:ascii="宋体" w:hAnsi="宋体"/>
          <w:color w:val="auto"/>
          <w:sz w:val="24"/>
          <w:highlight w:val="none"/>
        </w:rPr>
      </w:pPr>
      <w:r>
        <w:rPr>
          <w:rFonts w:hint="eastAsia" w:ascii="宋体" w:hAnsi="宋体" w:cs="宋体"/>
          <w:color w:val="auto"/>
          <w:sz w:val="24"/>
          <w:highlight w:val="none"/>
        </w:rPr>
        <w:t>本项目采用以下第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条款规定的计价方式计价。</w:t>
      </w:r>
    </w:p>
    <w:p w14:paraId="443F9F2C">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1.3.1总价合同，</w:t>
      </w:r>
      <w:r>
        <w:rPr>
          <w:rFonts w:ascii="宋体" w:hAnsi="宋体"/>
          <w:color w:val="auto"/>
          <w:sz w:val="24"/>
          <w:highlight w:val="none"/>
        </w:rPr>
        <w:t>本合同总价</w:t>
      </w:r>
      <w:r>
        <w:rPr>
          <w:rFonts w:hint="eastAsia" w:ascii="宋体" w:hAnsi="宋体"/>
          <w:color w:val="auto"/>
          <w:sz w:val="24"/>
          <w:highlight w:val="none"/>
        </w:rPr>
        <w:t>（含税）</w:t>
      </w:r>
      <w:r>
        <w:rPr>
          <w:rFonts w:ascii="宋体" w:hAnsi="宋体"/>
          <w:color w:val="auto"/>
          <w:sz w:val="24"/>
          <w:highlight w:val="none"/>
        </w:rPr>
        <w:t>为</w:t>
      </w:r>
      <w:r>
        <w:rPr>
          <w:rFonts w:hint="eastAsia" w:ascii="宋体" w:hAnsi="宋体"/>
          <w:color w:val="auto"/>
          <w:sz w:val="24"/>
          <w:highlight w:val="none"/>
        </w:rPr>
        <w:t>：￥</w:t>
      </w:r>
      <w:r>
        <w:rPr>
          <w:rFonts w:ascii="宋体" w:hAnsi="宋体"/>
          <w:color w:val="auto"/>
          <w:sz w:val="24"/>
          <w:highlight w:val="none"/>
          <w:u w:val="single"/>
        </w:rPr>
        <w:t xml:space="preserve">           </w:t>
      </w:r>
      <w:r>
        <w:rPr>
          <w:rFonts w:ascii="宋体" w:hAnsi="宋体"/>
          <w:color w:val="auto"/>
          <w:sz w:val="24"/>
          <w:highlight w:val="none"/>
        </w:rPr>
        <w:t>元</w:t>
      </w:r>
      <w:r>
        <w:rPr>
          <w:rFonts w:hint="eastAsia" w:ascii="宋体" w:hAnsi="宋体"/>
          <w:color w:val="auto"/>
          <w:sz w:val="24"/>
          <w:highlight w:val="none"/>
        </w:rPr>
        <w:t>（大写：</w:t>
      </w:r>
      <w:r>
        <w:rPr>
          <w:rFonts w:ascii="宋体" w:hAnsi="宋体"/>
          <w:color w:val="auto"/>
          <w:sz w:val="24"/>
          <w:highlight w:val="none"/>
          <w:u w:val="single"/>
        </w:rPr>
        <w:t xml:space="preserve">                 </w:t>
      </w:r>
      <w:r>
        <w:rPr>
          <w:rFonts w:hint="eastAsia" w:ascii="宋体" w:hAnsi="宋体"/>
          <w:color w:val="auto"/>
          <w:sz w:val="24"/>
          <w:highlight w:val="none"/>
        </w:rPr>
        <w:t>元人民币）</w:t>
      </w:r>
      <w:r>
        <w:rPr>
          <w:rFonts w:ascii="宋体" w:hAnsi="宋体"/>
          <w:color w:val="auto"/>
          <w:sz w:val="24"/>
          <w:highlight w:val="none"/>
        </w:rPr>
        <w:t>。</w:t>
      </w:r>
    </w:p>
    <w:p w14:paraId="2C903D77">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486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11A261B">
            <w:pPr>
              <w:pStyle w:val="320"/>
              <w:spacing w:line="560" w:lineRule="exact"/>
              <w:jc w:val="center"/>
              <w:rPr>
                <w:rFonts w:hAnsi="宋体"/>
                <w:color w:val="auto"/>
                <w:sz w:val="24"/>
                <w:szCs w:val="24"/>
                <w:highlight w:val="none"/>
              </w:rPr>
            </w:pPr>
            <w:r>
              <w:rPr>
                <w:rFonts w:hAnsi="宋体"/>
                <w:color w:val="auto"/>
                <w:sz w:val="24"/>
                <w:szCs w:val="24"/>
                <w:highlight w:val="none"/>
              </w:rPr>
              <w:t>序号</w:t>
            </w:r>
          </w:p>
        </w:tc>
        <w:tc>
          <w:tcPr>
            <w:tcW w:w="3402" w:type="dxa"/>
            <w:vAlign w:val="center"/>
          </w:tcPr>
          <w:p w14:paraId="45766751">
            <w:pPr>
              <w:pStyle w:val="320"/>
              <w:spacing w:line="560" w:lineRule="exact"/>
              <w:ind w:firstLine="200"/>
              <w:jc w:val="center"/>
              <w:rPr>
                <w:rFonts w:hAnsi="宋体"/>
                <w:color w:val="auto"/>
                <w:sz w:val="24"/>
                <w:szCs w:val="24"/>
                <w:highlight w:val="none"/>
              </w:rPr>
            </w:pPr>
            <w:r>
              <w:rPr>
                <w:rFonts w:hint="eastAsia" w:hAnsi="宋体"/>
                <w:color w:val="auto"/>
                <w:sz w:val="24"/>
                <w:szCs w:val="24"/>
                <w:highlight w:val="none"/>
              </w:rPr>
              <w:t>分项名称</w:t>
            </w:r>
          </w:p>
        </w:tc>
        <w:tc>
          <w:tcPr>
            <w:tcW w:w="2552" w:type="dxa"/>
            <w:vAlign w:val="center"/>
          </w:tcPr>
          <w:p w14:paraId="38665A0C">
            <w:pPr>
              <w:pStyle w:val="320"/>
              <w:spacing w:line="560" w:lineRule="exact"/>
              <w:jc w:val="center"/>
              <w:rPr>
                <w:rFonts w:hAnsi="宋体"/>
                <w:color w:val="auto"/>
                <w:sz w:val="24"/>
                <w:szCs w:val="24"/>
                <w:highlight w:val="none"/>
              </w:rPr>
            </w:pPr>
            <w:r>
              <w:rPr>
                <w:rFonts w:hAnsi="宋体"/>
                <w:color w:val="auto"/>
                <w:sz w:val="24"/>
                <w:szCs w:val="24"/>
                <w:highlight w:val="none"/>
              </w:rPr>
              <w:t>分项价格</w:t>
            </w:r>
          </w:p>
        </w:tc>
      </w:tr>
      <w:tr w14:paraId="4EBE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3FD2410">
            <w:pPr>
              <w:pStyle w:val="320"/>
              <w:spacing w:line="560" w:lineRule="exact"/>
              <w:ind w:firstLine="200"/>
              <w:jc w:val="center"/>
              <w:rPr>
                <w:rFonts w:hAnsi="宋体"/>
                <w:color w:val="auto"/>
                <w:sz w:val="24"/>
                <w:szCs w:val="24"/>
                <w:highlight w:val="none"/>
              </w:rPr>
            </w:pPr>
          </w:p>
        </w:tc>
        <w:tc>
          <w:tcPr>
            <w:tcW w:w="3402" w:type="dxa"/>
            <w:vAlign w:val="center"/>
          </w:tcPr>
          <w:p w14:paraId="66BDB431">
            <w:pPr>
              <w:pStyle w:val="320"/>
              <w:spacing w:line="560" w:lineRule="exact"/>
              <w:ind w:firstLine="200"/>
              <w:jc w:val="center"/>
              <w:rPr>
                <w:rFonts w:hAnsi="宋体"/>
                <w:color w:val="auto"/>
                <w:sz w:val="24"/>
                <w:szCs w:val="24"/>
                <w:highlight w:val="none"/>
              </w:rPr>
            </w:pPr>
          </w:p>
        </w:tc>
        <w:tc>
          <w:tcPr>
            <w:tcW w:w="2552" w:type="dxa"/>
            <w:vAlign w:val="center"/>
          </w:tcPr>
          <w:p w14:paraId="0EC443E3">
            <w:pPr>
              <w:pStyle w:val="320"/>
              <w:spacing w:line="560" w:lineRule="exact"/>
              <w:ind w:firstLine="200"/>
              <w:jc w:val="center"/>
              <w:rPr>
                <w:rFonts w:hAnsi="宋体"/>
                <w:color w:val="auto"/>
                <w:sz w:val="24"/>
                <w:szCs w:val="24"/>
                <w:highlight w:val="none"/>
              </w:rPr>
            </w:pPr>
          </w:p>
        </w:tc>
      </w:tr>
      <w:tr w14:paraId="5BB0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F8131D">
            <w:pPr>
              <w:pStyle w:val="320"/>
              <w:spacing w:line="560" w:lineRule="exact"/>
              <w:ind w:firstLine="200"/>
              <w:jc w:val="center"/>
              <w:rPr>
                <w:rFonts w:hAnsi="宋体"/>
                <w:color w:val="auto"/>
                <w:sz w:val="24"/>
                <w:szCs w:val="24"/>
                <w:highlight w:val="none"/>
              </w:rPr>
            </w:pPr>
          </w:p>
        </w:tc>
        <w:tc>
          <w:tcPr>
            <w:tcW w:w="3402" w:type="dxa"/>
            <w:vAlign w:val="center"/>
          </w:tcPr>
          <w:p w14:paraId="26CA5BD6">
            <w:pPr>
              <w:pStyle w:val="320"/>
              <w:spacing w:line="560" w:lineRule="exact"/>
              <w:ind w:firstLine="200"/>
              <w:jc w:val="center"/>
              <w:rPr>
                <w:rFonts w:hAnsi="宋体"/>
                <w:color w:val="auto"/>
                <w:sz w:val="24"/>
                <w:szCs w:val="24"/>
                <w:highlight w:val="none"/>
              </w:rPr>
            </w:pPr>
          </w:p>
        </w:tc>
        <w:tc>
          <w:tcPr>
            <w:tcW w:w="2552" w:type="dxa"/>
            <w:vAlign w:val="center"/>
          </w:tcPr>
          <w:p w14:paraId="0258EB1E">
            <w:pPr>
              <w:pStyle w:val="320"/>
              <w:spacing w:line="560" w:lineRule="exact"/>
              <w:ind w:firstLine="200"/>
              <w:jc w:val="center"/>
              <w:rPr>
                <w:rFonts w:hAnsi="宋体"/>
                <w:color w:val="auto"/>
                <w:sz w:val="24"/>
                <w:szCs w:val="24"/>
                <w:highlight w:val="none"/>
              </w:rPr>
            </w:pPr>
          </w:p>
        </w:tc>
      </w:tr>
      <w:tr w14:paraId="1EF1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E146FB5">
            <w:pPr>
              <w:pStyle w:val="320"/>
              <w:spacing w:line="560" w:lineRule="exact"/>
              <w:ind w:firstLine="200"/>
              <w:jc w:val="center"/>
              <w:rPr>
                <w:rFonts w:hAnsi="宋体"/>
                <w:color w:val="auto"/>
                <w:sz w:val="24"/>
                <w:szCs w:val="24"/>
                <w:highlight w:val="none"/>
              </w:rPr>
            </w:pPr>
          </w:p>
        </w:tc>
        <w:tc>
          <w:tcPr>
            <w:tcW w:w="3402" w:type="dxa"/>
            <w:vAlign w:val="center"/>
          </w:tcPr>
          <w:p w14:paraId="637D5711">
            <w:pPr>
              <w:pStyle w:val="320"/>
              <w:spacing w:line="560" w:lineRule="exact"/>
              <w:ind w:firstLine="200"/>
              <w:jc w:val="center"/>
              <w:rPr>
                <w:rFonts w:hAnsi="宋体"/>
                <w:color w:val="auto"/>
                <w:sz w:val="24"/>
                <w:szCs w:val="24"/>
                <w:highlight w:val="none"/>
              </w:rPr>
            </w:pPr>
          </w:p>
        </w:tc>
        <w:tc>
          <w:tcPr>
            <w:tcW w:w="2552" w:type="dxa"/>
            <w:vAlign w:val="center"/>
          </w:tcPr>
          <w:p w14:paraId="42D0E712">
            <w:pPr>
              <w:pStyle w:val="320"/>
              <w:spacing w:line="560" w:lineRule="exact"/>
              <w:ind w:firstLine="200"/>
              <w:jc w:val="center"/>
              <w:rPr>
                <w:rFonts w:hAnsi="宋体"/>
                <w:color w:val="auto"/>
                <w:sz w:val="24"/>
                <w:szCs w:val="24"/>
                <w:highlight w:val="none"/>
              </w:rPr>
            </w:pPr>
          </w:p>
        </w:tc>
      </w:tr>
      <w:tr w14:paraId="4FCD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D093970">
            <w:pPr>
              <w:pStyle w:val="320"/>
              <w:spacing w:line="560" w:lineRule="exact"/>
              <w:ind w:firstLine="200"/>
              <w:jc w:val="center"/>
              <w:rPr>
                <w:rFonts w:hAnsi="宋体"/>
                <w:color w:val="auto"/>
                <w:sz w:val="24"/>
                <w:szCs w:val="24"/>
                <w:highlight w:val="none"/>
              </w:rPr>
            </w:pPr>
          </w:p>
        </w:tc>
        <w:tc>
          <w:tcPr>
            <w:tcW w:w="3402" w:type="dxa"/>
            <w:vAlign w:val="center"/>
          </w:tcPr>
          <w:p w14:paraId="14D192BB">
            <w:pPr>
              <w:pStyle w:val="320"/>
              <w:spacing w:line="560" w:lineRule="exact"/>
              <w:ind w:firstLine="200"/>
              <w:jc w:val="center"/>
              <w:rPr>
                <w:rFonts w:hAnsi="宋体"/>
                <w:color w:val="auto"/>
                <w:sz w:val="24"/>
                <w:szCs w:val="24"/>
                <w:highlight w:val="none"/>
              </w:rPr>
            </w:pPr>
          </w:p>
        </w:tc>
        <w:tc>
          <w:tcPr>
            <w:tcW w:w="2552" w:type="dxa"/>
            <w:vAlign w:val="center"/>
          </w:tcPr>
          <w:p w14:paraId="0E5769EB">
            <w:pPr>
              <w:pStyle w:val="320"/>
              <w:spacing w:line="560" w:lineRule="exact"/>
              <w:ind w:firstLine="200"/>
              <w:jc w:val="center"/>
              <w:rPr>
                <w:rFonts w:hAnsi="宋体"/>
                <w:color w:val="auto"/>
                <w:sz w:val="24"/>
                <w:szCs w:val="24"/>
                <w:highlight w:val="none"/>
              </w:rPr>
            </w:pPr>
          </w:p>
        </w:tc>
      </w:tr>
      <w:tr w14:paraId="1D61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94A6241">
            <w:pPr>
              <w:pStyle w:val="320"/>
              <w:spacing w:line="560" w:lineRule="exact"/>
              <w:ind w:firstLine="200"/>
              <w:jc w:val="center"/>
              <w:rPr>
                <w:rFonts w:hAnsi="宋体"/>
                <w:color w:val="auto"/>
                <w:sz w:val="24"/>
                <w:szCs w:val="24"/>
                <w:highlight w:val="none"/>
              </w:rPr>
            </w:pPr>
            <w:r>
              <w:rPr>
                <w:rFonts w:hint="eastAsia" w:hAnsi="宋体"/>
                <w:color w:val="auto"/>
                <w:sz w:val="24"/>
                <w:szCs w:val="24"/>
                <w:highlight w:val="none"/>
              </w:rPr>
              <w:t>总价</w:t>
            </w:r>
          </w:p>
        </w:tc>
        <w:tc>
          <w:tcPr>
            <w:tcW w:w="2552" w:type="dxa"/>
            <w:vAlign w:val="center"/>
          </w:tcPr>
          <w:p w14:paraId="355220FD">
            <w:pPr>
              <w:pStyle w:val="320"/>
              <w:spacing w:line="560" w:lineRule="exact"/>
              <w:ind w:firstLine="200"/>
              <w:jc w:val="center"/>
              <w:rPr>
                <w:rFonts w:hAnsi="宋体"/>
                <w:color w:val="auto"/>
                <w:sz w:val="24"/>
                <w:szCs w:val="24"/>
                <w:highlight w:val="none"/>
              </w:rPr>
            </w:pPr>
          </w:p>
        </w:tc>
      </w:tr>
    </w:tbl>
    <w:p w14:paraId="0A8B29F3">
      <w:pPr>
        <w:spacing w:line="560" w:lineRule="exact"/>
        <w:ind w:firstLine="480" w:firstLineChars="200"/>
        <w:rPr>
          <w:rFonts w:ascii="宋体" w:hAnsi="宋体"/>
          <w:color w:val="auto"/>
          <w:sz w:val="24"/>
          <w:highlight w:val="none"/>
        </w:rPr>
      </w:pPr>
      <w:bookmarkStart w:id="410" w:name="_Toc26916"/>
      <w:bookmarkStart w:id="411" w:name="_Toc30506"/>
      <w:bookmarkStart w:id="412" w:name="_Toc14993"/>
      <w:bookmarkStart w:id="413" w:name="_Toc3654"/>
      <w:bookmarkStart w:id="414" w:name="_Toc30158"/>
      <w:r>
        <w:rPr>
          <w:rFonts w:hint="eastAsia" w:ascii="宋体" w:hAnsi="宋体"/>
          <w:bCs/>
          <w:color w:val="auto"/>
          <w:sz w:val="24"/>
          <w:highlight w:val="none"/>
        </w:rPr>
        <w:t>1.3.2单价合同，本合同单价（含税）标准为：</w:t>
      </w:r>
      <w:r>
        <w:rPr>
          <w:rFonts w:hint="eastAsia" w:ascii="宋体" w:hAnsi="宋体"/>
          <w:bCs/>
          <w:color w:val="auto"/>
          <w:sz w:val="24"/>
          <w:highlight w:val="none"/>
          <w:u w:val="single"/>
        </w:rPr>
        <w:t xml:space="preserve">                   </w:t>
      </w:r>
      <w:r>
        <w:rPr>
          <w:rFonts w:ascii="宋体" w:hAnsi="宋体"/>
          <w:color w:val="auto"/>
          <w:sz w:val="24"/>
          <w:highlight w:val="none"/>
        </w:rPr>
        <w:t>。</w:t>
      </w:r>
      <w:r>
        <w:rPr>
          <w:rFonts w:hint="eastAsia" w:ascii="宋体" w:hAnsi="宋体"/>
          <w:color w:val="auto"/>
          <w:sz w:val="24"/>
          <w:highlight w:val="none"/>
        </w:rPr>
        <w:t>服务工作量的计量方式为：</w:t>
      </w:r>
      <w:r>
        <w:rPr>
          <w:rFonts w:hint="eastAsia" w:ascii="宋体" w:hAnsi="宋体"/>
          <w:bCs/>
          <w:color w:val="auto"/>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bCs/>
          <w:color w:val="auto"/>
          <w:sz w:val="24"/>
          <w:highlight w:val="none"/>
          <w:u w:val="single"/>
        </w:rPr>
        <w:t xml:space="preserve">     </w:t>
      </w:r>
      <w:r>
        <w:rPr>
          <w:rFonts w:ascii="宋体" w:hAnsi="宋体"/>
          <w:color w:val="auto"/>
          <w:sz w:val="24"/>
          <w:highlight w:val="none"/>
        </w:rPr>
        <w:t>。</w:t>
      </w:r>
      <w:r>
        <w:rPr>
          <w:rFonts w:hint="eastAsia" w:ascii="宋体" w:hAnsi="宋体"/>
          <w:color w:val="auto"/>
          <w:sz w:val="24"/>
          <w:highlight w:val="none"/>
        </w:rPr>
        <w:t>单价合同，在合同履行期间内，根据实际完成的工作量据实结算，但结算总价上限不得超过预算金额或者双方确定的金额￥</w:t>
      </w:r>
      <w:r>
        <w:rPr>
          <w:rFonts w:ascii="宋体" w:hAnsi="宋体"/>
          <w:color w:val="auto"/>
          <w:sz w:val="24"/>
          <w:highlight w:val="none"/>
          <w:u w:val="single"/>
        </w:rPr>
        <w:t xml:space="preserve">           </w:t>
      </w:r>
      <w:r>
        <w:rPr>
          <w:rFonts w:ascii="宋体" w:hAnsi="宋体"/>
          <w:color w:val="auto"/>
          <w:sz w:val="24"/>
          <w:highlight w:val="none"/>
        </w:rPr>
        <w:t>元</w:t>
      </w:r>
      <w:r>
        <w:rPr>
          <w:rFonts w:hint="eastAsia" w:ascii="宋体" w:hAnsi="宋体"/>
          <w:color w:val="auto"/>
          <w:sz w:val="24"/>
          <w:highlight w:val="none"/>
        </w:rPr>
        <w:t>（大写：</w:t>
      </w:r>
      <w:r>
        <w:rPr>
          <w:rFonts w:ascii="宋体" w:hAnsi="宋体"/>
          <w:color w:val="auto"/>
          <w:sz w:val="24"/>
          <w:highlight w:val="none"/>
          <w:u w:val="single"/>
        </w:rPr>
        <w:t xml:space="preserve">                 </w:t>
      </w:r>
      <w:r>
        <w:rPr>
          <w:rFonts w:hint="eastAsia" w:ascii="宋体" w:hAnsi="宋体"/>
          <w:color w:val="auto"/>
          <w:sz w:val="24"/>
          <w:highlight w:val="none"/>
        </w:rPr>
        <w:t>元人民币）。</w:t>
      </w:r>
    </w:p>
    <w:p w14:paraId="2BFFF984">
      <w:pPr>
        <w:pStyle w:val="5"/>
        <w:rPr>
          <w:color w:val="auto"/>
          <w:highlight w:val="none"/>
          <w:lang w:val="en-US"/>
        </w:rPr>
      </w:pPr>
      <w:r>
        <w:rPr>
          <w:rFonts w:hint="eastAsia" w:ascii="宋体" w:hAnsi="宋体"/>
          <w:color w:val="auto"/>
          <w:sz w:val="24"/>
          <w:highlight w:val="none"/>
          <w:lang w:val="en-US"/>
        </w:rPr>
        <w:t xml:space="preserve">    </w:t>
      </w:r>
      <w:r>
        <w:rPr>
          <w:rFonts w:hint="eastAsia" w:ascii="宋体" w:hAnsi="宋体" w:eastAsia="宋体" w:cs="宋体"/>
          <w:b w:val="0"/>
          <w:bCs w:val="0"/>
          <w:color w:val="auto"/>
          <w:sz w:val="24"/>
          <w:highlight w:val="none"/>
          <w:lang w:val="en-US"/>
        </w:rPr>
        <w:t>1.3.3其他计价方式：</w:t>
      </w:r>
      <w:r>
        <w:rPr>
          <w:rFonts w:hint="eastAsia" w:ascii="宋体" w:hAnsi="宋体" w:eastAsia="宋体" w:cs="宋体"/>
          <w:b w:val="0"/>
          <w:bCs w:val="0"/>
          <w:color w:val="auto"/>
          <w:sz w:val="24"/>
          <w:highlight w:val="none"/>
          <w:u w:val="single"/>
          <w:lang w:val="en-US"/>
        </w:rPr>
        <w:t xml:space="preserve">                   </w:t>
      </w:r>
      <w:r>
        <w:rPr>
          <w:rFonts w:hint="eastAsia" w:ascii="宋体" w:hAnsi="宋体" w:eastAsia="宋体" w:cs="宋体"/>
          <w:b w:val="0"/>
          <w:bCs w:val="0"/>
          <w:color w:val="auto"/>
          <w:sz w:val="24"/>
          <w:highlight w:val="none"/>
        </w:rPr>
        <w:t>。</w:t>
      </w:r>
    </w:p>
    <w:bookmarkEnd w:id="410"/>
    <w:bookmarkEnd w:id="411"/>
    <w:bookmarkEnd w:id="412"/>
    <w:bookmarkEnd w:id="413"/>
    <w:bookmarkEnd w:id="414"/>
    <w:p w14:paraId="2F5CCC91">
      <w:pPr>
        <w:pStyle w:val="960"/>
        <w:spacing w:before="0" w:beforeAutospacing="0" w:after="0" w:afterAutospacing="0" w:line="360" w:lineRule="auto"/>
        <w:ind w:firstLine="480"/>
        <w:rPr>
          <w:b/>
          <w:color w:val="auto"/>
          <w:highlight w:val="none"/>
        </w:rPr>
      </w:pPr>
      <w:bookmarkStart w:id="415" w:name="_Toc1814"/>
      <w:bookmarkStart w:id="416" w:name="_Toc10340"/>
      <w:bookmarkStart w:id="417" w:name="_Toc22618"/>
      <w:bookmarkStart w:id="418" w:name="_Toc31421"/>
      <w:bookmarkStart w:id="419" w:name="_Toc8772"/>
      <w:bookmarkStart w:id="420" w:name="_Toc11108"/>
      <w:bookmarkStart w:id="421" w:name="_Toc3625"/>
      <w:bookmarkStart w:id="422" w:name="_Toc4760"/>
      <w:r>
        <w:rPr>
          <w:rFonts w:hint="eastAsia"/>
          <w:b/>
          <w:color w:val="auto"/>
          <w:highlight w:val="none"/>
        </w:rPr>
        <w:t>1.4履约保证金</w:t>
      </w:r>
    </w:p>
    <w:p w14:paraId="74D47AFB">
      <w:pPr>
        <w:pStyle w:val="960"/>
        <w:spacing w:before="0" w:beforeAutospacing="0" w:after="0" w:afterAutospacing="0" w:line="360" w:lineRule="auto"/>
        <w:ind w:firstLine="480"/>
        <w:rPr>
          <w:color w:val="auto"/>
          <w:highlight w:val="none"/>
        </w:rPr>
      </w:pPr>
      <w:r>
        <w:rPr>
          <w:rFonts w:hint="eastAsia"/>
          <w:color w:val="auto"/>
          <w:highlight w:val="none"/>
        </w:rPr>
        <w:t>乙方</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否）需要支付履约保证金。若需要支付履约保证金的，则：</w:t>
      </w:r>
    </w:p>
    <w:p w14:paraId="24C58F22">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1.4.1履约保证金的比例为合同金额的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07C09E92">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1.4.2履约保证金支付方式详见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11554AC7">
      <w:pPr>
        <w:pStyle w:val="5"/>
        <w:tabs>
          <w:tab w:val="left" w:pos="0"/>
        </w:tabs>
        <w:spacing w:line="560" w:lineRule="exact"/>
        <w:ind w:left="0" w:firstLine="480" w:firstLineChars="200"/>
        <w:rPr>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854E4FE">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1.4.4甲方在项目验收结束后及时退还履约保证金。甲方在项目通过验收之日起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rPr>
        <w:t xml:space="preserve">  0.05（可根据情况修改）  </w:t>
      </w:r>
      <w:r>
        <w:rPr>
          <w:rFonts w:hint="eastAsia" w:ascii="宋体" w:hAnsi="宋体" w:cs="宋体"/>
          <w:color w:val="auto"/>
          <w:kern w:val="0"/>
          <w:sz w:val="24"/>
          <w:highlight w:val="none"/>
        </w:rPr>
        <w:t>%计算，最高限额为本合同履约保证金的</w:t>
      </w:r>
      <w:r>
        <w:rPr>
          <w:rFonts w:hint="eastAsia" w:ascii="宋体" w:hAnsi="宋体" w:cs="宋体"/>
          <w:color w:val="auto"/>
          <w:kern w:val="0"/>
          <w:sz w:val="24"/>
          <w:highlight w:val="none"/>
          <w:u w:val="single"/>
        </w:rPr>
        <w:t xml:space="preserve">  20  </w:t>
      </w:r>
      <w:r>
        <w:rPr>
          <w:rFonts w:hint="eastAsia" w:ascii="宋体" w:hAnsi="宋体" w:cs="宋体"/>
          <w:color w:val="auto"/>
          <w:kern w:val="0"/>
          <w:sz w:val="24"/>
          <w:highlight w:val="none"/>
        </w:rPr>
        <w:t xml:space="preserve"> %。</w:t>
      </w:r>
    </w:p>
    <w:p w14:paraId="472C46FA">
      <w:pPr>
        <w:spacing w:line="560" w:lineRule="exact"/>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1.5</w:t>
      </w:r>
      <w:bookmarkEnd w:id="415"/>
      <w:bookmarkEnd w:id="416"/>
      <w:bookmarkEnd w:id="417"/>
      <w:r>
        <w:rPr>
          <w:rFonts w:hint="eastAsia" w:ascii="宋体" w:hAnsi="宋体" w:cs="宋体"/>
          <w:b/>
          <w:color w:val="auto"/>
          <w:sz w:val="24"/>
          <w:highlight w:val="none"/>
        </w:rPr>
        <w:t>预付款</w:t>
      </w:r>
    </w:p>
    <w:p w14:paraId="7C829B0B">
      <w:pPr>
        <w:pStyle w:val="960"/>
        <w:spacing w:before="0" w:beforeAutospacing="0" w:after="0" w:afterAutospacing="0" w:line="360" w:lineRule="auto"/>
        <w:ind w:firstLine="480"/>
        <w:rPr>
          <w:color w:val="auto"/>
          <w:highlight w:val="none"/>
        </w:rPr>
      </w:pPr>
      <w:r>
        <w:rPr>
          <w:rFonts w:hint="eastAsia"/>
          <w:color w:val="auto"/>
          <w:highlight w:val="none"/>
        </w:rPr>
        <w:t>甲方</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否）需要支付预付款。若需要支付预付款的，则：</w:t>
      </w:r>
    </w:p>
    <w:p w14:paraId="318FD5B1">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1.5.1预付款比例、支付方式、时间详见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71C02789">
      <w:pPr>
        <w:pStyle w:val="960"/>
        <w:spacing w:before="0" w:beforeAutospacing="0" w:after="0" w:afterAutospacing="0" w:line="360" w:lineRule="auto"/>
        <w:ind w:firstLine="480"/>
        <w:rPr>
          <w:color w:val="auto"/>
          <w:highlight w:val="none"/>
        </w:rPr>
      </w:pPr>
      <w:r>
        <w:rPr>
          <w:rFonts w:hint="eastAsia"/>
          <w:color w:val="auto"/>
          <w:highlight w:val="none"/>
        </w:rPr>
        <w:t>1.5.2预付款的扣回方式详见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79C41B41">
      <w:pPr>
        <w:pStyle w:val="960"/>
        <w:spacing w:before="0" w:beforeAutospacing="0" w:after="0" w:afterAutospacing="0" w:line="360" w:lineRule="auto"/>
        <w:ind w:firstLine="480"/>
        <w:rPr>
          <w:color w:val="auto"/>
          <w:highlight w:val="none"/>
          <w:u w:val="single"/>
        </w:rPr>
      </w:pPr>
      <w:r>
        <w:rPr>
          <w:rFonts w:hint="eastAsia"/>
          <w:color w:val="auto"/>
          <w:highlight w:val="none"/>
        </w:rPr>
        <w:t>1.5.3预付款的担保措施详见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0918A3AE">
      <w:pPr>
        <w:pStyle w:val="960"/>
        <w:spacing w:before="0" w:beforeAutospacing="0" w:after="0" w:afterAutospacing="0" w:line="360" w:lineRule="auto"/>
        <w:ind w:firstLine="480"/>
        <w:rPr>
          <w:b/>
          <w:bCs/>
          <w:color w:val="auto"/>
          <w:highlight w:val="none"/>
        </w:rPr>
      </w:pPr>
      <w:r>
        <w:rPr>
          <w:rFonts w:hint="eastAsia"/>
          <w:b/>
          <w:bCs/>
          <w:color w:val="auto"/>
          <w:highlight w:val="none"/>
        </w:rPr>
        <w:t>1.6资金支付</w:t>
      </w:r>
    </w:p>
    <w:p w14:paraId="48C046E0">
      <w:pPr>
        <w:pStyle w:val="960"/>
        <w:spacing w:before="0" w:beforeAutospacing="0" w:after="0" w:afterAutospacing="0" w:line="360" w:lineRule="auto"/>
        <w:ind w:firstLine="480"/>
        <w:rPr>
          <w:color w:val="auto"/>
          <w:highlight w:val="none"/>
        </w:rPr>
      </w:pPr>
      <w:r>
        <w:rPr>
          <w:rFonts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6B459AA">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1.6.2资金支付的方式、时间和条件详见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4FB13205">
      <w:pPr>
        <w:spacing w:line="560" w:lineRule="exact"/>
        <w:ind w:firstLine="482" w:firstLineChars="200"/>
        <w:outlineLvl w:val="0"/>
        <w:rPr>
          <w:rFonts w:ascii="宋体" w:hAnsi="宋体"/>
          <w:b/>
          <w:color w:val="auto"/>
          <w:sz w:val="24"/>
          <w:highlight w:val="none"/>
        </w:rPr>
      </w:pPr>
      <w:r>
        <w:rPr>
          <w:rFonts w:ascii="宋体" w:hAnsi="宋体"/>
          <w:b/>
          <w:color w:val="auto"/>
          <w:sz w:val="24"/>
          <w:highlight w:val="none"/>
        </w:rPr>
        <w:t>1.</w:t>
      </w:r>
      <w:r>
        <w:rPr>
          <w:rFonts w:hint="eastAsia" w:ascii="宋体" w:hAnsi="宋体"/>
          <w:b/>
          <w:color w:val="auto"/>
          <w:sz w:val="24"/>
          <w:highlight w:val="none"/>
        </w:rPr>
        <w:t>7</w:t>
      </w:r>
      <w:r>
        <w:rPr>
          <w:rFonts w:ascii="宋体" w:hAnsi="宋体"/>
          <w:b/>
          <w:color w:val="auto"/>
          <w:sz w:val="24"/>
          <w:highlight w:val="none"/>
        </w:rPr>
        <w:t xml:space="preserve"> 履行期限</w:t>
      </w:r>
      <w:r>
        <w:rPr>
          <w:rFonts w:hint="eastAsia" w:ascii="宋体" w:hAnsi="宋体"/>
          <w:b/>
          <w:color w:val="auto"/>
          <w:sz w:val="24"/>
          <w:highlight w:val="none"/>
        </w:rPr>
        <w:t>、地点和方式</w:t>
      </w:r>
      <w:bookmarkEnd w:id="418"/>
      <w:bookmarkEnd w:id="419"/>
      <w:bookmarkEnd w:id="420"/>
      <w:bookmarkEnd w:id="421"/>
      <w:bookmarkEnd w:id="422"/>
    </w:p>
    <w:p w14:paraId="15F44DB1">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.1 </w:t>
      </w:r>
      <w:r>
        <w:rPr>
          <w:rFonts w:hint="eastAsia" w:ascii="宋体" w:hAnsi="宋体"/>
          <w:color w:val="auto"/>
          <w:sz w:val="24"/>
          <w:highlight w:val="none"/>
        </w:rPr>
        <w:t>服务交付（实施）的时间（期限）</w:t>
      </w:r>
      <w:r>
        <w:rPr>
          <w:rFonts w:ascii="宋体" w:hAnsi="宋体"/>
          <w:color w:val="auto"/>
          <w:sz w:val="24"/>
          <w:highlight w:val="none"/>
        </w:rPr>
        <w:t>：</w:t>
      </w:r>
      <w:r>
        <w:rPr>
          <w:rFonts w:hint="eastAsia" w:ascii="宋体" w:hAnsi="宋体"/>
          <w:b/>
          <w:i/>
          <w:color w:val="auto"/>
          <w:sz w:val="24"/>
          <w:highlight w:val="none"/>
          <w:u w:val="single"/>
        </w:rPr>
        <w:t>合同专用条款</w:t>
      </w:r>
      <w:r>
        <w:rPr>
          <w:rFonts w:hint="eastAsia" w:ascii="宋体" w:hAnsi="宋体"/>
          <w:color w:val="auto"/>
          <w:sz w:val="24"/>
          <w:highlight w:val="none"/>
        </w:rPr>
        <w:t>；</w:t>
      </w:r>
    </w:p>
    <w:p w14:paraId="70ECC6B7">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.2 </w:t>
      </w:r>
      <w:r>
        <w:rPr>
          <w:rFonts w:hint="eastAsia" w:ascii="宋体" w:hAnsi="宋体"/>
          <w:color w:val="auto"/>
          <w:sz w:val="24"/>
          <w:highlight w:val="none"/>
        </w:rPr>
        <w:t>服</w:t>
      </w:r>
      <w:r>
        <w:rPr>
          <w:rFonts w:hint="eastAsia" w:ascii="宋体" w:hAnsi="宋体" w:cs="宋体"/>
          <w:color w:val="auto"/>
          <w:sz w:val="24"/>
          <w:highlight w:val="none"/>
        </w:rPr>
        <w:t>务交付（实施）的地点（地域范围）：</w:t>
      </w:r>
      <w:r>
        <w:rPr>
          <w:rFonts w:hint="eastAsia" w:ascii="宋体" w:hAnsi="宋体"/>
          <w:b/>
          <w:i/>
          <w:color w:val="auto"/>
          <w:sz w:val="24"/>
          <w:highlight w:val="none"/>
          <w:u w:val="single"/>
        </w:rPr>
        <w:t>合同专用条款</w:t>
      </w:r>
      <w:r>
        <w:rPr>
          <w:rFonts w:hint="eastAsia" w:ascii="宋体" w:hAnsi="宋体"/>
          <w:color w:val="auto"/>
          <w:sz w:val="24"/>
          <w:highlight w:val="none"/>
        </w:rPr>
        <w:t>；</w:t>
      </w:r>
    </w:p>
    <w:p w14:paraId="355123E6">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.3 </w:t>
      </w:r>
      <w:r>
        <w:rPr>
          <w:rFonts w:hint="eastAsia" w:ascii="宋体" w:hAnsi="宋体"/>
          <w:color w:val="auto"/>
          <w:sz w:val="24"/>
          <w:highlight w:val="none"/>
        </w:rPr>
        <w:t>服务交付（实施）的方式：</w:t>
      </w:r>
      <w:r>
        <w:rPr>
          <w:rFonts w:hint="eastAsia" w:ascii="宋体" w:hAnsi="宋体"/>
          <w:b/>
          <w:i/>
          <w:color w:val="auto"/>
          <w:sz w:val="24"/>
          <w:highlight w:val="none"/>
          <w:u w:val="single"/>
        </w:rPr>
        <w:t>合同专用条款</w:t>
      </w:r>
      <w:r>
        <w:rPr>
          <w:rFonts w:hint="eastAsia" w:ascii="宋体" w:hAnsi="宋体"/>
          <w:color w:val="auto"/>
          <w:sz w:val="24"/>
          <w:highlight w:val="none"/>
        </w:rPr>
        <w:t>。</w:t>
      </w:r>
    </w:p>
    <w:p w14:paraId="647271F2">
      <w:pPr>
        <w:spacing w:line="560" w:lineRule="exact"/>
        <w:ind w:firstLine="480" w:firstLineChars="200"/>
        <w:outlineLvl w:val="0"/>
        <w:rPr>
          <w:rFonts w:ascii="宋体" w:hAnsi="宋体"/>
          <w:bCs/>
          <w:color w:val="auto"/>
          <w:sz w:val="24"/>
          <w:highlight w:val="none"/>
        </w:rPr>
      </w:pPr>
      <w:bookmarkStart w:id="423" w:name="_Toc24662"/>
      <w:bookmarkStart w:id="424" w:name="_Toc3079"/>
      <w:bookmarkStart w:id="425" w:name="_Toc2375"/>
      <w:bookmarkStart w:id="426" w:name="_Toc5698"/>
      <w:bookmarkStart w:id="427" w:name="_Toc8586"/>
      <w:r>
        <w:rPr>
          <w:rFonts w:hint="eastAsia" w:ascii="宋体" w:hAnsi="宋体"/>
          <w:bCs/>
          <w:color w:val="auto"/>
          <w:sz w:val="24"/>
          <w:highlight w:val="none"/>
        </w:rPr>
        <w:t>1.7.4若服务</w:t>
      </w:r>
      <w:r>
        <w:rPr>
          <w:rFonts w:hint="eastAsia"/>
          <w:bCs/>
          <w:color w:val="auto"/>
          <w:sz w:val="24"/>
          <w:highlight w:val="none"/>
        </w:rPr>
        <w:t>涉及货物的，则货物的：</w:t>
      </w:r>
    </w:p>
    <w:p w14:paraId="44E129F3">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1.7.4.1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04B4086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1.7.4.2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1ECE163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1.7.4.3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2C42C51F">
      <w:pPr>
        <w:spacing w:line="560" w:lineRule="exact"/>
        <w:ind w:firstLine="482" w:firstLineChars="200"/>
        <w:outlineLvl w:val="0"/>
        <w:rPr>
          <w:rFonts w:ascii="宋体" w:hAnsi="宋体"/>
          <w:color w:val="auto"/>
          <w:sz w:val="24"/>
          <w:highlight w:val="none"/>
          <w:u w:val="single"/>
        </w:rPr>
      </w:pPr>
      <w:r>
        <w:rPr>
          <w:rFonts w:ascii="宋体" w:hAnsi="宋体"/>
          <w:b/>
          <w:color w:val="auto"/>
          <w:sz w:val="24"/>
          <w:highlight w:val="none"/>
        </w:rPr>
        <w:t>1.</w:t>
      </w:r>
      <w:r>
        <w:rPr>
          <w:rFonts w:hint="eastAsia" w:ascii="宋体" w:hAnsi="宋体"/>
          <w:b/>
          <w:color w:val="auto"/>
          <w:sz w:val="24"/>
          <w:highlight w:val="none"/>
        </w:rPr>
        <w:t>8违约责任</w:t>
      </w:r>
      <w:bookmarkEnd w:id="423"/>
      <w:bookmarkEnd w:id="424"/>
      <w:bookmarkEnd w:id="425"/>
      <w:bookmarkEnd w:id="426"/>
      <w:bookmarkEnd w:id="427"/>
    </w:p>
    <w:p w14:paraId="6879F767">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8</w:t>
      </w:r>
      <w:r>
        <w:rPr>
          <w:rFonts w:ascii="宋体" w:hAnsi="宋体"/>
          <w:color w:val="auto"/>
          <w:sz w:val="24"/>
          <w:highlight w:val="none"/>
        </w:rPr>
        <w:t>.1 除不可抗力外，如果乙方没有按照本合同约定的期限</w:t>
      </w:r>
      <w:r>
        <w:rPr>
          <w:rFonts w:hint="eastAsia" w:ascii="宋体" w:hAnsi="宋体"/>
          <w:color w:val="auto"/>
          <w:sz w:val="24"/>
          <w:highlight w:val="none"/>
        </w:rPr>
        <w:t>、</w:t>
      </w:r>
      <w:r>
        <w:rPr>
          <w:rFonts w:ascii="宋体" w:hAnsi="宋体"/>
          <w:color w:val="auto"/>
          <w:sz w:val="24"/>
          <w:highlight w:val="none"/>
        </w:rPr>
        <w:t>地点和方式</w:t>
      </w:r>
      <w:r>
        <w:rPr>
          <w:rFonts w:hint="eastAsia" w:ascii="宋体" w:hAnsi="宋体"/>
          <w:color w:val="auto"/>
          <w:sz w:val="24"/>
          <w:highlight w:val="none"/>
        </w:rPr>
        <w:t>交付服务成果或者实施服务</w:t>
      </w:r>
      <w:r>
        <w:rPr>
          <w:rFonts w:ascii="宋体" w:hAnsi="宋体"/>
          <w:color w:val="auto"/>
          <w:sz w:val="24"/>
          <w:highlight w:val="none"/>
        </w:rPr>
        <w:t>，那么甲方可要求乙方支付违约金</w:t>
      </w:r>
      <w:r>
        <w:rPr>
          <w:rFonts w:hint="eastAsia" w:ascii="宋体" w:hAnsi="宋体"/>
          <w:color w:val="auto"/>
          <w:sz w:val="24"/>
          <w:highlight w:val="none"/>
        </w:rPr>
        <w:t>，迟延履行</w:t>
      </w:r>
      <w:r>
        <w:rPr>
          <w:rFonts w:ascii="宋体" w:hAnsi="宋体"/>
          <w:color w:val="auto"/>
          <w:sz w:val="24"/>
          <w:highlight w:val="none"/>
        </w:rPr>
        <w:t>违约金按每迟延</w:t>
      </w:r>
      <w:r>
        <w:rPr>
          <w:rFonts w:hint="eastAsia" w:ascii="宋体" w:hAnsi="宋体"/>
          <w:color w:val="auto"/>
          <w:sz w:val="24"/>
          <w:highlight w:val="none"/>
        </w:rPr>
        <w:t>履行</w:t>
      </w:r>
      <w:r>
        <w:rPr>
          <w:rFonts w:ascii="宋体" w:hAnsi="宋体"/>
          <w:color w:val="auto"/>
          <w:sz w:val="24"/>
          <w:highlight w:val="none"/>
        </w:rPr>
        <w:t>一日的应提供而未</w:t>
      </w:r>
      <w:r>
        <w:rPr>
          <w:rFonts w:hint="eastAsia" w:ascii="宋体" w:hAnsi="宋体"/>
          <w:color w:val="auto"/>
          <w:sz w:val="24"/>
          <w:highlight w:val="none"/>
        </w:rPr>
        <w:t>提供</w:t>
      </w:r>
      <w:r>
        <w:rPr>
          <w:rFonts w:ascii="宋体" w:hAnsi="宋体"/>
          <w:color w:val="auto"/>
          <w:sz w:val="24"/>
          <w:highlight w:val="none"/>
        </w:rPr>
        <w:t>服务价格的</w:t>
      </w:r>
      <w:r>
        <w:rPr>
          <w:rFonts w:hint="eastAsia" w:ascii="宋体" w:hAnsi="宋体"/>
          <w:color w:val="auto"/>
          <w:sz w:val="24"/>
          <w:highlight w:val="none"/>
          <w:u w:val="single"/>
        </w:rPr>
        <w:t>0.05</w:t>
      </w:r>
      <w:r>
        <w:rPr>
          <w:rFonts w:ascii="宋体" w:hAnsi="宋体"/>
          <w:color w:val="auto"/>
          <w:sz w:val="24"/>
          <w:highlight w:val="none"/>
          <w:u w:val="single"/>
        </w:rPr>
        <w:t xml:space="preserve"> </w:t>
      </w:r>
      <w:r>
        <w:rPr>
          <w:rFonts w:ascii="宋体" w:hAnsi="宋体"/>
          <w:color w:val="auto"/>
          <w:sz w:val="24"/>
          <w:highlight w:val="none"/>
        </w:rPr>
        <w:t>%计算</w:t>
      </w:r>
      <w:r>
        <w:rPr>
          <w:rFonts w:hint="eastAsia" w:ascii="宋体" w:hAnsi="宋体"/>
          <w:color w:val="auto"/>
          <w:sz w:val="24"/>
          <w:highlight w:val="none"/>
        </w:rPr>
        <w:t>，</w:t>
      </w:r>
      <w:r>
        <w:rPr>
          <w:rFonts w:ascii="宋体" w:hAnsi="宋体"/>
          <w:color w:val="auto"/>
          <w:sz w:val="24"/>
          <w:highlight w:val="none"/>
        </w:rPr>
        <w:t>最高限额为</w:t>
      </w:r>
      <w:r>
        <w:rPr>
          <w:rFonts w:hint="eastAsia" w:ascii="宋体" w:hAnsi="宋体"/>
          <w:color w:val="auto"/>
          <w:sz w:val="24"/>
          <w:highlight w:val="none"/>
        </w:rPr>
        <w:t>本</w:t>
      </w:r>
      <w:r>
        <w:rPr>
          <w:rFonts w:ascii="宋体" w:hAnsi="宋体"/>
          <w:color w:val="auto"/>
          <w:sz w:val="24"/>
          <w:highlight w:val="none"/>
        </w:rPr>
        <w:t>合同总价的</w:t>
      </w:r>
      <w:r>
        <w:rPr>
          <w:rFonts w:ascii="宋体" w:hAnsi="宋体"/>
          <w:color w:val="auto"/>
          <w:sz w:val="24"/>
          <w:highlight w:val="none"/>
          <w:u w:val="single"/>
        </w:rPr>
        <w:t xml:space="preserve">  20   </w:t>
      </w:r>
      <w:r>
        <w:rPr>
          <w:rFonts w:ascii="宋体" w:hAnsi="宋体"/>
          <w:color w:val="auto"/>
          <w:sz w:val="24"/>
          <w:highlight w:val="none"/>
        </w:rPr>
        <w:t>%</w:t>
      </w:r>
      <w:r>
        <w:rPr>
          <w:rFonts w:hint="eastAsia" w:ascii="宋体" w:hAnsi="宋体"/>
          <w:color w:val="auto"/>
          <w:sz w:val="24"/>
          <w:highlight w:val="none"/>
        </w:rPr>
        <w:t>；</w:t>
      </w:r>
      <w:r>
        <w:rPr>
          <w:rFonts w:ascii="宋体" w:hAnsi="宋体"/>
          <w:color w:val="auto"/>
          <w:sz w:val="24"/>
          <w:highlight w:val="none"/>
        </w:rPr>
        <w:t>迟延</w:t>
      </w:r>
      <w:r>
        <w:rPr>
          <w:rFonts w:hint="eastAsia" w:ascii="宋体" w:hAnsi="宋体"/>
          <w:color w:val="auto"/>
          <w:sz w:val="24"/>
          <w:highlight w:val="none"/>
        </w:rPr>
        <w:t>履行</w:t>
      </w:r>
      <w:r>
        <w:rPr>
          <w:rFonts w:ascii="宋体" w:hAnsi="宋体"/>
          <w:color w:val="auto"/>
          <w:sz w:val="24"/>
          <w:highlight w:val="none"/>
        </w:rPr>
        <w:t>的违约金计算数额达到前述最高限额之日起</w:t>
      </w:r>
      <w:r>
        <w:rPr>
          <w:rFonts w:hint="eastAsia" w:ascii="宋体" w:hAnsi="宋体"/>
          <w:color w:val="auto"/>
          <w:sz w:val="24"/>
          <w:highlight w:val="none"/>
        </w:rPr>
        <w:t>，</w:t>
      </w:r>
      <w:r>
        <w:rPr>
          <w:rFonts w:ascii="宋体" w:hAnsi="宋体"/>
          <w:color w:val="auto"/>
          <w:sz w:val="24"/>
          <w:highlight w:val="none"/>
        </w:rPr>
        <w:t>甲方有权在要求乙方支付违约金的同时</w:t>
      </w:r>
      <w:r>
        <w:rPr>
          <w:rFonts w:hint="eastAsia" w:ascii="宋体" w:hAnsi="宋体"/>
          <w:color w:val="auto"/>
          <w:sz w:val="24"/>
          <w:highlight w:val="none"/>
        </w:rPr>
        <w:t>，书面通知乙方</w:t>
      </w:r>
      <w:r>
        <w:rPr>
          <w:rFonts w:ascii="宋体" w:hAnsi="宋体"/>
          <w:color w:val="auto"/>
          <w:sz w:val="24"/>
          <w:highlight w:val="none"/>
        </w:rPr>
        <w:t>解除本合同</w:t>
      </w:r>
      <w:r>
        <w:rPr>
          <w:rFonts w:hint="eastAsia" w:ascii="宋体" w:hAnsi="宋体"/>
          <w:color w:val="auto"/>
          <w:sz w:val="24"/>
          <w:highlight w:val="none"/>
        </w:rPr>
        <w:t>；</w:t>
      </w:r>
    </w:p>
    <w:p w14:paraId="31284810">
      <w:pPr>
        <w:pStyle w:val="5"/>
        <w:ind w:left="0" w:firstLine="480" w:firstLineChars="200"/>
        <w:rPr>
          <w:rFonts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lang w:val="en-US"/>
        </w:rPr>
        <w:t xml:space="preserve">  0.0</w:t>
      </w:r>
      <w:r>
        <w:rPr>
          <w:rFonts w:hint="eastAsia" w:ascii="宋体" w:hAnsi="宋体" w:eastAsia="宋体" w:cs="宋体"/>
          <w:b w:val="0"/>
          <w:bCs w:val="0"/>
          <w:color w:val="auto"/>
          <w:sz w:val="24"/>
          <w:szCs w:val="24"/>
          <w:highlight w:val="none"/>
          <w:lang w:val="en-US"/>
        </w:rPr>
        <w:t xml:space="preserve">5（可根据情况修改） </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%计算，最高限额为本合同总价的</w:t>
      </w:r>
      <w:r>
        <w:rPr>
          <w:rFonts w:hint="eastAsia" w:ascii="宋体" w:hAnsi="宋体" w:eastAsia="宋体" w:cs="宋体"/>
          <w:b w:val="0"/>
          <w:bCs w:val="0"/>
          <w:color w:val="auto"/>
          <w:sz w:val="24"/>
          <w:szCs w:val="24"/>
          <w:highlight w:val="none"/>
          <w:u w:val="single"/>
          <w:lang w:val="en-US"/>
        </w:rPr>
        <w:t xml:space="preserve">  20  </w:t>
      </w:r>
      <w:r>
        <w:rPr>
          <w:rFonts w:hint="eastAsia" w:ascii="宋体" w:hAnsi="宋体" w:eastAsia="宋体"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4514514">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8</w:t>
      </w:r>
      <w:r>
        <w:rPr>
          <w:rFonts w:ascii="宋体" w:hAnsi="宋体"/>
          <w:color w:val="auto"/>
          <w:sz w:val="24"/>
          <w:highlight w:val="none"/>
        </w:rPr>
        <w:t>.</w:t>
      </w:r>
      <w:r>
        <w:rPr>
          <w:rFonts w:hint="eastAsia" w:ascii="宋体" w:hAnsi="宋体"/>
          <w:color w:val="auto"/>
          <w:sz w:val="24"/>
          <w:highlight w:val="none"/>
        </w:rPr>
        <w:t>3</w:t>
      </w:r>
      <w:r>
        <w:rPr>
          <w:rFonts w:hint="eastAsia" w:ascii="宋体" w:hAnsi="宋体" w:cs="宋体"/>
          <w:color w:val="auto"/>
          <w:sz w:val="24"/>
          <w:highlight w:val="none"/>
        </w:rPr>
        <w:t>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r>
        <w:rPr>
          <w:rFonts w:hint="eastAsia" w:ascii="宋体" w:hAnsi="宋体"/>
          <w:color w:val="auto"/>
          <w:sz w:val="24"/>
          <w:highlight w:val="none"/>
        </w:rPr>
        <w:t>；</w:t>
      </w:r>
    </w:p>
    <w:p w14:paraId="767F4200">
      <w:pPr>
        <w:spacing w:line="560" w:lineRule="exact"/>
        <w:ind w:firstLine="480" w:firstLineChars="200"/>
        <w:rPr>
          <w:rFonts w:ascii="宋体" w:hAnsi="宋体" w:cs="宋体"/>
          <w:color w:val="auto"/>
          <w:sz w:val="24"/>
          <w:highlight w:val="none"/>
        </w:rPr>
      </w:pPr>
      <w:bookmarkStart w:id="428" w:name="_Toc9497"/>
      <w:bookmarkStart w:id="429" w:name="_Toc18683"/>
      <w:bookmarkStart w:id="430" w:name="_Toc30329"/>
      <w:bookmarkStart w:id="431" w:name="_Toc26807"/>
      <w:bookmarkStart w:id="432" w:name="_Toc32454"/>
      <w:r>
        <w:rPr>
          <w:rFonts w:hint="eastAsia" w:ascii="宋体" w:hAnsi="宋体"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448717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3BBEC2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2EBBB79">
      <w:pPr>
        <w:spacing w:line="560" w:lineRule="exact"/>
        <w:ind w:right="-420" w:rightChars="-200" w:firstLine="480" w:firstLineChars="200"/>
        <w:rPr>
          <w:rFonts w:ascii="宋体" w:hAnsi="宋体" w:cs="宋体"/>
          <w:color w:val="auto"/>
          <w:highlight w:val="none"/>
        </w:rPr>
      </w:pPr>
      <w:r>
        <w:rPr>
          <w:rFonts w:hint="eastAsia" w:ascii="宋体" w:hAnsi="宋体" w:cs="宋体"/>
          <w:color w:val="auto"/>
          <w:sz w:val="24"/>
          <w:highlight w:val="none"/>
        </w:rPr>
        <w:t>1.8.7违约责任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bookmarkEnd w:id="428"/>
    <w:bookmarkEnd w:id="429"/>
    <w:bookmarkEnd w:id="430"/>
    <w:bookmarkEnd w:id="431"/>
    <w:bookmarkEnd w:id="432"/>
    <w:p w14:paraId="1A3040A7">
      <w:pPr>
        <w:spacing w:line="560" w:lineRule="exact"/>
        <w:ind w:firstLine="482" w:firstLineChars="200"/>
        <w:outlineLvl w:val="0"/>
        <w:rPr>
          <w:rFonts w:ascii="宋体" w:hAnsi="宋体" w:cs="宋体"/>
          <w:b/>
          <w:color w:val="auto"/>
          <w:sz w:val="24"/>
          <w:highlight w:val="none"/>
        </w:rPr>
      </w:pPr>
      <w:bookmarkStart w:id="433" w:name="_Toc28375"/>
      <w:bookmarkStart w:id="434" w:name="_Toc16021"/>
      <w:bookmarkStart w:id="435" w:name="_Toc15583"/>
      <w:r>
        <w:rPr>
          <w:rFonts w:hint="eastAsia" w:ascii="宋体" w:hAnsi="宋体" w:cs="宋体"/>
          <w:b/>
          <w:color w:val="auto"/>
          <w:sz w:val="24"/>
          <w:highlight w:val="none"/>
        </w:rPr>
        <w:t>1.9合同争议的解决</w:t>
      </w:r>
      <w:bookmarkEnd w:id="433"/>
      <w:bookmarkEnd w:id="434"/>
      <w:bookmarkEnd w:id="435"/>
    </w:p>
    <w:p w14:paraId="183DFEDC">
      <w:pPr>
        <w:spacing w:line="560" w:lineRule="exact"/>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w:t>
      </w:r>
      <w:r>
        <w:rPr>
          <w:rFonts w:hint="eastAsia" w:ascii="宋体" w:hAnsi="宋体" w:cs="宋体"/>
          <w:color w:val="auto"/>
          <w:sz w:val="24"/>
          <w:highlight w:val="none"/>
        </w:rPr>
        <w:t>条款规定的方式解决：</w:t>
      </w:r>
    </w:p>
    <w:p w14:paraId="145D6BA8">
      <w:pPr>
        <w:spacing w:line="560" w:lineRule="exact"/>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1.9.1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14:paraId="27B8F93F">
      <w:pPr>
        <w:spacing w:line="560" w:lineRule="exact"/>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1.9.2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14:paraId="08261CC6">
      <w:pPr>
        <w:spacing w:line="560" w:lineRule="exact"/>
        <w:ind w:firstLine="482" w:firstLineChars="200"/>
        <w:outlineLvl w:val="0"/>
        <w:rPr>
          <w:rFonts w:ascii="宋体" w:hAnsi="宋体" w:cs="宋体"/>
          <w:b/>
          <w:color w:val="auto"/>
          <w:sz w:val="24"/>
          <w:highlight w:val="none"/>
        </w:rPr>
      </w:pPr>
      <w:bookmarkStart w:id="436" w:name="_Toc15322"/>
      <w:bookmarkStart w:id="437" w:name="_Toc11173"/>
      <w:bookmarkStart w:id="438" w:name="_Toc7245"/>
      <w:r>
        <w:rPr>
          <w:rFonts w:hint="eastAsia" w:ascii="宋体" w:hAnsi="宋体" w:cs="宋体"/>
          <w:b/>
          <w:color w:val="auto"/>
          <w:sz w:val="24"/>
          <w:highlight w:val="none"/>
        </w:rPr>
        <w:t>2.0 合同生效</w:t>
      </w:r>
      <w:bookmarkEnd w:id="436"/>
      <w:bookmarkEnd w:id="437"/>
      <w:bookmarkEnd w:id="438"/>
    </w:p>
    <w:p w14:paraId="42538665">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本合同自双方当事人盖章签字时生效。</w:t>
      </w:r>
    </w:p>
    <w:p w14:paraId="22857822">
      <w:pPr>
        <w:autoSpaceDE w:val="0"/>
        <w:autoSpaceDN w:val="0"/>
        <w:spacing w:line="560" w:lineRule="exact"/>
        <w:rPr>
          <w:rFonts w:ascii="宋体" w:hAnsi="宋体"/>
          <w:color w:val="auto"/>
          <w:sz w:val="24"/>
          <w:highlight w:val="none"/>
          <w:lang w:val="zh-CN"/>
        </w:rPr>
      </w:pPr>
    </w:p>
    <w:p w14:paraId="11A8BEBE">
      <w:pPr>
        <w:autoSpaceDE w:val="0"/>
        <w:autoSpaceDN w:val="0"/>
        <w:spacing w:line="560" w:lineRule="exact"/>
        <w:rPr>
          <w:rFonts w:ascii="宋体" w:hAnsi="宋体"/>
          <w:color w:val="auto"/>
          <w:sz w:val="24"/>
          <w:highlight w:val="none"/>
          <w:lang w:val="zh-CN"/>
        </w:rPr>
      </w:pPr>
      <w:r>
        <w:rPr>
          <w:rFonts w:hint="eastAsia" w:ascii="宋体" w:hAnsi="宋体"/>
          <w:b/>
          <w:color w:val="auto"/>
          <w:sz w:val="24"/>
          <w:highlight w:val="none"/>
          <w:lang w:val="zh-CN"/>
        </w:rPr>
        <w:t>甲方</w:t>
      </w:r>
      <w:r>
        <w:rPr>
          <w:rFonts w:hint="eastAsia" w:ascii="宋体" w:hAnsi="宋体"/>
          <w:color w:val="auto"/>
          <w:sz w:val="24"/>
          <w:highlight w:val="none"/>
          <w:lang w:val="zh-CN"/>
        </w:rPr>
        <w:t>：</w:t>
      </w:r>
      <w:r>
        <w:rPr>
          <w:rFonts w:ascii="宋体" w:hAnsi="宋体"/>
          <w:color w:val="auto"/>
          <w:sz w:val="24"/>
          <w:highlight w:val="none"/>
          <w:lang w:val="zh-CN"/>
        </w:rPr>
        <w:t xml:space="preserve">                             </w:t>
      </w:r>
      <w:r>
        <w:rPr>
          <w:rFonts w:ascii="宋体" w:hAnsi="宋体"/>
          <w:b/>
          <w:color w:val="auto"/>
          <w:sz w:val="24"/>
          <w:highlight w:val="none"/>
          <w:lang w:val="zh-CN"/>
        </w:rPr>
        <w:t xml:space="preserve">      乙方</w:t>
      </w:r>
      <w:r>
        <w:rPr>
          <w:rFonts w:hint="eastAsia" w:ascii="宋体" w:hAnsi="宋体"/>
          <w:color w:val="auto"/>
          <w:sz w:val="24"/>
          <w:highlight w:val="none"/>
          <w:lang w:val="zh-CN"/>
        </w:rPr>
        <w:t>：</w:t>
      </w:r>
    </w:p>
    <w:p w14:paraId="4FD3BEDB">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统一社会信用代码：</w:t>
      </w:r>
      <w:r>
        <w:rPr>
          <w:rFonts w:ascii="宋体" w:hAnsi="宋体"/>
          <w:color w:val="auto"/>
          <w:sz w:val="24"/>
          <w:highlight w:val="none"/>
          <w:lang w:val="zh-CN"/>
        </w:rPr>
        <w:t xml:space="preserve">                        </w:t>
      </w:r>
      <w:r>
        <w:rPr>
          <w:rFonts w:hint="eastAsia" w:ascii="宋体" w:hAnsi="宋体"/>
          <w:color w:val="auto"/>
          <w:sz w:val="24"/>
          <w:highlight w:val="none"/>
          <w:lang w:val="zh-CN"/>
        </w:rPr>
        <w:t>统一社会信用代码或身份证号码：</w:t>
      </w:r>
    </w:p>
    <w:p w14:paraId="70145408">
      <w:pPr>
        <w:autoSpaceDE w:val="0"/>
        <w:autoSpaceDN w:val="0"/>
        <w:spacing w:line="560" w:lineRule="exact"/>
        <w:rPr>
          <w:rFonts w:ascii="宋体" w:hAnsi="宋体"/>
          <w:color w:val="auto"/>
          <w:sz w:val="24"/>
          <w:highlight w:val="none"/>
          <w:lang w:val="zh-CN"/>
        </w:rPr>
      </w:pPr>
    </w:p>
    <w:p w14:paraId="69A42A08">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住所：</w:t>
      </w:r>
      <w:r>
        <w:rPr>
          <w:rFonts w:ascii="宋体" w:hAnsi="宋体"/>
          <w:color w:val="auto"/>
          <w:sz w:val="24"/>
          <w:highlight w:val="none"/>
          <w:lang w:val="zh-CN"/>
        </w:rPr>
        <w:t xml:space="preserve">                                   </w:t>
      </w:r>
      <w:r>
        <w:rPr>
          <w:rFonts w:hint="eastAsia" w:ascii="宋体" w:hAnsi="宋体"/>
          <w:color w:val="auto"/>
          <w:sz w:val="24"/>
          <w:highlight w:val="none"/>
          <w:lang w:val="zh-CN"/>
        </w:rPr>
        <w:t>住所：</w:t>
      </w:r>
    </w:p>
    <w:p w14:paraId="021C1AFC">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法定代表人或</w:t>
      </w:r>
      <w:r>
        <w:rPr>
          <w:rFonts w:ascii="宋体" w:hAnsi="宋体"/>
          <w:color w:val="auto"/>
          <w:sz w:val="24"/>
          <w:highlight w:val="none"/>
          <w:lang w:val="zh-CN"/>
        </w:rPr>
        <w:t xml:space="preserve">                             </w:t>
      </w:r>
      <w:r>
        <w:rPr>
          <w:rFonts w:hint="eastAsia" w:ascii="宋体" w:hAnsi="宋体"/>
          <w:color w:val="auto"/>
          <w:sz w:val="24"/>
          <w:highlight w:val="none"/>
          <w:lang w:val="zh-CN"/>
        </w:rPr>
        <w:t>法定代表人或</w:t>
      </w:r>
    </w:p>
    <w:p w14:paraId="0232A8AE">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授权代表（签字）：</w:t>
      </w:r>
      <w:r>
        <w:rPr>
          <w:rFonts w:ascii="宋体" w:hAnsi="宋体"/>
          <w:color w:val="auto"/>
          <w:sz w:val="24"/>
          <w:highlight w:val="none"/>
          <w:lang w:val="zh-CN"/>
        </w:rPr>
        <w:t xml:space="preserve">                       授权代表（签字）: </w:t>
      </w:r>
    </w:p>
    <w:p w14:paraId="0A6DB5E4">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联系人：</w:t>
      </w:r>
      <w:r>
        <w:rPr>
          <w:rFonts w:ascii="宋体" w:hAnsi="宋体"/>
          <w:color w:val="auto"/>
          <w:sz w:val="24"/>
          <w:highlight w:val="none"/>
          <w:lang w:val="zh-CN"/>
        </w:rPr>
        <w:t xml:space="preserve">                                 </w:t>
      </w:r>
      <w:r>
        <w:rPr>
          <w:rFonts w:hint="eastAsia" w:ascii="宋体" w:hAnsi="宋体"/>
          <w:color w:val="auto"/>
          <w:sz w:val="24"/>
          <w:highlight w:val="none"/>
          <w:lang w:val="zh-CN"/>
        </w:rPr>
        <w:t>联系人：</w:t>
      </w:r>
    </w:p>
    <w:p w14:paraId="10BC833B">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约定送达地址：</w:t>
      </w:r>
      <w:r>
        <w:rPr>
          <w:rFonts w:ascii="宋体" w:hAnsi="宋体"/>
          <w:color w:val="auto"/>
          <w:sz w:val="24"/>
          <w:highlight w:val="none"/>
          <w:lang w:val="zh-CN"/>
        </w:rPr>
        <w:t xml:space="preserve">                           </w:t>
      </w:r>
      <w:r>
        <w:rPr>
          <w:rFonts w:hint="eastAsia" w:ascii="宋体" w:hAnsi="宋体"/>
          <w:color w:val="auto"/>
          <w:sz w:val="24"/>
          <w:highlight w:val="none"/>
          <w:lang w:val="zh-CN"/>
        </w:rPr>
        <w:t>约定送达地址：</w:t>
      </w:r>
    </w:p>
    <w:p w14:paraId="5C9C0BAC">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邮政编码：</w:t>
      </w:r>
      <w:r>
        <w:rPr>
          <w:rFonts w:ascii="宋体" w:hAnsi="宋体"/>
          <w:color w:val="auto"/>
          <w:sz w:val="24"/>
          <w:highlight w:val="none"/>
          <w:lang w:val="zh-CN"/>
        </w:rPr>
        <w:t xml:space="preserve">                               </w:t>
      </w:r>
      <w:r>
        <w:rPr>
          <w:rFonts w:hint="eastAsia" w:ascii="宋体" w:hAnsi="宋体"/>
          <w:color w:val="auto"/>
          <w:sz w:val="24"/>
          <w:highlight w:val="none"/>
          <w:lang w:val="zh-CN"/>
        </w:rPr>
        <w:t>邮政编码：</w:t>
      </w:r>
    </w:p>
    <w:p w14:paraId="6A8E6688">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电话</w:t>
      </w:r>
      <w:r>
        <w:rPr>
          <w:rFonts w:ascii="宋体" w:hAnsi="宋体"/>
          <w:color w:val="auto"/>
          <w:sz w:val="24"/>
          <w:highlight w:val="none"/>
          <w:lang w:val="zh-CN"/>
        </w:rPr>
        <w:t xml:space="preserve">:                                    电话: </w:t>
      </w:r>
    </w:p>
    <w:p w14:paraId="141DE9BA">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传真</w:t>
      </w:r>
      <w:r>
        <w:rPr>
          <w:rFonts w:ascii="宋体" w:hAnsi="宋体"/>
          <w:color w:val="auto"/>
          <w:sz w:val="24"/>
          <w:highlight w:val="none"/>
          <w:lang w:val="zh-CN"/>
        </w:rPr>
        <w:t xml:space="preserve">:                                    </w:t>
      </w:r>
      <w:r>
        <w:rPr>
          <w:rFonts w:hint="eastAsia" w:ascii="宋体" w:hAnsi="宋体"/>
          <w:color w:val="auto"/>
          <w:sz w:val="24"/>
          <w:highlight w:val="none"/>
          <w:lang w:val="zh-CN"/>
        </w:rPr>
        <w:t>传真</w:t>
      </w:r>
      <w:r>
        <w:rPr>
          <w:rFonts w:ascii="宋体" w:hAnsi="宋体"/>
          <w:color w:val="auto"/>
          <w:sz w:val="24"/>
          <w:highlight w:val="none"/>
          <w:lang w:val="zh-CN"/>
        </w:rPr>
        <w:t>:</w:t>
      </w:r>
    </w:p>
    <w:p w14:paraId="009B1849">
      <w:pPr>
        <w:autoSpaceDE w:val="0"/>
        <w:autoSpaceDN w:val="0"/>
        <w:spacing w:line="560" w:lineRule="exact"/>
        <w:rPr>
          <w:rFonts w:ascii="宋体" w:hAnsi="宋体"/>
          <w:color w:val="auto"/>
          <w:sz w:val="24"/>
          <w:highlight w:val="none"/>
        </w:rPr>
      </w:pPr>
      <w:r>
        <w:rPr>
          <w:rFonts w:hint="eastAsia" w:ascii="宋体" w:hAnsi="宋体"/>
          <w:color w:val="auto"/>
          <w:sz w:val="24"/>
          <w:highlight w:val="none"/>
          <w:lang w:val="zh-CN"/>
        </w:rPr>
        <w:t>电子邮箱：</w:t>
      </w:r>
      <w:r>
        <w:rPr>
          <w:rFonts w:ascii="宋体" w:hAnsi="宋体"/>
          <w:color w:val="auto"/>
          <w:sz w:val="24"/>
          <w:highlight w:val="none"/>
          <w:lang w:val="zh-CN"/>
        </w:rPr>
        <w:t xml:space="preserve">                               </w:t>
      </w:r>
      <w:r>
        <w:rPr>
          <w:rFonts w:hint="eastAsia" w:ascii="宋体" w:hAnsi="宋体"/>
          <w:color w:val="auto"/>
          <w:sz w:val="24"/>
          <w:highlight w:val="none"/>
          <w:lang w:val="zh-CN"/>
        </w:rPr>
        <w:t>电子邮箱：</w:t>
      </w:r>
    </w:p>
    <w:p w14:paraId="5E6BB4B7">
      <w:pPr>
        <w:autoSpaceDE w:val="0"/>
        <w:autoSpaceDN w:val="0"/>
        <w:spacing w:line="560" w:lineRule="exact"/>
        <w:rPr>
          <w:rFonts w:ascii="宋体" w:hAnsi="宋体"/>
          <w:color w:val="auto"/>
          <w:sz w:val="24"/>
          <w:highlight w:val="none"/>
        </w:rPr>
      </w:pPr>
      <w:r>
        <w:rPr>
          <w:rFonts w:hint="eastAsia" w:ascii="宋体" w:hAnsi="宋体"/>
          <w:color w:val="auto"/>
          <w:sz w:val="24"/>
          <w:highlight w:val="none"/>
        </w:rPr>
        <w:t>开户银行：</w:t>
      </w:r>
      <w:r>
        <w:rPr>
          <w:rFonts w:ascii="宋体" w:hAnsi="宋体"/>
          <w:color w:val="auto"/>
          <w:sz w:val="24"/>
          <w:highlight w:val="none"/>
        </w:rPr>
        <w:t xml:space="preserve">                               开户银行： </w:t>
      </w:r>
    </w:p>
    <w:p w14:paraId="6CA46E1C">
      <w:pPr>
        <w:autoSpaceDE w:val="0"/>
        <w:autoSpaceDN w:val="0"/>
        <w:spacing w:line="560" w:lineRule="exact"/>
        <w:rPr>
          <w:rFonts w:ascii="宋体" w:hAnsi="宋体"/>
          <w:color w:val="auto"/>
          <w:sz w:val="24"/>
          <w:highlight w:val="none"/>
        </w:rPr>
      </w:pPr>
      <w:r>
        <w:rPr>
          <w:rFonts w:hint="eastAsia" w:ascii="宋体" w:hAnsi="宋体"/>
          <w:color w:val="auto"/>
          <w:sz w:val="24"/>
          <w:highlight w:val="none"/>
        </w:rPr>
        <w:t>开户名称：</w:t>
      </w:r>
      <w:r>
        <w:rPr>
          <w:rFonts w:ascii="宋体" w:hAnsi="宋体"/>
          <w:color w:val="auto"/>
          <w:sz w:val="24"/>
          <w:highlight w:val="none"/>
        </w:rPr>
        <w:t xml:space="preserve">                               开户名称： </w:t>
      </w:r>
    </w:p>
    <w:p w14:paraId="2EB1D20A">
      <w:pPr>
        <w:autoSpaceDE w:val="0"/>
        <w:autoSpaceDN w:val="0"/>
        <w:spacing w:line="560" w:lineRule="exact"/>
        <w:rPr>
          <w:rFonts w:ascii="宋体" w:hAnsi="宋体"/>
          <w:color w:val="auto"/>
          <w:sz w:val="24"/>
          <w:highlight w:val="none"/>
        </w:rPr>
      </w:pPr>
      <w:r>
        <w:rPr>
          <w:rFonts w:hint="eastAsia" w:ascii="宋体" w:hAnsi="宋体"/>
          <w:color w:val="auto"/>
          <w:sz w:val="24"/>
          <w:highlight w:val="none"/>
        </w:rPr>
        <w:t>开户账号：</w:t>
      </w:r>
      <w:r>
        <w:rPr>
          <w:rFonts w:ascii="宋体" w:hAnsi="宋体"/>
          <w:color w:val="auto"/>
          <w:sz w:val="24"/>
          <w:highlight w:val="none"/>
          <w:lang w:val="zh-CN"/>
        </w:rPr>
        <w:t xml:space="preserve">                               </w:t>
      </w:r>
      <w:r>
        <w:rPr>
          <w:rFonts w:hint="eastAsia" w:ascii="宋体" w:hAnsi="宋体"/>
          <w:color w:val="auto"/>
          <w:sz w:val="24"/>
          <w:highlight w:val="none"/>
        </w:rPr>
        <w:t>开户账号：</w:t>
      </w:r>
    </w:p>
    <w:p w14:paraId="5EE7E088">
      <w:pPr>
        <w:widowControl/>
        <w:spacing w:line="560" w:lineRule="exact"/>
        <w:jc w:val="left"/>
        <w:rPr>
          <w:rFonts w:ascii="宋体" w:hAnsi="宋体"/>
          <w:b/>
          <w:color w:val="auto"/>
          <w:sz w:val="24"/>
          <w:highlight w:val="none"/>
        </w:rPr>
      </w:pPr>
    </w:p>
    <w:p w14:paraId="7FB1AA88">
      <w:pPr>
        <w:widowControl/>
        <w:adjustRightInd/>
        <w:jc w:val="left"/>
        <w:rPr>
          <w:rFonts w:ascii="宋体" w:hAnsi="宋体"/>
          <w:b/>
          <w:color w:val="auto"/>
          <w:sz w:val="24"/>
          <w:highlight w:val="none"/>
        </w:rPr>
      </w:pPr>
      <w:r>
        <w:rPr>
          <w:rFonts w:ascii="宋体" w:hAnsi="宋体"/>
          <w:b/>
          <w:color w:val="auto"/>
          <w:highlight w:val="none"/>
        </w:rPr>
        <w:br w:type="page"/>
      </w:r>
    </w:p>
    <w:p w14:paraId="33CF01CB">
      <w:pPr>
        <w:pStyle w:val="702"/>
        <w:spacing w:line="560" w:lineRule="exact"/>
        <w:ind w:firstLine="482"/>
        <w:jc w:val="center"/>
        <w:rPr>
          <w:rFonts w:ascii="宋体" w:hAnsi="宋体"/>
          <w:b/>
          <w:color w:val="auto"/>
          <w:szCs w:val="24"/>
          <w:highlight w:val="none"/>
        </w:rPr>
      </w:pPr>
      <w:r>
        <w:rPr>
          <w:rFonts w:hint="eastAsia" w:ascii="宋体" w:hAnsi="宋体"/>
          <w:b/>
          <w:color w:val="auto"/>
          <w:szCs w:val="24"/>
          <w:highlight w:val="none"/>
        </w:rPr>
        <w:t>第二部分</w:t>
      </w:r>
      <w:r>
        <w:rPr>
          <w:rFonts w:ascii="宋体" w:hAnsi="宋体"/>
          <w:b/>
          <w:color w:val="auto"/>
          <w:szCs w:val="24"/>
          <w:highlight w:val="none"/>
        </w:rPr>
        <w:t xml:space="preserve"> </w:t>
      </w:r>
      <w:r>
        <w:rPr>
          <w:rFonts w:hint="eastAsia" w:ascii="宋体" w:hAnsi="宋体"/>
          <w:b/>
          <w:color w:val="auto"/>
          <w:szCs w:val="24"/>
          <w:highlight w:val="none"/>
        </w:rPr>
        <w:t>合同一般条款</w:t>
      </w:r>
    </w:p>
    <w:p w14:paraId="76C82517">
      <w:pPr>
        <w:spacing w:line="560" w:lineRule="exact"/>
        <w:ind w:firstLine="482" w:firstLineChars="200"/>
        <w:outlineLvl w:val="0"/>
        <w:rPr>
          <w:rFonts w:ascii="宋体" w:hAnsi="宋体"/>
          <w:b/>
          <w:color w:val="auto"/>
          <w:sz w:val="24"/>
          <w:highlight w:val="none"/>
        </w:rPr>
      </w:pPr>
      <w:bookmarkStart w:id="439" w:name="_Toc14021"/>
      <w:bookmarkStart w:id="440" w:name="_Toc19680"/>
      <w:bookmarkStart w:id="441" w:name="_Toc5228"/>
      <w:bookmarkStart w:id="442" w:name="_Toc31297"/>
      <w:bookmarkStart w:id="443" w:name="_Toc25079"/>
      <w:r>
        <w:rPr>
          <w:rFonts w:ascii="宋体" w:hAnsi="宋体"/>
          <w:b/>
          <w:color w:val="auto"/>
          <w:sz w:val="24"/>
          <w:highlight w:val="none"/>
        </w:rPr>
        <w:t>2.1 定义</w:t>
      </w:r>
      <w:bookmarkEnd w:id="439"/>
      <w:bookmarkEnd w:id="440"/>
      <w:bookmarkEnd w:id="441"/>
      <w:bookmarkEnd w:id="442"/>
      <w:bookmarkEnd w:id="443"/>
    </w:p>
    <w:p w14:paraId="5A12A242">
      <w:pPr>
        <w:spacing w:line="560" w:lineRule="exact"/>
        <w:ind w:firstLine="480" w:firstLineChars="200"/>
        <w:rPr>
          <w:rFonts w:ascii="宋体" w:hAnsi="宋体"/>
          <w:color w:val="auto"/>
          <w:sz w:val="24"/>
          <w:highlight w:val="none"/>
        </w:rPr>
      </w:pPr>
      <w:r>
        <w:rPr>
          <w:rFonts w:ascii="宋体" w:hAnsi="宋体"/>
          <w:color w:val="auto"/>
          <w:sz w:val="24"/>
          <w:highlight w:val="none"/>
        </w:rPr>
        <w:t>本合同中的下列</w:t>
      </w:r>
      <w:r>
        <w:rPr>
          <w:rFonts w:hint="eastAsia" w:ascii="宋体" w:hAnsi="宋体"/>
          <w:color w:val="auto"/>
          <w:sz w:val="24"/>
          <w:highlight w:val="none"/>
        </w:rPr>
        <w:t>词</w:t>
      </w:r>
      <w:r>
        <w:rPr>
          <w:rFonts w:ascii="宋体" w:hAnsi="宋体"/>
          <w:color w:val="auto"/>
          <w:sz w:val="24"/>
          <w:highlight w:val="none"/>
        </w:rPr>
        <w:t>语应</w:t>
      </w:r>
      <w:r>
        <w:rPr>
          <w:rFonts w:hint="eastAsia" w:ascii="宋体" w:hAnsi="宋体"/>
          <w:color w:val="auto"/>
          <w:sz w:val="24"/>
          <w:highlight w:val="none"/>
        </w:rPr>
        <w:t>按以下内容进行</w:t>
      </w:r>
      <w:r>
        <w:rPr>
          <w:rFonts w:ascii="宋体" w:hAnsi="宋体"/>
          <w:color w:val="auto"/>
          <w:sz w:val="24"/>
          <w:highlight w:val="none"/>
        </w:rPr>
        <w:t>解释：</w:t>
      </w:r>
    </w:p>
    <w:p w14:paraId="111B7728">
      <w:pPr>
        <w:spacing w:line="560" w:lineRule="exact"/>
        <w:ind w:firstLine="480" w:firstLineChars="200"/>
        <w:rPr>
          <w:rFonts w:ascii="宋体" w:hAnsi="宋体"/>
          <w:color w:val="auto"/>
          <w:sz w:val="24"/>
          <w:highlight w:val="none"/>
        </w:rPr>
      </w:pPr>
      <w:r>
        <w:rPr>
          <w:rFonts w:ascii="宋体" w:hAnsi="宋体"/>
          <w:color w:val="auto"/>
          <w:sz w:val="24"/>
          <w:highlight w:val="none"/>
        </w:rPr>
        <w:t>2.1.1 “合同”系指采购人和</w:t>
      </w:r>
      <w:r>
        <w:rPr>
          <w:rFonts w:hint="eastAsia" w:ascii="宋体" w:hAnsi="宋体" w:cs="宋体"/>
          <w:color w:val="auto"/>
          <w:sz w:val="24"/>
          <w:highlight w:val="none"/>
        </w:rPr>
        <w:t>中标或成交</w:t>
      </w:r>
      <w:r>
        <w:rPr>
          <w:rFonts w:ascii="宋体" w:hAnsi="宋体"/>
          <w:color w:val="auto"/>
          <w:sz w:val="24"/>
          <w:highlight w:val="none"/>
        </w:rPr>
        <w:t>供应商签订的载明双方当事人所达成的协议，并包括所有的附件、附录和构成合同的其他文件。</w:t>
      </w:r>
    </w:p>
    <w:p w14:paraId="19BB149F">
      <w:pPr>
        <w:spacing w:line="560" w:lineRule="exact"/>
        <w:ind w:firstLine="480" w:firstLineChars="200"/>
        <w:rPr>
          <w:rFonts w:ascii="宋体" w:hAnsi="宋体"/>
          <w:color w:val="auto"/>
          <w:sz w:val="24"/>
          <w:highlight w:val="none"/>
        </w:rPr>
      </w:pPr>
      <w:r>
        <w:rPr>
          <w:rFonts w:ascii="宋体" w:hAnsi="宋体"/>
          <w:color w:val="auto"/>
          <w:sz w:val="24"/>
          <w:highlight w:val="none"/>
        </w:rPr>
        <w:t>2.1.2 “合同价”系指根据合同约定，</w:t>
      </w:r>
      <w:r>
        <w:rPr>
          <w:rFonts w:hint="eastAsia" w:ascii="宋体" w:hAnsi="宋体" w:cs="宋体"/>
          <w:color w:val="auto"/>
          <w:sz w:val="24"/>
          <w:highlight w:val="none"/>
        </w:rPr>
        <w:t>中标或成交</w:t>
      </w:r>
      <w:r>
        <w:rPr>
          <w:rFonts w:ascii="宋体" w:hAnsi="宋体"/>
          <w:color w:val="auto"/>
          <w:sz w:val="24"/>
          <w:highlight w:val="none"/>
        </w:rPr>
        <w:t>供应商在完全履行合同义务后</w:t>
      </w:r>
      <w:r>
        <w:rPr>
          <w:rFonts w:hint="eastAsia" w:ascii="宋体" w:hAnsi="宋体"/>
          <w:color w:val="auto"/>
          <w:sz w:val="24"/>
          <w:highlight w:val="none"/>
        </w:rPr>
        <w:t>，</w:t>
      </w:r>
      <w:r>
        <w:rPr>
          <w:rFonts w:ascii="宋体" w:hAnsi="宋体"/>
          <w:color w:val="auto"/>
          <w:sz w:val="24"/>
          <w:highlight w:val="none"/>
        </w:rPr>
        <w:t>采购人应支付给</w:t>
      </w:r>
      <w:r>
        <w:rPr>
          <w:rFonts w:hint="eastAsia" w:ascii="宋体" w:hAnsi="宋体" w:cs="宋体"/>
          <w:color w:val="auto"/>
          <w:sz w:val="24"/>
          <w:highlight w:val="none"/>
        </w:rPr>
        <w:t>中标或成交</w:t>
      </w:r>
      <w:r>
        <w:rPr>
          <w:rFonts w:ascii="宋体" w:hAnsi="宋体"/>
          <w:color w:val="auto"/>
          <w:sz w:val="24"/>
          <w:highlight w:val="none"/>
        </w:rPr>
        <w:t>供应商的价格。</w:t>
      </w:r>
    </w:p>
    <w:p w14:paraId="341A3134">
      <w:pPr>
        <w:spacing w:line="560" w:lineRule="exact"/>
        <w:ind w:firstLine="480" w:firstLineChars="200"/>
        <w:rPr>
          <w:rFonts w:ascii="宋体" w:hAnsi="宋体"/>
          <w:color w:val="auto"/>
          <w:sz w:val="24"/>
          <w:highlight w:val="none"/>
        </w:rPr>
      </w:pPr>
      <w:r>
        <w:rPr>
          <w:rFonts w:ascii="宋体" w:hAnsi="宋体"/>
          <w:color w:val="auto"/>
          <w:sz w:val="24"/>
          <w:highlight w:val="none"/>
        </w:rPr>
        <w:t>2.1.3 “</w:t>
      </w:r>
      <w:r>
        <w:rPr>
          <w:rFonts w:hint="eastAsia" w:ascii="宋体" w:hAnsi="宋体"/>
          <w:color w:val="auto"/>
          <w:sz w:val="24"/>
          <w:highlight w:val="none"/>
        </w:rPr>
        <w:t>服务</w:t>
      </w:r>
      <w:r>
        <w:rPr>
          <w:rFonts w:ascii="宋体" w:hAnsi="宋体"/>
          <w:color w:val="auto"/>
          <w:sz w:val="24"/>
          <w:highlight w:val="none"/>
        </w:rPr>
        <w:t>”系指</w:t>
      </w:r>
      <w:r>
        <w:rPr>
          <w:rFonts w:hint="eastAsia" w:ascii="宋体" w:hAnsi="宋体" w:cs="宋体"/>
          <w:color w:val="auto"/>
          <w:sz w:val="24"/>
          <w:highlight w:val="none"/>
        </w:rPr>
        <w:t>中标或成交</w:t>
      </w:r>
      <w:r>
        <w:rPr>
          <w:rFonts w:hint="eastAsia" w:ascii="宋体" w:hAnsi="宋体"/>
          <w:color w:val="auto"/>
          <w:sz w:val="24"/>
          <w:highlight w:val="none"/>
        </w:rPr>
        <w:t>供应商</w:t>
      </w:r>
      <w:r>
        <w:rPr>
          <w:rFonts w:ascii="宋体" w:hAnsi="宋体"/>
          <w:color w:val="auto"/>
          <w:sz w:val="24"/>
          <w:highlight w:val="none"/>
        </w:rPr>
        <w:t>根据合同约定应向采购人</w:t>
      </w:r>
      <w:r>
        <w:rPr>
          <w:rFonts w:hint="eastAsia" w:ascii="宋体" w:hAnsi="宋体"/>
          <w:color w:val="auto"/>
          <w:sz w:val="24"/>
          <w:highlight w:val="none"/>
        </w:rPr>
        <w:t>履行</w:t>
      </w:r>
      <w:r>
        <w:rPr>
          <w:rFonts w:ascii="宋体" w:hAnsi="宋体"/>
          <w:color w:val="auto"/>
          <w:sz w:val="24"/>
          <w:highlight w:val="none"/>
        </w:rPr>
        <w:t>的</w:t>
      </w:r>
      <w:r>
        <w:rPr>
          <w:rFonts w:hint="eastAsia" w:ascii="宋体" w:hAnsi="宋体"/>
          <w:color w:val="auto"/>
          <w:sz w:val="24"/>
          <w:highlight w:val="none"/>
        </w:rPr>
        <w:t>除货物和工程以外的其他政府采购对象，包括采购人自身需要的服务和向社会公众提供的公共服务。</w:t>
      </w:r>
    </w:p>
    <w:p w14:paraId="46FAA11A">
      <w:pPr>
        <w:spacing w:line="560" w:lineRule="exact"/>
        <w:ind w:firstLine="480" w:firstLineChars="200"/>
        <w:rPr>
          <w:rFonts w:ascii="宋体" w:hAnsi="宋体"/>
          <w:color w:val="auto"/>
          <w:sz w:val="24"/>
          <w:highlight w:val="none"/>
        </w:rPr>
      </w:pPr>
      <w:r>
        <w:rPr>
          <w:rFonts w:ascii="宋体" w:hAnsi="宋体"/>
          <w:color w:val="auto"/>
          <w:sz w:val="24"/>
          <w:highlight w:val="none"/>
        </w:rPr>
        <w:t>2.1.4 “</w:t>
      </w:r>
      <w:r>
        <w:rPr>
          <w:rFonts w:hint="eastAsia" w:ascii="宋体" w:hAnsi="宋体"/>
          <w:color w:val="auto"/>
          <w:sz w:val="24"/>
          <w:highlight w:val="none"/>
        </w:rPr>
        <w:t>甲方</w:t>
      </w:r>
      <w:r>
        <w:rPr>
          <w:rFonts w:ascii="宋体" w:hAnsi="宋体"/>
          <w:color w:val="auto"/>
          <w:sz w:val="24"/>
          <w:highlight w:val="none"/>
        </w:rPr>
        <w:t>”系指与</w:t>
      </w:r>
      <w:r>
        <w:rPr>
          <w:rFonts w:hint="eastAsia" w:ascii="宋体" w:hAnsi="宋体" w:cs="宋体"/>
          <w:color w:val="auto"/>
          <w:sz w:val="24"/>
          <w:highlight w:val="none"/>
        </w:rPr>
        <w:t>中标或成交</w:t>
      </w:r>
      <w:r>
        <w:rPr>
          <w:rFonts w:hint="eastAsia" w:ascii="宋体" w:hAnsi="宋体"/>
          <w:color w:val="auto"/>
          <w:sz w:val="24"/>
          <w:highlight w:val="none"/>
        </w:rPr>
        <w:t>供应商</w:t>
      </w:r>
      <w:r>
        <w:rPr>
          <w:rFonts w:ascii="宋体" w:hAnsi="宋体"/>
          <w:color w:val="auto"/>
          <w:sz w:val="24"/>
          <w:highlight w:val="none"/>
        </w:rPr>
        <w:t>签署合同的采购人</w:t>
      </w:r>
      <w:r>
        <w:rPr>
          <w:rFonts w:hint="eastAsia" w:ascii="宋体" w:hAnsi="宋体"/>
          <w:color w:val="auto"/>
          <w:sz w:val="24"/>
          <w:highlight w:val="none"/>
        </w:rPr>
        <w:t>；采购人委托采购代理机构代表其与乙方签订合同的，采购人的授权委托书作为合同附件。</w:t>
      </w:r>
    </w:p>
    <w:p w14:paraId="63F3154D">
      <w:pPr>
        <w:spacing w:line="560" w:lineRule="exact"/>
        <w:ind w:firstLine="480" w:firstLineChars="200"/>
        <w:rPr>
          <w:rFonts w:ascii="宋体" w:hAnsi="宋体"/>
          <w:color w:val="auto"/>
          <w:sz w:val="24"/>
          <w:highlight w:val="none"/>
        </w:rPr>
      </w:pPr>
      <w:r>
        <w:rPr>
          <w:rFonts w:ascii="宋体" w:hAnsi="宋体"/>
          <w:color w:val="auto"/>
          <w:sz w:val="24"/>
          <w:highlight w:val="none"/>
        </w:rPr>
        <w:t>2.1.5 “乙方”系指根据合同约定提供服务的</w:t>
      </w:r>
      <w:r>
        <w:rPr>
          <w:rFonts w:hint="eastAsia" w:ascii="宋体" w:hAnsi="宋体" w:cs="宋体"/>
          <w:color w:val="auto"/>
          <w:sz w:val="24"/>
          <w:highlight w:val="none"/>
        </w:rPr>
        <w:t>中标或成交</w:t>
      </w:r>
      <w:r>
        <w:rPr>
          <w:rFonts w:ascii="宋体" w:hAnsi="宋体"/>
          <w:color w:val="auto"/>
          <w:sz w:val="24"/>
          <w:highlight w:val="none"/>
        </w:rPr>
        <w:t>供应商</w:t>
      </w:r>
      <w:r>
        <w:rPr>
          <w:rFonts w:hint="eastAsia" w:ascii="宋体" w:hAnsi="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426D2C4">
      <w:pPr>
        <w:spacing w:line="560" w:lineRule="exact"/>
        <w:ind w:firstLine="480" w:firstLineChars="200"/>
        <w:rPr>
          <w:rFonts w:ascii="宋体" w:hAnsi="宋体"/>
          <w:color w:val="auto"/>
          <w:sz w:val="24"/>
          <w:highlight w:val="none"/>
        </w:rPr>
      </w:pPr>
      <w:r>
        <w:rPr>
          <w:rFonts w:ascii="宋体" w:hAnsi="宋体"/>
          <w:color w:val="auto"/>
          <w:sz w:val="24"/>
          <w:highlight w:val="none"/>
        </w:rPr>
        <w:t>2.1.6 “现场”系指合同约定提供服务的地点。</w:t>
      </w:r>
    </w:p>
    <w:p w14:paraId="6B5A301E">
      <w:pPr>
        <w:spacing w:line="560" w:lineRule="exact"/>
        <w:ind w:firstLine="482" w:firstLineChars="200"/>
        <w:outlineLvl w:val="0"/>
        <w:rPr>
          <w:rFonts w:ascii="宋体" w:hAnsi="宋体"/>
          <w:b/>
          <w:color w:val="auto"/>
          <w:sz w:val="24"/>
          <w:highlight w:val="none"/>
        </w:rPr>
      </w:pPr>
      <w:bookmarkStart w:id="444" w:name="_Toc3769"/>
      <w:bookmarkStart w:id="445" w:name="_Toc23289"/>
      <w:bookmarkStart w:id="446" w:name="_Toc16752"/>
      <w:bookmarkStart w:id="447" w:name="_Toc31402"/>
      <w:bookmarkStart w:id="448" w:name="_Toc19539"/>
      <w:r>
        <w:rPr>
          <w:rFonts w:ascii="宋体" w:hAnsi="宋体"/>
          <w:b/>
          <w:color w:val="auto"/>
          <w:sz w:val="24"/>
          <w:highlight w:val="none"/>
        </w:rPr>
        <w:t>2.2 技术规范</w:t>
      </w:r>
      <w:bookmarkEnd w:id="444"/>
      <w:bookmarkEnd w:id="445"/>
      <w:bookmarkEnd w:id="446"/>
      <w:bookmarkEnd w:id="447"/>
      <w:bookmarkEnd w:id="448"/>
    </w:p>
    <w:p w14:paraId="66041616">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服务</w:t>
      </w:r>
      <w:r>
        <w:rPr>
          <w:rFonts w:ascii="宋体" w:hAnsi="宋体"/>
          <w:color w:val="auto"/>
          <w:sz w:val="24"/>
          <w:highlight w:val="none"/>
        </w:rPr>
        <w:t>所应遵守的技术规范应与采购文件规定的技术规范和技术规范附件(如果有的话)及其技术规范偏差表(如果被甲方接受的话)相一致</w:t>
      </w:r>
      <w:r>
        <w:rPr>
          <w:rFonts w:hint="eastAsia" w:ascii="宋体" w:hAnsi="宋体"/>
          <w:color w:val="auto"/>
          <w:sz w:val="24"/>
          <w:highlight w:val="none"/>
        </w:rPr>
        <w:t>；</w:t>
      </w:r>
      <w:r>
        <w:rPr>
          <w:rFonts w:ascii="宋体" w:hAnsi="宋体"/>
          <w:color w:val="auto"/>
          <w:sz w:val="24"/>
          <w:highlight w:val="none"/>
        </w:rPr>
        <w:t>如果采购文件中没有技术规范的相应说明，那么应以国家有关部门最新颁布的相应标准</w:t>
      </w:r>
      <w:r>
        <w:rPr>
          <w:rFonts w:hint="eastAsia" w:ascii="宋体" w:hAnsi="宋体"/>
          <w:color w:val="auto"/>
          <w:sz w:val="24"/>
          <w:highlight w:val="none"/>
        </w:rPr>
        <w:t>和</w:t>
      </w:r>
      <w:r>
        <w:rPr>
          <w:rFonts w:ascii="宋体" w:hAnsi="宋体"/>
          <w:color w:val="auto"/>
          <w:sz w:val="24"/>
          <w:highlight w:val="none"/>
        </w:rPr>
        <w:t>规范为准。</w:t>
      </w:r>
    </w:p>
    <w:p w14:paraId="71F7C15A">
      <w:pPr>
        <w:spacing w:line="560" w:lineRule="exact"/>
        <w:ind w:firstLine="482" w:firstLineChars="200"/>
        <w:outlineLvl w:val="0"/>
        <w:rPr>
          <w:rFonts w:ascii="宋体" w:hAnsi="宋体"/>
          <w:b/>
          <w:color w:val="auto"/>
          <w:sz w:val="24"/>
          <w:highlight w:val="none"/>
        </w:rPr>
      </w:pPr>
      <w:bookmarkStart w:id="449" w:name="_Toc27945"/>
      <w:bookmarkStart w:id="450" w:name="_Toc4133"/>
      <w:bookmarkStart w:id="451" w:name="_Toc13673"/>
      <w:bookmarkStart w:id="452" w:name="_Toc12412"/>
      <w:bookmarkStart w:id="453" w:name="_Toc9161"/>
      <w:r>
        <w:rPr>
          <w:rFonts w:ascii="宋体" w:hAnsi="宋体"/>
          <w:b/>
          <w:color w:val="auto"/>
          <w:sz w:val="24"/>
          <w:highlight w:val="none"/>
        </w:rPr>
        <w:t>2.3 知识产权</w:t>
      </w:r>
      <w:bookmarkEnd w:id="449"/>
      <w:bookmarkEnd w:id="450"/>
      <w:bookmarkEnd w:id="451"/>
      <w:bookmarkEnd w:id="452"/>
      <w:bookmarkEnd w:id="453"/>
    </w:p>
    <w:p w14:paraId="7714C061">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2.3.1 </w:t>
      </w:r>
      <w:r>
        <w:rPr>
          <w:rFonts w:hint="eastAsia" w:ascii="宋体" w:hAnsi="宋体"/>
          <w:color w:val="auto"/>
          <w:sz w:val="24"/>
          <w:highlight w:val="none"/>
        </w:rPr>
        <w:t>乙</w:t>
      </w:r>
      <w:r>
        <w:rPr>
          <w:rFonts w:ascii="宋体" w:hAnsi="宋体"/>
          <w:color w:val="auto"/>
          <w:sz w:val="24"/>
          <w:highlight w:val="none"/>
        </w:rPr>
        <w:t>方应保证</w:t>
      </w:r>
      <w:r>
        <w:rPr>
          <w:rFonts w:hint="eastAsia" w:ascii="宋体" w:hAnsi="宋体"/>
          <w:color w:val="auto"/>
          <w:sz w:val="24"/>
          <w:highlight w:val="none"/>
        </w:rPr>
        <w:t>其提供的服务</w:t>
      </w:r>
      <w:r>
        <w:rPr>
          <w:rFonts w:ascii="宋体" w:hAnsi="宋体"/>
          <w:color w:val="auto"/>
          <w:sz w:val="24"/>
          <w:highlight w:val="none"/>
        </w:rPr>
        <w:t>不受任何第三方提出的侵犯其著作权、商标权、专利权等知识产权方面的起诉</w:t>
      </w:r>
      <w:r>
        <w:rPr>
          <w:rFonts w:hint="eastAsia" w:ascii="宋体" w:hAnsi="宋体"/>
          <w:color w:val="auto"/>
          <w:sz w:val="24"/>
          <w:highlight w:val="none"/>
        </w:rPr>
        <w:t>；</w:t>
      </w:r>
      <w:r>
        <w:rPr>
          <w:rFonts w:ascii="宋体" w:hAnsi="宋体"/>
          <w:color w:val="auto"/>
          <w:sz w:val="24"/>
          <w:highlight w:val="none"/>
        </w:rPr>
        <w:t>如果任何第三方提出侵权</w:t>
      </w:r>
      <w:r>
        <w:rPr>
          <w:rFonts w:hint="eastAsia" w:ascii="宋体" w:hAnsi="宋体"/>
          <w:color w:val="auto"/>
          <w:sz w:val="24"/>
          <w:highlight w:val="none"/>
        </w:rPr>
        <w:t>指控</w:t>
      </w:r>
      <w:r>
        <w:rPr>
          <w:rFonts w:ascii="宋体" w:hAnsi="宋体"/>
          <w:color w:val="auto"/>
          <w:sz w:val="24"/>
          <w:highlight w:val="none"/>
        </w:rPr>
        <w:t>，那么乙方须与该第三方交涉并承担由此发生的一切责任、费用和赔偿</w:t>
      </w:r>
      <w:r>
        <w:rPr>
          <w:rFonts w:hint="eastAsia" w:ascii="宋体" w:hAnsi="宋体"/>
          <w:color w:val="auto"/>
          <w:sz w:val="24"/>
          <w:highlight w:val="none"/>
        </w:rPr>
        <w:t>，乙方还应及时澄清相关信息，使甲方声誉免受损害，甲方保留追责的权利。</w:t>
      </w:r>
    </w:p>
    <w:p w14:paraId="575EE480">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2.3.2 </w:t>
      </w:r>
      <w:r>
        <w:rPr>
          <w:rFonts w:hint="eastAsia" w:ascii="宋体" w:hAnsi="宋体"/>
          <w:color w:val="auto"/>
          <w:sz w:val="24"/>
          <w:highlight w:val="none"/>
        </w:rPr>
        <w:t>合同涉及技术成果的归属和收益的分成办法的，</w:t>
      </w:r>
      <w:r>
        <w:rPr>
          <w:rFonts w:ascii="宋体" w:hAnsi="宋体"/>
          <w:color w:val="auto"/>
          <w:sz w:val="24"/>
          <w:highlight w:val="none"/>
        </w:rPr>
        <w:t>详见</w:t>
      </w:r>
      <w:r>
        <w:rPr>
          <w:rFonts w:ascii="宋体" w:hAnsi="宋体"/>
          <w:b/>
          <w:i/>
          <w:color w:val="auto"/>
          <w:sz w:val="24"/>
          <w:highlight w:val="none"/>
          <w:u w:val="single"/>
        </w:rPr>
        <w:t>合同专用条款</w:t>
      </w:r>
      <w:r>
        <w:rPr>
          <w:rFonts w:ascii="宋体" w:hAnsi="宋体"/>
          <w:color w:val="auto"/>
          <w:sz w:val="24"/>
          <w:highlight w:val="none"/>
        </w:rPr>
        <w:t>。</w:t>
      </w:r>
    </w:p>
    <w:p w14:paraId="47E4E11B">
      <w:pPr>
        <w:spacing w:line="560" w:lineRule="exact"/>
        <w:ind w:firstLine="482" w:firstLineChars="200"/>
        <w:rPr>
          <w:rFonts w:ascii="宋体" w:hAnsi="宋体"/>
          <w:b/>
          <w:color w:val="auto"/>
          <w:sz w:val="24"/>
          <w:highlight w:val="none"/>
        </w:rPr>
      </w:pPr>
      <w:r>
        <w:rPr>
          <w:rFonts w:ascii="宋体" w:hAnsi="宋体"/>
          <w:b/>
          <w:color w:val="auto"/>
          <w:sz w:val="24"/>
          <w:highlight w:val="none"/>
        </w:rPr>
        <w:t xml:space="preserve">2.4 </w:t>
      </w:r>
      <w:r>
        <w:rPr>
          <w:rFonts w:hint="eastAsia" w:ascii="宋体" w:hAnsi="宋体"/>
          <w:b/>
          <w:color w:val="auto"/>
          <w:sz w:val="24"/>
          <w:highlight w:val="none"/>
        </w:rPr>
        <w:t>履约检查和问题反馈</w:t>
      </w:r>
    </w:p>
    <w:p w14:paraId="452AE615">
      <w:pPr>
        <w:spacing w:line="560" w:lineRule="exact"/>
        <w:ind w:firstLine="480" w:firstLineChars="200"/>
        <w:rPr>
          <w:rFonts w:ascii="宋体" w:hAnsi="宋体"/>
          <w:color w:val="auto"/>
          <w:sz w:val="24"/>
          <w:highlight w:val="none"/>
        </w:rPr>
      </w:pPr>
      <w:r>
        <w:rPr>
          <w:rFonts w:ascii="宋体" w:hAnsi="宋体"/>
          <w:color w:val="auto"/>
          <w:sz w:val="24"/>
          <w:highlight w:val="none"/>
        </w:rPr>
        <w:t>2.4.1甲方</w:t>
      </w:r>
      <w:r>
        <w:rPr>
          <w:rFonts w:hint="eastAsia" w:ascii="宋体" w:hAnsi="宋体"/>
          <w:color w:val="auto"/>
          <w:sz w:val="24"/>
          <w:highlight w:val="none"/>
        </w:rPr>
        <w:t>有权</w:t>
      </w:r>
      <w:r>
        <w:rPr>
          <w:rFonts w:ascii="宋体" w:hAnsi="宋体"/>
          <w:color w:val="auto"/>
          <w:sz w:val="24"/>
          <w:highlight w:val="none"/>
        </w:rPr>
        <w:t>在其认为必要时</w:t>
      </w:r>
      <w:r>
        <w:rPr>
          <w:rFonts w:hint="eastAsia" w:ascii="宋体" w:hAnsi="宋体"/>
          <w:color w:val="auto"/>
          <w:sz w:val="24"/>
          <w:highlight w:val="none"/>
        </w:rPr>
        <w:t>，对乙方是否能够按照合同约定提供服务进行履约检查，以确保乙方所提供的服务能够依约满足甲方之项目需求，但不得因履约检查妨碍乙方的正常工作，乙方应予积极配合；</w:t>
      </w:r>
    </w:p>
    <w:p w14:paraId="467F434E">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2.4.2 </w:t>
      </w:r>
      <w:r>
        <w:rPr>
          <w:rFonts w:hint="eastAsia" w:ascii="宋体" w:hAnsi="宋体"/>
          <w:color w:val="auto"/>
          <w:sz w:val="24"/>
          <w:highlight w:val="none"/>
        </w:rPr>
        <w:t>合同履行期间，甲方有权将履行过程中出现的问题反馈给乙方，双方当事人应以书面形式约定需要完善和改进的内容。</w:t>
      </w:r>
    </w:p>
    <w:p w14:paraId="202BEA7A">
      <w:pPr>
        <w:spacing w:line="560" w:lineRule="exact"/>
        <w:ind w:firstLine="482" w:firstLineChars="200"/>
        <w:outlineLvl w:val="0"/>
        <w:rPr>
          <w:rFonts w:ascii="宋体" w:hAnsi="宋体"/>
          <w:b/>
          <w:color w:val="auto"/>
          <w:sz w:val="24"/>
          <w:highlight w:val="none"/>
        </w:rPr>
      </w:pPr>
      <w:bookmarkStart w:id="454" w:name="_Toc26555"/>
      <w:bookmarkStart w:id="455" w:name="_Toc22011"/>
      <w:bookmarkStart w:id="456" w:name="_Toc31233"/>
      <w:bookmarkStart w:id="457" w:name="_Toc32670"/>
      <w:bookmarkStart w:id="458" w:name="_Toc15447"/>
      <w:r>
        <w:rPr>
          <w:rFonts w:ascii="宋体" w:hAnsi="宋体"/>
          <w:b/>
          <w:color w:val="auto"/>
          <w:sz w:val="24"/>
          <w:highlight w:val="none"/>
        </w:rPr>
        <w:t>2.5 结算方式和付款条件</w:t>
      </w:r>
      <w:bookmarkEnd w:id="454"/>
      <w:bookmarkEnd w:id="455"/>
      <w:bookmarkEnd w:id="456"/>
      <w:bookmarkEnd w:id="457"/>
      <w:bookmarkEnd w:id="458"/>
    </w:p>
    <w:p w14:paraId="4529D15D">
      <w:pPr>
        <w:spacing w:line="560" w:lineRule="exact"/>
        <w:ind w:firstLine="480" w:firstLineChars="200"/>
        <w:rPr>
          <w:rFonts w:ascii="宋体" w:hAnsi="宋体"/>
          <w:color w:val="auto"/>
          <w:sz w:val="24"/>
          <w:highlight w:val="none"/>
        </w:rPr>
      </w:pPr>
      <w:r>
        <w:rPr>
          <w:rFonts w:ascii="宋体" w:hAnsi="宋体"/>
          <w:color w:val="auto"/>
          <w:sz w:val="24"/>
          <w:highlight w:val="none"/>
        </w:rPr>
        <w:t>详见</w:t>
      </w:r>
      <w:r>
        <w:rPr>
          <w:rFonts w:ascii="宋体" w:hAnsi="宋体"/>
          <w:b/>
          <w:i/>
          <w:color w:val="auto"/>
          <w:sz w:val="24"/>
          <w:highlight w:val="none"/>
          <w:u w:val="single"/>
        </w:rPr>
        <w:t>合同专用条款</w:t>
      </w:r>
      <w:r>
        <w:rPr>
          <w:rFonts w:ascii="宋体" w:hAnsi="宋体"/>
          <w:color w:val="auto"/>
          <w:sz w:val="24"/>
          <w:highlight w:val="none"/>
        </w:rPr>
        <w:t>。</w:t>
      </w:r>
    </w:p>
    <w:p w14:paraId="055478F5">
      <w:pPr>
        <w:spacing w:line="560" w:lineRule="exact"/>
        <w:ind w:firstLine="482" w:firstLineChars="200"/>
        <w:outlineLvl w:val="0"/>
        <w:rPr>
          <w:rFonts w:ascii="宋体" w:hAnsi="宋体"/>
          <w:b/>
          <w:color w:val="auto"/>
          <w:sz w:val="24"/>
          <w:highlight w:val="none"/>
        </w:rPr>
      </w:pPr>
      <w:bookmarkStart w:id="459" w:name="_Toc30507"/>
      <w:bookmarkStart w:id="460" w:name="_Toc13154"/>
      <w:bookmarkStart w:id="461" w:name="_Toc13467"/>
      <w:bookmarkStart w:id="462" w:name="_Toc18990"/>
      <w:bookmarkStart w:id="463" w:name="_Toc16163"/>
      <w:r>
        <w:rPr>
          <w:rFonts w:ascii="宋体" w:hAnsi="宋体"/>
          <w:b/>
          <w:color w:val="auto"/>
          <w:sz w:val="24"/>
          <w:highlight w:val="none"/>
        </w:rPr>
        <w:t>2.6 技术资料和保密义务</w:t>
      </w:r>
      <w:bookmarkEnd w:id="459"/>
      <w:bookmarkEnd w:id="460"/>
      <w:bookmarkEnd w:id="461"/>
      <w:bookmarkEnd w:id="462"/>
      <w:bookmarkEnd w:id="463"/>
    </w:p>
    <w:p w14:paraId="623AE50C">
      <w:pPr>
        <w:spacing w:line="560" w:lineRule="exact"/>
        <w:ind w:firstLine="480" w:firstLineChars="200"/>
        <w:rPr>
          <w:rFonts w:ascii="宋体" w:hAnsi="宋体"/>
          <w:color w:val="auto"/>
          <w:sz w:val="24"/>
          <w:highlight w:val="none"/>
        </w:rPr>
      </w:pPr>
      <w:r>
        <w:rPr>
          <w:rFonts w:ascii="宋体" w:hAnsi="宋体"/>
          <w:color w:val="auto"/>
          <w:sz w:val="24"/>
          <w:highlight w:val="none"/>
        </w:rPr>
        <w:t>2.6.1 乙方有权依据合同约定和项目需要，向甲方了解有关情况，调阅有关资料等，甲方应予积极配合；</w:t>
      </w:r>
    </w:p>
    <w:p w14:paraId="4D3729D1">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2.6.2 </w:t>
      </w:r>
      <w:r>
        <w:rPr>
          <w:rFonts w:hint="eastAsia" w:ascii="宋体" w:hAnsi="宋体"/>
          <w:color w:val="auto"/>
          <w:sz w:val="24"/>
          <w:highlight w:val="none"/>
        </w:rPr>
        <w:t>乙方有义务妥善保管和保护由甲方提供的前款信息和资料等；</w:t>
      </w:r>
    </w:p>
    <w:p w14:paraId="446500AC">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2.6.3 </w:t>
      </w:r>
      <w:r>
        <w:rPr>
          <w:rFonts w:hint="eastAsia" w:ascii="宋体" w:hAnsi="宋体"/>
          <w:color w:val="auto"/>
          <w:sz w:val="24"/>
          <w:highlight w:val="none"/>
        </w:rPr>
        <w:t>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color w:val="auto"/>
          <w:sz w:val="24"/>
          <w:highlight w:val="none"/>
        </w:rPr>
        <w:t>技术情报</w:t>
      </w:r>
      <w:r>
        <w:rPr>
          <w:rFonts w:hint="eastAsia" w:ascii="宋体" w:hAnsi="宋体"/>
          <w:color w:val="auto"/>
          <w:sz w:val="24"/>
          <w:highlight w:val="none"/>
        </w:rPr>
        <w:t>、</w:t>
      </w:r>
      <w:r>
        <w:rPr>
          <w:rFonts w:ascii="宋体" w:hAnsi="宋体"/>
          <w:color w:val="auto"/>
          <w:sz w:val="24"/>
          <w:highlight w:val="none"/>
        </w:rPr>
        <w:t>技术资料</w:t>
      </w:r>
      <w:r>
        <w:rPr>
          <w:rFonts w:hint="eastAsia" w:ascii="宋体" w:hAnsi="宋体"/>
          <w:color w:val="auto"/>
          <w:sz w:val="24"/>
          <w:highlight w:val="none"/>
        </w:rPr>
        <w:t>、商业秘密和商业信息等，并采取一切合理和必要措施和方式防止任何第三方接触到对方当事人的上述保密信息和资料。</w:t>
      </w:r>
    </w:p>
    <w:p w14:paraId="7DD935D1">
      <w:pPr>
        <w:spacing w:line="560" w:lineRule="exact"/>
        <w:ind w:firstLine="482" w:firstLineChars="200"/>
        <w:outlineLvl w:val="0"/>
        <w:rPr>
          <w:rFonts w:ascii="宋体" w:hAnsi="宋体"/>
          <w:b/>
          <w:color w:val="auto"/>
          <w:sz w:val="24"/>
          <w:highlight w:val="none"/>
        </w:rPr>
      </w:pPr>
      <w:bookmarkStart w:id="464" w:name="_Toc19069"/>
      <w:r>
        <w:rPr>
          <w:rFonts w:ascii="宋体" w:hAnsi="宋体"/>
          <w:b/>
          <w:color w:val="auto"/>
          <w:sz w:val="24"/>
          <w:highlight w:val="none"/>
        </w:rPr>
        <w:t xml:space="preserve">2.7 </w:t>
      </w:r>
      <w:r>
        <w:rPr>
          <w:rFonts w:hint="eastAsia" w:ascii="宋体" w:hAnsi="宋体"/>
          <w:b/>
          <w:color w:val="auto"/>
          <w:sz w:val="24"/>
          <w:highlight w:val="none"/>
        </w:rPr>
        <w:t>质量保证</w:t>
      </w:r>
      <w:bookmarkEnd w:id="464"/>
    </w:p>
    <w:p w14:paraId="02CCDF41">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2.7.1 </w:t>
      </w:r>
      <w:r>
        <w:rPr>
          <w:rFonts w:hint="eastAsia" w:ascii="宋体" w:hAnsi="宋体"/>
          <w:color w:val="auto"/>
          <w:sz w:val="24"/>
          <w:highlight w:val="none"/>
        </w:rPr>
        <w:t>乙方应建立和完善履行合同的内部质量保证体系，并提供相关内部规章制度给甲方，以便甲方进行监督检查；</w:t>
      </w:r>
    </w:p>
    <w:p w14:paraId="4D4BBF93">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2.7.2 </w:t>
      </w:r>
      <w:r>
        <w:rPr>
          <w:rFonts w:hint="eastAsia" w:ascii="宋体" w:hAnsi="宋体"/>
          <w:color w:val="auto"/>
          <w:sz w:val="24"/>
          <w:highlight w:val="none"/>
        </w:rPr>
        <w:t>乙方应保证履行合同的人员数量和素质、软件和硬件设备的配置、场地、环境和设施等满足全面履行合同的要求，并应接受甲方的监督检查。</w:t>
      </w:r>
    </w:p>
    <w:p w14:paraId="7A7AA29E">
      <w:pPr>
        <w:spacing w:line="560" w:lineRule="exact"/>
        <w:ind w:firstLine="482" w:firstLineChars="200"/>
        <w:outlineLvl w:val="0"/>
        <w:rPr>
          <w:rFonts w:ascii="宋体" w:hAnsi="宋体"/>
          <w:b/>
          <w:color w:val="auto"/>
          <w:sz w:val="24"/>
          <w:highlight w:val="none"/>
        </w:rPr>
      </w:pPr>
      <w:bookmarkStart w:id="465" w:name="_Toc22267"/>
      <w:r>
        <w:rPr>
          <w:rFonts w:ascii="宋体" w:hAnsi="宋体"/>
          <w:b/>
          <w:color w:val="auto"/>
          <w:sz w:val="24"/>
          <w:highlight w:val="none"/>
        </w:rPr>
        <w:t xml:space="preserve">2.8 </w:t>
      </w:r>
      <w:r>
        <w:rPr>
          <w:rFonts w:hint="eastAsia" w:ascii="宋体" w:hAnsi="宋体"/>
          <w:b/>
          <w:color w:val="auto"/>
          <w:sz w:val="24"/>
          <w:highlight w:val="none"/>
        </w:rPr>
        <w:t>延迟履行</w:t>
      </w:r>
      <w:bookmarkEnd w:id="465"/>
    </w:p>
    <w:p w14:paraId="7F3961DF">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甲乙双方签订合同后，乙方应按照合同约定履行合同义务，除不可抗力外，乙方不得延迟履行。</w:t>
      </w:r>
      <w:r>
        <w:rPr>
          <w:rFonts w:ascii="宋体" w:hAnsi="宋体"/>
          <w:color w:val="auto"/>
          <w:sz w:val="24"/>
          <w:highlight w:val="none"/>
        </w:rPr>
        <w:t>在合同履行过程中，如果</w:t>
      </w:r>
      <w:r>
        <w:rPr>
          <w:rFonts w:hint="eastAsia" w:ascii="宋体" w:hAnsi="宋体"/>
          <w:color w:val="auto"/>
          <w:sz w:val="24"/>
          <w:highlight w:val="none"/>
        </w:rPr>
        <w:t>因不可抗力，</w:t>
      </w:r>
      <w:r>
        <w:rPr>
          <w:rFonts w:ascii="宋体" w:hAnsi="宋体"/>
          <w:color w:val="auto"/>
          <w:sz w:val="24"/>
          <w:highlight w:val="none"/>
        </w:rPr>
        <w:t>乙方遇到不能按时</w:t>
      </w:r>
      <w:r>
        <w:rPr>
          <w:rFonts w:hint="eastAsia" w:ascii="宋体" w:hAnsi="宋体"/>
          <w:color w:val="auto"/>
          <w:sz w:val="24"/>
          <w:highlight w:val="none"/>
        </w:rPr>
        <w:t>提供服务</w:t>
      </w:r>
      <w:r>
        <w:rPr>
          <w:rFonts w:ascii="宋体" w:hAnsi="宋体"/>
          <w:color w:val="auto"/>
          <w:sz w:val="24"/>
          <w:highlight w:val="none"/>
        </w:rPr>
        <w:t>的情况，应及时以书面形式将不能按时</w:t>
      </w:r>
      <w:r>
        <w:rPr>
          <w:rFonts w:hint="eastAsia" w:ascii="宋体" w:hAnsi="宋体"/>
          <w:color w:val="auto"/>
          <w:sz w:val="24"/>
          <w:highlight w:val="none"/>
        </w:rPr>
        <w:t>提供服务</w:t>
      </w:r>
      <w:r>
        <w:rPr>
          <w:rFonts w:ascii="宋体" w:hAnsi="宋体"/>
          <w:color w:val="auto"/>
          <w:sz w:val="24"/>
          <w:highlight w:val="none"/>
        </w:rPr>
        <w:t>的理由、预期延误时间通知甲方</w:t>
      </w:r>
      <w:r>
        <w:rPr>
          <w:rFonts w:hint="eastAsia" w:ascii="宋体" w:hAnsi="宋体"/>
          <w:color w:val="auto"/>
          <w:sz w:val="24"/>
          <w:highlight w:val="none"/>
        </w:rPr>
        <w:t>；甲</w:t>
      </w:r>
      <w:r>
        <w:rPr>
          <w:rFonts w:ascii="宋体" w:hAnsi="宋体"/>
          <w:color w:val="auto"/>
          <w:sz w:val="24"/>
          <w:highlight w:val="none"/>
        </w:rPr>
        <w:t>方收到乙方通知后，认为其理由正当的，可以书面形式酌情同意乙方可以延长</w:t>
      </w:r>
      <w:r>
        <w:rPr>
          <w:rFonts w:hint="eastAsia" w:ascii="宋体" w:hAnsi="宋体"/>
          <w:color w:val="auto"/>
          <w:sz w:val="24"/>
          <w:highlight w:val="none"/>
        </w:rPr>
        <w:t>履行</w:t>
      </w:r>
      <w:r>
        <w:rPr>
          <w:rFonts w:ascii="宋体" w:hAnsi="宋体"/>
          <w:color w:val="auto"/>
          <w:sz w:val="24"/>
          <w:highlight w:val="none"/>
        </w:rPr>
        <w:t>的具体时间。</w:t>
      </w:r>
    </w:p>
    <w:p w14:paraId="534584C3">
      <w:pPr>
        <w:spacing w:line="560" w:lineRule="exact"/>
        <w:ind w:firstLine="482" w:firstLineChars="200"/>
        <w:outlineLvl w:val="0"/>
        <w:rPr>
          <w:rFonts w:ascii="宋体" w:hAnsi="宋体"/>
          <w:b/>
          <w:color w:val="auto"/>
          <w:sz w:val="24"/>
          <w:highlight w:val="none"/>
        </w:rPr>
      </w:pPr>
      <w:bookmarkStart w:id="466" w:name="_Toc10611"/>
      <w:r>
        <w:rPr>
          <w:rFonts w:ascii="宋体" w:hAnsi="宋体"/>
          <w:b/>
          <w:color w:val="auto"/>
          <w:sz w:val="24"/>
          <w:highlight w:val="none"/>
        </w:rPr>
        <w:t xml:space="preserve">2.9 </w:t>
      </w:r>
      <w:r>
        <w:rPr>
          <w:rFonts w:hint="eastAsia" w:ascii="宋体" w:hAnsi="宋体"/>
          <w:b/>
          <w:color w:val="auto"/>
          <w:sz w:val="24"/>
          <w:highlight w:val="none"/>
        </w:rPr>
        <w:t>合同变更</w:t>
      </w:r>
      <w:bookmarkEnd w:id="466"/>
    </w:p>
    <w:p w14:paraId="508ABCA9">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1AA1263B">
      <w:pPr>
        <w:spacing w:line="560" w:lineRule="exact"/>
        <w:ind w:firstLine="482" w:firstLineChars="200"/>
        <w:outlineLvl w:val="0"/>
        <w:rPr>
          <w:rFonts w:ascii="宋体" w:hAnsi="宋体"/>
          <w:b/>
          <w:color w:val="auto"/>
          <w:sz w:val="24"/>
          <w:highlight w:val="none"/>
        </w:rPr>
      </w:pPr>
      <w:bookmarkStart w:id="467" w:name="_Toc21830"/>
      <w:bookmarkStart w:id="468" w:name="_Toc42"/>
      <w:bookmarkStart w:id="469" w:name="_Toc26689"/>
      <w:bookmarkStart w:id="470" w:name="_Toc23368"/>
      <w:bookmarkStart w:id="471" w:name="_Toc10663"/>
      <w:r>
        <w:rPr>
          <w:rFonts w:ascii="宋体" w:hAnsi="宋体"/>
          <w:b/>
          <w:color w:val="auto"/>
          <w:sz w:val="24"/>
          <w:highlight w:val="none"/>
        </w:rPr>
        <w:t>2.10 合同转让和分包</w:t>
      </w:r>
      <w:bookmarkEnd w:id="467"/>
      <w:bookmarkEnd w:id="468"/>
      <w:bookmarkEnd w:id="469"/>
      <w:bookmarkEnd w:id="470"/>
      <w:bookmarkEnd w:id="471"/>
    </w:p>
    <w:p w14:paraId="3FA7DC36">
      <w:pPr>
        <w:spacing w:line="560" w:lineRule="exact"/>
        <w:ind w:firstLine="480" w:firstLineChars="200"/>
        <w:rPr>
          <w:rFonts w:ascii="宋体" w:hAnsi="宋体"/>
          <w:color w:val="auto"/>
          <w:sz w:val="24"/>
          <w:highlight w:val="none"/>
        </w:rPr>
      </w:pPr>
      <w:r>
        <w:rPr>
          <w:rFonts w:ascii="宋体" w:hAnsi="宋体"/>
          <w:color w:val="auto"/>
          <w:sz w:val="24"/>
          <w:highlight w:val="none"/>
        </w:rPr>
        <w:t>合同的权利义务依法不</w:t>
      </w:r>
      <w:r>
        <w:rPr>
          <w:rFonts w:hint="eastAsia" w:ascii="宋体" w:hAnsi="宋体"/>
          <w:color w:val="auto"/>
          <w:sz w:val="24"/>
          <w:highlight w:val="none"/>
        </w:rPr>
        <w:t>得</w:t>
      </w:r>
      <w:r>
        <w:rPr>
          <w:rFonts w:ascii="宋体" w:hAnsi="宋体"/>
          <w:color w:val="auto"/>
          <w:sz w:val="24"/>
          <w:highlight w:val="none"/>
        </w:rPr>
        <w:t>转让</w:t>
      </w:r>
      <w:r>
        <w:rPr>
          <w:rFonts w:hint="eastAsia" w:ascii="宋体" w:hAnsi="宋体"/>
          <w:color w:val="auto"/>
          <w:sz w:val="24"/>
          <w:highlight w:val="none"/>
        </w:rPr>
        <w:t>，</w:t>
      </w:r>
      <w:r>
        <w:rPr>
          <w:rFonts w:ascii="宋体" w:hAnsi="宋体"/>
          <w:color w:val="auto"/>
          <w:sz w:val="24"/>
          <w:highlight w:val="none"/>
        </w:rPr>
        <w:t>但经甲方</w:t>
      </w:r>
      <w:r>
        <w:rPr>
          <w:rFonts w:hint="eastAsia" w:ascii="宋体" w:hAnsi="宋体"/>
          <w:color w:val="auto"/>
          <w:sz w:val="24"/>
          <w:highlight w:val="none"/>
        </w:rPr>
        <w:t>同意，乙方可以依法采取分包方式履行合同，即：依法可以</w:t>
      </w:r>
      <w:r>
        <w:rPr>
          <w:rFonts w:ascii="宋体" w:hAnsi="宋体"/>
          <w:color w:val="auto"/>
          <w:sz w:val="24"/>
          <w:highlight w:val="none"/>
        </w:rPr>
        <w:t>将合同项下的部分非主体、非关键性工作分包给他人完成</w:t>
      </w:r>
      <w:r>
        <w:rPr>
          <w:rFonts w:hint="eastAsia" w:ascii="宋体" w:hAnsi="宋体"/>
          <w:color w:val="auto"/>
          <w:sz w:val="24"/>
          <w:highlight w:val="none"/>
        </w:rPr>
        <w:t>，</w:t>
      </w:r>
      <w:r>
        <w:rPr>
          <w:rFonts w:ascii="宋体" w:hAnsi="宋体"/>
          <w:color w:val="auto"/>
          <w:sz w:val="24"/>
          <w:highlight w:val="none"/>
        </w:rPr>
        <w:t>接受分包的人应当具备相应的资格条件，并不得再次分包</w:t>
      </w:r>
      <w:r>
        <w:rPr>
          <w:rFonts w:hint="eastAsia" w:ascii="宋体" w:hAnsi="宋体"/>
          <w:color w:val="auto"/>
          <w:sz w:val="24"/>
          <w:highlight w:val="none"/>
        </w:rPr>
        <w:t>，</w:t>
      </w:r>
      <w:r>
        <w:rPr>
          <w:rFonts w:ascii="宋体" w:hAnsi="宋体"/>
          <w:color w:val="auto"/>
          <w:sz w:val="24"/>
          <w:highlight w:val="none"/>
        </w:rPr>
        <w:t>且乙方应就分包项目向甲方负责</w:t>
      </w:r>
      <w:r>
        <w:rPr>
          <w:rFonts w:hint="eastAsia" w:ascii="宋体" w:hAnsi="宋体"/>
          <w:color w:val="auto"/>
          <w:sz w:val="24"/>
          <w:highlight w:val="none"/>
        </w:rPr>
        <w:t>，</w:t>
      </w:r>
      <w:r>
        <w:rPr>
          <w:rFonts w:ascii="宋体" w:hAnsi="宋体"/>
          <w:color w:val="auto"/>
          <w:sz w:val="24"/>
          <w:highlight w:val="none"/>
        </w:rPr>
        <w:t>并</w:t>
      </w:r>
      <w:r>
        <w:rPr>
          <w:rFonts w:hint="eastAsia" w:ascii="宋体" w:hAnsi="宋体"/>
          <w:color w:val="auto"/>
          <w:sz w:val="24"/>
          <w:highlight w:val="none"/>
        </w:rPr>
        <w:t>与分包供应商就分包项目向甲方承担连带责任。</w:t>
      </w:r>
    </w:p>
    <w:p w14:paraId="49C69B6B">
      <w:pPr>
        <w:spacing w:line="560" w:lineRule="exact"/>
        <w:ind w:firstLine="482" w:firstLineChars="200"/>
        <w:outlineLvl w:val="0"/>
        <w:rPr>
          <w:rFonts w:ascii="宋体" w:hAnsi="宋体"/>
          <w:b/>
          <w:color w:val="auto"/>
          <w:sz w:val="24"/>
          <w:highlight w:val="none"/>
        </w:rPr>
      </w:pPr>
      <w:bookmarkStart w:id="472" w:name="_Toc4720"/>
      <w:bookmarkStart w:id="473" w:name="_Toc25571"/>
      <w:bookmarkStart w:id="474" w:name="_Toc14371"/>
      <w:bookmarkStart w:id="475" w:name="_Toc26633"/>
      <w:bookmarkStart w:id="476" w:name="_Toc32494"/>
      <w:r>
        <w:rPr>
          <w:rFonts w:ascii="宋体" w:hAnsi="宋体"/>
          <w:b/>
          <w:color w:val="auto"/>
          <w:sz w:val="24"/>
          <w:highlight w:val="none"/>
        </w:rPr>
        <w:t>2.11 不可抗力</w:t>
      </w:r>
      <w:bookmarkEnd w:id="472"/>
      <w:bookmarkEnd w:id="473"/>
      <w:bookmarkEnd w:id="474"/>
      <w:bookmarkEnd w:id="475"/>
      <w:bookmarkEnd w:id="476"/>
    </w:p>
    <w:p w14:paraId="0DF3B5CA">
      <w:pPr>
        <w:spacing w:line="560" w:lineRule="exact"/>
        <w:ind w:firstLine="480" w:firstLineChars="200"/>
        <w:rPr>
          <w:rFonts w:ascii="宋体" w:hAnsi="宋体"/>
          <w:color w:val="auto"/>
          <w:sz w:val="24"/>
          <w:highlight w:val="none"/>
        </w:rPr>
      </w:pPr>
      <w:r>
        <w:rPr>
          <w:rFonts w:ascii="宋体" w:hAnsi="宋体"/>
          <w:color w:val="auto"/>
          <w:sz w:val="24"/>
          <w:highlight w:val="none"/>
        </w:rPr>
        <w:t>2.11.1如果任何一方遭遇法律规定的不可抗力，致使合同履行受阻时，履行合同的期限应予延长，延长的期限应相当于不可抗力所影响的时间</w:t>
      </w:r>
      <w:r>
        <w:rPr>
          <w:rFonts w:hint="eastAsia" w:ascii="宋体" w:hAnsi="宋体"/>
          <w:color w:val="auto"/>
          <w:sz w:val="24"/>
          <w:highlight w:val="none"/>
        </w:rPr>
        <w:t>；</w:t>
      </w:r>
    </w:p>
    <w:p w14:paraId="64E5262E">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2.11.2 </w:t>
      </w:r>
      <w:r>
        <w:rPr>
          <w:rFonts w:hint="eastAsia" w:ascii="宋体" w:hAnsi="宋体"/>
          <w:color w:val="auto"/>
          <w:sz w:val="24"/>
          <w:highlight w:val="none"/>
        </w:rPr>
        <w:t>因不可抗力致使不能实现合同目的的，当事人可以解除合同；</w:t>
      </w:r>
    </w:p>
    <w:p w14:paraId="2372A5A1">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2.11.3 </w:t>
      </w:r>
      <w:r>
        <w:rPr>
          <w:rFonts w:hint="eastAsia" w:ascii="宋体" w:hAnsi="宋体"/>
          <w:color w:val="auto"/>
          <w:sz w:val="24"/>
          <w:highlight w:val="none"/>
        </w:rPr>
        <w:t>因</w:t>
      </w:r>
      <w:r>
        <w:rPr>
          <w:rFonts w:ascii="宋体" w:hAnsi="宋体"/>
          <w:color w:val="auto"/>
          <w:sz w:val="24"/>
          <w:highlight w:val="none"/>
        </w:rPr>
        <w:t>不可抗力致使合同有变更必要的，双方当事人应在</w:t>
      </w:r>
      <w:r>
        <w:rPr>
          <w:rFonts w:ascii="宋体" w:hAnsi="宋体"/>
          <w:b/>
          <w:i/>
          <w:color w:val="auto"/>
          <w:sz w:val="24"/>
          <w:highlight w:val="none"/>
          <w:u w:val="single"/>
        </w:rPr>
        <w:t>合同专用条款</w:t>
      </w:r>
      <w:r>
        <w:rPr>
          <w:rFonts w:ascii="宋体" w:hAnsi="宋体"/>
          <w:color w:val="auto"/>
          <w:sz w:val="24"/>
          <w:highlight w:val="none"/>
        </w:rPr>
        <w:t>约定时间内以书面形式变更合同</w:t>
      </w:r>
      <w:r>
        <w:rPr>
          <w:rFonts w:hint="eastAsia" w:ascii="宋体" w:hAnsi="宋体"/>
          <w:color w:val="auto"/>
          <w:sz w:val="24"/>
          <w:highlight w:val="none"/>
        </w:rPr>
        <w:t>；</w:t>
      </w:r>
    </w:p>
    <w:p w14:paraId="3ACF4E18">
      <w:pPr>
        <w:spacing w:line="560" w:lineRule="exact"/>
        <w:ind w:firstLine="480" w:firstLineChars="200"/>
        <w:rPr>
          <w:rFonts w:ascii="宋体" w:hAnsi="宋体"/>
          <w:color w:val="auto"/>
          <w:sz w:val="24"/>
          <w:highlight w:val="none"/>
        </w:rPr>
      </w:pPr>
      <w:r>
        <w:rPr>
          <w:rFonts w:ascii="宋体" w:hAnsi="宋体"/>
          <w:color w:val="auto"/>
          <w:sz w:val="24"/>
          <w:highlight w:val="none"/>
        </w:rPr>
        <w:t>2.11.4受</w:t>
      </w:r>
      <w:r>
        <w:rPr>
          <w:rFonts w:hint="eastAsia" w:ascii="宋体" w:hAnsi="宋体"/>
          <w:color w:val="auto"/>
          <w:sz w:val="24"/>
          <w:highlight w:val="none"/>
        </w:rPr>
        <w:t>不可抗力</w:t>
      </w:r>
      <w:r>
        <w:rPr>
          <w:rFonts w:ascii="宋体" w:hAnsi="宋体"/>
          <w:color w:val="auto"/>
          <w:sz w:val="24"/>
          <w:highlight w:val="none"/>
        </w:rPr>
        <w:t>影响的一方在不可抗力发生后</w:t>
      </w:r>
      <w:r>
        <w:rPr>
          <w:rFonts w:hint="eastAsia" w:ascii="宋体" w:hAnsi="宋体"/>
          <w:color w:val="auto"/>
          <w:sz w:val="24"/>
          <w:highlight w:val="none"/>
        </w:rPr>
        <w:t>，</w:t>
      </w:r>
      <w:r>
        <w:rPr>
          <w:rFonts w:ascii="宋体" w:hAnsi="宋体"/>
          <w:color w:val="auto"/>
          <w:sz w:val="24"/>
          <w:highlight w:val="none"/>
        </w:rPr>
        <w:t>应在</w:t>
      </w:r>
      <w:r>
        <w:rPr>
          <w:rFonts w:ascii="宋体" w:hAnsi="宋体"/>
          <w:b/>
          <w:i/>
          <w:color w:val="auto"/>
          <w:sz w:val="24"/>
          <w:highlight w:val="none"/>
          <w:u w:val="single"/>
        </w:rPr>
        <w:t>合同专用条款</w:t>
      </w:r>
      <w:r>
        <w:rPr>
          <w:rFonts w:ascii="宋体" w:hAnsi="宋体"/>
          <w:color w:val="auto"/>
          <w:sz w:val="24"/>
          <w:highlight w:val="none"/>
        </w:rPr>
        <w:t>约定时间内以书面形式通知</w:t>
      </w:r>
      <w:r>
        <w:rPr>
          <w:rFonts w:hint="eastAsia" w:ascii="宋体" w:hAnsi="宋体"/>
          <w:color w:val="auto"/>
          <w:sz w:val="24"/>
          <w:highlight w:val="none"/>
        </w:rPr>
        <w:t>对</w:t>
      </w:r>
      <w:r>
        <w:rPr>
          <w:rFonts w:ascii="宋体" w:hAnsi="宋体"/>
          <w:color w:val="auto"/>
          <w:sz w:val="24"/>
          <w:highlight w:val="none"/>
        </w:rPr>
        <w:t>方当事人，并在</w:t>
      </w:r>
      <w:r>
        <w:rPr>
          <w:rFonts w:ascii="宋体" w:hAnsi="宋体"/>
          <w:b/>
          <w:i/>
          <w:color w:val="auto"/>
          <w:sz w:val="24"/>
          <w:highlight w:val="none"/>
          <w:u w:val="single"/>
        </w:rPr>
        <w:t>合同专用条款</w:t>
      </w:r>
      <w:r>
        <w:rPr>
          <w:rFonts w:ascii="宋体" w:hAnsi="宋体"/>
          <w:color w:val="auto"/>
          <w:sz w:val="24"/>
          <w:highlight w:val="none"/>
        </w:rPr>
        <w:t>约定时间内，将有关部门出具的证明文件送达</w:t>
      </w:r>
      <w:r>
        <w:rPr>
          <w:rFonts w:hint="eastAsia" w:ascii="宋体" w:hAnsi="宋体"/>
          <w:color w:val="auto"/>
          <w:sz w:val="24"/>
          <w:highlight w:val="none"/>
        </w:rPr>
        <w:t>对方当事人</w:t>
      </w:r>
      <w:r>
        <w:rPr>
          <w:rFonts w:ascii="宋体" w:hAnsi="宋体"/>
          <w:color w:val="auto"/>
          <w:sz w:val="24"/>
          <w:highlight w:val="none"/>
        </w:rPr>
        <w:t>。</w:t>
      </w:r>
    </w:p>
    <w:p w14:paraId="443DE30D">
      <w:pPr>
        <w:spacing w:line="560" w:lineRule="exact"/>
        <w:ind w:firstLine="482" w:firstLineChars="200"/>
        <w:outlineLvl w:val="0"/>
        <w:rPr>
          <w:rFonts w:ascii="宋体" w:hAnsi="宋体"/>
          <w:b/>
          <w:color w:val="auto"/>
          <w:sz w:val="24"/>
          <w:highlight w:val="none"/>
        </w:rPr>
      </w:pPr>
      <w:bookmarkStart w:id="477" w:name="_Toc23854"/>
      <w:bookmarkStart w:id="478" w:name="_Toc24465"/>
      <w:bookmarkStart w:id="479" w:name="_Toc14115"/>
      <w:bookmarkStart w:id="480" w:name="_Toc3638"/>
      <w:bookmarkStart w:id="481" w:name="_Toc25783"/>
      <w:r>
        <w:rPr>
          <w:rFonts w:ascii="宋体" w:hAnsi="宋体"/>
          <w:b/>
          <w:color w:val="auto"/>
          <w:sz w:val="24"/>
          <w:highlight w:val="none"/>
        </w:rPr>
        <w:t>2.12 税费</w:t>
      </w:r>
      <w:bookmarkEnd w:id="477"/>
      <w:bookmarkEnd w:id="478"/>
      <w:bookmarkEnd w:id="479"/>
      <w:bookmarkEnd w:id="480"/>
      <w:bookmarkEnd w:id="481"/>
    </w:p>
    <w:p w14:paraId="17CC4EA6">
      <w:pPr>
        <w:spacing w:line="560" w:lineRule="exact"/>
        <w:ind w:firstLine="480" w:firstLineChars="200"/>
        <w:rPr>
          <w:rFonts w:ascii="宋体" w:hAnsi="宋体"/>
          <w:color w:val="auto"/>
          <w:sz w:val="24"/>
          <w:highlight w:val="none"/>
        </w:rPr>
      </w:pPr>
      <w:r>
        <w:rPr>
          <w:rFonts w:ascii="宋体" w:hAnsi="宋体"/>
          <w:color w:val="auto"/>
          <w:sz w:val="24"/>
          <w:highlight w:val="none"/>
        </w:rPr>
        <w:t>与合同有关的一切税费</w:t>
      </w:r>
      <w:r>
        <w:rPr>
          <w:rFonts w:hint="eastAsia" w:ascii="宋体" w:hAnsi="宋体"/>
          <w:color w:val="auto"/>
          <w:sz w:val="24"/>
          <w:highlight w:val="none"/>
        </w:rPr>
        <w:t>，</w:t>
      </w:r>
      <w:r>
        <w:rPr>
          <w:rFonts w:ascii="宋体" w:hAnsi="宋体"/>
          <w:color w:val="auto"/>
          <w:sz w:val="24"/>
          <w:highlight w:val="none"/>
        </w:rPr>
        <w:t>均按照中华人民共和国法律的相关规定缴纳。</w:t>
      </w:r>
    </w:p>
    <w:p w14:paraId="2CC78CAE">
      <w:pPr>
        <w:spacing w:line="560" w:lineRule="exact"/>
        <w:ind w:firstLine="482" w:firstLineChars="200"/>
        <w:outlineLvl w:val="0"/>
        <w:rPr>
          <w:rFonts w:ascii="宋体" w:hAnsi="宋体"/>
          <w:b/>
          <w:color w:val="auto"/>
          <w:sz w:val="24"/>
          <w:highlight w:val="none"/>
        </w:rPr>
      </w:pPr>
      <w:bookmarkStart w:id="482" w:name="_Toc26883"/>
      <w:bookmarkStart w:id="483" w:name="_Toc30105"/>
      <w:bookmarkStart w:id="484" w:name="_Toc7315"/>
      <w:bookmarkStart w:id="485" w:name="_Toc25525"/>
      <w:bookmarkStart w:id="486" w:name="_Toc14814"/>
      <w:r>
        <w:rPr>
          <w:rFonts w:ascii="宋体" w:hAnsi="宋体"/>
          <w:b/>
          <w:color w:val="auto"/>
          <w:sz w:val="24"/>
          <w:highlight w:val="none"/>
        </w:rPr>
        <w:t>2.13 乙方破产</w:t>
      </w:r>
      <w:bookmarkEnd w:id="482"/>
      <w:bookmarkEnd w:id="483"/>
      <w:bookmarkEnd w:id="484"/>
      <w:bookmarkEnd w:id="485"/>
      <w:bookmarkEnd w:id="486"/>
    </w:p>
    <w:p w14:paraId="4470C645">
      <w:pPr>
        <w:spacing w:line="560" w:lineRule="exact"/>
        <w:ind w:firstLine="480" w:firstLineChars="200"/>
        <w:rPr>
          <w:rFonts w:ascii="宋体" w:hAnsi="宋体"/>
          <w:color w:val="auto"/>
          <w:sz w:val="24"/>
          <w:highlight w:val="none"/>
        </w:rPr>
      </w:pPr>
      <w:r>
        <w:rPr>
          <w:rFonts w:ascii="宋体" w:hAnsi="宋体"/>
          <w:color w:val="auto"/>
          <w:sz w:val="24"/>
          <w:highlight w:val="none"/>
        </w:rPr>
        <w:t>如果乙方破产导致合同无法履行时，甲方可以书面形式通知乙方终止合同且不给予乙方任何补偿和赔偿</w:t>
      </w:r>
      <w:r>
        <w:rPr>
          <w:rFonts w:hint="eastAsia" w:ascii="宋体" w:hAnsi="宋体"/>
          <w:color w:val="auto"/>
          <w:sz w:val="24"/>
          <w:highlight w:val="none"/>
        </w:rPr>
        <w:t>，但合同的</w:t>
      </w:r>
      <w:r>
        <w:rPr>
          <w:rFonts w:ascii="宋体" w:hAnsi="宋体"/>
          <w:color w:val="auto"/>
          <w:sz w:val="24"/>
          <w:highlight w:val="none"/>
        </w:rPr>
        <w:t>终止不损害或不影响甲方已经采取或将要采取的任何要求乙方支付违约金</w:t>
      </w:r>
      <w:r>
        <w:rPr>
          <w:rFonts w:hint="eastAsia" w:ascii="宋体" w:hAnsi="宋体"/>
          <w:color w:val="auto"/>
          <w:sz w:val="24"/>
          <w:highlight w:val="none"/>
        </w:rPr>
        <w:t>、</w:t>
      </w:r>
      <w:r>
        <w:rPr>
          <w:rFonts w:ascii="宋体" w:hAnsi="宋体"/>
          <w:color w:val="auto"/>
          <w:sz w:val="24"/>
          <w:highlight w:val="none"/>
        </w:rPr>
        <w:t>赔偿损失等的行动或补救措施的权利</w:t>
      </w:r>
      <w:r>
        <w:rPr>
          <w:rFonts w:hint="eastAsia" w:ascii="宋体" w:hAnsi="宋体"/>
          <w:color w:val="auto"/>
          <w:sz w:val="24"/>
          <w:highlight w:val="none"/>
        </w:rPr>
        <w:t>。</w:t>
      </w:r>
    </w:p>
    <w:p w14:paraId="149F8EAE">
      <w:pPr>
        <w:spacing w:line="560" w:lineRule="exact"/>
        <w:ind w:firstLine="482" w:firstLineChars="200"/>
        <w:outlineLvl w:val="0"/>
        <w:rPr>
          <w:rFonts w:ascii="宋体" w:hAnsi="宋体"/>
          <w:b/>
          <w:color w:val="auto"/>
          <w:sz w:val="24"/>
          <w:highlight w:val="none"/>
        </w:rPr>
      </w:pPr>
      <w:bookmarkStart w:id="487" w:name="_Toc1123"/>
      <w:bookmarkStart w:id="488" w:name="_Toc2016"/>
      <w:bookmarkStart w:id="489" w:name="_Toc23323"/>
      <w:r>
        <w:rPr>
          <w:rFonts w:ascii="宋体" w:hAnsi="宋体"/>
          <w:b/>
          <w:color w:val="auto"/>
          <w:sz w:val="24"/>
          <w:highlight w:val="none"/>
        </w:rPr>
        <w:t>2.14 合同中止、终止</w:t>
      </w:r>
      <w:bookmarkEnd w:id="487"/>
      <w:bookmarkEnd w:id="488"/>
      <w:bookmarkEnd w:id="489"/>
    </w:p>
    <w:p w14:paraId="57D16938">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2.14.1 </w:t>
      </w:r>
      <w:r>
        <w:rPr>
          <w:rFonts w:hint="eastAsia" w:ascii="宋体" w:hAnsi="宋体"/>
          <w:color w:val="auto"/>
          <w:sz w:val="24"/>
          <w:highlight w:val="none"/>
        </w:rPr>
        <w:t>双方当事人不得擅自中止或者终止合同；</w:t>
      </w:r>
    </w:p>
    <w:p w14:paraId="2128FFA7">
      <w:pPr>
        <w:spacing w:line="560" w:lineRule="exact"/>
        <w:ind w:firstLine="480" w:firstLineChars="200"/>
        <w:rPr>
          <w:rFonts w:ascii="宋体" w:hAnsi="宋体"/>
          <w:color w:val="auto"/>
          <w:sz w:val="24"/>
          <w:highlight w:val="none"/>
        </w:rPr>
      </w:pPr>
      <w:r>
        <w:rPr>
          <w:rFonts w:ascii="宋体" w:hAnsi="宋体"/>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0D874C7">
      <w:pPr>
        <w:spacing w:line="560" w:lineRule="exact"/>
        <w:ind w:firstLine="482" w:firstLineChars="200"/>
        <w:outlineLvl w:val="0"/>
        <w:rPr>
          <w:rFonts w:ascii="宋体" w:hAnsi="宋体"/>
          <w:b/>
          <w:color w:val="auto"/>
          <w:sz w:val="24"/>
          <w:highlight w:val="none"/>
        </w:rPr>
      </w:pPr>
      <w:bookmarkStart w:id="490" w:name="_Toc14525"/>
      <w:bookmarkStart w:id="491" w:name="_Toc17363"/>
      <w:bookmarkStart w:id="492" w:name="_Toc1969"/>
      <w:r>
        <w:rPr>
          <w:rFonts w:ascii="宋体" w:hAnsi="宋体"/>
          <w:b/>
          <w:color w:val="auto"/>
          <w:sz w:val="24"/>
          <w:highlight w:val="none"/>
        </w:rPr>
        <w:t>2.15 检验和验收</w:t>
      </w:r>
      <w:bookmarkEnd w:id="490"/>
      <w:bookmarkEnd w:id="491"/>
      <w:bookmarkEnd w:id="492"/>
    </w:p>
    <w:p w14:paraId="10BB3C75">
      <w:pPr>
        <w:tabs>
          <w:tab w:val="left" w:pos="360"/>
          <w:tab w:val="left" w:pos="540"/>
          <w:tab w:val="left" w:pos="1080"/>
        </w:tabs>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2.15.1 </w:t>
      </w:r>
      <w:r>
        <w:rPr>
          <w:rFonts w:hint="eastAsia" w:ascii="宋体" w:hAnsi="宋体"/>
          <w:color w:val="auto"/>
          <w:sz w:val="24"/>
          <w:highlight w:val="none"/>
        </w:rPr>
        <w:t>乙方按照</w:t>
      </w:r>
      <w:r>
        <w:rPr>
          <w:rFonts w:ascii="宋体" w:hAnsi="宋体"/>
          <w:b/>
          <w:i/>
          <w:color w:val="auto"/>
          <w:sz w:val="24"/>
          <w:highlight w:val="none"/>
          <w:u w:val="single"/>
        </w:rPr>
        <w:t>合同专用条款</w:t>
      </w:r>
      <w:r>
        <w:rPr>
          <w:rFonts w:ascii="宋体" w:hAnsi="宋体"/>
          <w:color w:val="auto"/>
          <w:sz w:val="24"/>
          <w:highlight w:val="none"/>
        </w:rPr>
        <w:t>的约定</w:t>
      </w:r>
      <w:r>
        <w:rPr>
          <w:rFonts w:hint="eastAsia" w:ascii="宋体" w:hAnsi="宋体"/>
          <w:color w:val="auto"/>
          <w:sz w:val="24"/>
          <w:highlight w:val="none"/>
        </w:rPr>
        <w:t>，</w:t>
      </w:r>
      <w:r>
        <w:rPr>
          <w:rFonts w:ascii="宋体" w:hAnsi="宋体"/>
          <w:color w:val="auto"/>
          <w:sz w:val="24"/>
          <w:highlight w:val="none"/>
        </w:rPr>
        <w:t>定期提交服务报告</w:t>
      </w:r>
      <w:r>
        <w:rPr>
          <w:rFonts w:hint="eastAsia" w:ascii="宋体" w:hAnsi="宋体"/>
          <w:color w:val="auto"/>
          <w:sz w:val="24"/>
          <w:highlight w:val="none"/>
        </w:rPr>
        <w:t>，甲方按照</w:t>
      </w:r>
      <w:r>
        <w:rPr>
          <w:rFonts w:ascii="宋体" w:hAnsi="宋体"/>
          <w:b/>
          <w:i/>
          <w:color w:val="auto"/>
          <w:sz w:val="24"/>
          <w:highlight w:val="none"/>
          <w:u w:val="single"/>
        </w:rPr>
        <w:t>合同专用条款</w:t>
      </w:r>
      <w:r>
        <w:rPr>
          <w:rFonts w:ascii="宋体" w:hAnsi="宋体"/>
          <w:color w:val="auto"/>
          <w:sz w:val="24"/>
          <w:highlight w:val="none"/>
        </w:rPr>
        <w:t>的约定进行定期验收</w:t>
      </w:r>
      <w:r>
        <w:rPr>
          <w:rFonts w:hint="eastAsia" w:ascii="宋体" w:hAnsi="宋体"/>
          <w:color w:val="auto"/>
          <w:sz w:val="24"/>
          <w:highlight w:val="none"/>
        </w:rPr>
        <w:t>；</w:t>
      </w:r>
    </w:p>
    <w:p w14:paraId="5985344D">
      <w:pPr>
        <w:tabs>
          <w:tab w:val="left" w:pos="360"/>
          <w:tab w:val="left" w:pos="540"/>
          <w:tab w:val="left" w:pos="1080"/>
        </w:tabs>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2.15.2 </w:t>
      </w:r>
      <w:r>
        <w:rPr>
          <w:rFonts w:hint="eastAsia" w:ascii="宋体" w:hAnsi="宋体"/>
          <w:color w:val="auto"/>
          <w:sz w:val="24"/>
          <w:highlight w:val="none"/>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F8EBA98">
      <w:pPr>
        <w:tabs>
          <w:tab w:val="left" w:pos="360"/>
          <w:tab w:val="left" w:pos="540"/>
          <w:tab w:val="left" w:pos="1080"/>
        </w:tabs>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2.15.3 </w:t>
      </w:r>
      <w:r>
        <w:rPr>
          <w:rFonts w:hint="eastAsia" w:ascii="宋体" w:hAnsi="宋体"/>
          <w:color w:val="auto"/>
          <w:sz w:val="24"/>
          <w:highlight w:val="none"/>
        </w:rPr>
        <w:t>检验和验收标准、程序等具体内容以及前述验收书的效力详见</w:t>
      </w:r>
      <w:r>
        <w:rPr>
          <w:rFonts w:ascii="宋体" w:hAnsi="宋体"/>
          <w:b/>
          <w:i/>
          <w:color w:val="auto"/>
          <w:sz w:val="24"/>
          <w:highlight w:val="none"/>
          <w:u w:val="single"/>
        </w:rPr>
        <w:t>合同专用条款</w:t>
      </w:r>
      <w:r>
        <w:rPr>
          <w:rFonts w:hint="eastAsia" w:ascii="宋体" w:hAnsi="宋体"/>
          <w:i/>
          <w:color w:val="auto"/>
          <w:sz w:val="24"/>
          <w:highlight w:val="none"/>
        </w:rPr>
        <w:t>。</w:t>
      </w:r>
    </w:p>
    <w:p w14:paraId="6BD20E84">
      <w:pPr>
        <w:spacing w:line="560" w:lineRule="exact"/>
        <w:ind w:firstLine="482" w:firstLineChars="200"/>
        <w:outlineLvl w:val="0"/>
        <w:rPr>
          <w:rFonts w:ascii="宋体" w:hAnsi="宋体"/>
          <w:b/>
          <w:color w:val="auto"/>
          <w:sz w:val="24"/>
          <w:highlight w:val="none"/>
        </w:rPr>
      </w:pPr>
      <w:bookmarkStart w:id="493" w:name="_Toc31892"/>
      <w:bookmarkStart w:id="494" w:name="_Toc25198"/>
      <w:bookmarkStart w:id="495" w:name="_Toc2308"/>
      <w:bookmarkStart w:id="496" w:name="_Toc9808"/>
      <w:bookmarkStart w:id="497" w:name="_Toc12666"/>
      <w:r>
        <w:rPr>
          <w:rFonts w:ascii="宋体" w:hAnsi="宋体"/>
          <w:b/>
          <w:color w:val="auto"/>
          <w:sz w:val="24"/>
          <w:highlight w:val="none"/>
        </w:rPr>
        <w:t>2.16 通知和送达</w:t>
      </w:r>
      <w:bookmarkEnd w:id="493"/>
      <w:bookmarkEnd w:id="494"/>
      <w:bookmarkEnd w:id="495"/>
      <w:bookmarkEnd w:id="496"/>
      <w:bookmarkEnd w:id="497"/>
    </w:p>
    <w:p w14:paraId="2D57AD58">
      <w:pPr>
        <w:spacing w:line="560" w:lineRule="exact"/>
        <w:ind w:firstLine="480" w:firstLineChars="200"/>
        <w:rPr>
          <w:rFonts w:ascii="宋体" w:hAnsi="宋体"/>
          <w:color w:val="auto"/>
          <w:sz w:val="24"/>
          <w:highlight w:val="none"/>
        </w:rPr>
      </w:pPr>
      <w:bookmarkStart w:id="498" w:name="_Toc18401"/>
      <w:bookmarkStart w:id="499" w:name="_Toc27674"/>
      <w:r>
        <w:rPr>
          <w:rFonts w:ascii="宋体" w:hAnsi="宋体"/>
          <w:color w:val="auto"/>
          <w:sz w:val="24"/>
          <w:highlight w:val="none"/>
        </w:rPr>
        <w:t>2.17.1</w:t>
      </w:r>
      <w:r>
        <w:rPr>
          <w:rFonts w:hint="eastAsia" w:ascii="宋体" w:hAnsi="宋体"/>
          <w:color w:val="auto"/>
          <w:sz w:val="24"/>
          <w:highlight w:val="none"/>
        </w:rPr>
        <w:t>任何一方因履行合同而以合同第一部分尾部所列明的传真或电子邮件</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rPr>
        <w:t>发出的所有通知、文件、材料，均视为已向对方当事人送达；任何一方变更上述送达方式或者地址的，应于</w:t>
      </w:r>
      <w:r>
        <w:rPr>
          <w:rFonts w:ascii="宋体" w:hAnsi="宋体"/>
          <w:color w:val="auto"/>
          <w:sz w:val="24"/>
          <w:highlight w:val="none"/>
          <w:u w:val="single"/>
        </w:rPr>
        <w:t>3</w:t>
      </w:r>
      <w:r>
        <w:rPr>
          <w:rFonts w:hint="eastAsia" w:ascii="宋体" w:hAnsi="宋体"/>
          <w:color w:val="auto"/>
          <w:sz w:val="24"/>
          <w:highlight w:val="none"/>
        </w:rPr>
        <w:t>个工作日内书面通知对方当事人，在对方当事人收到有关变更通知之前，变更前的约定送达方式或者地址仍视为有效。</w:t>
      </w:r>
    </w:p>
    <w:p w14:paraId="50662573">
      <w:pPr>
        <w:spacing w:line="560" w:lineRule="exact"/>
        <w:ind w:firstLine="480" w:firstLineChars="200"/>
        <w:rPr>
          <w:rFonts w:ascii="宋体" w:hAnsi="宋体"/>
          <w:color w:val="auto"/>
          <w:sz w:val="24"/>
          <w:highlight w:val="none"/>
        </w:rPr>
      </w:pPr>
      <w:r>
        <w:rPr>
          <w:rFonts w:ascii="宋体" w:hAnsi="宋体"/>
          <w:color w:val="auto"/>
          <w:sz w:val="24"/>
          <w:highlight w:val="none"/>
        </w:rPr>
        <w:t>2.17.2以当面交付方式送达的，交付之时视为送达；以电子邮件方式送达的，发出电子邮件之时视为送达；以传真方式送达的，发出传真之时视为送达；以邮寄方式送达</w:t>
      </w:r>
      <w:r>
        <w:rPr>
          <w:rFonts w:hint="eastAsia" w:ascii="宋体" w:hAnsi="宋体"/>
          <w:color w:val="auto"/>
          <w:sz w:val="24"/>
          <w:highlight w:val="none"/>
        </w:rPr>
        <w:t>的，邮件挂号寄出或者交邮之日之次日视为送达。</w:t>
      </w:r>
      <w:bookmarkEnd w:id="498"/>
      <w:bookmarkEnd w:id="499"/>
    </w:p>
    <w:p w14:paraId="79494EF1">
      <w:pPr>
        <w:spacing w:line="560" w:lineRule="exact"/>
        <w:ind w:firstLine="482" w:firstLineChars="200"/>
        <w:outlineLvl w:val="0"/>
        <w:rPr>
          <w:rFonts w:ascii="宋体" w:hAnsi="宋体"/>
          <w:b/>
          <w:color w:val="auto"/>
          <w:sz w:val="24"/>
          <w:highlight w:val="none"/>
        </w:rPr>
      </w:pPr>
      <w:bookmarkStart w:id="500" w:name="_Toc28906"/>
      <w:bookmarkStart w:id="501" w:name="_Toc27644"/>
      <w:bookmarkStart w:id="502" w:name="_Toc12254"/>
      <w:bookmarkStart w:id="503" w:name="_Toc20808"/>
      <w:bookmarkStart w:id="504" w:name="_Toc5063"/>
      <w:r>
        <w:rPr>
          <w:rFonts w:ascii="宋体" w:hAnsi="宋体"/>
          <w:b/>
          <w:color w:val="auto"/>
          <w:sz w:val="24"/>
          <w:highlight w:val="none"/>
        </w:rPr>
        <w:t xml:space="preserve">2.17 </w:t>
      </w:r>
      <w:r>
        <w:rPr>
          <w:rFonts w:hint="eastAsia" w:ascii="宋体" w:hAnsi="宋体"/>
          <w:b/>
          <w:color w:val="auto"/>
          <w:sz w:val="24"/>
          <w:highlight w:val="none"/>
        </w:rPr>
        <w:t>合同使用的文字和</w:t>
      </w:r>
      <w:r>
        <w:rPr>
          <w:rFonts w:ascii="宋体" w:hAnsi="宋体"/>
          <w:b/>
          <w:color w:val="auto"/>
          <w:sz w:val="24"/>
          <w:highlight w:val="none"/>
        </w:rPr>
        <w:t>适用的法律</w:t>
      </w:r>
      <w:bookmarkEnd w:id="500"/>
      <w:bookmarkEnd w:id="501"/>
      <w:bookmarkEnd w:id="502"/>
      <w:bookmarkEnd w:id="503"/>
      <w:bookmarkEnd w:id="504"/>
    </w:p>
    <w:p w14:paraId="5285274F">
      <w:pPr>
        <w:spacing w:line="560" w:lineRule="exact"/>
        <w:ind w:firstLine="480" w:firstLineChars="200"/>
        <w:rPr>
          <w:rFonts w:ascii="宋体" w:hAnsi="宋体"/>
          <w:color w:val="auto"/>
          <w:sz w:val="24"/>
          <w:highlight w:val="none"/>
        </w:rPr>
      </w:pPr>
      <w:r>
        <w:rPr>
          <w:rFonts w:ascii="宋体" w:hAnsi="宋体"/>
          <w:color w:val="auto"/>
          <w:sz w:val="24"/>
          <w:highlight w:val="none"/>
        </w:rPr>
        <w:t>2.17.1 合同使用汉语书就</w:t>
      </w:r>
      <w:r>
        <w:rPr>
          <w:rFonts w:hint="eastAsia" w:ascii="宋体" w:hAnsi="宋体"/>
          <w:color w:val="auto"/>
          <w:sz w:val="24"/>
          <w:highlight w:val="none"/>
        </w:rPr>
        <w:t>、</w:t>
      </w:r>
      <w:r>
        <w:rPr>
          <w:rFonts w:ascii="宋体" w:hAnsi="宋体"/>
          <w:color w:val="auto"/>
          <w:sz w:val="24"/>
          <w:highlight w:val="none"/>
        </w:rPr>
        <w:t>变更和解释</w:t>
      </w:r>
      <w:r>
        <w:rPr>
          <w:rFonts w:hint="eastAsia" w:ascii="宋体" w:hAnsi="宋体"/>
          <w:color w:val="auto"/>
          <w:sz w:val="24"/>
          <w:highlight w:val="none"/>
        </w:rPr>
        <w:t>；</w:t>
      </w:r>
    </w:p>
    <w:p w14:paraId="64FB86D7">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2.17.2 </w:t>
      </w:r>
      <w:r>
        <w:rPr>
          <w:rFonts w:hint="eastAsia" w:ascii="宋体" w:hAnsi="宋体"/>
          <w:color w:val="auto"/>
          <w:sz w:val="24"/>
          <w:highlight w:val="none"/>
        </w:rPr>
        <w:t>合同适用</w:t>
      </w:r>
      <w:r>
        <w:rPr>
          <w:rFonts w:ascii="宋体" w:hAnsi="宋体"/>
          <w:color w:val="auto"/>
          <w:sz w:val="24"/>
          <w:highlight w:val="none"/>
        </w:rPr>
        <w:t>中华人民共和国法律。</w:t>
      </w:r>
    </w:p>
    <w:p w14:paraId="5C34B1D7">
      <w:pPr>
        <w:spacing w:line="560" w:lineRule="exact"/>
        <w:ind w:firstLine="482" w:firstLineChars="200"/>
        <w:outlineLvl w:val="0"/>
        <w:rPr>
          <w:rFonts w:ascii="宋体" w:hAnsi="宋体" w:cs="宋体"/>
          <w:b/>
          <w:color w:val="auto"/>
          <w:sz w:val="24"/>
          <w:highlight w:val="none"/>
        </w:rPr>
      </w:pPr>
      <w:bookmarkStart w:id="505" w:name="_Toc18540"/>
      <w:bookmarkStart w:id="506" w:name="_Toc4355"/>
      <w:bookmarkStart w:id="507" w:name="_Toc30599"/>
      <w:r>
        <w:rPr>
          <w:rFonts w:hint="eastAsia" w:ascii="宋体" w:hAnsi="宋体" w:cs="宋体"/>
          <w:b/>
          <w:color w:val="auto"/>
          <w:sz w:val="24"/>
          <w:highlight w:val="none"/>
        </w:rPr>
        <w:t>2.18 计量单位</w:t>
      </w:r>
      <w:bookmarkEnd w:id="505"/>
      <w:bookmarkEnd w:id="506"/>
      <w:bookmarkEnd w:id="507"/>
    </w:p>
    <w:p w14:paraId="5B9E0A7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728DE446">
      <w:pPr>
        <w:spacing w:line="560" w:lineRule="exact"/>
        <w:ind w:firstLine="482" w:firstLineChars="200"/>
        <w:rPr>
          <w:rFonts w:ascii="宋体" w:hAns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rPr>
        <w:t>19</w:t>
      </w:r>
      <w:r>
        <w:rPr>
          <w:rFonts w:ascii="宋体" w:hAnsi="宋体"/>
          <w:b/>
          <w:color w:val="auto"/>
          <w:sz w:val="24"/>
          <w:highlight w:val="none"/>
        </w:rPr>
        <w:t>合同份数</w:t>
      </w:r>
    </w:p>
    <w:p w14:paraId="3F5AF796">
      <w:pPr>
        <w:spacing w:line="560" w:lineRule="exact"/>
        <w:ind w:firstLine="480" w:firstLineChars="200"/>
        <w:rPr>
          <w:rFonts w:ascii="宋体" w:hAnsi="宋体"/>
          <w:color w:val="auto"/>
          <w:sz w:val="24"/>
          <w:highlight w:val="none"/>
        </w:rPr>
      </w:pPr>
      <w:r>
        <w:rPr>
          <w:rFonts w:ascii="宋体" w:hAnsi="宋体"/>
          <w:color w:val="auto"/>
          <w:sz w:val="24"/>
          <w:highlight w:val="none"/>
        </w:rPr>
        <w:t>合同份数按</w:t>
      </w:r>
      <w:r>
        <w:rPr>
          <w:rFonts w:ascii="宋体" w:hAnsi="宋体"/>
          <w:b/>
          <w:i/>
          <w:color w:val="auto"/>
          <w:sz w:val="24"/>
          <w:highlight w:val="none"/>
          <w:u w:val="single"/>
        </w:rPr>
        <w:t>合同专用条款</w:t>
      </w:r>
      <w:r>
        <w:rPr>
          <w:rFonts w:ascii="宋体" w:hAnsi="宋体"/>
          <w:color w:val="auto"/>
          <w:sz w:val="24"/>
          <w:highlight w:val="none"/>
        </w:rPr>
        <w:t>规定</w:t>
      </w:r>
      <w:r>
        <w:rPr>
          <w:rFonts w:hint="eastAsia" w:ascii="宋体" w:hAnsi="宋体"/>
          <w:color w:val="auto"/>
          <w:sz w:val="24"/>
          <w:highlight w:val="none"/>
        </w:rPr>
        <w:t>，</w:t>
      </w:r>
      <w:r>
        <w:rPr>
          <w:rFonts w:ascii="宋体" w:hAnsi="宋体"/>
          <w:color w:val="auto"/>
          <w:sz w:val="24"/>
          <w:highlight w:val="none"/>
        </w:rPr>
        <w:t>每份均具有同等法律效力</w:t>
      </w:r>
      <w:r>
        <w:rPr>
          <w:rFonts w:hint="eastAsia" w:ascii="宋体" w:hAnsi="宋体"/>
          <w:color w:val="auto"/>
          <w:sz w:val="24"/>
          <w:highlight w:val="none"/>
        </w:rPr>
        <w:t>。</w:t>
      </w:r>
    </w:p>
    <w:p w14:paraId="04B681FD">
      <w:pPr>
        <w:spacing w:line="360" w:lineRule="auto"/>
        <w:jc w:val="center"/>
        <w:outlineLvl w:val="0"/>
        <w:rPr>
          <w:rFonts w:ascii="宋体" w:hAnsi="宋体" w:cs="宋体"/>
          <w:b/>
          <w:color w:val="auto"/>
          <w:sz w:val="24"/>
          <w:highlight w:val="none"/>
        </w:rPr>
      </w:pPr>
      <w:r>
        <w:rPr>
          <w:rFonts w:hint="eastAsia" w:ascii="宋体" w:hAnsi="宋体" w:cs="宋体"/>
          <w:color w:val="auto"/>
          <w:kern w:val="0"/>
          <w:highlight w:val="none"/>
        </w:rPr>
        <w:br w:type="page"/>
      </w:r>
      <w:bookmarkStart w:id="508" w:name="_Toc331685784"/>
      <w:r>
        <w:rPr>
          <w:rFonts w:hint="eastAsia" w:ascii="宋体" w:hAnsi="宋体" w:cs="宋体"/>
          <w:b/>
          <w:color w:val="auto"/>
          <w:sz w:val="24"/>
          <w:highlight w:val="none"/>
        </w:rPr>
        <w:t xml:space="preserve"> </w:t>
      </w:r>
      <w:bookmarkEnd w:id="508"/>
      <w:r>
        <w:rPr>
          <w:rFonts w:hint="eastAsia" w:ascii="宋体" w:hAnsi="宋体" w:cs="宋体"/>
          <w:b/>
          <w:color w:val="auto"/>
          <w:sz w:val="24"/>
          <w:highlight w:val="none"/>
        </w:rPr>
        <w:t>第三部分  合同专用条款</w:t>
      </w:r>
    </w:p>
    <w:p w14:paraId="1CB856D3">
      <w:pPr>
        <w:spacing w:line="560" w:lineRule="exact"/>
        <w:ind w:left="-420" w:leftChars="-200" w:right="-420" w:rightChars="-200" w:firstLine="480" w:firstLineChars="200"/>
        <w:rPr>
          <w:rFonts w:ascii="宋体" w:hAnsi="宋体" w:cs="宋体"/>
          <w:color w:val="auto"/>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14:paraId="127FC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5" w:type="pct"/>
            <w:tcBorders>
              <w:left w:val="single" w:color="auto" w:sz="4" w:space="0"/>
            </w:tcBorders>
            <w:vAlign w:val="center"/>
          </w:tcPr>
          <w:p w14:paraId="67C7522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4464" w:type="pct"/>
            <w:vAlign w:val="center"/>
          </w:tcPr>
          <w:p w14:paraId="4663DC4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14:paraId="65084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60C030D0">
            <w:pPr>
              <w:spacing w:line="360" w:lineRule="auto"/>
              <w:rPr>
                <w:rFonts w:ascii="宋体" w:hAnsi="宋体" w:cs="宋体"/>
                <w:color w:val="auto"/>
                <w:sz w:val="24"/>
                <w:highlight w:val="none"/>
              </w:rPr>
            </w:pPr>
            <w:r>
              <w:rPr>
                <w:rFonts w:hint="eastAsia" w:ascii="宋体" w:hAnsi="宋体" w:cs="宋体"/>
                <w:color w:val="auto"/>
                <w:sz w:val="24"/>
                <w:highlight w:val="none"/>
              </w:rPr>
              <w:t>1.3.2</w:t>
            </w:r>
          </w:p>
        </w:tc>
        <w:tc>
          <w:tcPr>
            <w:tcW w:w="4464" w:type="pct"/>
            <w:vAlign w:val="center"/>
          </w:tcPr>
          <w:p w14:paraId="304DB868">
            <w:pPr>
              <w:spacing w:line="360" w:lineRule="auto"/>
              <w:rPr>
                <w:rFonts w:ascii="宋体" w:hAnsi="宋体" w:cs="宋体"/>
                <w:color w:val="auto"/>
                <w:sz w:val="24"/>
                <w:highlight w:val="none"/>
              </w:rPr>
            </w:pPr>
          </w:p>
        </w:tc>
      </w:tr>
      <w:tr w14:paraId="5BF81C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6A7ACD77">
            <w:pPr>
              <w:spacing w:line="360" w:lineRule="auto"/>
              <w:rPr>
                <w:rFonts w:ascii="宋体" w:hAnsi="宋体" w:cs="宋体"/>
                <w:color w:val="auto"/>
                <w:sz w:val="24"/>
                <w:highlight w:val="none"/>
              </w:rPr>
            </w:pPr>
            <w:r>
              <w:rPr>
                <w:rFonts w:hint="eastAsia" w:ascii="宋体" w:hAnsi="宋体" w:cs="宋体"/>
                <w:color w:val="auto"/>
                <w:sz w:val="24"/>
                <w:highlight w:val="none"/>
              </w:rPr>
              <w:t>1.4.2</w:t>
            </w:r>
          </w:p>
        </w:tc>
        <w:tc>
          <w:tcPr>
            <w:tcW w:w="4464" w:type="pct"/>
            <w:vAlign w:val="center"/>
          </w:tcPr>
          <w:p w14:paraId="7791C121">
            <w:pPr>
              <w:spacing w:line="360" w:lineRule="auto"/>
              <w:rPr>
                <w:rFonts w:ascii="宋体" w:hAnsi="宋体" w:cs="宋体"/>
                <w:color w:val="auto"/>
                <w:sz w:val="24"/>
                <w:highlight w:val="none"/>
              </w:rPr>
            </w:pPr>
          </w:p>
        </w:tc>
      </w:tr>
      <w:tr w14:paraId="47C74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6426EBA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1.5.1 </w:t>
            </w:r>
          </w:p>
        </w:tc>
        <w:tc>
          <w:tcPr>
            <w:tcW w:w="4464" w:type="pct"/>
            <w:vAlign w:val="center"/>
          </w:tcPr>
          <w:p w14:paraId="4F7069E5">
            <w:pPr>
              <w:spacing w:line="360" w:lineRule="auto"/>
              <w:rPr>
                <w:rFonts w:ascii="宋体" w:hAnsi="宋体" w:cs="宋体"/>
                <w:color w:val="auto"/>
                <w:sz w:val="24"/>
                <w:highlight w:val="none"/>
              </w:rPr>
            </w:pPr>
          </w:p>
        </w:tc>
      </w:tr>
      <w:tr w14:paraId="0E6D0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6DE47264">
            <w:pPr>
              <w:spacing w:line="360" w:lineRule="auto"/>
              <w:rPr>
                <w:rFonts w:ascii="宋体" w:hAnsi="宋体" w:cs="宋体"/>
                <w:color w:val="auto"/>
                <w:sz w:val="24"/>
                <w:highlight w:val="none"/>
              </w:rPr>
            </w:pPr>
            <w:r>
              <w:rPr>
                <w:rFonts w:hint="eastAsia" w:ascii="宋体" w:hAnsi="宋体" w:cs="宋体"/>
                <w:color w:val="auto"/>
                <w:sz w:val="24"/>
                <w:highlight w:val="none"/>
              </w:rPr>
              <w:t>1.5.2</w:t>
            </w:r>
          </w:p>
        </w:tc>
        <w:tc>
          <w:tcPr>
            <w:tcW w:w="4464" w:type="pct"/>
            <w:vAlign w:val="center"/>
          </w:tcPr>
          <w:p w14:paraId="4AA1D5F3">
            <w:pPr>
              <w:spacing w:line="360" w:lineRule="auto"/>
              <w:rPr>
                <w:rFonts w:ascii="宋体" w:hAnsi="宋体" w:cs="宋体"/>
                <w:color w:val="auto"/>
                <w:sz w:val="24"/>
                <w:highlight w:val="none"/>
              </w:rPr>
            </w:pPr>
          </w:p>
        </w:tc>
      </w:tr>
      <w:tr w14:paraId="2E6EC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0E125F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1.5.3 </w:t>
            </w:r>
          </w:p>
        </w:tc>
        <w:tc>
          <w:tcPr>
            <w:tcW w:w="4464" w:type="pct"/>
            <w:vAlign w:val="center"/>
          </w:tcPr>
          <w:p w14:paraId="601A43BA">
            <w:pPr>
              <w:spacing w:line="360" w:lineRule="auto"/>
              <w:rPr>
                <w:rFonts w:ascii="宋体" w:hAnsi="宋体" w:cs="宋体"/>
                <w:color w:val="auto"/>
                <w:sz w:val="24"/>
                <w:highlight w:val="none"/>
              </w:rPr>
            </w:pPr>
          </w:p>
        </w:tc>
      </w:tr>
      <w:tr w14:paraId="331D3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6764C224">
            <w:pPr>
              <w:spacing w:line="360" w:lineRule="auto"/>
              <w:rPr>
                <w:rFonts w:ascii="宋体" w:hAnsi="宋体" w:cs="宋体"/>
                <w:color w:val="auto"/>
                <w:sz w:val="24"/>
                <w:highlight w:val="none"/>
              </w:rPr>
            </w:pPr>
            <w:r>
              <w:rPr>
                <w:rFonts w:hint="eastAsia" w:ascii="宋体" w:hAnsi="宋体" w:cs="宋体"/>
                <w:color w:val="auto"/>
                <w:sz w:val="24"/>
                <w:highlight w:val="none"/>
              </w:rPr>
              <w:t>1.6.2</w:t>
            </w:r>
          </w:p>
        </w:tc>
        <w:tc>
          <w:tcPr>
            <w:tcW w:w="4464" w:type="pct"/>
            <w:vAlign w:val="center"/>
          </w:tcPr>
          <w:p w14:paraId="31D42319">
            <w:pPr>
              <w:spacing w:line="360" w:lineRule="auto"/>
              <w:rPr>
                <w:rFonts w:ascii="宋体" w:hAnsi="宋体" w:cs="宋体"/>
                <w:color w:val="auto"/>
                <w:sz w:val="24"/>
                <w:highlight w:val="none"/>
              </w:rPr>
            </w:pPr>
          </w:p>
        </w:tc>
      </w:tr>
      <w:tr w14:paraId="4E655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5B0E260F">
            <w:pPr>
              <w:spacing w:line="360" w:lineRule="auto"/>
              <w:rPr>
                <w:rFonts w:ascii="宋体" w:hAnsi="宋体" w:cs="宋体"/>
                <w:color w:val="auto"/>
                <w:sz w:val="24"/>
                <w:highlight w:val="none"/>
              </w:rPr>
            </w:pPr>
            <w:r>
              <w:rPr>
                <w:rFonts w:hint="eastAsia" w:ascii="宋体" w:hAnsi="宋体" w:cs="宋体"/>
                <w:color w:val="auto"/>
                <w:sz w:val="24"/>
                <w:highlight w:val="none"/>
              </w:rPr>
              <w:t>1.7.1</w:t>
            </w:r>
          </w:p>
        </w:tc>
        <w:tc>
          <w:tcPr>
            <w:tcW w:w="4464" w:type="pct"/>
            <w:vAlign w:val="center"/>
          </w:tcPr>
          <w:p w14:paraId="5B41A289">
            <w:pPr>
              <w:spacing w:line="360" w:lineRule="auto"/>
              <w:rPr>
                <w:rFonts w:ascii="宋体" w:hAnsi="宋体" w:cs="宋体"/>
                <w:color w:val="auto"/>
                <w:sz w:val="24"/>
                <w:highlight w:val="none"/>
              </w:rPr>
            </w:pPr>
          </w:p>
        </w:tc>
      </w:tr>
      <w:tr w14:paraId="714EA1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CFCF57F">
            <w:pPr>
              <w:spacing w:line="360" w:lineRule="auto"/>
              <w:rPr>
                <w:rFonts w:ascii="宋体" w:hAnsi="宋体" w:cs="宋体"/>
                <w:color w:val="auto"/>
                <w:sz w:val="24"/>
                <w:highlight w:val="none"/>
              </w:rPr>
            </w:pPr>
            <w:r>
              <w:rPr>
                <w:rFonts w:hint="eastAsia" w:ascii="宋体" w:hAnsi="宋体" w:cs="宋体"/>
                <w:color w:val="auto"/>
                <w:sz w:val="24"/>
                <w:highlight w:val="none"/>
              </w:rPr>
              <w:t>1.7.2</w:t>
            </w:r>
          </w:p>
        </w:tc>
        <w:tc>
          <w:tcPr>
            <w:tcW w:w="4464" w:type="pct"/>
            <w:vAlign w:val="center"/>
          </w:tcPr>
          <w:p w14:paraId="70E5ED3A">
            <w:pPr>
              <w:spacing w:line="360" w:lineRule="auto"/>
              <w:rPr>
                <w:rFonts w:ascii="宋体" w:hAnsi="宋体" w:cs="宋体"/>
                <w:color w:val="auto"/>
                <w:sz w:val="24"/>
                <w:highlight w:val="none"/>
              </w:rPr>
            </w:pPr>
          </w:p>
        </w:tc>
      </w:tr>
      <w:tr w14:paraId="3DA15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748BFDA">
            <w:pPr>
              <w:spacing w:line="360" w:lineRule="auto"/>
              <w:rPr>
                <w:rFonts w:ascii="宋体" w:hAnsi="宋体" w:cs="宋体"/>
                <w:color w:val="auto"/>
                <w:sz w:val="24"/>
                <w:highlight w:val="none"/>
              </w:rPr>
            </w:pPr>
            <w:r>
              <w:rPr>
                <w:rFonts w:hint="eastAsia" w:ascii="宋体" w:hAnsi="宋体" w:cs="宋体"/>
                <w:color w:val="auto"/>
                <w:sz w:val="24"/>
                <w:highlight w:val="none"/>
              </w:rPr>
              <w:t>1.7.3</w:t>
            </w:r>
          </w:p>
        </w:tc>
        <w:tc>
          <w:tcPr>
            <w:tcW w:w="4464" w:type="pct"/>
            <w:vAlign w:val="center"/>
          </w:tcPr>
          <w:p w14:paraId="7261FC83">
            <w:pPr>
              <w:spacing w:line="360" w:lineRule="auto"/>
              <w:rPr>
                <w:rFonts w:ascii="宋体" w:hAnsi="宋体" w:cs="宋体"/>
                <w:color w:val="auto"/>
                <w:sz w:val="24"/>
                <w:highlight w:val="none"/>
              </w:rPr>
            </w:pPr>
          </w:p>
        </w:tc>
      </w:tr>
      <w:tr w14:paraId="14752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163FCF78">
            <w:pPr>
              <w:spacing w:line="360" w:lineRule="auto"/>
              <w:rPr>
                <w:rFonts w:ascii="宋体" w:hAnsi="宋体" w:cs="宋体"/>
                <w:color w:val="auto"/>
                <w:sz w:val="24"/>
                <w:highlight w:val="none"/>
              </w:rPr>
            </w:pPr>
            <w:r>
              <w:rPr>
                <w:rFonts w:hint="eastAsia" w:ascii="宋体" w:hAnsi="宋体" w:cs="宋体"/>
                <w:color w:val="auto"/>
                <w:sz w:val="24"/>
                <w:highlight w:val="none"/>
              </w:rPr>
              <w:t>1.7.4.1</w:t>
            </w:r>
          </w:p>
        </w:tc>
        <w:tc>
          <w:tcPr>
            <w:tcW w:w="4464" w:type="pct"/>
            <w:vAlign w:val="center"/>
          </w:tcPr>
          <w:p w14:paraId="6490AB55">
            <w:pPr>
              <w:spacing w:line="360" w:lineRule="auto"/>
              <w:rPr>
                <w:rFonts w:ascii="宋体" w:hAnsi="宋体" w:cs="宋体"/>
                <w:color w:val="auto"/>
                <w:sz w:val="24"/>
                <w:highlight w:val="none"/>
              </w:rPr>
            </w:pPr>
          </w:p>
        </w:tc>
      </w:tr>
      <w:tr w14:paraId="2B554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2BE332A5">
            <w:pPr>
              <w:spacing w:line="360" w:lineRule="auto"/>
              <w:rPr>
                <w:rFonts w:ascii="宋体" w:hAnsi="宋体" w:cs="宋体"/>
                <w:color w:val="auto"/>
                <w:sz w:val="24"/>
                <w:highlight w:val="none"/>
              </w:rPr>
            </w:pPr>
            <w:r>
              <w:rPr>
                <w:rFonts w:hint="eastAsia" w:ascii="宋体" w:hAnsi="宋体" w:cs="宋体"/>
                <w:color w:val="auto"/>
                <w:sz w:val="24"/>
                <w:highlight w:val="none"/>
              </w:rPr>
              <w:t>1.7.4.2</w:t>
            </w:r>
          </w:p>
        </w:tc>
        <w:tc>
          <w:tcPr>
            <w:tcW w:w="4464" w:type="pct"/>
            <w:vAlign w:val="center"/>
          </w:tcPr>
          <w:p w14:paraId="3A43FF54">
            <w:pPr>
              <w:spacing w:line="360" w:lineRule="auto"/>
              <w:rPr>
                <w:rFonts w:ascii="宋体" w:hAnsi="宋体" w:cs="宋体"/>
                <w:color w:val="auto"/>
                <w:sz w:val="24"/>
                <w:highlight w:val="none"/>
              </w:rPr>
            </w:pPr>
          </w:p>
        </w:tc>
      </w:tr>
      <w:tr w14:paraId="72ADA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793FD5F6">
            <w:pPr>
              <w:spacing w:line="360" w:lineRule="auto"/>
              <w:rPr>
                <w:rFonts w:ascii="宋体" w:hAnsi="宋体" w:cs="宋体"/>
                <w:color w:val="auto"/>
                <w:sz w:val="24"/>
                <w:highlight w:val="none"/>
              </w:rPr>
            </w:pPr>
            <w:r>
              <w:rPr>
                <w:rFonts w:hint="eastAsia" w:ascii="宋体" w:hAnsi="宋体" w:cs="宋体"/>
                <w:color w:val="auto"/>
                <w:sz w:val="24"/>
                <w:highlight w:val="none"/>
              </w:rPr>
              <w:t>1.7.4.3</w:t>
            </w:r>
          </w:p>
        </w:tc>
        <w:tc>
          <w:tcPr>
            <w:tcW w:w="4464" w:type="pct"/>
            <w:vAlign w:val="center"/>
          </w:tcPr>
          <w:p w14:paraId="24FED585">
            <w:pPr>
              <w:spacing w:line="360" w:lineRule="auto"/>
              <w:rPr>
                <w:rFonts w:ascii="宋体" w:hAnsi="宋体" w:cs="宋体"/>
                <w:color w:val="auto"/>
                <w:sz w:val="24"/>
                <w:highlight w:val="none"/>
              </w:rPr>
            </w:pPr>
          </w:p>
        </w:tc>
      </w:tr>
      <w:tr w14:paraId="134F8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0DAC32FC">
            <w:pPr>
              <w:spacing w:line="360" w:lineRule="auto"/>
              <w:rPr>
                <w:rFonts w:ascii="宋体" w:hAnsi="宋体" w:cs="宋体"/>
                <w:color w:val="auto"/>
                <w:sz w:val="24"/>
                <w:highlight w:val="none"/>
              </w:rPr>
            </w:pPr>
            <w:r>
              <w:rPr>
                <w:rFonts w:hint="eastAsia" w:ascii="宋体" w:hAnsi="宋体" w:cs="宋体"/>
                <w:color w:val="auto"/>
                <w:sz w:val="24"/>
                <w:highlight w:val="none"/>
              </w:rPr>
              <w:t>1.8.7</w:t>
            </w:r>
          </w:p>
        </w:tc>
        <w:tc>
          <w:tcPr>
            <w:tcW w:w="4464" w:type="pct"/>
            <w:vAlign w:val="center"/>
          </w:tcPr>
          <w:p w14:paraId="475F6F49">
            <w:pPr>
              <w:spacing w:line="360" w:lineRule="auto"/>
              <w:rPr>
                <w:rFonts w:ascii="宋体" w:hAnsi="宋体" w:cs="宋体"/>
                <w:color w:val="auto"/>
                <w:sz w:val="24"/>
                <w:highlight w:val="none"/>
              </w:rPr>
            </w:pPr>
          </w:p>
        </w:tc>
      </w:tr>
      <w:tr w14:paraId="042436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1A5DE2D4">
            <w:pPr>
              <w:spacing w:line="360" w:lineRule="auto"/>
              <w:rPr>
                <w:rFonts w:ascii="宋体" w:hAnsi="宋体" w:cs="宋体"/>
                <w:color w:val="auto"/>
                <w:sz w:val="24"/>
                <w:highlight w:val="none"/>
              </w:rPr>
            </w:pPr>
            <w:r>
              <w:rPr>
                <w:rFonts w:hint="eastAsia" w:ascii="宋体" w:hAnsi="宋体" w:cs="宋体"/>
                <w:color w:val="auto"/>
                <w:sz w:val="24"/>
                <w:highlight w:val="none"/>
              </w:rPr>
              <w:t>1.9.1</w:t>
            </w:r>
          </w:p>
        </w:tc>
        <w:tc>
          <w:tcPr>
            <w:tcW w:w="4464" w:type="pct"/>
            <w:vAlign w:val="center"/>
          </w:tcPr>
          <w:p w14:paraId="634980CB">
            <w:pPr>
              <w:spacing w:line="360" w:lineRule="auto"/>
              <w:rPr>
                <w:rFonts w:ascii="宋体" w:hAnsi="宋体" w:cs="宋体"/>
                <w:color w:val="auto"/>
                <w:sz w:val="24"/>
                <w:highlight w:val="none"/>
              </w:rPr>
            </w:pPr>
          </w:p>
        </w:tc>
      </w:tr>
      <w:tr w14:paraId="089F9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088498D9">
            <w:pPr>
              <w:spacing w:line="360" w:lineRule="auto"/>
              <w:rPr>
                <w:rFonts w:ascii="宋体" w:hAnsi="宋体" w:cs="宋体"/>
                <w:color w:val="auto"/>
                <w:sz w:val="24"/>
                <w:highlight w:val="none"/>
              </w:rPr>
            </w:pPr>
            <w:r>
              <w:rPr>
                <w:rFonts w:hint="eastAsia" w:ascii="宋体" w:hAnsi="宋体" w:cs="宋体"/>
                <w:color w:val="auto"/>
                <w:sz w:val="24"/>
                <w:highlight w:val="none"/>
              </w:rPr>
              <w:t>1.9.2</w:t>
            </w:r>
          </w:p>
        </w:tc>
        <w:tc>
          <w:tcPr>
            <w:tcW w:w="4464" w:type="pct"/>
            <w:vAlign w:val="center"/>
          </w:tcPr>
          <w:p w14:paraId="7D8A34B0">
            <w:pPr>
              <w:spacing w:line="360" w:lineRule="auto"/>
              <w:rPr>
                <w:rFonts w:ascii="宋体" w:hAnsi="宋体" w:cs="宋体"/>
                <w:color w:val="auto"/>
                <w:sz w:val="24"/>
                <w:highlight w:val="none"/>
              </w:rPr>
            </w:pPr>
          </w:p>
        </w:tc>
      </w:tr>
      <w:tr w14:paraId="5E8B6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76029D55">
            <w:pPr>
              <w:spacing w:line="360" w:lineRule="auto"/>
              <w:rPr>
                <w:rFonts w:ascii="宋体" w:hAnsi="宋体" w:cs="宋体"/>
                <w:color w:val="auto"/>
                <w:sz w:val="24"/>
                <w:highlight w:val="none"/>
              </w:rPr>
            </w:pPr>
            <w:r>
              <w:rPr>
                <w:rFonts w:hint="eastAsia" w:ascii="宋体" w:hAnsi="宋体" w:cs="宋体"/>
                <w:color w:val="auto"/>
                <w:sz w:val="24"/>
                <w:highlight w:val="none"/>
              </w:rPr>
              <w:t>2.3.2</w:t>
            </w:r>
          </w:p>
        </w:tc>
        <w:tc>
          <w:tcPr>
            <w:tcW w:w="4464" w:type="pct"/>
            <w:vAlign w:val="center"/>
          </w:tcPr>
          <w:p w14:paraId="0AE3F9EA">
            <w:pPr>
              <w:spacing w:line="360" w:lineRule="auto"/>
              <w:ind w:left="-420" w:leftChars="-200" w:right="-420" w:rightChars="-200" w:firstLine="480" w:firstLineChars="200"/>
              <w:rPr>
                <w:rFonts w:ascii="宋体" w:hAnsi="宋体" w:cs="宋体"/>
                <w:color w:val="auto"/>
                <w:sz w:val="24"/>
                <w:highlight w:val="none"/>
              </w:rPr>
            </w:pPr>
          </w:p>
        </w:tc>
      </w:tr>
      <w:tr w14:paraId="4F3F6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FC2E509">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5</w:t>
            </w:r>
          </w:p>
        </w:tc>
        <w:tc>
          <w:tcPr>
            <w:tcW w:w="4464" w:type="pct"/>
            <w:vAlign w:val="center"/>
          </w:tcPr>
          <w:p w14:paraId="6761C5ED">
            <w:pPr>
              <w:spacing w:line="360" w:lineRule="auto"/>
              <w:ind w:left="-420" w:leftChars="-200" w:right="-420" w:rightChars="-200" w:firstLine="480" w:firstLineChars="200"/>
              <w:rPr>
                <w:rFonts w:ascii="宋体" w:hAnsi="宋体" w:cs="宋体"/>
                <w:color w:val="auto"/>
                <w:sz w:val="24"/>
                <w:highlight w:val="none"/>
              </w:rPr>
            </w:pPr>
          </w:p>
        </w:tc>
      </w:tr>
      <w:tr w14:paraId="50CCD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5A5EAFA4">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11</w:t>
            </w:r>
            <w:r>
              <w:rPr>
                <w:rFonts w:hint="eastAsia" w:ascii="宋体" w:hAnsi="宋体" w:cs="宋体"/>
                <w:color w:val="auto"/>
                <w:sz w:val="24"/>
                <w:highlight w:val="none"/>
              </w:rPr>
              <w:t>.</w:t>
            </w:r>
            <w:r>
              <w:rPr>
                <w:rFonts w:ascii="宋体" w:hAnsi="宋体" w:cs="宋体"/>
                <w:color w:val="auto"/>
                <w:sz w:val="24"/>
                <w:highlight w:val="none"/>
              </w:rPr>
              <w:t>3</w:t>
            </w:r>
          </w:p>
        </w:tc>
        <w:tc>
          <w:tcPr>
            <w:tcW w:w="4464" w:type="pct"/>
            <w:vAlign w:val="center"/>
          </w:tcPr>
          <w:p w14:paraId="19BAD9B3">
            <w:pPr>
              <w:spacing w:line="360" w:lineRule="auto"/>
              <w:rPr>
                <w:rFonts w:ascii="宋体" w:hAnsi="宋体" w:cs="宋体"/>
                <w:color w:val="auto"/>
                <w:sz w:val="24"/>
                <w:highlight w:val="none"/>
              </w:rPr>
            </w:pPr>
          </w:p>
        </w:tc>
      </w:tr>
      <w:tr w14:paraId="56F07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tcPr>
          <w:p w14:paraId="53D879DC">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11.4</w:t>
            </w:r>
            <w:r>
              <w:rPr>
                <w:rFonts w:hint="eastAsia" w:ascii="宋体" w:hAnsi="宋体" w:cs="宋体"/>
                <w:color w:val="auto"/>
                <w:sz w:val="24"/>
                <w:highlight w:val="none"/>
              </w:rPr>
              <w:t xml:space="preserve"> </w:t>
            </w:r>
          </w:p>
        </w:tc>
        <w:tc>
          <w:tcPr>
            <w:tcW w:w="4464" w:type="pct"/>
          </w:tcPr>
          <w:p w14:paraId="5082AFF0">
            <w:pPr>
              <w:spacing w:line="360" w:lineRule="auto"/>
              <w:rPr>
                <w:rFonts w:ascii="宋体" w:hAnsi="宋体" w:cs="宋体"/>
                <w:color w:val="auto"/>
                <w:sz w:val="24"/>
                <w:highlight w:val="none"/>
              </w:rPr>
            </w:pPr>
          </w:p>
        </w:tc>
      </w:tr>
      <w:tr w14:paraId="47D688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62A821CF">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15</w:t>
            </w:r>
            <w:r>
              <w:rPr>
                <w:rFonts w:hint="eastAsia" w:ascii="宋体" w:hAnsi="宋体" w:cs="宋体"/>
                <w:color w:val="auto"/>
                <w:sz w:val="24"/>
                <w:highlight w:val="none"/>
              </w:rPr>
              <w:t>.</w:t>
            </w:r>
            <w:r>
              <w:rPr>
                <w:rFonts w:ascii="宋体" w:hAnsi="宋体" w:cs="宋体"/>
                <w:color w:val="auto"/>
                <w:sz w:val="24"/>
                <w:highlight w:val="none"/>
              </w:rPr>
              <w:t>1</w:t>
            </w:r>
          </w:p>
        </w:tc>
        <w:tc>
          <w:tcPr>
            <w:tcW w:w="4464" w:type="pct"/>
            <w:vAlign w:val="center"/>
          </w:tcPr>
          <w:p w14:paraId="48C69B9A">
            <w:pPr>
              <w:spacing w:line="360" w:lineRule="auto"/>
              <w:rPr>
                <w:rFonts w:ascii="宋体" w:hAnsi="宋体" w:cs="宋体"/>
                <w:color w:val="auto"/>
                <w:sz w:val="24"/>
                <w:highlight w:val="none"/>
              </w:rPr>
            </w:pPr>
          </w:p>
        </w:tc>
      </w:tr>
      <w:tr w14:paraId="5B0B63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16436386">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15</w:t>
            </w:r>
            <w:r>
              <w:rPr>
                <w:rFonts w:hint="eastAsia" w:ascii="宋体" w:hAnsi="宋体" w:cs="宋体"/>
                <w:color w:val="auto"/>
                <w:sz w:val="24"/>
                <w:highlight w:val="none"/>
              </w:rPr>
              <w:t>.</w:t>
            </w:r>
            <w:r>
              <w:rPr>
                <w:rFonts w:ascii="宋体" w:hAnsi="宋体" w:cs="宋体"/>
                <w:color w:val="auto"/>
                <w:sz w:val="24"/>
                <w:highlight w:val="none"/>
              </w:rPr>
              <w:t>3</w:t>
            </w:r>
          </w:p>
        </w:tc>
        <w:tc>
          <w:tcPr>
            <w:tcW w:w="4464" w:type="pct"/>
            <w:vAlign w:val="center"/>
          </w:tcPr>
          <w:p w14:paraId="4B94E58B">
            <w:pPr>
              <w:spacing w:line="360" w:lineRule="auto"/>
              <w:rPr>
                <w:rFonts w:ascii="宋体" w:hAnsi="宋体" w:cs="宋体"/>
                <w:color w:val="auto"/>
                <w:sz w:val="24"/>
                <w:highlight w:val="none"/>
              </w:rPr>
            </w:pPr>
          </w:p>
        </w:tc>
      </w:tr>
      <w:tr w14:paraId="2B81C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5" w:type="pct"/>
            <w:tcBorders>
              <w:left w:val="single" w:color="auto" w:sz="4" w:space="0"/>
            </w:tcBorders>
          </w:tcPr>
          <w:p w14:paraId="6F7D2B21">
            <w:pPr>
              <w:spacing w:line="360" w:lineRule="auto"/>
              <w:rPr>
                <w:rFonts w:ascii="宋体" w:hAnsi="宋体" w:cs="宋体"/>
                <w:color w:val="auto"/>
                <w:sz w:val="24"/>
                <w:highlight w:val="none"/>
              </w:rPr>
            </w:pPr>
            <w:r>
              <w:rPr>
                <w:rFonts w:hint="eastAsia" w:ascii="宋体" w:hAnsi="宋体" w:cs="宋体"/>
                <w:color w:val="auto"/>
                <w:sz w:val="24"/>
                <w:highlight w:val="none"/>
              </w:rPr>
              <w:t>2.19</w:t>
            </w:r>
          </w:p>
        </w:tc>
        <w:tc>
          <w:tcPr>
            <w:tcW w:w="4464" w:type="pct"/>
          </w:tcPr>
          <w:p w14:paraId="43CE10F1">
            <w:pPr>
              <w:spacing w:line="360" w:lineRule="auto"/>
              <w:rPr>
                <w:rFonts w:ascii="宋体" w:hAnsi="宋体" w:cs="宋体"/>
                <w:color w:val="auto"/>
                <w:sz w:val="24"/>
                <w:highlight w:val="none"/>
              </w:rPr>
            </w:pPr>
          </w:p>
        </w:tc>
      </w:tr>
    </w:tbl>
    <w:p w14:paraId="408D6C86">
      <w:pPr>
        <w:spacing w:line="360" w:lineRule="auto"/>
        <w:ind w:left="-420" w:leftChars="-200" w:right="-420" w:rightChars="-200" w:firstLine="480" w:firstLineChars="200"/>
        <w:rPr>
          <w:rFonts w:ascii="宋体" w:hAnsi="宋体" w:cs="宋体"/>
          <w:color w:val="auto"/>
          <w:sz w:val="24"/>
          <w:highlight w:val="none"/>
        </w:rPr>
      </w:pPr>
    </w:p>
    <w:p w14:paraId="265D86DB">
      <w:pPr>
        <w:spacing w:line="360" w:lineRule="auto"/>
        <w:ind w:left="-420" w:leftChars="-200" w:right="-420" w:rightChars="-200" w:firstLine="480" w:firstLineChars="200"/>
        <w:jc w:val="center"/>
        <w:outlineLvl w:val="0"/>
        <w:rPr>
          <w:rFonts w:ascii="宋体" w:hAnsi="宋体" w:cs="宋体"/>
          <w:color w:val="auto"/>
          <w:sz w:val="24"/>
          <w:highlight w:val="none"/>
        </w:rPr>
      </w:pPr>
    </w:p>
    <w:p w14:paraId="1C9D7740">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5F30D4DC">
      <w:pPr>
        <w:widowControl/>
        <w:adjustRightInd/>
        <w:jc w:val="center"/>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3"/>
      <w:r>
        <w:rPr>
          <w:rFonts w:hint="eastAsia" w:ascii="宋体" w:hAnsi="宋体" w:cs="宋体"/>
          <w:b/>
          <w:color w:val="auto"/>
          <w:sz w:val="36"/>
          <w:szCs w:val="20"/>
          <w:highlight w:val="none"/>
        </w:rPr>
        <w:t xml:space="preserve"> </w:t>
      </w:r>
      <w:bookmarkEnd w:id="394"/>
      <w:r>
        <w:rPr>
          <w:rFonts w:hint="eastAsia" w:ascii="宋体" w:hAnsi="宋体" w:cs="宋体"/>
          <w:b/>
          <w:color w:val="auto"/>
          <w:sz w:val="36"/>
          <w:szCs w:val="20"/>
          <w:highlight w:val="none"/>
        </w:rPr>
        <w:t>应提交的有关格式范例</w:t>
      </w:r>
    </w:p>
    <w:p w14:paraId="5458760F">
      <w:pPr>
        <w:spacing w:line="360" w:lineRule="auto"/>
        <w:jc w:val="center"/>
        <w:outlineLvl w:val="0"/>
        <w:rPr>
          <w:rFonts w:ascii="宋体" w:hAnsi="宋体" w:cs="宋体"/>
          <w:b/>
          <w:color w:val="auto"/>
          <w:kern w:val="0"/>
          <w:sz w:val="36"/>
          <w:szCs w:val="36"/>
          <w:highlight w:val="none"/>
        </w:rPr>
      </w:pPr>
    </w:p>
    <w:p w14:paraId="72EBEEFA">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0D0571E5">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187950B4">
      <w:pPr>
        <w:spacing w:line="360" w:lineRule="auto"/>
        <w:jc w:val="center"/>
        <w:outlineLvl w:val="0"/>
        <w:rPr>
          <w:rFonts w:ascii="宋体" w:hAnsi="宋体" w:cs="宋体"/>
          <w:b/>
          <w:color w:val="auto"/>
          <w:kern w:val="0"/>
          <w:sz w:val="36"/>
          <w:szCs w:val="36"/>
          <w:highlight w:val="none"/>
        </w:rPr>
      </w:pPr>
    </w:p>
    <w:p w14:paraId="64B2C9C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172B9FDE">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264F99E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573A995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7EB6127A">
      <w:pPr>
        <w:snapToGrid w:val="0"/>
        <w:spacing w:line="360" w:lineRule="auto"/>
        <w:ind w:firstLine="480" w:firstLineChars="200"/>
        <w:rPr>
          <w:rFonts w:ascii="宋体" w:hAnsi="宋体" w:cs="宋体"/>
          <w:color w:val="auto"/>
          <w:sz w:val="24"/>
          <w:highlight w:val="none"/>
        </w:rPr>
      </w:pPr>
    </w:p>
    <w:p w14:paraId="5D7C83D8">
      <w:pPr>
        <w:spacing w:line="360" w:lineRule="auto"/>
        <w:ind w:firstLine="480" w:firstLineChars="200"/>
        <w:rPr>
          <w:rFonts w:ascii="宋体" w:hAnsi="宋体" w:cs="宋体"/>
          <w:color w:val="auto"/>
          <w:sz w:val="24"/>
          <w:highlight w:val="none"/>
        </w:rPr>
      </w:pPr>
    </w:p>
    <w:p w14:paraId="36B3FF27">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12914260">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杭州市临平区人民政府崇贤街道办事处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杭州天坤建设咨询有限公司</w:t>
      </w:r>
      <w:r>
        <w:rPr>
          <w:rFonts w:hint="eastAsia" w:ascii="宋体" w:hAnsi="宋体" w:cs="宋体"/>
          <w:color w:val="auto"/>
          <w:sz w:val="24"/>
          <w:highlight w:val="none"/>
        </w:rPr>
        <w:t>：</w:t>
      </w:r>
    </w:p>
    <w:p w14:paraId="7D94D65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“杭北门户·未来贤城”城市新区风貌区建设方案编制和综合评估咨询服务项目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TKZXCG-2025-032</w:t>
      </w:r>
      <w:r>
        <w:rPr>
          <w:rFonts w:hint="eastAsia" w:ascii="宋体" w:hAnsi="宋体" w:cs="宋体"/>
          <w:color w:val="auto"/>
          <w:sz w:val="24"/>
          <w:highlight w:val="none"/>
        </w:rPr>
        <w:t>】政府采购活动，郑重承诺：</w:t>
      </w:r>
    </w:p>
    <w:p w14:paraId="24FCB57A">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290A9EE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21CA2DB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5735218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09E678B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1A2EE76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5AD740B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71E93EB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6C7227F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0E5B82B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01981E7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72A1CE0B">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4E1C794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53D06016">
      <w:pPr>
        <w:snapToGrid w:val="0"/>
        <w:spacing w:line="360" w:lineRule="auto"/>
        <w:ind w:right="480"/>
        <w:jc w:val="center"/>
        <w:rPr>
          <w:rFonts w:ascii="宋体" w:hAnsi="宋体" w:cs="宋体"/>
          <w:b/>
          <w:color w:val="auto"/>
          <w:kern w:val="0"/>
          <w:sz w:val="32"/>
          <w:szCs w:val="32"/>
          <w:highlight w:val="none"/>
        </w:rPr>
      </w:pPr>
    </w:p>
    <w:p w14:paraId="596ABC37">
      <w:pPr>
        <w:snapToGrid w:val="0"/>
        <w:spacing w:line="360" w:lineRule="auto"/>
        <w:ind w:right="480"/>
        <w:jc w:val="center"/>
        <w:rPr>
          <w:rFonts w:ascii="宋体" w:hAnsi="宋体" w:cs="宋体"/>
          <w:b/>
          <w:color w:val="auto"/>
          <w:kern w:val="0"/>
          <w:sz w:val="32"/>
          <w:szCs w:val="32"/>
          <w:highlight w:val="none"/>
        </w:rPr>
      </w:pPr>
    </w:p>
    <w:p w14:paraId="25E2531B">
      <w:pPr>
        <w:snapToGrid w:val="0"/>
        <w:spacing w:line="360" w:lineRule="auto"/>
        <w:ind w:right="480"/>
        <w:jc w:val="center"/>
        <w:rPr>
          <w:rFonts w:ascii="宋体" w:hAnsi="宋体" w:cs="宋体"/>
          <w:b/>
          <w:color w:val="auto"/>
          <w:kern w:val="0"/>
          <w:sz w:val="32"/>
          <w:szCs w:val="32"/>
          <w:highlight w:val="none"/>
        </w:rPr>
      </w:pPr>
    </w:p>
    <w:p w14:paraId="3D869CA3">
      <w:pPr>
        <w:rPr>
          <w:rFonts w:ascii="宋体" w:hAnsi="宋体" w:cs="宋体"/>
          <w:color w:val="auto"/>
          <w:highlight w:val="none"/>
        </w:rPr>
      </w:pPr>
    </w:p>
    <w:p w14:paraId="1165296D">
      <w:pPr>
        <w:snapToGrid w:val="0"/>
        <w:spacing w:line="360" w:lineRule="auto"/>
        <w:ind w:right="480"/>
        <w:jc w:val="center"/>
        <w:rPr>
          <w:rFonts w:ascii="宋体" w:hAnsi="宋体" w:cs="宋体"/>
          <w:b/>
          <w:color w:val="auto"/>
          <w:kern w:val="0"/>
          <w:sz w:val="32"/>
          <w:szCs w:val="32"/>
          <w:highlight w:val="none"/>
        </w:rPr>
      </w:pPr>
    </w:p>
    <w:p w14:paraId="1EDB7BF2">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47A0A3F4">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39B4CA7B">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02238F4C">
      <w:pPr>
        <w:snapToGrid w:val="0"/>
        <w:spacing w:line="360" w:lineRule="auto"/>
        <w:ind w:right="480"/>
        <w:jc w:val="center"/>
        <w:rPr>
          <w:rFonts w:ascii="宋体" w:hAnsi="宋体" w:cs="宋体"/>
          <w:b/>
          <w:color w:val="auto"/>
          <w:kern w:val="0"/>
          <w:sz w:val="32"/>
          <w:szCs w:val="32"/>
          <w:highlight w:val="none"/>
        </w:rPr>
      </w:pPr>
    </w:p>
    <w:p w14:paraId="4A04CF9F">
      <w:pPr>
        <w:snapToGrid w:val="0"/>
        <w:spacing w:line="360" w:lineRule="auto"/>
        <w:ind w:right="480"/>
        <w:jc w:val="center"/>
        <w:rPr>
          <w:rFonts w:ascii="宋体" w:hAnsi="宋体" w:cs="宋体"/>
          <w:b/>
          <w:color w:val="auto"/>
          <w:kern w:val="0"/>
          <w:sz w:val="32"/>
          <w:szCs w:val="32"/>
          <w:highlight w:val="none"/>
        </w:rPr>
      </w:pPr>
    </w:p>
    <w:p w14:paraId="261B7AD6">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015717AE">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71DEF8E4">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.专门面向中小企业，服务全部由符合政策要求的中小企业（或小微企业）承接的，提供相应的中小企业声明函（附件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1765B399">
      <w:pPr>
        <w:widowControl/>
        <w:spacing w:line="360" w:lineRule="auto"/>
        <w:ind w:firstLine="480"/>
        <w:jc w:val="left"/>
        <w:rPr>
          <w:rFonts w:ascii="宋体" w:hAnsi="宋体" w:cs="宋体"/>
          <w:color w:val="auto"/>
          <w:sz w:val="24"/>
          <w:highlight w:val="none"/>
        </w:rPr>
      </w:pPr>
    </w:p>
    <w:p w14:paraId="678AF036">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0F4B944E">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06ACD379">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34E24821">
      <w:pPr>
        <w:widowControl/>
        <w:spacing w:line="360" w:lineRule="auto"/>
        <w:ind w:left="150"/>
        <w:jc w:val="center"/>
        <w:rPr>
          <w:rFonts w:ascii="宋体" w:hAnsi="宋体" w:cs="宋体"/>
          <w:b/>
          <w:color w:val="auto"/>
          <w:kern w:val="0"/>
          <w:sz w:val="32"/>
          <w:szCs w:val="32"/>
          <w:highlight w:val="none"/>
        </w:rPr>
      </w:pPr>
    </w:p>
    <w:p w14:paraId="4E66AFB9">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348FD9D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56E3344A">
      <w:pPr>
        <w:rPr>
          <w:rFonts w:ascii="宋体" w:hAnsi="宋体" w:cs="宋体"/>
          <w:color w:val="auto"/>
          <w:highlight w:val="none"/>
        </w:rPr>
      </w:pPr>
    </w:p>
    <w:p w14:paraId="73907B95">
      <w:pPr>
        <w:widowControl/>
        <w:adjustRightInd/>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3C0B4F94">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3A7CF41B">
      <w:pPr>
        <w:spacing w:line="360" w:lineRule="auto"/>
        <w:jc w:val="center"/>
        <w:outlineLvl w:val="0"/>
        <w:rPr>
          <w:rFonts w:ascii="宋体" w:hAnsi="宋体" w:cs="宋体"/>
          <w:b/>
          <w:color w:val="auto"/>
          <w:kern w:val="0"/>
          <w:sz w:val="24"/>
          <w:highlight w:val="none"/>
        </w:rPr>
      </w:pPr>
    </w:p>
    <w:p w14:paraId="64FC89D4">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12DFB595">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69D7F006">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6F6582FD">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4F0A00D1">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7BAD3BDB">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2B50A665">
      <w:pPr>
        <w:snapToGrid w:val="0"/>
        <w:spacing w:line="360" w:lineRule="auto"/>
        <w:jc w:val="center"/>
        <w:rPr>
          <w:rFonts w:ascii="宋体" w:hAnsi="宋体" w:cs="宋体"/>
          <w:b/>
          <w:color w:val="auto"/>
          <w:kern w:val="0"/>
          <w:sz w:val="32"/>
          <w:szCs w:val="32"/>
          <w:highlight w:val="none"/>
          <w:lang w:val="zh-CN"/>
        </w:rPr>
      </w:pPr>
    </w:p>
    <w:p w14:paraId="700BCA6D">
      <w:pPr>
        <w:snapToGrid w:val="0"/>
        <w:spacing w:line="360" w:lineRule="auto"/>
        <w:jc w:val="center"/>
        <w:rPr>
          <w:rFonts w:ascii="宋体" w:hAnsi="宋体" w:cs="宋体"/>
          <w:b/>
          <w:color w:val="auto"/>
          <w:kern w:val="0"/>
          <w:sz w:val="32"/>
          <w:szCs w:val="32"/>
          <w:highlight w:val="none"/>
          <w:lang w:val="zh-CN"/>
        </w:rPr>
      </w:pPr>
    </w:p>
    <w:p w14:paraId="4CABD69D">
      <w:pPr>
        <w:snapToGrid w:val="0"/>
        <w:spacing w:line="360" w:lineRule="auto"/>
        <w:jc w:val="center"/>
        <w:rPr>
          <w:rFonts w:ascii="宋体" w:hAnsi="宋体" w:cs="宋体"/>
          <w:b/>
          <w:color w:val="auto"/>
          <w:kern w:val="0"/>
          <w:sz w:val="32"/>
          <w:szCs w:val="32"/>
          <w:highlight w:val="none"/>
          <w:lang w:val="zh-CN"/>
        </w:rPr>
      </w:pPr>
    </w:p>
    <w:p w14:paraId="69DEAC0D">
      <w:pPr>
        <w:snapToGrid w:val="0"/>
        <w:spacing w:line="360" w:lineRule="auto"/>
        <w:jc w:val="center"/>
        <w:rPr>
          <w:rFonts w:ascii="宋体" w:hAnsi="宋体" w:cs="宋体"/>
          <w:b/>
          <w:color w:val="auto"/>
          <w:kern w:val="0"/>
          <w:sz w:val="32"/>
          <w:szCs w:val="32"/>
          <w:highlight w:val="none"/>
          <w:lang w:val="zh-CN"/>
        </w:rPr>
      </w:pPr>
    </w:p>
    <w:p w14:paraId="6EE7BD80">
      <w:pPr>
        <w:snapToGrid w:val="0"/>
        <w:spacing w:line="360" w:lineRule="auto"/>
        <w:jc w:val="center"/>
        <w:rPr>
          <w:rFonts w:ascii="宋体" w:hAnsi="宋体" w:cs="宋体"/>
          <w:b/>
          <w:color w:val="auto"/>
          <w:kern w:val="0"/>
          <w:sz w:val="32"/>
          <w:szCs w:val="32"/>
          <w:highlight w:val="none"/>
          <w:lang w:val="zh-CN"/>
        </w:rPr>
      </w:pPr>
    </w:p>
    <w:p w14:paraId="48640FED">
      <w:pPr>
        <w:snapToGrid w:val="0"/>
        <w:spacing w:line="360" w:lineRule="auto"/>
        <w:jc w:val="center"/>
        <w:rPr>
          <w:rFonts w:ascii="宋体" w:hAnsi="宋体" w:cs="宋体"/>
          <w:b/>
          <w:color w:val="auto"/>
          <w:kern w:val="0"/>
          <w:sz w:val="32"/>
          <w:szCs w:val="32"/>
          <w:highlight w:val="none"/>
          <w:lang w:val="zh-CN"/>
        </w:rPr>
      </w:pPr>
    </w:p>
    <w:p w14:paraId="7A0083EF">
      <w:pPr>
        <w:snapToGrid w:val="0"/>
        <w:spacing w:line="360" w:lineRule="auto"/>
        <w:jc w:val="center"/>
        <w:rPr>
          <w:rFonts w:ascii="宋体" w:hAnsi="宋体" w:cs="宋体"/>
          <w:b/>
          <w:color w:val="auto"/>
          <w:kern w:val="0"/>
          <w:sz w:val="32"/>
          <w:szCs w:val="32"/>
          <w:highlight w:val="none"/>
          <w:lang w:val="zh-CN"/>
        </w:rPr>
      </w:pPr>
    </w:p>
    <w:p w14:paraId="1F5A04FD">
      <w:pPr>
        <w:snapToGrid w:val="0"/>
        <w:spacing w:line="360" w:lineRule="auto"/>
        <w:jc w:val="center"/>
        <w:rPr>
          <w:rFonts w:ascii="宋体" w:hAnsi="宋体" w:cs="宋体"/>
          <w:b/>
          <w:color w:val="auto"/>
          <w:kern w:val="0"/>
          <w:sz w:val="32"/>
          <w:szCs w:val="32"/>
          <w:highlight w:val="none"/>
          <w:lang w:val="zh-CN"/>
        </w:rPr>
      </w:pPr>
    </w:p>
    <w:p w14:paraId="301C9372">
      <w:pPr>
        <w:snapToGrid w:val="0"/>
        <w:spacing w:line="360" w:lineRule="auto"/>
        <w:jc w:val="center"/>
        <w:rPr>
          <w:rFonts w:ascii="宋体" w:hAnsi="宋体" w:cs="宋体"/>
          <w:b/>
          <w:color w:val="auto"/>
          <w:kern w:val="0"/>
          <w:sz w:val="32"/>
          <w:szCs w:val="32"/>
          <w:highlight w:val="none"/>
          <w:lang w:val="zh-CN"/>
        </w:rPr>
      </w:pPr>
    </w:p>
    <w:p w14:paraId="49FA761E">
      <w:pPr>
        <w:snapToGrid w:val="0"/>
        <w:spacing w:line="360" w:lineRule="auto"/>
        <w:jc w:val="center"/>
        <w:rPr>
          <w:rFonts w:ascii="宋体" w:hAnsi="宋体" w:cs="宋体"/>
          <w:b/>
          <w:color w:val="auto"/>
          <w:kern w:val="0"/>
          <w:sz w:val="32"/>
          <w:szCs w:val="32"/>
          <w:highlight w:val="none"/>
          <w:lang w:val="zh-CN"/>
        </w:rPr>
      </w:pPr>
    </w:p>
    <w:p w14:paraId="0CE6BE45">
      <w:pPr>
        <w:snapToGrid w:val="0"/>
        <w:spacing w:line="360" w:lineRule="auto"/>
        <w:jc w:val="center"/>
        <w:rPr>
          <w:rFonts w:ascii="宋体" w:hAnsi="宋体" w:cs="宋体"/>
          <w:b/>
          <w:color w:val="auto"/>
          <w:kern w:val="0"/>
          <w:sz w:val="32"/>
          <w:szCs w:val="32"/>
          <w:highlight w:val="none"/>
          <w:lang w:val="zh-CN"/>
        </w:rPr>
      </w:pPr>
    </w:p>
    <w:p w14:paraId="0B232C6D">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3A8940F2">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38F2DFB8">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杭州市临平区人民政府崇贤街道办事处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杭州天坤建设咨询有限公司</w:t>
      </w:r>
      <w:r>
        <w:rPr>
          <w:rFonts w:hint="eastAsia" w:ascii="宋体" w:hAnsi="宋体" w:cs="宋体"/>
          <w:color w:val="auto"/>
          <w:sz w:val="24"/>
          <w:highlight w:val="none"/>
        </w:rPr>
        <w:t>：</w:t>
      </w:r>
    </w:p>
    <w:p w14:paraId="3AB3C4C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“杭北门户·未来贤城”城市新区风貌区建设方案编制和综合评估咨询服务项目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TKZXCG-2025-032</w:t>
      </w:r>
      <w:r>
        <w:rPr>
          <w:rFonts w:hint="eastAsia" w:ascii="宋体" w:hAnsi="宋体" w:cs="宋体"/>
          <w:color w:val="auto"/>
          <w:sz w:val="24"/>
          <w:highlight w:val="none"/>
        </w:rPr>
        <w:t>】招标的有关活动，并对此项目进行投标。为此：</w:t>
      </w:r>
    </w:p>
    <w:p w14:paraId="468B708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3E0FDCB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39DD7A5E">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734B9DC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48B56DA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w:t>
      </w:r>
      <w:bookmarkStart w:id="509" w:name="_Hlk101257010"/>
      <w:r>
        <w:rPr>
          <w:rFonts w:hint="eastAsia" w:ascii="宋体" w:hAnsi="宋体" w:cs="宋体"/>
          <w:color w:val="auto"/>
          <w:sz w:val="24"/>
          <w:highlight w:val="none"/>
        </w:rPr>
        <w:t>（如果有)</w:t>
      </w:r>
      <w:bookmarkEnd w:id="509"/>
      <w:r>
        <w:rPr>
          <w:rFonts w:hint="eastAsia" w:ascii="宋体" w:hAnsi="宋体" w:cs="宋体"/>
          <w:snapToGrid w:val="0"/>
          <w:color w:val="auto"/>
          <w:kern w:val="28"/>
          <w:sz w:val="24"/>
          <w:szCs w:val="20"/>
          <w:highlight w:val="none"/>
        </w:rPr>
        <w:t>；</w:t>
      </w:r>
    </w:p>
    <w:p w14:paraId="2B4EC0C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落实政府采购政策需满足的资格要求（如果有）；</w:t>
      </w:r>
    </w:p>
    <w:p w14:paraId="2891C29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本项目的特定资格要求（如果有)。</w:t>
      </w:r>
    </w:p>
    <w:p w14:paraId="33E6C08F">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5B44AF5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3EB71FB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37A344C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分包意向协议（如果有)；</w:t>
      </w:r>
    </w:p>
    <w:p w14:paraId="3ACC02E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796B43D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0AC527F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6478F24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7C5C4887">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D30EA5B">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5FBC8E2F">
      <w:pPr>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3197EB3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14:paraId="1ECB6959">
      <w:pPr>
        <w:snapToGrid w:val="0"/>
        <w:spacing w:line="360" w:lineRule="auto"/>
        <w:ind w:firstLine="480" w:firstLineChars="200"/>
        <w:rPr>
          <w:rFonts w:ascii="宋体" w:hAnsi="宋体" w:cs="宋体"/>
          <w:color w:val="auto"/>
          <w:sz w:val="24"/>
          <w:highlight w:val="none"/>
        </w:rPr>
      </w:pPr>
      <w:r>
        <w:rPr>
          <w:rFonts w:hint="eastAsia" w:ascii="宋体" w:hAnsi="宋体" w:eastAsia="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6AB7C79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123A3B9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116763E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19BDF3E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47F77DB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17CA3A24">
      <w:pPr>
        <w:widowControl w:val="0"/>
        <w:numPr>
          <w:ilvl w:val="0"/>
          <w:numId w:val="0"/>
        </w:numPr>
        <w:ind w:firstLine="480" w:firstLineChars="200"/>
        <w:jc w:val="both"/>
        <w:rPr>
          <w:rFonts w:hint="eastAsia" w:ascii="宋体" w:hAnsi="宋体" w:eastAsia="宋体" w:cs="宋体"/>
          <w:i w:val="0"/>
          <w:caps w:val="0"/>
          <w:color w:val="auto"/>
          <w:spacing w:val="0"/>
          <w:sz w:val="24"/>
          <w:szCs w:val="24"/>
          <w:highlight w:val="none"/>
          <w:shd w:val="clear" w:color="auto" w:fill="FFFFFF"/>
          <w:lang w:val="en-US" w:eastAsia="zh-CN"/>
        </w:rPr>
      </w:pPr>
      <w:r>
        <w:rPr>
          <w:rFonts w:hint="eastAsia" w:ascii="宋体" w:hAnsi="宋体" w:cs="宋体"/>
          <w:color w:val="auto"/>
          <w:sz w:val="24"/>
          <w:highlight w:val="none"/>
        </w:rPr>
        <w:t>5、</w:t>
      </w:r>
      <w:r>
        <w:rPr>
          <w:rFonts w:hint="eastAsia" w:ascii="宋体" w:hAnsi="宋体" w:cs="宋体"/>
          <w:color w:val="auto"/>
          <w:sz w:val="24"/>
          <w:highlight w:val="none"/>
          <w:lang w:val="en-US" w:eastAsia="zh-CN"/>
        </w:rPr>
        <w:t>对</w:t>
      </w:r>
      <w:r>
        <w:rPr>
          <w:rFonts w:hint="eastAsia" w:ascii="宋体" w:hAnsi="宋体" w:eastAsia="宋体" w:cs="宋体"/>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84AF10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EAAA2F7">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62C20BF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625A5284">
      <w:pPr>
        <w:snapToGrid w:val="0"/>
        <w:spacing w:line="360" w:lineRule="auto"/>
        <w:ind w:left="420" w:leftChars="200" w:firstLine="4200" w:firstLineChars="1750"/>
        <w:rPr>
          <w:rFonts w:ascii="宋体" w:hAnsi="宋体" w:cs="宋体"/>
          <w:color w:val="auto"/>
          <w:kern w:val="0"/>
          <w:sz w:val="24"/>
          <w:highlight w:val="none"/>
          <w:u w:val="single"/>
        </w:rPr>
      </w:pPr>
    </w:p>
    <w:p w14:paraId="38661905">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52E17B7">
      <w:pPr>
        <w:snapToGrid w:val="0"/>
        <w:spacing w:line="360" w:lineRule="auto"/>
        <w:jc w:val="center"/>
        <w:rPr>
          <w:rFonts w:ascii="宋体" w:hAnsi="宋体" w:cs="宋体"/>
          <w:b/>
          <w:color w:val="auto"/>
          <w:kern w:val="0"/>
          <w:sz w:val="32"/>
          <w:szCs w:val="32"/>
          <w:highlight w:val="none"/>
        </w:rPr>
      </w:pPr>
    </w:p>
    <w:p w14:paraId="742E3BA8">
      <w:pPr>
        <w:snapToGrid w:val="0"/>
        <w:spacing w:line="360" w:lineRule="auto"/>
        <w:rPr>
          <w:rFonts w:ascii="宋体" w:hAnsi="宋体" w:cs="宋体"/>
          <w:color w:val="auto"/>
          <w:sz w:val="24"/>
          <w:highlight w:val="none"/>
        </w:rPr>
      </w:pPr>
    </w:p>
    <w:p w14:paraId="2AFDD200">
      <w:pPr>
        <w:jc w:val="both"/>
        <w:rPr>
          <w:rFonts w:ascii="宋体" w:hAnsi="宋体" w:cs="宋体"/>
          <w:b/>
          <w:color w:val="auto"/>
          <w:kern w:val="0"/>
          <w:sz w:val="32"/>
          <w:szCs w:val="32"/>
          <w:highlight w:val="none"/>
        </w:rPr>
      </w:pPr>
    </w:p>
    <w:p w14:paraId="2D183AA5">
      <w:pPr>
        <w:jc w:val="center"/>
        <w:rPr>
          <w:rFonts w:ascii="宋体" w:hAnsi="宋体" w:cs="宋体"/>
          <w:b/>
          <w:color w:val="auto"/>
          <w:kern w:val="0"/>
          <w:sz w:val="32"/>
          <w:szCs w:val="32"/>
          <w:highlight w:val="none"/>
        </w:rPr>
      </w:pPr>
    </w:p>
    <w:p w14:paraId="5D8BB10A">
      <w:pPr>
        <w:jc w:val="center"/>
        <w:rPr>
          <w:rFonts w:ascii="宋体" w:hAnsi="宋体" w:cs="宋体"/>
          <w:b/>
          <w:color w:val="auto"/>
          <w:kern w:val="0"/>
          <w:sz w:val="32"/>
          <w:szCs w:val="32"/>
          <w:highlight w:val="none"/>
        </w:rPr>
      </w:pPr>
    </w:p>
    <w:p w14:paraId="78197527">
      <w:pPr>
        <w:jc w:val="center"/>
        <w:rPr>
          <w:rFonts w:ascii="宋体" w:hAnsi="宋体" w:cs="宋体"/>
          <w:b/>
          <w:color w:val="auto"/>
          <w:kern w:val="0"/>
          <w:sz w:val="32"/>
          <w:szCs w:val="32"/>
          <w:highlight w:val="none"/>
        </w:rPr>
      </w:pPr>
    </w:p>
    <w:p w14:paraId="7CBF5A00">
      <w:pPr>
        <w:jc w:val="center"/>
        <w:rPr>
          <w:rFonts w:ascii="宋体" w:hAnsi="宋体" w:cs="宋体"/>
          <w:b/>
          <w:color w:val="auto"/>
          <w:kern w:val="0"/>
          <w:sz w:val="32"/>
          <w:szCs w:val="32"/>
          <w:highlight w:val="none"/>
        </w:rPr>
      </w:pPr>
    </w:p>
    <w:p w14:paraId="2221EB27">
      <w:pPr>
        <w:jc w:val="center"/>
        <w:rPr>
          <w:rFonts w:ascii="宋体" w:hAnsi="宋体" w:cs="宋体"/>
          <w:b/>
          <w:color w:val="auto"/>
          <w:kern w:val="0"/>
          <w:sz w:val="32"/>
          <w:szCs w:val="32"/>
          <w:highlight w:val="none"/>
        </w:rPr>
      </w:pPr>
    </w:p>
    <w:p w14:paraId="4C1F8EAB">
      <w:pPr>
        <w:jc w:val="center"/>
        <w:rPr>
          <w:rFonts w:ascii="宋体" w:hAnsi="宋体" w:cs="宋体"/>
          <w:b/>
          <w:color w:val="auto"/>
          <w:kern w:val="0"/>
          <w:sz w:val="32"/>
          <w:szCs w:val="32"/>
          <w:highlight w:val="none"/>
        </w:rPr>
      </w:pPr>
    </w:p>
    <w:p w14:paraId="1D30A3E4">
      <w:pPr>
        <w:jc w:val="center"/>
        <w:rPr>
          <w:rFonts w:ascii="宋体" w:hAnsi="宋体" w:cs="宋体"/>
          <w:b/>
          <w:color w:val="auto"/>
          <w:kern w:val="0"/>
          <w:sz w:val="32"/>
          <w:szCs w:val="32"/>
          <w:highlight w:val="none"/>
        </w:rPr>
      </w:pPr>
    </w:p>
    <w:p w14:paraId="1CD0E6AD">
      <w:pPr>
        <w:jc w:val="center"/>
        <w:rPr>
          <w:rFonts w:ascii="宋体" w:hAnsi="宋体" w:cs="宋体"/>
          <w:b/>
          <w:color w:val="auto"/>
          <w:kern w:val="0"/>
          <w:sz w:val="32"/>
          <w:szCs w:val="32"/>
          <w:highlight w:val="none"/>
        </w:rPr>
      </w:pPr>
    </w:p>
    <w:p w14:paraId="25EA4943">
      <w:pPr>
        <w:jc w:val="center"/>
        <w:rPr>
          <w:rFonts w:ascii="宋体" w:hAnsi="宋体" w:cs="宋体"/>
          <w:b/>
          <w:color w:val="auto"/>
          <w:kern w:val="0"/>
          <w:sz w:val="32"/>
          <w:szCs w:val="32"/>
          <w:highlight w:val="none"/>
        </w:rPr>
      </w:pPr>
    </w:p>
    <w:p w14:paraId="4435A295">
      <w:pPr>
        <w:jc w:val="center"/>
        <w:rPr>
          <w:rFonts w:ascii="宋体" w:hAnsi="宋体" w:cs="宋体"/>
          <w:b/>
          <w:color w:val="auto"/>
          <w:kern w:val="0"/>
          <w:sz w:val="32"/>
          <w:szCs w:val="32"/>
          <w:highlight w:val="none"/>
        </w:rPr>
      </w:pPr>
    </w:p>
    <w:p w14:paraId="09EA2B9B">
      <w:pPr>
        <w:jc w:val="center"/>
        <w:rPr>
          <w:rFonts w:ascii="宋体" w:hAnsi="宋体" w:cs="宋体"/>
          <w:b/>
          <w:color w:val="auto"/>
          <w:kern w:val="0"/>
          <w:sz w:val="32"/>
          <w:szCs w:val="32"/>
          <w:highlight w:val="none"/>
        </w:rPr>
      </w:pPr>
    </w:p>
    <w:p w14:paraId="187DA1AB">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42D0F7D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11AA68CA">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16D5DB2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杭州市临平区人民政府崇贤街道办事处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杭州天坤建设咨询有限公司</w:t>
      </w:r>
      <w:r>
        <w:rPr>
          <w:rFonts w:hint="eastAsia" w:ascii="宋体" w:hAnsi="宋体" w:cs="宋体"/>
          <w:color w:val="auto"/>
          <w:kern w:val="0"/>
          <w:sz w:val="24"/>
          <w:highlight w:val="none"/>
          <w:lang w:val="zh-CN"/>
        </w:rPr>
        <w:t>：</w:t>
      </w:r>
    </w:p>
    <w:p w14:paraId="0E4092CD">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“杭北门户·未来贤城”城市新区风貌区建设方案编制和综合评估咨询服务项目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TKZXCG-2025-032</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70D0523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47BB19B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D3BE534">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33312E0A">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1AA9871A">
      <w:pPr>
        <w:snapToGrid w:val="0"/>
        <w:spacing w:line="360" w:lineRule="auto"/>
        <w:rPr>
          <w:rFonts w:ascii="宋体" w:hAnsi="宋体" w:cs="宋体"/>
          <w:color w:val="auto"/>
          <w:sz w:val="24"/>
          <w:highlight w:val="none"/>
        </w:rPr>
      </w:pPr>
    </w:p>
    <w:p w14:paraId="51D753C0">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2CC05594">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杭州市临平区人民政府崇贤街道办事处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杭州天坤建设咨询有限公司</w:t>
      </w:r>
      <w:r>
        <w:rPr>
          <w:rFonts w:hint="eastAsia" w:ascii="宋体" w:hAnsi="宋体" w:cs="宋体"/>
          <w:color w:val="auto"/>
          <w:kern w:val="0"/>
          <w:sz w:val="24"/>
          <w:highlight w:val="none"/>
          <w:lang w:val="zh-CN"/>
        </w:rPr>
        <w:t>：</w:t>
      </w:r>
    </w:p>
    <w:p w14:paraId="0543E492">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“杭北门户·未来贤城”城市新区风貌区建设方案编制和综合评估咨询服务项目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TKZXCG-2025-032</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3ECCCDBA">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12A16624">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33C79970">
      <w:pPr>
        <w:jc w:val="center"/>
        <w:rPr>
          <w:rFonts w:ascii="宋体" w:hAnsi="宋体" w:cs="宋体"/>
          <w:b/>
          <w:color w:val="auto"/>
          <w:kern w:val="0"/>
          <w:sz w:val="32"/>
          <w:szCs w:val="32"/>
          <w:highlight w:val="none"/>
        </w:rPr>
      </w:pPr>
    </w:p>
    <w:p w14:paraId="0E921CCB">
      <w:pPr>
        <w:rPr>
          <w:rFonts w:ascii="宋体" w:hAnsi="宋体" w:cs="宋体"/>
          <w:color w:val="auto"/>
          <w:highlight w:val="none"/>
        </w:rPr>
      </w:pPr>
    </w:p>
    <w:p w14:paraId="5FBFFFF0">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B8359CD">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40873469">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1640882F">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0CC1280D">
      <w:pPr>
        <w:autoSpaceDE w:val="0"/>
        <w:autoSpaceDN w:val="0"/>
        <w:spacing w:line="360" w:lineRule="auto"/>
        <w:jc w:val="center"/>
        <w:rPr>
          <w:rFonts w:ascii="宋体" w:hAnsi="宋体" w:cs="宋体"/>
          <w:b/>
          <w:color w:val="auto"/>
          <w:kern w:val="0"/>
          <w:sz w:val="32"/>
          <w:szCs w:val="32"/>
          <w:highlight w:val="none"/>
          <w:lang w:val="zh-CN"/>
        </w:rPr>
      </w:pPr>
    </w:p>
    <w:p w14:paraId="12407765">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1905085C">
      <w:pPr>
        <w:pStyle w:val="149"/>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FEC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873CF5D">
            <w:pPr>
              <w:pStyle w:val="149"/>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746311E0">
            <w:pPr>
              <w:pStyle w:val="149"/>
              <w:adjustRightInd w:val="0"/>
              <w:spacing w:line="360" w:lineRule="auto"/>
              <w:rPr>
                <w:rFonts w:hAnsi="宋体" w:cs="宋体"/>
                <w:bCs/>
                <w:color w:val="auto"/>
                <w:sz w:val="24"/>
                <w:highlight w:val="none"/>
              </w:rPr>
            </w:pPr>
          </w:p>
        </w:tc>
      </w:tr>
    </w:tbl>
    <w:p w14:paraId="7DC55081">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52E22140">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340906C5">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0491D09B">
      <w:pPr>
        <w:jc w:val="center"/>
        <w:rPr>
          <w:rFonts w:ascii="宋体" w:hAnsi="宋体" w:cs="宋体"/>
          <w:b/>
          <w:color w:val="auto"/>
          <w:kern w:val="0"/>
          <w:sz w:val="32"/>
          <w:szCs w:val="32"/>
          <w:highlight w:val="none"/>
        </w:rPr>
      </w:pPr>
    </w:p>
    <w:p w14:paraId="0301EFC9">
      <w:pPr>
        <w:jc w:val="center"/>
        <w:rPr>
          <w:rFonts w:ascii="宋体" w:hAnsi="宋体" w:cs="宋体"/>
          <w:b/>
          <w:color w:val="auto"/>
          <w:kern w:val="0"/>
          <w:sz w:val="32"/>
          <w:szCs w:val="32"/>
          <w:highlight w:val="none"/>
        </w:rPr>
      </w:pPr>
    </w:p>
    <w:p w14:paraId="141B6848">
      <w:pPr>
        <w:jc w:val="center"/>
        <w:rPr>
          <w:rFonts w:ascii="宋体" w:hAnsi="宋体" w:cs="宋体"/>
          <w:b/>
          <w:color w:val="auto"/>
          <w:kern w:val="0"/>
          <w:sz w:val="32"/>
          <w:szCs w:val="32"/>
          <w:highlight w:val="none"/>
        </w:rPr>
      </w:pPr>
    </w:p>
    <w:p w14:paraId="535AF7D7">
      <w:pPr>
        <w:jc w:val="center"/>
        <w:rPr>
          <w:rFonts w:ascii="宋体" w:hAnsi="宋体" w:cs="宋体"/>
          <w:b/>
          <w:color w:val="auto"/>
          <w:kern w:val="0"/>
          <w:sz w:val="32"/>
          <w:szCs w:val="32"/>
          <w:highlight w:val="none"/>
        </w:rPr>
      </w:pPr>
    </w:p>
    <w:p w14:paraId="0A4E2064">
      <w:pPr>
        <w:jc w:val="center"/>
        <w:rPr>
          <w:rFonts w:ascii="宋体" w:hAnsi="宋体" w:cs="宋体"/>
          <w:b/>
          <w:color w:val="auto"/>
          <w:kern w:val="0"/>
          <w:sz w:val="32"/>
          <w:szCs w:val="32"/>
          <w:highlight w:val="none"/>
        </w:rPr>
      </w:pPr>
    </w:p>
    <w:p w14:paraId="0AF779EA">
      <w:pPr>
        <w:jc w:val="center"/>
        <w:rPr>
          <w:rFonts w:ascii="宋体" w:hAnsi="宋体" w:cs="宋体"/>
          <w:b/>
          <w:color w:val="auto"/>
          <w:kern w:val="0"/>
          <w:sz w:val="32"/>
          <w:szCs w:val="32"/>
          <w:highlight w:val="none"/>
        </w:rPr>
      </w:pPr>
    </w:p>
    <w:p w14:paraId="5803F886">
      <w:pPr>
        <w:jc w:val="center"/>
        <w:rPr>
          <w:rFonts w:ascii="宋体" w:hAnsi="宋体" w:cs="宋体"/>
          <w:b/>
          <w:color w:val="auto"/>
          <w:kern w:val="0"/>
          <w:sz w:val="32"/>
          <w:szCs w:val="32"/>
          <w:highlight w:val="none"/>
        </w:rPr>
      </w:pPr>
    </w:p>
    <w:p w14:paraId="35CD2C34">
      <w:pPr>
        <w:jc w:val="center"/>
        <w:rPr>
          <w:rFonts w:ascii="宋体" w:hAnsi="宋体" w:cs="宋体"/>
          <w:b/>
          <w:color w:val="auto"/>
          <w:kern w:val="0"/>
          <w:sz w:val="32"/>
          <w:szCs w:val="32"/>
          <w:highlight w:val="none"/>
        </w:rPr>
      </w:pPr>
    </w:p>
    <w:p w14:paraId="5DB91F40">
      <w:pPr>
        <w:jc w:val="center"/>
        <w:rPr>
          <w:rFonts w:ascii="宋体" w:hAnsi="宋体" w:cs="宋体"/>
          <w:b/>
          <w:color w:val="auto"/>
          <w:kern w:val="0"/>
          <w:sz w:val="32"/>
          <w:szCs w:val="32"/>
          <w:highlight w:val="none"/>
        </w:rPr>
      </w:pPr>
    </w:p>
    <w:p w14:paraId="26A791CB">
      <w:pPr>
        <w:jc w:val="center"/>
        <w:rPr>
          <w:rFonts w:ascii="宋体" w:hAnsi="宋体" w:cs="宋体"/>
          <w:b/>
          <w:color w:val="auto"/>
          <w:kern w:val="0"/>
          <w:sz w:val="32"/>
          <w:szCs w:val="32"/>
          <w:highlight w:val="none"/>
        </w:rPr>
      </w:pPr>
    </w:p>
    <w:p w14:paraId="27658365">
      <w:pPr>
        <w:snapToGrid w:val="0"/>
        <w:spacing w:line="360" w:lineRule="auto"/>
        <w:ind w:right="480"/>
        <w:rPr>
          <w:rFonts w:ascii="宋体" w:hAnsi="宋体" w:cs="宋体"/>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6BEE4E76">
      <w:pPr>
        <w:snapToGrid w:val="0"/>
        <w:spacing w:line="360" w:lineRule="auto"/>
        <w:ind w:firstLine="3534" w:firstLineChars="11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4DF96877">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p w14:paraId="61D607AE">
      <w:pPr>
        <w:snapToGrid w:val="0"/>
        <w:spacing w:line="360" w:lineRule="auto"/>
        <w:rPr>
          <w:rFonts w:ascii="宋体" w:hAnsi="宋体" w:cs="宋体"/>
          <w:color w:val="auto"/>
          <w:kern w:val="0"/>
          <w:sz w:val="24"/>
          <w:highlight w:val="none"/>
        </w:rPr>
      </w:pPr>
    </w:p>
    <w:p w14:paraId="29B4F5CA">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69A1ED46">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3E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0D2890">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022759A2">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54D84488">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F59D139">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3DCCB3A2">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3E0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1F856E">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0F934229">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23DD204C">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6473C495">
            <w:pPr>
              <w:rPr>
                <w:rFonts w:ascii="宋体" w:hAnsi="宋体" w:cs="宋体"/>
                <w:color w:val="auto"/>
                <w:sz w:val="24"/>
                <w:highlight w:val="none"/>
              </w:rPr>
            </w:pPr>
          </w:p>
          <w:p w14:paraId="2EFD984F">
            <w:pPr>
              <w:rPr>
                <w:rFonts w:ascii="宋体" w:hAnsi="宋体" w:cs="宋体"/>
                <w:color w:val="auto"/>
                <w:sz w:val="24"/>
                <w:highlight w:val="none"/>
              </w:rPr>
            </w:pPr>
            <w:r>
              <w:rPr>
                <w:rFonts w:hint="eastAsia" w:ascii="宋体" w:hAnsi="宋体" w:cs="宋体"/>
                <w:color w:val="auto"/>
                <w:sz w:val="24"/>
                <w:highlight w:val="none"/>
              </w:rPr>
              <w:t>见投标文件</w:t>
            </w:r>
          </w:p>
          <w:p w14:paraId="4D40010C">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53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EA2EA5">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69497FC0">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54FEB1B3">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418A3ED7">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1F2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4B2A6E">
            <w:pPr>
              <w:jc w:val="center"/>
              <w:rPr>
                <w:rFonts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0816E62A">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5563D5BE">
            <w:pPr>
              <w:rPr>
                <w:rFonts w:ascii="宋体" w:hAnsi="宋体" w:cs="宋体"/>
                <w:color w:val="auto"/>
                <w:sz w:val="24"/>
                <w:highlight w:val="none"/>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3FECB870">
            <w:pPr>
              <w:rPr>
                <w:rFonts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20C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8706DAC">
            <w:pPr>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1BD3FA50">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2B845AB5">
            <w:pPr>
              <w:rPr>
                <w:rFonts w:hint="eastAsia" w:ascii="宋体" w:hAnsi="宋体" w:cs="宋体"/>
                <w:b w:val="0"/>
                <w:bCs w:val="0"/>
                <w:color w:val="auto"/>
                <w:sz w:val="24"/>
                <w:highlight w:val="none"/>
                <w:lang w:val="en-US" w:eastAsia="zh-CN"/>
              </w:rPr>
            </w:pPr>
          </w:p>
        </w:tc>
        <w:tc>
          <w:tcPr>
            <w:tcW w:w="1418" w:type="dxa"/>
            <w:vAlign w:val="top"/>
          </w:tcPr>
          <w:p w14:paraId="05C42D45">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0D65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5912E1">
            <w:pPr>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1460D33A">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5A7E1580">
            <w:pPr>
              <w:rPr>
                <w:rFonts w:hint="eastAsia" w:ascii="宋体" w:hAnsi="宋体" w:cs="宋体"/>
                <w:b w:val="0"/>
                <w:bCs w:val="0"/>
                <w:color w:val="auto"/>
                <w:sz w:val="24"/>
                <w:highlight w:val="none"/>
                <w:lang w:val="en-US" w:eastAsia="zh-CN"/>
              </w:rPr>
            </w:pPr>
          </w:p>
        </w:tc>
        <w:tc>
          <w:tcPr>
            <w:tcW w:w="1418" w:type="dxa"/>
            <w:vAlign w:val="top"/>
          </w:tcPr>
          <w:p w14:paraId="3228697A">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71B70E08">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300760AC">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2、招标文件中实质性要求必须明确响应。</w:t>
      </w:r>
    </w:p>
    <w:p w14:paraId="2469B32C">
      <w:pPr>
        <w:jc w:val="center"/>
        <w:rPr>
          <w:rFonts w:ascii="宋体" w:hAnsi="宋体" w:cs="宋体"/>
          <w:b/>
          <w:color w:val="auto"/>
          <w:kern w:val="0"/>
          <w:sz w:val="32"/>
          <w:szCs w:val="32"/>
          <w:highlight w:val="none"/>
        </w:rPr>
      </w:pPr>
    </w:p>
    <w:p w14:paraId="0C733880">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3F35CECA">
      <w:pPr>
        <w:jc w:val="center"/>
        <w:rPr>
          <w:rFonts w:ascii="宋体" w:hAnsi="宋体" w:cs="宋体"/>
          <w:b/>
          <w:color w:val="auto"/>
          <w:kern w:val="0"/>
          <w:sz w:val="32"/>
          <w:szCs w:val="32"/>
          <w:highlight w:val="none"/>
        </w:rPr>
      </w:pPr>
    </w:p>
    <w:p w14:paraId="07766F4D">
      <w:pPr>
        <w:jc w:val="center"/>
        <w:rPr>
          <w:rFonts w:ascii="宋体" w:hAnsi="宋体" w:cs="宋体"/>
          <w:b/>
          <w:color w:val="auto"/>
          <w:kern w:val="0"/>
          <w:sz w:val="32"/>
          <w:szCs w:val="32"/>
          <w:highlight w:val="none"/>
        </w:rPr>
      </w:pPr>
    </w:p>
    <w:p w14:paraId="3690FD43">
      <w:pPr>
        <w:jc w:val="center"/>
        <w:rPr>
          <w:rFonts w:ascii="宋体" w:hAnsi="宋体" w:cs="宋体"/>
          <w:b/>
          <w:color w:val="auto"/>
          <w:kern w:val="0"/>
          <w:sz w:val="32"/>
          <w:szCs w:val="32"/>
          <w:highlight w:val="none"/>
        </w:rPr>
      </w:pPr>
    </w:p>
    <w:p w14:paraId="7F1941D4">
      <w:pPr>
        <w:jc w:val="center"/>
        <w:rPr>
          <w:rFonts w:ascii="宋体" w:hAnsi="宋体" w:cs="宋体"/>
          <w:b/>
          <w:color w:val="auto"/>
          <w:kern w:val="0"/>
          <w:sz w:val="32"/>
          <w:szCs w:val="32"/>
          <w:highlight w:val="none"/>
        </w:rPr>
      </w:pPr>
    </w:p>
    <w:p w14:paraId="2F2DAB36">
      <w:pPr>
        <w:jc w:val="center"/>
        <w:rPr>
          <w:rFonts w:ascii="宋体" w:hAnsi="宋体" w:cs="宋体"/>
          <w:b/>
          <w:color w:val="auto"/>
          <w:kern w:val="0"/>
          <w:sz w:val="32"/>
          <w:szCs w:val="32"/>
          <w:highlight w:val="none"/>
        </w:rPr>
      </w:pPr>
    </w:p>
    <w:p w14:paraId="3835C731">
      <w:pPr>
        <w:jc w:val="center"/>
        <w:rPr>
          <w:rFonts w:ascii="宋体" w:hAnsi="宋体" w:cs="宋体"/>
          <w:b/>
          <w:color w:val="auto"/>
          <w:kern w:val="0"/>
          <w:sz w:val="32"/>
          <w:szCs w:val="32"/>
          <w:highlight w:val="none"/>
        </w:rPr>
      </w:pPr>
    </w:p>
    <w:p w14:paraId="7A8F4978">
      <w:pPr>
        <w:jc w:val="center"/>
        <w:rPr>
          <w:rFonts w:ascii="宋体" w:hAnsi="宋体" w:cs="宋体"/>
          <w:b/>
          <w:color w:val="auto"/>
          <w:kern w:val="0"/>
          <w:sz w:val="32"/>
          <w:szCs w:val="32"/>
          <w:highlight w:val="none"/>
        </w:rPr>
      </w:pPr>
    </w:p>
    <w:p w14:paraId="20BAE25D">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32D1CFBB">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67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4B70B6">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7094874F">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0D4E9F7F">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73B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E1A295D">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3CFE82DA">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XXX（预先填写）</w:t>
            </w:r>
          </w:p>
        </w:tc>
        <w:tc>
          <w:tcPr>
            <w:tcW w:w="3046" w:type="dxa"/>
          </w:tcPr>
          <w:p w14:paraId="0CA3674D">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177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EFBF41">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645D16A2">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249E10E5">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4EB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0869D8B">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0E1A2FB7">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5F158C9F">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6B42D008">
      <w:pPr>
        <w:pStyle w:val="79"/>
        <w:rPr>
          <w:color w:val="auto"/>
          <w:highlight w:val="none"/>
        </w:rPr>
      </w:pPr>
    </w:p>
    <w:p w14:paraId="00E0E54A">
      <w:pPr>
        <w:jc w:val="center"/>
        <w:rPr>
          <w:rFonts w:ascii="宋体" w:hAnsi="宋体" w:cs="宋体"/>
          <w:b/>
          <w:color w:val="auto"/>
          <w:kern w:val="0"/>
          <w:sz w:val="32"/>
          <w:szCs w:val="32"/>
          <w:highlight w:val="none"/>
        </w:rPr>
      </w:pPr>
    </w:p>
    <w:p w14:paraId="11A9EEFB">
      <w:pPr>
        <w:jc w:val="center"/>
        <w:rPr>
          <w:rFonts w:ascii="宋体" w:hAnsi="宋体" w:cs="宋体"/>
          <w:b/>
          <w:color w:val="auto"/>
          <w:kern w:val="0"/>
          <w:sz w:val="32"/>
          <w:szCs w:val="32"/>
          <w:highlight w:val="none"/>
        </w:rPr>
      </w:pPr>
    </w:p>
    <w:p w14:paraId="679698A4">
      <w:pPr>
        <w:jc w:val="center"/>
        <w:rPr>
          <w:rFonts w:ascii="宋体" w:hAnsi="宋体" w:cs="宋体"/>
          <w:b/>
          <w:color w:val="auto"/>
          <w:kern w:val="0"/>
          <w:sz w:val="32"/>
          <w:szCs w:val="32"/>
          <w:highlight w:val="none"/>
        </w:rPr>
      </w:pPr>
    </w:p>
    <w:p w14:paraId="17612F2D">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600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52D6D1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1D9A4C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3A9916CC">
            <w:pPr>
              <w:spacing w:line="360" w:lineRule="auto"/>
              <w:jc w:val="center"/>
              <w:rPr>
                <w:rFonts w:ascii="宋体" w:hAnsi="宋体" w:cs="宋体"/>
                <w:b/>
                <w:color w:val="auto"/>
                <w:sz w:val="24"/>
                <w:highlight w:val="none"/>
              </w:rPr>
            </w:pPr>
          </w:p>
          <w:p w14:paraId="02F51E5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1939890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5FC6EC1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1778B62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4DB8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23A147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487AA6AE">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618953FE">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8EB5BE4">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0BCD6C5">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38BAC35">
            <w:pPr>
              <w:spacing w:line="360" w:lineRule="auto"/>
              <w:jc w:val="center"/>
              <w:rPr>
                <w:rFonts w:ascii="宋体" w:hAnsi="宋体" w:cs="宋体"/>
                <w:color w:val="auto"/>
                <w:sz w:val="24"/>
                <w:highlight w:val="none"/>
              </w:rPr>
            </w:pPr>
          </w:p>
        </w:tc>
      </w:tr>
      <w:tr w14:paraId="1B90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79D3B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2026627B">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17D0FD58">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5FB2BE7">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6AC924D">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8FD6226">
            <w:pPr>
              <w:spacing w:line="360" w:lineRule="auto"/>
              <w:jc w:val="center"/>
              <w:rPr>
                <w:rFonts w:ascii="宋体" w:hAnsi="宋体" w:cs="宋体"/>
                <w:color w:val="auto"/>
                <w:sz w:val="24"/>
                <w:highlight w:val="none"/>
              </w:rPr>
            </w:pPr>
          </w:p>
        </w:tc>
      </w:tr>
      <w:tr w14:paraId="22A7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932008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6C27EB67">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657C9D74">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83F65B8">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6FC1AFC">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2F3F1BF5">
            <w:pPr>
              <w:spacing w:line="360" w:lineRule="auto"/>
              <w:jc w:val="center"/>
              <w:rPr>
                <w:rFonts w:ascii="宋体" w:hAnsi="宋体" w:cs="宋体"/>
                <w:color w:val="auto"/>
                <w:sz w:val="24"/>
                <w:highlight w:val="none"/>
              </w:rPr>
            </w:pPr>
          </w:p>
        </w:tc>
      </w:tr>
    </w:tbl>
    <w:p w14:paraId="3FAFDB6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33E4EF47">
      <w:pPr>
        <w:jc w:val="center"/>
        <w:rPr>
          <w:rFonts w:ascii="宋体" w:hAnsi="宋体" w:cs="宋体"/>
          <w:b/>
          <w:color w:val="auto"/>
          <w:kern w:val="0"/>
          <w:sz w:val="32"/>
          <w:szCs w:val="32"/>
          <w:highlight w:val="none"/>
        </w:rPr>
      </w:pPr>
      <w:r>
        <w:rPr>
          <w:rFonts w:ascii="宋体" w:hAnsi="宋体" w:cs="宋体"/>
          <w:b/>
          <w:color w:val="auto"/>
          <w:kern w:val="0"/>
          <w:sz w:val="32"/>
          <w:szCs w:val="32"/>
          <w:highlight w:val="none"/>
        </w:rPr>
        <w:br w:type="column"/>
      </w:r>
      <w:r>
        <w:rPr>
          <w:rFonts w:hint="eastAsia" w:ascii="宋体" w:hAnsi="宋体" w:cs="宋体"/>
          <w:b/>
          <w:color w:val="auto"/>
          <w:kern w:val="0"/>
          <w:sz w:val="32"/>
          <w:szCs w:val="32"/>
          <w:highlight w:val="none"/>
        </w:rPr>
        <w:t>七、商务技术偏离表</w:t>
      </w:r>
    </w:p>
    <w:tbl>
      <w:tblPr>
        <w:tblStyle w:val="63"/>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03DA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82FA8E">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14:paraId="3B426346">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14:paraId="0FA21463">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102" w:type="dxa"/>
          </w:tcPr>
          <w:p w14:paraId="6EABD2B7">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70E0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B2B90B">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14:paraId="6B6935F5">
            <w:pPr>
              <w:jc w:val="center"/>
              <w:rPr>
                <w:rFonts w:ascii="宋体" w:hAnsi="宋体" w:cs="宋体"/>
                <w:b/>
                <w:color w:val="auto"/>
                <w:kern w:val="0"/>
                <w:sz w:val="32"/>
                <w:szCs w:val="32"/>
                <w:highlight w:val="none"/>
              </w:rPr>
            </w:pPr>
          </w:p>
        </w:tc>
        <w:tc>
          <w:tcPr>
            <w:tcW w:w="3062" w:type="dxa"/>
          </w:tcPr>
          <w:p w14:paraId="5FF76456">
            <w:pPr>
              <w:jc w:val="center"/>
              <w:rPr>
                <w:rFonts w:ascii="宋体" w:hAnsi="宋体" w:cs="宋体"/>
                <w:b/>
                <w:color w:val="auto"/>
                <w:kern w:val="0"/>
                <w:sz w:val="32"/>
                <w:szCs w:val="32"/>
                <w:highlight w:val="none"/>
              </w:rPr>
            </w:pPr>
          </w:p>
        </w:tc>
        <w:tc>
          <w:tcPr>
            <w:tcW w:w="1102" w:type="dxa"/>
          </w:tcPr>
          <w:p w14:paraId="277CD6D7">
            <w:pPr>
              <w:jc w:val="center"/>
              <w:rPr>
                <w:rFonts w:ascii="宋体" w:hAnsi="宋体" w:cs="宋体"/>
                <w:b/>
                <w:color w:val="auto"/>
                <w:kern w:val="0"/>
                <w:sz w:val="32"/>
                <w:szCs w:val="32"/>
                <w:highlight w:val="none"/>
              </w:rPr>
            </w:pPr>
          </w:p>
        </w:tc>
      </w:tr>
      <w:tr w14:paraId="2F9D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A2FFE6">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14:paraId="3D96D204">
            <w:pPr>
              <w:jc w:val="center"/>
              <w:rPr>
                <w:rFonts w:ascii="宋体" w:hAnsi="宋体" w:cs="宋体"/>
                <w:b/>
                <w:color w:val="auto"/>
                <w:kern w:val="0"/>
                <w:sz w:val="32"/>
                <w:szCs w:val="32"/>
                <w:highlight w:val="none"/>
              </w:rPr>
            </w:pPr>
          </w:p>
        </w:tc>
        <w:tc>
          <w:tcPr>
            <w:tcW w:w="3062" w:type="dxa"/>
          </w:tcPr>
          <w:p w14:paraId="0A81AFEB">
            <w:pPr>
              <w:jc w:val="center"/>
              <w:rPr>
                <w:rFonts w:ascii="宋体" w:hAnsi="宋体" w:cs="宋体"/>
                <w:b/>
                <w:color w:val="auto"/>
                <w:kern w:val="0"/>
                <w:sz w:val="32"/>
                <w:szCs w:val="32"/>
                <w:highlight w:val="none"/>
              </w:rPr>
            </w:pPr>
          </w:p>
        </w:tc>
        <w:tc>
          <w:tcPr>
            <w:tcW w:w="1102" w:type="dxa"/>
          </w:tcPr>
          <w:p w14:paraId="167149FF">
            <w:pPr>
              <w:jc w:val="center"/>
              <w:rPr>
                <w:rFonts w:ascii="宋体" w:hAnsi="宋体" w:cs="宋体"/>
                <w:b/>
                <w:color w:val="auto"/>
                <w:kern w:val="0"/>
                <w:sz w:val="32"/>
                <w:szCs w:val="32"/>
                <w:highlight w:val="none"/>
              </w:rPr>
            </w:pPr>
          </w:p>
        </w:tc>
      </w:tr>
      <w:tr w14:paraId="16B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5BFD28">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14:paraId="0A4801BD">
            <w:pPr>
              <w:jc w:val="center"/>
              <w:rPr>
                <w:rFonts w:ascii="宋体" w:hAnsi="宋体" w:cs="宋体"/>
                <w:b/>
                <w:color w:val="auto"/>
                <w:kern w:val="0"/>
                <w:sz w:val="32"/>
                <w:szCs w:val="32"/>
                <w:highlight w:val="none"/>
              </w:rPr>
            </w:pPr>
          </w:p>
        </w:tc>
        <w:tc>
          <w:tcPr>
            <w:tcW w:w="3062" w:type="dxa"/>
          </w:tcPr>
          <w:p w14:paraId="25AE5A44">
            <w:pPr>
              <w:jc w:val="center"/>
              <w:rPr>
                <w:rFonts w:ascii="宋体" w:hAnsi="宋体" w:cs="宋体"/>
                <w:b/>
                <w:color w:val="auto"/>
                <w:kern w:val="0"/>
                <w:sz w:val="32"/>
                <w:szCs w:val="32"/>
                <w:highlight w:val="none"/>
              </w:rPr>
            </w:pPr>
          </w:p>
        </w:tc>
        <w:tc>
          <w:tcPr>
            <w:tcW w:w="1102" w:type="dxa"/>
          </w:tcPr>
          <w:p w14:paraId="62B49A7F">
            <w:pPr>
              <w:jc w:val="center"/>
              <w:rPr>
                <w:rFonts w:ascii="宋体" w:hAnsi="宋体" w:cs="宋体"/>
                <w:b/>
                <w:color w:val="auto"/>
                <w:kern w:val="0"/>
                <w:sz w:val="32"/>
                <w:szCs w:val="32"/>
                <w:highlight w:val="none"/>
              </w:rPr>
            </w:pPr>
          </w:p>
        </w:tc>
      </w:tr>
    </w:tbl>
    <w:p w14:paraId="64B7359B">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60B2AAAA">
      <w:pPr>
        <w:jc w:val="center"/>
        <w:rPr>
          <w:rFonts w:ascii="宋体" w:hAnsi="宋体" w:cs="宋体"/>
          <w:b/>
          <w:color w:val="auto"/>
          <w:kern w:val="0"/>
          <w:sz w:val="32"/>
          <w:szCs w:val="32"/>
          <w:highlight w:val="none"/>
        </w:rPr>
      </w:pPr>
    </w:p>
    <w:p w14:paraId="710C0A52">
      <w:pPr>
        <w:spacing w:line="360" w:lineRule="auto"/>
        <w:ind w:right="42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2728D80C">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1F7CA531">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49BE1496">
      <w:pPr>
        <w:ind w:firstLine="1911" w:firstLineChars="595"/>
        <w:rPr>
          <w:rFonts w:ascii="宋体" w:hAnsi="宋体" w:cs="宋体"/>
          <w:b/>
          <w:bCs/>
          <w:color w:val="auto"/>
          <w:sz w:val="32"/>
          <w:szCs w:val="32"/>
          <w:highlight w:val="none"/>
        </w:rPr>
      </w:pPr>
    </w:p>
    <w:p w14:paraId="7042B3A7">
      <w:pPr>
        <w:ind w:firstLine="1911" w:firstLineChars="595"/>
        <w:rPr>
          <w:rFonts w:ascii="宋体" w:hAnsi="宋体" w:cs="宋体"/>
          <w:b/>
          <w:bCs/>
          <w:color w:val="auto"/>
          <w:sz w:val="32"/>
          <w:szCs w:val="32"/>
          <w:highlight w:val="none"/>
        </w:rPr>
      </w:pPr>
    </w:p>
    <w:p w14:paraId="21094B72">
      <w:pPr>
        <w:ind w:firstLine="1911" w:firstLineChars="595"/>
        <w:rPr>
          <w:rFonts w:ascii="宋体" w:hAnsi="宋体" w:cs="宋体"/>
          <w:b/>
          <w:bCs/>
          <w:color w:val="auto"/>
          <w:sz w:val="32"/>
          <w:szCs w:val="32"/>
          <w:highlight w:val="none"/>
        </w:rPr>
      </w:pPr>
    </w:p>
    <w:p w14:paraId="1B6858A7">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7EE6DE81">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2619FD1C">
      <w:pPr>
        <w:snapToGrid w:val="0"/>
        <w:spacing w:line="360" w:lineRule="auto"/>
        <w:rPr>
          <w:rFonts w:ascii="宋体" w:hAnsi="宋体" w:cs="宋体"/>
          <w:color w:val="auto"/>
          <w:sz w:val="24"/>
          <w:highlight w:val="none"/>
        </w:rPr>
      </w:pPr>
    </w:p>
    <w:p w14:paraId="796BC50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杭州市临平区人民政府崇贤街道办事处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杭州天坤建设咨询有限公司</w:t>
      </w:r>
      <w:r>
        <w:rPr>
          <w:rFonts w:hint="eastAsia" w:ascii="宋体" w:hAnsi="宋体" w:cs="宋体"/>
          <w:color w:val="auto"/>
          <w:kern w:val="0"/>
          <w:sz w:val="24"/>
          <w:highlight w:val="none"/>
          <w:lang w:val="zh-CN"/>
        </w:rPr>
        <w:t>：</w:t>
      </w:r>
    </w:p>
    <w:p w14:paraId="3B677287">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761F21A3">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5658F70C">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1FBA2125">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427F3A0D">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62F0D915">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0BB49404">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6C9BAC21">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7B62DA4E">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14C4D8B2">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0B965F7E">
      <w:pPr>
        <w:autoSpaceDE w:val="0"/>
        <w:autoSpaceDN w:val="0"/>
        <w:spacing w:line="360" w:lineRule="auto"/>
        <w:ind w:left="2"/>
        <w:jc w:val="left"/>
        <w:rPr>
          <w:rFonts w:ascii="宋体" w:hAnsi="宋体" w:cs="宋体"/>
          <w:color w:val="auto"/>
          <w:kern w:val="0"/>
          <w:sz w:val="24"/>
          <w:highlight w:val="none"/>
          <w:lang w:val="zh-CN"/>
        </w:rPr>
      </w:pPr>
    </w:p>
    <w:p w14:paraId="39195F20">
      <w:pPr>
        <w:autoSpaceDE w:val="0"/>
        <w:autoSpaceDN w:val="0"/>
        <w:spacing w:line="360" w:lineRule="auto"/>
        <w:ind w:left="2"/>
        <w:jc w:val="left"/>
        <w:rPr>
          <w:rFonts w:ascii="宋体" w:hAnsi="宋体" w:cs="宋体"/>
          <w:color w:val="auto"/>
          <w:kern w:val="0"/>
          <w:sz w:val="24"/>
          <w:highlight w:val="none"/>
          <w:lang w:val="zh-CN"/>
        </w:rPr>
      </w:pPr>
    </w:p>
    <w:p w14:paraId="70CBF0ED">
      <w:pPr>
        <w:autoSpaceDE w:val="0"/>
        <w:autoSpaceDN w:val="0"/>
        <w:spacing w:line="360" w:lineRule="auto"/>
        <w:ind w:left="2"/>
        <w:jc w:val="left"/>
        <w:rPr>
          <w:rFonts w:ascii="宋体" w:hAnsi="宋体" w:cs="宋体"/>
          <w:color w:val="auto"/>
          <w:kern w:val="0"/>
          <w:sz w:val="24"/>
          <w:highlight w:val="none"/>
          <w:lang w:val="zh-CN"/>
        </w:rPr>
      </w:pPr>
    </w:p>
    <w:p w14:paraId="1C567931">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20166966">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45F93B45">
      <w:pPr>
        <w:spacing w:line="360" w:lineRule="auto"/>
        <w:jc w:val="center"/>
        <w:rPr>
          <w:rFonts w:ascii="宋体" w:hAnsi="宋体" w:cs="宋体"/>
          <w:b/>
          <w:bCs/>
          <w:color w:val="auto"/>
          <w:sz w:val="24"/>
          <w:highlight w:val="none"/>
        </w:rPr>
      </w:pPr>
    </w:p>
    <w:p w14:paraId="05C77EC0">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C0B7333">
      <w:pPr>
        <w:spacing w:line="360" w:lineRule="auto"/>
        <w:jc w:val="center"/>
        <w:rPr>
          <w:rFonts w:ascii="宋体" w:hAnsi="宋体" w:cs="宋体"/>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53D24CB3">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160063E8">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02FAB4E6">
      <w:pPr>
        <w:spacing w:line="360" w:lineRule="auto"/>
        <w:jc w:val="center"/>
        <w:outlineLvl w:val="0"/>
        <w:rPr>
          <w:rFonts w:ascii="宋体" w:hAnsi="宋体" w:cs="宋体"/>
          <w:b/>
          <w:color w:val="auto"/>
          <w:kern w:val="0"/>
          <w:sz w:val="36"/>
          <w:szCs w:val="36"/>
          <w:highlight w:val="none"/>
        </w:rPr>
      </w:pPr>
    </w:p>
    <w:p w14:paraId="48200F11">
      <w:pPr>
        <w:numPr>
          <w:ilvl w:val="0"/>
          <w:numId w:val="2"/>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7AB07CCA">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）中小企业声明函………………………………………………………………（页码）</w:t>
      </w:r>
    </w:p>
    <w:p w14:paraId="4374C50A">
      <w:pPr>
        <w:pStyle w:val="80"/>
        <w:rPr>
          <w:rFonts w:hint="eastAsia"/>
          <w:color w:val="auto"/>
          <w:highlight w:val="none"/>
        </w:rPr>
      </w:pPr>
    </w:p>
    <w:p w14:paraId="4DA9F2CD">
      <w:pPr>
        <w:pStyle w:val="80"/>
        <w:rPr>
          <w:color w:val="auto"/>
          <w:highlight w:val="none"/>
        </w:rPr>
      </w:pPr>
    </w:p>
    <w:p w14:paraId="0FBB4570">
      <w:pPr>
        <w:snapToGrid w:val="0"/>
        <w:spacing w:line="360" w:lineRule="auto"/>
        <w:ind w:right="480"/>
        <w:jc w:val="center"/>
        <w:rPr>
          <w:rFonts w:ascii="宋体" w:hAnsi="宋体" w:cs="宋体"/>
          <w:b/>
          <w:color w:val="auto"/>
          <w:kern w:val="0"/>
          <w:sz w:val="32"/>
          <w:szCs w:val="32"/>
          <w:highlight w:val="none"/>
        </w:rPr>
      </w:pPr>
    </w:p>
    <w:p w14:paraId="5AFFDCF3">
      <w:pPr>
        <w:snapToGrid w:val="0"/>
        <w:spacing w:line="360" w:lineRule="auto"/>
        <w:ind w:right="480"/>
        <w:jc w:val="center"/>
        <w:rPr>
          <w:rFonts w:ascii="宋体" w:hAnsi="宋体" w:cs="宋体"/>
          <w:b/>
          <w:color w:val="auto"/>
          <w:kern w:val="0"/>
          <w:sz w:val="32"/>
          <w:szCs w:val="32"/>
          <w:highlight w:val="none"/>
        </w:rPr>
      </w:pPr>
    </w:p>
    <w:p w14:paraId="10A7AAE1">
      <w:pPr>
        <w:snapToGrid w:val="0"/>
        <w:spacing w:line="360" w:lineRule="auto"/>
        <w:ind w:right="480"/>
        <w:jc w:val="center"/>
        <w:rPr>
          <w:rFonts w:ascii="宋体" w:hAnsi="宋体" w:cs="宋体"/>
          <w:b/>
          <w:color w:val="auto"/>
          <w:kern w:val="0"/>
          <w:sz w:val="32"/>
          <w:szCs w:val="32"/>
          <w:highlight w:val="none"/>
        </w:rPr>
      </w:pPr>
    </w:p>
    <w:p w14:paraId="3FB0E389">
      <w:pPr>
        <w:snapToGrid w:val="0"/>
        <w:spacing w:line="360" w:lineRule="auto"/>
        <w:ind w:right="480"/>
        <w:jc w:val="center"/>
        <w:rPr>
          <w:rFonts w:ascii="宋体" w:hAnsi="宋体" w:cs="宋体"/>
          <w:b/>
          <w:color w:val="auto"/>
          <w:kern w:val="0"/>
          <w:sz w:val="32"/>
          <w:szCs w:val="32"/>
          <w:highlight w:val="none"/>
        </w:rPr>
      </w:pPr>
    </w:p>
    <w:p w14:paraId="115027FA">
      <w:pPr>
        <w:snapToGrid w:val="0"/>
        <w:spacing w:line="360" w:lineRule="auto"/>
        <w:ind w:right="480"/>
        <w:jc w:val="center"/>
        <w:rPr>
          <w:rFonts w:ascii="宋体" w:hAnsi="宋体" w:cs="宋体"/>
          <w:b/>
          <w:color w:val="auto"/>
          <w:kern w:val="0"/>
          <w:sz w:val="32"/>
          <w:szCs w:val="32"/>
          <w:highlight w:val="none"/>
        </w:rPr>
      </w:pPr>
    </w:p>
    <w:p w14:paraId="337961BC">
      <w:pPr>
        <w:snapToGrid w:val="0"/>
        <w:spacing w:line="360" w:lineRule="auto"/>
        <w:ind w:right="480"/>
        <w:jc w:val="center"/>
        <w:rPr>
          <w:rFonts w:ascii="宋体" w:hAnsi="宋体" w:cs="宋体"/>
          <w:b/>
          <w:color w:val="auto"/>
          <w:kern w:val="0"/>
          <w:sz w:val="32"/>
          <w:szCs w:val="32"/>
          <w:highlight w:val="none"/>
        </w:rPr>
      </w:pPr>
    </w:p>
    <w:p w14:paraId="7141EA06">
      <w:pPr>
        <w:snapToGrid w:val="0"/>
        <w:spacing w:line="360" w:lineRule="auto"/>
        <w:ind w:right="480"/>
        <w:jc w:val="center"/>
        <w:rPr>
          <w:rFonts w:ascii="宋体" w:hAnsi="宋体" w:cs="宋体"/>
          <w:b/>
          <w:color w:val="auto"/>
          <w:kern w:val="0"/>
          <w:sz w:val="32"/>
          <w:szCs w:val="32"/>
          <w:highlight w:val="none"/>
        </w:rPr>
      </w:pPr>
    </w:p>
    <w:p w14:paraId="66E8FD50">
      <w:pPr>
        <w:snapToGrid w:val="0"/>
        <w:spacing w:line="360" w:lineRule="auto"/>
        <w:ind w:right="480"/>
        <w:jc w:val="center"/>
        <w:rPr>
          <w:rFonts w:ascii="宋体" w:hAnsi="宋体" w:cs="宋体"/>
          <w:b/>
          <w:color w:val="auto"/>
          <w:kern w:val="0"/>
          <w:sz w:val="32"/>
          <w:szCs w:val="32"/>
          <w:highlight w:val="none"/>
        </w:rPr>
      </w:pPr>
    </w:p>
    <w:p w14:paraId="50F160CE">
      <w:pPr>
        <w:snapToGrid w:val="0"/>
        <w:spacing w:line="360" w:lineRule="auto"/>
        <w:ind w:right="480"/>
        <w:jc w:val="center"/>
        <w:rPr>
          <w:rFonts w:ascii="宋体" w:hAnsi="宋体" w:cs="宋体"/>
          <w:b/>
          <w:color w:val="auto"/>
          <w:kern w:val="0"/>
          <w:sz w:val="32"/>
          <w:szCs w:val="32"/>
          <w:highlight w:val="none"/>
        </w:rPr>
      </w:pPr>
    </w:p>
    <w:p w14:paraId="4A58B3F0">
      <w:pPr>
        <w:snapToGrid w:val="0"/>
        <w:spacing w:line="360" w:lineRule="auto"/>
        <w:ind w:right="480"/>
        <w:jc w:val="center"/>
        <w:rPr>
          <w:rFonts w:ascii="宋体" w:hAnsi="宋体" w:cs="宋体"/>
          <w:b/>
          <w:color w:val="auto"/>
          <w:kern w:val="0"/>
          <w:sz w:val="32"/>
          <w:szCs w:val="32"/>
          <w:highlight w:val="none"/>
        </w:rPr>
      </w:pPr>
    </w:p>
    <w:p w14:paraId="4E57D7EE">
      <w:pPr>
        <w:snapToGrid w:val="0"/>
        <w:spacing w:line="360" w:lineRule="auto"/>
        <w:ind w:right="480"/>
        <w:jc w:val="center"/>
        <w:rPr>
          <w:rFonts w:ascii="宋体" w:hAnsi="宋体" w:cs="宋体"/>
          <w:b/>
          <w:color w:val="auto"/>
          <w:kern w:val="0"/>
          <w:sz w:val="32"/>
          <w:szCs w:val="32"/>
          <w:highlight w:val="none"/>
        </w:rPr>
      </w:pPr>
    </w:p>
    <w:p w14:paraId="5FBC9E6B">
      <w:pPr>
        <w:snapToGrid w:val="0"/>
        <w:spacing w:line="360" w:lineRule="auto"/>
        <w:ind w:right="480"/>
        <w:jc w:val="center"/>
        <w:rPr>
          <w:rFonts w:ascii="宋体" w:hAnsi="宋体" w:cs="宋体"/>
          <w:b/>
          <w:color w:val="auto"/>
          <w:kern w:val="0"/>
          <w:sz w:val="32"/>
          <w:szCs w:val="32"/>
          <w:highlight w:val="none"/>
        </w:rPr>
      </w:pPr>
    </w:p>
    <w:p w14:paraId="7F821D76">
      <w:pPr>
        <w:snapToGrid w:val="0"/>
        <w:spacing w:line="360" w:lineRule="auto"/>
        <w:ind w:right="480"/>
        <w:jc w:val="center"/>
        <w:rPr>
          <w:rFonts w:ascii="宋体" w:hAnsi="宋体" w:cs="宋体"/>
          <w:b/>
          <w:color w:val="auto"/>
          <w:kern w:val="0"/>
          <w:sz w:val="32"/>
          <w:szCs w:val="32"/>
          <w:highlight w:val="none"/>
        </w:rPr>
      </w:pPr>
    </w:p>
    <w:p w14:paraId="242935C1">
      <w:pPr>
        <w:snapToGrid w:val="0"/>
        <w:spacing w:line="360" w:lineRule="auto"/>
        <w:ind w:right="480"/>
        <w:jc w:val="center"/>
        <w:rPr>
          <w:rFonts w:ascii="宋体" w:hAnsi="宋体" w:cs="宋体"/>
          <w:b/>
          <w:color w:val="auto"/>
          <w:kern w:val="0"/>
          <w:sz w:val="32"/>
          <w:szCs w:val="32"/>
          <w:highlight w:val="none"/>
        </w:rPr>
      </w:pPr>
    </w:p>
    <w:p w14:paraId="09307FF9">
      <w:pPr>
        <w:snapToGrid w:val="0"/>
        <w:spacing w:line="360" w:lineRule="auto"/>
        <w:ind w:right="480"/>
        <w:jc w:val="center"/>
        <w:rPr>
          <w:rFonts w:ascii="宋体" w:hAnsi="宋体" w:cs="宋体"/>
          <w:b/>
          <w:color w:val="auto"/>
          <w:kern w:val="0"/>
          <w:sz w:val="32"/>
          <w:szCs w:val="32"/>
          <w:highlight w:val="none"/>
        </w:rPr>
      </w:pPr>
    </w:p>
    <w:p w14:paraId="54E69E0A">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11B9D219">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0B6C821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杭州市临平区人民政府崇贤街道办事处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杭州天坤建设咨询有限公司</w:t>
      </w:r>
      <w:r>
        <w:rPr>
          <w:rFonts w:hint="eastAsia" w:ascii="宋体" w:hAnsi="宋体" w:cs="宋体"/>
          <w:color w:val="auto"/>
          <w:kern w:val="0"/>
          <w:sz w:val="24"/>
          <w:highlight w:val="none"/>
          <w:lang w:val="zh-CN"/>
        </w:rPr>
        <w:t>：</w:t>
      </w:r>
    </w:p>
    <w:p w14:paraId="430172B6">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“杭北门户·未来贤城”城市新区风貌区建设方案编制和综合评估咨询服务项目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TKZXCG-2025-032</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12B5C6DC">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51ED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6562015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992" w:type="dxa"/>
            <w:vAlign w:val="center"/>
          </w:tcPr>
          <w:p w14:paraId="1F4FA1B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2268" w:type="dxa"/>
          </w:tcPr>
          <w:p w14:paraId="72C1B10E">
            <w:pPr>
              <w:spacing w:line="360" w:lineRule="auto"/>
              <w:jc w:val="center"/>
              <w:rPr>
                <w:rFonts w:ascii="宋体" w:hAnsi="宋体" w:cs="宋体"/>
                <w:b/>
                <w:color w:val="auto"/>
                <w:sz w:val="24"/>
                <w:highlight w:val="none"/>
              </w:rPr>
            </w:pPr>
          </w:p>
          <w:p w14:paraId="38848F9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服务范围</w:t>
            </w:r>
          </w:p>
        </w:tc>
        <w:tc>
          <w:tcPr>
            <w:tcW w:w="2410" w:type="dxa"/>
            <w:vAlign w:val="center"/>
          </w:tcPr>
          <w:p w14:paraId="7653DDE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服务要求</w:t>
            </w:r>
          </w:p>
        </w:tc>
        <w:tc>
          <w:tcPr>
            <w:tcW w:w="2268" w:type="dxa"/>
            <w:vAlign w:val="center"/>
          </w:tcPr>
          <w:p w14:paraId="15B12DF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服务时间</w:t>
            </w:r>
          </w:p>
        </w:tc>
        <w:tc>
          <w:tcPr>
            <w:tcW w:w="2126" w:type="dxa"/>
            <w:vAlign w:val="center"/>
          </w:tcPr>
          <w:p w14:paraId="41336C8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服务标准</w:t>
            </w:r>
          </w:p>
        </w:tc>
        <w:tc>
          <w:tcPr>
            <w:tcW w:w="2127" w:type="dxa"/>
          </w:tcPr>
          <w:p w14:paraId="6EDFF947">
            <w:pPr>
              <w:spacing w:line="360" w:lineRule="auto"/>
              <w:jc w:val="center"/>
              <w:rPr>
                <w:rFonts w:ascii="宋体" w:hAnsi="宋体" w:cs="宋体"/>
                <w:b/>
                <w:color w:val="auto"/>
                <w:sz w:val="24"/>
                <w:highlight w:val="none"/>
              </w:rPr>
            </w:pPr>
          </w:p>
          <w:p w14:paraId="5722E16A">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服务人数</w:t>
            </w:r>
          </w:p>
        </w:tc>
        <w:tc>
          <w:tcPr>
            <w:tcW w:w="2126" w:type="dxa"/>
            <w:vAlign w:val="center"/>
          </w:tcPr>
          <w:p w14:paraId="5309C7D3">
            <w:pPr>
              <w:spacing w:line="360" w:lineRule="auto"/>
              <w:jc w:val="center"/>
              <w:rPr>
                <w:rFonts w:ascii="宋体" w:hAnsi="宋体" w:cs="宋体"/>
                <w:b/>
                <w:color w:val="auto"/>
                <w:sz w:val="24"/>
                <w:highlight w:val="none"/>
              </w:rPr>
            </w:pPr>
          </w:p>
          <w:p w14:paraId="285DC68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3A3951D7">
            <w:pPr>
              <w:spacing w:line="360" w:lineRule="auto"/>
              <w:jc w:val="center"/>
              <w:rPr>
                <w:rFonts w:ascii="宋体" w:hAnsi="宋体" w:cs="宋体"/>
                <w:b/>
                <w:color w:val="auto"/>
                <w:sz w:val="24"/>
                <w:highlight w:val="none"/>
              </w:rPr>
            </w:pPr>
          </w:p>
        </w:tc>
      </w:tr>
      <w:tr w14:paraId="6384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238CE21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992" w:type="dxa"/>
            <w:vAlign w:val="center"/>
          </w:tcPr>
          <w:p w14:paraId="5929EBA4">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2268" w:type="dxa"/>
            <w:vAlign w:val="center"/>
          </w:tcPr>
          <w:p w14:paraId="7E6B6B80">
            <w:pPr>
              <w:snapToGrid w:val="0"/>
              <w:spacing w:line="360" w:lineRule="auto"/>
              <w:jc w:val="center"/>
              <w:rPr>
                <w:rFonts w:ascii="宋体" w:hAnsi="宋体" w:cs="宋体"/>
                <w:color w:val="auto"/>
                <w:sz w:val="24"/>
                <w:highlight w:val="none"/>
              </w:rPr>
            </w:pPr>
          </w:p>
        </w:tc>
        <w:tc>
          <w:tcPr>
            <w:tcW w:w="2410" w:type="dxa"/>
            <w:vAlign w:val="center"/>
          </w:tcPr>
          <w:p w14:paraId="49011045">
            <w:pPr>
              <w:snapToGrid w:val="0"/>
              <w:spacing w:line="360" w:lineRule="auto"/>
              <w:jc w:val="center"/>
              <w:rPr>
                <w:rFonts w:ascii="宋体" w:hAnsi="宋体" w:cs="宋体"/>
                <w:color w:val="auto"/>
                <w:sz w:val="24"/>
                <w:highlight w:val="none"/>
              </w:rPr>
            </w:pPr>
          </w:p>
        </w:tc>
        <w:tc>
          <w:tcPr>
            <w:tcW w:w="2268" w:type="dxa"/>
            <w:vAlign w:val="center"/>
          </w:tcPr>
          <w:p w14:paraId="07DD5525">
            <w:pPr>
              <w:snapToGrid w:val="0"/>
              <w:spacing w:line="360" w:lineRule="auto"/>
              <w:jc w:val="center"/>
              <w:rPr>
                <w:rFonts w:ascii="宋体" w:hAnsi="宋体" w:cs="宋体"/>
                <w:color w:val="auto"/>
                <w:sz w:val="24"/>
                <w:highlight w:val="none"/>
              </w:rPr>
            </w:pPr>
          </w:p>
        </w:tc>
        <w:tc>
          <w:tcPr>
            <w:tcW w:w="2126" w:type="dxa"/>
            <w:vAlign w:val="center"/>
          </w:tcPr>
          <w:p w14:paraId="60BB9C9F">
            <w:pPr>
              <w:spacing w:line="360" w:lineRule="auto"/>
              <w:jc w:val="center"/>
              <w:rPr>
                <w:rFonts w:ascii="宋体" w:hAnsi="宋体" w:cs="宋体"/>
                <w:color w:val="auto"/>
                <w:sz w:val="24"/>
                <w:highlight w:val="none"/>
              </w:rPr>
            </w:pPr>
          </w:p>
        </w:tc>
        <w:tc>
          <w:tcPr>
            <w:tcW w:w="2127" w:type="dxa"/>
          </w:tcPr>
          <w:p w14:paraId="30C10E6C">
            <w:pPr>
              <w:spacing w:line="360" w:lineRule="auto"/>
              <w:jc w:val="center"/>
              <w:rPr>
                <w:rFonts w:ascii="宋体" w:hAnsi="宋体" w:cs="宋体"/>
                <w:color w:val="auto"/>
                <w:sz w:val="24"/>
                <w:highlight w:val="none"/>
              </w:rPr>
            </w:pPr>
          </w:p>
        </w:tc>
        <w:tc>
          <w:tcPr>
            <w:tcW w:w="2126" w:type="dxa"/>
            <w:vAlign w:val="center"/>
          </w:tcPr>
          <w:p w14:paraId="09E11B5D">
            <w:pPr>
              <w:spacing w:line="360" w:lineRule="auto"/>
              <w:jc w:val="center"/>
              <w:rPr>
                <w:rFonts w:ascii="宋体" w:hAnsi="宋体" w:cs="宋体"/>
                <w:color w:val="auto"/>
                <w:sz w:val="24"/>
                <w:highlight w:val="none"/>
              </w:rPr>
            </w:pPr>
          </w:p>
        </w:tc>
      </w:tr>
      <w:tr w14:paraId="373D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E644F2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992" w:type="dxa"/>
            <w:vAlign w:val="center"/>
          </w:tcPr>
          <w:p w14:paraId="15316B94">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2268" w:type="dxa"/>
            <w:vAlign w:val="center"/>
          </w:tcPr>
          <w:p w14:paraId="76DA92F8">
            <w:pPr>
              <w:snapToGrid w:val="0"/>
              <w:spacing w:line="360" w:lineRule="auto"/>
              <w:jc w:val="center"/>
              <w:rPr>
                <w:rFonts w:ascii="宋体" w:hAnsi="宋体" w:cs="宋体"/>
                <w:color w:val="auto"/>
                <w:sz w:val="24"/>
                <w:highlight w:val="none"/>
              </w:rPr>
            </w:pPr>
          </w:p>
        </w:tc>
        <w:tc>
          <w:tcPr>
            <w:tcW w:w="2410" w:type="dxa"/>
            <w:vAlign w:val="center"/>
          </w:tcPr>
          <w:p w14:paraId="7715326D">
            <w:pPr>
              <w:snapToGrid w:val="0"/>
              <w:spacing w:line="360" w:lineRule="auto"/>
              <w:jc w:val="center"/>
              <w:rPr>
                <w:rFonts w:ascii="宋体" w:hAnsi="宋体" w:cs="宋体"/>
                <w:color w:val="auto"/>
                <w:sz w:val="24"/>
                <w:highlight w:val="none"/>
              </w:rPr>
            </w:pPr>
          </w:p>
        </w:tc>
        <w:tc>
          <w:tcPr>
            <w:tcW w:w="2268" w:type="dxa"/>
            <w:vAlign w:val="center"/>
          </w:tcPr>
          <w:p w14:paraId="29502B17">
            <w:pPr>
              <w:snapToGrid w:val="0"/>
              <w:spacing w:line="360" w:lineRule="auto"/>
              <w:jc w:val="center"/>
              <w:rPr>
                <w:rFonts w:ascii="宋体" w:hAnsi="宋体" w:cs="宋体"/>
                <w:color w:val="auto"/>
                <w:sz w:val="24"/>
                <w:highlight w:val="none"/>
              </w:rPr>
            </w:pPr>
          </w:p>
        </w:tc>
        <w:tc>
          <w:tcPr>
            <w:tcW w:w="2126" w:type="dxa"/>
            <w:vAlign w:val="center"/>
          </w:tcPr>
          <w:p w14:paraId="645CF258">
            <w:pPr>
              <w:spacing w:line="360" w:lineRule="auto"/>
              <w:jc w:val="center"/>
              <w:rPr>
                <w:rFonts w:ascii="宋体" w:hAnsi="宋体" w:cs="宋体"/>
                <w:color w:val="auto"/>
                <w:sz w:val="24"/>
                <w:highlight w:val="none"/>
              </w:rPr>
            </w:pPr>
          </w:p>
        </w:tc>
        <w:tc>
          <w:tcPr>
            <w:tcW w:w="2127" w:type="dxa"/>
          </w:tcPr>
          <w:p w14:paraId="48B749E5">
            <w:pPr>
              <w:spacing w:line="360" w:lineRule="auto"/>
              <w:jc w:val="center"/>
              <w:rPr>
                <w:rFonts w:ascii="宋体" w:hAnsi="宋体" w:cs="宋体"/>
                <w:color w:val="auto"/>
                <w:sz w:val="24"/>
                <w:highlight w:val="none"/>
              </w:rPr>
            </w:pPr>
          </w:p>
        </w:tc>
        <w:tc>
          <w:tcPr>
            <w:tcW w:w="2126" w:type="dxa"/>
            <w:vAlign w:val="center"/>
          </w:tcPr>
          <w:p w14:paraId="305D7009">
            <w:pPr>
              <w:spacing w:line="360" w:lineRule="auto"/>
              <w:jc w:val="center"/>
              <w:rPr>
                <w:rFonts w:ascii="宋体" w:hAnsi="宋体" w:cs="宋体"/>
                <w:color w:val="auto"/>
                <w:sz w:val="24"/>
                <w:highlight w:val="none"/>
              </w:rPr>
            </w:pPr>
          </w:p>
        </w:tc>
      </w:tr>
      <w:tr w14:paraId="3126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3B957C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992" w:type="dxa"/>
            <w:vAlign w:val="center"/>
          </w:tcPr>
          <w:p w14:paraId="5DE29410">
            <w:pPr>
              <w:snapToGrid w:val="0"/>
              <w:spacing w:line="360" w:lineRule="auto"/>
              <w:jc w:val="center"/>
              <w:rPr>
                <w:rFonts w:ascii="宋体" w:hAnsi="宋体" w:cs="宋体"/>
                <w:color w:val="auto"/>
                <w:sz w:val="24"/>
                <w:highlight w:val="none"/>
              </w:rPr>
            </w:pPr>
          </w:p>
        </w:tc>
        <w:tc>
          <w:tcPr>
            <w:tcW w:w="2268" w:type="dxa"/>
            <w:vAlign w:val="center"/>
          </w:tcPr>
          <w:p w14:paraId="4A4855F7">
            <w:pPr>
              <w:snapToGrid w:val="0"/>
              <w:spacing w:line="360" w:lineRule="auto"/>
              <w:jc w:val="center"/>
              <w:rPr>
                <w:rFonts w:ascii="宋体" w:hAnsi="宋体" w:cs="宋体"/>
                <w:color w:val="auto"/>
                <w:sz w:val="24"/>
                <w:highlight w:val="none"/>
              </w:rPr>
            </w:pPr>
          </w:p>
        </w:tc>
        <w:tc>
          <w:tcPr>
            <w:tcW w:w="2410" w:type="dxa"/>
            <w:vAlign w:val="center"/>
          </w:tcPr>
          <w:p w14:paraId="5F6A4004">
            <w:pPr>
              <w:snapToGrid w:val="0"/>
              <w:spacing w:line="360" w:lineRule="auto"/>
              <w:jc w:val="center"/>
              <w:rPr>
                <w:rFonts w:ascii="宋体" w:hAnsi="宋体" w:cs="宋体"/>
                <w:color w:val="auto"/>
                <w:sz w:val="24"/>
                <w:highlight w:val="none"/>
              </w:rPr>
            </w:pPr>
          </w:p>
        </w:tc>
        <w:tc>
          <w:tcPr>
            <w:tcW w:w="2268" w:type="dxa"/>
            <w:vAlign w:val="center"/>
          </w:tcPr>
          <w:p w14:paraId="091382D4">
            <w:pPr>
              <w:snapToGrid w:val="0"/>
              <w:spacing w:line="360" w:lineRule="auto"/>
              <w:jc w:val="center"/>
              <w:rPr>
                <w:rFonts w:ascii="宋体" w:hAnsi="宋体" w:cs="宋体"/>
                <w:color w:val="auto"/>
                <w:sz w:val="24"/>
                <w:highlight w:val="none"/>
              </w:rPr>
            </w:pPr>
          </w:p>
        </w:tc>
        <w:tc>
          <w:tcPr>
            <w:tcW w:w="2126" w:type="dxa"/>
            <w:vAlign w:val="center"/>
          </w:tcPr>
          <w:p w14:paraId="468CB7AF">
            <w:pPr>
              <w:spacing w:line="360" w:lineRule="auto"/>
              <w:jc w:val="center"/>
              <w:rPr>
                <w:rFonts w:ascii="宋体" w:hAnsi="宋体" w:cs="宋体"/>
                <w:color w:val="auto"/>
                <w:sz w:val="24"/>
                <w:highlight w:val="none"/>
              </w:rPr>
            </w:pPr>
          </w:p>
        </w:tc>
        <w:tc>
          <w:tcPr>
            <w:tcW w:w="2127" w:type="dxa"/>
          </w:tcPr>
          <w:p w14:paraId="6FD9540F">
            <w:pPr>
              <w:spacing w:line="360" w:lineRule="auto"/>
              <w:jc w:val="center"/>
              <w:rPr>
                <w:rFonts w:ascii="宋体" w:hAnsi="宋体" w:cs="宋体"/>
                <w:color w:val="auto"/>
                <w:sz w:val="24"/>
                <w:highlight w:val="none"/>
              </w:rPr>
            </w:pPr>
          </w:p>
        </w:tc>
        <w:tc>
          <w:tcPr>
            <w:tcW w:w="2126" w:type="dxa"/>
            <w:vAlign w:val="center"/>
          </w:tcPr>
          <w:p w14:paraId="04869F17">
            <w:pPr>
              <w:spacing w:line="360" w:lineRule="auto"/>
              <w:jc w:val="center"/>
              <w:rPr>
                <w:rFonts w:ascii="宋体" w:hAnsi="宋体" w:cs="宋体"/>
                <w:color w:val="auto"/>
                <w:sz w:val="24"/>
                <w:highlight w:val="none"/>
              </w:rPr>
            </w:pPr>
          </w:p>
        </w:tc>
      </w:tr>
      <w:tr w14:paraId="7F2B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2799C29">
            <w:pPr>
              <w:spacing w:line="360" w:lineRule="auto"/>
              <w:jc w:val="center"/>
              <w:rPr>
                <w:rFonts w:ascii="宋体" w:hAnsi="宋体" w:cs="宋体"/>
                <w:color w:val="auto"/>
                <w:sz w:val="24"/>
                <w:highlight w:val="none"/>
              </w:rPr>
            </w:pPr>
          </w:p>
        </w:tc>
        <w:tc>
          <w:tcPr>
            <w:tcW w:w="992" w:type="dxa"/>
            <w:vAlign w:val="center"/>
          </w:tcPr>
          <w:p w14:paraId="2D6CCF36">
            <w:pPr>
              <w:snapToGrid w:val="0"/>
              <w:spacing w:line="360" w:lineRule="auto"/>
              <w:jc w:val="center"/>
              <w:rPr>
                <w:rFonts w:ascii="宋体" w:hAnsi="宋体" w:cs="宋体"/>
                <w:color w:val="auto"/>
                <w:sz w:val="24"/>
                <w:highlight w:val="none"/>
              </w:rPr>
            </w:pPr>
          </w:p>
        </w:tc>
        <w:tc>
          <w:tcPr>
            <w:tcW w:w="2268" w:type="dxa"/>
            <w:vAlign w:val="center"/>
          </w:tcPr>
          <w:p w14:paraId="22BB5A5A">
            <w:pPr>
              <w:snapToGrid w:val="0"/>
              <w:spacing w:line="360" w:lineRule="auto"/>
              <w:jc w:val="center"/>
              <w:rPr>
                <w:rFonts w:ascii="宋体" w:hAnsi="宋体" w:cs="宋体"/>
                <w:color w:val="auto"/>
                <w:sz w:val="24"/>
                <w:highlight w:val="none"/>
              </w:rPr>
            </w:pPr>
          </w:p>
        </w:tc>
        <w:tc>
          <w:tcPr>
            <w:tcW w:w="2410" w:type="dxa"/>
            <w:vAlign w:val="center"/>
          </w:tcPr>
          <w:p w14:paraId="1C20810C">
            <w:pPr>
              <w:snapToGrid w:val="0"/>
              <w:spacing w:line="360" w:lineRule="auto"/>
              <w:jc w:val="center"/>
              <w:rPr>
                <w:rFonts w:ascii="宋体" w:hAnsi="宋体" w:cs="宋体"/>
                <w:color w:val="auto"/>
                <w:sz w:val="24"/>
                <w:highlight w:val="none"/>
              </w:rPr>
            </w:pPr>
          </w:p>
        </w:tc>
        <w:tc>
          <w:tcPr>
            <w:tcW w:w="2268" w:type="dxa"/>
            <w:vAlign w:val="center"/>
          </w:tcPr>
          <w:p w14:paraId="311DCC2B">
            <w:pPr>
              <w:snapToGrid w:val="0"/>
              <w:spacing w:line="360" w:lineRule="auto"/>
              <w:jc w:val="center"/>
              <w:rPr>
                <w:rFonts w:ascii="宋体" w:hAnsi="宋体" w:cs="宋体"/>
                <w:color w:val="auto"/>
                <w:sz w:val="24"/>
                <w:highlight w:val="none"/>
              </w:rPr>
            </w:pPr>
          </w:p>
        </w:tc>
        <w:tc>
          <w:tcPr>
            <w:tcW w:w="2126" w:type="dxa"/>
            <w:vAlign w:val="center"/>
          </w:tcPr>
          <w:p w14:paraId="590FDDBE">
            <w:pPr>
              <w:spacing w:line="360" w:lineRule="auto"/>
              <w:jc w:val="center"/>
              <w:rPr>
                <w:rFonts w:ascii="宋体" w:hAnsi="宋体" w:cs="宋体"/>
                <w:color w:val="auto"/>
                <w:sz w:val="24"/>
                <w:highlight w:val="none"/>
              </w:rPr>
            </w:pPr>
          </w:p>
        </w:tc>
        <w:tc>
          <w:tcPr>
            <w:tcW w:w="2127" w:type="dxa"/>
          </w:tcPr>
          <w:p w14:paraId="39E087B2">
            <w:pPr>
              <w:spacing w:line="360" w:lineRule="auto"/>
              <w:jc w:val="center"/>
              <w:rPr>
                <w:rFonts w:ascii="宋体" w:hAnsi="宋体" w:cs="宋体"/>
                <w:color w:val="auto"/>
                <w:sz w:val="24"/>
                <w:highlight w:val="none"/>
              </w:rPr>
            </w:pPr>
          </w:p>
        </w:tc>
        <w:tc>
          <w:tcPr>
            <w:tcW w:w="2126" w:type="dxa"/>
            <w:vAlign w:val="center"/>
          </w:tcPr>
          <w:p w14:paraId="242DF449">
            <w:pPr>
              <w:spacing w:line="360" w:lineRule="auto"/>
              <w:jc w:val="center"/>
              <w:rPr>
                <w:rFonts w:ascii="宋体" w:hAnsi="宋体" w:cs="宋体"/>
                <w:color w:val="auto"/>
                <w:sz w:val="24"/>
                <w:highlight w:val="none"/>
              </w:rPr>
            </w:pPr>
          </w:p>
        </w:tc>
      </w:tr>
      <w:tr w14:paraId="6B8A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56EB228">
            <w:pPr>
              <w:spacing w:line="360" w:lineRule="auto"/>
              <w:jc w:val="center"/>
              <w:rPr>
                <w:rFonts w:ascii="宋体" w:hAnsi="宋体" w:cs="宋体"/>
                <w:color w:val="auto"/>
                <w:sz w:val="24"/>
                <w:highlight w:val="none"/>
              </w:rPr>
            </w:pPr>
          </w:p>
        </w:tc>
        <w:tc>
          <w:tcPr>
            <w:tcW w:w="992" w:type="dxa"/>
            <w:vAlign w:val="center"/>
          </w:tcPr>
          <w:p w14:paraId="57BF3FD0">
            <w:pPr>
              <w:snapToGrid w:val="0"/>
              <w:spacing w:line="360" w:lineRule="auto"/>
              <w:jc w:val="center"/>
              <w:rPr>
                <w:rFonts w:ascii="宋体" w:hAnsi="宋体" w:cs="宋体"/>
                <w:color w:val="auto"/>
                <w:sz w:val="24"/>
                <w:highlight w:val="none"/>
              </w:rPr>
            </w:pPr>
          </w:p>
        </w:tc>
        <w:tc>
          <w:tcPr>
            <w:tcW w:w="2268" w:type="dxa"/>
            <w:vAlign w:val="center"/>
          </w:tcPr>
          <w:p w14:paraId="2572B551">
            <w:pPr>
              <w:snapToGrid w:val="0"/>
              <w:spacing w:line="360" w:lineRule="auto"/>
              <w:jc w:val="center"/>
              <w:rPr>
                <w:rFonts w:ascii="宋体" w:hAnsi="宋体" w:cs="宋体"/>
                <w:color w:val="auto"/>
                <w:sz w:val="24"/>
                <w:highlight w:val="none"/>
              </w:rPr>
            </w:pPr>
          </w:p>
        </w:tc>
        <w:tc>
          <w:tcPr>
            <w:tcW w:w="2410" w:type="dxa"/>
            <w:vAlign w:val="center"/>
          </w:tcPr>
          <w:p w14:paraId="41F25B34">
            <w:pPr>
              <w:snapToGrid w:val="0"/>
              <w:spacing w:line="360" w:lineRule="auto"/>
              <w:jc w:val="center"/>
              <w:rPr>
                <w:rFonts w:ascii="宋体" w:hAnsi="宋体" w:cs="宋体"/>
                <w:color w:val="auto"/>
                <w:sz w:val="24"/>
                <w:highlight w:val="none"/>
              </w:rPr>
            </w:pPr>
          </w:p>
        </w:tc>
        <w:tc>
          <w:tcPr>
            <w:tcW w:w="2268" w:type="dxa"/>
            <w:vAlign w:val="center"/>
          </w:tcPr>
          <w:p w14:paraId="726E5372">
            <w:pPr>
              <w:snapToGrid w:val="0"/>
              <w:spacing w:line="360" w:lineRule="auto"/>
              <w:jc w:val="center"/>
              <w:rPr>
                <w:rFonts w:ascii="宋体" w:hAnsi="宋体" w:cs="宋体"/>
                <w:color w:val="auto"/>
                <w:sz w:val="24"/>
                <w:highlight w:val="none"/>
              </w:rPr>
            </w:pPr>
          </w:p>
        </w:tc>
        <w:tc>
          <w:tcPr>
            <w:tcW w:w="2126" w:type="dxa"/>
            <w:vAlign w:val="center"/>
          </w:tcPr>
          <w:p w14:paraId="5A4F857D">
            <w:pPr>
              <w:spacing w:line="360" w:lineRule="auto"/>
              <w:jc w:val="center"/>
              <w:rPr>
                <w:rFonts w:ascii="宋体" w:hAnsi="宋体" w:cs="宋体"/>
                <w:color w:val="auto"/>
                <w:sz w:val="24"/>
                <w:highlight w:val="none"/>
              </w:rPr>
            </w:pPr>
          </w:p>
        </w:tc>
        <w:tc>
          <w:tcPr>
            <w:tcW w:w="2127" w:type="dxa"/>
          </w:tcPr>
          <w:p w14:paraId="21BB073B">
            <w:pPr>
              <w:spacing w:line="360" w:lineRule="auto"/>
              <w:jc w:val="center"/>
              <w:rPr>
                <w:rFonts w:ascii="宋体" w:hAnsi="宋体" w:cs="宋体"/>
                <w:color w:val="auto"/>
                <w:sz w:val="24"/>
                <w:highlight w:val="none"/>
              </w:rPr>
            </w:pPr>
          </w:p>
        </w:tc>
        <w:tc>
          <w:tcPr>
            <w:tcW w:w="2126" w:type="dxa"/>
            <w:vAlign w:val="center"/>
          </w:tcPr>
          <w:p w14:paraId="7FD2B377">
            <w:pPr>
              <w:spacing w:line="360" w:lineRule="auto"/>
              <w:jc w:val="center"/>
              <w:rPr>
                <w:rFonts w:ascii="宋体" w:hAnsi="宋体" w:cs="宋体"/>
                <w:color w:val="auto"/>
                <w:sz w:val="24"/>
                <w:highlight w:val="none"/>
              </w:rPr>
            </w:pPr>
          </w:p>
        </w:tc>
      </w:tr>
      <w:tr w14:paraId="3F2E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6C65C04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8647" w:type="dxa"/>
            <w:gridSpan w:val="4"/>
          </w:tcPr>
          <w:p w14:paraId="66139AFA">
            <w:pPr>
              <w:spacing w:line="360" w:lineRule="auto"/>
              <w:jc w:val="center"/>
              <w:rPr>
                <w:rFonts w:ascii="宋体" w:hAnsi="宋体" w:cs="宋体"/>
                <w:color w:val="auto"/>
                <w:sz w:val="24"/>
                <w:highlight w:val="none"/>
              </w:rPr>
            </w:pPr>
          </w:p>
        </w:tc>
      </w:tr>
      <w:tr w14:paraId="6DD7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7F79F56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8647" w:type="dxa"/>
            <w:gridSpan w:val="4"/>
          </w:tcPr>
          <w:p w14:paraId="7FBC35C1">
            <w:pPr>
              <w:spacing w:line="360" w:lineRule="auto"/>
              <w:jc w:val="center"/>
              <w:rPr>
                <w:rFonts w:ascii="宋体" w:hAnsi="宋体" w:cs="宋体"/>
                <w:color w:val="auto"/>
                <w:sz w:val="24"/>
                <w:highlight w:val="none"/>
              </w:rPr>
            </w:pPr>
          </w:p>
        </w:tc>
      </w:tr>
    </w:tbl>
    <w:p w14:paraId="6805EFDA">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2605B0E4">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r>
        <w:rPr>
          <w:rFonts w:hint="eastAsia" w:ascii="宋体" w:hAnsi="宋体" w:cs="宋体"/>
          <w:color w:val="auto"/>
          <w:kern w:val="0"/>
          <w:sz w:val="24"/>
          <w:highlight w:val="none"/>
          <w:lang w:val="zh-CN"/>
        </w:rPr>
        <w:t>。</w:t>
      </w:r>
    </w:p>
    <w:p w14:paraId="7F9435CE">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4A378867">
      <w:pPr>
        <w:snapToGrid w:val="0"/>
        <w:spacing w:line="360" w:lineRule="auto"/>
        <w:ind w:firstLine="480" w:firstLineChars="200"/>
        <w:jc w:val="left"/>
        <w:rPr>
          <w:rFonts w:ascii="宋体" w:hAnsi="宋体" w:cs="宋体"/>
          <w:b/>
          <w:color w:val="auto"/>
          <w:kern w:val="0"/>
          <w:sz w:val="24"/>
          <w:highlight w:val="none"/>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710CB9A">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14:paraId="2E2BF48B">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0995715E">
      <w:pPr>
        <w:pStyle w:val="693"/>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二、</w:t>
      </w:r>
      <w:r>
        <w:rPr>
          <w:rFonts w:hint="eastAsia" w:ascii="宋体" w:hAnsi="宋体" w:eastAsia="宋体" w:cs="宋体"/>
          <w:color w:val="auto"/>
          <w:sz w:val="32"/>
          <w:szCs w:val="32"/>
          <w:highlight w:val="none"/>
        </w:rPr>
        <w:t>中小企业声明函（如果有）</w:t>
      </w:r>
    </w:p>
    <w:p w14:paraId="7CC9C277">
      <w:pPr>
        <w:widowControl/>
        <w:spacing w:line="360" w:lineRule="auto"/>
        <w:ind w:firstLine="120" w:firstLineChars="50"/>
        <w:jc w:val="left"/>
        <w:rPr>
          <w:rFonts w:hint="eastAsia"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0EB77924">
      <w:pPr>
        <w:pStyle w:val="80"/>
        <w:rPr>
          <w:rFonts w:hint="eastAsia" w:ascii="宋体" w:hAnsi="宋体" w:cs="宋体"/>
          <w:b/>
          <w:color w:val="auto"/>
          <w:sz w:val="24"/>
          <w:highlight w:val="none"/>
        </w:rPr>
      </w:pPr>
    </w:p>
    <w:p w14:paraId="1AA2EA6C">
      <w:pPr>
        <w:pStyle w:val="80"/>
        <w:rPr>
          <w:rFonts w:hint="eastAsia" w:ascii="宋体" w:hAnsi="宋体" w:cs="宋体"/>
          <w:b/>
          <w:color w:val="auto"/>
          <w:sz w:val="24"/>
          <w:highlight w:val="none"/>
        </w:rPr>
      </w:pPr>
    </w:p>
    <w:p w14:paraId="4AF87534">
      <w:pPr>
        <w:pStyle w:val="693"/>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33D4F674">
      <w:pPr>
        <w:spacing w:line="360" w:lineRule="auto"/>
        <w:ind w:right="420" w:firstLine="3614" w:firstLineChars="1000"/>
        <w:rPr>
          <w:rFonts w:ascii="宋体" w:hAnsi="宋体" w:cs="宋体"/>
          <w:b/>
          <w:color w:val="auto"/>
          <w:kern w:val="0"/>
          <w:sz w:val="36"/>
          <w:szCs w:val="36"/>
          <w:highlight w:val="none"/>
        </w:rPr>
      </w:pPr>
    </w:p>
    <w:p w14:paraId="6BAC30FB">
      <w:pPr>
        <w:spacing w:line="360" w:lineRule="auto"/>
        <w:ind w:right="420" w:firstLine="3614" w:firstLineChars="1000"/>
        <w:rPr>
          <w:rFonts w:ascii="宋体" w:hAnsi="宋体" w:cs="宋体"/>
          <w:b/>
          <w:color w:val="auto"/>
          <w:kern w:val="0"/>
          <w:sz w:val="36"/>
          <w:szCs w:val="36"/>
          <w:highlight w:val="none"/>
        </w:rPr>
      </w:pPr>
    </w:p>
    <w:p w14:paraId="43FD64A7">
      <w:pPr>
        <w:spacing w:line="360" w:lineRule="auto"/>
        <w:ind w:right="420" w:firstLine="3614" w:firstLineChars="1000"/>
        <w:rPr>
          <w:rFonts w:ascii="宋体" w:hAnsi="宋体" w:cs="宋体"/>
          <w:b/>
          <w:color w:val="auto"/>
          <w:kern w:val="0"/>
          <w:sz w:val="36"/>
          <w:szCs w:val="36"/>
          <w:highlight w:val="none"/>
        </w:rPr>
      </w:pPr>
    </w:p>
    <w:p w14:paraId="461772AE">
      <w:pPr>
        <w:spacing w:line="360" w:lineRule="auto"/>
        <w:ind w:right="420" w:firstLine="3614" w:firstLineChars="1000"/>
        <w:rPr>
          <w:rFonts w:ascii="宋体" w:hAnsi="宋体" w:cs="宋体"/>
          <w:b/>
          <w:color w:val="auto"/>
          <w:kern w:val="0"/>
          <w:sz w:val="36"/>
          <w:szCs w:val="36"/>
          <w:highlight w:val="none"/>
        </w:rPr>
      </w:pPr>
    </w:p>
    <w:p w14:paraId="79020EB4">
      <w:pPr>
        <w:spacing w:line="360" w:lineRule="auto"/>
        <w:ind w:right="420" w:firstLine="3614" w:firstLineChars="1000"/>
        <w:rPr>
          <w:rFonts w:ascii="宋体" w:hAnsi="宋体" w:cs="宋体"/>
          <w:b/>
          <w:color w:val="auto"/>
          <w:kern w:val="0"/>
          <w:sz w:val="36"/>
          <w:szCs w:val="36"/>
          <w:highlight w:val="none"/>
        </w:rPr>
      </w:pPr>
    </w:p>
    <w:p w14:paraId="03609E24">
      <w:pPr>
        <w:spacing w:line="360" w:lineRule="auto"/>
        <w:ind w:right="420" w:firstLine="3614" w:firstLineChars="1000"/>
        <w:rPr>
          <w:rFonts w:ascii="宋体" w:hAnsi="宋体" w:cs="宋体"/>
          <w:b/>
          <w:color w:val="auto"/>
          <w:kern w:val="0"/>
          <w:sz w:val="36"/>
          <w:szCs w:val="36"/>
          <w:highlight w:val="none"/>
        </w:rPr>
      </w:pPr>
    </w:p>
    <w:p w14:paraId="707D7CE0">
      <w:pPr>
        <w:spacing w:line="360" w:lineRule="auto"/>
        <w:ind w:right="420" w:firstLine="3614" w:firstLineChars="1000"/>
        <w:rPr>
          <w:rFonts w:ascii="宋体" w:hAnsi="宋体" w:cs="宋体"/>
          <w:b/>
          <w:color w:val="auto"/>
          <w:kern w:val="0"/>
          <w:sz w:val="36"/>
          <w:szCs w:val="36"/>
          <w:highlight w:val="none"/>
        </w:rPr>
      </w:pPr>
    </w:p>
    <w:p w14:paraId="2FED25A0">
      <w:pPr>
        <w:spacing w:line="360" w:lineRule="auto"/>
        <w:ind w:right="420" w:firstLine="3614" w:firstLineChars="1000"/>
        <w:rPr>
          <w:rFonts w:ascii="宋体" w:hAnsi="宋体" w:cs="宋体"/>
          <w:b/>
          <w:color w:val="auto"/>
          <w:kern w:val="0"/>
          <w:sz w:val="36"/>
          <w:szCs w:val="36"/>
          <w:highlight w:val="none"/>
        </w:rPr>
      </w:pPr>
    </w:p>
    <w:p w14:paraId="144D7808">
      <w:pPr>
        <w:spacing w:line="360" w:lineRule="auto"/>
        <w:ind w:right="420" w:firstLine="3614" w:firstLineChars="1000"/>
        <w:rPr>
          <w:rFonts w:ascii="宋体" w:hAnsi="宋体" w:cs="宋体"/>
          <w:b/>
          <w:color w:val="auto"/>
          <w:kern w:val="0"/>
          <w:sz w:val="36"/>
          <w:szCs w:val="36"/>
          <w:highlight w:val="none"/>
        </w:rPr>
      </w:pPr>
    </w:p>
    <w:p w14:paraId="3D92A257">
      <w:pPr>
        <w:spacing w:line="360" w:lineRule="auto"/>
        <w:ind w:right="420" w:firstLine="3614" w:firstLineChars="1000"/>
        <w:rPr>
          <w:rFonts w:ascii="宋体" w:hAnsi="宋体" w:cs="宋体"/>
          <w:b/>
          <w:color w:val="auto"/>
          <w:kern w:val="0"/>
          <w:sz w:val="36"/>
          <w:szCs w:val="36"/>
          <w:highlight w:val="none"/>
        </w:rPr>
      </w:pPr>
    </w:p>
    <w:p w14:paraId="1F93F3A9">
      <w:pPr>
        <w:spacing w:line="360" w:lineRule="auto"/>
        <w:ind w:right="420" w:firstLine="3614" w:firstLineChars="1000"/>
        <w:rPr>
          <w:rFonts w:ascii="宋体" w:hAnsi="宋体" w:cs="宋体"/>
          <w:b/>
          <w:color w:val="auto"/>
          <w:kern w:val="0"/>
          <w:sz w:val="36"/>
          <w:szCs w:val="36"/>
          <w:highlight w:val="none"/>
        </w:rPr>
      </w:pPr>
    </w:p>
    <w:p w14:paraId="4F8F70F7">
      <w:pPr>
        <w:spacing w:line="360" w:lineRule="auto"/>
        <w:ind w:right="420" w:firstLine="3614" w:firstLineChars="1000"/>
        <w:rPr>
          <w:rFonts w:ascii="宋体" w:hAnsi="宋体" w:cs="宋体"/>
          <w:b/>
          <w:color w:val="auto"/>
          <w:kern w:val="0"/>
          <w:sz w:val="36"/>
          <w:szCs w:val="36"/>
          <w:highlight w:val="none"/>
        </w:rPr>
      </w:pPr>
    </w:p>
    <w:p w14:paraId="4B15FB6C">
      <w:pPr>
        <w:pStyle w:val="4"/>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r>
        <w:rPr>
          <w:rFonts w:hint="eastAsia" w:ascii="宋体" w:hAnsi="宋体" w:cs="宋体"/>
          <w:color w:val="auto"/>
          <w:highlight w:val="none"/>
        </w:rPr>
        <w:t>附件</w:t>
      </w:r>
    </w:p>
    <w:p w14:paraId="3E614CA6">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265346D3">
      <w:pPr>
        <w:spacing w:line="360" w:lineRule="auto"/>
        <w:jc w:val="center"/>
        <w:rPr>
          <w:rFonts w:ascii="宋体" w:hAnsi="宋体" w:cs="宋体"/>
          <w:b/>
          <w:color w:val="auto"/>
          <w:spacing w:val="6"/>
          <w:sz w:val="32"/>
          <w:szCs w:val="32"/>
          <w:highlight w:val="none"/>
        </w:rPr>
      </w:pPr>
      <w:bookmarkStart w:id="510" w:name="OLE_LINK14"/>
      <w:bookmarkStart w:id="511" w:name="OLE_LINK13"/>
      <w:r>
        <w:rPr>
          <w:rFonts w:hint="eastAsia" w:ascii="宋体" w:hAnsi="宋体" w:cs="宋体"/>
          <w:b/>
          <w:color w:val="auto"/>
          <w:spacing w:val="6"/>
          <w:sz w:val="32"/>
          <w:szCs w:val="32"/>
          <w:highlight w:val="none"/>
        </w:rPr>
        <w:t>残疾人福利性单位声明函</w:t>
      </w:r>
    </w:p>
    <w:bookmarkEnd w:id="510"/>
    <w:bookmarkEnd w:id="511"/>
    <w:p w14:paraId="644B776E">
      <w:pPr>
        <w:spacing w:line="360" w:lineRule="auto"/>
        <w:rPr>
          <w:rFonts w:ascii="宋体" w:hAnsi="宋体" w:cs="宋体"/>
          <w:b/>
          <w:color w:val="auto"/>
          <w:spacing w:val="6"/>
          <w:sz w:val="30"/>
          <w:szCs w:val="30"/>
          <w:highlight w:val="none"/>
        </w:rPr>
      </w:pPr>
    </w:p>
    <w:p w14:paraId="7296717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“杭北门户·未来贤城”城市新区风貌区建设方案编制和综合评估咨询服务项目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12FDE2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2B8D15C4">
      <w:pPr>
        <w:spacing w:line="360" w:lineRule="auto"/>
        <w:ind w:firstLine="480" w:firstLineChars="200"/>
        <w:rPr>
          <w:rFonts w:ascii="宋体" w:hAnsi="宋体" w:cs="宋体"/>
          <w:color w:val="auto"/>
          <w:sz w:val="24"/>
          <w:highlight w:val="none"/>
        </w:rPr>
      </w:pPr>
    </w:p>
    <w:p w14:paraId="4A4E7005">
      <w:pPr>
        <w:spacing w:line="360" w:lineRule="auto"/>
        <w:ind w:firstLine="480" w:firstLineChars="200"/>
        <w:rPr>
          <w:rFonts w:ascii="宋体" w:hAnsi="宋体" w:cs="宋体"/>
          <w:color w:val="auto"/>
          <w:sz w:val="24"/>
          <w:highlight w:val="none"/>
        </w:rPr>
      </w:pPr>
    </w:p>
    <w:p w14:paraId="7A378528">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3AD4830B">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168F2440">
      <w:pPr>
        <w:spacing w:line="360" w:lineRule="auto"/>
        <w:ind w:firstLine="480" w:firstLineChars="200"/>
        <w:rPr>
          <w:rFonts w:ascii="宋体" w:hAnsi="宋体" w:cs="宋体"/>
          <w:color w:val="auto"/>
          <w:sz w:val="24"/>
          <w:highlight w:val="none"/>
        </w:rPr>
      </w:pPr>
    </w:p>
    <w:p w14:paraId="51EDB0FD">
      <w:pPr>
        <w:spacing w:line="360" w:lineRule="auto"/>
        <w:ind w:firstLine="420" w:firstLineChars="200"/>
        <w:rPr>
          <w:rFonts w:ascii="宋体" w:hAnsi="宋体" w:cs="宋体"/>
          <w:color w:val="auto"/>
          <w:highlight w:val="none"/>
        </w:rPr>
      </w:pPr>
    </w:p>
    <w:p w14:paraId="1AFE5B6B">
      <w:pPr>
        <w:spacing w:line="360" w:lineRule="auto"/>
        <w:ind w:firstLine="420" w:firstLineChars="200"/>
        <w:rPr>
          <w:rFonts w:ascii="宋体" w:hAnsi="宋体" w:cs="宋体"/>
          <w:color w:val="auto"/>
          <w:highlight w:val="none"/>
        </w:rPr>
      </w:pPr>
    </w:p>
    <w:p w14:paraId="2C136107">
      <w:pPr>
        <w:spacing w:line="360" w:lineRule="auto"/>
        <w:ind w:firstLine="420" w:firstLineChars="200"/>
        <w:rPr>
          <w:rFonts w:ascii="宋体" w:hAnsi="宋体" w:cs="宋体"/>
          <w:color w:val="auto"/>
          <w:highlight w:val="none"/>
        </w:rPr>
      </w:pPr>
    </w:p>
    <w:p w14:paraId="14B97413">
      <w:pPr>
        <w:spacing w:line="360" w:lineRule="auto"/>
        <w:ind w:firstLine="420" w:firstLineChars="200"/>
        <w:rPr>
          <w:rFonts w:ascii="宋体" w:hAnsi="宋体" w:cs="宋体"/>
          <w:color w:val="auto"/>
          <w:highlight w:val="none"/>
        </w:rPr>
      </w:pPr>
    </w:p>
    <w:p w14:paraId="4165D934">
      <w:pPr>
        <w:spacing w:line="360" w:lineRule="auto"/>
        <w:rPr>
          <w:rFonts w:ascii="宋体" w:hAnsi="宋体" w:cs="宋体"/>
          <w:b/>
          <w:color w:val="auto"/>
          <w:sz w:val="24"/>
          <w:highlight w:val="none"/>
        </w:rPr>
      </w:pPr>
    </w:p>
    <w:p w14:paraId="575CC771">
      <w:pPr>
        <w:spacing w:line="360" w:lineRule="auto"/>
        <w:rPr>
          <w:rFonts w:ascii="宋体" w:hAnsi="宋体" w:cs="宋体"/>
          <w:b/>
          <w:color w:val="auto"/>
          <w:sz w:val="24"/>
          <w:highlight w:val="none"/>
        </w:rPr>
      </w:pPr>
    </w:p>
    <w:p w14:paraId="2D596182">
      <w:pPr>
        <w:spacing w:line="360" w:lineRule="auto"/>
        <w:rPr>
          <w:rFonts w:ascii="宋体" w:hAnsi="宋体" w:cs="宋体"/>
          <w:b/>
          <w:color w:val="auto"/>
          <w:sz w:val="24"/>
          <w:highlight w:val="none"/>
        </w:rPr>
      </w:pPr>
    </w:p>
    <w:p w14:paraId="444EDB10">
      <w:pPr>
        <w:spacing w:line="360" w:lineRule="auto"/>
        <w:rPr>
          <w:rFonts w:ascii="宋体" w:hAnsi="宋体" w:cs="宋体"/>
          <w:b/>
          <w:color w:val="auto"/>
          <w:sz w:val="24"/>
          <w:highlight w:val="none"/>
        </w:rPr>
      </w:pPr>
    </w:p>
    <w:p w14:paraId="73E8755E">
      <w:pPr>
        <w:spacing w:line="360" w:lineRule="auto"/>
        <w:rPr>
          <w:rFonts w:ascii="宋体" w:hAnsi="宋体" w:cs="宋体"/>
          <w:b/>
          <w:color w:val="auto"/>
          <w:sz w:val="24"/>
          <w:highlight w:val="none"/>
        </w:rPr>
      </w:pPr>
    </w:p>
    <w:p w14:paraId="698BDF1A">
      <w:pPr>
        <w:spacing w:line="360" w:lineRule="auto"/>
        <w:rPr>
          <w:rFonts w:ascii="宋体" w:hAnsi="宋体" w:cs="宋体"/>
          <w:b/>
          <w:color w:val="auto"/>
          <w:sz w:val="24"/>
          <w:highlight w:val="none"/>
        </w:rPr>
      </w:pPr>
    </w:p>
    <w:p w14:paraId="2F37603A">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18D593ED">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5F7A74C7">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01C8B7A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6F26DF9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FD45BF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A7F616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230B3E5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43974D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40E521CD">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3398990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4096133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0B703771">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0AF79AB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0555B4C6">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50CB08D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7E2D813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7A2A15EB">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199D5F5E">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1ECE2B5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4F67283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76740CE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056DB144">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672CF13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6322068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22F4FDC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6A5FC3F1">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17FE1AF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796C3DA3">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70C61F0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5110A12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3787E89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1861F87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3EE35404">
      <w:pPr>
        <w:widowControl/>
        <w:spacing w:line="360" w:lineRule="auto"/>
        <w:ind w:firstLine="600" w:firstLineChars="200"/>
        <w:jc w:val="left"/>
        <w:rPr>
          <w:rFonts w:ascii="宋体" w:hAnsi="宋体" w:cs="宋体"/>
          <w:color w:val="auto"/>
          <w:sz w:val="30"/>
          <w:szCs w:val="30"/>
          <w:highlight w:val="none"/>
        </w:rPr>
      </w:pPr>
    </w:p>
    <w:p w14:paraId="7DD96783">
      <w:pPr>
        <w:spacing w:line="360" w:lineRule="auto"/>
        <w:jc w:val="center"/>
        <w:rPr>
          <w:rFonts w:ascii="宋体" w:hAnsi="宋体" w:cs="宋体"/>
          <w:b/>
          <w:color w:val="auto"/>
          <w:spacing w:val="6"/>
          <w:sz w:val="32"/>
          <w:szCs w:val="32"/>
          <w:highlight w:val="none"/>
        </w:rPr>
      </w:pPr>
    </w:p>
    <w:p w14:paraId="4796C07D">
      <w:pPr>
        <w:spacing w:line="360" w:lineRule="auto"/>
        <w:jc w:val="center"/>
        <w:rPr>
          <w:rFonts w:ascii="宋体" w:hAnsi="宋体" w:cs="宋体"/>
          <w:b/>
          <w:color w:val="auto"/>
          <w:spacing w:val="6"/>
          <w:sz w:val="32"/>
          <w:szCs w:val="32"/>
          <w:highlight w:val="none"/>
        </w:rPr>
      </w:pPr>
    </w:p>
    <w:p w14:paraId="34ABC162">
      <w:pPr>
        <w:spacing w:line="360" w:lineRule="auto"/>
        <w:jc w:val="center"/>
        <w:rPr>
          <w:rFonts w:ascii="宋体" w:hAnsi="宋体" w:cs="宋体"/>
          <w:b/>
          <w:color w:val="auto"/>
          <w:spacing w:val="6"/>
          <w:sz w:val="32"/>
          <w:szCs w:val="32"/>
          <w:highlight w:val="none"/>
        </w:rPr>
      </w:pPr>
    </w:p>
    <w:p w14:paraId="7EADAACE">
      <w:pPr>
        <w:spacing w:line="360" w:lineRule="auto"/>
        <w:jc w:val="center"/>
        <w:rPr>
          <w:rFonts w:ascii="宋体" w:hAnsi="宋体" w:cs="宋体"/>
          <w:b/>
          <w:color w:val="auto"/>
          <w:spacing w:val="6"/>
          <w:sz w:val="32"/>
          <w:szCs w:val="32"/>
          <w:highlight w:val="none"/>
        </w:rPr>
      </w:pPr>
    </w:p>
    <w:p w14:paraId="3FE6DAAA">
      <w:pPr>
        <w:spacing w:line="360" w:lineRule="auto"/>
        <w:jc w:val="center"/>
        <w:rPr>
          <w:rFonts w:ascii="宋体" w:hAnsi="宋体" w:cs="宋体"/>
          <w:b/>
          <w:color w:val="auto"/>
          <w:spacing w:val="6"/>
          <w:sz w:val="32"/>
          <w:szCs w:val="32"/>
          <w:highlight w:val="none"/>
        </w:rPr>
      </w:pPr>
    </w:p>
    <w:p w14:paraId="01224C28">
      <w:pPr>
        <w:spacing w:line="360" w:lineRule="auto"/>
        <w:jc w:val="center"/>
        <w:rPr>
          <w:rFonts w:ascii="宋体" w:hAnsi="宋体" w:cs="宋体"/>
          <w:b/>
          <w:color w:val="auto"/>
          <w:spacing w:val="6"/>
          <w:sz w:val="32"/>
          <w:szCs w:val="32"/>
          <w:highlight w:val="none"/>
        </w:rPr>
      </w:pPr>
    </w:p>
    <w:p w14:paraId="3FAC232D">
      <w:pPr>
        <w:spacing w:line="360" w:lineRule="auto"/>
        <w:jc w:val="center"/>
        <w:rPr>
          <w:rFonts w:ascii="宋体" w:hAnsi="宋体" w:cs="宋体"/>
          <w:b/>
          <w:color w:val="auto"/>
          <w:spacing w:val="6"/>
          <w:sz w:val="32"/>
          <w:szCs w:val="32"/>
          <w:highlight w:val="none"/>
        </w:rPr>
      </w:pPr>
    </w:p>
    <w:p w14:paraId="009CB44F">
      <w:pPr>
        <w:spacing w:line="360" w:lineRule="auto"/>
        <w:jc w:val="center"/>
        <w:rPr>
          <w:rFonts w:ascii="宋体" w:hAnsi="宋体" w:cs="宋体"/>
          <w:b/>
          <w:color w:val="auto"/>
          <w:spacing w:val="6"/>
          <w:sz w:val="32"/>
          <w:szCs w:val="32"/>
          <w:highlight w:val="none"/>
        </w:rPr>
      </w:pPr>
    </w:p>
    <w:p w14:paraId="668EFC3D">
      <w:pPr>
        <w:spacing w:line="360" w:lineRule="auto"/>
        <w:jc w:val="center"/>
        <w:rPr>
          <w:rFonts w:ascii="宋体" w:hAnsi="宋体" w:cs="宋体"/>
          <w:b/>
          <w:color w:val="auto"/>
          <w:spacing w:val="6"/>
          <w:sz w:val="32"/>
          <w:szCs w:val="32"/>
          <w:highlight w:val="none"/>
        </w:rPr>
      </w:pPr>
    </w:p>
    <w:p w14:paraId="0F78ED7D">
      <w:pPr>
        <w:spacing w:line="360" w:lineRule="auto"/>
        <w:jc w:val="left"/>
        <w:rPr>
          <w:rFonts w:hint="eastAsia" w:ascii="宋体" w:hAnsi="宋体" w:cs="宋体"/>
          <w:b/>
          <w:color w:val="auto"/>
          <w:spacing w:val="6"/>
          <w:sz w:val="32"/>
          <w:szCs w:val="32"/>
          <w:highlight w:val="none"/>
        </w:rPr>
      </w:pPr>
    </w:p>
    <w:p w14:paraId="389C1EA1">
      <w:pPr>
        <w:spacing w:line="360" w:lineRule="auto"/>
        <w:jc w:val="left"/>
        <w:rPr>
          <w:rFonts w:hint="eastAsia" w:ascii="宋体" w:hAnsi="宋体" w:cs="宋体"/>
          <w:b/>
          <w:color w:val="auto"/>
          <w:spacing w:val="6"/>
          <w:sz w:val="32"/>
          <w:szCs w:val="32"/>
          <w:highlight w:val="none"/>
        </w:rPr>
      </w:pPr>
    </w:p>
    <w:p w14:paraId="42853BF6">
      <w:pPr>
        <w:spacing w:line="360" w:lineRule="auto"/>
        <w:jc w:val="left"/>
        <w:rPr>
          <w:rFonts w:hint="eastAsia" w:ascii="宋体" w:hAnsi="宋体" w:cs="宋体"/>
          <w:b/>
          <w:color w:val="auto"/>
          <w:spacing w:val="6"/>
          <w:sz w:val="32"/>
          <w:szCs w:val="32"/>
          <w:highlight w:val="none"/>
        </w:rPr>
      </w:pPr>
    </w:p>
    <w:p w14:paraId="4D8C628D">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7E4EDDD9">
      <w:pPr>
        <w:spacing w:line="360" w:lineRule="auto"/>
        <w:jc w:val="center"/>
        <w:rPr>
          <w:rFonts w:ascii="宋体" w:hAnsi="宋体" w:cs="宋体"/>
          <w:b/>
          <w:color w:val="auto"/>
          <w:sz w:val="24"/>
          <w:highlight w:val="none"/>
        </w:rPr>
      </w:pPr>
    </w:p>
    <w:p w14:paraId="05942B32">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12C493C9">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2A0C5003">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48D014B1">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6483F6B">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39375B93">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35F7162F">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697F4AEF">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3D5C1F56">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134F988">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86B2A04">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61D544D">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584F4C2F">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7AE9790D">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C22ABC8">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12A2388">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F8F3DD2">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13C5949A">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0683C5DA">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0CDFC2D3">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235188D">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409F9279">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2401EE8C">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30C3B546">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6D848F90">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F68C9D9">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12BD79D4">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561A8435">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2D566C3D">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6D162C80">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39ED69F1">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A5AD91F">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491A149E">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DC5E9F8">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109CAD86">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43F69D35">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1E251556">
      <w:pPr>
        <w:spacing w:line="360" w:lineRule="auto"/>
        <w:rPr>
          <w:rFonts w:ascii="宋体" w:hAnsi="宋体" w:cs="宋体"/>
          <w:color w:val="auto"/>
          <w:sz w:val="24"/>
          <w:highlight w:val="none"/>
          <w:u w:val="singl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14B99AD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5BB97F2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68CC0B16">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52555B6A">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11D72D5F">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1D125D7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34FD9B9B">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1D7B3BE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3071CF3D">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4849861E">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1A75AB1B">
      <w:pPr>
        <w:autoSpaceDE w:val="0"/>
        <w:autoSpaceDN w:val="0"/>
        <w:jc w:val="center"/>
        <w:rPr>
          <w:rFonts w:ascii="宋体" w:hAnsi="宋体" w:cs="宋体"/>
          <w:b/>
          <w:color w:val="auto"/>
          <w:spacing w:val="6"/>
          <w:sz w:val="32"/>
          <w:szCs w:val="32"/>
          <w:highlight w:val="none"/>
        </w:rPr>
      </w:pPr>
    </w:p>
    <w:p w14:paraId="4C65DFE0">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40E7C7AE">
      <w:pPr>
        <w:spacing w:line="360" w:lineRule="auto"/>
        <w:rPr>
          <w:rFonts w:ascii="宋体" w:hAnsi="宋体" w:cs="宋体"/>
          <w:color w:val="auto"/>
          <w:sz w:val="24"/>
          <w:highlight w:val="none"/>
          <w:u w:val="single"/>
        </w:rPr>
      </w:pPr>
    </w:p>
    <w:p w14:paraId="79E93652">
      <w:pP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杭州市临平区人民政府崇贤街道办事处</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杭州天坤建设咨询有限公司</w:t>
      </w:r>
      <w:r>
        <w:rPr>
          <w:rFonts w:hint="eastAsia" w:ascii="宋体" w:hAnsi="宋体" w:cs="宋体"/>
          <w:color w:val="auto"/>
          <w:sz w:val="24"/>
          <w:highlight w:val="none"/>
          <w:u w:val="single"/>
        </w:rPr>
        <w:t>：</w:t>
      </w:r>
    </w:p>
    <w:p w14:paraId="2693B942">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“杭北门户·未来贤城”城市新区风貌区建设方案编制和综合评估咨询服务项目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TKZXCG-2025-032</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6534A7C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7BCC1A51">
      <w:pPr>
        <w:spacing w:line="360" w:lineRule="auto"/>
        <w:ind w:firstLine="494"/>
        <w:rPr>
          <w:rFonts w:ascii="宋体" w:hAnsi="宋体" w:cs="宋体"/>
          <w:color w:val="auto"/>
          <w:sz w:val="24"/>
          <w:highlight w:val="none"/>
        </w:rPr>
      </w:pPr>
    </w:p>
    <w:p w14:paraId="729DC0D8">
      <w:pPr>
        <w:spacing w:line="360" w:lineRule="auto"/>
        <w:ind w:firstLine="494"/>
        <w:rPr>
          <w:rFonts w:ascii="宋体" w:hAnsi="宋体" w:cs="宋体"/>
          <w:color w:val="auto"/>
          <w:sz w:val="24"/>
          <w:highlight w:val="none"/>
        </w:rPr>
      </w:pPr>
    </w:p>
    <w:p w14:paraId="579D2806">
      <w:pPr>
        <w:spacing w:line="360" w:lineRule="auto"/>
        <w:ind w:firstLine="494"/>
        <w:rPr>
          <w:rFonts w:ascii="宋体" w:hAnsi="宋体" w:cs="宋体"/>
          <w:color w:val="auto"/>
          <w:sz w:val="24"/>
          <w:highlight w:val="none"/>
        </w:rPr>
      </w:pPr>
    </w:p>
    <w:p w14:paraId="69143BA4">
      <w:pPr>
        <w:spacing w:line="360" w:lineRule="auto"/>
        <w:ind w:firstLine="494"/>
        <w:rPr>
          <w:rFonts w:ascii="宋体" w:hAnsi="宋体" w:cs="宋体"/>
          <w:color w:val="auto"/>
          <w:sz w:val="24"/>
          <w:highlight w:val="none"/>
        </w:rPr>
      </w:pPr>
    </w:p>
    <w:p w14:paraId="06F85905">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3EEA8048">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71B2A1E3">
      <w:pPr>
        <w:rPr>
          <w:rFonts w:ascii="宋体" w:hAnsi="宋体" w:cs="宋体"/>
          <w:color w:val="auto"/>
          <w:sz w:val="24"/>
          <w:highlight w:val="none"/>
        </w:rPr>
      </w:pPr>
      <w:r>
        <w:rPr>
          <w:rFonts w:hint="eastAsia" w:ascii="宋体" w:hAnsi="宋体" w:cs="宋体"/>
          <w:b/>
          <w:bCs/>
          <w:color w:val="auto"/>
          <w:sz w:val="24"/>
          <w:highlight w:val="none"/>
        </w:rPr>
        <w:t>附：</w:t>
      </w:r>
    </w:p>
    <w:p w14:paraId="2E1BDE0F">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74574D01">
      <w:pPr>
        <w:autoSpaceDE w:val="0"/>
        <w:autoSpaceDN w:val="0"/>
        <w:jc w:val="center"/>
        <w:rPr>
          <w:rFonts w:ascii="宋体" w:hAnsi="宋体" w:cs="宋体"/>
          <w:b/>
          <w:color w:val="auto"/>
          <w:spacing w:val="6"/>
          <w:sz w:val="32"/>
          <w:szCs w:val="32"/>
          <w:highlight w:val="none"/>
        </w:rPr>
      </w:pPr>
    </w:p>
    <w:p w14:paraId="12472987">
      <w:pPr>
        <w:autoSpaceDE w:val="0"/>
        <w:autoSpaceDN w:val="0"/>
        <w:jc w:val="center"/>
        <w:rPr>
          <w:rFonts w:ascii="宋体" w:hAnsi="宋体" w:cs="宋体"/>
          <w:b/>
          <w:color w:val="auto"/>
          <w:spacing w:val="6"/>
          <w:sz w:val="32"/>
          <w:szCs w:val="32"/>
          <w:highlight w:val="none"/>
        </w:rPr>
      </w:pPr>
    </w:p>
    <w:p w14:paraId="40952730">
      <w:pPr>
        <w:autoSpaceDE w:val="0"/>
        <w:autoSpaceDN w:val="0"/>
        <w:jc w:val="center"/>
        <w:rPr>
          <w:rFonts w:ascii="宋体" w:hAnsi="宋体" w:cs="宋体"/>
          <w:b/>
          <w:color w:val="auto"/>
          <w:spacing w:val="6"/>
          <w:sz w:val="32"/>
          <w:szCs w:val="32"/>
          <w:highlight w:val="none"/>
        </w:rPr>
      </w:pPr>
    </w:p>
    <w:p w14:paraId="14C0A765">
      <w:pPr>
        <w:autoSpaceDE w:val="0"/>
        <w:autoSpaceDN w:val="0"/>
        <w:jc w:val="center"/>
        <w:rPr>
          <w:rFonts w:ascii="宋体" w:hAnsi="宋体" w:cs="宋体"/>
          <w:b/>
          <w:color w:val="auto"/>
          <w:spacing w:val="6"/>
          <w:sz w:val="32"/>
          <w:szCs w:val="32"/>
          <w:highlight w:val="none"/>
        </w:rPr>
      </w:pPr>
    </w:p>
    <w:p w14:paraId="03F6D7F9">
      <w:pPr>
        <w:autoSpaceDE w:val="0"/>
        <w:autoSpaceDN w:val="0"/>
        <w:jc w:val="center"/>
        <w:rPr>
          <w:rFonts w:ascii="宋体" w:hAnsi="宋体" w:cs="宋体"/>
          <w:b/>
          <w:color w:val="auto"/>
          <w:spacing w:val="6"/>
          <w:sz w:val="32"/>
          <w:szCs w:val="32"/>
          <w:highlight w:val="none"/>
        </w:rPr>
      </w:pPr>
    </w:p>
    <w:p w14:paraId="4D557FCA">
      <w:pPr>
        <w:autoSpaceDE w:val="0"/>
        <w:autoSpaceDN w:val="0"/>
        <w:jc w:val="center"/>
        <w:rPr>
          <w:rFonts w:ascii="宋体" w:hAnsi="宋体" w:cs="宋体"/>
          <w:b/>
          <w:color w:val="auto"/>
          <w:spacing w:val="6"/>
          <w:sz w:val="32"/>
          <w:szCs w:val="32"/>
          <w:highlight w:val="none"/>
        </w:rPr>
      </w:pPr>
    </w:p>
    <w:p w14:paraId="747D5734">
      <w:pPr>
        <w:autoSpaceDE w:val="0"/>
        <w:autoSpaceDN w:val="0"/>
        <w:jc w:val="center"/>
        <w:rPr>
          <w:rFonts w:ascii="宋体" w:hAnsi="宋体" w:cs="宋体"/>
          <w:b/>
          <w:color w:val="auto"/>
          <w:spacing w:val="6"/>
          <w:sz w:val="32"/>
          <w:szCs w:val="32"/>
          <w:highlight w:val="none"/>
        </w:rPr>
      </w:pPr>
    </w:p>
    <w:p w14:paraId="6CFA4C0C">
      <w:pPr>
        <w:autoSpaceDE w:val="0"/>
        <w:autoSpaceDN w:val="0"/>
        <w:jc w:val="center"/>
        <w:rPr>
          <w:rFonts w:ascii="宋体" w:hAnsi="宋体" w:cs="宋体"/>
          <w:b/>
          <w:color w:val="auto"/>
          <w:spacing w:val="6"/>
          <w:sz w:val="32"/>
          <w:szCs w:val="32"/>
          <w:highlight w:val="none"/>
        </w:rPr>
      </w:pPr>
    </w:p>
    <w:p w14:paraId="7C945D75">
      <w:pPr>
        <w:autoSpaceDE w:val="0"/>
        <w:autoSpaceDN w:val="0"/>
        <w:jc w:val="center"/>
        <w:rPr>
          <w:rFonts w:ascii="宋体" w:hAnsi="宋体" w:cs="宋体"/>
          <w:b/>
          <w:color w:val="auto"/>
          <w:spacing w:val="6"/>
          <w:sz w:val="32"/>
          <w:szCs w:val="32"/>
          <w:highlight w:val="none"/>
        </w:rPr>
      </w:pPr>
    </w:p>
    <w:p w14:paraId="1473A348">
      <w:pPr>
        <w:autoSpaceDE w:val="0"/>
        <w:autoSpaceDN w:val="0"/>
        <w:jc w:val="center"/>
        <w:rPr>
          <w:rFonts w:ascii="宋体" w:hAnsi="宋体" w:cs="宋体"/>
          <w:b/>
          <w:color w:val="auto"/>
          <w:spacing w:val="6"/>
          <w:sz w:val="32"/>
          <w:szCs w:val="32"/>
          <w:highlight w:val="none"/>
        </w:rPr>
      </w:pPr>
    </w:p>
    <w:p w14:paraId="053887FC">
      <w:pPr>
        <w:autoSpaceDE w:val="0"/>
        <w:autoSpaceDN w:val="0"/>
        <w:jc w:val="center"/>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lang w:val="zh-CN"/>
        </w:rPr>
        <w:t>联合协议</w:t>
      </w:r>
    </w:p>
    <w:p w14:paraId="04B866BD">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50B6536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“杭北门户·未来贤城”城市新区风貌区建设方案编制和综合评估咨询服务项目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TKZXCG-2025-032</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35B55ED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0A863C4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0C1510A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28D94B9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208BA09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1FC5BA9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p w14:paraId="7B2B33C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26ACD955">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w:t>
      </w:r>
      <w:bookmarkStart w:id="512" w:name="_Hlk101131882"/>
      <w:r>
        <w:rPr>
          <w:rFonts w:hint="eastAsia" w:ascii="宋体" w:hAnsi="宋体" w:cs="宋体"/>
          <w:color w:val="auto"/>
          <w:kern w:val="0"/>
          <w:sz w:val="24"/>
          <w:highlight w:val="none"/>
          <w:u w:val="single"/>
        </w:rPr>
        <w:t>联合体成员X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w:t>
      </w:r>
      <w:bookmarkEnd w:id="512"/>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提供的服务由小微企业承接，其合同份额占到合同总金额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w:t>
      </w:r>
      <w:bookmarkStart w:id="513" w:name="_Hlk101133598"/>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bookmarkEnd w:id="513"/>
      <w:r>
        <w:rPr>
          <w:rFonts w:hint="eastAsia" w:ascii="宋体" w:hAnsi="宋体" w:cs="宋体"/>
          <w:b/>
          <w:color w:val="auto"/>
          <w:kern w:val="0"/>
          <w:sz w:val="24"/>
          <w:highlight w:val="none"/>
          <w:lang w:val="zh-CN"/>
        </w:rPr>
        <w:t>）</w:t>
      </w:r>
    </w:p>
    <w:p w14:paraId="7A45B8E6">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14"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bookmarkEnd w:id="514"/>
    </w:p>
    <w:p w14:paraId="334C48E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6F570C1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36092FD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100AE86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17F8D7F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52C4D1EB">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1E9F89D8">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A8ECFA8">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4C6BEB53">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2F7A1982">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7719768">
      <w:pPr>
        <w:autoSpaceDE w:val="0"/>
        <w:autoSpaceDN w:val="0"/>
        <w:jc w:val="center"/>
        <w:rPr>
          <w:rFonts w:ascii="宋体" w:hAnsi="宋体" w:cs="宋体"/>
          <w:b/>
          <w:color w:val="auto"/>
          <w:spacing w:val="6"/>
          <w:sz w:val="32"/>
          <w:szCs w:val="32"/>
          <w:highlight w:val="none"/>
        </w:rPr>
      </w:pPr>
    </w:p>
    <w:p w14:paraId="1D0A103C">
      <w:pPr>
        <w:autoSpaceDE w:val="0"/>
        <w:autoSpaceDN w:val="0"/>
        <w:jc w:val="center"/>
        <w:rPr>
          <w:rFonts w:ascii="宋体" w:hAnsi="宋体" w:cs="宋体"/>
          <w:b/>
          <w:color w:val="auto"/>
          <w:spacing w:val="6"/>
          <w:sz w:val="32"/>
          <w:szCs w:val="32"/>
          <w:highlight w:val="none"/>
        </w:rPr>
      </w:pPr>
    </w:p>
    <w:p w14:paraId="4BFB4091">
      <w:pPr>
        <w:autoSpaceDE w:val="0"/>
        <w:autoSpaceDN w:val="0"/>
        <w:jc w:val="center"/>
        <w:rPr>
          <w:rFonts w:ascii="宋体" w:hAnsi="宋体" w:cs="宋体"/>
          <w:b/>
          <w:color w:val="auto"/>
          <w:spacing w:val="6"/>
          <w:sz w:val="32"/>
          <w:szCs w:val="32"/>
          <w:highlight w:val="none"/>
        </w:rPr>
      </w:pPr>
    </w:p>
    <w:p w14:paraId="07EB33BF">
      <w:pPr>
        <w:autoSpaceDE w:val="0"/>
        <w:autoSpaceDN w:val="0"/>
        <w:jc w:val="center"/>
        <w:rPr>
          <w:rFonts w:ascii="宋体" w:hAnsi="宋体" w:cs="宋体"/>
          <w:b/>
          <w:color w:val="auto"/>
          <w:spacing w:val="6"/>
          <w:sz w:val="32"/>
          <w:szCs w:val="32"/>
          <w:highlight w:val="none"/>
        </w:rPr>
      </w:pPr>
    </w:p>
    <w:p w14:paraId="2AA49C3A">
      <w:pPr>
        <w:autoSpaceDE w:val="0"/>
        <w:autoSpaceDN w:val="0"/>
        <w:jc w:val="center"/>
        <w:rPr>
          <w:rFonts w:ascii="宋体" w:hAnsi="宋体" w:cs="宋体"/>
          <w:b/>
          <w:color w:val="auto"/>
          <w:spacing w:val="6"/>
          <w:sz w:val="32"/>
          <w:szCs w:val="32"/>
          <w:highlight w:val="none"/>
        </w:rPr>
      </w:pPr>
    </w:p>
    <w:p w14:paraId="1D439732">
      <w:pPr>
        <w:autoSpaceDE w:val="0"/>
        <w:autoSpaceDN w:val="0"/>
        <w:jc w:val="center"/>
        <w:rPr>
          <w:rFonts w:ascii="宋体" w:hAnsi="宋体" w:cs="宋体"/>
          <w:b/>
          <w:color w:val="auto"/>
          <w:spacing w:val="6"/>
          <w:sz w:val="32"/>
          <w:szCs w:val="32"/>
          <w:highlight w:val="none"/>
        </w:rPr>
      </w:pPr>
    </w:p>
    <w:p w14:paraId="2B1F6293">
      <w:pPr>
        <w:autoSpaceDE w:val="0"/>
        <w:autoSpaceDN w:val="0"/>
        <w:jc w:val="center"/>
        <w:rPr>
          <w:rFonts w:ascii="宋体" w:hAnsi="宋体" w:cs="宋体"/>
          <w:b/>
          <w:color w:val="auto"/>
          <w:spacing w:val="6"/>
          <w:sz w:val="32"/>
          <w:szCs w:val="32"/>
          <w:highlight w:val="none"/>
        </w:rPr>
      </w:pPr>
    </w:p>
    <w:p w14:paraId="758E5C0F">
      <w:pPr>
        <w:autoSpaceDE w:val="0"/>
        <w:autoSpaceDN w:val="0"/>
        <w:jc w:val="center"/>
        <w:rPr>
          <w:rFonts w:ascii="宋体" w:hAnsi="宋体" w:cs="宋体"/>
          <w:b/>
          <w:color w:val="auto"/>
          <w:spacing w:val="6"/>
          <w:sz w:val="32"/>
          <w:szCs w:val="32"/>
          <w:highlight w:val="none"/>
        </w:rPr>
      </w:pPr>
    </w:p>
    <w:p w14:paraId="07E7DAF3">
      <w:pPr>
        <w:autoSpaceDE w:val="0"/>
        <w:autoSpaceDN w:val="0"/>
        <w:jc w:val="center"/>
        <w:rPr>
          <w:rFonts w:ascii="宋体" w:hAnsi="宋体" w:cs="宋体"/>
          <w:b/>
          <w:color w:val="auto"/>
          <w:spacing w:val="6"/>
          <w:sz w:val="32"/>
          <w:szCs w:val="32"/>
          <w:highlight w:val="none"/>
        </w:rPr>
      </w:pPr>
    </w:p>
    <w:p w14:paraId="74C77164">
      <w:pPr>
        <w:autoSpaceDE w:val="0"/>
        <w:autoSpaceDN w:val="0"/>
        <w:jc w:val="center"/>
        <w:rPr>
          <w:rFonts w:ascii="宋体" w:hAnsi="宋体" w:cs="宋体"/>
          <w:b/>
          <w:color w:val="auto"/>
          <w:spacing w:val="6"/>
          <w:sz w:val="32"/>
          <w:szCs w:val="32"/>
          <w:highlight w:val="none"/>
        </w:rPr>
      </w:pPr>
    </w:p>
    <w:p w14:paraId="12EE95AE">
      <w:pPr>
        <w:autoSpaceDE w:val="0"/>
        <w:autoSpaceDN w:val="0"/>
        <w:jc w:val="center"/>
        <w:rPr>
          <w:rFonts w:ascii="宋体" w:hAnsi="宋体" w:cs="宋体"/>
          <w:b/>
          <w:color w:val="auto"/>
          <w:spacing w:val="6"/>
          <w:sz w:val="32"/>
          <w:szCs w:val="32"/>
          <w:highlight w:val="none"/>
        </w:rPr>
      </w:pPr>
    </w:p>
    <w:p w14:paraId="652FE5F9">
      <w:pPr>
        <w:autoSpaceDE w:val="0"/>
        <w:autoSpaceDN w:val="0"/>
        <w:jc w:val="center"/>
        <w:rPr>
          <w:rFonts w:ascii="宋体" w:hAnsi="宋体" w:cs="宋体"/>
          <w:b/>
          <w:color w:val="auto"/>
          <w:spacing w:val="6"/>
          <w:sz w:val="32"/>
          <w:szCs w:val="32"/>
          <w:highlight w:val="none"/>
        </w:rPr>
      </w:pPr>
    </w:p>
    <w:p w14:paraId="4C86B973">
      <w:pPr>
        <w:autoSpaceDE w:val="0"/>
        <w:autoSpaceDN w:val="0"/>
        <w:jc w:val="center"/>
        <w:rPr>
          <w:rFonts w:ascii="宋体" w:hAnsi="宋体" w:cs="宋体"/>
          <w:b/>
          <w:color w:val="auto"/>
          <w:spacing w:val="6"/>
          <w:sz w:val="32"/>
          <w:szCs w:val="32"/>
          <w:highlight w:val="none"/>
        </w:rPr>
      </w:pPr>
    </w:p>
    <w:p w14:paraId="45FFA641">
      <w:pPr>
        <w:autoSpaceDE w:val="0"/>
        <w:autoSpaceDN w:val="0"/>
        <w:jc w:val="center"/>
        <w:rPr>
          <w:rFonts w:ascii="宋体" w:hAnsi="宋体" w:cs="宋体"/>
          <w:b/>
          <w:color w:val="auto"/>
          <w:spacing w:val="6"/>
          <w:sz w:val="32"/>
          <w:szCs w:val="32"/>
          <w:highlight w:val="none"/>
        </w:rPr>
      </w:pPr>
    </w:p>
    <w:p w14:paraId="602FA715">
      <w:pPr>
        <w:autoSpaceDE w:val="0"/>
        <w:autoSpaceDN w:val="0"/>
        <w:jc w:val="center"/>
        <w:rPr>
          <w:rFonts w:ascii="宋体" w:hAnsi="宋体" w:cs="宋体"/>
          <w:b/>
          <w:color w:val="auto"/>
          <w:spacing w:val="6"/>
          <w:sz w:val="32"/>
          <w:szCs w:val="32"/>
          <w:highlight w:val="none"/>
        </w:rPr>
      </w:pPr>
    </w:p>
    <w:p w14:paraId="6647DE36">
      <w:pPr>
        <w:autoSpaceDE w:val="0"/>
        <w:autoSpaceDN w:val="0"/>
        <w:jc w:val="center"/>
        <w:rPr>
          <w:rFonts w:ascii="宋体" w:hAnsi="宋体" w:cs="宋体"/>
          <w:b/>
          <w:color w:val="auto"/>
          <w:spacing w:val="6"/>
          <w:sz w:val="32"/>
          <w:szCs w:val="32"/>
          <w:highlight w:val="none"/>
        </w:rPr>
      </w:pPr>
    </w:p>
    <w:p w14:paraId="229706AC">
      <w:pPr>
        <w:autoSpaceDE w:val="0"/>
        <w:autoSpaceDN w:val="0"/>
        <w:jc w:val="center"/>
        <w:rPr>
          <w:rFonts w:ascii="宋体" w:hAnsi="宋体" w:cs="宋体"/>
          <w:b/>
          <w:color w:val="auto"/>
          <w:spacing w:val="6"/>
          <w:sz w:val="32"/>
          <w:szCs w:val="32"/>
          <w:highlight w:val="none"/>
        </w:rPr>
      </w:pPr>
    </w:p>
    <w:p w14:paraId="16F14ABB">
      <w:pPr>
        <w:autoSpaceDE w:val="0"/>
        <w:autoSpaceDN w:val="0"/>
        <w:jc w:val="center"/>
        <w:rPr>
          <w:rFonts w:ascii="宋体" w:hAnsi="宋体" w:cs="宋体"/>
          <w:b/>
          <w:color w:val="auto"/>
          <w:spacing w:val="6"/>
          <w:sz w:val="32"/>
          <w:szCs w:val="32"/>
          <w:highlight w:val="none"/>
        </w:rPr>
      </w:pPr>
    </w:p>
    <w:p w14:paraId="3E4B59CC">
      <w:pPr>
        <w:autoSpaceDE w:val="0"/>
        <w:autoSpaceDN w:val="0"/>
        <w:jc w:val="center"/>
        <w:rPr>
          <w:rFonts w:ascii="宋体" w:hAnsi="宋体" w:cs="宋体"/>
          <w:b/>
          <w:color w:val="auto"/>
          <w:spacing w:val="6"/>
          <w:sz w:val="32"/>
          <w:szCs w:val="32"/>
          <w:highlight w:val="none"/>
        </w:rPr>
      </w:pPr>
    </w:p>
    <w:p w14:paraId="73B76741">
      <w:pPr>
        <w:autoSpaceDE w:val="0"/>
        <w:autoSpaceDN w:val="0"/>
        <w:jc w:val="center"/>
        <w:rPr>
          <w:rFonts w:ascii="宋体" w:hAnsi="宋体" w:cs="宋体"/>
          <w:b/>
          <w:color w:val="auto"/>
          <w:spacing w:val="6"/>
          <w:sz w:val="32"/>
          <w:szCs w:val="32"/>
          <w:highlight w:val="none"/>
        </w:rPr>
      </w:pPr>
    </w:p>
    <w:p w14:paraId="1EA60D8D">
      <w:pPr>
        <w:snapToGrid w:val="0"/>
        <w:spacing w:line="360" w:lineRule="auto"/>
        <w:ind w:firstLine="3666" w:firstLineChars="1100"/>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14:paraId="333EFB72">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709C11F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“杭北门户·未来贤城”城市新区风貌区建设方案编制和综合评估咨询服务项目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TKZXCG-2025-032</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22C20F5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2FE9092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w:t>
      </w:r>
      <w:r>
        <w:rPr>
          <w:rFonts w:hint="eastAsia" w:ascii="宋体" w:hAnsi="宋体" w:cs="宋体"/>
          <w:color w:val="auto"/>
          <w:kern w:val="0"/>
          <w:sz w:val="24"/>
          <w:highlight w:val="none"/>
          <w:u w:val="single"/>
          <w:lang w:val="en-US" w:eastAsia="zh-CN"/>
        </w:rPr>
        <w:t>1</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189F2810">
      <w:pPr>
        <w:pStyle w:val="5"/>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65C0A31C">
      <w:pPr>
        <w:rPr>
          <w:color w:val="auto"/>
          <w:highlight w:val="none"/>
        </w:rPr>
      </w:pPr>
      <w:r>
        <w:rPr>
          <w:rFonts w:hint="eastAsia"/>
          <w:color w:val="auto"/>
          <w:highlight w:val="none"/>
          <w:lang w:val="zh-CN"/>
        </w:rPr>
        <w:t xml:space="preserve"> </w:t>
      </w:r>
    </w:p>
    <w:p w14:paraId="1A539FB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1976068F">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……）提供的服务全部由小微企业承接，</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4E445DCC">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269F484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665E13DA">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4C49757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0BAF6A9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BA321E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4898118E">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6C7DE37">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738A792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22C288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3F55D7B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5E4058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八、其他</w:t>
      </w:r>
    </w:p>
    <w:p w14:paraId="30754BB1">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  。                                           投标人名称(电子签名)：</w:t>
      </w:r>
    </w:p>
    <w:p w14:paraId="05EF4018">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24585DD8">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0DA9AED3">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0F1296C7">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E2AAACD">
      <w:pPr>
        <w:autoSpaceDE w:val="0"/>
        <w:autoSpaceDN w:val="0"/>
        <w:jc w:val="center"/>
        <w:rPr>
          <w:rFonts w:ascii="宋体" w:hAnsi="宋体" w:cs="宋体"/>
          <w:b/>
          <w:color w:val="auto"/>
          <w:spacing w:val="6"/>
          <w:sz w:val="32"/>
          <w:szCs w:val="32"/>
          <w:highlight w:val="none"/>
        </w:rPr>
      </w:pPr>
    </w:p>
    <w:p w14:paraId="74F7FF62">
      <w:pPr>
        <w:autoSpaceDE w:val="0"/>
        <w:autoSpaceDN w:val="0"/>
        <w:jc w:val="center"/>
        <w:rPr>
          <w:rFonts w:ascii="宋体" w:hAnsi="宋体" w:cs="宋体"/>
          <w:b/>
          <w:color w:val="auto"/>
          <w:spacing w:val="6"/>
          <w:sz w:val="32"/>
          <w:szCs w:val="32"/>
          <w:highlight w:val="none"/>
        </w:rPr>
      </w:pPr>
    </w:p>
    <w:p w14:paraId="4DFAA739">
      <w:pPr>
        <w:autoSpaceDE w:val="0"/>
        <w:autoSpaceDN w:val="0"/>
        <w:jc w:val="center"/>
        <w:rPr>
          <w:rFonts w:ascii="宋体" w:hAnsi="宋体" w:cs="宋体"/>
          <w:b/>
          <w:color w:val="auto"/>
          <w:spacing w:val="6"/>
          <w:sz w:val="32"/>
          <w:szCs w:val="32"/>
          <w:highlight w:val="none"/>
        </w:rPr>
      </w:pPr>
    </w:p>
    <w:p w14:paraId="408E553A">
      <w:pPr>
        <w:autoSpaceDE w:val="0"/>
        <w:autoSpaceDN w:val="0"/>
        <w:jc w:val="center"/>
        <w:rPr>
          <w:rFonts w:ascii="宋体" w:hAnsi="宋体" w:cs="宋体"/>
          <w:b/>
          <w:color w:val="auto"/>
          <w:spacing w:val="6"/>
          <w:sz w:val="32"/>
          <w:szCs w:val="32"/>
          <w:highlight w:val="none"/>
        </w:rPr>
      </w:pPr>
    </w:p>
    <w:p w14:paraId="2DE2B4CE">
      <w:pPr>
        <w:autoSpaceDE w:val="0"/>
        <w:autoSpaceDN w:val="0"/>
        <w:jc w:val="center"/>
        <w:rPr>
          <w:rFonts w:ascii="宋体" w:hAnsi="宋体" w:cs="宋体"/>
          <w:b/>
          <w:color w:val="auto"/>
          <w:spacing w:val="6"/>
          <w:sz w:val="32"/>
          <w:szCs w:val="32"/>
          <w:highlight w:val="none"/>
        </w:rPr>
      </w:pPr>
    </w:p>
    <w:p w14:paraId="6190F582">
      <w:pPr>
        <w:autoSpaceDE w:val="0"/>
        <w:autoSpaceDN w:val="0"/>
        <w:jc w:val="center"/>
        <w:rPr>
          <w:rFonts w:ascii="宋体" w:hAnsi="宋体" w:cs="宋体"/>
          <w:b/>
          <w:color w:val="auto"/>
          <w:spacing w:val="6"/>
          <w:sz w:val="32"/>
          <w:szCs w:val="32"/>
          <w:highlight w:val="none"/>
        </w:rPr>
      </w:pPr>
    </w:p>
    <w:p w14:paraId="7F2EB0FB">
      <w:pPr>
        <w:autoSpaceDE w:val="0"/>
        <w:autoSpaceDN w:val="0"/>
        <w:jc w:val="center"/>
        <w:rPr>
          <w:rFonts w:ascii="宋体" w:hAnsi="宋体" w:cs="宋体"/>
          <w:b/>
          <w:color w:val="auto"/>
          <w:spacing w:val="6"/>
          <w:sz w:val="32"/>
          <w:szCs w:val="32"/>
          <w:highlight w:val="none"/>
        </w:rPr>
      </w:pPr>
    </w:p>
    <w:p w14:paraId="585299B3">
      <w:pPr>
        <w:autoSpaceDE w:val="0"/>
        <w:autoSpaceDN w:val="0"/>
        <w:jc w:val="center"/>
        <w:rPr>
          <w:rFonts w:ascii="宋体" w:hAnsi="宋体" w:cs="宋体"/>
          <w:b/>
          <w:color w:val="auto"/>
          <w:spacing w:val="6"/>
          <w:sz w:val="32"/>
          <w:szCs w:val="32"/>
          <w:highlight w:val="none"/>
        </w:rPr>
      </w:pPr>
    </w:p>
    <w:p w14:paraId="00522C4A">
      <w:pPr>
        <w:autoSpaceDE w:val="0"/>
        <w:autoSpaceDN w:val="0"/>
        <w:jc w:val="center"/>
        <w:rPr>
          <w:rFonts w:ascii="宋体" w:hAnsi="宋体" w:cs="宋体"/>
          <w:b/>
          <w:color w:val="auto"/>
          <w:spacing w:val="6"/>
          <w:sz w:val="32"/>
          <w:szCs w:val="32"/>
          <w:highlight w:val="none"/>
        </w:rPr>
      </w:pPr>
    </w:p>
    <w:p w14:paraId="65AC4E53">
      <w:pPr>
        <w:autoSpaceDE w:val="0"/>
        <w:autoSpaceDN w:val="0"/>
        <w:jc w:val="center"/>
        <w:rPr>
          <w:rFonts w:ascii="宋体" w:hAnsi="宋体" w:cs="宋体"/>
          <w:b/>
          <w:color w:val="auto"/>
          <w:spacing w:val="6"/>
          <w:sz w:val="32"/>
          <w:szCs w:val="32"/>
          <w:highlight w:val="none"/>
        </w:rPr>
      </w:pPr>
    </w:p>
    <w:p w14:paraId="55C5B575">
      <w:pPr>
        <w:autoSpaceDE w:val="0"/>
        <w:autoSpaceDN w:val="0"/>
        <w:jc w:val="center"/>
        <w:rPr>
          <w:rFonts w:ascii="宋体" w:hAnsi="宋体" w:cs="宋体"/>
          <w:b/>
          <w:color w:val="auto"/>
          <w:spacing w:val="6"/>
          <w:sz w:val="32"/>
          <w:szCs w:val="32"/>
          <w:highlight w:val="none"/>
        </w:rPr>
      </w:pPr>
    </w:p>
    <w:p w14:paraId="7F218967">
      <w:pPr>
        <w:autoSpaceDE w:val="0"/>
        <w:autoSpaceDN w:val="0"/>
        <w:jc w:val="center"/>
        <w:rPr>
          <w:rFonts w:ascii="宋体" w:hAnsi="宋体" w:cs="宋体"/>
          <w:b/>
          <w:color w:val="auto"/>
          <w:spacing w:val="6"/>
          <w:sz w:val="32"/>
          <w:szCs w:val="32"/>
          <w:highlight w:val="none"/>
        </w:rPr>
      </w:pPr>
    </w:p>
    <w:p w14:paraId="63873989">
      <w:pPr>
        <w:autoSpaceDE w:val="0"/>
        <w:autoSpaceDN w:val="0"/>
        <w:jc w:val="center"/>
        <w:rPr>
          <w:rFonts w:ascii="宋体" w:hAnsi="宋体" w:cs="宋体"/>
          <w:b/>
          <w:color w:val="auto"/>
          <w:spacing w:val="6"/>
          <w:sz w:val="32"/>
          <w:szCs w:val="32"/>
          <w:highlight w:val="none"/>
        </w:rPr>
      </w:pPr>
    </w:p>
    <w:p w14:paraId="1D522C2B">
      <w:pPr>
        <w:autoSpaceDE w:val="0"/>
        <w:autoSpaceDN w:val="0"/>
        <w:jc w:val="center"/>
        <w:rPr>
          <w:rFonts w:ascii="宋体" w:hAnsi="宋体" w:cs="宋体"/>
          <w:b/>
          <w:color w:val="auto"/>
          <w:spacing w:val="6"/>
          <w:sz w:val="32"/>
          <w:szCs w:val="32"/>
          <w:highlight w:val="none"/>
        </w:rPr>
      </w:pPr>
    </w:p>
    <w:p w14:paraId="6ABD8BD9">
      <w:pPr>
        <w:autoSpaceDE w:val="0"/>
        <w:autoSpaceDN w:val="0"/>
        <w:jc w:val="center"/>
        <w:rPr>
          <w:rFonts w:ascii="宋体" w:hAnsi="宋体" w:cs="宋体"/>
          <w:b/>
          <w:color w:val="auto"/>
          <w:spacing w:val="6"/>
          <w:sz w:val="32"/>
          <w:szCs w:val="32"/>
          <w:highlight w:val="none"/>
        </w:rPr>
      </w:pPr>
    </w:p>
    <w:p w14:paraId="1C5DE10B">
      <w:pPr>
        <w:autoSpaceDE w:val="0"/>
        <w:autoSpaceDN w:val="0"/>
        <w:jc w:val="center"/>
        <w:rPr>
          <w:rFonts w:ascii="宋体" w:hAnsi="宋体" w:cs="宋体"/>
          <w:b/>
          <w:color w:val="auto"/>
          <w:spacing w:val="6"/>
          <w:sz w:val="32"/>
          <w:szCs w:val="32"/>
          <w:highlight w:val="none"/>
        </w:rPr>
      </w:pPr>
    </w:p>
    <w:p w14:paraId="3CDFE3AD">
      <w:pPr>
        <w:autoSpaceDE w:val="0"/>
        <w:autoSpaceDN w:val="0"/>
        <w:jc w:val="center"/>
        <w:rPr>
          <w:rFonts w:ascii="宋体" w:hAnsi="宋体" w:cs="宋体"/>
          <w:b/>
          <w:color w:val="auto"/>
          <w:spacing w:val="6"/>
          <w:sz w:val="32"/>
          <w:szCs w:val="32"/>
          <w:highlight w:val="none"/>
        </w:rPr>
      </w:pPr>
    </w:p>
    <w:p w14:paraId="626765C5">
      <w:pPr>
        <w:autoSpaceDE w:val="0"/>
        <w:autoSpaceDN w:val="0"/>
        <w:jc w:val="center"/>
        <w:rPr>
          <w:rFonts w:ascii="宋体" w:hAnsi="宋体" w:cs="宋体"/>
          <w:b/>
          <w:color w:val="auto"/>
          <w:spacing w:val="6"/>
          <w:sz w:val="32"/>
          <w:szCs w:val="32"/>
          <w:highlight w:val="none"/>
        </w:rPr>
      </w:pPr>
    </w:p>
    <w:p w14:paraId="62DC7B18">
      <w:pPr>
        <w:autoSpaceDE w:val="0"/>
        <w:autoSpaceDN w:val="0"/>
        <w:jc w:val="center"/>
        <w:rPr>
          <w:rFonts w:ascii="宋体" w:hAnsi="宋体" w:cs="宋体"/>
          <w:b/>
          <w:color w:val="auto"/>
          <w:spacing w:val="6"/>
          <w:sz w:val="32"/>
          <w:szCs w:val="32"/>
          <w:highlight w:val="none"/>
        </w:rPr>
      </w:pPr>
    </w:p>
    <w:p w14:paraId="7E935FAA">
      <w:pPr>
        <w:autoSpaceDE w:val="0"/>
        <w:autoSpaceDN w:val="0"/>
        <w:jc w:val="center"/>
        <w:rPr>
          <w:rFonts w:ascii="宋体" w:hAnsi="宋体" w:cs="宋体"/>
          <w:b/>
          <w:color w:val="auto"/>
          <w:spacing w:val="6"/>
          <w:sz w:val="32"/>
          <w:szCs w:val="32"/>
          <w:highlight w:val="none"/>
        </w:rPr>
      </w:pPr>
    </w:p>
    <w:p w14:paraId="6CC22D28">
      <w:pPr>
        <w:spacing w:line="360" w:lineRule="auto"/>
        <w:jc w:val="left"/>
        <w:outlineLvl w:val="0"/>
        <w:rPr>
          <w:rFonts w:ascii="宋体" w:hAnsi="宋体" w:cs="宋体"/>
          <w:b/>
          <w:color w:val="auto"/>
          <w:sz w:val="36"/>
          <w:szCs w:val="20"/>
          <w:highlight w:val="none"/>
        </w:rPr>
      </w:pPr>
      <w:r>
        <w:rPr>
          <w:rFonts w:hint="eastAsia" w:ascii="宋体" w:hAnsi="宋体" w:cs="宋体"/>
          <w:b/>
          <w:color w:val="auto"/>
          <w:sz w:val="36"/>
          <w:szCs w:val="20"/>
          <w:highlight w:val="none"/>
        </w:rPr>
        <w:t>附件</w:t>
      </w:r>
      <w:r>
        <w:rPr>
          <w:rFonts w:ascii="宋体" w:hAnsi="宋体" w:cs="宋体"/>
          <w:b/>
          <w:color w:val="auto"/>
          <w:sz w:val="36"/>
          <w:szCs w:val="20"/>
          <w:highlight w:val="none"/>
        </w:rPr>
        <w:t>7</w:t>
      </w:r>
      <w:r>
        <w:rPr>
          <w:rFonts w:hint="eastAsia" w:ascii="宋体" w:hAnsi="宋体" w:cs="宋体"/>
          <w:b/>
          <w:color w:val="auto"/>
          <w:sz w:val="36"/>
          <w:szCs w:val="20"/>
          <w:highlight w:val="none"/>
        </w:rPr>
        <w:t>：中小企业声明函</w:t>
      </w:r>
    </w:p>
    <w:p w14:paraId="4C891253">
      <w:pPr>
        <w:spacing w:line="360" w:lineRule="auto"/>
        <w:jc w:val="center"/>
        <w:rPr>
          <w:rFonts w:ascii="宋体" w:hAnsi="宋体" w:cs="宋体"/>
          <w:color w:val="auto"/>
          <w:sz w:val="24"/>
          <w:highlight w:val="none"/>
          <w:u w:val="single"/>
        </w:rPr>
      </w:pPr>
    </w:p>
    <w:p w14:paraId="0E7047D3">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中小企业声明函（服务）</w:t>
      </w:r>
    </w:p>
    <w:p w14:paraId="50CC7A42">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杭州市临平区人民政府崇贤街道办事处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“杭北门户·未来贤城”城市新区风貌区建设方案编制和综合评估咨询服务项目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4F9E3AB8">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（采购文件中明确的所属行业）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1528A284">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 </w:t>
      </w:r>
      <w:r>
        <w:rPr>
          <w:rFonts w:hint="eastAsia" w:ascii="宋体" w:hAnsi="宋体" w:cs="宋体"/>
          <w:color w:val="auto"/>
          <w:sz w:val="24"/>
          <w:highlight w:val="none"/>
        </w:rPr>
        <w:t xml:space="preserve">；承建（承接）企业为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2D59F557">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28B6AB17">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08C7AAC4">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6B534DF5">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14:paraId="2C5C628B">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14:paraId="70056AB9">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①</w:t>
      </w:r>
      <w:r>
        <w:rPr>
          <w:rFonts w:hint="eastAsia" w:ascii="宋体" w:hAnsi="宋体" w:eastAsia="宋体" w:cs="宋体"/>
          <w:color w:val="auto"/>
          <w:sz w:val="24"/>
          <w:highlight w:val="none"/>
        </w:rPr>
        <w:t>从业人员、营业收入、资产总额填报上一年度数据，无上一年度数据的新成立企业可不填报</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苹方 中等"/>
    <w:panose1 w:val="00000000000000000000"/>
    <w:charset w:val="00"/>
    <w:family w:val="roman"/>
    <w:pitch w:val="default"/>
    <w:sig w:usb0="00000000" w:usb1="00000000" w:usb2="00000000" w:usb3="00000000" w:csb0="00040001" w:csb1="00000000"/>
  </w:font>
  <w:font w:name="Noto Serif SC">
    <w:altName w:val="宋体"/>
    <w:panose1 w:val="02020200000000000000"/>
    <w:charset w:val="86"/>
    <w:family w:val="auto"/>
    <w:pitch w:val="default"/>
    <w:sig w:usb0="00000000" w:usb1="00000000" w:usb2="00000016" w:usb3="00000000" w:csb0="60060107"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7F" w:usb3="00000000" w:csb0="203F01FF" w:csb1="DFFF0000"/>
  </w:font>
  <w:font w:name="Helvetica">
    <w:panose1 w:val="020B0504020202030204"/>
    <w:charset w:val="00"/>
    <w:family w:val="swiss"/>
    <w:pitch w:val="default"/>
    <w:sig w:usb0="00000007" w:usb1="00000000" w:usb2="00000000" w:usb3="00000000" w:csb0="00000093" w:csb1="00000000"/>
  </w:font>
  <w:font w:name="Cumberland">
    <w:altName w:val="苹方 中等"/>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苹方 中等"/>
    <w:panose1 w:val="00000000000000000000"/>
    <w:charset w:val="00"/>
    <w:family w:val="moder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苹方 中等">
    <w:panose1 w:val="020B0400000000000000"/>
    <w:charset w:val="86"/>
    <w:family w:val="auto"/>
    <w:pitch w:val="default"/>
    <w:sig w:usb0="A00002FF" w:usb1="7ACFFCFB"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3A9B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9E069">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22FE7">
    <w:pPr>
      <w:pStyle w:val="40"/>
      <w:framePr w:wrap="around" w:vAnchor="text" w:hAnchor="margin" w:xAlign="right" w:y="1"/>
      <w:rPr>
        <w:rStyle w:val="72"/>
      </w:rPr>
    </w:pPr>
    <w:r>
      <w:fldChar w:fldCharType="begin"/>
    </w:r>
    <w:r>
      <w:rPr>
        <w:rStyle w:val="72"/>
      </w:rPr>
      <w:instrText xml:space="preserve">PAGE  </w:instrText>
    </w:r>
    <w:r>
      <w:fldChar w:fldCharType="end"/>
    </w:r>
  </w:p>
  <w:p w14:paraId="65FC6C0A">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EB675">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15" w:name="_Toc36110187"/>
    <w:bookmarkStart w:id="516" w:name="_Toc131845147"/>
    <w:bookmarkStart w:id="517" w:name="_Toc91899912"/>
    <w:bookmarkStart w:id="518" w:name="_Toc164085800"/>
    <w:r>
      <w:rPr>
        <w:rFonts w:hint="eastAsia" w:ascii="仿宋_GB2312" w:eastAsia="仿宋_GB2312"/>
        <w:kern w:val="0"/>
        <w:szCs w:val="21"/>
      </w:rPr>
      <w:t xml:space="preserve"> 页</w:t>
    </w:r>
    <w:bookmarkEnd w:id="515"/>
    <w:bookmarkEnd w:id="516"/>
    <w:bookmarkEnd w:id="517"/>
    <w:bookmarkEnd w:id="51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36CE6">
    <w:pPr>
      <w:pStyle w:val="40"/>
      <w:framePr w:wrap="around" w:vAnchor="text" w:hAnchor="margin" w:xAlign="right" w:y="1"/>
      <w:rPr>
        <w:rStyle w:val="72"/>
      </w:rPr>
    </w:pPr>
    <w:r>
      <w:fldChar w:fldCharType="begin"/>
    </w:r>
    <w:r>
      <w:rPr>
        <w:rStyle w:val="72"/>
      </w:rPr>
      <w:instrText xml:space="preserve">PAGE  </w:instrText>
    </w:r>
    <w:r>
      <w:fldChar w:fldCharType="end"/>
    </w:r>
  </w:p>
  <w:p w14:paraId="5E0900AF">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CCF4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6DF4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98249B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467A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A8062F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3AF6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948AC3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C8FC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5831DD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5DEE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3EDA1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6EDA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AB157C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86DA1">
    <w:pPr>
      <w:pStyle w:val="41"/>
      <w:pBdr>
        <w:bottom w:val="single" w:color="auto" w:sz="6" w:space="4"/>
      </w:pBdr>
      <w:jc w:val="right"/>
    </w:pPr>
    <w:r>
      <w:t></w:t>
    </w:r>
    <w:r>
      <w:rPr>
        <w:rFonts w:hint="eastAsia"/>
      </w:rPr>
      <w:t xml:space="preserve">             </w:t>
    </w:r>
    <w:r>
      <w:t>杭州市政府采购公开招标文件</w:t>
    </w:r>
  </w:p>
  <w:p w14:paraId="5E97806E">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DFFC5">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7586B">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3B6CC">
    <w:pPr>
      <w:pStyle w:val="41"/>
      <w:rPr>
        <w:rFonts w:ascii="仿宋_GB2312" w:eastAsia="仿宋_GB2312"/>
        <w:b/>
        <w:i/>
        <w:u w:val="single"/>
      </w:rPr>
    </w:pPr>
    <w:r>
      <w:t></w:t>
    </w:r>
    <w:r>
      <w:rPr>
        <w:rFonts w:hint="eastAsia"/>
      </w:rPr>
      <w:t xml:space="preserve">                                                  </w:t>
    </w:r>
    <w:r>
      <w:t xml:space="preserve">             杭州市政府采购公开招标文件</w:t>
    </w:r>
  </w:p>
  <w:p w14:paraId="7DC11C7F">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A6B78">
    <w:pPr>
      <w:pStyle w:val="41"/>
    </w:pPr>
    <w:r>
      <w:t></w:t>
    </w:r>
    <w:r>
      <w:rPr>
        <w:rFonts w:hint="eastAsia"/>
      </w:rPr>
      <w:t xml:space="preserve">         </w:t>
    </w:r>
  </w:p>
  <w:p w14:paraId="6F97612A">
    <w:pPr>
      <w:pStyle w:val="41"/>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F8352">
    <w:pPr>
      <w:pStyle w:val="41"/>
      <w:rPr>
        <w:rFonts w:ascii="仿宋_GB2312" w:eastAsia="仿宋_GB2312"/>
        <w:b/>
        <w:i/>
        <w:u w:val="single"/>
      </w:rPr>
    </w:pPr>
    <w:r>
      <w:t></w:t>
    </w:r>
    <w:r>
      <w:rPr>
        <w:rFonts w:hint="eastAsia"/>
      </w:rPr>
      <w:t xml:space="preserve">                                                  </w:t>
    </w:r>
    <w:r>
      <w:t>杭州市政府采购公开招标文件</w:t>
    </w:r>
  </w:p>
  <w:p w14:paraId="4E6D3F4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F6727">
    <w:pPr>
      <w:pStyle w:val="41"/>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65F28">
    <w:pPr>
      <w:pStyle w:val="41"/>
      <w:jc w:val="right"/>
      <w:rPr>
        <w:rFonts w:ascii="仿宋_GB2312" w:eastAsia="仿宋_GB2312"/>
        <w:b/>
        <w:i/>
        <w:u w:val="single"/>
      </w:rPr>
    </w:pPr>
    <w:r>
      <w:rPr>
        <w:rFonts w:hint="eastAsia"/>
      </w:rPr>
      <w:t xml:space="preserve">                                  </w:t>
    </w:r>
    <w:r>
      <w:t>杭州市政府采购公开招标文件</w:t>
    </w:r>
  </w:p>
  <w:p w14:paraId="6EB7AF38">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54DC7">
    <w:pPr>
      <w:pStyle w:val="41"/>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982D0">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92D21"/>
    <w:multiLevelType w:val="singleLevel"/>
    <w:tmpl w:val="41892D21"/>
    <w:lvl w:ilvl="0" w:tentative="0">
      <w:start w:val="1"/>
      <w:numFmt w:val="decimal"/>
      <w:suff w:val="nothing"/>
      <w:lvlText w:val="（%1）"/>
      <w:lvlJc w:val="left"/>
    </w:lvl>
  </w:abstractNum>
  <w:abstractNum w:abstractNumId="1">
    <w:nsid w:val="48249D0D"/>
    <w:multiLevelType w:val="singleLevel"/>
    <w:tmpl w:val="48249D0D"/>
    <w:lvl w:ilvl="0" w:tentative="0">
      <w:start w:val="3"/>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4E70E3"/>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E750E"/>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F0A0FF3"/>
    <w:rsid w:val="1F5771FF"/>
    <w:rsid w:val="1FD52DD5"/>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6D06CE"/>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C09049E"/>
    <w:rsid w:val="2C0A653C"/>
    <w:rsid w:val="2C191F85"/>
    <w:rsid w:val="2CE82D6F"/>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0402C4"/>
    <w:rsid w:val="314550B7"/>
    <w:rsid w:val="319C6071"/>
    <w:rsid w:val="31AC537E"/>
    <w:rsid w:val="31E3679B"/>
    <w:rsid w:val="31E732FD"/>
    <w:rsid w:val="32517576"/>
    <w:rsid w:val="32BE5C2C"/>
    <w:rsid w:val="32FB6478"/>
    <w:rsid w:val="33263B3F"/>
    <w:rsid w:val="33323AA7"/>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D027FB"/>
    <w:rsid w:val="3DE041CB"/>
    <w:rsid w:val="3E0D48F6"/>
    <w:rsid w:val="3E1868B4"/>
    <w:rsid w:val="3E377251"/>
    <w:rsid w:val="3E42664B"/>
    <w:rsid w:val="3E5A7334"/>
    <w:rsid w:val="3E7B5D6B"/>
    <w:rsid w:val="3E843E66"/>
    <w:rsid w:val="3E8F51FE"/>
    <w:rsid w:val="3E926F87"/>
    <w:rsid w:val="3E9A59DE"/>
    <w:rsid w:val="3EA5765F"/>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16767"/>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E56AF9"/>
    <w:rsid w:val="49F6167F"/>
    <w:rsid w:val="4A064FA0"/>
    <w:rsid w:val="4A16615C"/>
    <w:rsid w:val="4A4424D7"/>
    <w:rsid w:val="4AB82D0F"/>
    <w:rsid w:val="4AEB7664"/>
    <w:rsid w:val="4AFD7C19"/>
    <w:rsid w:val="4B0567D1"/>
    <w:rsid w:val="4B236AAE"/>
    <w:rsid w:val="4B65492A"/>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6D4A83"/>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CF35D1E"/>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0FC0DF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011F07"/>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CA2805"/>
    <w:rsid w:val="68E937A3"/>
    <w:rsid w:val="691664E5"/>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4B4683"/>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3E7CF11"/>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6FD013A"/>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67AF9"/>
    <w:rsid w:val="7B7468F8"/>
    <w:rsid w:val="7BA9702E"/>
    <w:rsid w:val="7BEE0103"/>
    <w:rsid w:val="7C0A0FE4"/>
    <w:rsid w:val="7C254906"/>
    <w:rsid w:val="7C590818"/>
    <w:rsid w:val="7C7C10F6"/>
    <w:rsid w:val="7C853BEA"/>
    <w:rsid w:val="7C881368"/>
    <w:rsid w:val="7CE27788"/>
    <w:rsid w:val="7D0C32F1"/>
    <w:rsid w:val="7D0F408D"/>
    <w:rsid w:val="7D491C6C"/>
    <w:rsid w:val="7D5429C0"/>
    <w:rsid w:val="7D6E6D43"/>
    <w:rsid w:val="7D733B0F"/>
    <w:rsid w:val="7DB57A34"/>
    <w:rsid w:val="7DE60973"/>
    <w:rsid w:val="7DEF0916"/>
    <w:rsid w:val="7E1E5218"/>
    <w:rsid w:val="7E9A4E1F"/>
    <w:rsid w:val="7EA7723A"/>
    <w:rsid w:val="7EF56FBB"/>
    <w:rsid w:val="7F0768EB"/>
    <w:rsid w:val="7F143BEC"/>
    <w:rsid w:val="7F715AF2"/>
    <w:rsid w:val="7F886E69"/>
    <w:rsid w:val="BB7FA927"/>
    <w:rsid w:val="F5FFD31F"/>
    <w:rsid w:val="F6FF6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21"/>
    <w:qFormat/>
    <w:uiPriority w:val="0"/>
    <w:pPr>
      <w:adjustRightInd/>
      <w:spacing w:after="120" w:line="240" w:lineRule="auto"/>
      <w:ind w:left="420" w:leftChars="200" w:firstLine="210"/>
    </w:pPr>
    <w:rPr>
      <w:sz w:val="21"/>
    </w:rPr>
  </w:style>
  <w:style w:type="paragraph" w:styleId="3">
    <w:name w:val="Body Text Indent"/>
    <w:basedOn w:val="1"/>
    <w:link w:val="265"/>
    <w:qFormat/>
    <w:uiPriority w:val="0"/>
    <w:pPr>
      <w:spacing w:line="480" w:lineRule="exact"/>
      <w:ind w:firstLine="480" w:firstLineChars="200"/>
    </w:pPr>
    <w:rPr>
      <w:rFonts w:ascii="宋体" w:hAnsi="宋体"/>
      <w:sz w:val="24"/>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4"/>
    <w:qFormat/>
    <w:uiPriority w:val="99"/>
    <w:pPr>
      <w:jc w:val="left"/>
    </w:pPr>
  </w:style>
  <w:style w:type="paragraph" w:styleId="22">
    <w:name w:val="Salutation"/>
    <w:basedOn w:val="1"/>
    <w:next w:val="1"/>
    <w:link w:val="298"/>
    <w:qFormat/>
    <w:uiPriority w:val="0"/>
    <w:rPr>
      <w:rFonts w:ascii="仿宋_GB2312" w:eastAsia="仿宋_GB2312"/>
      <w:sz w:val="28"/>
      <w:szCs w:val="20"/>
    </w:rPr>
  </w:style>
  <w:style w:type="paragraph" w:styleId="23">
    <w:name w:val="Body Text 3"/>
    <w:basedOn w:val="1"/>
    <w:link w:val="330"/>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7"/>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6"/>
    <w:qFormat/>
    <w:uiPriority w:val="0"/>
    <w:rPr>
      <w:b/>
      <w:bCs/>
    </w:rPr>
  </w:style>
  <w:style w:type="paragraph" w:styleId="61">
    <w:name w:val="Body Text First Indent"/>
    <w:basedOn w:val="25"/>
    <w:link w:val="321"/>
    <w:qFormat/>
    <w:uiPriority w:val="0"/>
    <w:pPr>
      <w:ind w:firstLine="420"/>
    </w:pPr>
    <w:rPr>
      <w:rFonts w:hAnsi="Calibri" w:cs="Times New Roman"/>
      <w:snapToGrid/>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正文空2字"/>
    <w:basedOn w:val="81"/>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1">
    <w:name w:val="左对齐正文"/>
    <w:qFormat/>
    <w:uiPriority w:val="99"/>
    <w:rPr>
      <w:rFonts w:ascii="Calibri" w:hAnsi="Calibri" w:eastAsia="仿宋_GB2312" w:cs="Calibri"/>
      <w:kern w:val="2"/>
      <w:sz w:val="32"/>
      <w:szCs w:val="3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3"/>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4"/>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2"/>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0"/>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3"/>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1"/>
    <w:qFormat/>
    <w:uiPriority w:val="99"/>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7"/>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6"/>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6"/>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4"/>
    <w:qFormat/>
    <w:uiPriority w:val="0"/>
    <w:pPr>
      <w:tabs>
        <w:tab w:val="left" w:pos="840"/>
      </w:tabs>
      <w:adjustRightInd/>
      <w:ind w:left="840" w:hanging="420"/>
    </w:pPr>
  </w:style>
  <w:style w:type="paragraph" w:customStyle="1" w:styleId="626">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6"/>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0"/>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qFormat/>
    <w:uiPriority w:val="0"/>
    <w:pPr>
      <w:tabs>
        <w:tab w:val="left" w:pos="1080"/>
      </w:tabs>
      <w:ind w:left="1080" w:hanging="1080"/>
    </w:pPr>
  </w:style>
  <w:style w:type="paragraph" w:customStyle="1" w:styleId="897">
    <w:name w:val="数字标题1"/>
    <w:basedOn w:val="4"/>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pn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80</Pages>
  <Words>17965</Words>
  <Characters>19033</Characters>
  <Lines>281</Lines>
  <Paragraphs>79</Paragraphs>
  <TotalTime>18</TotalTime>
  <ScaleCrop>false</ScaleCrop>
  <LinksUpToDate>false</LinksUpToDate>
  <CharactersWithSpaces>19543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2021-07-31T00:22:00Z</dcterms:created>
  <dc:creator>玥</dc:creator>
  <cp:lastModifiedBy>杨杨</cp:lastModifiedBy>
  <cp:lastPrinted>2021-12-28T03:06:00Z</cp:lastPrinted>
  <dcterms:modified xsi:type="dcterms:W3CDTF">2025-06-24T03:18:25Z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78DA1400E65B43D29AC1B26C4A083F30_13</vt:lpwstr>
  </property>
  <property fmtid="{D5CDD505-2E9C-101B-9397-08002B2CF9AE}" pid="5" name="KSOTemplateDocerSaveRecord">
    <vt:lpwstr>eyJoZGlkIjoiNDFkNTc5MTZmN2Y0ZWYyNmYyZjQ1NzFkZGQ2YTBkOTUiLCJ1c2VySWQiOiI1NDk2OTMyNTMifQ==</vt:lpwstr>
  </property>
</Properties>
</file>