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adjustRightInd/>
        <w:spacing w:line="360" w:lineRule="auto"/>
        <w:jc w:val="center"/>
        <w:rPr>
          <w:rFonts w:ascii="宋体" w:hAnsi="宋体" w:cs="宋体"/>
          <w:b/>
          <w:color w:val="auto"/>
          <w:sz w:val="48"/>
          <w:szCs w:val="48"/>
        </w:rPr>
      </w:pPr>
    </w:p>
    <w:p>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南星社区一老一小项目文化展陈采购项目</w:t>
      </w: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val="en-US" w:eastAsia="zh-CN"/>
        </w:rPr>
        <w:t xml:space="preserve">ZFCG-SXLP2024-003-1 </w:t>
      </w:r>
    </w:p>
    <w:p>
      <w:pPr>
        <w:adjustRightInd/>
        <w:spacing w:line="360" w:lineRule="auto"/>
        <w:rPr>
          <w:rFonts w:ascii="宋体" w:hAnsi="宋体" w:cs="宋体"/>
          <w:color w:val="auto"/>
          <w:sz w:val="28"/>
          <w:szCs w:val="20"/>
        </w:rPr>
      </w:pPr>
    </w:p>
    <w:p>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pPr>
        <w:spacing w:line="360" w:lineRule="auto"/>
        <w:jc w:val="center"/>
        <w:rPr>
          <w:rFonts w:ascii="宋体" w:hAnsi="宋体" w:cs="宋体"/>
          <w:b/>
          <w:color w:val="auto"/>
          <w:sz w:val="44"/>
          <w:szCs w:val="44"/>
        </w:rPr>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pacing w:line="360" w:lineRule="auto"/>
        <w:rPr>
          <w:rFonts w:ascii="宋体" w:hAnsi="宋体" w:cs="宋体"/>
          <w:color w:val="auto"/>
          <w:sz w:val="32"/>
          <w:szCs w:val="32"/>
        </w:rPr>
      </w:pPr>
    </w:p>
    <w:p>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rPr>
        <w:t>（采购人）</w:t>
      </w:r>
      <w:r>
        <w:rPr>
          <w:rFonts w:hint="eastAsia" w:ascii="宋体" w:hAnsi="宋体" w:cs="宋体"/>
          <w:color w:val="auto"/>
          <w:sz w:val="32"/>
          <w:szCs w:val="32"/>
          <w:lang w:eastAsia="zh-CN"/>
        </w:rPr>
        <w:t>：杭州市临平区星桥街道南星股份经济合作社</w:t>
      </w:r>
    </w:p>
    <w:p>
      <w:pPr>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rPr>
        <w:t>（采购代理机构）</w:t>
      </w:r>
      <w:r>
        <w:rPr>
          <w:rFonts w:hint="eastAsia" w:ascii="宋体" w:hAnsi="宋体" w:cs="宋体"/>
          <w:bCs/>
          <w:color w:val="auto"/>
          <w:sz w:val="32"/>
          <w:szCs w:val="32"/>
          <w:lang w:eastAsia="zh-CN"/>
        </w:rPr>
        <w:t>：</w:t>
      </w:r>
      <w:r>
        <w:rPr>
          <w:rFonts w:hint="eastAsia" w:ascii="宋体" w:hAnsi="宋体" w:cs="宋体"/>
          <w:bCs/>
          <w:color w:val="auto"/>
          <w:sz w:val="32"/>
          <w:szCs w:val="32"/>
          <w:lang w:val="zh-CN" w:eastAsia="zh-CN"/>
        </w:rPr>
        <w:t>杭州盛新项目管理咨询有限公司</w:t>
      </w:r>
    </w:p>
    <w:p>
      <w:pPr>
        <w:snapToGrid w:val="0"/>
        <w:spacing w:line="360" w:lineRule="auto"/>
        <w:jc w:val="center"/>
        <w:rPr>
          <w:rFonts w:hint="eastAsia" w:ascii="宋体" w:hAnsi="宋体" w:cs="宋体"/>
          <w:bCs/>
          <w:color w:val="auto"/>
          <w:sz w:val="32"/>
          <w:szCs w:val="32"/>
          <w:lang w:val="en-US" w:eastAsia="zh-CN"/>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年</w:t>
      </w:r>
      <w:r>
        <w:rPr>
          <w:rFonts w:hint="eastAsia" w:ascii="宋体" w:hAnsi="宋体" w:cs="宋体"/>
          <w:bCs/>
          <w:color w:val="auto"/>
          <w:sz w:val="32"/>
          <w:szCs w:val="32"/>
          <w:lang w:eastAsia="zh-CN"/>
        </w:rPr>
        <w:t>二</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一日</w:t>
      </w:r>
    </w:p>
    <w:p>
      <w:pPr>
        <w:snapToGrid w:val="0"/>
        <w:spacing w:line="360" w:lineRule="auto"/>
        <w:jc w:val="center"/>
        <w:rPr>
          <w:rFonts w:ascii="宋体" w:hAnsi="宋体" w:cs="宋体"/>
          <w:bCs/>
          <w:color w:val="auto"/>
          <w:sz w:val="32"/>
          <w:szCs w:val="32"/>
        </w:rPr>
      </w:pPr>
    </w:p>
    <w:p>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pPr>
        <w:pStyle w:val="634"/>
        <w:rPr>
          <w:color w:val="auto"/>
        </w:rPr>
      </w:pPr>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549" w:firstLineChars="229"/>
        <w:rPr>
          <w:rFonts w:ascii="宋体" w:hAnsi="宋体" w:cs="宋体"/>
          <w:color w:val="auto"/>
          <w:sz w:val="24"/>
        </w:rPr>
      </w:pPr>
      <w:bookmarkStart w:id="1" w:name="_Hlt91233176"/>
      <w:bookmarkEnd w:id="1"/>
      <w:bookmarkStart w:id="2" w:name="_Toc91899869"/>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p>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南星社区一老一小项目文化展陈采购项目</w:t>
      </w:r>
      <w:r>
        <w:rPr>
          <w:rFonts w:hint="eastAsia" w:ascii="宋体" w:hAnsi="宋体" w:cs="宋体"/>
          <w:color w:val="auto"/>
          <w:sz w:val="24"/>
        </w:rPr>
        <w:t>招标项目的潜在投标人应在</w:t>
      </w:r>
      <w:r>
        <w:rPr>
          <w:rFonts w:hint="eastAsia" w:ascii="宋体" w:hAnsi="宋体" w:cs="宋体"/>
          <w:color w:val="auto"/>
          <w:sz w:val="24"/>
          <w:lang w:eastAsia="zh-CN"/>
        </w:rPr>
        <w:t>临平区村采云平台</w:t>
      </w:r>
      <w:r>
        <w:rPr>
          <w:rFonts w:hint="eastAsia" w:ascii="宋体" w:hAnsi="宋体" w:cs="宋体"/>
          <w:color w:val="auto"/>
          <w:sz w:val="24"/>
        </w:rPr>
        <w:t>（</w:t>
      </w:r>
      <w:r>
        <w:rPr>
          <w:rFonts w:hint="eastAsia" w:ascii="宋体" w:hAnsi="宋体" w:cs="宋体"/>
          <w:color w:val="auto"/>
          <w:sz w:val="24"/>
          <w:lang w:eastAsia="zh-CN"/>
        </w:rPr>
        <w:t>lpnbsc.lecaiyun.com</w:t>
      </w:r>
      <w:r>
        <w:rPr>
          <w:rFonts w:hint="eastAsia" w:ascii="宋体" w:hAnsi="宋体" w:cs="宋体"/>
          <w:color w:val="auto"/>
          <w:sz w:val="24"/>
        </w:rPr>
        <w:t>）</w:t>
      </w:r>
      <w:r>
        <w:rPr>
          <w:rFonts w:hint="eastAsia" w:ascii="宋体" w:hAnsi="宋体" w:cs="宋体"/>
          <w:color w:val="auto"/>
          <w:sz w:val="24"/>
          <w:lang w:val="en-US" w:eastAsia="zh-CN"/>
        </w:rPr>
        <w:t>或</w:t>
      </w:r>
      <w:r>
        <w:rPr>
          <w:rFonts w:hint="eastAsia" w:ascii="宋体" w:hAnsi="宋体" w:cs="宋体"/>
          <w:color w:val="auto"/>
          <w:sz w:val="24"/>
        </w:rPr>
        <w:t>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https://www.zcygov.cn/）获取（下载）招标文件，并于202</w:t>
      </w:r>
      <w:r>
        <w:rPr>
          <w:rStyle w:val="76"/>
          <w:rFonts w:hint="eastAsia" w:ascii="宋体" w:hAnsi="宋体" w:cs="宋体"/>
          <w:snapToGrid/>
          <w:color w:val="auto"/>
          <w:kern w:val="2"/>
          <w:sz w:val="24"/>
          <w:szCs w:val="24"/>
          <w:lang w:val="en-US" w:eastAsia="zh-CN"/>
        </w:rPr>
        <w:t>4</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2</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22</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lang w:val="en-US" w:eastAsia="zh-CN"/>
        </w:rPr>
        <w:t>9</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30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ind w:firstLine="480"/>
        <w:rPr>
          <w:rFonts w:hint="eastAsia" w:ascii="宋体" w:hAnsi="宋体" w:cs="宋体"/>
          <w:b/>
          <w:color w:val="auto"/>
          <w:sz w:val="24"/>
          <w:lang w:val="en-US" w:eastAsia="zh-CN"/>
        </w:rPr>
      </w:pPr>
      <w:r>
        <w:rPr>
          <w:rFonts w:hint="eastAsia" w:ascii="宋体" w:hAnsi="宋体" w:cs="宋体"/>
          <w:b/>
          <w:color w:val="auto"/>
          <w:sz w:val="24"/>
        </w:rPr>
        <w:t>项目编号：</w:t>
      </w:r>
      <w:r>
        <w:rPr>
          <w:rFonts w:hint="eastAsia" w:ascii="宋体" w:hAnsi="宋体" w:cs="宋体"/>
          <w:color w:val="auto"/>
          <w:sz w:val="24"/>
          <w:lang w:val="en-US" w:eastAsia="zh-CN"/>
        </w:rPr>
        <w:t>ZFCG-SXLP20</w:t>
      </w:r>
      <w:bookmarkStart w:id="519" w:name="_GoBack"/>
      <w:bookmarkEnd w:id="519"/>
      <w:r>
        <w:rPr>
          <w:rFonts w:hint="eastAsia" w:ascii="宋体" w:hAnsi="宋体" w:cs="宋体"/>
          <w:color w:val="auto"/>
          <w:sz w:val="24"/>
          <w:lang w:val="en-US" w:eastAsia="zh-CN"/>
        </w:rPr>
        <w:t xml:space="preserve">24-003-1 </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南星社区一老一小项目文化展陈采购项目</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highlight w:val="none"/>
          <w:lang w:val="en-US" w:eastAsia="zh-CN"/>
        </w:rPr>
        <w:t>450000</w:t>
      </w:r>
      <w:r>
        <w:rPr>
          <w:rFonts w:ascii="宋体" w:hAnsi="宋体" w:cs="宋体"/>
          <w:color w:val="auto"/>
          <w:sz w:val="24"/>
        </w:rPr>
        <w:t xml:space="preserve"> </w:t>
      </w:r>
    </w:p>
    <w:p>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highlight w:val="none"/>
          <w:lang w:val="en-US" w:eastAsia="zh-CN"/>
        </w:rPr>
        <w:t>450000</w:t>
      </w:r>
      <w:r>
        <w:rPr>
          <w:rFonts w:ascii="宋体" w:hAnsi="宋体" w:cs="宋体"/>
          <w:color w:val="auto"/>
          <w:sz w:val="24"/>
        </w:rPr>
        <w:t xml:space="preserve"> </w:t>
      </w:r>
    </w:p>
    <w:p>
      <w:pPr>
        <w:pStyle w:val="5"/>
        <w:spacing w:line="360" w:lineRule="auto"/>
        <w:ind w:firstLine="480"/>
        <w:rPr>
          <w:rFonts w:hint="eastAsia" w:asciiTheme="minorEastAsia" w:hAnsiTheme="minorEastAsia" w:eastAsiaTheme="minorEastAsia"/>
          <w:snapToGrid/>
          <w:color w:val="auto"/>
          <w:kern w:val="2"/>
          <w:sz w:val="24"/>
          <w:szCs w:val="24"/>
        </w:rPr>
      </w:pPr>
      <w:r>
        <w:rPr>
          <w:rFonts w:hint="eastAsia" w:hAnsi="宋体" w:cs="宋体"/>
          <w:b/>
          <w:color w:val="auto"/>
          <w:sz w:val="24"/>
        </w:rPr>
        <w:t>采购需求：</w:t>
      </w:r>
      <w:r>
        <w:rPr>
          <w:rFonts w:hint="eastAsia" w:hAnsi="宋体" w:cs="宋体"/>
          <w:bCs/>
          <w:color w:val="000000"/>
          <w:kern w:val="2"/>
          <w:sz w:val="24"/>
          <w:szCs w:val="24"/>
          <w:highlight w:val="none"/>
          <w:lang w:eastAsia="zh-CN"/>
        </w:rPr>
        <w:t>星社区一老一小项目文化展陈采购项目</w:t>
      </w:r>
      <w:r>
        <w:rPr>
          <w:rFonts w:hint="eastAsia" w:hAnsi="宋体" w:cs="宋体"/>
          <w:bCs/>
          <w:color w:val="000000" w:themeColor="text1"/>
          <w:kern w:val="2"/>
          <w:sz w:val="24"/>
          <w:szCs w:val="24"/>
          <w:highlight w:val="none"/>
          <w:lang w:eastAsia="zh-CN"/>
          <w14:textFill>
            <w14:solidFill>
              <w14:schemeClr w14:val="tx1"/>
            </w14:solidFill>
          </w14:textFill>
        </w:rPr>
        <w:t>，采购内容为</w:t>
      </w:r>
      <w:r>
        <w:rPr>
          <w:rFonts w:hint="eastAsia"/>
          <w:sz w:val="24"/>
          <w:szCs w:val="24"/>
          <w:lang w:eastAsia="zh-CN"/>
        </w:rPr>
        <w:t>门头、室内文化展陈采购（含策划、设计费）</w:t>
      </w:r>
      <w:r>
        <w:rPr>
          <w:rFonts w:hint="eastAsia" w:hAnsi="宋体" w:cs="宋体"/>
          <w:bCs/>
          <w:color w:val="000000" w:themeColor="text1"/>
          <w:kern w:val="2"/>
          <w:sz w:val="24"/>
          <w:szCs w:val="24"/>
          <w:highlight w:val="none"/>
          <w:lang w:eastAsia="zh-CN"/>
          <w14:textFill>
            <w14:solidFill>
              <w14:schemeClr w14:val="tx1"/>
            </w14:solidFill>
          </w14:textFill>
        </w:rPr>
        <w:t>等</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5"/>
        <w:spacing w:line="360" w:lineRule="auto"/>
        <w:ind w:firstLine="480"/>
        <w:rPr>
          <w:rFonts w:hint="eastAsia" w:ascii="宋体" w:hAnsi="宋体" w:eastAsia="宋体" w:cs="宋体"/>
          <w:b/>
          <w:snapToGrid/>
          <w:color w:val="auto"/>
          <w:kern w:val="2"/>
          <w:sz w:val="24"/>
          <w:szCs w:val="24"/>
          <w:lang w:val="en-US" w:eastAsia="zh-CN" w:bidi="ar-SA"/>
        </w:rPr>
      </w:pPr>
      <w:r>
        <w:rPr>
          <w:rFonts w:hint="eastAsia" w:ascii="宋体" w:hAnsi="宋体" w:eastAsia="宋体" w:cs="宋体"/>
          <w:b/>
          <w:snapToGrid/>
          <w:color w:val="auto"/>
          <w:kern w:val="2"/>
          <w:sz w:val="24"/>
          <w:szCs w:val="24"/>
          <w:lang w:val="en-US" w:eastAsia="zh-CN" w:bidi="ar-SA"/>
        </w:rPr>
        <w:t xml:space="preserve">合同履约期限：30日历天  </w:t>
      </w:r>
    </w:p>
    <w:p>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sdt>
        <w:sdtPr>
          <w:rPr>
            <w:rFonts w:hAnsi="宋体" w:cs="宋体"/>
            <w:color w:val="auto"/>
            <w:kern w:val="0"/>
            <w:sz w:val="24"/>
          </w:rPr>
          <w:id w:val="-1591624199"/>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Segoe UI Symbol"/>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color w:val="auto"/>
          <w:sz w:val="24"/>
        </w:rPr>
      </w:pPr>
      <w:r>
        <w:rPr>
          <w:rFonts w:hint="eastAsia" w:ascii="宋体" w:hAnsi="宋体" w:cs="宋体"/>
          <w:b/>
          <w:color w:val="auto"/>
          <w:sz w:val="24"/>
        </w:rPr>
        <w:t>二、申请人的资格要求：</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22</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lang w:eastAsia="zh-CN"/>
        </w:rPr>
        <w:t>临平区村采云平台</w:t>
      </w:r>
      <w:r>
        <w:rPr>
          <w:rFonts w:hint="eastAsia" w:ascii="宋体" w:hAnsi="宋体" w:cs="宋体"/>
          <w:color w:val="auto"/>
          <w:sz w:val="24"/>
        </w:rPr>
        <w:t>（</w:t>
      </w:r>
      <w:r>
        <w:rPr>
          <w:rFonts w:hint="eastAsia" w:ascii="宋体" w:hAnsi="宋体" w:cs="宋体"/>
          <w:color w:val="auto"/>
          <w:sz w:val="24"/>
          <w:lang w:eastAsia="zh-CN"/>
        </w:rPr>
        <w:t>lpnbsc.lecaiyun.com</w:t>
      </w:r>
      <w:r>
        <w:rPr>
          <w:rFonts w:hint="eastAsia" w:ascii="宋体" w:hAnsi="宋体" w:cs="宋体"/>
          <w:color w:val="auto"/>
          <w:sz w:val="24"/>
        </w:rPr>
        <w:t>）</w:t>
      </w:r>
      <w:r>
        <w:rPr>
          <w:rFonts w:hint="eastAsia" w:ascii="宋体" w:hAnsi="宋体" w:cs="宋体"/>
          <w:color w:val="auto"/>
          <w:sz w:val="24"/>
          <w:lang w:val="en-US" w:eastAsia="zh-CN"/>
        </w:rPr>
        <w:t>或</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供应商登录</w:t>
      </w:r>
      <w:r>
        <w:rPr>
          <w:rFonts w:hint="eastAsia" w:ascii="宋体" w:hAnsi="宋体" w:cs="宋体"/>
          <w:color w:val="auto"/>
          <w:sz w:val="24"/>
          <w:lang w:eastAsia="zh-CN"/>
        </w:rPr>
        <w:t>临平区村采云平台</w:t>
      </w:r>
      <w:r>
        <w:rPr>
          <w:rFonts w:hint="eastAsia" w:ascii="宋体" w:hAnsi="宋体" w:cs="宋体"/>
          <w:color w:val="auto"/>
          <w:sz w:val="24"/>
        </w:rPr>
        <w:t>（</w:t>
      </w:r>
      <w:r>
        <w:rPr>
          <w:rFonts w:hint="eastAsia" w:ascii="宋体" w:hAnsi="宋体" w:cs="宋体"/>
          <w:color w:val="auto"/>
          <w:sz w:val="24"/>
          <w:lang w:eastAsia="zh-CN"/>
        </w:rPr>
        <w:t>lpnbsc.lecaiyun.com</w:t>
      </w:r>
      <w:r>
        <w:rPr>
          <w:rFonts w:hint="eastAsia" w:ascii="宋体" w:hAnsi="宋体" w:cs="宋体"/>
          <w:color w:val="auto"/>
          <w:sz w:val="24"/>
        </w:rPr>
        <w:t>）</w:t>
      </w:r>
      <w:r>
        <w:rPr>
          <w:rFonts w:hint="eastAsia" w:ascii="宋体" w:hAnsi="宋体" w:cs="宋体"/>
          <w:color w:val="auto"/>
          <w:sz w:val="24"/>
          <w:lang w:val="en-US" w:eastAsia="zh-CN"/>
        </w:rPr>
        <w:t>或</w:t>
      </w:r>
      <w:r>
        <w:rPr>
          <w:rFonts w:hint="eastAsia" w:ascii="宋体" w:hAnsi="宋体" w:cs="宋体"/>
          <w:color w:val="auto"/>
          <w:sz w:val="24"/>
        </w:rPr>
        <w:t xml:space="preserve">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22</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lang w:eastAsia="zh-CN"/>
        </w:rPr>
        <w:t>临平区村采云平台</w:t>
      </w:r>
      <w:r>
        <w:rPr>
          <w:rFonts w:hint="eastAsia" w:ascii="宋体" w:hAnsi="宋体" w:cs="宋体"/>
          <w:color w:val="auto"/>
          <w:sz w:val="24"/>
        </w:rPr>
        <w:t>（</w:t>
      </w:r>
      <w:r>
        <w:rPr>
          <w:rFonts w:hint="eastAsia" w:ascii="宋体" w:hAnsi="宋体" w:cs="宋体"/>
          <w:color w:val="auto"/>
          <w:sz w:val="24"/>
          <w:lang w:eastAsia="zh-CN"/>
        </w:rPr>
        <w:t>lpnbsc.lecaiyun.com</w:t>
      </w:r>
      <w:r>
        <w:rPr>
          <w:rFonts w:hint="eastAsia" w:ascii="宋体" w:hAnsi="宋体" w:cs="宋体"/>
          <w:color w:val="auto"/>
          <w:sz w:val="24"/>
        </w:rPr>
        <w:t>）</w:t>
      </w:r>
      <w:r>
        <w:rPr>
          <w:rFonts w:hint="eastAsia" w:ascii="宋体" w:hAnsi="宋体" w:cs="宋体"/>
          <w:color w:val="auto"/>
          <w:sz w:val="24"/>
          <w:lang w:val="en-US" w:eastAsia="zh-CN"/>
        </w:rPr>
        <w:t>或</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22</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lang w:eastAsia="zh-CN"/>
        </w:rPr>
        <w:t>临平区村采云平台</w:t>
      </w:r>
      <w:r>
        <w:rPr>
          <w:rFonts w:hint="eastAsia" w:ascii="宋体" w:hAnsi="宋体" w:cs="宋体"/>
          <w:color w:val="auto"/>
          <w:sz w:val="24"/>
        </w:rPr>
        <w:t>（</w:t>
      </w:r>
      <w:r>
        <w:rPr>
          <w:rFonts w:hint="eastAsia" w:ascii="宋体" w:hAnsi="宋体" w:cs="宋体"/>
          <w:color w:val="auto"/>
          <w:sz w:val="24"/>
          <w:lang w:eastAsia="zh-CN"/>
        </w:rPr>
        <w:t>lpnbsc.lecaiyun.com</w:t>
      </w:r>
      <w:r>
        <w:rPr>
          <w:rFonts w:hint="eastAsia" w:ascii="宋体" w:hAnsi="宋体" w:cs="宋体"/>
          <w:color w:val="auto"/>
          <w:sz w:val="24"/>
        </w:rPr>
        <w:t>）</w:t>
      </w:r>
      <w:r>
        <w:rPr>
          <w:rFonts w:hint="eastAsia" w:ascii="宋体" w:hAnsi="宋体" w:cs="宋体"/>
          <w:color w:val="auto"/>
          <w:sz w:val="24"/>
          <w:lang w:val="en-US" w:eastAsia="zh-CN"/>
        </w:rPr>
        <w:t>或</w:t>
      </w:r>
      <w:r>
        <w:rPr>
          <w:rFonts w:hint="eastAsia" w:ascii="宋体" w:hAnsi="宋体" w:cs="宋体"/>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rPr>
          <w:rFonts w:ascii="宋体" w:hAnsi="宋体" w:cs="宋体"/>
          <w:b/>
          <w:color w:val="auto"/>
          <w:sz w:val="24"/>
        </w:rPr>
      </w:pPr>
      <w:r>
        <w:rPr>
          <w:rFonts w:hint="eastAsia" w:ascii="宋体" w:hAnsi="宋体" w:cs="宋体"/>
          <w:b/>
          <w:color w:val="auto"/>
          <w:sz w:val="24"/>
        </w:rPr>
        <w:t>六、其他补充事宜</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w:t>
      </w:r>
      <w:r>
        <w:rPr>
          <w:rFonts w:hint="eastAsia" w:ascii="宋体" w:hAnsi="宋体" w:cs="宋体"/>
          <w:color w:val="auto"/>
          <w:sz w:val="24"/>
          <w:lang w:eastAsia="zh-CN"/>
        </w:rPr>
        <w:t>临平区村采云平台</w:t>
      </w:r>
      <w:r>
        <w:rPr>
          <w:rFonts w:hint="eastAsia" w:ascii="宋体" w:hAnsi="宋体" w:cs="宋体"/>
          <w:color w:val="auto"/>
          <w:sz w:val="24"/>
        </w:rPr>
        <w:t>（</w:t>
      </w:r>
      <w:r>
        <w:rPr>
          <w:rFonts w:hint="eastAsia" w:ascii="宋体" w:hAnsi="宋体" w:cs="宋体"/>
          <w:color w:val="auto"/>
          <w:sz w:val="24"/>
          <w:lang w:eastAsia="zh-CN"/>
        </w:rPr>
        <w:t>lpnbsc.lecaiyun.com</w:t>
      </w:r>
      <w:r>
        <w:rPr>
          <w:rFonts w:hint="eastAsia" w:ascii="宋体" w:hAnsi="宋体" w:cs="宋体"/>
          <w:color w:val="auto"/>
          <w:sz w:val="24"/>
        </w:rPr>
        <w:t>）</w:t>
      </w:r>
      <w:r>
        <w:rPr>
          <w:rFonts w:hint="eastAsia" w:ascii="宋体" w:hAnsi="宋体" w:cs="宋体"/>
          <w:color w:val="auto"/>
          <w:sz w:val="24"/>
          <w:lang w:val="en-US" w:eastAsia="zh-CN"/>
        </w:rPr>
        <w:t>或</w:t>
      </w:r>
      <w:r>
        <w:rPr>
          <w:rFonts w:hint="eastAsia" w:ascii="宋体" w:hAnsi="宋体" w:cs="宋体"/>
          <w:color w:val="auto"/>
          <w:sz w:val="24"/>
        </w:rPr>
        <w:t>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w:t>
      </w:r>
      <w:r>
        <w:rPr>
          <w:rFonts w:hint="eastAsia" w:ascii="宋体" w:hAnsi="宋体" w:cs="宋体"/>
          <w:color w:val="auto"/>
          <w:sz w:val="24"/>
          <w:lang w:val="en-US" w:eastAsia="zh-CN"/>
        </w:rPr>
        <w:t>临平区村采云</w:t>
      </w:r>
      <w:r>
        <w:rPr>
          <w:rFonts w:hint="eastAsia" w:ascii="宋体" w:hAnsi="宋体" w:cs="宋体"/>
          <w:color w:val="auto"/>
          <w:sz w:val="24"/>
        </w:rPr>
        <w:t>电子交易客户端”----前往“浙江政府采购网-下载专区-电子交易客户端”进行下载并安装；③招标文件的获取：使用账号登录或者使用CA登录</w:t>
      </w:r>
      <w:r>
        <w:rPr>
          <w:rFonts w:hint="eastAsia" w:ascii="宋体" w:hAnsi="宋体" w:cs="宋体"/>
          <w:color w:val="auto"/>
          <w:sz w:val="24"/>
          <w:lang w:val="en-US" w:eastAsia="zh-CN"/>
        </w:rPr>
        <w:t>临平区村</w:t>
      </w:r>
      <w:r>
        <w:rPr>
          <w:rFonts w:hint="eastAsia" w:ascii="宋体" w:hAnsi="宋体" w:cs="宋体"/>
          <w:color w:val="auto"/>
          <w:sz w:val="24"/>
        </w:rPr>
        <w:t>采云平台；进入“项目采购”应用，在获取采购文件菜单中选择项目，获取招标文件；④投标文件的制作：在“</w:t>
      </w:r>
      <w:r>
        <w:rPr>
          <w:rFonts w:hint="eastAsia" w:ascii="宋体" w:hAnsi="宋体" w:cs="宋体"/>
          <w:color w:val="auto"/>
          <w:sz w:val="24"/>
          <w:lang w:val="en-US" w:eastAsia="zh-CN"/>
        </w:rPr>
        <w:t>临平区村采</w:t>
      </w:r>
      <w:r>
        <w:rPr>
          <w:rFonts w:hint="eastAsia" w:ascii="宋体" w:hAnsi="宋体" w:cs="宋体"/>
          <w:color w:val="auto"/>
          <w:sz w:val="24"/>
        </w:rPr>
        <w:t>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w:t>
      </w:r>
      <w:r>
        <w:rPr>
          <w:rFonts w:hint="eastAsia" w:ascii="宋体" w:hAnsi="宋体" w:cs="宋体"/>
          <w:color w:val="auto"/>
          <w:sz w:val="24"/>
          <w:lang w:val="en-US" w:eastAsia="zh-CN"/>
        </w:rPr>
        <w:t>临平区村采</w:t>
      </w:r>
      <w:r>
        <w:rPr>
          <w:rFonts w:hint="eastAsia" w:ascii="宋体" w:hAnsi="宋体" w:cs="宋体"/>
          <w:color w:val="auto"/>
          <w:sz w:val="24"/>
        </w:rPr>
        <w:t>云平台”上传递交的投标文件无法按时解密，投标供应商递交了备份投标文件的，以备份投标文件为依据，否则视为投标文件撤回。通过“</w:t>
      </w:r>
      <w:r>
        <w:rPr>
          <w:rFonts w:hint="eastAsia" w:ascii="宋体" w:hAnsi="宋体" w:cs="宋体"/>
          <w:color w:val="auto"/>
          <w:sz w:val="24"/>
          <w:lang w:val="en-US" w:eastAsia="zh-CN"/>
        </w:rPr>
        <w:t>临平区村采</w:t>
      </w:r>
      <w:r>
        <w:rPr>
          <w:rFonts w:hint="eastAsia" w:ascii="宋体" w:hAnsi="宋体" w:cs="宋体"/>
          <w:color w:val="auto"/>
          <w:sz w:val="24"/>
        </w:rPr>
        <w:t>云平台”上传递交的投标文件已按时解密的，备份投标文件自动失效。投标人仅提交备份投标文件，未在电子交易平台传输递交投标文件的，投标无效；⑩具体操作指南：详见</w:t>
      </w:r>
      <w:r>
        <w:rPr>
          <w:rFonts w:hint="eastAsia" w:ascii="宋体" w:hAnsi="宋体" w:cs="宋体"/>
          <w:color w:val="auto"/>
          <w:sz w:val="24"/>
          <w:lang w:val="en-US" w:eastAsia="zh-CN"/>
        </w:rPr>
        <w:t>临平区村采</w:t>
      </w:r>
      <w:r>
        <w:rPr>
          <w:rFonts w:hint="eastAsia" w:ascii="宋体" w:hAnsi="宋体" w:cs="宋体"/>
          <w:color w:val="auto"/>
          <w:sz w:val="24"/>
        </w:rPr>
        <w:t>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pPr>
        <w:spacing w:line="360" w:lineRule="auto"/>
        <w:rPr>
          <w:rFonts w:ascii="宋体" w:hAnsi="宋体" w:cs="宋体"/>
          <w:color w:val="auto"/>
          <w:sz w:val="24"/>
        </w:rPr>
      </w:pPr>
      <w:r>
        <w:rPr>
          <w:rFonts w:hint="eastAsia" w:ascii="宋体" w:hAnsi="宋体" w:cs="宋体"/>
          <w:color w:val="auto"/>
          <w:sz w:val="24"/>
        </w:rPr>
        <w:t xml:space="preserve">    1.采购人信息</w:t>
      </w:r>
    </w:p>
    <w:p>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lang w:eastAsia="zh-CN"/>
        </w:rPr>
        <w:t>杭州市临平区星桥街道南星股份经济合作社</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cs="宋体"/>
          <w:sz w:val="24"/>
          <w:lang w:eastAsia="zh-CN"/>
        </w:rPr>
        <w:t>杭州市临平区星桥街道东港路与星桥北路交叉口</w:t>
      </w:r>
      <w:r>
        <w:rPr>
          <w:rFonts w:hint="eastAsia" w:ascii="宋体" w:hAnsi="宋体" w:cs="宋体"/>
          <w:color w:val="auto"/>
          <w:sz w:val="24"/>
        </w:rPr>
        <w:t xml:space="preserve">       </w:t>
      </w:r>
    </w:p>
    <w:p>
      <w:pPr>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rPr>
        <w:t>项目联系人（询问）：</w:t>
      </w:r>
      <w:r>
        <w:rPr>
          <w:rFonts w:hint="eastAsia" w:ascii="宋体" w:hAnsi="宋体" w:cs="宋体"/>
          <w:color w:val="auto"/>
          <w:sz w:val="24"/>
          <w:lang w:eastAsia="zh-CN"/>
        </w:rPr>
        <w:t>陈佳辉</w:t>
      </w:r>
    </w:p>
    <w:p>
      <w:pPr>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 xml:space="preserve">    </w:t>
      </w:r>
      <w:r>
        <w:rPr>
          <w:rFonts w:hint="eastAsia" w:ascii="宋体" w:hAnsi="宋体" w:cs="宋体"/>
          <w:color w:val="auto"/>
          <w:sz w:val="24"/>
        </w:rPr>
        <w:t>项目联系方式（询问）：</w:t>
      </w:r>
      <w:r>
        <w:rPr>
          <w:rFonts w:hint="eastAsia" w:ascii="宋体" w:hAnsi="宋体" w:cs="宋体"/>
          <w:color w:val="auto"/>
          <w:sz w:val="24"/>
          <w:lang w:val="en-US" w:eastAsia="zh-CN"/>
        </w:rPr>
        <w:t>13868119803</w:t>
      </w:r>
    </w:p>
    <w:p>
      <w:pPr>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 xml:space="preserve">    </w:t>
      </w:r>
      <w:r>
        <w:rPr>
          <w:rFonts w:hint="eastAsia" w:ascii="宋体" w:hAnsi="宋体" w:cs="宋体"/>
          <w:color w:val="auto"/>
          <w:sz w:val="24"/>
          <w:lang w:eastAsia="zh-CN"/>
        </w:rPr>
        <w:t>质疑联系人：</w:t>
      </w:r>
      <w:r>
        <w:rPr>
          <w:rFonts w:hint="eastAsia" w:ascii="宋体" w:hAnsi="宋体" w:cs="宋体"/>
          <w:color w:val="auto"/>
          <w:sz w:val="24"/>
          <w:lang w:val="en-US" w:eastAsia="zh-CN"/>
        </w:rPr>
        <w:t>江丽琴</w:t>
      </w:r>
    </w:p>
    <w:p>
      <w:pPr>
        <w:spacing w:line="360" w:lineRule="auto"/>
        <w:ind w:firstLine="480" w:firstLineChars="200"/>
        <w:rPr>
          <w:rFonts w:ascii="宋体" w:hAnsi="宋体" w:cs="宋体"/>
          <w:color w:val="auto"/>
          <w:sz w:val="24"/>
        </w:rPr>
      </w:pPr>
      <w:r>
        <w:rPr>
          <w:rFonts w:hint="eastAsia" w:ascii="宋体" w:hAnsi="宋体" w:cs="宋体"/>
          <w:color w:val="auto"/>
          <w:sz w:val="24"/>
        </w:rPr>
        <w:t>质疑联系方式：</w:t>
      </w:r>
      <w:r>
        <w:rPr>
          <w:rFonts w:hint="eastAsia" w:ascii="宋体" w:hAnsi="宋体" w:cs="宋体"/>
          <w:color w:val="auto"/>
          <w:sz w:val="24"/>
          <w:lang w:val="en-US" w:eastAsia="zh-CN"/>
        </w:rPr>
        <w:t>13567117443</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pPr>
        <w:spacing w:line="360" w:lineRule="auto"/>
        <w:ind w:firstLine="480"/>
        <w:rPr>
          <w:rFonts w:hint="eastAsia" w:ascii="宋体" w:hAnsi="宋体" w:cs="宋体"/>
          <w:color w:val="auto"/>
          <w:sz w:val="24"/>
          <w:lang w:eastAsia="zh-CN"/>
        </w:rPr>
      </w:pPr>
      <w:r>
        <w:rPr>
          <w:rFonts w:hint="eastAsia" w:ascii="宋体" w:hAnsi="宋体" w:cs="宋体"/>
          <w:color w:val="auto"/>
          <w:sz w:val="24"/>
        </w:rPr>
        <w:t>名称：</w:t>
      </w:r>
      <w:r>
        <w:rPr>
          <w:rFonts w:hint="eastAsia" w:ascii="宋体" w:hAnsi="宋体" w:cs="宋体"/>
          <w:color w:val="auto"/>
          <w:sz w:val="24"/>
          <w:lang w:eastAsia="zh-CN"/>
        </w:rPr>
        <w:t xml:space="preserve">杭州盛新项目管理咨询有限公司 </w:t>
      </w:r>
    </w:p>
    <w:p>
      <w:pPr>
        <w:spacing w:line="360" w:lineRule="auto"/>
        <w:ind w:firstLine="480"/>
        <w:rPr>
          <w:rFonts w:hint="eastAsia"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lang w:val="zh-CN"/>
        </w:rPr>
        <w:t>杭州市临平区星桥街道望梅路386号枉山商务楼409室</w:t>
      </w:r>
    </w:p>
    <w:p>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rPr>
        <w:t>项目联系人（询问）：</w:t>
      </w:r>
      <w:r>
        <w:rPr>
          <w:rFonts w:hint="eastAsia" w:ascii="宋体" w:hAnsi="宋体" w:cs="宋体"/>
          <w:color w:val="auto"/>
          <w:sz w:val="24"/>
          <w:lang w:val="en-US" w:eastAsia="zh-CN"/>
        </w:rPr>
        <w:t>马菲</w:t>
      </w:r>
    </w:p>
    <w:p>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rPr>
        <w:t>项目联系方式（询问）：</w:t>
      </w:r>
      <w:r>
        <w:rPr>
          <w:rFonts w:hint="eastAsia" w:ascii="宋体" w:hAnsi="宋体" w:cs="宋体"/>
          <w:color w:val="auto"/>
          <w:sz w:val="24"/>
          <w:lang w:val="en-US" w:eastAsia="zh-CN"/>
        </w:rPr>
        <w:t>13868060262</w:t>
      </w:r>
    </w:p>
    <w:p>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rPr>
        <w:t>质疑联系人：</w:t>
      </w:r>
      <w:r>
        <w:rPr>
          <w:rFonts w:hint="eastAsia" w:ascii="宋体" w:hAnsi="宋体" w:cs="宋体"/>
          <w:color w:val="auto"/>
          <w:sz w:val="24"/>
          <w:lang w:val="en-US" w:eastAsia="zh-CN"/>
        </w:rPr>
        <w:t>徐杰</w:t>
      </w:r>
      <w:r>
        <w:rPr>
          <w:rFonts w:hint="eastAsia" w:ascii="宋体" w:hAnsi="宋体" w:cs="宋体"/>
          <w:color w:val="auto"/>
          <w:sz w:val="24"/>
        </w:rPr>
        <w:t xml:space="preserve">   </w:t>
      </w:r>
    </w:p>
    <w:p>
      <w:pPr>
        <w:spacing w:line="360" w:lineRule="auto"/>
        <w:ind w:firstLine="480"/>
        <w:rPr>
          <w:rFonts w:hint="eastAsia" w:ascii="宋体" w:hAnsi="宋体" w:cs="宋体"/>
          <w:color w:val="auto"/>
          <w:sz w:val="24"/>
        </w:rPr>
      </w:pPr>
      <w:r>
        <w:rPr>
          <w:rFonts w:hint="eastAsia" w:ascii="宋体" w:hAnsi="宋体" w:cs="宋体"/>
          <w:color w:val="auto"/>
          <w:sz w:val="24"/>
        </w:rPr>
        <w:t>质疑联系方式：</w:t>
      </w:r>
      <w:r>
        <w:rPr>
          <w:rFonts w:hint="eastAsia" w:ascii="宋体" w:hAnsi="宋体" w:cs="宋体"/>
          <w:color w:val="auto"/>
          <w:sz w:val="24"/>
          <w:lang w:val="en-US" w:eastAsia="zh-CN"/>
        </w:rPr>
        <w:t>15824151986</w:t>
      </w:r>
      <w:r>
        <w:rPr>
          <w:rFonts w:hint="eastAsia" w:ascii="宋体" w:hAnsi="宋体" w:cs="宋体"/>
          <w:color w:val="auto"/>
          <w:sz w:val="24"/>
        </w:rPr>
        <w:t xml:space="preserve"> </w:t>
      </w:r>
    </w:p>
    <w:p>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rPr>
        <w:t xml:space="preserve"> </w:t>
      </w:r>
    </w:p>
    <w:p>
      <w:pPr>
        <w:spacing w:line="360" w:lineRule="auto"/>
        <w:ind w:firstLine="480"/>
        <w:rPr>
          <w:rFonts w:ascii="宋体" w:hAnsi="宋体" w:cs="宋体"/>
          <w:color w:val="auto"/>
          <w:sz w:val="24"/>
        </w:rPr>
      </w:pPr>
      <w:r>
        <w:rPr>
          <w:rFonts w:hint="eastAsia" w:ascii="宋体" w:hAnsi="宋体" w:cs="宋体"/>
          <w:color w:val="auto"/>
          <w:sz w:val="24"/>
        </w:rPr>
        <w:t>若对项目采购电子交易系统操作有疑问，可登录</w:t>
      </w:r>
      <w:r>
        <w:rPr>
          <w:rFonts w:hint="eastAsia" w:ascii="宋体" w:hAnsi="宋体" w:cs="宋体"/>
          <w:color w:val="auto"/>
          <w:sz w:val="24"/>
          <w:lang w:eastAsia="zh-CN"/>
        </w:rPr>
        <w:t>临平区村采云平台</w:t>
      </w:r>
      <w:r>
        <w:rPr>
          <w:rFonts w:hint="eastAsia" w:ascii="宋体" w:hAnsi="宋体" w:cs="宋体"/>
          <w:color w:val="auto"/>
          <w:sz w:val="24"/>
        </w:rPr>
        <w:t>（</w:t>
      </w:r>
      <w:r>
        <w:rPr>
          <w:rFonts w:hint="eastAsia" w:ascii="宋体" w:hAnsi="宋体" w:cs="宋体"/>
          <w:color w:val="auto"/>
          <w:sz w:val="24"/>
          <w:lang w:eastAsia="zh-CN"/>
        </w:rPr>
        <w:t>lpnbsc.lecaiyun.com</w:t>
      </w:r>
      <w:r>
        <w:rPr>
          <w:rFonts w:hint="eastAsia" w:ascii="宋体" w:hAnsi="宋体" w:cs="宋体"/>
          <w:color w:val="auto"/>
          <w:sz w:val="24"/>
        </w:rPr>
        <w:t>），点击右侧咨询小采，获取采小蜜智能服务管家帮助，或拨打政采云服务热线400-881-7190获取热线服务帮助。</w:t>
      </w:r>
    </w:p>
    <w:p>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pPr>
        <w:widowControl/>
        <w:adjustRightInd/>
        <w:jc w:val="left"/>
        <w:rPr>
          <w:rFonts w:ascii="宋体" w:hAnsi="宋体" w:cs="宋体"/>
          <w:b/>
          <w:color w:val="auto"/>
          <w:sz w:val="36"/>
          <w:szCs w:val="20"/>
        </w:rPr>
      </w:pPr>
      <w:r>
        <w:rPr>
          <w:rFonts w:ascii="宋体" w:hAnsi="宋体" w:cs="宋体"/>
          <w:b/>
          <w:color w:val="auto"/>
          <w:sz w:val="36"/>
          <w:szCs w:val="20"/>
        </w:rPr>
        <w:br w:type="page"/>
      </w:r>
    </w:p>
    <w:p>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962"/>
              <w:adjustRightInd w:val="0"/>
              <w:spacing w:line="360" w:lineRule="auto"/>
              <w:jc w:val="both"/>
              <w:rPr>
                <w:rFonts w:hint="eastAsia" w:ascii="宋体" w:hAnsi="宋体" w:eastAsia="宋体" w:cs="宋体"/>
                <w:color w:val="000000"/>
                <w:spacing w:val="6"/>
                <w:szCs w:val="21"/>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r>
              <w:rPr>
                <w:rFonts w:hint="eastAsia" w:ascii="宋体" w:hAnsi="宋体" w:cs="宋体"/>
                <w:color w:val="000000"/>
                <w:kern w:val="0"/>
                <w:sz w:val="24"/>
                <w:u w:val="single"/>
                <w:lang w:val="en-US" w:eastAsia="zh-CN"/>
              </w:rPr>
              <w:t>文化展陈采购</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其他未列明</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r>
              <w:rPr>
                <w:rFonts w:hint="eastAsia" w:ascii="宋体" w:hAnsi="宋体" w:eastAsia="宋体" w:cs="宋体"/>
                <w:b w:val="0"/>
                <w:bCs w:val="0"/>
                <w:color w:val="000000"/>
                <w:kern w:val="0"/>
                <w:sz w:val="24"/>
                <w:szCs w:val="24"/>
                <w:lang w:val="en-US"/>
              </w:rPr>
              <w:t>标准详见附件《中小企业划型标准规定》</w:t>
            </w:r>
          </w:p>
          <w:p>
            <w:pPr>
              <w:snapToGrid w:val="0"/>
              <w:spacing w:line="360" w:lineRule="auto"/>
              <w:rPr>
                <w:rFonts w:ascii="宋体" w:hAnsi="宋体" w:eastAsia="宋体" w:cs="宋体"/>
                <w:color w:val="auto"/>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人。讲解演示结束后按要求解答评标委员会提问。</w:t>
            </w:r>
          </w:p>
          <w:p>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cs="宋体"/>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p>
          <w:p>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lang w:val="en-US" w:eastAsia="zh-CN"/>
              </w:rPr>
              <w:t>杭州市临平区星桥街道望梅路386号枉山商务楼409室</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val="en-US" w:eastAsia="zh-CN"/>
              </w:rPr>
              <w:t>13868060262</w:t>
            </w:r>
            <w:r>
              <w:rPr>
                <w:rFonts w:hint="eastAsia" w:hAnsi="宋体" w:cs="宋体"/>
                <w:color w:val="auto"/>
                <w:sz w:val="24"/>
                <w:u w:val="single"/>
              </w:rPr>
              <w:t xml:space="preserve"> </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中标人在领取中标通知书时需向招标代理机构支付招标代理服务费，</w:t>
            </w:r>
            <w:r>
              <w:rPr>
                <w:rFonts w:hint="eastAsia" w:ascii="宋体" w:hAnsi="宋体" w:cs="宋体"/>
                <w:snapToGrid w:val="0"/>
                <w:kern w:val="28"/>
                <w:sz w:val="24"/>
                <w:lang w:eastAsia="zh-CN"/>
              </w:rPr>
              <w:t>收费标准按临平农发〔2022〕163号文件收费，</w:t>
            </w:r>
            <w:r>
              <w:rPr>
                <w:rFonts w:hint="eastAsia" w:ascii="宋体" w:hAnsi="宋体" w:eastAsia="宋体" w:cs="宋体"/>
                <w:snapToGrid w:val="0"/>
                <w:kern w:val="28"/>
                <w:sz w:val="24"/>
              </w:rPr>
              <w:t>费用包含在总报价中，不单独列项报价。</w:t>
            </w:r>
          </w:p>
          <w:p>
            <w:pPr>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snapToGrid w:val="0"/>
                <w:kern w:val="28"/>
                <w:sz w:val="24"/>
              </w:rPr>
              <w:t>中标服务费的交纳方式：以转帐或支票的形式支付，开户名：</w:t>
            </w:r>
            <w:r>
              <w:rPr>
                <w:rFonts w:hint="eastAsia" w:ascii="宋体" w:hAnsi="宋体" w:eastAsia="宋体" w:cs="宋体"/>
                <w:snapToGrid w:val="0"/>
                <w:kern w:val="28"/>
                <w:sz w:val="24"/>
                <w:lang w:eastAsia="zh-CN"/>
              </w:rPr>
              <w:t>杭州盛新项目管理咨询</w:t>
            </w:r>
            <w:r>
              <w:rPr>
                <w:rFonts w:hint="eastAsia" w:ascii="宋体" w:hAnsi="宋体" w:eastAsia="宋体" w:cs="宋体"/>
                <w:snapToGrid w:val="0"/>
                <w:kern w:val="28"/>
                <w:sz w:val="24"/>
              </w:rPr>
              <w:t>有限公司</w:t>
            </w:r>
            <w:r>
              <w:rPr>
                <w:rFonts w:hint="eastAsia" w:ascii="宋体" w:hAnsi="宋体" w:eastAsia="宋体" w:cs="宋体"/>
                <w:snapToGrid w:val="0"/>
                <w:kern w:val="28"/>
                <w:sz w:val="24"/>
                <w:lang w:eastAsia="zh-CN"/>
              </w:rPr>
              <w:t>临平分公司</w:t>
            </w:r>
            <w:r>
              <w:rPr>
                <w:rFonts w:hint="eastAsia" w:ascii="宋体" w:hAnsi="宋体" w:eastAsia="宋体" w:cs="宋体"/>
                <w:snapToGrid w:val="0"/>
                <w:kern w:val="28"/>
                <w:sz w:val="24"/>
              </w:rPr>
              <w:t>；</w:t>
            </w:r>
            <w:r>
              <w:rPr>
                <w:rFonts w:hint="eastAsia" w:ascii="宋体" w:hAnsi="宋体" w:eastAsia="宋体" w:cs="宋体"/>
                <w:snapToGrid w:val="0"/>
                <w:kern w:val="28"/>
                <w:sz w:val="24"/>
                <w:highlight w:val="none"/>
              </w:rPr>
              <w:t>开户行名称：</w:t>
            </w:r>
            <w:r>
              <w:rPr>
                <w:rFonts w:hint="eastAsia" w:ascii="宋体" w:hAnsi="宋体" w:eastAsia="宋体" w:cs="宋体"/>
                <w:snapToGrid w:val="0"/>
                <w:kern w:val="28"/>
                <w:sz w:val="24"/>
                <w:highlight w:val="none"/>
                <w:lang w:eastAsia="zh-CN"/>
              </w:rPr>
              <w:t>浙江</w:t>
            </w:r>
            <w:r>
              <w:rPr>
                <w:rFonts w:hint="eastAsia" w:ascii="宋体" w:hAnsi="宋体" w:eastAsia="宋体" w:cs="宋体"/>
                <w:snapToGrid w:val="0"/>
                <w:kern w:val="28"/>
                <w:sz w:val="24"/>
                <w:highlight w:val="none"/>
              </w:rPr>
              <w:t>泰隆</w:t>
            </w:r>
            <w:r>
              <w:rPr>
                <w:rFonts w:hint="eastAsia" w:ascii="宋体" w:hAnsi="宋体" w:eastAsia="宋体" w:cs="宋体"/>
                <w:snapToGrid w:val="0"/>
                <w:kern w:val="28"/>
                <w:sz w:val="24"/>
                <w:highlight w:val="none"/>
                <w:lang w:eastAsia="zh-CN"/>
              </w:rPr>
              <w:t>商业</w:t>
            </w:r>
            <w:r>
              <w:rPr>
                <w:rFonts w:hint="eastAsia" w:ascii="宋体" w:hAnsi="宋体" w:eastAsia="宋体" w:cs="宋体"/>
                <w:snapToGrid w:val="0"/>
                <w:kern w:val="28"/>
                <w:sz w:val="24"/>
                <w:highlight w:val="none"/>
              </w:rPr>
              <w:t>银行杭州临平支行 帐号：330</w:t>
            </w:r>
            <w:r>
              <w:rPr>
                <w:rFonts w:hint="eastAsia" w:ascii="宋体" w:hAnsi="宋体" w:eastAsia="宋体" w:cs="宋体"/>
                <w:snapToGrid w:val="0"/>
                <w:kern w:val="28"/>
                <w:sz w:val="24"/>
                <w:highlight w:val="none"/>
                <w:lang w:val="en-US" w:eastAsia="zh-CN"/>
              </w:rPr>
              <w:t>20020201000020411</w:t>
            </w:r>
            <w:r>
              <w:rPr>
                <w:rFonts w:hint="eastAsia" w:ascii="宋体" w:hAnsi="宋体" w:eastAsia="宋体" w:cs="宋体"/>
                <w:snapToGrid w:val="0"/>
                <w:kern w:val="28"/>
                <w:sz w:val="24"/>
                <w:highlight w:val="none"/>
              </w:rPr>
              <w:t>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kern w:val="2"/>
                <w:sz w:val="24"/>
                <w:szCs w:val="24"/>
                <w:lang w:val="en-US" w:eastAsia="zh-CN" w:bidi="ar-SA"/>
              </w:rPr>
            </w:pPr>
            <w:r>
              <w:rPr>
                <w:rFonts w:hint="eastAsia" w:ascii="宋体" w:hAnsi="宋体" w:eastAsia="宋体" w:cs="宋体"/>
                <w:snapToGrid w:val="0"/>
                <w:kern w:val="28"/>
                <w:sz w:val="24"/>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rPr>
              <w:t>中标单位需在领取中标通知书时，提供本项目纸质投标文件（资格文件”、“报价文件”和“商务技术文件”）</w:t>
            </w:r>
            <w:r>
              <w:rPr>
                <w:rFonts w:hint="eastAsia" w:ascii="宋体" w:hAnsi="宋体" w:cs="宋体"/>
                <w:snapToGrid w:val="0"/>
                <w:kern w:val="28"/>
                <w:sz w:val="24"/>
                <w:lang w:eastAsia="zh-CN"/>
              </w:rPr>
              <w:t>四</w:t>
            </w:r>
            <w:r>
              <w:rPr>
                <w:rFonts w:hint="eastAsia" w:ascii="宋体" w:hAnsi="宋体" w:eastAsia="宋体" w:cs="宋体"/>
                <w:snapToGrid w:val="0"/>
                <w:kern w:val="28"/>
                <w:sz w:val="24"/>
              </w:rPr>
              <w:t>份（正本一份，副本</w:t>
            </w:r>
            <w:r>
              <w:rPr>
                <w:rFonts w:hint="eastAsia" w:ascii="宋体" w:hAnsi="宋体" w:cs="宋体"/>
                <w:snapToGrid w:val="0"/>
                <w:kern w:val="28"/>
                <w:sz w:val="24"/>
                <w:lang w:eastAsia="zh-CN"/>
              </w:rPr>
              <w:t>三</w:t>
            </w:r>
            <w:r>
              <w:rPr>
                <w:rFonts w:hint="eastAsia" w:ascii="宋体" w:hAnsi="宋体" w:eastAsia="宋体" w:cs="宋体"/>
                <w:snapToGrid w:val="0"/>
                <w:kern w:val="28"/>
                <w:sz w:val="24"/>
              </w:rPr>
              <w:t>份）并提供电子投标文件与纸质投标文件内容一致承诺书三份。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kern w:val="2"/>
                <w:sz w:val="24"/>
                <w:szCs w:val="24"/>
                <w:lang w:val="en-US" w:eastAsia="zh-CN" w:bidi="ar-SA"/>
              </w:rPr>
            </w:pPr>
            <w:r>
              <w:rPr>
                <w:rFonts w:hint="eastAsia" w:ascii="宋体" w:hAnsi="宋体" w:cs="宋体"/>
                <w:snapToGrid w:val="0"/>
                <w:kern w:val="28"/>
                <w:sz w:val="24"/>
                <w:lang w:eastAsia="zh-CN"/>
              </w:rPr>
              <w:t>评标委员会推荐中标候选人的个数</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kern w:val="28"/>
                <w:sz w:val="24"/>
                <w:szCs w:val="24"/>
                <w:lang w:val="en-US" w:eastAsia="zh-CN" w:bidi="ar-SA"/>
              </w:rPr>
            </w:pPr>
            <w:r>
              <w:rPr>
                <w:rFonts w:hint="eastAsia" w:ascii="宋体" w:hAnsi="宋体" w:cs="宋体"/>
                <w:snapToGrid w:val="0"/>
                <w:kern w:val="28"/>
                <w:sz w:val="24"/>
                <w:lang w:val="en-US" w:eastAsia="zh-CN"/>
              </w:rPr>
              <w:t>1个。</w:t>
            </w:r>
          </w:p>
        </w:tc>
      </w:tr>
    </w:tbl>
    <w:p>
      <w:pPr>
        <w:snapToGrid w:val="0"/>
        <w:spacing w:line="360" w:lineRule="auto"/>
        <w:jc w:val="center"/>
        <w:rPr>
          <w:rFonts w:ascii="宋体" w:hAnsi="宋体" w:cs="宋体"/>
          <w:b/>
          <w:color w:val="auto"/>
          <w:sz w:val="32"/>
          <w:szCs w:val="20"/>
        </w:rPr>
      </w:pPr>
    </w:p>
    <w:p>
      <w:pPr>
        <w:pStyle w:val="2"/>
        <w:rPr>
          <w:rFonts w:ascii="宋体" w:hAnsi="宋体" w:cs="宋体"/>
          <w:b/>
          <w:color w:val="auto"/>
          <w:sz w:val="32"/>
          <w:szCs w:val="20"/>
        </w:rPr>
      </w:pPr>
    </w:p>
    <w:p>
      <w:pPr>
        <w:rPr>
          <w:rFonts w:ascii="宋体" w:hAnsi="宋体" w:cs="宋体"/>
          <w:b/>
          <w:color w:val="auto"/>
          <w:sz w:val="32"/>
          <w:szCs w:val="20"/>
        </w:rPr>
      </w:pPr>
    </w:p>
    <w:p>
      <w:pPr>
        <w:pStyle w:val="2"/>
        <w:rPr>
          <w:rFonts w:ascii="宋体" w:hAnsi="宋体" w:cs="宋体"/>
          <w:b/>
          <w:color w:val="auto"/>
          <w:sz w:val="32"/>
          <w:szCs w:val="20"/>
        </w:rPr>
      </w:pPr>
    </w:p>
    <w:p>
      <w:pPr>
        <w:rPr>
          <w:rFonts w:ascii="宋体" w:hAnsi="宋体" w:cs="宋体"/>
          <w:b/>
          <w:color w:val="auto"/>
          <w:sz w:val="32"/>
          <w:szCs w:val="20"/>
        </w:rPr>
      </w:pPr>
    </w:p>
    <w:bookmarkEnd w:id="10"/>
    <w:p>
      <w:pPr>
        <w:adjustRightInd/>
        <w:spacing w:line="360" w:lineRule="auto"/>
        <w:ind w:firstLine="3845" w:firstLineChars="1197"/>
        <w:outlineLvl w:val="0"/>
        <w:rPr>
          <w:rFonts w:hint="eastAsia" w:ascii="宋体" w:hAnsi="宋体" w:cs="宋体"/>
          <w:b/>
          <w:color w:val="auto"/>
          <w:sz w:val="32"/>
          <w:szCs w:val="20"/>
        </w:rPr>
      </w:pPr>
      <w:bookmarkStart w:id="11" w:name="_Toc164416483"/>
      <w:bookmarkStart w:id="12" w:name="第三部分"/>
    </w:p>
    <w:p>
      <w:pPr>
        <w:adjustRightInd/>
        <w:spacing w:line="360" w:lineRule="auto"/>
        <w:ind w:firstLine="3845" w:firstLineChars="1197"/>
        <w:outlineLvl w:val="0"/>
        <w:rPr>
          <w:rFonts w:hint="eastAsia" w:ascii="宋体" w:hAnsi="宋体" w:cs="宋体"/>
          <w:b/>
          <w:color w:val="auto"/>
          <w:sz w:val="32"/>
          <w:szCs w:val="20"/>
        </w:rPr>
      </w:pPr>
    </w:p>
    <w:p>
      <w:pPr>
        <w:adjustRightInd/>
        <w:spacing w:line="360" w:lineRule="auto"/>
        <w:ind w:firstLine="3845" w:firstLineChars="1197"/>
        <w:outlineLvl w:val="0"/>
        <w:rPr>
          <w:rFonts w:hint="eastAsia" w:ascii="宋体" w:hAnsi="宋体" w:cs="宋体"/>
          <w:b/>
          <w:color w:val="auto"/>
          <w:sz w:val="32"/>
          <w:szCs w:val="20"/>
        </w:rPr>
      </w:pPr>
    </w:p>
    <w:p>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w:t>
      </w:r>
      <w:r>
        <w:rPr>
          <w:rFonts w:hint="eastAsia" w:ascii="宋体" w:hAnsi="宋体" w:cs="宋体"/>
          <w:color w:val="auto"/>
          <w:sz w:val="24"/>
          <w:lang w:val="en-US" w:eastAsia="zh-CN"/>
        </w:rPr>
        <w:t>3</w:t>
      </w:r>
      <w:r>
        <w:rPr>
          <w:rFonts w:hint="eastAsia" w:ascii="宋体" w:hAnsi="宋体" w:cs="宋体"/>
          <w:color w:val="auto"/>
          <w:sz w:val="24"/>
        </w:rPr>
        <w:t>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w:t>
      </w:r>
      <w:r>
        <w:rPr>
          <w:rFonts w:hint="eastAsia" w:ascii="宋体" w:hAnsi="宋体" w:cs="宋体"/>
          <w:color w:val="auto"/>
          <w:sz w:val="24"/>
          <w:lang w:val="en-US" w:eastAsia="zh-CN"/>
        </w:rPr>
        <w:t>4</w:t>
      </w:r>
      <w:r>
        <w:rPr>
          <w:rFonts w:hint="eastAsia" w:ascii="宋体" w:hAnsi="宋体" w:cs="宋体"/>
          <w:color w:val="auto"/>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w:t>
      </w:r>
      <w:r>
        <w:rPr>
          <w:rFonts w:hint="eastAsia" w:ascii="宋体" w:hAnsi="宋体" w:cs="宋体"/>
          <w:color w:val="auto"/>
          <w:sz w:val="24"/>
          <w:lang w:val="en-US" w:eastAsia="zh-CN"/>
        </w:rPr>
        <w:t>5</w:t>
      </w:r>
      <w:r>
        <w:rPr>
          <w:rFonts w:hint="eastAsia" w:ascii="宋体" w:hAnsi="宋体" w:cs="宋体"/>
          <w:color w:val="auto"/>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rPr>
      </w:pPr>
      <w:r>
        <w:rPr>
          <w:rFonts w:hint="eastAsia" w:ascii="宋体" w:hAnsi="宋体" w:cs="宋体"/>
          <w:color w:val="auto"/>
          <w:sz w:val="24"/>
        </w:rPr>
        <w:t>3.3.</w:t>
      </w:r>
      <w:r>
        <w:rPr>
          <w:rFonts w:hint="eastAsia" w:ascii="宋体" w:hAnsi="宋体" w:cs="宋体"/>
          <w:color w:val="auto"/>
          <w:sz w:val="24"/>
          <w:lang w:val="en-US" w:eastAsia="zh-CN"/>
        </w:rPr>
        <w:t>6</w:t>
      </w:r>
      <w:r>
        <w:rPr>
          <w:rFonts w:hint="eastAsia" w:ascii="宋体" w:hAnsi="宋体" w:cs="宋体"/>
          <w:color w:val="auto"/>
          <w:sz w:val="24"/>
        </w:rPr>
        <w:t>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rPr>
      </w:pPr>
      <w:r>
        <w:rPr>
          <w:rFonts w:hint="eastAsia" w:ascii="宋体" w:hAnsi="宋体" w:cs="宋体"/>
          <w:color w:val="auto"/>
          <w:sz w:val="24"/>
        </w:rPr>
        <w:t>3.5平等对待内外资企业和符合条件的破产重整企业</w:t>
      </w:r>
    </w:p>
    <w:p>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3"/>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pPr>
        <w:pStyle w:val="33"/>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pPr>
        <w:pStyle w:val="886"/>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pPr>
        <w:pStyle w:val="886"/>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pPr>
        <w:pStyle w:val="886"/>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pPr>
        <w:pStyle w:val="886"/>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hint="eastAsia"/>
          <w:color w:val="auto"/>
        </w:rPr>
      </w:pPr>
    </w:p>
    <w:p>
      <w:pPr>
        <w:pStyle w:val="886"/>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pPr>
        <w:pStyle w:val="128"/>
        <w:snapToGrid w:val="0"/>
        <w:spacing w:before="0"/>
        <w:ind w:firstLine="360"/>
        <w:rPr>
          <w:rFonts w:ascii="宋体" w:hAnsi="宋体" w:cs="宋体"/>
          <w:color w:val="auto"/>
          <w:sz w:val="18"/>
          <w:szCs w:val="18"/>
        </w:rPr>
      </w:pPr>
    </w:p>
    <w:p>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pPr>
        <w:pStyle w:val="33"/>
        <w:spacing w:line="360" w:lineRule="auto"/>
        <w:rPr>
          <w:rFonts w:hAnsi="宋体" w:cs="宋体"/>
          <w:b/>
          <w:color w:val="auto"/>
          <w:sz w:val="24"/>
          <w:szCs w:val="24"/>
        </w:rPr>
      </w:pPr>
      <w:r>
        <w:rPr>
          <w:rFonts w:hint="eastAsia" w:hAnsi="宋体" w:cs="宋体"/>
          <w:b/>
          <w:color w:val="auto"/>
          <w:sz w:val="24"/>
          <w:szCs w:val="24"/>
        </w:rPr>
        <w:t>5．招标文件的构成</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pPr>
        <w:pStyle w:val="33"/>
        <w:spacing w:line="360" w:lineRule="auto"/>
        <w:rPr>
          <w:rFonts w:hAnsi="宋体" w:cs="宋体"/>
          <w:b/>
          <w:color w:val="auto"/>
          <w:sz w:val="24"/>
          <w:szCs w:val="24"/>
        </w:rPr>
      </w:pPr>
      <w:r>
        <w:rPr>
          <w:rFonts w:hint="eastAsia" w:hAnsi="宋体" w:cs="宋体"/>
          <w:b/>
          <w:color w:val="auto"/>
          <w:sz w:val="24"/>
          <w:szCs w:val="24"/>
        </w:rPr>
        <w:t>6. 招标文件的澄清、修改</w:t>
      </w:r>
    </w:p>
    <w:p>
      <w:pPr>
        <w:pStyle w:val="128"/>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pPr>
        <w:pStyle w:val="128"/>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color w:val="auto"/>
          <w:sz w:val="18"/>
          <w:szCs w:val="18"/>
          <w:lang w:val="en-US"/>
        </w:rPr>
      </w:pPr>
      <w:r>
        <w:rPr>
          <w:rFonts w:hint="eastAsia" w:hAnsi="宋体" w:cs="宋体"/>
          <w:color w:val="auto"/>
          <w:szCs w:val="24"/>
          <w:lang w:val="en-US"/>
        </w:rPr>
        <w:t xml:space="preserve">    </w:t>
      </w:r>
    </w:p>
    <w:p>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pPr>
        <w:pStyle w:val="33"/>
        <w:spacing w:line="360" w:lineRule="auto"/>
        <w:rPr>
          <w:rFonts w:hAnsi="宋体" w:cs="宋体"/>
          <w:b/>
          <w:color w:val="auto"/>
          <w:sz w:val="24"/>
          <w:szCs w:val="24"/>
        </w:rPr>
      </w:pPr>
      <w:r>
        <w:rPr>
          <w:rFonts w:hint="eastAsia" w:hAnsi="宋体" w:cs="宋体"/>
          <w:b/>
          <w:color w:val="auto"/>
          <w:sz w:val="24"/>
          <w:szCs w:val="24"/>
        </w:rPr>
        <w:t>7. 招标文件的获取</w:t>
      </w:r>
    </w:p>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pPr>
        <w:pStyle w:val="33"/>
        <w:spacing w:line="360" w:lineRule="auto"/>
        <w:rPr>
          <w:rFonts w:hAnsi="宋体" w:cs="宋体"/>
          <w:b/>
          <w:color w:val="auto"/>
          <w:sz w:val="24"/>
          <w:szCs w:val="24"/>
        </w:rPr>
      </w:pPr>
      <w:r>
        <w:rPr>
          <w:rFonts w:hint="eastAsia" w:hAnsi="宋体" w:cs="宋体"/>
          <w:b/>
          <w:color w:val="auto"/>
          <w:sz w:val="24"/>
          <w:szCs w:val="24"/>
        </w:rPr>
        <w:t>8.开标前答疑会或现场考察</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color w:val="auto"/>
          <w:szCs w:val="24"/>
        </w:rPr>
      </w:pPr>
      <w:r>
        <w:rPr>
          <w:rFonts w:hint="eastAsia" w:hAnsi="宋体" w:cs="宋体"/>
          <w:b/>
          <w:color w:val="auto"/>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pacing w:line="360" w:lineRule="auto"/>
        <w:rPr>
          <w:rFonts w:hAnsi="宋体" w:cs="宋体"/>
          <w:b/>
          <w:color w:val="auto"/>
          <w:sz w:val="24"/>
          <w:szCs w:val="24"/>
        </w:rPr>
      </w:pPr>
      <w:r>
        <w:rPr>
          <w:rFonts w:hint="eastAsia" w:hAnsi="宋体" w:cs="宋体"/>
          <w:b/>
          <w:color w:val="auto"/>
          <w:sz w:val="24"/>
          <w:szCs w:val="24"/>
        </w:rPr>
        <w:t>10. 投标文件的语言</w:t>
      </w:r>
    </w:p>
    <w:p>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pPr>
        <w:pStyle w:val="33"/>
        <w:spacing w:line="360" w:lineRule="auto"/>
        <w:rPr>
          <w:rFonts w:hAnsi="宋体" w:cs="宋体"/>
          <w:b/>
          <w:color w:val="auto"/>
          <w:sz w:val="24"/>
          <w:szCs w:val="24"/>
        </w:rPr>
      </w:pPr>
      <w:r>
        <w:rPr>
          <w:rFonts w:hint="eastAsia" w:hAnsi="宋体" w:cs="宋体"/>
          <w:b/>
          <w:color w:val="auto"/>
          <w:sz w:val="24"/>
          <w:szCs w:val="24"/>
        </w:rPr>
        <w:t>11. 投标文件的组成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pPr>
        <w:pStyle w:val="128"/>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pPr>
        <w:pStyle w:val="128"/>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pPr>
        <w:pStyle w:val="128"/>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pPr>
        <w:pStyle w:val="128"/>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pPr>
        <w:pStyle w:val="33"/>
        <w:spacing w:line="360" w:lineRule="auto"/>
        <w:rPr>
          <w:rFonts w:hAnsi="宋体" w:cs="宋体"/>
          <w:b/>
          <w:color w:val="auto"/>
          <w:sz w:val="24"/>
          <w:szCs w:val="24"/>
        </w:rPr>
      </w:pPr>
      <w:r>
        <w:rPr>
          <w:rFonts w:hint="eastAsia" w:hAnsi="宋体" w:cs="宋体"/>
          <w:b/>
          <w:color w:val="auto"/>
          <w:sz w:val="24"/>
          <w:szCs w:val="24"/>
        </w:rPr>
        <w:t>15.备份投标文件</w:t>
      </w:r>
    </w:p>
    <w:p>
      <w:pPr>
        <w:pStyle w:val="33"/>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pPr>
        <w:pStyle w:val="33"/>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pPr>
        <w:pStyle w:val="6"/>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17.投标有效期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pPr>
        <w:pStyle w:val="128"/>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pPr>
        <w:pStyle w:val="128"/>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color w:val="auto"/>
          <w:sz w:val="32"/>
        </w:rPr>
      </w:pPr>
    </w:p>
    <w:p>
      <w:pPr>
        <w:pStyle w:val="128"/>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pPr>
        <w:pStyle w:val="554"/>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pPr>
        <w:pStyle w:val="554"/>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pPr>
        <w:pStyle w:val="128"/>
        <w:spacing w:before="0"/>
        <w:ind w:firstLine="0" w:firstLineChars="0"/>
        <w:rPr>
          <w:rFonts w:ascii="宋体" w:hAnsi="宋体" w:cs="宋体"/>
          <w:color w:val="auto"/>
          <w:kern w:val="0"/>
          <w:szCs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pPr>
        <w:spacing w:line="360" w:lineRule="auto"/>
        <w:rPr>
          <w:rFonts w:ascii="宋体" w:hAnsi="宋体" w:cs="宋体"/>
          <w:b/>
          <w:color w:val="auto"/>
          <w:sz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pPr>
        <w:pStyle w:val="6"/>
        <w:spacing w:line="360" w:lineRule="auto"/>
        <w:ind w:left="479" w:hanging="479" w:hangingChars="199"/>
        <w:rPr>
          <w:rFonts w:cs="宋体"/>
          <w:b/>
          <w:color w:val="auto"/>
        </w:rPr>
      </w:pPr>
      <w:r>
        <w:rPr>
          <w:rFonts w:hint="eastAsia" w:cs="宋体"/>
          <w:b/>
          <w:color w:val="auto"/>
        </w:rPr>
        <w:t>22. 确定中标供应商</w:t>
      </w:r>
    </w:p>
    <w:p>
      <w:pPr>
        <w:pStyle w:val="128"/>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pPr>
        <w:snapToGrid w:val="0"/>
        <w:spacing w:line="360" w:lineRule="auto"/>
        <w:ind w:left="120" w:leftChars="57" w:firstLine="482" w:firstLineChars="150"/>
        <w:jc w:val="center"/>
        <w:rPr>
          <w:rFonts w:ascii="宋体" w:hAnsi="宋体" w:cs="宋体"/>
          <w:b/>
          <w:color w:val="auto"/>
          <w:sz w:val="32"/>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pPr>
        <w:pStyle w:val="6"/>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pPr>
        <w:pStyle w:val="6"/>
        <w:spacing w:line="360" w:lineRule="auto"/>
        <w:ind w:left="479" w:hanging="479" w:hangingChars="199"/>
        <w:rPr>
          <w:rFonts w:cs="宋体"/>
          <w:b/>
          <w:color w:val="auto"/>
        </w:rPr>
      </w:pPr>
      <w:r>
        <w:rPr>
          <w:rFonts w:hint="eastAsia" w:cs="宋体"/>
          <w:b/>
          <w:color w:val="auto"/>
        </w:rPr>
        <w:t>25. 合同的签订</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w:t>
      </w:r>
      <w:r>
        <w:rPr>
          <w:rFonts w:hint="eastAsia" w:ascii="宋体" w:hAnsi="宋体" w:cs="宋体"/>
          <w:color w:val="auto"/>
          <w:kern w:val="0"/>
          <w:sz w:val="24"/>
          <w:lang w:eastAsia="zh-CN"/>
        </w:rPr>
        <w:t>三</w:t>
      </w:r>
      <w:r>
        <w:rPr>
          <w:rFonts w:hint="eastAsia" w:ascii="宋体" w:hAnsi="宋体" w:cs="宋体"/>
          <w:color w:val="auto"/>
          <w:kern w:val="0"/>
          <w:sz w:val="24"/>
        </w:rPr>
        <w:t>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pPr>
        <w:pStyle w:val="6"/>
        <w:spacing w:line="360" w:lineRule="auto"/>
        <w:ind w:left="479" w:hanging="479" w:hangingChars="199"/>
        <w:rPr>
          <w:rFonts w:cs="宋体"/>
          <w:b/>
          <w:color w:val="auto"/>
        </w:rPr>
      </w:pPr>
      <w:r>
        <w:rPr>
          <w:rFonts w:hint="eastAsia" w:cs="宋体"/>
          <w:b/>
          <w:color w:val="auto"/>
        </w:rPr>
        <w:t>26. 履约保证金</w:t>
      </w:r>
    </w:p>
    <w:p>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pPr>
        <w:pStyle w:val="3"/>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rPr>
      </w:pPr>
    </w:p>
    <w:p>
      <w:pPr>
        <w:snapToGrid w:val="0"/>
        <w:spacing w:line="360" w:lineRule="auto"/>
        <w:ind w:firstLine="3357" w:firstLineChars="1045"/>
        <w:rPr>
          <w:rFonts w:ascii="宋体" w:hAnsi="宋体" w:cs="宋体"/>
          <w:b/>
          <w:color w:val="auto"/>
          <w:sz w:val="32"/>
        </w:rPr>
      </w:pPr>
    </w:p>
    <w:p>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pPr>
        <w:pStyle w:val="128"/>
        <w:snapToGrid w:val="0"/>
        <w:spacing w:before="0"/>
        <w:ind w:firstLine="0" w:firstLineChars="0"/>
        <w:rPr>
          <w:rFonts w:ascii="宋体" w:hAnsi="宋体" w:cs="宋体"/>
          <w:color w:val="auto"/>
        </w:rPr>
      </w:pPr>
      <w:r>
        <w:rPr>
          <w:rFonts w:ascii="宋体" w:hAnsi="宋体" w:cs="宋体"/>
          <w:b/>
          <w:bCs/>
          <w:color w:val="auto"/>
          <w:sz w:val="24"/>
          <w:szCs w:val="20"/>
        </w:rPr>
        <w:t>2</w:t>
      </w:r>
      <w:r>
        <w:rPr>
          <w:rFonts w:ascii="宋体" w:hAnsi="宋体" w:cs="宋体"/>
          <w:b/>
          <w:bCs/>
          <w:color w:val="auto"/>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pPr>
        <w:pStyle w:val="128"/>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pPr>
        <w:pStyle w:val="128"/>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pPr>
        <w:pStyle w:val="128"/>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pPr>
        <w:pStyle w:val="128"/>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pPr>
        <w:pStyle w:val="128"/>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pPr>
        <w:pStyle w:val="128"/>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pPr>
        <w:pStyle w:val="6"/>
        <w:spacing w:line="360" w:lineRule="auto"/>
        <w:ind w:firstLine="0" w:firstLineChars="0"/>
        <w:rPr>
          <w:rFonts w:cs="宋体"/>
          <w:b/>
          <w:color w:val="auto"/>
        </w:rPr>
      </w:pPr>
      <w:r>
        <w:rPr>
          <w:rFonts w:hint="eastAsia" w:cs="宋体"/>
          <w:b/>
          <w:color w:val="auto"/>
        </w:rPr>
        <w:t>30.验收</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68057669"/>
      <w:bookmarkEnd w:id="16"/>
      <w:bookmarkStart w:id="17" w:name="_Hlt74714665"/>
      <w:bookmarkEnd w:id="17"/>
      <w:bookmarkStart w:id="18" w:name="_Hlt75236290"/>
      <w:bookmarkEnd w:id="18"/>
      <w:bookmarkStart w:id="19" w:name="_Hlt74707468"/>
      <w:bookmarkEnd w:id="19"/>
      <w:bookmarkStart w:id="20" w:name="_Hlt68072990"/>
      <w:bookmarkEnd w:id="20"/>
      <w:bookmarkStart w:id="21" w:name="_Hlt74730295"/>
      <w:bookmarkEnd w:id="21"/>
      <w:bookmarkStart w:id="22" w:name="_Hlt68072998"/>
      <w:bookmarkEnd w:id="22"/>
      <w:bookmarkStart w:id="23" w:name="_Hlt74729768"/>
      <w:bookmarkEnd w:id="23"/>
      <w:bookmarkStart w:id="24" w:name="_Hlt68073093"/>
      <w:bookmarkEnd w:id="24"/>
      <w:bookmarkStart w:id="25" w:name="_Hlt68403820"/>
      <w:bookmarkEnd w:id="25"/>
      <w:bookmarkStart w:id="26" w:name="_Hlt75236011"/>
      <w:bookmarkEnd w:id="26"/>
    </w:p>
    <w:bookmarkEnd w:id="11"/>
    <w:bookmarkEnd w:id="12"/>
    <w:p>
      <w:pPr>
        <w:spacing w:line="360" w:lineRule="auto"/>
        <w:jc w:val="center"/>
        <w:outlineLvl w:val="0"/>
        <w:rPr>
          <w:rFonts w:hint="eastAsia" w:ascii="宋体" w:hAnsi="宋体" w:eastAsia="宋体" w:cs="宋体"/>
          <w:b/>
          <w:color w:val="auto"/>
          <w:sz w:val="24"/>
          <w:highlight w:val="none"/>
          <w:lang w:val="en-US" w:eastAsia="zh-CN"/>
        </w:rPr>
      </w:pPr>
      <w:bookmarkStart w:id="27" w:name="第四部分"/>
      <w:r>
        <w:rPr>
          <w:rFonts w:hint="eastAsia" w:ascii="宋体" w:hAnsi="宋体" w:cs="宋体"/>
          <w:b/>
          <w:color w:val="auto"/>
          <w:sz w:val="36"/>
          <w:szCs w:val="36"/>
        </w:rPr>
        <w:t>第三部分   采购需求</w:t>
      </w:r>
    </w:p>
    <w:p>
      <w:pPr>
        <w:numPr>
          <w:ilvl w:val="0"/>
          <w:numId w:val="1"/>
        </w:numPr>
        <w:spacing w:line="360" w:lineRule="auto"/>
        <w:rPr>
          <w:rFonts w:hint="eastAsia" w:ascii="宋体" w:hAnsi="宋体" w:eastAsia="宋体" w:cs="宋体"/>
          <w:b/>
          <w:bCs/>
          <w:sz w:val="24"/>
        </w:rPr>
      </w:pPr>
      <w:r>
        <w:rPr>
          <w:rFonts w:hint="eastAsia" w:ascii="宋体" w:hAnsi="宋体" w:eastAsia="宋体" w:cs="宋体"/>
          <w:b/>
          <w:bCs/>
          <w:sz w:val="24"/>
        </w:rPr>
        <w:t>项目概况</w:t>
      </w:r>
    </w:p>
    <w:p>
      <w:pPr>
        <w:adjustRightInd w:val="0"/>
        <w:snapToGrid w:val="0"/>
        <w:spacing w:line="360" w:lineRule="auto"/>
        <w:ind w:firstLine="357" w:firstLineChars="148"/>
        <w:rPr>
          <w:rFonts w:hint="eastAsia"/>
        </w:rPr>
      </w:pPr>
      <w:r>
        <w:rPr>
          <w:rFonts w:hint="eastAsia" w:ascii="宋体" w:hAnsi="宋体" w:cs="宋体"/>
          <w:b/>
          <w:bCs/>
          <w:sz w:val="24"/>
          <w:lang w:val="en-US" w:eastAsia="zh-CN"/>
        </w:rPr>
        <w:t xml:space="preserve"> </w:t>
      </w:r>
      <w:r>
        <w:rPr>
          <w:rFonts w:hint="eastAsia" w:ascii="宋体" w:hAnsi="宋体" w:eastAsia="宋体" w:cs="宋体"/>
          <w:i w:val="0"/>
          <w:iCs w:val="0"/>
          <w:color w:val="000000"/>
          <w:kern w:val="0"/>
          <w:sz w:val="24"/>
          <w:szCs w:val="24"/>
          <w:u w:val="none"/>
          <w:lang w:val="en-US" w:eastAsia="zh-CN"/>
        </w:rPr>
        <w:t>本项目为“交钥匙”项目，采购内容包括采购清单中货物供货、安装调试、培训、质保期内的售后服务等。投标报价包括设备费、运费、税费、安装调试费、售后服务费、代理费、培训费、政策性文件规定及合同包含的所有风险、责任等各项全部费用。</w:t>
      </w:r>
    </w:p>
    <w:p>
      <w:pPr>
        <w:numPr>
          <w:ilvl w:val="0"/>
          <w:numId w:val="2"/>
        </w:numPr>
        <w:wordWrap/>
        <w:snapToGrid/>
        <w:spacing w:line="360" w:lineRule="auto"/>
        <w:ind w:right="0"/>
        <w:textAlignment w:val="auto"/>
        <w:rPr>
          <w:rFonts w:hint="eastAsia" w:ascii="宋体" w:hAnsi="宋体" w:eastAsia="宋体" w:cs="宋体"/>
          <w:sz w:val="24"/>
          <w:szCs w:val="24"/>
        </w:rPr>
      </w:pPr>
      <w:r>
        <w:rPr>
          <w:rFonts w:hint="eastAsia" w:ascii="宋体" w:hAnsi="宋体" w:cs="宋体"/>
          <w:kern w:val="0"/>
          <w:sz w:val="24"/>
          <w:lang w:val="en-US" w:eastAsia="zh-CN"/>
        </w:rPr>
        <w:t xml:space="preserve"> </w:t>
      </w:r>
      <w:r>
        <w:rPr>
          <w:rFonts w:hint="eastAsia" w:ascii="宋体" w:hAnsi="宋体" w:eastAsia="宋体" w:cs="宋体"/>
          <w:b/>
          <w:bCs/>
          <w:sz w:val="24"/>
          <w:szCs w:val="24"/>
        </w:rPr>
        <w:t>采购清单</w:t>
      </w:r>
      <w:r>
        <w:rPr>
          <w:rFonts w:hint="eastAsia" w:ascii="宋体" w:hAnsi="宋体" w:eastAsia="宋体" w:cs="宋体"/>
          <w:b/>
          <w:bCs/>
          <w:sz w:val="24"/>
          <w:szCs w:val="24"/>
          <w:lang w:val="en-US" w:eastAsia="zh-CN"/>
        </w:rPr>
        <w:t>及参数</w:t>
      </w:r>
    </w:p>
    <w:tbl>
      <w:tblPr>
        <w:tblStyle w:val="62"/>
        <w:tblW w:w="79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5"/>
        <w:gridCol w:w="1620"/>
        <w:gridCol w:w="4230"/>
        <w:gridCol w:w="78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区域、项目</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规格或具体要求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门头</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镀锌板切割焊接造型，开槽，压边，精工打磨专色汽车烤漆饰面；半精品不锈钢烤漆字，数码定位切割；四周灯带环绕，灯光定位，拉线封边处理；高空安装，含原墙面拆除处理 含设计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入口导视</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不锈钢主架内置龙骨支撑，钢管焊接成型，镀锌板切割焊接造型，开槽，精工打磨专色汽车烤漆饰面，爱普生高清UV印刷；含设计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电梯厅入口门头</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爱普生高清UV印刷；高密PVC板，定位激光切割，爱普生高清UV印刷，低温侧喷漆，定制立体字；进口亚克力，含插片；贴墙安装；含设计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接待前台</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精品不锈钢，定位激光切割，汽车烤漆，背发光工艺，贴墙安装；精品不锈钢烤漆字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智慧大屏 + 平语近人</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精品不锈钢，定位激光切割，爱普生高清UV印刷，汽车烤漆，定制立体字；高密PVC板，定位激光切割，爱普生高清UV印刷，低温侧喷漆，定制立体字，贴墙安装；含设计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党建文化展厅</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木饰面造型基础，基材打磨，头度底漆，调灰打磨，油性油漆底漆填充，有色透明漆，清漆处理，灯光定位预埋，拉线封边处理；精品不锈钢，定位激光切割，爱普生高清UV印刷，汽车烤漆，定制立体字；含设计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定制艺术墙布，爱普生高清UV印刷；高密PVC板，定位激光切割，爱普生高清UV印刷，低温侧喷漆，定制立体字；定制电子图册；定位射灯，钢丝吊装；含设计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社会组织</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高密PVC板，定位激光切割，爱普生高清UV印刷，低温侧喷漆，定制立体字，贴墙安装；含设计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社会工作室</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高密PVC板，定位激光切割，爱普生高清UV印刷，低温侧喷漆，定制立体字，贴墙安装；含设计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星语水吧</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高密PVC板，定位激光切割，爱普生高清UV印刷，低温侧喷漆，定制立体字，贴墙安装；含设计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母婴室氛围 + 制度</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定制艺术墙布，爱普生高清UV印刷；高密PVC板，定位激光切割，爱普生高清UV印刷，低温侧喷漆，定制立体字，贴墙安装；含设计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儿童之家</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进口亚克力，定位激光切割，爱普生高清UV印刷，钢丝吊装；高密PVC板，定位激光切割，爱普生高清UV印刷，低温侧喷漆，定制立体字；定制有机盒，贴墙安装；含设计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婴幼儿成长驿站</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定制艺术墙布，爱普生高清UV印刷；高密PVC板，定位激光切割，爱普生高清UV印刷，低温侧喷漆，定制立体字，贴墙安装；含设计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儿童活动风采</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木饰面造型基础，基材打磨，头度底漆，调灰打磨，油性油漆底漆填充，有色透明漆，清漆处理；进口亚克力吊装；高密PVC板，定位激光切割，爱普生高清UV印刷，低温侧喷漆，定制立体字，贴墙安装；含设计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四点半课堂主形象</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定制艺术墙布，爱普生高清UV印刷；高密PVC板，定位激光切割，爱普生高清UV印刷，低温侧喷漆，定制立体字，贴墙安装；含设计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青少年文化俱乐部</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定制艺术墙布，爱普生高清UV印刷；高密PVC板，定位激光切割，爱普生高清UV印刷，低温侧喷漆，吸磁工艺，定制立体字，贴墙安装；含设计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舞蹈文化</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定制艺术墙布，爱普生高清UV印刷；高密PVC板，定位激光切割，爱普生高清UV印刷，低温侧喷漆，定制立体字，贴墙安装；含设计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老年学堂</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高密PVC板，定位激光切割，爱普生高清UV印刷，低温侧喷漆，定制立体字，贴墙安装；含设计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健康饮食公示栏</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高密PVC板，定位激光切割，爱普生高清UV印刷，低温侧喷漆，定制立体字，贴墙安装；含设计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健康饮食 + 标语</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爱普生户外高清UV印刷；高密PVC板，定位激光切割，爱普生高清UV印刷，低温侧喷漆，定制立体字，贴墙安装；含设计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心语星愿 + 心星相印</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饰面造型基础，基材打磨，头度底漆，调灰打磨，油性油漆底漆填充，有色透明漆，清漆处理；进口亚克力；定制洞洞板置物架；不锈钢主架内置龙骨支撑，钢管焊接成型，镀锌板切割焊接造型，开槽，精工打磨专色汽车烤漆饰面；定制电子循环播放图册；高密PVC板，定位激光切割，爱普生高清UV印刷，低温侧喷漆，吸磁工艺，定制立体字，贴墙安装；含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阅读 + 创想</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精品不锈钢，定位激光切割，爱普生高清UV印刷，汽车烤漆，定制立体字；高密PVC板，定位激光切割，爱普生高清UV印刷，低温侧喷漆，定制立体字，贴墙安装；含设计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网格支部 + 星心议事</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高密PVC板，定位激光切割，爱普生高清UV印刷，低温侧喷漆，定制立体字，贴墙安装；含设计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心灵驿站</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定制艺术墙布，爱普生高清UV印刷；高密PVC板，定位激光切割，爱普生高清UV印刷，低温侧喷漆，定制立体字，贴墙安装；含设计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妇女之家</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定制艺术墙布，爱普生高清UV印刷；高密PVC板，定位激光切割，爱普生高清UV印刷，低温侧喷漆，吸磁工艺，定制立体字，贴墙安装；定制有机盒；含设计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妇女儿童驿站</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高密PVC板，定位激光切割，爱普生高清UV印刷，低温侧喷漆，定制立体字，贴墙安装；含设计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运动文化</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定制艺术墙布，爱普生高清UV印刷；高密PVC板，定位激光切割，爱普生高清UV印刷，低温侧喷漆，定制立体字，贴墙安装；含设计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长者运动注意事项</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定制艺术墙布，爱普生高清UV印刷；高密PVC板，定位激光切割，爱普生高清UV印刷，低温侧喷漆，定制立体字，贴墙安装；含设计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养生歌</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高密PVC板，定位激光切割，爱普生高清UV印刷，低温侧喷漆，定制立体字，贴墙安装；含设计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康养背景墙</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木饰面造型基础，基材打磨，头度底漆，调灰打磨，油性油漆底漆填充，有色透明漆，清漆处理；高密PVC板，定位激光切割，低温侧喷漆，定制立体字，贴墙安装；含设计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新二十四孝</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高密PVC板，定位激光切割，爱普生高清UV印刷，低温侧喷漆，吸磁工艺，定制立体字，贴墙安装；含设计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科室牌</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组合式：进口亚克力，定位激光切割，爱普生高清UV印刷，含插片，贴墙安装；含设计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独立式：进口亚克力，定位激光切割，爱普生高清UV印刷，贴墙安装；含设计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温馨提示牌</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进口亚克力，定位激光切割，爱普生高清UV印刷，贴墙安装；含设计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消防栓</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进口亚克力，定位激光切割，爱普生高清UV印刷，贴墙安装；含设计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腰线</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定制高清玻璃膜，爱普生UV印刷；含设计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制度牌</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高密PVC板，定位激光切割，爱普生高清UV印刷，低温侧喷漆，贴墙安装；含设计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现代社区·为老服务</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高密PVC板，定位激光切割，爱普生高清UV印刷，低温侧喷漆，定制立体字，贴墙安装；含设计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文化磨砂膜</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定制高清玻璃膜，爱普生UV印刷；含设计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桌牌</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进口亚克力，定位激光切割，爱普生高清UV印刷，含底座；含设计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综合管理、税</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bl>
    <w:p>
      <w:pPr>
        <w:adjustRightInd w:val="0"/>
        <w:snapToGrid w:val="0"/>
        <w:spacing w:line="360" w:lineRule="auto"/>
        <w:rPr>
          <w:rFonts w:hint="eastAsia" w:ascii="宋体" w:hAnsi="宋体"/>
          <w:b/>
          <w:bCs/>
          <w:color w:val="auto"/>
          <w:sz w:val="24"/>
          <w:highlight w:val="none"/>
        </w:rPr>
      </w:pPr>
      <w:r>
        <w:rPr>
          <w:rFonts w:hint="eastAsia" w:ascii="宋体" w:hAnsi="宋体"/>
          <w:b/>
          <w:bCs/>
          <w:color w:val="auto"/>
          <w:sz w:val="24"/>
          <w:highlight w:val="none"/>
          <w:lang w:eastAsia="zh-CN"/>
        </w:rPr>
        <w:t>三</w:t>
      </w:r>
      <w:r>
        <w:rPr>
          <w:rFonts w:hint="eastAsia" w:ascii="宋体" w:hAnsi="宋体"/>
          <w:b/>
          <w:bCs/>
          <w:color w:val="auto"/>
          <w:sz w:val="24"/>
          <w:highlight w:val="none"/>
        </w:rPr>
        <w:t>、供货要求：</w:t>
      </w:r>
    </w:p>
    <w:p>
      <w:pPr>
        <w:adjustRightInd w:val="0"/>
        <w:snapToGrid w:val="0"/>
        <w:spacing w:line="360" w:lineRule="auto"/>
        <w:ind w:firstLine="352" w:firstLineChars="147"/>
        <w:rPr>
          <w:rFonts w:ascii="宋体" w:hAnsi="宋体"/>
          <w:bCs/>
          <w:color w:val="auto"/>
          <w:sz w:val="24"/>
          <w:highlight w:val="none"/>
        </w:rPr>
      </w:pPr>
      <w:r>
        <w:rPr>
          <w:rFonts w:hint="eastAsia" w:ascii="宋体" w:hAnsi="宋体"/>
          <w:bCs/>
          <w:color w:val="auto"/>
          <w:sz w:val="24"/>
          <w:highlight w:val="none"/>
        </w:rPr>
        <w:t>1、供方所供的货物必须为全新的，符合国家标准的合格产品；</w:t>
      </w:r>
    </w:p>
    <w:p>
      <w:pPr>
        <w:adjustRightInd w:val="0"/>
        <w:snapToGrid w:val="0"/>
        <w:spacing w:line="360" w:lineRule="auto"/>
        <w:ind w:firstLine="352" w:firstLineChars="147"/>
        <w:rPr>
          <w:rFonts w:ascii="宋体" w:hAnsi="宋体"/>
          <w:bCs/>
          <w:color w:val="auto"/>
          <w:sz w:val="24"/>
          <w:highlight w:val="none"/>
        </w:rPr>
      </w:pPr>
      <w:r>
        <w:rPr>
          <w:rFonts w:hint="eastAsia" w:ascii="宋体" w:hAnsi="宋体"/>
          <w:bCs/>
          <w:color w:val="auto"/>
          <w:sz w:val="24"/>
          <w:highlight w:val="none"/>
        </w:rPr>
        <w:t xml:space="preserve">2、所供货物不会侵犯任何第三方知识产权； </w:t>
      </w:r>
    </w:p>
    <w:p>
      <w:pPr>
        <w:adjustRightInd w:val="0"/>
        <w:snapToGrid w:val="0"/>
        <w:spacing w:line="360" w:lineRule="auto"/>
        <w:ind w:firstLine="352" w:firstLineChars="147"/>
        <w:rPr>
          <w:rFonts w:hint="eastAsia"/>
          <w:sz w:val="30"/>
          <w:szCs w:val="30"/>
          <w:lang w:val="en-US" w:eastAsia="zh-CN"/>
        </w:rPr>
      </w:pPr>
      <w:r>
        <w:rPr>
          <w:rFonts w:hint="eastAsia" w:ascii="宋体" w:hAnsi="宋体"/>
          <w:bCs/>
          <w:color w:val="auto"/>
          <w:sz w:val="24"/>
          <w:highlight w:val="none"/>
        </w:rPr>
        <w:t>3、送货地址：</w:t>
      </w:r>
      <w:r>
        <w:rPr>
          <w:rFonts w:hint="eastAsia" w:ascii="宋体" w:hAnsi="宋体"/>
          <w:bCs/>
          <w:color w:val="auto"/>
          <w:sz w:val="24"/>
          <w:highlight w:val="none"/>
          <w:lang w:val="en-US" w:eastAsia="zh-CN"/>
        </w:rPr>
        <w:t>临平</w:t>
      </w:r>
      <w:r>
        <w:rPr>
          <w:rFonts w:hint="eastAsia" w:ascii="宋体" w:hAnsi="宋体"/>
          <w:bCs/>
          <w:color w:val="auto"/>
          <w:sz w:val="24"/>
          <w:highlight w:val="none"/>
        </w:rPr>
        <w:t>区内招标人指定地点。</w:t>
      </w:r>
    </w:p>
    <w:p>
      <w:pPr>
        <w:numPr>
          <w:ilvl w:val="0"/>
          <w:numId w:val="0"/>
        </w:numPr>
        <w:snapToGrid w:val="0"/>
        <w:spacing w:line="360" w:lineRule="auto"/>
        <w:ind w:leftChars="0"/>
        <w:rPr>
          <w:rFonts w:hint="eastAsia" w:ascii="宋体" w:hAnsi="宋体" w:eastAsia="宋体" w:cs="Times New Roman"/>
          <w:b/>
          <w:bCs/>
          <w:color w:val="auto"/>
          <w:sz w:val="24"/>
          <w:highlight w:val="none"/>
        </w:rPr>
      </w:pPr>
      <w:r>
        <w:rPr>
          <w:rFonts w:hint="eastAsia" w:ascii="宋体" w:hAnsi="宋体" w:cs="Times New Roman"/>
          <w:b/>
          <w:bCs/>
          <w:color w:val="auto"/>
          <w:sz w:val="24"/>
          <w:highlight w:val="none"/>
          <w:lang w:eastAsia="zh-CN"/>
        </w:rPr>
        <w:t>四、工期</w:t>
      </w:r>
      <w:r>
        <w:rPr>
          <w:rFonts w:hint="eastAsia" w:ascii="宋体" w:hAnsi="宋体" w:eastAsia="宋体" w:cs="Times New Roman"/>
          <w:b/>
          <w:bCs/>
          <w:color w:val="auto"/>
          <w:sz w:val="24"/>
          <w:highlight w:val="none"/>
        </w:rPr>
        <w:t>要求：</w:t>
      </w:r>
    </w:p>
    <w:p>
      <w:pPr>
        <w:numPr>
          <w:ilvl w:val="0"/>
          <w:numId w:val="0"/>
        </w:numPr>
        <w:snapToGrid w:val="0"/>
        <w:spacing w:line="360" w:lineRule="auto"/>
        <w:ind w:leftChars="0"/>
        <w:rPr>
          <w:rFonts w:hint="eastAsia" w:ascii="宋体" w:hAnsi="宋体" w:eastAsia="宋体" w:cs="Times New Roman"/>
          <w:b/>
          <w:bCs/>
          <w:color w:val="auto"/>
          <w:sz w:val="24"/>
          <w:highlight w:val="none"/>
          <w:lang w:eastAsia="zh-CN"/>
        </w:rPr>
      </w:pPr>
      <w:r>
        <w:rPr>
          <w:rFonts w:hint="eastAsia" w:ascii="宋体" w:hAnsi="宋体" w:eastAsia="宋体" w:cs="宋体"/>
          <w:bCs/>
          <w:color w:val="auto"/>
          <w:sz w:val="24"/>
          <w:szCs w:val="24"/>
          <w:highlight w:val="none"/>
        </w:rPr>
        <w:t>中标公示结束后</w:t>
      </w:r>
      <w:r>
        <w:rPr>
          <w:rFonts w:hint="eastAsia" w:ascii="宋体" w:hAnsi="宋体" w:cs="宋体"/>
          <w:bCs/>
          <w:color w:val="auto"/>
          <w:sz w:val="24"/>
          <w:szCs w:val="24"/>
          <w:highlight w:val="none"/>
          <w:lang w:val="en-US" w:eastAsia="zh-CN"/>
        </w:rPr>
        <w:t>30</w:t>
      </w:r>
      <w:r>
        <w:rPr>
          <w:rFonts w:hint="eastAsia" w:ascii="宋体" w:hAnsi="宋体" w:eastAsia="宋体" w:cs="宋体"/>
          <w:bCs/>
          <w:color w:val="auto"/>
          <w:sz w:val="24"/>
          <w:szCs w:val="24"/>
          <w:highlight w:val="none"/>
        </w:rPr>
        <w:t>天内完成所有设备的供货、安装、调试等所有工作内容</w:t>
      </w:r>
      <w:r>
        <w:rPr>
          <w:rFonts w:hint="eastAsia" w:ascii="宋体" w:hAnsi="宋体" w:cs="宋体"/>
          <w:bCs/>
          <w:color w:val="auto"/>
          <w:sz w:val="24"/>
          <w:szCs w:val="24"/>
          <w:highlight w:val="none"/>
          <w:lang w:eastAsia="zh-CN"/>
        </w:rPr>
        <w:t>。</w:t>
      </w:r>
    </w:p>
    <w:p>
      <w:pPr>
        <w:snapToGrid w:val="0"/>
        <w:spacing w:line="360" w:lineRule="auto"/>
        <w:rPr>
          <w:rFonts w:hint="eastAsia" w:ascii="宋体" w:hAnsi="宋体"/>
          <w:b/>
          <w:bCs/>
          <w:color w:val="auto"/>
          <w:sz w:val="24"/>
          <w:highlight w:val="none"/>
        </w:rPr>
      </w:pPr>
      <w:r>
        <w:rPr>
          <w:rFonts w:hint="eastAsia" w:ascii="宋体" w:hAnsi="宋体"/>
          <w:b/>
          <w:bCs/>
          <w:color w:val="auto"/>
          <w:sz w:val="24"/>
          <w:highlight w:val="none"/>
        </w:rPr>
        <w:t>四、售后服务要求：</w:t>
      </w:r>
    </w:p>
    <w:p>
      <w:pPr>
        <w:spacing w:line="360" w:lineRule="auto"/>
        <w:ind w:left="60" w:right="60"/>
        <w:rPr>
          <w:rFonts w:hint="eastAsia" w:ascii="宋体" w:hAnsi="宋体"/>
          <w:b/>
          <w:color w:val="auto"/>
          <w:sz w:val="24"/>
          <w:highlight w:val="none"/>
        </w:rPr>
      </w:pPr>
      <w:r>
        <w:rPr>
          <w:rFonts w:hint="eastAsia" w:ascii="宋体" w:hAnsi="宋体"/>
          <w:b/>
          <w:bCs/>
          <w:color w:val="auto"/>
          <w:sz w:val="24"/>
          <w:highlight w:val="none"/>
        </w:rPr>
        <w:t xml:space="preserve">  </w:t>
      </w:r>
      <w:r>
        <w:rPr>
          <w:rFonts w:hint="eastAsia" w:ascii="宋体" w:hAnsi="宋体" w:cs="宋体"/>
          <w:kern w:val="0"/>
          <w:sz w:val="24"/>
        </w:rPr>
        <w:t>▲</w:t>
      </w:r>
      <w:r>
        <w:rPr>
          <w:rFonts w:hint="eastAsia" w:ascii="宋体" w:hAnsi="宋体"/>
          <w:b/>
          <w:color w:val="auto"/>
          <w:sz w:val="24"/>
          <w:highlight w:val="none"/>
        </w:rPr>
        <w:t>1</w:t>
      </w:r>
      <w:r>
        <w:rPr>
          <w:rFonts w:hint="eastAsia" w:ascii="宋体" w:hAnsi="宋体"/>
          <w:bCs/>
          <w:color w:val="auto"/>
          <w:sz w:val="24"/>
          <w:highlight w:val="none"/>
          <w:lang w:eastAsia="zh-CN"/>
        </w:rPr>
        <w:t>、</w:t>
      </w:r>
      <w:r>
        <w:rPr>
          <w:rFonts w:hint="eastAsia" w:ascii="宋体" w:hAnsi="宋体"/>
          <w:b/>
          <w:color w:val="auto"/>
          <w:sz w:val="24"/>
          <w:highlight w:val="none"/>
        </w:rPr>
        <w:t>质保期要求：产品验收合格使用之日起，</w:t>
      </w:r>
      <w:r>
        <w:rPr>
          <w:rFonts w:hint="eastAsia" w:ascii="宋体" w:hAnsi="宋体" w:eastAsia="宋体" w:cs="Times New Roman"/>
          <w:b/>
          <w:color w:val="auto"/>
          <w:sz w:val="24"/>
          <w:highlight w:val="none"/>
        </w:rPr>
        <w:t>质保期</w:t>
      </w:r>
      <w:r>
        <w:rPr>
          <w:rFonts w:hint="eastAsia" w:ascii="宋体" w:hAnsi="宋体" w:cs="Times New Roman"/>
          <w:b/>
          <w:color w:val="auto"/>
          <w:sz w:val="24"/>
          <w:highlight w:val="none"/>
          <w:lang w:val="en-US" w:eastAsia="zh-CN"/>
        </w:rPr>
        <w:t>至少1</w:t>
      </w:r>
      <w:r>
        <w:rPr>
          <w:rFonts w:hint="eastAsia" w:ascii="宋体" w:hAnsi="宋体" w:eastAsia="宋体" w:cs="Times New Roman"/>
          <w:b/>
          <w:color w:val="auto"/>
          <w:sz w:val="24"/>
          <w:highlight w:val="none"/>
        </w:rPr>
        <w:t>年，</w:t>
      </w:r>
      <w:r>
        <w:rPr>
          <w:rFonts w:hint="eastAsia" w:ascii="宋体" w:hAnsi="宋体"/>
          <w:b/>
          <w:color w:val="auto"/>
          <w:sz w:val="24"/>
          <w:highlight w:val="none"/>
        </w:rPr>
        <w:t>质保期内的维修费用（包括材料）全部由中标单位负责，因人为因素出现的故障不在免费保修范围内。超过质保期的，维修时只收部件成本费。</w:t>
      </w:r>
    </w:p>
    <w:p>
      <w:pPr>
        <w:numPr>
          <w:ilvl w:val="0"/>
          <w:numId w:val="3"/>
        </w:numPr>
        <w:spacing w:line="360" w:lineRule="auto"/>
        <w:ind w:left="60" w:right="60"/>
        <w:rPr>
          <w:rFonts w:hint="default"/>
          <w:lang w:val="en-US" w:eastAsia="zh-CN"/>
        </w:rPr>
      </w:pPr>
      <w:r>
        <w:rPr>
          <w:rFonts w:hint="eastAsia" w:ascii="宋体" w:hAnsi="宋体"/>
          <w:b/>
          <w:color w:val="auto"/>
          <w:sz w:val="24"/>
          <w:highlight w:val="none"/>
          <w:lang w:eastAsia="zh-CN"/>
        </w:rPr>
        <w:t>其他要求</w:t>
      </w:r>
      <w:r>
        <w:rPr>
          <w:rFonts w:hint="eastAsia" w:ascii="宋体" w:hAnsi="宋体"/>
          <w:b/>
          <w:color w:val="auto"/>
          <w:sz w:val="24"/>
          <w:highlight w:val="none"/>
          <w:lang w:val="en-US" w:eastAsia="zh-CN"/>
        </w:rPr>
        <w:t>:</w:t>
      </w:r>
    </w:p>
    <w:p>
      <w:pPr>
        <w:numPr>
          <w:ilvl w:val="0"/>
          <w:numId w:val="0"/>
        </w:numPr>
        <w:spacing w:line="360" w:lineRule="auto"/>
        <w:ind w:right="60" w:rightChars="0" w:firstLine="480" w:firstLineChars="200"/>
        <w:rPr>
          <w:rFonts w:hint="default"/>
          <w:lang w:val="en-US" w:eastAsia="zh-CN"/>
        </w:rPr>
      </w:pPr>
      <w:r>
        <w:rPr>
          <w:rFonts w:hint="eastAsia" w:ascii="宋体" w:hAnsi="宋体" w:eastAsia="宋体" w:cs="宋体"/>
          <w:sz w:val="24"/>
          <w:szCs w:val="24"/>
        </w:rPr>
        <w:t>中标单位应派有经验的技术人员对安装现场进行实地勘察，对各种</w:t>
      </w:r>
      <w:r>
        <w:rPr>
          <w:rFonts w:hint="eastAsia" w:ascii="宋体" w:hAnsi="宋体" w:eastAsia="宋体" w:cs="宋体"/>
          <w:sz w:val="24"/>
          <w:szCs w:val="24"/>
          <w:lang w:val="en-US" w:eastAsia="zh-CN"/>
        </w:rPr>
        <w:t>产品的设计、制作、</w:t>
      </w:r>
      <w:r>
        <w:rPr>
          <w:rFonts w:hint="eastAsia" w:ascii="宋体" w:hAnsi="宋体" w:eastAsia="宋体" w:cs="宋体"/>
          <w:sz w:val="24"/>
          <w:szCs w:val="24"/>
        </w:rPr>
        <w:t>采购、制造、运输、安装、工期、安全、文明施工进行总承包，一切费用均由中标单位负责。</w:t>
      </w:r>
    </w:p>
    <w:p>
      <w:pPr>
        <w:numPr>
          <w:ilvl w:val="0"/>
          <w:numId w:val="0"/>
        </w:numPr>
        <w:tabs>
          <w:tab w:val="left" w:pos="630"/>
        </w:tabs>
        <w:spacing w:line="360" w:lineRule="auto"/>
        <w:rPr>
          <w:rFonts w:hint="eastAsia" w:ascii="宋体" w:hAnsi="宋体"/>
          <w:b/>
          <w:bCs/>
          <w:color w:val="000000"/>
          <w:sz w:val="24"/>
          <w:highlight w:val="none"/>
        </w:rPr>
      </w:pPr>
      <w:r>
        <w:rPr>
          <w:rFonts w:hint="eastAsia" w:ascii="宋体" w:hAnsi="宋体"/>
          <w:b/>
          <w:bCs/>
          <w:color w:val="000000"/>
          <w:sz w:val="24"/>
          <w:highlight w:val="none"/>
          <w:lang w:val="en-US" w:eastAsia="zh-CN"/>
        </w:rPr>
        <w:t>六、</w:t>
      </w:r>
      <w:r>
        <w:rPr>
          <w:rFonts w:hint="eastAsia" w:ascii="宋体" w:hAnsi="宋体"/>
          <w:b/>
          <w:bCs/>
          <w:color w:val="000000"/>
          <w:sz w:val="24"/>
          <w:highlight w:val="none"/>
        </w:rPr>
        <w:t>履约保证金：</w:t>
      </w:r>
    </w:p>
    <w:p>
      <w:pPr>
        <w:numPr>
          <w:ilvl w:val="0"/>
          <w:numId w:val="0"/>
        </w:numPr>
        <w:tabs>
          <w:tab w:val="left" w:pos="630"/>
        </w:tabs>
        <w:spacing w:line="360" w:lineRule="auto"/>
        <w:rPr>
          <w:rFonts w:hint="eastAsia" w:ascii="宋体" w:hAnsi="宋体" w:cs="宋体"/>
          <w:sz w:val="24"/>
          <w:lang w:val="en-US" w:eastAsia="zh-CN" w:bidi="en-US"/>
        </w:rPr>
      </w:pPr>
      <w:r>
        <w:rPr>
          <w:rFonts w:hint="eastAsia" w:ascii="宋体" w:hAnsi="宋体" w:cs="宋体"/>
          <w:sz w:val="24"/>
          <w:lang w:val="en-US" w:eastAsia="zh-CN" w:bidi="en-US"/>
        </w:rPr>
        <w:t xml:space="preserve">    中标单位在合同签订后支付中标总额1%的履约保证金。合同签订，并交货、安装验收完成后，履约保证金无息退还。</w:t>
      </w:r>
    </w:p>
    <w:p>
      <w:pPr>
        <w:numPr>
          <w:ilvl w:val="0"/>
          <w:numId w:val="0"/>
        </w:numPr>
        <w:snapToGrid w:val="0"/>
        <w:spacing w:line="360" w:lineRule="auto"/>
        <w:rPr>
          <w:rFonts w:hint="eastAsia" w:ascii="宋体" w:hAnsi="宋体"/>
          <w:b/>
          <w:bCs/>
          <w:color w:val="000000"/>
          <w:sz w:val="24"/>
          <w:highlight w:val="none"/>
        </w:rPr>
      </w:pPr>
      <w:r>
        <w:rPr>
          <w:rFonts w:hint="eastAsia" w:ascii="宋体" w:hAnsi="宋体"/>
          <w:b/>
          <w:bCs/>
          <w:color w:val="000000"/>
          <w:sz w:val="24"/>
          <w:highlight w:val="none"/>
          <w:lang w:val="en-US" w:eastAsia="zh-CN"/>
        </w:rPr>
        <w:t>七、</w:t>
      </w:r>
      <w:r>
        <w:rPr>
          <w:rFonts w:hint="eastAsia" w:ascii="宋体" w:hAnsi="宋体"/>
          <w:b/>
          <w:bCs/>
          <w:color w:val="000000"/>
          <w:sz w:val="24"/>
          <w:highlight w:val="none"/>
        </w:rPr>
        <w:t>货款支付：</w:t>
      </w:r>
    </w:p>
    <w:p>
      <w:pPr>
        <w:widowControl w:val="0"/>
        <w:tabs>
          <w:tab w:val="left" w:pos="630"/>
        </w:tabs>
        <w:wordWrap/>
        <w:adjustRightInd w:val="0"/>
        <w:spacing w:line="360" w:lineRule="auto"/>
        <w:ind w:right="0" w:firstLine="480" w:firstLineChars="200"/>
        <w:jc w:val="both"/>
        <w:textAlignment w:val="auto"/>
        <w:rPr>
          <w:rFonts w:hint="eastAsia" w:ascii="宋体" w:hAnsi="宋体" w:cs="宋体"/>
          <w:bCs/>
          <w:color w:val="000000"/>
          <w:sz w:val="24"/>
        </w:rPr>
      </w:pPr>
      <w:r>
        <w:rPr>
          <w:rFonts w:hint="eastAsia" w:ascii="宋体" w:hAnsi="宋体" w:cs="宋体"/>
          <w:bCs/>
          <w:color w:val="000000"/>
          <w:sz w:val="24"/>
        </w:rPr>
        <w:t>1、中标单位在签订合同后，由采购人支付合同总价</w:t>
      </w:r>
      <w:r>
        <w:rPr>
          <w:rFonts w:hint="eastAsia" w:ascii="宋体" w:hAnsi="宋体" w:cs="宋体"/>
          <w:bCs/>
          <w:color w:val="000000"/>
          <w:sz w:val="24"/>
          <w:lang w:val="en-US" w:eastAsia="zh-CN"/>
        </w:rPr>
        <w:t>50</w:t>
      </w:r>
      <w:r>
        <w:rPr>
          <w:rFonts w:hint="eastAsia" w:ascii="宋体" w:hAnsi="宋体" w:cs="宋体"/>
          <w:bCs/>
          <w:color w:val="000000"/>
          <w:sz w:val="24"/>
        </w:rPr>
        <w:t>%的预付款。</w:t>
      </w:r>
    </w:p>
    <w:p>
      <w:pPr>
        <w:widowControl w:val="0"/>
        <w:tabs>
          <w:tab w:val="left" w:pos="630"/>
        </w:tabs>
        <w:wordWrap/>
        <w:adjustRightInd w:val="0"/>
        <w:spacing w:line="360" w:lineRule="auto"/>
        <w:ind w:right="0" w:firstLine="480" w:firstLineChars="200"/>
        <w:jc w:val="both"/>
        <w:textAlignment w:val="auto"/>
        <w:rPr>
          <w:rFonts w:hint="eastAsia"/>
          <w:color w:val="000000"/>
        </w:rPr>
      </w:pPr>
      <w:r>
        <w:rPr>
          <w:rFonts w:hint="eastAsia" w:ascii="宋体" w:hAnsi="宋体" w:cs="宋体"/>
          <w:bCs/>
          <w:color w:val="000000"/>
          <w:sz w:val="24"/>
        </w:rPr>
        <w:t>2、所有合同货物到货送达到甲方指定的地点，经验收合格后支付合同货款的100%。</w:t>
      </w:r>
    </w:p>
    <w:p>
      <w:pPr>
        <w:widowControl w:val="0"/>
        <w:tabs>
          <w:tab w:val="left" w:pos="630"/>
        </w:tabs>
        <w:wordWrap/>
        <w:adjustRightInd w:val="0"/>
        <w:spacing w:line="360" w:lineRule="auto"/>
        <w:ind w:right="0" w:firstLine="480" w:firstLineChars="200"/>
        <w:jc w:val="both"/>
        <w:textAlignment w:val="auto"/>
        <w:rPr>
          <w:rFonts w:hint="eastAsia" w:ascii="宋体" w:hAnsi="宋体" w:cs="宋体"/>
          <w:b/>
          <w:color w:val="000000"/>
          <w:sz w:val="36"/>
          <w:szCs w:val="36"/>
          <w:lang w:val="en-US" w:eastAsia="zh-CN"/>
        </w:rPr>
      </w:pPr>
      <w:r>
        <w:rPr>
          <w:rFonts w:hint="eastAsia" w:ascii="宋体" w:hAnsi="宋体" w:cs="宋体"/>
          <w:bCs/>
          <w:color w:val="000000"/>
          <w:sz w:val="24"/>
          <w:lang w:val="en-US" w:eastAsia="zh-CN"/>
        </w:rPr>
        <w:t>3</w:t>
      </w:r>
      <w:r>
        <w:rPr>
          <w:rFonts w:hint="eastAsia" w:ascii="宋体" w:hAnsi="宋体" w:cs="宋体"/>
          <w:bCs/>
          <w:color w:val="000000"/>
          <w:sz w:val="24"/>
        </w:rPr>
        <w:t>、甲方支付合同价剩余货款前，乙方必须提交符合要求的发票。</w:t>
      </w:r>
    </w:p>
    <w:p>
      <w:pPr>
        <w:pStyle w:val="4"/>
        <w:ind w:left="0" w:leftChars="0" w:firstLine="0" w:firstLineChars="0"/>
        <w:jc w:val="center"/>
        <w:rPr>
          <w:rFonts w:hint="eastAsia" w:ascii="宋体" w:hAnsi="宋体" w:eastAsia="宋体" w:cs="宋体"/>
          <w:b/>
          <w:color w:val="auto"/>
          <w:sz w:val="36"/>
          <w:szCs w:val="36"/>
          <w:highlight w:val="none"/>
        </w:rPr>
      </w:pPr>
    </w:p>
    <w:p>
      <w:pPr>
        <w:pStyle w:val="5"/>
        <w:rPr>
          <w:rFonts w:hint="eastAsia" w:ascii="宋体" w:hAnsi="宋体" w:eastAsia="宋体" w:cs="宋体"/>
          <w:b/>
          <w:color w:val="auto"/>
          <w:sz w:val="36"/>
          <w:szCs w:val="36"/>
          <w:highlight w:val="none"/>
        </w:rPr>
      </w:pPr>
    </w:p>
    <w:p>
      <w:pPr>
        <w:pStyle w:val="6"/>
        <w:rPr>
          <w:rFonts w:hint="eastAsia" w:ascii="宋体" w:hAnsi="宋体" w:eastAsia="宋体" w:cs="宋体"/>
          <w:b/>
          <w:color w:val="auto"/>
          <w:sz w:val="36"/>
          <w:szCs w:val="36"/>
          <w:highlight w:val="none"/>
        </w:rPr>
      </w:pPr>
    </w:p>
    <w:p>
      <w:pPr>
        <w:pStyle w:val="6"/>
        <w:rPr>
          <w:rFonts w:hint="eastAsia" w:ascii="宋体" w:hAnsi="宋体" w:eastAsia="宋体" w:cs="宋体"/>
          <w:b/>
          <w:color w:val="auto"/>
          <w:sz w:val="36"/>
          <w:szCs w:val="36"/>
          <w:highlight w:val="none"/>
        </w:rPr>
      </w:pPr>
    </w:p>
    <w:p>
      <w:pPr>
        <w:pStyle w:val="6"/>
        <w:rPr>
          <w:rFonts w:hint="eastAsia" w:ascii="宋体" w:hAnsi="宋体" w:eastAsia="宋体" w:cs="宋体"/>
          <w:b/>
          <w:color w:val="auto"/>
          <w:sz w:val="36"/>
          <w:szCs w:val="36"/>
          <w:highlight w:val="none"/>
        </w:rPr>
      </w:pPr>
    </w:p>
    <w:p>
      <w:pPr>
        <w:pStyle w:val="6"/>
        <w:rPr>
          <w:rFonts w:hint="eastAsia" w:ascii="宋体" w:hAnsi="宋体" w:eastAsia="宋体" w:cs="宋体"/>
          <w:b/>
          <w:color w:val="auto"/>
          <w:sz w:val="36"/>
          <w:szCs w:val="36"/>
          <w:highlight w:val="none"/>
        </w:rPr>
      </w:pPr>
    </w:p>
    <w:p>
      <w:pPr>
        <w:pStyle w:val="6"/>
        <w:rPr>
          <w:rFonts w:hint="eastAsia" w:ascii="宋体" w:hAnsi="宋体" w:eastAsia="宋体" w:cs="宋体"/>
          <w:b/>
          <w:color w:val="auto"/>
          <w:sz w:val="36"/>
          <w:szCs w:val="36"/>
          <w:highlight w:val="none"/>
        </w:rPr>
      </w:pPr>
    </w:p>
    <w:p>
      <w:pPr>
        <w:pStyle w:val="6"/>
        <w:rPr>
          <w:rFonts w:hint="eastAsia" w:ascii="宋体" w:hAnsi="宋体" w:eastAsia="宋体" w:cs="宋体"/>
          <w:b/>
          <w:color w:val="auto"/>
          <w:sz w:val="36"/>
          <w:szCs w:val="36"/>
          <w:highlight w:val="none"/>
        </w:rPr>
      </w:pPr>
    </w:p>
    <w:p>
      <w:pPr>
        <w:pStyle w:val="6"/>
        <w:rPr>
          <w:rFonts w:hint="eastAsia" w:ascii="宋体" w:hAnsi="宋体" w:eastAsia="宋体" w:cs="宋体"/>
          <w:b/>
          <w:color w:val="auto"/>
          <w:sz w:val="36"/>
          <w:szCs w:val="36"/>
          <w:highlight w:val="none"/>
        </w:rPr>
      </w:pPr>
    </w:p>
    <w:p>
      <w:pPr>
        <w:pStyle w:val="6"/>
        <w:rPr>
          <w:rFonts w:hint="eastAsia" w:ascii="宋体" w:hAnsi="宋体" w:eastAsia="宋体" w:cs="宋体"/>
          <w:b/>
          <w:color w:val="auto"/>
          <w:sz w:val="36"/>
          <w:szCs w:val="36"/>
          <w:highlight w:val="none"/>
        </w:rPr>
      </w:pPr>
    </w:p>
    <w:p>
      <w:pPr>
        <w:pStyle w:val="6"/>
        <w:rPr>
          <w:rFonts w:hint="eastAsia" w:ascii="宋体" w:hAnsi="宋体" w:eastAsia="宋体" w:cs="宋体"/>
          <w:b/>
          <w:color w:val="auto"/>
          <w:sz w:val="36"/>
          <w:szCs w:val="36"/>
          <w:highlight w:val="none"/>
        </w:rPr>
      </w:pPr>
    </w:p>
    <w:p>
      <w:pPr>
        <w:pStyle w:val="6"/>
        <w:rPr>
          <w:rFonts w:hint="eastAsia" w:ascii="宋体" w:hAnsi="宋体" w:eastAsia="宋体" w:cs="宋体"/>
          <w:b/>
          <w:color w:val="auto"/>
          <w:sz w:val="36"/>
          <w:szCs w:val="36"/>
          <w:highlight w:val="none"/>
        </w:rPr>
      </w:pPr>
    </w:p>
    <w:p>
      <w:pPr>
        <w:numPr>
          <w:ilvl w:val="0"/>
          <w:numId w:val="4"/>
        </w:numPr>
        <w:spacing w:line="360" w:lineRule="auto"/>
        <w:jc w:val="center"/>
        <w:outlineLvl w:val="0"/>
        <w:rPr>
          <w:rFonts w:hint="eastAsia" w:ascii="宋体" w:hAnsi="宋体" w:cs="宋体"/>
          <w:b/>
          <w:color w:val="auto"/>
          <w:sz w:val="36"/>
          <w:szCs w:val="36"/>
        </w:rPr>
      </w:pPr>
      <w:r>
        <w:rPr>
          <w:rFonts w:hint="eastAsia" w:ascii="宋体" w:hAnsi="宋体" w:cs="宋体"/>
          <w:b/>
          <w:color w:val="auto"/>
          <w:sz w:val="36"/>
          <w:szCs w:val="36"/>
        </w:rPr>
        <w:t xml:space="preserve">  </w:t>
      </w:r>
      <w:bookmarkStart w:id="28" w:name="_Toc184310338"/>
      <w:bookmarkEnd w:id="28"/>
      <w:bookmarkStart w:id="29" w:name="_Toc184310329"/>
      <w:bookmarkEnd w:id="29"/>
      <w:bookmarkStart w:id="30" w:name="_Toc184310304"/>
      <w:bookmarkEnd w:id="30"/>
      <w:bookmarkStart w:id="31" w:name="_Toc184310284"/>
      <w:bookmarkEnd w:id="31"/>
      <w:bookmarkStart w:id="32" w:name="_Toc184314460"/>
      <w:bookmarkEnd w:id="32"/>
      <w:bookmarkStart w:id="33" w:name="_Toc184312094"/>
      <w:bookmarkEnd w:id="33"/>
      <w:bookmarkStart w:id="34" w:name="_Toc184313290"/>
      <w:bookmarkEnd w:id="34"/>
      <w:bookmarkStart w:id="35" w:name="_Toc184312130"/>
      <w:bookmarkEnd w:id="35"/>
      <w:bookmarkStart w:id="36" w:name="_Toc184312112"/>
      <w:bookmarkEnd w:id="36"/>
      <w:bookmarkStart w:id="37" w:name="_Toc184308100"/>
      <w:bookmarkEnd w:id="37"/>
      <w:bookmarkStart w:id="38" w:name="_Toc184312136"/>
      <w:bookmarkEnd w:id="38"/>
      <w:bookmarkStart w:id="39" w:name="_Toc184308039"/>
      <w:bookmarkEnd w:id="39"/>
      <w:bookmarkStart w:id="40" w:name="_Toc184308104"/>
      <w:bookmarkEnd w:id="40"/>
      <w:bookmarkStart w:id="41" w:name="_Toc184314421"/>
      <w:bookmarkEnd w:id="41"/>
      <w:bookmarkStart w:id="42" w:name="_Toc184310334"/>
      <w:bookmarkEnd w:id="42"/>
      <w:bookmarkStart w:id="43" w:name="_Toc184314415"/>
      <w:bookmarkEnd w:id="43"/>
      <w:bookmarkStart w:id="44" w:name="_Toc184308101"/>
      <w:bookmarkEnd w:id="44"/>
      <w:bookmarkStart w:id="45" w:name="_Toc184313244"/>
      <w:bookmarkEnd w:id="45"/>
      <w:bookmarkStart w:id="46" w:name="_Toc184308074"/>
      <w:bookmarkEnd w:id="46"/>
      <w:bookmarkStart w:id="47" w:name="_Toc184313277"/>
      <w:bookmarkEnd w:id="47"/>
      <w:bookmarkStart w:id="48" w:name="_Toc184314469"/>
      <w:bookmarkEnd w:id="48"/>
      <w:bookmarkStart w:id="49" w:name="_Toc184312091"/>
      <w:bookmarkEnd w:id="49"/>
      <w:bookmarkStart w:id="50" w:name="_Toc184310314"/>
      <w:bookmarkEnd w:id="50"/>
      <w:bookmarkStart w:id="51" w:name="_Toc184313293"/>
      <w:bookmarkEnd w:id="51"/>
      <w:bookmarkStart w:id="52" w:name="_Toc184308078"/>
      <w:bookmarkEnd w:id="52"/>
      <w:bookmarkStart w:id="53" w:name="_Toc184313247"/>
      <w:bookmarkEnd w:id="53"/>
      <w:bookmarkStart w:id="54" w:name="_Toc184310272"/>
      <w:bookmarkEnd w:id="54"/>
      <w:bookmarkStart w:id="55" w:name="_Toc184312067"/>
      <w:bookmarkEnd w:id="55"/>
      <w:bookmarkStart w:id="56" w:name="_Toc184314456"/>
      <w:bookmarkEnd w:id="56"/>
      <w:bookmarkStart w:id="57" w:name="_Toc184310336"/>
      <w:bookmarkEnd w:id="57"/>
      <w:bookmarkStart w:id="58" w:name="_Toc184310283"/>
      <w:bookmarkEnd w:id="58"/>
      <w:bookmarkStart w:id="59" w:name="_Toc184313263"/>
      <w:bookmarkEnd w:id="59"/>
      <w:bookmarkStart w:id="60" w:name="_Toc184314476"/>
      <w:bookmarkEnd w:id="60"/>
      <w:bookmarkStart w:id="61" w:name="_Toc184308092"/>
      <w:bookmarkEnd w:id="61"/>
      <w:bookmarkStart w:id="62" w:name="_Toc184310296"/>
      <w:bookmarkEnd w:id="62"/>
      <w:bookmarkStart w:id="63" w:name="_Toc184314454"/>
      <w:bookmarkEnd w:id="63"/>
      <w:bookmarkStart w:id="64" w:name="_Toc184314427"/>
      <w:bookmarkEnd w:id="64"/>
      <w:bookmarkStart w:id="65" w:name="_Toc184313302"/>
      <w:bookmarkEnd w:id="65"/>
      <w:bookmarkStart w:id="66" w:name="_Toc184312078"/>
      <w:bookmarkEnd w:id="66"/>
      <w:bookmarkStart w:id="67" w:name="_Toc184308081"/>
      <w:bookmarkEnd w:id="67"/>
      <w:bookmarkStart w:id="68" w:name="_Toc184308077"/>
      <w:bookmarkEnd w:id="68"/>
      <w:bookmarkStart w:id="69" w:name="_Toc184308108"/>
      <w:bookmarkEnd w:id="69"/>
      <w:bookmarkStart w:id="70" w:name="_Toc184313280"/>
      <w:bookmarkEnd w:id="70"/>
      <w:bookmarkStart w:id="71" w:name="_Toc184312104"/>
      <w:bookmarkEnd w:id="71"/>
      <w:bookmarkStart w:id="72" w:name="_Toc184310287"/>
      <w:bookmarkEnd w:id="72"/>
      <w:bookmarkStart w:id="73" w:name="_Toc184314464"/>
      <w:bookmarkEnd w:id="73"/>
      <w:bookmarkStart w:id="74" w:name="_Toc184314444"/>
      <w:bookmarkEnd w:id="74"/>
      <w:bookmarkStart w:id="75" w:name="_Toc184308072"/>
      <w:bookmarkEnd w:id="75"/>
      <w:bookmarkStart w:id="76" w:name="_Toc184314445"/>
      <w:bookmarkEnd w:id="76"/>
      <w:bookmarkStart w:id="77" w:name="_Toc184308099"/>
      <w:bookmarkEnd w:id="77"/>
      <w:bookmarkStart w:id="78" w:name="_Toc184314416"/>
      <w:bookmarkEnd w:id="78"/>
      <w:bookmarkStart w:id="79" w:name="_Toc184312082"/>
      <w:bookmarkEnd w:id="79"/>
      <w:bookmarkStart w:id="80" w:name="_Toc184308107"/>
      <w:bookmarkEnd w:id="80"/>
      <w:bookmarkStart w:id="81" w:name="_Toc184312095"/>
      <w:bookmarkEnd w:id="81"/>
      <w:bookmarkStart w:id="82" w:name="_Toc184312118"/>
      <w:bookmarkEnd w:id="82"/>
      <w:bookmarkStart w:id="83" w:name="_Toc184312125"/>
      <w:bookmarkEnd w:id="83"/>
      <w:bookmarkStart w:id="84" w:name="_Toc184310294"/>
      <w:bookmarkEnd w:id="84"/>
      <w:bookmarkStart w:id="85" w:name="_Toc184314412"/>
      <w:bookmarkEnd w:id="85"/>
      <w:bookmarkStart w:id="86" w:name="_Toc184312077"/>
      <w:bookmarkEnd w:id="86"/>
      <w:bookmarkStart w:id="87" w:name="_Toc184314428"/>
      <w:bookmarkEnd w:id="87"/>
      <w:bookmarkStart w:id="88" w:name="_Toc184314446"/>
      <w:bookmarkEnd w:id="88"/>
      <w:bookmarkStart w:id="89" w:name="_Toc184313261"/>
      <w:bookmarkEnd w:id="89"/>
      <w:bookmarkStart w:id="90" w:name="_Toc184314419"/>
      <w:bookmarkEnd w:id="90"/>
      <w:bookmarkStart w:id="91" w:name="_Toc184314436"/>
      <w:bookmarkEnd w:id="91"/>
      <w:bookmarkStart w:id="92" w:name="_Toc184310309"/>
      <w:bookmarkEnd w:id="92"/>
      <w:bookmarkStart w:id="93" w:name="_Toc184313279"/>
      <w:bookmarkEnd w:id="93"/>
      <w:bookmarkStart w:id="94" w:name="_Toc184312114"/>
      <w:bookmarkEnd w:id="94"/>
      <w:bookmarkStart w:id="95" w:name="_Toc184312133"/>
      <w:bookmarkEnd w:id="95"/>
      <w:bookmarkStart w:id="96" w:name="_Toc184314434"/>
      <w:bookmarkEnd w:id="96"/>
      <w:bookmarkStart w:id="97" w:name="_Toc184314433"/>
      <w:bookmarkEnd w:id="97"/>
      <w:bookmarkStart w:id="98" w:name="_Toc184314461"/>
      <w:bookmarkEnd w:id="98"/>
      <w:bookmarkStart w:id="99" w:name="_Toc184314481"/>
      <w:bookmarkEnd w:id="99"/>
      <w:bookmarkStart w:id="100" w:name="_Toc184308069"/>
      <w:bookmarkEnd w:id="100"/>
      <w:bookmarkStart w:id="101" w:name="_Toc184314440"/>
      <w:bookmarkEnd w:id="101"/>
      <w:bookmarkStart w:id="102" w:name="_Toc184312084"/>
      <w:bookmarkEnd w:id="102"/>
      <w:bookmarkStart w:id="103" w:name="_Toc184313251"/>
      <w:bookmarkEnd w:id="103"/>
      <w:bookmarkStart w:id="104" w:name="_Toc184310307"/>
      <w:bookmarkEnd w:id="104"/>
      <w:bookmarkStart w:id="105" w:name="_Toc184313273"/>
      <w:bookmarkEnd w:id="105"/>
      <w:bookmarkStart w:id="106" w:name="_Toc184314420"/>
      <w:bookmarkEnd w:id="106"/>
      <w:bookmarkStart w:id="107" w:name="_Toc184308058"/>
      <w:bookmarkEnd w:id="107"/>
      <w:bookmarkStart w:id="108" w:name="_Toc184313243"/>
      <w:bookmarkEnd w:id="108"/>
      <w:bookmarkStart w:id="109" w:name="_Toc184308037"/>
      <w:bookmarkEnd w:id="109"/>
      <w:bookmarkStart w:id="110" w:name="_Toc184310321"/>
      <w:bookmarkEnd w:id="110"/>
      <w:bookmarkStart w:id="111" w:name="_Toc184314441"/>
      <w:bookmarkEnd w:id="111"/>
      <w:bookmarkStart w:id="112" w:name="_Toc184312069"/>
      <w:bookmarkEnd w:id="112"/>
      <w:bookmarkStart w:id="113" w:name="_Toc184314466"/>
      <w:bookmarkEnd w:id="113"/>
      <w:bookmarkStart w:id="114" w:name="_Toc184312108"/>
      <w:bookmarkEnd w:id="114"/>
      <w:bookmarkStart w:id="115" w:name="_Toc184308065"/>
      <w:bookmarkEnd w:id="115"/>
      <w:bookmarkStart w:id="116" w:name="_Toc184310330"/>
      <w:bookmarkEnd w:id="116"/>
      <w:bookmarkStart w:id="117" w:name="_Toc184314459"/>
      <w:bookmarkEnd w:id="117"/>
      <w:bookmarkStart w:id="118" w:name="_Toc184312127"/>
      <w:bookmarkEnd w:id="118"/>
      <w:bookmarkStart w:id="119" w:name="_Toc184312120"/>
      <w:bookmarkEnd w:id="119"/>
      <w:bookmarkStart w:id="120" w:name="_Toc184312071"/>
      <w:bookmarkEnd w:id="120"/>
      <w:bookmarkStart w:id="121" w:name="_Toc184308061"/>
      <w:bookmarkEnd w:id="121"/>
      <w:bookmarkStart w:id="122" w:name="_Toc184314442"/>
      <w:bookmarkEnd w:id="122"/>
      <w:bookmarkStart w:id="123" w:name="_Toc184314438"/>
      <w:bookmarkEnd w:id="123"/>
      <w:bookmarkStart w:id="124" w:name="_Toc184313270"/>
      <w:bookmarkEnd w:id="124"/>
      <w:bookmarkStart w:id="125" w:name="_Toc184310322"/>
      <w:bookmarkEnd w:id="125"/>
      <w:bookmarkStart w:id="126" w:name="_Toc184308056"/>
      <w:bookmarkEnd w:id="126"/>
      <w:bookmarkStart w:id="127" w:name="_Toc184310275"/>
      <w:bookmarkEnd w:id="127"/>
      <w:bookmarkStart w:id="128" w:name="_Toc184314443"/>
      <w:bookmarkEnd w:id="128"/>
      <w:bookmarkStart w:id="129" w:name="_Toc184312122"/>
      <w:bookmarkEnd w:id="129"/>
      <w:bookmarkStart w:id="130" w:name="_Toc184310339"/>
      <w:bookmarkEnd w:id="130"/>
      <w:bookmarkStart w:id="131" w:name="_Toc184314458"/>
      <w:bookmarkEnd w:id="131"/>
      <w:bookmarkStart w:id="132" w:name="_Toc184314473"/>
      <w:bookmarkEnd w:id="132"/>
      <w:bookmarkStart w:id="133" w:name="_Toc184310303"/>
      <w:bookmarkEnd w:id="133"/>
      <w:bookmarkStart w:id="134" w:name="_Toc184312121"/>
      <w:bookmarkEnd w:id="134"/>
      <w:bookmarkStart w:id="135" w:name="_Toc184308094"/>
      <w:bookmarkEnd w:id="135"/>
      <w:bookmarkStart w:id="136" w:name="_Toc184314468"/>
      <w:bookmarkEnd w:id="136"/>
      <w:bookmarkStart w:id="137" w:name="_Toc184313304"/>
      <w:bookmarkEnd w:id="137"/>
      <w:bookmarkStart w:id="138" w:name="_Toc184308038"/>
      <w:bookmarkEnd w:id="138"/>
      <w:bookmarkStart w:id="139" w:name="_Toc184312115"/>
      <w:bookmarkEnd w:id="139"/>
      <w:bookmarkStart w:id="140" w:name="_Toc184308093"/>
      <w:bookmarkEnd w:id="140"/>
      <w:bookmarkStart w:id="141" w:name="_Toc184310331"/>
      <w:bookmarkEnd w:id="141"/>
      <w:bookmarkStart w:id="142" w:name="_Toc184313300"/>
      <w:bookmarkEnd w:id="142"/>
      <w:bookmarkStart w:id="143" w:name="_Toc184314463"/>
      <w:bookmarkEnd w:id="143"/>
      <w:bookmarkStart w:id="144" w:name="_Toc184310279"/>
      <w:bookmarkEnd w:id="144"/>
      <w:bookmarkStart w:id="145" w:name="_Toc184310301"/>
      <w:bookmarkEnd w:id="145"/>
      <w:bookmarkStart w:id="146" w:name="_Toc184308082"/>
      <w:bookmarkEnd w:id="146"/>
      <w:bookmarkStart w:id="147" w:name="_Toc184310311"/>
      <w:bookmarkEnd w:id="147"/>
      <w:bookmarkStart w:id="148" w:name="_Toc184313276"/>
      <w:bookmarkEnd w:id="148"/>
      <w:bookmarkStart w:id="149" w:name="_Toc184310278"/>
      <w:bookmarkEnd w:id="149"/>
      <w:bookmarkStart w:id="150" w:name="_Toc184308045"/>
      <w:bookmarkEnd w:id="150"/>
      <w:bookmarkStart w:id="151" w:name="_Toc184312070"/>
      <w:bookmarkEnd w:id="151"/>
      <w:bookmarkStart w:id="152" w:name="_Toc184312089"/>
      <w:bookmarkEnd w:id="152"/>
      <w:bookmarkStart w:id="153" w:name="_Toc184314425"/>
      <w:bookmarkEnd w:id="153"/>
      <w:bookmarkStart w:id="154" w:name="_Toc184310341"/>
      <w:bookmarkEnd w:id="154"/>
      <w:bookmarkStart w:id="155" w:name="_Toc184308103"/>
      <w:bookmarkEnd w:id="155"/>
      <w:bookmarkStart w:id="156" w:name="_Toc184308057"/>
      <w:bookmarkEnd w:id="156"/>
      <w:bookmarkStart w:id="157" w:name="_Toc184312111"/>
      <w:bookmarkEnd w:id="157"/>
      <w:bookmarkStart w:id="158" w:name="_Toc184312083"/>
      <w:bookmarkEnd w:id="158"/>
      <w:bookmarkStart w:id="159" w:name="_Toc184313272"/>
      <w:bookmarkEnd w:id="159"/>
      <w:bookmarkStart w:id="160" w:name="_Toc184310291"/>
      <w:bookmarkEnd w:id="160"/>
      <w:bookmarkStart w:id="161" w:name="_Toc184313257"/>
      <w:bookmarkEnd w:id="161"/>
      <w:bookmarkStart w:id="162" w:name="_Toc184313239"/>
      <w:bookmarkEnd w:id="162"/>
      <w:bookmarkStart w:id="163" w:name="_Toc184310290"/>
      <w:bookmarkEnd w:id="163"/>
      <w:bookmarkStart w:id="164" w:name="_Toc184314448"/>
      <w:bookmarkEnd w:id="164"/>
      <w:bookmarkStart w:id="165" w:name="_Toc184313297"/>
      <w:bookmarkEnd w:id="165"/>
      <w:bookmarkStart w:id="166" w:name="_Toc184310286"/>
      <w:bookmarkEnd w:id="166"/>
      <w:bookmarkStart w:id="167" w:name="_Toc184314422"/>
      <w:bookmarkEnd w:id="167"/>
      <w:bookmarkStart w:id="168" w:name="_Toc184312100"/>
      <w:bookmarkEnd w:id="168"/>
      <w:bookmarkStart w:id="169" w:name="_Toc184313241"/>
      <w:bookmarkEnd w:id="169"/>
      <w:bookmarkStart w:id="170" w:name="_Toc184314470"/>
      <w:bookmarkEnd w:id="170"/>
      <w:bookmarkStart w:id="171" w:name="_Toc184310276"/>
      <w:bookmarkEnd w:id="171"/>
      <w:bookmarkStart w:id="172" w:name="_Toc184312107"/>
      <w:bookmarkEnd w:id="172"/>
      <w:bookmarkStart w:id="173" w:name="_Toc184312068"/>
      <w:bookmarkEnd w:id="173"/>
      <w:bookmarkStart w:id="174" w:name="_Toc184314474"/>
      <w:bookmarkEnd w:id="174"/>
      <w:bookmarkStart w:id="175" w:name="_Toc184308097"/>
      <w:bookmarkEnd w:id="175"/>
      <w:bookmarkStart w:id="176" w:name="_Toc184312110"/>
      <w:bookmarkEnd w:id="176"/>
      <w:bookmarkStart w:id="177" w:name="_Toc184310281"/>
      <w:bookmarkEnd w:id="177"/>
      <w:bookmarkStart w:id="178" w:name="_Toc184308043"/>
      <w:bookmarkEnd w:id="178"/>
      <w:bookmarkStart w:id="179" w:name="_Toc184310299"/>
      <w:bookmarkEnd w:id="179"/>
      <w:bookmarkStart w:id="180" w:name="_Toc184308048"/>
      <w:bookmarkEnd w:id="180"/>
      <w:bookmarkStart w:id="181" w:name="_Toc184312074"/>
      <w:bookmarkEnd w:id="181"/>
      <w:bookmarkStart w:id="182" w:name="_Toc184308055"/>
      <w:bookmarkEnd w:id="182"/>
      <w:bookmarkStart w:id="183" w:name="_Toc184308064"/>
      <w:bookmarkEnd w:id="183"/>
      <w:bookmarkStart w:id="184" w:name="_Toc184308105"/>
      <w:bookmarkEnd w:id="184"/>
      <w:bookmarkStart w:id="185" w:name="_Toc184312105"/>
      <w:bookmarkEnd w:id="185"/>
      <w:bookmarkStart w:id="186" w:name="_Toc184313299"/>
      <w:bookmarkEnd w:id="186"/>
      <w:bookmarkStart w:id="187" w:name="_Toc184312135"/>
      <w:bookmarkEnd w:id="187"/>
      <w:bookmarkStart w:id="188" w:name="_Toc184313266"/>
      <w:bookmarkEnd w:id="188"/>
      <w:bookmarkStart w:id="189" w:name="_Toc184313245"/>
      <w:bookmarkEnd w:id="189"/>
      <w:bookmarkStart w:id="190" w:name="_Toc184310300"/>
      <w:bookmarkEnd w:id="190"/>
      <w:bookmarkStart w:id="191" w:name="_Toc184313289"/>
      <w:bookmarkEnd w:id="191"/>
      <w:bookmarkStart w:id="192" w:name="_Toc184314477"/>
      <w:bookmarkEnd w:id="192"/>
      <w:bookmarkStart w:id="193" w:name="_Toc184308102"/>
      <w:bookmarkEnd w:id="193"/>
      <w:bookmarkStart w:id="194" w:name="_Toc184313259"/>
      <w:bookmarkEnd w:id="194"/>
      <w:bookmarkStart w:id="195" w:name="_Toc184312076"/>
      <w:bookmarkEnd w:id="195"/>
      <w:bookmarkStart w:id="196" w:name="_Toc184314417"/>
      <w:bookmarkEnd w:id="196"/>
      <w:bookmarkStart w:id="197" w:name="_Toc184310343"/>
      <w:bookmarkEnd w:id="197"/>
      <w:bookmarkStart w:id="198" w:name="_Toc184314465"/>
      <w:bookmarkEnd w:id="198"/>
      <w:bookmarkStart w:id="199" w:name="_Toc184313287"/>
      <w:bookmarkEnd w:id="199"/>
      <w:bookmarkStart w:id="200" w:name="_Toc184308054"/>
      <w:bookmarkEnd w:id="200"/>
      <w:bookmarkStart w:id="201" w:name="_Toc184312101"/>
      <w:bookmarkEnd w:id="201"/>
      <w:bookmarkStart w:id="202" w:name="_Toc184308091"/>
      <w:bookmarkEnd w:id="202"/>
      <w:bookmarkStart w:id="203" w:name="_Toc184314479"/>
      <w:bookmarkEnd w:id="203"/>
      <w:bookmarkStart w:id="204" w:name="_Toc184310344"/>
      <w:bookmarkEnd w:id="204"/>
      <w:bookmarkStart w:id="205" w:name="_Toc184313238"/>
      <w:bookmarkEnd w:id="205"/>
      <w:bookmarkStart w:id="206" w:name="_Toc184310292"/>
      <w:bookmarkEnd w:id="206"/>
      <w:bookmarkStart w:id="207" w:name="_Toc184313294"/>
      <w:bookmarkEnd w:id="207"/>
      <w:bookmarkStart w:id="208" w:name="_Toc184312096"/>
      <w:bookmarkEnd w:id="208"/>
      <w:bookmarkStart w:id="209" w:name="_Toc184308051"/>
      <w:bookmarkEnd w:id="209"/>
      <w:bookmarkStart w:id="210" w:name="_Toc184314439"/>
      <w:bookmarkEnd w:id="210"/>
      <w:bookmarkStart w:id="211" w:name="_Toc184313260"/>
      <w:bookmarkEnd w:id="211"/>
      <w:bookmarkStart w:id="212" w:name="_Toc184312072"/>
      <w:bookmarkEnd w:id="212"/>
      <w:bookmarkStart w:id="213" w:name="_Toc184310277"/>
      <w:bookmarkEnd w:id="213"/>
      <w:bookmarkStart w:id="214" w:name="_Toc184312087"/>
      <w:bookmarkEnd w:id="214"/>
      <w:bookmarkStart w:id="215" w:name="_Toc184312102"/>
      <w:bookmarkEnd w:id="215"/>
      <w:bookmarkStart w:id="216" w:name="_Toc184313254"/>
      <w:bookmarkEnd w:id="216"/>
      <w:bookmarkStart w:id="217" w:name="_Toc184313303"/>
      <w:bookmarkEnd w:id="217"/>
      <w:bookmarkStart w:id="218" w:name="_Toc184308096"/>
      <w:bookmarkEnd w:id="218"/>
      <w:bookmarkStart w:id="219" w:name="_Toc184308083"/>
      <w:bookmarkEnd w:id="219"/>
      <w:bookmarkStart w:id="220" w:name="_Toc184313264"/>
      <w:bookmarkEnd w:id="220"/>
      <w:bookmarkStart w:id="221" w:name="_Toc184314449"/>
      <w:bookmarkEnd w:id="221"/>
      <w:bookmarkStart w:id="222" w:name="_Toc184314482"/>
      <w:bookmarkEnd w:id="222"/>
      <w:bookmarkStart w:id="223" w:name="_Toc184310289"/>
      <w:bookmarkEnd w:id="223"/>
      <w:bookmarkStart w:id="224" w:name="_Toc184312073"/>
      <w:bookmarkEnd w:id="224"/>
      <w:bookmarkStart w:id="225" w:name="_Toc184308090"/>
      <w:bookmarkEnd w:id="225"/>
      <w:bookmarkStart w:id="226" w:name="_Toc184312081"/>
      <w:bookmarkEnd w:id="226"/>
      <w:bookmarkStart w:id="227" w:name="_Toc184310315"/>
      <w:bookmarkEnd w:id="227"/>
      <w:bookmarkStart w:id="228" w:name="_Toc184313281"/>
      <w:bookmarkEnd w:id="228"/>
      <w:bookmarkStart w:id="229" w:name="_Toc184314431"/>
      <w:bookmarkEnd w:id="229"/>
      <w:bookmarkStart w:id="230" w:name="_Toc184308066"/>
      <w:bookmarkEnd w:id="230"/>
      <w:bookmarkStart w:id="231" w:name="_Toc184313285"/>
      <w:bookmarkEnd w:id="231"/>
      <w:bookmarkStart w:id="232" w:name="_Toc184308086"/>
      <w:bookmarkEnd w:id="232"/>
      <w:bookmarkStart w:id="233" w:name="_Toc184313265"/>
      <w:bookmarkEnd w:id="233"/>
      <w:bookmarkStart w:id="234" w:name="_Toc184312079"/>
      <w:bookmarkEnd w:id="234"/>
      <w:bookmarkStart w:id="235" w:name="_Toc184312092"/>
      <w:bookmarkEnd w:id="235"/>
      <w:bookmarkStart w:id="236" w:name="_Toc184313262"/>
      <w:bookmarkEnd w:id="236"/>
      <w:bookmarkStart w:id="237" w:name="_Toc184312097"/>
      <w:bookmarkEnd w:id="237"/>
      <w:bookmarkStart w:id="238" w:name="_Toc184314457"/>
      <w:bookmarkEnd w:id="238"/>
      <w:bookmarkStart w:id="239" w:name="_Toc184308106"/>
      <w:bookmarkEnd w:id="239"/>
      <w:bookmarkStart w:id="240" w:name="_Toc184314447"/>
      <w:bookmarkEnd w:id="240"/>
      <w:bookmarkStart w:id="241" w:name="_Toc184308088"/>
      <w:bookmarkEnd w:id="241"/>
      <w:bookmarkStart w:id="242" w:name="_Toc184310318"/>
      <w:bookmarkEnd w:id="242"/>
      <w:bookmarkStart w:id="243" w:name="_Toc184314450"/>
      <w:bookmarkEnd w:id="243"/>
      <w:bookmarkStart w:id="244" w:name="_Toc184310285"/>
      <w:bookmarkEnd w:id="244"/>
      <w:bookmarkStart w:id="245" w:name="_Toc184314411"/>
      <w:bookmarkEnd w:id="245"/>
      <w:bookmarkStart w:id="246" w:name="_Toc184313250"/>
      <w:bookmarkEnd w:id="246"/>
      <w:bookmarkStart w:id="247" w:name="_Toc184310312"/>
      <w:bookmarkEnd w:id="247"/>
      <w:bookmarkStart w:id="248" w:name="_Toc184312124"/>
      <w:bookmarkEnd w:id="248"/>
      <w:bookmarkStart w:id="249" w:name="_Toc184312099"/>
      <w:bookmarkEnd w:id="249"/>
      <w:bookmarkStart w:id="250" w:name="_Toc184310273"/>
      <w:bookmarkEnd w:id="250"/>
      <w:bookmarkStart w:id="251" w:name="_Toc184312129"/>
      <w:bookmarkEnd w:id="251"/>
      <w:bookmarkStart w:id="252" w:name="_Toc184310280"/>
      <w:bookmarkEnd w:id="252"/>
      <w:bookmarkStart w:id="253" w:name="_Toc184310323"/>
      <w:bookmarkEnd w:id="253"/>
      <w:bookmarkStart w:id="254" w:name="_Toc184314478"/>
      <w:bookmarkEnd w:id="254"/>
      <w:bookmarkStart w:id="255" w:name="_Toc184312086"/>
      <w:bookmarkEnd w:id="255"/>
      <w:bookmarkStart w:id="256" w:name="_Toc184308095"/>
      <w:bookmarkEnd w:id="256"/>
      <w:bookmarkStart w:id="257" w:name="_Toc184313291"/>
      <w:bookmarkEnd w:id="257"/>
      <w:bookmarkStart w:id="258" w:name="_Toc184313246"/>
      <w:bookmarkEnd w:id="258"/>
      <w:bookmarkStart w:id="259" w:name="_Toc184312126"/>
      <w:bookmarkEnd w:id="259"/>
      <w:bookmarkStart w:id="260" w:name="_Toc184312090"/>
      <w:bookmarkEnd w:id="260"/>
      <w:bookmarkStart w:id="261" w:name="_Toc184312075"/>
      <w:bookmarkEnd w:id="261"/>
      <w:bookmarkStart w:id="262" w:name="_Toc184314424"/>
      <w:bookmarkEnd w:id="262"/>
      <w:bookmarkStart w:id="263" w:name="_Toc184310340"/>
      <w:bookmarkEnd w:id="263"/>
      <w:bookmarkStart w:id="264" w:name="_Toc184310327"/>
      <w:bookmarkEnd w:id="264"/>
      <w:bookmarkStart w:id="265" w:name="_Toc184312088"/>
      <w:bookmarkEnd w:id="265"/>
      <w:bookmarkStart w:id="266" w:name="_Toc184313269"/>
      <w:bookmarkEnd w:id="266"/>
      <w:bookmarkStart w:id="267" w:name="_Toc184308046"/>
      <w:bookmarkEnd w:id="267"/>
      <w:bookmarkStart w:id="268" w:name="_Toc184314418"/>
      <w:bookmarkEnd w:id="268"/>
      <w:bookmarkStart w:id="269" w:name="_Toc184308098"/>
      <w:bookmarkEnd w:id="269"/>
      <w:bookmarkStart w:id="270" w:name="_Toc184314423"/>
      <w:bookmarkEnd w:id="270"/>
      <w:bookmarkStart w:id="271" w:name="_Toc184308036"/>
      <w:bookmarkEnd w:id="271"/>
      <w:bookmarkStart w:id="272" w:name="_Toc184312093"/>
      <w:bookmarkEnd w:id="272"/>
      <w:bookmarkStart w:id="273" w:name="_Toc184314472"/>
      <w:bookmarkEnd w:id="273"/>
      <w:bookmarkStart w:id="274" w:name="_Toc184313278"/>
      <w:bookmarkEnd w:id="274"/>
      <w:bookmarkStart w:id="275" w:name="_Toc184313295"/>
      <w:bookmarkEnd w:id="275"/>
      <w:bookmarkStart w:id="276" w:name="_Toc184314414"/>
      <w:bookmarkEnd w:id="276"/>
      <w:bookmarkStart w:id="277" w:name="_Toc184314452"/>
      <w:bookmarkEnd w:id="277"/>
      <w:bookmarkStart w:id="278" w:name="_Toc184308085"/>
      <w:bookmarkEnd w:id="278"/>
      <w:bookmarkStart w:id="279" w:name="_Toc184314430"/>
      <w:bookmarkEnd w:id="279"/>
      <w:bookmarkStart w:id="280" w:name="_Toc184310332"/>
      <w:bookmarkEnd w:id="280"/>
      <w:bookmarkStart w:id="281" w:name="_Toc184310320"/>
      <w:bookmarkEnd w:id="281"/>
      <w:bookmarkStart w:id="282" w:name="_Toc184313306"/>
      <w:bookmarkEnd w:id="282"/>
      <w:bookmarkStart w:id="283" w:name="_Toc184314426"/>
      <w:bookmarkEnd w:id="283"/>
      <w:bookmarkStart w:id="284" w:name="_Toc184314413"/>
      <w:bookmarkEnd w:id="284"/>
      <w:bookmarkStart w:id="285" w:name="_Toc184308079"/>
      <w:bookmarkEnd w:id="285"/>
      <w:bookmarkStart w:id="286" w:name="_Toc184312131"/>
      <w:bookmarkEnd w:id="286"/>
      <w:bookmarkStart w:id="287" w:name="_Toc184314429"/>
      <w:bookmarkEnd w:id="287"/>
      <w:bookmarkStart w:id="288" w:name="_Toc184308047"/>
      <w:bookmarkEnd w:id="288"/>
      <w:bookmarkStart w:id="289" w:name="_Toc184312117"/>
      <w:bookmarkEnd w:id="289"/>
      <w:bookmarkStart w:id="290" w:name="_Toc184310324"/>
      <w:bookmarkEnd w:id="290"/>
      <w:bookmarkStart w:id="291" w:name="_Toc184313305"/>
      <w:bookmarkEnd w:id="291"/>
      <w:bookmarkStart w:id="292" w:name="_Toc184314435"/>
      <w:bookmarkEnd w:id="292"/>
      <w:bookmarkStart w:id="293" w:name="_Toc184313284"/>
      <w:bookmarkEnd w:id="293"/>
      <w:bookmarkStart w:id="294" w:name="_Toc184310282"/>
      <w:bookmarkEnd w:id="294"/>
      <w:bookmarkStart w:id="295" w:name="_Toc184308076"/>
      <w:bookmarkEnd w:id="295"/>
      <w:bookmarkStart w:id="296" w:name="_Toc184308068"/>
      <w:bookmarkEnd w:id="296"/>
      <w:bookmarkStart w:id="297" w:name="_Toc184310305"/>
      <w:bookmarkEnd w:id="297"/>
      <w:bookmarkStart w:id="298" w:name="_Toc184312134"/>
      <w:bookmarkEnd w:id="298"/>
      <w:bookmarkStart w:id="299" w:name="_Toc184314437"/>
      <w:bookmarkEnd w:id="299"/>
      <w:bookmarkStart w:id="300" w:name="_Toc184308080"/>
      <w:bookmarkEnd w:id="300"/>
      <w:bookmarkStart w:id="301" w:name="_Toc184313255"/>
      <w:bookmarkEnd w:id="301"/>
      <w:bookmarkStart w:id="302" w:name="_Toc184312138"/>
      <w:bookmarkEnd w:id="302"/>
      <w:bookmarkStart w:id="303" w:name="_Toc184310302"/>
      <w:bookmarkEnd w:id="303"/>
      <w:bookmarkStart w:id="304" w:name="_Toc184308073"/>
      <w:bookmarkEnd w:id="304"/>
      <w:bookmarkStart w:id="305" w:name="_Toc184313275"/>
      <w:bookmarkEnd w:id="305"/>
      <w:bookmarkStart w:id="306" w:name="_Toc184313271"/>
      <w:bookmarkEnd w:id="306"/>
      <w:bookmarkStart w:id="307" w:name="_Toc184310293"/>
      <w:bookmarkEnd w:id="307"/>
      <w:bookmarkStart w:id="308" w:name="_Toc184310313"/>
      <w:bookmarkEnd w:id="308"/>
      <w:bookmarkStart w:id="309" w:name="_Toc184308063"/>
      <w:bookmarkEnd w:id="309"/>
      <w:bookmarkStart w:id="310" w:name="_Toc184310295"/>
      <w:bookmarkEnd w:id="310"/>
      <w:bookmarkStart w:id="311" w:name="_Toc184308060"/>
      <w:bookmarkEnd w:id="311"/>
      <w:bookmarkStart w:id="312" w:name="_Toc184313296"/>
      <w:bookmarkEnd w:id="312"/>
      <w:bookmarkStart w:id="313" w:name="_Toc184314475"/>
      <w:bookmarkEnd w:id="313"/>
      <w:bookmarkStart w:id="314" w:name="_Toc184312132"/>
      <w:bookmarkEnd w:id="314"/>
      <w:bookmarkStart w:id="315" w:name="_Toc184313258"/>
      <w:bookmarkEnd w:id="315"/>
      <w:bookmarkStart w:id="316" w:name="_Toc184310319"/>
      <w:bookmarkEnd w:id="316"/>
      <w:bookmarkStart w:id="317" w:name="_Toc184313282"/>
      <w:bookmarkEnd w:id="317"/>
      <w:bookmarkStart w:id="318" w:name="_Toc184313286"/>
      <w:bookmarkEnd w:id="318"/>
      <w:bookmarkStart w:id="319" w:name="_Toc184313252"/>
      <w:bookmarkEnd w:id="319"/>
      <w:bookmarkStart w:id="320" w:name="_Toc184308049"/>
      <w:bookmarkEnd w:id="320"/>
      <w:bookmarkStart w:id="321" w:name="_Toc184312080"/>
      <w:bookmarkEnd w:id="321"/>
      <w:bookmarkStart w:id="322" w:name="_Toc184313292"/>
      <w:bookmarkEnd w:id="322"/>
      <w:bookmarkStart w:id="323" w:name="_Toc184313309"/>
      <w:bookmarkEnd w:id="323"/>
      <w:bookmarkStart w:id="324" w:name="_Toc184313283"/>
      <w:bookmarkEnd w:id="324"/>
      <w:bookmarkStart w:id="325" w:name="_Toc184314471"/>
      <w:bookmarkEnd w:id="325"/>
      <w:bookmarkStart w:id="326" w:name="_Toc184308053"/>
      <w:bookmarkEnd w:id="326"/>
      <w:bookmarkStart w:id="327" w:name="_Toc184314410"/>
      <w:bookmarkEnd w:id="327"/>
      <w:bookmarkStart w:id="328" w:name="_Toc184314451"/>
      <w:bookmarkEnd w:id="328"/>
      <w:bookmarkStart w:id="329" w:name="_Toc184310306"/>
      <w:bookmarkEnd w:id="329"/>
      <w:bookmarkStart w:id="330" w:name="_Toc184312103"/>
      <w:bookmarkEnd w:id="330"/>
      <w:bookmarkStart w:id="331" w:name="_Toc184312119"/>
      <w:bookmarkEnd w:id="331"/>
      <w:bookmarkStart w:id="332" w:name="_Toc184313268"/>
      <w:bookmarkEnd w:id="332"/>
      <w:bookmarkStart w:id="333" w:name="_Toc184310298"/>
      <w:bookmarkEnd w:id="333"/>
      <w:bookmarkStart w:id="334" w:name="_Toc184314455"/>
      <w:bookmarkEnd w:id="334"/>
      <w:bookmarkStart w:id="335" w:name="_Toc184308050"/>
      <w:bookmarkEnd w:id="335"/>
      <w:bookmarkStart w:id="336" w:name="_Toc184313307"/>
      <w:bookmarkEnd w:id="336"/>
      <w:bookmarkStart w:id="337" w:name="_Toc184313240"/>
      <w:bookmarkEnd w:id="337"/>
      <w:bookmarkStart w:id="338" w:name="_Toc184313310"/>
      <w:bookmarkEnd w:id="338"/>
      <w:bookmarkStart w:id="339" w:name="_Toc184308052"/>
      <w:bookmarkEnd w:id="339"/>
      <w:bookmarkStart w:id="340" w:name="_Toc184310310"/>
      <w:bookmarkEnd w:id="340"/>
      <w:bookmarkStart w:id="341" w:name="_Toc184308059"/>
      <w:bookmarkEnd w:id="341"/>
      <w:bookmarkStart w:id="342" w:name="_Toc184314432"/>
      <w:bookmarkEnd w:id="342"/>
      <w:bookmarkStart w:id="343" w:name="_Toc184308041"/>
      <w:bookmarkEnd w:id="343"/>
      <w:bookmarkStart w:id="344" w:name="_Toc184313308"/>
      <w:bookmarkEnd w:id="344"/>
      <w:bookmarkStart w:id="345" w:name="_Toc184308067"/>
      <w:bookmarkEnd w:id="345"/>
      <w:bookmarkStart w:id="346" w:name="_Toc184308087"/>
      <w:bookmarkEnd w:id="346"/>
      <w:bookmarkStart w:id="347" w:name="_Toc184308075"/>
      <w:bookmarkEnd w:id="347"/>
      <w:bookmarkStart w:id="348" w:name="_Toc184312109"/>
      <w:bookmarkEnd w:id="348"/>
      <w:bookmarkStart w:id="349" w:name="_Toc184313256"/>
      <w:bookmarkEnd w:id="349"/>
      <w:bookmarkStart w:id="350" w:name="_Toc184310297"/>
      <w:bookmarkEnd w:id="350"/>
      <w:bookmarkStart w:id="351" w:name="_Toc184310326"/>
      <w:bookmarkEnd w:id="351"/>
      <w:bookmarkStart w:id="352" w:name="_Toc184310316"/>
      <w:bookmarkEnd w:id="352"/>
      <w:bookmarkStart w:id="353" w:name="_Toc184314467"/>
      <w:bookmarkEnd w:id="353"/>
      <w:bookmarkStart w:id="354" w:name="_Toc184308089"/>
      <w:bookmarkEnd w:id="354"/>
      <w:bookmarkStart w:id="355" w:name="_Toc184308071"/>
      <w:bookmarkEnd w:id="355"/>
      <w:bookmarkStart w:id="356" w:name="_Toc184308044"/>
      <w:bookmarkEnd w:id="356"/>
      <w:bookmarkStart w:id="357" w:name="_Toc184310274"/>
      <w:bookmarkEnd w:id="357"/>
      <w:bookmarkStart w:id="358" w:name="_Toc184313267"/>
      <w:bookmarkEnd w:id="358"/>
      <w:bookmarkStart w:id="359" w:name="_Toc184310335"/>
      <w:bookmarkEnd w:id="359"/>
      <w:bookmarkStart w:id="360" w:name="_Toc184308042"/>
      <w:bookmarkEnd w:id="360"/>
      <w:bookmarkStart w:id="361" w:name="_Toc184314480"/>
      <w:bookmarkEnd w:id="361"/>
      <w:bookmarkStart w:id="362" w:name="_Toc184310328"/>
      <w:bookmarkEnd w:id="362"/>
      <w:bookmarkStart w:id="363" w:name="_Toc184313242"/>
      <w:bookmarkEnd w:id="363"/>
      <w:bookmarkStart w:id="364" w:name="_Toc184310333"/>
      <w:bookmarkEnd w:id="364"/>
      <w:bookmarkStart w:id="365" w:name="_Toc184308084"/>
      <w:bookmarkEnd w:id="365"/>
      <w:bookmarkStart w:id="366" w:name="_Toc184310342"/>
      <w:bookmarkEnd w:id="366"/>
      <w:bookmarkStart w:id="367" w:name="_Toc184308062"/>
      <w:bookmarkEnd w:id="367"/>
      <w:bookmarkStart w:id="368" w:name="_Toc184313298"/>
      <w:bookmarkEnd w:id="368"/>
      <w:bookmarkStart w:id="369" w:name="_Toc184308040"/>
      <w:bookmarkEnd w:id="369"/>
      <w:bookmarkStart w:id="370" w:name="_Toc184313253"/>
      <w:bookmarkEnd w:id="370"/>
      <w:bookmarkStart w:id="371" w:name="_Toc184310288"/>
      <w:bookmarkEnd w:id="371"/>
      <w:bookmarkStart w:id="372" w:name="_Toc184313249"/>
      <w:bookmarkEnd w:id="372"/>
      <w:bookmarkStart w:id="373" w:name="_Toc184314462"/>
      <w:bookmarkEnd w:id="373"/>
      <w:bookmarkStart w:id="374" w:name="_Toc184310325"/>
      <w:bookmarkEnd w:id="374"/>
      <w:bookmarkStart w:id="375" w:name="_Toc184312128"/>
      <w:bookmarkEnd w:id="375"/>
      <w:bookmarkStart w:id="376" w:name="_Toc184312098"/>
      <w:bookmarkEnd w:id="376"/>
      <w:bookmarkStart w:id="377" w:name="_Toc184312106"/>
      <w:bookmarkEnd w:id="377"/>
      <w:bookmarkStart w:id="378" w:name="_Toc184310317"/>
      <w:bookmarkEnd w:id="378"/>
      <w:bookmarkStart w:id="379" w:name="_Toc184310337"/>
      <w:bookmarkEnd w:id="379"/>
      <w:bookmarkStart w:id="380" w:name="_Toc184312116"/>
      <w:bookmarkEnd w:id="380"/>
      <w:bookmarkStart w:id="381" w:name="_Toc184312123"/>
      <w:bookmarkEnd w:id="381"/>
      <w:bookmarkStart w:id="382" w:name="_Toc184308070"/>
      <w:bookmarkEnd w:id="382"/>
      <w:bookmarkStart w:id="383" w:name="_Toc184313248"/>
      <w:bookmarkEnd w:id="383"/>
      <w:bookmarkStart w:id="384" w:name="_Toc184312085"/>
      <w:bookmarkEnd w:id="384"/>
      <w:bookmarkStart w:id="385" w:name="_Toc184314453"/>
      <w:bookmarkEnd w:id="385"/>
      <w:bookmarkStart w:id="386" w:name="_Toc184312113"/>
      <w:bookmarkEnd w:id="386"/>
      <w:bookmarkStart w:id="387" w:name="_Toc184313301"/>
      <w:bookmarkEnd w:id="387"/>
      <w:bookmarkStart w:id="388" w:name="_Toc184312137"/>
      <w:bookmarkEnd w:id="388"/>
      <w:bookmarkStart w:id="389" w:name="_Toc184310308"/>
      <w:bookmarkEnd w:id="389"/>
      <w:bookmarkStart w:id="390" w:name="_Toc184313288"/>
      <w:bookmarkEnd w:id="390"/>
      <w:bookmarkStart w:id="391" w:name="_Toc184313274"/>
      <w:bookmarkEnd w:id="391"/>
      <w:bookmarkStart w:id="392" w:name="_Toc184312139"/>
      <w:bookmarkEnd w:id="392"/>
      <w:r>
        <w:rPr>
          <w:rFonts w:hint="eastAsia" w:ascii="宋体" w:hAnsi="宋体" w:cs="宋体"/>
          <w:b/>
          <w:color w:val="auto"/>
          <w:sz w:val="36"/>
          <w:szCs w:val="36"/>
        </w:rPr>
        <w:t>评标办法</w:t>
      </w:r>
    </w:p>
    <w:tbl>
      <w:tblPr>
        <w:tblStyle w:val="63"/>
        <w:tblW w:w="8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4605"/>
        <w:gridCol w:w="690"/>
        <w:gridCol w:w="109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pPr>
              <w:keepNext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4605" w:type="dxa"/>
            <w:vAlign w:val="center"/>
          </w:tcPr>
          <w:p>
            <w:pPr>
              <w:keepNext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评标标准</w:t>
            </w:r>
          </w:p>
        </w:tc>
        <w:tc>
          <w:tcPr>
            <w:tcW w:w="690" w:type="dxa"/>
            <w:vAlign w:val="center"/>
          </w:tcPr>
          <w:p>
            <w:pPr>
              <w:keepNext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权重</w:t>
            </w:r>
          </w:p>
        </w:tc>
        <w:tc>
          <w:tcPr>
            <w:tcW w:w="1095" w:type="dxa"/>
            <w:vAlign w:val="center"/>
          </w:tcPr>
          <w:p>
            <w:pPr>
              <w:keepNext w:val="0"/>
              <w:pageBreakBefore w:val="0"/>
              <w:kinsoku/>
              <w:wordWrap/>
              <w:overflowPunct/>
              <w:topLinePunct w:val="0"/>
              <w:bidi w:val="0"/>
              <w:snapToGrid w:val="0"/>
              <w:spacing w:line="240" w:lineRule="auto"/>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主观分/客观分属性</w:t>
            </w:r>
          </w:p>
        </w:tc>
        <w:tc>
          <w:tcPr>
            <w:tcW w:w="1890" w:type="dxa"/>
            <w:vAlign w:val="top"/>
          </w:tcPr>
          <w:p>
            <w:pPr>
              <w:keepNext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pPr>
              <w:keepNext w:val="0"/>
              <w:pageBreakBefore w:val="0"/>
              <w:kinsoku/>
              <w:wordWrap/>
              <w:overflowPunct/>
              <w:topLinePunct w:val="0"/>
              <w:bidi w:val="0"/>
              <w:snapToGrid w:val="0"/>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4605" w:type="dxa"/>
            <w:vAlign w:val="center"/>
          </w:tcPr>
          <w:p>
            <w:pPr>
              <w:keepNext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同时具备ISO14001环境管理体系认证证书，ISO9001质量管理体系认证证书，ISO45001职业健康安全管理体系认证证书得3分，少一项不得分。</w:t>
            </w:r>
          </w:p>
          <w:p>
            <w:pPr>
              <w:keepNext w:val="0"/>
              <w:pageBreakBefore w:val="0"/>
              <w:kinsoku/>
              <w:wordWrap/>
              <w:overflowPunct/>
              <w:topLinePunct w:val="0"/>
              <w:bidi w:val="0"/>
              <w:spacing w:line="360" w:lineRule="auto"/>
              <w:textAlignment w:val="auto"/>
              <w:rPr>
                <w:rFonts w:hint="eastAsia" w:ascii="宋体" w:hAnsi="宋体" w:eastAsia="宋体" w:cs="Times New Roman"/>
                <w:b w:val="0"/>
                <w:bCs w:val="0"/>
                <w:sz w:val="24"/>
                <w:szCs w:val="24"/>
                <w:lang w:val="en-US" w:eastAsia="zh-CN"/>
              </w:rPr>
            </w:pPr>
            <w:r>
              <w:rPr>
                <w:rFonts w:hint="eastAsia" w:ascii="宋体" w:hAnsi="宋体" w:cs="宋体"/>
                <w:bCs/>
                <w:sz w:val="24"/>
                <w:u w:val="none"/>
              </w:rPr>
              <w:t>(投标文件中提供有效期内的证书复印件</w:t>
            </w:r>
            <w:r>
              <w:rPr>
                <w:rFonts w:hint="eastAsia" w:ascii="宋体" w:hAnsi="宋体" w:cs="宋体"/>
                <w:bCs/>
                <w:sz w:val="24"/>
                <w:u w:val="none"/>
                <w:lang w:eastAsia="zh-CN"/>
              </w:rPr>
              <w:t>或扫描件加盖公章</w:t>
            </w:r>
            <w:r>
              <w:rPr>
                <w:rFonts w:hint="eastAsia" w:ascii="宋体" w:hAnsi="宋体" w:cs="宋体"/>
                <w:bCs/>
                <w:sz w:val="24"/>
                <w:u w:val="none"/>
              </w:rPr>
              <w:t>，</w:t>
            </w:r>
            <w:r>
              <w:rPr>
                <w:rFonts w:hint="eastAsia" w:ascii="宋体" w:hAnsi="宋体" w:cs="宋体"/>
                <w:bCs/>
                <w:sz w:val="24"/>
                <w:u w:val="none"/>
                <w:lang w:eastAsia="zh-CN"/>
              </w:rPr>
              <w:t>不提供不得分</w:t>
            </w:r>
            <w:r>
              <w:rPr>
                <w:rFonts w:hint="eastAsia" w:ascii="宋体" w:hAnsi="宋体" w:cs="宋体"/>
                <w:bCs/>
                <w:sz w:val="24"/>
                <w:u w:val="none"/>
              </w:rPr>
              <w:t>)</w:t>
            </w:r>
          </w:p>
        </w:tc>
        <w:tc>
          <w:tcPr>
            <w:tcW w:w="690" w:type="dxa"/>
            <w:vAlign w:val="center"/>
          </w:tcPr>
          <w:p>
            <w:pPr>
              <w:keepNext w:val="0"/>
              <w:pageBreakBefore w:val="0"/>
              <w:kinsoku/>
              <w:wordWrap/>
              <w:overflowPunct/>
              <w:topLinePunct w:val="0"/>
              <w:bidi w:val="0"/>
              <w:spacing w:line="360" w:lineRule="auto"/>
              <w:jc w:val="center"/>
              <w:textAlignment w:val="auto"/>
              <w:rPr>
                <w:rFonts w:hint="default" w:ascii="宋体" w:hAnsi="宋体" w:eastAsia="宋体" w:cs="Times New Roman"/>
                <w:b w:val="0"/>
                <w:bCs w:val="0"/>
                <w:sz w:val="24"/>
                <w:szCs w:val="24"/>
                <w:lang w:val="en-US" w:eastAsia="zh-CN"/>
              </w:rPr>
            </w:pPr>
            <w:r>
              <w:rPr>
                <w:rFonts w:hint="eastAsia" w:ascii="宋体" w:hAnsi="宋体" w:cs="Times New Roman"/>
                <w:b w:val="0"/>
                <w:bCs w:val="0"/>
                <w:sz w:val="24"/>
                <w:szCs w:val="24"/>
                <w:lang w:val="en-US" w:eastAsia="zh-CN"/>
              </w:rPr>
              <w:t>3</w:t>
            </w:r>
          </w:p>
        </w:tc>
        <w:tc>
          <w:tcPr>
            <w:tcW w:w="1095" w:type="dxa"/>
            <w:vAlign w:val="center"/>
          </w:tcPr>
          <w:p>
            <w:pPr>
              <w:keepNext w:val="0"/>
              <w:pageBreakBefore w:val="0"/>
              <w:kinsoku/>
              <w:wordWrap/>
              <w:overflowPunct/>
              <w:topLinePunct w:val="0"/>
              <w:bidi w:val="0"/>
              <w:spacing w:line="360" w:lineRule="auto"/>
              <w:textAlignment w:val="auto"/>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客观分</w:t>
            </w:r>
          </w:p>
        </w:tc>
        <w:tc>
          <w:tcPr>
            <w:tcW w:w="1890" w:type="dxa"/>
            <w:vAlign w:val="center"/>
          </w:tcPr>
          <w:p>
            <w:pPr>
              <w:keepNext w:val="0"/>
              <w:pageBreakBefore w:val="0"/>
              <w:kinsoku/>
              <w:wordWrap/>
              <w:overflowPunct/>
              <w:topLinePunct w:val="0"/>
              <w:bidi w:val="0"/>
              <w:spacing w:line="360" w:lineRule="auto"/>
              <w:textAlignment w:val="auto"/>
              <w:rPr>
                <w:rFonts w:hint="eastAsia" w:ascii="宋体" w:hAnsi="宋体" w:eastAsia="宋体" w:cs="Times New Roman"/>
                <w:b w:val="0"/>
                <w:bCs w:val="0"/>
                <w:sz w:val="24"/>
                <w:szCs w:val="24"/>
                <w:lang w:val="en-US" w:eastAsia="zh-CN"/>
              </w:rPr>
            </w:pPr>
            <w:r>
              <w:rPr>
                <w:rFonts w:hint="eastAsia" w:ascii="宋体" w:hAnsi="宋体" w:cs="Times New Roman"/>
                <w:b w:val="0"/>
                <w:bCs w:val="0"/>
                <w:sz w:val="24"/>
                <w:szCs w:val="24"/>
                <w:lang w:val="en-US" w:eastAsia="zh-CN"/>
              </w:rPr>
              <w:t>体系证书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pPr>
              <w:keepNext w:val="0"/>
              <w:pageBreakBefore w:val="0"/>
              <w:kinsoku/>
              <w:wordWrap/>
              <w:overflowPunct/>
              <w:topLinePunct w:val="0"/>
              <w:bidi w:val="0"/>
              <w:snapToGrid w:val="0"/>
              <w:spacing w:line="360" w:lineRule="auto"/>
              <w:jc w:val="center"/>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p>
        </w:tc>
        <w:tc>
          <w:tcPr>
            <w:tcW w:w="4605" w:type="dxa"/>
            <w:vAlign w:val="center"/>
          </w:tcPr>
          <w:p>
            <w:pPr>
              <w:keepNext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提供20</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年1月1日以来</w:t>
            </w:r>
            <w:r>
              <w:rPr>
                <w:rFonts w:hint="eastAsia" w:ascii="宋体" w:hAnsi="宋体" w:cs="宋体"/>
                <w:color w:val="auto"/>
                <w:sz w:val="24"/>
                <w:szCs w:val="24"/>
                <w:highlight w:val="none"/>
                <w:lang w:eastAsia="zh-CN"/>
              </w:rPr>
              <w:t>（以合同签订时间或中标通知书落款时间为准）</w:t>
            </w:r>
            <w:r>
              <w:rPr>
                <w:rFonts w:hint="eastAsia" w:ascii="宋体" w:hAnsi="宋体" w:eastAsia="宋体" w:cs="宋体"/>
                <w:color w:val="auto"/>
                <w:sz w:val="24"/>
                <w:szCs w:val="24"/>
                <w:highlight w:val="none"/>
              </w:rPr>
              <w:t>，做过类似项目业绩，每个得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分，最多得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pPr>
              <w:keepNext w:val="0"/>
              <w:pageBreakBefore w:val="0"/>
              <w:kinsoku/>
              <w:wordWrap/>
              <w:overflowPunct/>
              <w:topLinePunct w:val="0"/>
              <w:bidi w:val="0"/>
              <w:spacing w:line="360" w:lineRule="auto"/>
              <w:textAlignment w:val="auto"/>
              <w:rPr>
                <w:rFonts w:hint="eastAsia" w:ascii="宋体" w:hAnsi="宋体" w:eastAsia="宋体" w:cs="宋体"/>
                <w:bCs/>
                <w:sz w:val="24"/>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投标文件中提供</w:t>
            </w:r>
            <w:r>
              <w:rPr>
                <w:rFonts w:hint="eastAsia" w:ascii="宋体" w:hAnsi="宋体" w:eastAsia="宋体" w:cs="宋体"/>
                <w:color w:val="auto"/>
                <w:sz w:val="24"/>
                <w:szCs w:val="24"/>
                <w:highlight w:val="none"/>
              </w:rPr>
              <w:t>合同或中标通知书</w:t>
            </w:r>
            <w:r>
              <w:rPr>
                <w:rFonts w:hint="eastAsia" w:ascii="宋体" w:hAnsi="宋体" w:cs="宋体"/>
                <w:color w:val="auto"/>
                <w:sz w:val="24"/>
                <w:szCs w:val="24"/>
                <w:highlight w:val="none"/>
                <w:lang w:eastAsia="zh-CN"/>
              </w:rPr>
              <w:t>复印</w:t>
            </w:r>
            <w:r>
              <w:rPr>
                <w:rFonts w:hint="eastAsia" w:ascii="宋体" w:hAnsi="宋体" w:eastAsia="宋体" w:cs="宋体"/>
                <w:color w:val="auto"/>
                <w:sz w:val="24"/>
                <w:szCs w:val="24"/>
                <w:highlight w:val="none"/>
              </w:rPr>
              <w:t>件</w:t>
            </w:r>
            <w:r>
              <w:rPr>
                <w:rFonts w:hint="eastAsia" w:ascii="宋体" w:hAnsi="宋体" w:cs="宋体"/>
                <w:color w:val="auto"/>
                <w:sz w:val="24"/>
                <w:szCs w:val="24"/>
                <w:highlight w:val="none"/>
                <w:lang w:eastAsia="zh-CN"/>
              </w:rPr>
              <w:t>或扫面件并加盖公章，不提供不得分</w:t>
            </w:r>
            <w:r>
              <w:rPr>
                <w:rFonts w:hint="eastAsia" w:ascii="宋体" w:hAnsi="宋体" w:eastAsia="宋体" w:cs="宋体"/>
                <w:color w:val="auto"/>
                <w:sz w:val="24"/>
                <w:szCs w:val="24"/>
                <w:highlight w:val="none"/>
              </w:rPr>
              <w:t>）</w:t>
            </w:r>
          </w:p>
        </w:tc>
        <w:tc>
          <w:tcPr>
            <w:tcW w:w="690" w:type="dxa"/>
            <w:vAlign w:val="center"/>
          </w:tcPr>
          <w:p>
            <w:pPr>
              <w:keepNext w:val="0"/>
              <w:pageBreakBefore w:val="0"/>
              <w:kinsoku/>
              <w:wordWrap/>
              <w:overflowPunct/>
              <w:topLinePunct w:val="0"/>
              <w:bidi w:val="0"/>
              <w:spacing w:line="360" w:lineRule="auto"/>
              <w:jc w:val="center"/>
              <w:textAlignment w:val="auto"/>
              <w:rPr>
                <w:rFonts w:hint="default" w:ascii="宋体" w:hAnsi="宋体" w:cs="Times New Roman"/>
                <w:b w:val="0"/>
                <w:bCs w:val="0"/>
                <w:sz w:val="24"/>
                <w:szCs w:val="24"/>
                <w:lang w:val="en-US" w:eastAsia="zh-CN"/>
              </w:rPr>
            </w:pPr>
            <w:r>
              <w:rPr>
                <w:rFonts w:hint="eastAsia" w:ascii="宋体" w:hAnsi="宋体" w:cs="Times New Roman"/>
                <w:b w:val="0"/>
                <w:bCs w:val="0"/>
                <w:sz w:val="24"/>
                <w:szCs w:val="24"/>
                <w:lang w:val="en-US" w:eastAsia="zh-CN"/>
              </w:rPr>
              <w:t>3</w:t>
            </w:r>
          </w:p>
        </w:tc>
        <w:tc>
          <w:tcPr>
            <w:tcW w:w="1095" w:type="dxa"/>
            <w:vAlign w:val="center"/>
          </w:tcPr>
          <w:p>
            <w:pPr>
              <w:keepNext w:val="0"/>
              <w:pageBreakBefore w:val="0"/>
              <w:kinsoku/>
              <w:wordWrap/>
              <w:overflowPunct/>
              <w:topLinePunct w:val="0"/>
              <w:bidi w:val="0"/>
              <w:spacing w:line="360" w:lineRule="auto"/>
              <w:textAlignment w:val="auto"/>
              <w:rPr>
                <w:rFonts w:hint="eastAsia" w:ascii="宋体" w:hAnsi="宋体" w:eastAsia="宋体" w:cs="Times New Roman"/>
                <w:b w:val="0"/>
                <w:bCs w:val="0"/>
                <w:sz w:val="24"/>
                <w:szCs w:val="24"/>
                <w:lang w:val="en-US" w:eastAsia="zh-CN"/>
              </w:rPr>
            </w:pPr>
            <w:r>
              <w:rPr>
                <w:rFonts w:hint="eastAsia" w:ascii="宋体" w:hAnsi="宋体" w:cs="Times New Roman"/>
                <w:b w:val="0"/>
                <w:bCs w:val="0"/>
                <w:sz w:val="24"/>
                <w:szCs w:val="24"/>
                <w:lang w:val="en-US" w:eastAsia="zh-CN"/>
              </w:rPr>
              <w:t>客观分</w:t>
            </w:r>
          </w:p>
        </w:tc>
        <w:tc>
          <w:tcPr>
            <w:tcW w:w="1890" w:type="dxa"/>
            <w:vAlign w:val="center"/>
          </w:tcPr>
          <w:p>
            <w:pPr>
              <w:keepNext w:val="0"/>
              <w:pageBreakBefore w:val="0"/>
              <w:kinsoku/>
              <w:wordWrap/>
              <w:overflowPunct/>
              <w:topLinePunct w:val="0"/>
              <w:bidi w:val="0"/>
              <w:spacing w:line="360" w:lineRule="auto"/>
              <w:textAlignment w:val="auto"/>
              <w:rPr>
                <w:rFonts w:hint="eastAsia" w:ascii="宋体" w:hAnsi="宋体" w:eastAsia="宋体" w:cs="Times New Roman"/>
                <w:b w:val="0"/>
                <w:bCs w:val="0"/>
                <w:sz w:val="24"/>
                <w:szCs w:val="24"/>
                <w:lang w:val="en-US" w:eastAsia="zh-CN"/>
              </w:rPr>
            </w:pPr>
            <w:r>
              <w:rPr>
                <w:rFonts w:hint="eastAsia" w:ascii="宋体" w:hAnsi="宋体" w:cs="Times New Roman"/>
                <w:b w:val="0"/>
                <w:bCs w:val="0"/>
                <w:sz w:val="24"/>
                <w:szCs w:val="24"/>
                <w:lang w:val="en-US" w:eastAsia="zh-CN"/>
              </w:rPr>
              <w:t>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pPr>
              <w:keepNext w:val="0"/>
              <w:pageBreakBefore w:val="0"/>
              <w:kinsoku/>
              <w:wordWrap/>
              <w:overflowPunct/>
              <w:topLinePunct w:val="0"/>
              <w:bidi w:val="0"/>
              <w:snapToGrid w:val="0"/>
              <w:spacing w:line="360" w:lineRule="auto"/>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p>
        </w:tc>
        <w:tc>
          <w:tcPr>
            <w:tcW w:w="4605" w:type="dxa"/>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eastAsia="zh-CN"/>
              </w:rPr>
              <w:t>设计理念</w:t>
            </w:r>
            <w:r>
              <w:rPr>
                <w:rFonts w:hint="eastAsia" w:ascii="宋体" w:hAnsi="宋体" w:eastAsia="宋体" w:cs="宋体"/>
                <w:b/>
                <w:bCs/>
                <w:color w:val="000000"/>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设计理念、设计构思、文化的挖掘提炼</w:t>
            </w:r>
            <w:r>
              <w:rPr>
                <w:rFonts w:hint="eastAsia" w:ascii="宋体" w:hAnsi="宋体" w:eastAsia="宋体" w:cs="宋体"/>
                <w:color w:val="000000"/>
                <w:sz w:val="24"/>
                <w:szCs w:val="24"/>
                <w:highlight w:val="none"/>
                <w:lang w:eastAsia="zh-CN"/>
              </w:rPr>
              <w:t>，满足招标要求的得</w:t>
            </w: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lang w:val="en-US" w:eastAsia="zh-CN"/>
              </w:rPr>
              <w:t>分，部分满足招标要求的得</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val="en-US" w:eastAsia="zh-CN"/>
              </w:rPr>
              <w:t>分，少部分满足招标要求的得2分，不满足的不得分。</w:t>
            </w:r>
          </w:p>
        </w:tc>
        <w:tc>
          <w:tcPr>
            <w:tcW w:w="690" w:type="dxa"/>
            <w:vAlign w:val="center"/>
          </w:tcPr>
          <w:p>
            <w:pPr>
              <w:spacing w:line="360" w:lineRule="auto"/>
              <w:jc w:val="center"/>
              <w:outlineLvl w:val="0"/>
              <w:rPr>
                <w:rFonts w:hint="eastAsia" w:ascii="宋体" w:hAnsi="宋体" w:eastAsia="宋体" w:cs="宋体"/>
                <w:kern w:val="2"/>
                <w:sz w:val="24"/>
                <w:szCs w:val="24"/>
                <w:lang w:val="en-US" w:eastAsia="zh-CN" w:bidi="ar-SA"/>
              </w:rPr>
            </w:pPr>
            <w:r>
              <w:rPr>
                <w:rFonts w:hint="eastAsia" w:ascii="宋体" w:hAnsi="宋体" w:cs="宋体"/>
                <w:sz w:val="24"/>
                <w:lang w:val="en-US" w:eastAsia="zh-CN"/>
              </w:rPr>
              <w:t>8</w:t>
            </w:r>
          </w:p>
        </w:tc>
        <w:tc>
          <w:tcPr>
            <w:tcW w:w="1095" w:type="dxa"/>
            <w:vAlign w:val="center"/>
          </w:tcPr>
          <w:p>
            <w:pPr>
              <w:keepNext w:val="0"/>
              <w:pageBreakBefore w:val="0"/>
              <w:widowControl w:val="0"/>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Times New Roman"/>
                <w:b w:val="0"/>
                <w:bCs w:val="0"/>
                <w:sz w:val="24"/>
                <w:szCs w:val="24"/>
                <w:lang w:val="en-US" w:eastAsia="zh-CN"/>
              </w:rPr>
            </w:pPr>
            <w:r>
              <w:rPr>
                <w:rFonts w:hint="eastAsia" w:ascii="宋体" w:hAnsi="宋体" w:cs="Times New Roman"/>
                <w:b w:val="0"/>
                <w:bCs w:val="0"/>
                <w:sz w:val="24"/>
                <w:szCs w:val="24"/>
                <w:lang w:val="en-US" w:eastAsia="zh-CN"/>
              </w:rPr>
              <w:t>主观分</w:t>
            </w:r>
          </w:p>
        </w:tc>
        <w:tc>
          <w:tcPr>
            <w:tcW w:w="1890" w:type="dxa"/>
            <w:vAlign w:val="center"/>
          </w:tcPr>
          <w:p>
            <w:pPr>
              <w:keepNext w:val="0"/>
              <w:pageBreakBefore w:val="0"/>
              <w:kinsoku/>
              <w:wordWrap/>
              <w:overflowPunct/>
              <w:topLinePunct w:val="0"/>
              <w:bidi w:val="0"/>
              <w:spacing w:line="360" w:lineRule="auto"/>
              <w:textAlignment w:val="auto"/>
              <w:rPr>
                <w:rFonts w:hint="eastAsia" w:ascii="宋体" w:hAnsi="宋体" w:eastAsia="宋体" w:cs="Times New Roman"/>
                <w:b w:val="0"/>
                <w:bCs w:val="0"/>
                <w:sz w:val="24"/>
                <w:szCs w:val="24"/>
                <w:lang w:val="en-US" w:eastAsia="zh-CN"/>
              </w:rPr>
            </w:pPr>
            <w:r>
              <w:rPr>
                <w:rFonts w:hint="eastAsia" w:ascii="宋体" w:hAnsi="宋体" w:cs="Times New Roman"/>
                <w:b w:val="0"/>
                <w:bCs w:val="0"/>
                <w:sz w:val="24"/>
                <w:szCs w:val="24"/>
                <w:lang w:val="en-US" w:eastAsia="zh-CN"/>
              </w:rPr>
              <w:t>设计理念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pPr>
              <w:keepNext w:val="0"/>
              <w:pageBreakBefore w:val="0"/>
              <w:kinsoku/>
              <w:wordWrap/>
              <w:overflowPunct/>
              <w:topLinePunct w:val="0"/>
              <w:bidi w:val="0"/>
              <w:snapToGrid w:val="0"/>
              <w:spacing w:line="360" w:lineRule="auto"/>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p>
        </w:tc>
        <w:tc>
          <w:tcPr>
            <w:tcW w:w="4605" w:type="dxa"/>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文化创意</w:t>
            </w:r>
            <w:r>
              <w:rPr>
                <w:rFonts w:hint="eastAsia" w:ascii="Times New Roman" w:hAnsi="Times New Roman" w:cs="宋体"/>
                <w:b/>
                <w:color w:val="000000"/>
                <w:kern w:val="2"/>
                <w:sz w:val="24"/>
                <w:szCs w:val="24"/>
                <w:lang w:val="en-US" w:eastAsia="zh-CN" w:bidi="ar"/>
              </w:rPr>
              <w:t>：</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1、整体设计创意新颖具有专业性、严谨性、连续性</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eastAsia="zh-CN"/>
              </w:rPr>
              <w:t>符合招标要求的得</w:t>
            </w:r>
            <w:r>
              <w:rPr>
                <w:rFonts w:hint="eastAsia" w:ascii="宋体" w:hAnsi="宋体" w:eastAsia="宋体" w:cs="宋体"/>
                <w:color w:val="000000"/>
                <w:sz w:val="24"/>
                <w:szCs w:val="24"/>
                <w:highlight w:val="none"/>
                <w:lang w:val="en-US" w:eastAsia="zh-CN"/>
              </w:rPr>
              <w:t>6分，部分符合要求的得4分，少部分符合要求的得2分，不符合的不得分</w:t>
            </w:r>
            <w:r>
              <w:rPr>
                <w:rFonts w:hint="eastAsia" w:ascii="宋体" w:hAnsi="宋体" w:eastAsia="宋体" w:cs="宋体"/>
                <w:color w:val="000000"/>
                <w:sz w:val="24"/>
                <w:szCs w:val="24"/>
                <w:highlight w:val="none"/>
              </w:rPr>
              <w:t>；</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highlight w:val="none"/>
              </w:rPr>
              <w:t>2、具备专属性，创新性，独创性</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主题清晰，特色鲜明，方案具有文化底蕴，设计具有艺术韵味，展示具有教育效果</w:t>
            </w:r>
            <w:r>
              <w:rPr>
                <w:rFonts w:hint="eastAsia" w:ascii="宋体" w:hAnsi="宋体" w:eastAsia="宋体" w:cs="宋体"/>
                <w:color w:val="000000"/>
                <w:sz w:val="24"/>
                <w:szCs w:val="24"/>
                <w:highlight w:val="none"/>
                <w:lang w:eastAsia="zh-CN"/>
              </w:rPr>
              <w:t>，符合招标要求的得</w:t>
            </w:r>
            <w:r>
              <w:rPr>
                <w:rFonts w:hint="eastAsia" w:ascii="宋体" w:hAnsi="宋体" w:eastAsia="宋体" w:cs="宋体"/>
                <w:color w:val="000000"/>
                <w:sz w:val="24"/>
                <w:szCs w:val="24"/>
                <w:highlight w:val="none"/>
                <w:lang w:val="en-US" w:eastAsia="zh-CN"/>
              </w:rPr>
              <w:t>5分，部分符合要求的得3分，少部分符合要求的得1分，不符合的不得分</w:t>
            </w:r>
            <w:r>
              <w:rPr>
                <w:rFonts w:hint="eastAsia" w:ascii="宋体" w:hAnsi="宋体" w:eastAsia="宋体" w:cs="宋体"/>
                <w:color w:val="000000"/>
                <w:sz w:val="24"/>
                <w:szCs w:val="24"/>
                <w:highlight w:val="none"/>
              </w:rPr>
              <w:t>；</w:t>
            </w:r>
          </w:p>
        </w:tc>
        <w:tc>
          <w:tcPr>
            <w:tcW w:w="690" w:type="dxa"/>
            <w:vAlign w:val="center"/>
          </w:tcPr>
          <w:p>
            <w:pPr>
              <w:spacing w:line="360" w:lineRule="auto"/>
              <w:jc w:val="center"/>
              <w:outlineLvl w:val="0"/>
              <w:rPr>
                <w:rFonts w:hint="default" w:ascii="宋体" w:hAnsi="宋体" w:eastAsia="宋体" w:cs="宋体"/>
                <w:kern w:val="2"/>
                <w:sz w:val="24"/>
                <w:szCs w:val="24"/>
                <w:lang w:val="en-US" w:eastAsia="zh-CN" w:bidi="ar-SA"/>
              </w:rPr>
            </w:pPr>
            <w:r>
              <w:rPr>
                <w:rFonts w:hint="eastAsia" w:ascii="宋体" w:hAnsi="宋体" w:cs="宋体"/>
                <w:sz w:val="24"/>
                <w:lang w:val="en-US" w:eastAsia="zh-CN"/>
              </w:rPr>
              <w:t>11</w:t>
            </w:r>
          </w:p>
        </w:tc>
        <w:tc>
          <w:tcPr>
            <w:tcW w:w="1095" w:type="dxa"/>
            <w:vAlign w:val="center"/>
          </w:tcPr>
          <w:p>
            <w:pPr>
              <w:keepNext w:val="0"/>
              <w:pageBreakBefore w:val="0"/>
              <w:kinsoku/>
              <w:wordWrap/>
              <w:overflowPunct/>
              <w:topLinePunct w:val="0"/>
              <w:bidi w:val="0"/>
              <w:spacing w:line="360" w:lineRule="auto"/>
              <w:textAlignment w:val="auto"/>
              <w:rPr>
                <w:rFonts w:hint="eastAsia" w:ascii="宋体" w:hAnsi="宋体" w:eastAsia="宋体" w:cs="Times New Roman"/>
                <w:b w:val="0"/>
                <w:bCs w:val="0"/>
                <w:sz w:val="24"/>
                <w:szCs w:val="24"/>
                <w:lang w:val="en-US" w:eastAsia="zh-CN"/>
              </w:rPr>
            </w:pPr>
            <w:r>
              <w:rPr>
                <w:rFonts w:hint="eastAsia" w:ascii="宋体" w:hAnsi="宋体" w:cs="Times New Roman"/>
                <w:b w:val="0"/>
                <w:bCs w:val="0"/>
                <w:sz w:val="24"/>
                <w:szCs w:val="24"/>
                <w:lang w:val="en-US" w:eastAsia="zh-CN"/>
              </w:rPr>
              <w:t>主观分</w:t>
            </w:r>
          </w:p>
        </w:tc>
        <w:tc>
          <w:tcPr>
            <w:tcW w:w="1890" w:type="dxa"/>
            <w:vAlign w:val="center"/>
          </w:tcPr>
          <w:p>
            <w:pPr>
              <w:keepNext w:val="0"/>
              <w:pageBreakBefore w:val="0"/>
              <w:kinsoku/>
              <w:wordWrap/>
              <w:overflowPunct/>
              <w:topLinePunct w:val="0"/>
              <w:bidi w:val="0"/>
              <w:spacing w:line="360" w:lineRule="auto"/>
              <w:textAlignment w:val="auto"/>
              <w:rPr>
                <w:rFonts w:hint="eastAsia" w:ascii="宋体" w:hAnsi="宋体" w:eastAsia="宋体" w:cs="Times New Roman"/>
                <w:b w:val="0"/>
                <w:bCs w:val="0"/>
                <w:sz w:val="24"/>
                <w:szCs w:val="24"/>
                <w:lang w:val="en-US" w:eastAsia="zh-CN"/>
              </w:rPr>
            </w:pPr>
            <w:r>
              <w:rPr>
                <w:rFonts w:hint="eastAsia" w:ascii="宋体" w:hAnsi="宋体" w:cs="Times New Roman"/>
                <w:b w:val="0"/>
                <w:bCs w:val="0"/>
                <w:sz w:val="24"/>
                <w:szCs w:val="24"/>
                <w:lang w:val="en-US" w:eastAsia="zh-CN"/>
              </w:rPr>
              <w:t>文化创意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pPr>
              <w:keepNext w:val="0"/>
              <w:pageBreakBefore w:val="0"/>
              <w:kinsoku/>
              <w:wordWrap/>
              <w:overflowPunct/>
              <w:topLinePunct w:val="0"/>
              <w:bidi w:val="0"/>
              <w:snapToGrid w:val="0"/>
              <w:spacing w:line="360" w:lineRule="auto"/>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p>
        </w:tc>
        <w:tc>
          <w:tcPr>
            <w:tcW w:w="4605" w:type="dxa"/>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空间规划</w:t>
            </w:r>
            <w:r>
              <w:rPr>
                <w:rFonts w:hint="eastAsia" w:ascii="Times New Roman" w:hAnsi="Times New Roman" w:cs="宋体"/>
                <w:b/>
                <w:color w:val="000000"/>
                <w:kern w:val="2"/>
                <w:sz w:val="24"/>
                <w:szCs w:val="24"/>
                <w:lang w:val="en-US" w:eastAsia="zh-CN" w:bidi="ar"/>
              </w:rPr>
              <w:t>：</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1、空间规划、布局科学，点位合理，参观游览路线清晰</w:t>
            </w:r>
            <w:r>
              <w:rPr>
                <w:rFonts w:hint="eastAsia" w:ascii="宋体" w:hAnsi="宋体" w:eastAsia="宋体" w:cs="宋体"/>
                <w:color w:val="000000"/>
                <w:sz w:val="24"/>
                <w:szCs w:val="24"/>
                <w:highlight w:val="none"/>
                <w:lang w:eastAsia="zh-CN"/>
              </w:rPr>
              <w:t>，符合要求的得</w:t>
            </w:r>
            <w:r>
              <w:rPr>
                <w:rFonts w:hint="eastAsia" w:ascii="宋体" w:hAnsi="宋体" w:eastAsia="宋体" w:cs="宋体"/>
                <w:color w:val="000000"/>
                <w:sz w:val="24"/>
                <w:szCs w:val="24"/>
                <w:highlight w:val="none"/>
                <w:lang w:val="en-US" w:eastAsia="zh-CN"/>
              </w:rPr>
              <w:t>5分，部分符合要求的得3分，少部分符合要求的得1分，不符合的不得分</w:t>
            </w:r>
            <w:r>
              <w:rPr>
                <w:rFonts w:hint="eastAsia" w:ascii="宋体" w:hAnsi="宋体" w:eastAsia="宋体" w:cs="宋体"/>
                <w:color w:val="000000"/>
                <w:sz w:val="24"/>
                <w:szCs w:val="24"/>
                <w:highlight w:val="none"/>
              </w:rPr>
              <w:t>；</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highlight w:val="none"/>
              </w:rPr>
              <w:t>2、具有环境艺术理念，设计尺寸与所处环境空间协调</w:t>
            </w:r>
            <w:r>
              <w:rPr>
                <w:rFonts w:hint="eastAsia" w:ascii="宋体" w:hAnsi="宋体" w:eastAsia="宋体" w:cs="宋体"/>
                <w:color w:val="000000"/>
                <w:sz w:val="24"/>
                <w:szCs w:val="24"/>
                <w:highlight w:val="none"/>
                <w:lang w:eastAsia="zh-CN"/>
              </w:rPr>
              <w:t>，符合要求的得</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val="en-US" w:eastAsia="zh-CN"/>
              </w:rPr>
              <w:t>分，部分符合要求的得3分，少部分符合要求的得1分，不符合的不得分</w:t>
            </w:r>
            <w:r>
              <w:rPr>
                <w:rFonts w:hint="eastAsia" w:ascii="宋体" w:hAnsi="宋体" w:eastAsia="宋体" w:cs="宋体"/>
                <w:color w:val="000000"/>
                <w:sz w:val="24"/>
                <w:szCs w:val="24"/>
                <w:highlight w:val="none"/>
              </w:rPr>
              <w:t>；</w:t>
            </w:r>
          </w:p>
        </w:tc>
        <w:tc>
          <w:tcPr>
            <w:tcW w:w="690" w:type="dxa"/>
            <w:vAlign w:val="center"/>
          </w:tcPr>
          <w:p>
            <w:pPr>
              <w:spacing w:line="360" w:lineRule="auto"/>
              <w:jc w:val="center"/>
              <w:outlineLvl w:val="0"/>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10</w:t>
            </w:r>
          </w:p>
        </w:tc>
        <w:tc>
          <w:tcPr>
            <w:tcW w:w="1095" w:type="dxa"/>
            <w:vAlign w:val="center"/>
          </w:tcPr>
          <w:p>
            <w:pPr>
              <w:keepNext w:val="0"/>
              <w:pageBreakBefore w:val="0"/>
              <w:kinsoku/>
              <w:wordWrap/>
              <w:overflowPunct/>
              <w:topLinePunct w:val="0"/>
              <w:bidi w:val="0"/>
              <w:spacing w:line="360" w:lineRule="auto"/>
              <w:textAlignment w:val="auto"/>
              <w:rPr>
                <w:rFonts w:hint="eastAsia" w:ascii="宋体" w:hAnsi="宋体" w:eastAsia="宋体" w:cs="Times New Roman"/>
                <w:b w:val="0"/>
                <w:bCs w:val="0"/>
                <w:sz w:val="24"/>
                <w:szCs w:val="24"/>
                <w:lang w:val="en-US" w:eastAsia="zh-CN"/>
              </w:rPr>
            </w:pPr>
            <w:r>
              <w:rPr>
                <w:rFonts w:hint="eastAsia" w:ascii="宋体" w:hAnsi="宋体" w:cs="Times New Roman"/>
                <w:b w:val="0"/>
                <w:bCs w:val="0"/>
                <w:sz w:val="24"/>
                <w:szCs w:val="24"/>
                <w:lang w:val="en-US" w:eastAsia="zh-CN"/>
              </w:rPr>
              <w:t>主观分</w:t>
            </w:r>
          </w:p>
        </w:tc>
        <w:tc>
          <w:tcPr>
            <w:tcW w:w="1890" w:type="dxa"/>
            <w:vAlign w:val="center"/>
          </w:tcPr>
          <w:p>
            <w:pPr>
              <w:keepNext w:val="0"/>
              <w:pageBreakBefore w:val="0"/>
              <w:kinsoku/>
              <w:wordWrap/>
              <w:overflowPunct/>
              <w:topLinePunct w:val="0"/>
              <w:bidi w:val="0"/>
              <w:spacing w:line="360" w:lineRule="auto"/>
              <w:textAlignment w:val="auto"/>
              <w:rPr>
                <w:rFonts w:hint="eastAsia" w:ascii="宋体" w:hAnsi="宋体" w:eastAsia="宋体" w:cs="Times New Roman"/>
                <w:b w:val="0"/>
                <w:bCs w:val="0"/>
                <w:sz w:val="24"/>
                <w:szCs w:val="24"/>
                <w:lang w:val="en-US" w:eastAsia="zh-CN"/>
              </w:rPr>
            </w:pPr>
            <w:r>
              <w:rPr>
                <w:rFonts w:hint="eastAsia" w:ascii="宋体" w:hAnsi="宋体" w:cs="Times New Roman"/>
                <w:b w:val="0"/>
                <w:bCs w:val="0"/>
                <w:sz w:val="24"/>
                <w:szCs w:val="24"/>
                <w:lang w:val="en-US" w:eastAsia="zh-CN"/>
              </w:rPr>
              <w:t>空间规划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pPr>
              <w:keepNext w:val="0"/>
              <w:pageBreakBefore w:val="0"/>
              <w:kinsoku/>
              <w:wordWrap/>
              <w:overflowPunct/>
              <w:topLinePunct w:val="0"/>
              <w:bidi w:val="0"/>
              <w:snapToGrid w:val="0"/>
              <w:spacing w:line="360" w:lineRule="auto"/>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6</w:t>
            </w:r>
          </w:p>
        </w:tc>
        <w:tc>
          <w:tcPr>
            <w:tcW w:w="4605" w:type="dxa"/>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t>效果呈现</w:t>
            </w:r>
            <w:r>
              <w:rPr>
                <w:rFonts w:hint="eastAsia" w:ascii="Times New Roman" w:hAnsi="Times New Roman" w:cs="宋体"/>
                <w:b/>
                <w:color w:val="000000"/>
                <w:kern w:val="2"/>
                <w:sz w:val="24"/>
                <w:szCs w:val="24"/>
                <w:lang w:val="en-US" w:eastAsia="zh-CN" w:bidi="ar"/>
              </w:rPr>
              <w:t>：</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1、艺术造型对主题阐述的吻合程度与所处环境的协调性、可赏性</w:t>
            </w:r>
            <w:r>
              <w:rPr>
                <w:rFonts w:hint="eastAsia" w:ascii="宋体" w:hAnsi="宋体" w:eastAsia="宋体" w:cs="宋体"/>
                <w:color w:val="000000"/>
                <w:sz w:val="24"/>
                <w:szCs w:val="24"/>
                <w:highlight w:val="none"/>
                <w:lang w:eastAsia="zh-CN"/>
              </w:rPr>
              <w:t>，符合要求的得</w:t>
            </w:r>
            <w:r>
              <w:rPr>
                <w:rFonts w:hint="eastAsia" w:ascii="宋体" w:hAnsi="宋体" w:eastAsia="宋体" w:cs="宋体"/>
                <w:color w:val="000000"/>
                <w:sz w:val="24"/>
                <w:szCs w:val="24"/>
                <w:highlight w:val="none"/>
                <w:lang w:val="en-US" w:eastAsia="zh-CN"/>
              </w:rPr>
              <w:t>5分，部分符合要求的得2分，少部分符合要求的得1分，不符合的不得分</w:t>
            </w:r>
            <w:r>
              <w:rPr>
                <w:rFonts w:hint="eastAsia" w:ascii="宋体" w:hAnsi="宋体" w:eastAsia="宋体" w:cs="宋体"/>
                <w:color w:val="000000"/>
                <w:sz w:val="24"/>
                <w:szCs w:val="24"/>
                <w:highlight w:val="none"/>
              </w:rPr>
              <w:t>；</w:t>
            </w:r>
          </w:p>
          <w:p>
            <w:pPr>
              <w:spacing w:line="360" w:lineRule="auto"/>
              <w:outlineLvl w:val="0"/>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highlight w:val="none"/>
              </w:rPr>
              <w:t>2、</w:t>
            </w:r>
            <w:r>
              <w:rPr>
                <w:rFonts w:hint="eastAsia"/>
                <w:color w:val="000000"/>
                <w:sz w:val="24"/>
                <w:szCs w:val="24"/>
              </w:rPr>
              <w:t>效果图清晰，方案编排合理</w:t>
            </w:r>
            <w:r>
              <w:rPr>
                <w:rFonts w:hint="eastAsia"/>
                <w:color w:val="000000"/>
                <w:sz w:val="24"/>
                <w:szCs w:val="24"/>
                <w:lang w:eastAsia="zh-CN"/>
              </w:rPr>
              <w:t>，</w:t>
            </w:r>
            <w:r>
              <w:rPr>
                <w:rFonts w:hint="eastAsia" w:ascii="宋体" w:hAnsi="宋体" w:eastAsia="宋体" w:cs="宋体"/>
                <w:color w:val="000000"/>
                <w:sz w:val="24"/>
                <w:szCs w:val="24"/>
                <w:highlight w:val="none"/>
                <w:lang w:eastAsia="zh-CN"/>
              </w:rPr>
              <w:t>符合要求的得</w:t>
            </w:r>
            <w:r>
              <w:rPr>
                <w:rFonts w:hint="eastAsia" w:ascii="宋体" w:hAnsi="宋体" w:eastAsia="宋体" w:cs="宋体"/>
                <w:color w:val="000000"/>
                <w:sz w:val="24"/>
                <w:szCs w:val="24"/>
                <w:highlight w:val="none"/>
                <w:lang w:val="en-US" w:eastAsia="zh-CN"/>
              </w:rPr>
              <w:t>10分，部分符合要求的得5分，少部分符合要求的得2分，不符合的不得分</w:t>
            </w:r>
            <w:r>
              <w:rPr>
                <w:rFonts w:hint="eastAsia"/>
                <w:color w:val="000000"/>
                <w:sz w:val="24"/>
                <w:szCs w:val="24"/>
                <w:lang w:eastAsia="zh-CN"/>
              </w:rPr>
              <w:t>。</w:t>
            </w:r>
          </w:p>
        </w:tc>
        <w:tc>
          <w:tcPr>
            <w:tcW w:w="690" w:type="dxa"/>
            <w:vAlign w:val="center"/>
          </w:tcPr>
          <w:p>
            <w:pPr>
              <w:spacing w:line="360" w:lineRule="auto"/>
              <w:jc w:val="center"/>
              <w:outlineLvl w:val="0"/>
              <w:rPr>
                <w:rFonts w:hint="default" w:ascii="宋体" w:hAnsi="宋体" w:eastAsia="宋体" w:cs="宋体"/>
                <w:kern w:val="2"/>
                <w:sz w:val="24"/>
                <w:szCs w:val="24"/>
                <w:lang w:val="en-US" w:eastAsia="zh-CN" w:bidi="ar-SA"/>
              </w:rPr>
            </w:pPr>
            <w:r>
              <w:rPr>
                <w:rFonts w:hint="eastAsia" w:ascii="宋体" w:hAnsi="宋体" w:eastAsia="宋体" w:cs="宋体"/>
                <w:sz w:val="24"/>
                <w:lang w:val="en-US" w:eastAsia="zh-CN"/>
              </w:rPr>
              <w:t>15</w:t>
            </w:r>
          </w:p>
        </w:tc>
        <w:tc>
          <w:tcPr>
            <w:tcW w:w="1095" w:type="dxa"/>
            <w:vAlign w:val="center"/>
          </w:tcPr>
          <w:p>
            <w:pPr>
              <w:keepNext w:val="0"/>
              <w:pageBreakBefore w:val="0"/>
              <w:kinsoku/>
              <w:wordWrap/>
              <w:overflowPunct/>
              <w:topLinePunct w:val="0"/>
              <w:bidi w:val="0"/>
              <w:spacing w:line="360" w:lineRule="auto"/>
              <w:textAlignment w:val="auto"/>
              <w:rPr>
                <w:rFonts w:hint="eastAsia" w:ascii="宋体" w:hAnsi="宋体" w:eastAsia="宋体" w:cs="Times New Roman"/>
                <w:b w:val="0"/>
                <w:bCs w:val="0"/>
                <w:sz w:val="24"/>
                <w:szCs w:val="24"/>
                <w:lang w:val="en-US" w:eastAsia="zh-CN"/>
              </w:rPr>
            </w:pPr>
            <w:r>
              <w:rPr>
                <w:rFonts w:hint="eastAsia" w:ascii="宋体" w:hAnsi="宋体" w:cs="Times New Roman"/>
                <w:b w:val="0"/>
                <w:bCs w:val="0"/>
                <w:sz w:val="24"/>
                <w:szCs w:val="24"/>
                <w:lang w:val="en-US" w:eastAsia="zh-CN"/>
              </w:rPr>
              <w:t>主观分</w:t>
            </w:r>
          </w:p>
        </w:tc>
        <w:tc>
          <w:tcPr>
            <w:tcW w:w="1890" w:type="dxa"/>
            <w:vAlign w:val="center"/>
          </w:tcPr>
          <w:p>
            <w:pPr>
              <w:keepNext w:val="0"/>
              <w:pageBreakBefore w:val="0"/>
              <w:kinsoku/>
              <w:wordWrap/>
              <w:overflowPunct/>
              <w:topLinePunct w:val="0"/>
              <w:bidi w:val="0"/>
              <w:spacing w:line="360" w:lineRule="auto"/>
              <w:textAlignment w:val="auto"/>
              <w:rPr>
                <w:rFonts w:hint="eastAsia" w:ascii="宋体" w:hAnsi="宋体" w:eastAsia="宋体" w:cs="Times New Roman"/>
                <w:b w:val="0"/>
                <w:bCs w:val="0"/>
                <w:sz w:val="24"/>
                <w:szCs w:val="24"/>
                <w:lang w:val="en-US" w:eastAsia="zh-CN"/>
              </w:rPr>
            </w:pPr>
            <w:r>
              <w:rPr>
                <w:rFonts w:hint="eastAsia" w:ascii="宋体" w:hAnsi="宋体" w:cs="Times New Roman"/>
                <w:b w:val="0"/>
                <w:bCs w:val="0"/>
                <w:sz w:val="24"/>
                <w:szCs w:val="24"/>
                <w:lang w:val="en-US" w:eastAsia="zh-CN"/>
              </w:rPr>
              <w:t>效果呈现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pPr>
              <w:keepNext w:val="0"/>
              <w:pageBreakBefore w:val="0"/>
              <w:kinsoku/>
              <w:wordWrap/>
              <w:overflowPunct/>
              <w:topLinePunct w:val="0"/>
              <w:bidi w:val="0"/>
              <w:snapToGrid w:val="0"/>
              <w:spacing w:line="360" w:lineRule="auto"/>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7</w:t>
            </w:r>
          </w:p>
        </w:tc>
        <w:tc>
          <w:tcPr>
            <w:tcW w:w="4605" w:type="dxa"/>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b/>
                <w:color w:val="000000"/>
                <w:sz w:val="24"/>
                <w:szCs w:val="24"/>
                <w:highlight w:val="none"/>
              </w:rPr>
            </w:pPr>
            <w:r>
              <w:rPr>
                <w:rFonts w:hint="eastAsia" w:ascii="Times New Roman" w:hAnsi="Times New Roman" w:cs="宋体"/>
                <w:b/>
                <w:color w:val="000000"/>
                <w:kern w:val="2"/>
                <w:sz w:val="24"/>
                <w:szCs w:val="24"/>
                <w:lang w:val="en-US" w:eastAsia="zh-CN" w:bidi="ar"/>
              </w:rPr>
              <w:t>组织实施情况：</w:t>
            </w:r>
          </w:p>
          <w:p>
            <w:pPr>
              <w:keepNext w:val="0"/>
              <w:keepLines w:val="0"/>
              <w:pageBreakBefore w:val="0"/>
              <w:widowControl/>
              <w:numPr>
                <w:ilvl w:val="0"/>
                <w:numId w:val="5"/>
              </w:numPr>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rPr>
              <w:t>组织机构、工作时间进度表、工作程序和步骤、管理和协调方法、关键步骤的思路和要点；介绍施工的关键部位及施工方案</w:t>
            </w:r>
            <w:r>
              <w:rPr>
                <w:rFonts w:hint="eastAsia" w:ascii="宋体" w:hAnsi="宋体" w:cs="宋体"/>
                <w:color w:val="000000"/>
                <w:sz w:val="24"/>
                <w:szCs w:val="24"/>
                <w:lang w:eastAsia="zh-CN"/>
              </w:rPr>
              <w:t>，</w:t>
            </w:r>
            <w:r>
              <w:rPr>
                <w:rFonts w:hint="eastAsia" w:ascii="宋体" w:hAnsi="宋体" w:eastAsia="宋体" w:cs="宋体"/>
                <w:color w:val="000000"/>
                <w:sz w:val="24"/>
                <w:szCs w:val="24"/>
                <w:highlight w:val="none"/>
                <w:lang w:eastAsia="zh-CN"/>
              </w:rPr>
              <w:t>符合要求的得</w:t>
            </w:r>
            <w:r>
              <w:rPr>
                <w:rFonts w:hint="eastAsia" w:ascii="宋体" w:hAnsi="宋体" w:eastAsia="宋体" w:cs="宋体"/>
                <w:color w:val="000000"/>
                <w:sz w:val="24"/>
                <w:szCs w:val="24"/>
                <w:highlight w:val="none"/>
                <w:lang w:val="en-US" w:eastAsia="zh-CN"/>
              </w:rPr>
              <w:t>5分，部分符合要求的得3分，少部分符合要求的得1分，不符合的不得分</w:t>
            </w:r>
            <w:r>
              <w:rPr>
                <w:rFonts w:hint="eastAsia" w:ascii="宋体" w:hAnsi="宋体" w:cs="宋体"/>
                <w:color w:val="000000"/>
                <w:sz w:val="24"/>
                <w:szCs w:val="24"/>
              </w:rPr>
              <w:t>；</w:t>
            </w:r>
          </w:p>
          <w:p>
            <w:pPr>
              <w:numPr>
                <w:ilvl w:val="0"/>
                <w:numId w:val="0"/>
              </w:numPr>
              <w:spacing w:line="360" w:lineRule="auto"/>
              <w:ind w:left="0" w:leftChars="0" w:firstLine="0" w:firstLineChars="0"/>
              <w:outlineLvl w:val="0"/>
              <w:rPr>
                <w:rFonts w:hint="eastAsia" w:ascii="宋体" w:hAnsi="宋体" w:eastAsia="宋体" w:cs="宋体"/>
                <w:bCs/>
                <w:snapToGrid/>
                <w:color w:val="000000"/>
                <w:kern w:val="2"/>
                <w:sz w:val="24"/>
                <w:szCs w:val="24"/>
                <w:lang w:val="en-US" w:eastAsia="zh-CN" w:bidi="ar-SA"/>
              </w:rPr>
            </w:pPr>
            <w:r>
              <w:rPr>
                <w:rFonts w:hint="eastAsia" w:ascii="宋体" w:hAnsi="宋体" w:cs="宋体"/>
                <w:color w:val="000000"/>
                <w:sz w:val="24"/>
                <w:szCs w:val="24"/>
                <w:lang w:val="en-US" w:eastAsia="zh-CN"/>
              </w:rPr>
              <w:t>2、</w:t>
            </w:r>
            <w:r>
              <w:rPr>
                <w:rFonts w:hint="eastAsia" w:ascii="宋体" w:hAnsi="宋体" w:cs="宋体"/>
                <w:color w:val="000000"/>
                <w:sz w:val="24"/>
                <w:szCs w:val="24"/>
              </w:rPr>
              <w:t>对招标项目的质量、安全、投资控制等是否明确，保证措施是否切实、可行</w:t>
            </w:r>
            <w:r>
              <w:rPr>
                <w:rFonts w:hint="eastAsia" w:ascii="宋体" w:hAnsi="宋体" w:cs="宋体"/>
                <w:color w:val="000000"/>
                <w:sz w:val="24"/>
                <w:szCs w:val="24"/>
                <w:lang w:eastAsia="zh-CN"/>
              </w:rPr>
              <w:t>，</w:t>
            </w:r>
            <w:r>
              <w:rPr>
                <w:rFonts w:hint="eastAsia" w:ascii="宋体" w:hAnsi="宋体" w:eastAsia="宋体" w:cs="宋体"/>
                <w:color w:val="000000"/>
                <w:sz w:val="24"/>
                <w:szCs w:val="24"/>
                <w:highlight w:val="none"/>
                <w:lang w:eastAsia="zh-CN"/>
              </w:rPr>
              <w:t>符合要求的得</w:t>
            </w:r>
            <w:r>
              <w:rPr>
                <w:rFonts w:hint="eastAsia" w:ascii="宋体" w:hAnsi="宋体" w:eastAsia="宋体" w:cs="宋体"/>
                <w:color w:val="000000"/>
                <w:sz w:val="24"/>
                <w:szCs w:val="24"/>
                <w:highlight w:val="none"/>
                <w:lang w:val="en-US" w:eastAsia="zh-CN"/>
              </w:rPr>
              <w:t>5分，部分符合要求的得3分，少部分符合要求的得1分，不符合的不得分</w:t>
            </w:r>
            <w:r>
              <w:rPr>
                <w:rFonts w:hint="eastAsia" w:ascii="宋体" w:hAnsi="宋体" w:cs="宋体"/>
                <w:color w:val="000000"/>
                <w:sz w:val="24"/>
                <w:szCs w:val="24"/>
              </w:rPr>
              <w:t>；</w:t>
            </w:r>
          </w:p>
        </w:tc>
        <w:tc>
          <w:tcPr>
            <w:tcW w:w="690" w:type="dxa"/>
            <w:vAlign w:val="center"/>
          </w:tcPr>
          <w:p>
            <w:pPr>
              <w:spacing w:line="360" w:lineRule="auto"/>
              <w:jc w:val="center"/>
              <w:outlineLvl w:val="0"/>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10</w:t>
            </w:r>
          </w:p>
        </w:tc>
        <w:tc>
          <w:tcPr>
            <w:tcW w:w="1095" w:type="dxa"/>
            <w:vAlign w:val="center"/>
          </w:tcPr>
          <w:p>
            <w:pPr>
              <w:keepNext w:val="0"/>
              <w:pageBreakBefore w:val="0"/>
              <w:kinsoku/>
              <w:wordWrap/>
              <w:overflowPunct/>
              <w:topLinePunct w:val="0"/>
              <w:bidi w:val="0"/>
              <w:spacing w:line="360" w:lineRule="auto"/>
              <w:textAlignment w:val="auto"/>
              <w:rPr>
                <w:rFonts w:hint="eastAsia" w:ascii="宋体" w:hAnsi="宋体" w:eastAsia="宋体" w:cs="Times New Roman"/>
                <w:b w:val="0"/>
                <w:bCs w:val="0"/>
                <w:sz w:val="24"/>
                <w:szCs w:val="24"/>
                <w:lang w:val="en-US" w:eastAsia="zh-CN"/>
              </w:rPr>
            </w:pPr>
            <w:r>
              <w:rPr>
                <w:rFonts w:hint="eastAsia" w:ascii="宋体" w:hAnsi="宋体" w:cs="Times New Roman"/>
                <w:b w:val="0"/>
                <w:bCs w:val="0"/>
                <w:sz w:val="24"/>
                <w:szCs w:val="24"/>
                <w:lang w:val="en-US" w:eastAsia="zh-CN"/>
              </w:rPr>
              <w:t>主观分</w:t>
            </w:r>
          </w:p>
        </w:tc>
        <w:tc>
          <w:tcPr>
            <w:tcW w:w="1890"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Times New Roman"/>
                <w:b w:val="0"/>
                <w:bCs w:val="0"/>
                <w:sz w:val="24"/>
                <w:szCs w:val="24"/>
                <w:lang w:val="en-US" w:eastAsia="zh-CN"/>
              </w:rPr>
            </w:pPr>
            <w:r>
              <w:rPr>
                <w:rFonts w:hint="eastAsia" w:ascii="宋体" w:hAnsi="宋体" w:cs="Times New Roman"/>
                <w:b w:val="0"/>
                <w:bCs w:val="0"/>
                <w:sz w:val="24"/>
                <w:szCs w:val="24"/>
                <w:lang w:val="en-US" w:eastAsia="zh-CN"/>
              </w:rPr>
              <w:t>组织实施情况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pPr>
              <w:keepNext w:val="0"/>
              <w:pageBreakBefore w:val="0"/>
              <w:kinsoku/>
              <w:wordWrap/>
              <w:overflowPunct/>
              <w:topLinePunct w:val="0"/>
              <w:bidi w:val="0"/>
              <w:snapToGrid w:val="0"/>
              <w:spacing w:line="360" w:lineRule="auto"/>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8</w:t>
            </w:r>
          </w:p>
        </w:tc>
        <w:tc>
          <w:tcPr>
            <w:tcW w:w="4605" w:type="dxa"/>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Times New Roman" w:hAnsi="Times New Roman" w:cs="宋体"/>
                <w:b/>
                <w:bCs/>
                <w:color w:val="000000"/>
                <w:kern w:val="2"/>
                <w:sz w:val="24"/>
                <w:szCs w:val="24"/>
                <w:lang w:val="en-US" w:eastAsia="zh-CN" w:bidi="ar"/>
              </w:rPr>
            </w:pPr>
            <w:r>
              <w:rPr>
                <w:rFonts w:hint="eastAsia" w:ascii="Times New Roman" w:hAnsi="Times New Roman" w:cs="宋体"/>
                <w:b/>
                <w:color w:val="000000"/>
                <w:kern w:val="2"/>
                <w:sz w:val="24"/>
                <w:szCs w:val="24"/>
                <w:lang w:val="en-US" w:eastAsia="zh-CN" w:bidi="ar"/>
              </w:rPr>
              <w:t>售后服务方案</w:t>
            </w:r>
            <w:r>
              <w:rPr>
                <w:rFonts w:hint="eastAsia" w:ascii="宋体" w:hAnsi="宋体" w:eastAsia="宋体" w:cs="宋体"/>
                <w:b/>
                <w:bCs/>
                <w:color w:val="000000"/>
                <w:sz w:val="24"/>
                <w:szCs w:val="24"/>
                <w:highlight w:val="none"/>
              </w:rPr>
              <w:t>：</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val="0"/>
                <w:color w:val="000000"/>
                <w:kern w:val="2"/>
                <w:sz w:val="24"/>
                <w:szCs w:val="24"/>
                <w:lang w:val="en-US" w:eastAsia="zh-CN" w:bidi="ar"/>
              </w:rPr>
            </w:pPr>
            <w:r>
              <w:rPr>
                <w:rFonts w:hint="eastAsia" w:ascii="宋体" w:hAnsi="宋体" w:eastAsia="宋体" w:cs="宋体"/>
                <w:b w:val="0"/>
                <w:bCs w:val="0"/>
                <w:color w:val="000000"/>
                <w:sz w:val="24"/>
                <w:szCs w:val="24"/>
                <w:highlight w:val="none"/>
              </w:rPr>
              <w:t>1、</w:t>
            </w:r>
            <w:r>
              <w:rPr>
                <w:rFonts w:hint="eastAsia" w:ascii="宋体" w:hAnsi="宋体" w:eastAsia="宋体" w:cs="宋体"/>
                <w:b w:val="0"/>
                <w:bCs w:val="0"/>
                <w:color w:val="000000"/>
                <w:kern w:val="2"/>
                <w:sz w:val="24"/>
                <w:szCs w:val="24"/>
                <w:lang w:val="en-US" w:eastAsia="zh-CN" w:bidi="ar"/>
              </w:rPr>
              <w:t>投标人提供的售后服务方案、维护人员和机构等情况，</w:t>
            </w:r>
            <w:r>
              <w:rPr>
                <w:rFonts w:hint="eastAsia" w:ascii="宋体" w:hAnsi="宋体" w:eastAsia="宋体" w:cs="宋体"/>
                <w:color w:val="000000"/>
                <w:sz w:val="24"/>
                <w:szCs w:val="24"/>
                <w:highlight w:val="none"/>
                <w:lang w:eastAsia="zh-CN"/>
              </w:rPr>
              <w:t>合理的得</w:t>
            </w:r>
            <w:r>
              <w:rPr>
                <w:rFonts w:hint="eastAsia" w:ascii="宋体" w:hAnsi="宋体" w:eastAsia="宋体" w:cs="宋体"/>
                <w:color w:val="000000"/>
                <w:sz w:val="24"/>
                <w:szCs w:val="24"/>
                <w:highlight w:val="none"/>
                <w:lang w:val="en-US" w:eastAsia="zh-CN"/>
              </w:rPr>
              <w:t>5分，部分合理的得3分，少部分合理的得1分，不合理的不得分</w:t>
            </w:r>
            <w:r>
              <w:rPr>
                <w:rFonts w:hint="eastAsia" w:ascii="宋体" w:hAnsi="宋体" w:eastAsia="宋体" w:cs="宋体"/>
                <w:b w:val="0"/>
                <w:bCs w:val="0"/>
                <w:color w:val="000000"/>
                <w:kern w:val="2"/>
                <w:sz w:val="24"/>
                <w:szCs w:val="24"/>
                <w:lang w:val="en-US" w:eastAsia="zh-CN" w:bidi="ar"/>
              </w:rPr>
              <w:t>；</w:t>
            </w:r>
          </w:p>
          <w:p>
            <w:pPr>
              <w:numPr>
                <w:ilvl w:val="0"/>
                <w:numId w:val="0"/>
              </w:numPr>
              <w:spacing w:line="360" w:lineRule="auto"/>
              <w:ind w:left="0" w:leftChars="0" w:firstLine="0" w:firstLineChars="0"/>
              <w:outlineLvl w:val="0"/>
              <w:rPr>
                <w:rFonts w:hint="eastAsia" w:ascii="宋体" w:hAnsi="宋体" w:eastAsia="宋体" w:cs="宋体"/>
                <w:bCs/>
                <w:snapToGrid/>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
              </w:rPr>
              <w:t>2、质保期限的长短以及服务承诺的可行性、完整性以及服务承诺落实的保障措施，质保期内外的后续技术支持和维护能力情况等，</w:t>
            </w:r>
            <w:r>
              <w:rPr>
                <w:rFonts w:hint="eastAsia" w:ascii="宋体" w:hAnsi="宋体" w:eastAsia="宋体" w:cs="宋体"/>
                <w:color w:val="000000"/>
                <w:sz w:val="24"/>
                <w:szCs w:val="24"/>
                <w:highlight w:val="none"/>
                <w:lang w:eastAsia="zh-CN"/>
              </w:rPr>
              <w:t>符合要求的得</w:t>
            </w:r>
            <w:r>
              <w:rPr>
                <w:rFonts w:hint="eastAsia" w:ascii="宋体" w:hAnsi="宋体" w:eastAsia="宋体" w:cs="宋体"/>
                <w:color w:val="000000"/>
                <w:sz w:val="24"/>
                <w:szCs w:val="24"/>
                <w:highlight w:val="none"/>
                <w:lang w:val="en-US" w:eastAsia="zh-CN"/>
              </w:rPr>
              <w:t>5分，部分符合要求的得3分，少部分合理的得1分，不符合的不得分</w:t>
            </w:r>
            <w:r>
              <w:rPr>
                <w:rFonts w:hint="eastAsia" w:ascii="宋体" w:hAnsi="宋体" w:eastAsia="宋体" w:cs="宋体"/>
                <w:b w:val="0"/>
                <w:bCs w:val="0"/>
                <w:color w:val="000000"/>
                <w:kern w:val="2"/>
                <w:sz w:val="24"/>
                <w:szCs w:val="24"/>
                <w:lang w:val="en-US" w:eastAsia="zh-CN" w:bidi="ar"/>
              </w:rPr>
              <w:t>；</w:t>
            </w:r>
          </w:p>
        </w:tc>
        <w:tc>
          <w:tcPr>
            <w:tcW w:w="690" w:type="dxa"/>
            <w:vAlign w:val="center"/>
          </w:tcPr>
          <w:p>
            <w:pPr>
              <w:spacing w:line="360" w:lineRule="auto"/>
              <w:jc w:val="center"/>
              <w:outlineLvl w:val="0"/>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10</w:t>
            </w:r>
          </w:p>
        </w:tc>
        <w:tc>
          <w:tcPr>
            <w:tcW w:w="1095" w:type="dxa"/>
            <w:vAlign w:val="center"/>
          </w:tcPr>
          <w:p>
            <w:pPr>
              <w:keepNext w:val="0"/>
              <w:pageBreakBefore w:val="0"/>
              <w:widowControl w:val="0"/>
              <w:kinsoku/>
              <w:wordWrap/>
              <w:overflowPunct/>
              <w:topLinePunct w:val="0"/>
              <w:bidi w:val="0"/>
              <w:snapToGrid w:val="0"/>
              <w:spacing w:beforeAutospacing="0" w:afterAutospacing="0" w:line="360" w:lineRule="auto"/>
              <w:ind w:left="0" w:leftChars="0" w:right="0"/>
              <w:jc w:val="center"/>
              <w:textAlignment w:val="auto"/>
              <w:rPr>
                <w:rFonts w:hint="eastAsia" w:ascii="宋体" w:hAnsi="宋体" w:eastAsia="宋体" w:cs="Times New Roman"/>
                <w:b w:val="0"/>
                <w:bCs w:val="0"/>
                <w:kern w:val="2"/>
                <w:sz w:val="24"/>
                <w:szCs w:val="24"/>
                <w:lang w:val="en-US" w:eastAsia="zh-CN" w:bidi="ar-SA"/>
              </w:rPr>
            </w:pPr>
            <w:r>
              <w:rPr>
                <w:rFonts w:hint="eastAsia" w:ascii="宋体" w:hAnsi="宋体" w:cs="Times New Roman"/>
                <w:b w:val="0"/>
                <w:bCs w:val="0"/>
                <w:kern w:val="2"/>
                <w:sz w:val="24"/>
                <w:szCs w:val="24"/>
                <w:lang w:val="en-US" w:eastAsia="zh-CN" w:bidi="ar-SA"/>
              </w:rPr>
              <w:t>主观分</w:t>
            </w:r>
          </w:p>
        </w:tc>
        <w:tc>
          <w:tcPr>
            <w:tcW w:w="1890" w:type="dxa"/>
            <w:vAlign w:val="center"/>
          </w:tcPr>
          <w:p>
            <w:pPr>
              <w:keepNext w:val="0"/>
              <w:pageBreakBefore w:val="0"/>
              <w:widowControl w:val="0"/>
              <w:kinsoku/>
              <w:wordWrap/>
              <w:overflowPunct/>
              <w:topLinePunct w:val="0"/>
              <w:bidi w:val="0"/>
              <w:snapToGrid w:val="0"/>
              <w:spacing w:beforeAutospacing="0" w:afterAutospacing="0" w:line="360" w:lineRule="auto"/>
              <w:ind w:left="0" w:leftChars="0" w:right="0"/>
              <w:jc w:val="center"/>
              <w:textAlignment w:val="auto"/>
              <w:rPr>
                <w:rFonts w:hint="eastAsia" w:ascii="宋体" w:hAnsi="宋体" w:eastAsia="宋体" w:cs="Times New Roman"/>
                <w:b w:val="0"/>
                <w:bCs w:val="0"/>
                <w:kern w:val="2"/>
                <w:sz w:val="24"/>
                <w:szCs w:val="24"/>
                <w:lang w:val="en-US" w:eastAsia="zh-CN" w:bidi="ar-SA"/>
              </w:rPr>
            </w:pPr>
            <w:r>
              <w:rPr>
                <w:rFonts w:hint="eastAsia" w:ascii="宋体" w:hAnsi="宋体" w:cs="Times New Roman"/>
                <w:b w:val="0"/>
                <w:bCs w:val="0"/>
                <w:kern w:val="2"/>
                <w:sz w:val="24"/>
                <w:szCs w:val="24"/>
                <w:lang w:val="en-US" w:eastAsia="zh-CN" w:bidi="ar-SA"/>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pPr>
              <w:keepNext w:val="0"/>
              <w:pageBreakBefore w:val="0"/>
              <w:kinsoku/>
              <w:wordWrap/>
              <w:overflowPunct/>
              <w:topLinePunct w:val="0"/>
              <w:bidi w:val="0"/>
              <w:snapToGrid w:val="0"/>
              <w:spacing w:line="360" w:lineRule="auto"/>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11</w:t>
            </w:r>
          </w:p>
        </w:tc>
        <w:tc>
          <w:tcPr>
            <w:tcW w:w="4605" w:type="dxa"/>
            <w:vAlign w:val="top"/>
          </w:tcPr>
          <w:p>
            <w:pPr>
              <w:keepNext w:val="0"/>
              <w:pageBreakBefore w:val="0"/>
              <w:kinsoku/>
              <w:wordWrap/>
              <w:overflowPunct/>
              <w:topLinePunct w:val="0"/>
              <w:bidi w:val="0"/>
              <w:spacing w:line="360" w:lineRule="auto"/>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有效投标报价的最低价作为评标基准价，其最低报价为满分；按［投标报价得分=（评标基准价/投标报价）*</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］的计算公式计算。</w:t>
            </w:r>
          </w:p>
          <w:p>
            <w:pPr>
              <w:keepNext w:val="0"/>
              <w:pageBreakBefore w:val="0"/>
              <w:widowControl/>
              <w:shd w:val="clear" w:color="auto" w:fill="FFFFFF"/>
              <w:kinsoku/>
              <w:wordWrap/>
              <w:overflowPunct/>
              <w:topLinePunct w:val="0"/>
              <w:bidi w:val="0"/>
              <w:adjustRightInd/>
              <w:snapToGrid/>
              <w:spacing w:after="225" w:line="360" w:lineRule="auto"/>
              <w:ind w:left="0" w:leftChars="0" w:right="0" w:firstLine="420" w:firstLineChars="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评标过程中，不得去掉报价中的最高报价和最低报价。</w:t>
            </w:r>
          </w:p>
        </w:tc>
        <w:tc>
          <w:tcPr>
            <w:tcW w:w="690" w:type="dxa"/>
            <w:vAlign w:val="center"/>
          </w:tcPr>
          <w:p>
            <w:pPr>
              <w:keepNext w:val="0"/>
              <w:pageBreakBefore w:val="0"/>
              <w:kinsoku/>
              <w:wordWrap/>
              <w:overflowPunct/>
              <w:topLinePunct w:val="0"/>
              <w:bidi w:val="0"/>
              <w:spacing w:line="360" w:lineRule="auto"/>
              <w:jc w:val="center"/>
              <w:textAlignment w:val="auto"/>
              <w:outlineLvl w:val="0"/>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30</w:t>
            </w:r>
          </w:p>
        </w:tc>
        <w:tc>
          <w:tcPr>
            <w:tcW w:w="1095" w:type="dxa"/>
            <w:vAlign w:val="center"/>
          </w:tcPr>
          <w:p>
            <w:pPr>
              <w:keepNext w:val="0"/>
              <w:pageBreakBefore w:val="0"/>
              <w:kinsoku/>
              <w:wordWrap/>
              <w:overflowPunct/>
              <w:topLinePunct w:val="0"/>
              <w:bidi w:val="0"/>
              <w:spacing w:line="360" w:lineRule="auto"/>
              <w:jc w:val="center"/>
              <w:textAlignment w:val="auto"/>
              <w:outlineLvl w:val="0"/>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w:t>
            </w:r>
          </w:p>
        </w:tc>
        <w:tc>
          <w:tcPr>
            <w:tcW w:w="1890" w:type="dxa"/>
            <w:vAlign w:val="center"/>
          </w:tcPr>
          <w:p>
            <w:pPr>
              <w:keepNext w:val="0"/>
              <w:pageBreakBefore w:val="0"/>
              <w:kinsoku/>
              <w:wordWrap/>
              <w:overflowPunct/>
              <w:topLinePunct w:val="0"/>
              <w:bidi w:val="0"/>
              <w:spacing w:line="360" w:lineRule="auto"/>
              <w:jc w:val="center"/>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w:t>
            </w:r>
          </w:p>
        </w:tc>
      </w:tr>
    </w:tbl>
    <w:p>
      <w:pPr>
        <w:rPr>
          <w:color w:val="auto"/>
        </w:rPr>
      </w:pPr>
    </w:p>
    <w:p>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pPr>
        <w:pStyle w:val="128"/>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pPr>
        <w:pStyle w:val="128"/>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6"/>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pPr>
        <w:pStyle w:val="3"/>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pPr>
        <w:pStyle w:val="6"/>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pPr>
        <w:pStyle w:val="6"/>
        <w:snapToGrid w:val="0"/>
        <w:spacing w:line="360" w:lineRule="auto"/>
        <w:rPr>
          <w:rFonts w:cs="宋体"/>
          <w:color w:val="auto"/>
        </w:rPr>
      </w:pPr>
      <w:r>
        <w:rPr>
          <w:rFonts w:hint="eastAsia" w:cs="宋体"/>
          <w:color w:val="auto"/>
        </w:rPr>
        <w:t>5.1符合专业条件的供应商或者对招标文件作实质响应的供应商不足3家的；</w:t>
      </w:r>
    </w:p>
    <w:p>
      <w:pPr>
        <w:pStyle w:val="6"/>
        <w:snapToGrid w:val="0"/>
        <w:spacing w:line="360" w:lineRule="auto"/>
        <w:rPr>
          <w:rFonts w:cs="宋体"/>
          <w:color w:val="auto"/>
        </w:rPr>
      </w:pPr>
      <w:r>
        <w:rPr>
          <w:rFonts w:hint="eastAsia" w:cs="宋体"/>
          <w:color w:val="auto"/>
        </w:rPr>
        <w:t>5.2出现影响采购公正的违法、违规行为的；</w:t>
      </w:r>
    </w:p>
    <w:p>
      <w:pPr>
        <w:pStyle w:val="6"/>
        <w:snapToGrid w:val="0"/>
        <w:spacing w:line="360" w:lineRule="auto"/>
        <w:rPr>
          <w:rFonts w:cs="宋体"/>
          <w:color w:val="auto"/>
        </w:rPr>
      </w:pPr>
      <w:r>
        <w:rPr>
          <w:rFonts w:hint="eastAsia" w:cs="宋体"/>
          <w:color w:val="auto"/>
        </w:rPr>
        <w:t>5.3投标人的报价均超过了采购预算，采购人不能支付的；</w:t>
      </w:r>
    </w:p>
    <w:p>
      <w:pPr>
        <w:pStyle w:val="6"/>
        <w:snapToGrid w:val="0"/>
        <w:spacing w:line="360" w:lineRule="auto"/>
        <w:rPr>
          <w:rFonts w:cs="宋体"/>
          <w:color w:val="auto"/>
        </w:rPr>
      </w:pPr>
      <w:r>
        <w:rPr>
          <w:rFonts w:hint="eastAsia" w:cs="宋体"/>
          <w:color w:val="auto"/>
        </w:rPr>
        <w:t>5.4因重大变故，采购任务取消的。</w:t>
      </w:r>
    </w:p>
    <w:p>
      <w:pPr>
        <w:pStyle w:val="6"/>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pPr>
        <w:pStyle w:val="6"/>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pPr>
        <w:pStyle w:val="6"/>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pPr>
        <w:pStyle w:val="6"/>
        <w:snapToGrid w:val="0"/>
        <w:spacing w:line="360" w:lineRule="auto"/>
        <w:rPr>
          <w:rFonts w:cs="宋体"/>
          <w:color w:val="auto"/>
        </w:rPr>
      </w:pPr>
      <w:r>
        <w:rPr>
          <w:rFonts w:hint="eastAsia" w:cs="宋体"/>
          <w:color w:val="auto"/>
        </w:rPr>
        <w:t>7.1未确定中标供应商的，终止本次政府采购活动，重新开展政府采购活动。</w:t>
      </w:r>
    </w:p>
    <w:p>
      <w:pPr>
        <w:pStyle w:val="6"/>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pPr>
        <w:pStyle w:val="6"/>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pPr>
        <w:pStyle w:val="6"/>
        <w:snapToGrid w:val="0"/>
        <w:spacing w:line="360" w:lineRule="auto"/>
        <w:rPr>
          <w:rFonts w:cs="宋体"/>
          <w:color w:val="auto"/>
        </w:rPr>
      </w:pPr>
      <w:r>
        <w:rPr>
          <w:rFonts w:hint="eastAsia" w:cs="宋体"/>
          <w:color w:val="auto"/>
        </w:rPr>
        <w:t>7.4政府采购合同已经履行，给采购人、供应商造成损失的，由责任人承担赔偿责任。</w:t>
      </w:r>
    </w:p>
    <w:p>
      <w:pPr>
        <w:pStyle w:val="6"/>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pPr>
        <w:pStyle w:val="6"/>
        <w:snapToGrid w:val="0"/>
        <w:spacing w:line="360" w:lineRule="auto"/>
        <w:ind w:firstLine="0" w:firstLineChars="0"/>
        <w:rPr>
          <w:rFonts w:cs="宋体"/>
          <w:color w:val="auto"/>
        </w:rPr>
      </w:pPr>
    </w:p>
    <w:bookmarkEnd w:id="27"/>
    <w:p>
      <w:pPr>
        <w:spacing w:line="360" w:lineRule="auto"/>
        <w:ind w:left="720" w:leftChars="343" w:firstLine="1084" w:firstLineChars="300"/>
        <w:outlineLvl w:val="0"/>
        <w:rPr>
          <w:rFonts w:ascii="宋体" w:hAnsi="宋体" w:cs="宋体"/>
          <w:b/>
          <w:color w:val="auto"/>
          <w:sz w:val="36"/>
          <w:szCs w:val="36"/>
        </w:rPr>
      </w:pPr>
      <w:bookmarkStart w:id="393" w:name="第五部分"/>
      <w:bookmarkStart w:id="394" w:name="_Toc86217003"/>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 xml:space="preserve">    </w:t>
      </w:r>
    </w:p>
    <w:p>
      <w:pPr>
        <w:spacing w:line="360" w:lineRule="auto"/>
        <w:ind w:left="720" w:leftChars="343" w:firstLine="1084" w:firstLineChars="300"/>
        <w:outlineLvl w:val="0"/>
        <w:rPr>
          <w:rFonts w:ascii="宋体" w:hAnsi="宋体" w:cs="宋体"/>
          <w:b/>
          <w:color w:val="auto"/>
          <w:sz w:val="36"/>
          <w:szCs w:val="36"/>
        </w:rPr>
      </w:pPr>
    </w:p>
    <w:p>
      <w:pPr>
        <w:spacing w:line="360" w:lineRule="auto"/>
        <w:ind w:left="720" w:leftChars="343" w:firstLine="1084" w:firstLineChars="300"/>
        <w:outlineLvl w:val="0"/>
        <w:rPr>
          <w:rFonts w:ascii="宋体" w:hAnsi="宋体" w:cs="宋体"/>
          <w:b/>
          <w:color w:val="auto"/>
          <w:sz w:val="36"/>
          <w:szCs w:val="36"/>
        </w:rPr>
      </w:pPr>
    </w:p>
    <w:p>
      <w:pPr>
        <w:spacing w:line="360" w:lineRule="auto"/>
        <w:ind w:left="720" w:leftChars="343" w:firstLine="1084" w:firstLineChars="300"/>
        <w:outlineLvl w:val="0"/>
        <w:rPr>
          <w:rFonts w:ascii="宋体" w:hAnsi="宋体" w:cs="宋体"/>
          <w:b/>
          <w:color w:val="auto"/>
          <w:sz w:val="36"/>
          <w:szCs w:val="36"/>
        </w:rPr>
      </w:pPr>
    </w:p>
    <w:p>
      <w:pPr>
        <w:spacing w:line="360" w:lineRule="auto"/>
        <w:ind w:left="720" w:leftChars="343" w:firstLine="1084" w:firstLineChars="300"/>
        <w:outlineLvl w:val="0"/>
        <w:rPr>
          <w:rFonts w:ascii="宋体" w:hAnsi="宋体" w:cs="宋体"/>
          <w:b/>
          <w:color w:val="auto"/>
          <w:sz w:val="36"/>
          <w:szCs w:val="36"/>
        </w:rPr>
      </w:pPr>
    </w:p>
    <w:p>
      <w:pPr>
        <w:spacing w:line="360" w:lineRule="auto"/>
        <w:ind w:left="720" w:leftChars="343" w:firstLine="1084" w:firstLineChars="300"/>
        <w:outlineLvl w:val="0"/>
        <w:rPr>
          <w:rFonts w:ascii="宋体" w:hAnsi="宋体" w:cs="宋体"/>
          <w:b/>
          <w:color w:val="auto"/>
          <w:sz w:val="36"/>
          <w:szCs w:val="36"/>
        </w:rPr>
      </w:pPr>
    </w:p>
    <w:p>
      <w:pPr>
        <w:widowControl/>
        <w:adjustRightInd/>
        <w:jc w:val="left"/>
        <w:rPr>
          <w:rFonts w:ascii="宋体" w:hAnsi="宋体" w:cs="宋体"/>
          <w:b/>
          <w:color w:val="auto"/>
          <w:sz w:val="36"/>
          <w:szCs w:val="36"/>
        </w:rPr>
      </w:pPr>
      <w:r>
        <w:rPr>
          <w:rFonts w:ascii="宋体" w:hAnsi="宋体" w:cs="宋体"/>
          <w:b/>
          <w:color w:val="auto"/>
          <w:sz w:val="36"/>
          <w:szCs w:val="36"/>
        </w:rPr>
        <w:br w:type="page"/>
      </w:r>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pPr>
        <w:spacing w:line="480" w:lineRule="auto"/>
        <w:jc w:val="center"/>
        <w:rPr>
          <w:rFonts w:ascii="宋体" w:hAnsi="宋体" w:cs="宋体"/>
          <w:b/>
          <w:color w:val="auto"/>
          <w:sz w:val="28"/>
          <w:szCs w:val="28"/>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pPr>
        <w:pStyle w:val="699"/>
        <w:ind w:firstLine="2843" w:firstLineChars="1180"/>
        <w:rPr>
          <w:rFonts w:ascii="宋体" w:hAnsi="宋体" w:cs="宋体"/>
          <w:b/>
          <w:color w:val="auto"/>
          <w:szCs w:val="24"/>
        </w:rPr>
      </w:pPr>
      <w:r>
        <w:rPr>
          <w:rFonts w:hint="eastAsia" w:ascii="宋体" w:hAnsi="宋体" w:cs="宋体"/>
          <w:b/>
          <w:color w:val="auto"/>
          <w:szCs w:val="24"/>
        </w:rPr>
        <w:t>第一部分 合同书</w:t>
      </w:r>
    </w:p>
    <w:p>
      <w:pPr>
        <w:spacing w:before="120" w:line="22" w:lineRule="atLeast"/>
        <w:rPr>
          <w:rFonts w:ascii="宋体" w:hAnsi="宋体" w:cs="宋体"/>
          <w:color w:val="auto"/>
          <w:sz w:val="24"/>
        </w:rPr>
      </w:pPr>
    </w:p>
    <w:p>
      <w:pPr>
        <w:pStyle w:val="3"/>
        <w:rPr>
          <w:color w:val="auto"/>
        </w:rPr>
      </w:pPr>
    </w:p>
    <w:p>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pPr>
        <w:pStyle w:val="596"/>
        <w:spacing w:before="120" w:line="22" w:lineRule="atLeast"/>
        <w:rPr>
          <w:rFonts w:ascii="宋体" w:hAnsi="宋体" w:eastAsia="宋体" w:cs="宋体"/>
          <w:color w:val="auto"/>
          <w:szCs w:val="24"/>
        </w:rPr>
      </w:pPr>
    </w:p>
    <w:p>
      <w:pPr>
        <w:pStyle w:val="596"/>
        <w:spacing w:before="120" w:line="22" w:lineRule="atLeast"/>
        <w:rPr>
          <w:rFonts w:ascii="宋体" w:hAnsi="宋体" w:eastAsia="宋体" w:cs="宋体"/>
          <w:color w:val="auto"/>
          <w:szCs w:val="24"/>
        </w:rPr>
      </w:pPr>
    </w:p>
    <w:p>
      <w:pPr>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widowControl/>
        <w:jc w:val="left"/>
        <w:rPr>
          <w:rFonts w:ascii="宋体" w:hAnsi="宋体" w:cs="宋体"/>
          <w:color w:val="auto"/>
          <w:kern w:val="0"/>
          <w:sz w:val="24"/>
        </w:rPr>
        <w:sectPr>
          <w:pgSz w:w="11907" w:h="16840"/>
          <w:pgMar w:top="1474" w:right="1814" w:bottom="1474" w:left="1814" w:header="851" w:footer="851" w:gutter="0"/>
          <w:cols w:space="720" w:num="1"/>
        </w:sectPr>
      </w:pPr>
    </w:p>
    <w:p>
      <w:pPr>
        <w:rPr>
          <w:rFonts w:ascii="宋体" w:hAnsi="宋体" w:cs="宋体"/>
          <w:b/>
          <w:color w:val="auto"/>
          <w:sz w:val="24"/>
        </w:rPr>
      </w:pPr>
    </w:p>
    <w:p>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pPr>
        <w:spacing w:line="560" w:lineRule="exact"/>
        <w:ind w:firstLine="482" w:firstLineChars="200"/>
        <w:outlineLvl w:val="0"/>
        <w:rPr>
          <w:rFonts w:ascii="宋体" w:hAnsi="宋体"/>
          <w:color w:val="auto"/>
          <w:sz w:val="24"/>
        </w:rPr>
      </w:pPr>
      <w:bookmarkStart w:id="395" w:name="_Toc15367"/>
      <w:bookmarkStart w:id="396" w:name="_Toc22967"/>
      <w:bookmarkStart w:id="397" w:name="_Toc20421"/>
      <w:bookmarkStart w:id="398" w:name="_Toc28855"/>
      <w:bookmarkStart w:id="399" w:name="_Toc19273"/>
      <w:r>
        <w:rPr>
          <w:rFonts w:ascii="宋体" w:hAnsi="宋体"/>
          <w:b/>
          <w:color w:val="auto"/>
          <w:sz w:val="24"/>
        </w:rPr>
        <w:t xml:space="preserve">1.1 </w:t>
      </w:r>
      <w:r>
        <w:rPr>
          <w:rFonts w:hint="eastAsia" w:ascii="宋体" w:hAnsi="宋体"/>
          <w:b/>
          <w:color w:val="auto"/>
          <w:sz w:val="24"/>
        </w:rPr>
        <w:t>合同组成部分</w:t>
      </w:r>
      <w:bookmarkEnd w:id="395"/>
      <w:bookmarkEnd w:id="396"/>
      <w:bookmarkEnd w:id="397"/>
      <w:bookmarkEnd w:id="398"/>
      <w:bookmarkEnd w:id="399"/>
    </w:p>
    <w:p>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pPr>
        <w:spacing w:line="560" w:lineRule="exact"/>
        <w:ind w:firstLine="482" w:firstLineChars="200"/>
        <w:outlineLvl w:val="0"/>
        <w:rPr>
          <w:rFonts w:ascii="宋体" w:hAnsi="宋体"/>
          <w:b/>
          <w:color w:val="auto"/>
          <w:sz w:val="24"/>
        </w:rPr>
      </w:pPr>
      <w:bookmarkStart w:id="400" w:name="_Toc22185"/>
      <w:bookmarkStart w:id="401" w:name="_Toc18585"/>
      <w:bookmarkStart w:id="402" w:name="_Toc2918"/>
      <w:bookmarkStart w:id="403" w:name="_Toc6773"/>
      <w:bookmarkStart w:id="404" w:name="_Toc6311"/>
      <w:r>
        <w:rPr>
          <w:rFonts w:ascii="宋体" w:hAnsi="宋体"/>
          <w:b/>
          <w:color w:val="auto"/>
          <w:sz w:val="24"/>
        </w:rPr>
        <w:t xml:space="preserve">1.2 </w:t>
      </w:r>
      <w:r>
        <w:rPr>
          <w:rFonts w:hint="eastAsia" w:ascii="宋体" w:hAnsi="宋体"/>
          <w:b/>
          <w:color w:val="auto"/>
          <w:sz w:val="24"/>
        </w:rPr>
        <w:t>标的</w:t>
      </w:r>
      <w:bookmarkEnd w:id="400"/>
      <w:bookmarkEnd w:id="401"/>
      <w:bookmarkEnd w:id="402"/>
      <w:bookmarkEnd w:id="403"/>
      <w:bookmarkEnd w:id="404"/>
    </w:p>
    <w:p>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pPr>
        <w:pStyle w:val="957"/>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否）涉及货物。若涉及货物的的，则：</w:t>
      </w:r>
    </w:p>
    <w:p>
      <w:pPr>
        <w:spacing w:line="560" w:lineRule="exact"/>
        <w:ind w:firstLine="480" w:firstLineChars="200"/>
        <w:rPr>
          <w:rFonts w:ascii="宋体" w:hAnsi="宋体" w:cs="宋体"/>
          <w:color w:val="auto"/>
          <w:sz w:val="24"/>
          <w:u w:val="single"/>
        </w:rPr>
      </w:pPr>
      <w:bookmarkStart w:id="405" w:name="_Toc1386"/>
      <w:bookmarkStart w:id="406" w:name="_Toc4929"/>
      <w:bookmarkStart w:id="407" w:name="_Toc13918"/>
      <w:bookmarkStart w:id="408" w:name="_Toc5635"/>
      <w:bookmarkStart w:id="409" w:name="_Toc21124"/>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05"/>
      <w:bookmarkEnd w:id="406"/>
      <w:bookmarkEnd w:id="407"/>
      <w:bookmarkEnd w:id="408"/>
      <w:bookmarkEnd w:id="409"/>
    </w:p>
    <w:p>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pPr>
              <w:pStyle w:val="317"/>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pPr>
              <w:pStyle w:val="317"/>
              <w:spacing w:line="560" w:lineRule="exact"/>
              <w:jc w:val="center"/>
              <w:rPr>
                <w:rFonts w:hAnsi="宋体"/>
                <w:color w:val="auto"/>
                <w:sz w:val="24"/>
                <w:szCs w:val="24"/>
              </w:rPr>
            </w:pPr>
            <w:r>
              <w:rPr>
                <w:rFonts w:hAnsi="宋体"/>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auto"/>
                <w:sz w:val="24"/>
                <w:szCs w:val="24"/>
              </w:rPr>
            </w:pPr>
          </w:p>
        </w:tc>
        <w:tc>
          <w:tcPr>
            <w:tcW w:w="3402" w:type="dxa"/>
            <w:vAlign w:val="center"/>
          </w:tcPr>
          <w:p>
            <w:pPr>
              <w:pStyle w:val="317"/>
              <w:spacing w:line="560" w:lineRule="exact"/>
              <w:ind w:firstLine="200"/>
              <w:jc w:val="center"/>
              <w:rPr>
                <w:rFonts w:hAnsi="宋体"/>
                <w:color w:val="auto"/>
                <w:sz w:val="24"/>
                <w:szCs w:val="24"/>
              </w:rPr>
            </w:pPr>
          </w:p>
        </w:tc>
        <w:tc>
          <w:tcPr>
            <w:tcW w:w="2552" w:type="dxa"/>
            <w:vAlign w:val="center"/>
          </w:tcPr>
          <w:p>
            <w:pPr>
              <w:pStyle w:val="317"/>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auto"/>
                <w:sz w:val="24"/>
                <w:szCs w:val="24"/>
              </w:rPr>
            </w:pPr>
          </w:p>
        </w:tc>
        <w:tc>
          <w:tcPr>
            <w:tcW w:w="3402" w:type="dxa"/>
            <w:vAlign w:val="center"/>
          </w:tcPr>
          <w:p>
            <w:pPr>
              <w:pStyle w:val="317"/>
              <w:spacing w:line="560" w:lineRule="exact"/>
              <w:ind w:firstLine="200"/>
              <w:jc w:val="center"/>
              <w:rPr>
                <w:rFonts w:hAnsi="宋体"/>
                <w:color w:val="auto"/>
                <w:sz w:val="24"/>
                <w:szCs w:val="24"/>
              </w:rPr>
            </w:pPr>
          </w:p>
        </w:tc>
        <w:tc>
          <w:tcPr>
            <w:tcW w:w="2552" w:type="dxa"/>
            <w:vAlign w:val="center"/>
          </w:tcPr>
          <w:p>
            <w:pPr>
              <w:pStyle w:val="317"/>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auto"/>
                <w:sz w:val="24"/>
                <w:szCs w:val="24"/>
              </w:rPr>
            </w:pPr>
          </w:p>
        </w:tc>
        <w:tc>
          <w:tcPr>
            <w:tcW w:w="3402" w:type="dxa"/>
            <w:vAlign w:val="center"/>
          </w:tcPr>
          <w:p>
            <w:pPr>
              <w:pStyle w:val="317"/>
              <w:spacing w:line="560" w:lineRule="exact"/>
              <w:ind w:firstLine="200"/>
              <w:jc w:val="center"/>
              <w:rPr>
                <w:rFonts w:hAnsi="宋体"/>
                <w:color w:val="auto"/>
                <w:sz w:val="24"/>
                <w:szCs w:val="24"/>
              </w:rPr>
            </w:pPr>
          </w:p>
        </w:tc>
        <w:tc>
          <w:tcPr>
            <w:tcW w:w="2552" w:type="dxa"/>
            <w:vAlign w:val="center"/>
          </w:tcPr>
          <w:p>
            <w:pPr>
              <w:pStyle w:val="317"/>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auto"/>
                <w:sz w:val="24"/>
                <w:szCs w:val="24"/>
              </w:rPr>
            </w:pPr>
          </w:p>
        </w:tc>
        <w:tc>
          <w:tcPr>
            <w:tcW w:w="3402" w:type="dxa"/>
            <w:vAlign w:val="center"/>
          </w:tcPr>
          <w:p>
            <w:pPr>
              <w:pStyle w:val="317"/>
              <w:spacing w:line="560" w:lineRule="exact"/>
              <w:ind w:firstLine="200"/>
              <w:jc w:val="center"/>
              <w:rPr>
                <w:rFonts w:hAnsi="宋体"/>
                <w:color w:val="auto"/>
                <w:sz w:val="24"/>
                <w:szCs w:val="24"/>
              </w:rPr>
            </w:pPr>
          </w:p>
        </w:tc>
        <w:tc>
          <w:tcPr>
            <w:tcW w:w="2552" w:type="dxa"/>
            <w:vAlign w:val="center"/>
          </w:tcPr>
          <w:p>
            <w:pPr>
              <w:pStyle w:val="317"/>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pPr>
              <w:pStyle w:val="317"/>
              <w:spacing w:line="560" w:lineRule="exact"/>
              <w:ind w:firstLine="200"/>
              <w:jc w:val="center"/>
              <w:rPr>
                <w:rFonts w:hAnsi="宋体"/>
                <w:color w:val="auto"/>
                <w:sz w:val="24"/>
                <w:szCs w:val="24"/>
              </w:rPr>
            </w:pPr>
          </w:p>
        </w:tc>
      </w:tr>
    </w:tbl>
    <w:p>
      <w:pPr>
        <w:spacing w:line="560" w:lineRule="exact"/>
        <w:ind w:firstLine="480" w:firstLineChars="200"/>
        <w:rPr>
          <w:rFonts w:ascii="宋体" w:hAnsi="宋体"/>
          <w:color w:val="auto"/>
          <w:sz w:val="24"/>
        </w:rPr>
      </w:pPr>
      <w:bookmarkStart w:id="410" w:name="_Toc26916"/>
      <w:bookmarkStart w:id="411" w:name="_Toc3654"/>
      <w:bookmarkStart w:id="412" w:name="_Toc30158"/>
      <w:bookmarkStart w:id="413" w:name="_Toc30506"/>
      <w:bookmarkStart w:id="414" w:name="_Toc14993"/>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pPr>
        <w:pStyle w:val="3"/>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10"/>
    <w:bookmarkEnd w:id="411"/>
    <w:bookmarkEnd w:id="412"/>
    <w:bookmarkEnd w:id="413"/>
    <w:bookmarkEnd w:id="414"/>
    <w:p>
      <w:pPr>
        <w:pStyle w:val="957"/>
        <w:spacing w:before="0" w:beforeAutospacing="0" w:after="0" w:afterAutospacing="0" w:line="360" w:lineRule="auto"/>
        <w:ind w:firstLine="480"/>
        <w:rPr>
          <w:b/>
          <w:color w:val="auto"/>
        </w:rPr>
      </w:pPr>
      <w:bookmarkStart w:id="415" w:name="_Toc10340"/>
      <w:bookmarkStart w:id="416" w:name="_Toc1814"/>
      <w:bookmarkStart w:id="417" w:name="_Toc22618"/>
      <w:bookmarkStart w:id="418" w:name="_Toc3625"/>
      <w:bookmarkStart w:id="419" w:name="_Toc8772"/>
      <w:bookmarkStart w:id="420" w:name="_Toc31421"/>
      <w:bookmarkStart w:id="421" w:name="_Toc4760"/>
      <w:bookmarkStart w:id="422" w:name="_Toc11108"/>
      <w:r>
        <w:rPr>
          <w:rFonts w:hint="eastAsia"/>
          <w:b/>
          <w:color w:val="auto"/>
        </w:rPr>
        <w:t>1.4履约保证金</w:t>
      </w:r>
    </w:p>
    <w:p>
      <w:pPr>
        <w:pStyle w:val="957"/>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3"/>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15"/>
      <w:bookmarkEnd w:id="416"/>
      <w:bookmarkEnd w:id="417"/>
      <w:r>
        <w:rPr>
          <w:rFonts w:hint="eastAsia" w:ascii="宋体" w:hAnsi="宋体" w:cs="宋体"/>
          <w:b/>
          <w:color w:val="auto"/>
          <w:sz w:val="24"/>
        </w:rPr>
        <w:t>预付款</w:t>
      </w:r>
    </w:p>
    <w:p>
      <w:pPr>
        <w:pStyle w:val="957"/>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957"/>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957"/>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957"/>
        <w:spacing w:before="0" w:beforeAutospacing="0" w:after="0" w:afterAutospacing="0" w:line="360" w:lineRule="auto"/>
        <w:ind w:firstLine="480"/>
        <w:rPr>
          <w:b/>
          <w:bCs/>
          <w:color w:val="auto"/>
        </w:rPr>
      </w:pPr>
      <w:r>
        <w:rPr>
          <w:rFonts w:hint="eastAsia"/>
          <w:b/>
          <w:bCs/>
          <w:color w:val="auto"/>
        </w:rPr>
        <w:t>1.6资金支付</w:t>
      </w:r>
    </w:p>
    <w:p>
      <w:pPr>
        <w:pStyle w:val="957"/>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18"/>
      <w:bookmarkEnd w:id="419"/>
      <w:bookmarkEnd w:id="420"/>
      <w:bookmarkEnd w:id="421"/>
      <w:bookmarkEnd w:id="422"/>
    </w:p>
    <w:p>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outlineLvl w:val="0"/>
        <w:rPr>
          <w:rFonts w:ascii="宋体" w:hAnsi="宋体"/>
          <w:bCs/>
          <w:color w:val="auto"/>
          <w:sz w:val="24"/>
        </w:rPr>
      </w:pPr>
      <w:bookmarkStart w:id="423" w:name="_Toc8586"/>
      <w:bookmarkStart w:id="424" w:name="_Toc24662"/>
      <w:bookmarkStart w:id="425" w:name="_Toc2375"/>
      <w:bookmarkStart w:id="426" w:name="_Toc5698"/>
      <w:bookmarkStart w:id="427" w:name="_Toc3079"/>
      <w:r>
        <w:rPr>
          <w:rFonts w:hint="eastAsia" w:ascii="宋体" w:hAnsi="宋体"/>
          <w:bCs/>
          <w:color w:val="auto"/>
          <w:sz w:val="24"/>
        </w:rPr>
        <w:t>1.7.4若服务</w:t>
      </w:r>
      <w:r>
        <w:rPr>
          <w:rFonts w:hint="eastAsia"/>
          <w:bCs/>
          <w:color w:val="auto"/>
          <w:sz w:val="24"/>
        </w:rPr>
        <w:t>涉及货物的，则货物的：</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23"/>
      <w:bookmarkEnd w:id="424"/>
      <w:bookmarkEnd w:id="425"/>
      <w:bookmarkEnd w:id="426"/>
      <w:bookmarkEnd w:id="427"/>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pPr>
        <w:pStyle w:val="3"/>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pPr>
        <w:spacing w:line="560" w:lineRule="exact"/>
        <w:ind w:firstLine="480" w:firstLineChars="200"/>
        <w:rPr>
          <w:rFonts w:ascii="宋体" w:hAnsi="宋体" w:cs="宋体"/>
          <w:color w:val="auto"/>
          <w:sz w:val="24"/>
        </w:rPr>
      </w:pPr>
      <w:bookmarkStart w:id="428" w:name="_Toc26807"/>
      <w:bookmarkStart w:id="429" w:name="_Toc32454"/>
      <w:bookmarkStart w:id="430" w:name="_Toc9497"/>
      <w:bookmarkStart w:id="431" w:name="_Toc18683"/>
      <w:bookmarkStart w:id="432" w:name="_Toc30329"/>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28"/>
    <w:bookmarkEnd w:id="429"/>
    <w:bookmarkEnd w:id="430"/>
    <w:bookmarkEnd w:id="431"/>
    <w:bookmarkEnd w:id="432"/>
    <w:p>
      <w:pPr>
        <w:spacing w:line="560" w:lineRule="exact"/>
        <w:ind w:firstLine="482" w:firstLineChars="200"/>
        <w:outlineLvl w:val="0"/>
        <w:rPr>
          <w:rFonts w:ascii="宋体" w:hAnsi="宋体" w:cs="宋体"/>
          <w:b/>
          <w:color w:val="auto"/>
          <w:sz w:val="24"/>
        </w:rPr>
      </w:pPr>
      <w:bookmarkStart w:id="433" w:name="_Toc15583"/>
      <w:bookmarkStart w:id="434" w:name="_Toc16021"/>
      <w:bookmarkStart w:id="435" w:name="_Toc28375"/>
      <w:r>
        <w:rPr>
          <w:rFonts w:hint="eastAsia" w:ascii="宋体" w:hAnsi="宋体" w:cs="宋体"/>
          <w:b/>
          <w:color w:val="auto"/>
          <w:sz w:val="24"/>
        </w:rPr>
        <w:t>1.9合同争议的解决</w:t>
      </w:r>
      <w:bookmarkEnd w:id="433"/>
      <w:bookmarkEnd w:id="434"/>
      <w:bookmarkEnd w:id="435"/>
    </w:p>
    <w:p>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pPr>
        <w:spacing w:line="560" w:lineRule="exact"/>
        <w:ind w:firstLine="482" w:firstLineChars="200"/>
        <w:outlineLvl w:val="0"/>
        <w:rPr>
          <w:rFonts w:ascii="宋体" w:hAnsi="宋体" w:cs="宋体"/>
          <w:b/>
          <w:color w:val="auto"/>
          <w:sz w:val="24"/>
        </w:rPr>
      </w:pPr>
      <w:bookmarkStart w:id="436" w:name="_Toc7245"/>
      <w:bookmarkStart w:id="437" w:name="_Toc11173"/>
      <w:bookmarkStart w:id="438" w:name="_Toc15322"/>
      <w:r>
        <w:rPr>
          <w:rFonts w:hint="eastAsia" w:ascii="宋体" w:hAnsi="宋体" w:cs="宋体"/>
          <w:b/>
          <w:color w:val="auto"/>
          <w:sz w:val="24"/>
        </w:rPr>
        <w:t>2.0 合同生效</w:t>
      </w:r>
      <w:bookmarkEnd w:id="436"/>
      <w:bookmarkEnd w:id="437"/>
      <w:bookmarkEnd w:id="438"/>
    </w:p>
    <w:p>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pPr>
        <w:autoSpaceDE w:val="0"/>
        <w:autoSpaceDN w:val="0"/>
        <w:spacing w:line="560" w:lineRule="exact"/>
        <w:rPr>
          <w:rFonts w:ascii="宋体" w:hAnsi="宋体"/>
          <w:color w:val="auto"/>
          <w:sz w:val="24"/>
          <w:lang w:val="zh-CN"/>
        </w:rPr>
      </w:pPr>
    </w:p>
    <w:p>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pPr>
        <w:autoSpaceDE w:val="0"/>
        <w:autoSpaceDN w:val="0"/>
        <w:spacing w:line="560" w:lineRule="exact"/>
        <w:rPr>
          <w:rFonts w:ascii="宋体" w:hAnsi="宋体"/>
          <w:color w:val="auto"/>
          <w:sz w:val="24"/>
          <w:lang w:val="zh-CN"/>
        </w:rPr>
      </w:pP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pPr>
        <w:widowControl/>
        <w:spacing w:line="560" w:lineRule="exact"/>
        <w:jc w:val="left"/>
        <w:rPr>
          <w:rFonts w:ascii="宋体" w:hAnsi="宋体"/>
          <w:b/>
          <w:color w:val="auto"/>
          <w:sz w:val="24"/>
        </w:rPr>
      </w:pPr>
    </w:p>
    <w:p>
      <w:pPr>
        <w:widowControl/>
        <w:adjustRightInd/>
        <w:jc w:val="left"/>
        <w:rPr>
          <w:rFonts w:ascii="宋体" w:hAnsi="宋体"/>
          <w:b/>
          <w:color w:val="auto"/>
          <w:sz w:val="24"/>
        </w:rPr>
      </w:pPr>
      <w:r>
        <w:rPr>
          <w:rFonts w:ascii="宋体" w:hAnsi="宋体"/>
          <w:b/>
          <w:color w:val="auto"/>
        </w:rPr>
        <w:br w:type="page"/>
      </w:r>
    </w:p>
    <w:p>
      <w:pPr>
        <w:pStyle w:val="699"/>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pPr>
        <w:spacing w:line="560" w:lineRule="exact"/>
        <w:ind w:firstLine="482" w:firstLineChars="200"/>
        <w:outlineLvl w:val="0"/>
        <w:rPr>
          <w:rFonts w:ascii="宋体" w:hAnsi="宋体"/>
          <w:b/>
          <w:color w:val="auto"/>
          <w:sz w:val="24"/>
        </w:rPr>
      </w:pPr>
      <w:bookmarkStart w:id="439" w:name="_Toc5228"/>
      <w:bookmarkStart w:id="440" w:name="_Toc31297"/>
      <w:bookmarkStart w:id="441" w:name="_Toc14021"/>
      <w:bookmarkStart w:id="442" w:name="_Toc19680"/>
      <w:bookmarkStart w:id="443" w:name="_Toc25079"/>
      <w:r>
        <w:rPr>
          <w:rFonts w:ascii="宋体" w:hAnsi="宋体"/>
          <w:b/>
          <w:color w:val="auto"/>
          <w:sz w:val="24"/>
        </w:rPr>
        <w:t>2.1 定义</w:t>
      </w:r>
      <w:bookmarkEnd w:id="439"/>
      <w:bookmarkEnd w:id="440"/>
      <w:bookmarkEnd w:id="441"/>
      <w:bookmarkEnd w:id="442"/>
      <w:bookmarkEnd w:id="443"/>
    </w:p>
    <w:p>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pPr>
        <w:spacing w:line="560" w:lineRule="exact"/>
        <w:ind w:firstLine="482" w:firstLineChars="200"/>
        <w:outlineLvl w:val="0"/>
        <w:rPr>
          <w:rFonts w:ascii="宋体" w:hAnsi="宋体"/>
          <w:b/>
          <w:color w:val="auto"/>
          <w:sz w:val="24"/>
        </w:rPr>
      </w:pPr>
      <w:bookmarkStart w:id="444" w:name="_Toc31402"/>
      <w:bookmarkStart w:id="445" w:name="_Toc16752"/>
      <w:bookmarkStart w:id="446" w:name="_Toc23289"/>
      <w:bookmarkStart w:id="447" w:name="_Toc19539"/>
      <w:bookmarkStart w:id="448" w:name="_Toc3769"/>
      <w:r>
        <w:rPr>
          <w:rFonts w:ascii="宋体" w:hAnsi="宋体"/>
          <w:b/>
          <w:color w:val="auto"/>
          <w:sz w:val="24"/>
        </w:rPr>
        <w:t>2.2 技术规范</w:t>
      </w:r>
      <w:bookmarkEnd w:id="444"/>
      <w:bookmarkEnd w:id="445"/>
      <w:bookmarkEnd w:id="446"/>
      <w:bookmarkEnd w:id="447"/>
      <w:bookmarkEnd w:id="448"/>
    </w:p>
    <w:p>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pPr>
        <w:spacing w:line="560" w:lineRule="exact"/>
        <w:ind w:firstLine="482" w:firstLineChars="200"/>
        <w:outlineLvl w:val="0"/>
        <w:rPr>
          <w:rFonts w:ascii="宋体" w:hAnsi="宋体"/>
          <w:b/>
          <w:color w:val="auto"/>
          <w:sz w:val="24"/>
        </w:rPr>
      </w:pPr>
      <w:bookmarkStart w:id="449" w:name="_Toc13673"/>
      <w:bookmarkStart w:id="450" w:name="_Toc4133"/>
      <w:bookmarkStart w:id="451" w:name="_Toc9161"/>
      <w:bookmarkStart w:id="452" w:name="_Toc27945"/>
      <w:bookmarkStart w:id="453" w:name="_Toc12412"/>
      <w:r>
        <w:rPr>
          <w:rFonts w:ascii="宋体" w:hAnsi="宋体"/>
          <w:b/>
          <w:color w:val="auto"/>
          <w:sz w:val="24"/>
        </w:rPr>
        <w:t>2.3 知识产权</w:t>
      </w:r>
      <w:bookmarkEnd w:id="449"/>
      <w:bookmarkEnd w:id="450"/>
      <w:bookmarkEnd w:id="451"/>
      <w:bookmarkEnd w:id="452"/>
      <w:bookmarkEnd w:id="453"/>
    </w:p>
    <w:p>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rPr>
      </w:pPr>
      <w:bookmarkStart w:id="454" w:name="_Toc31233"/>
      <w:bookmarkStart w:id="455" w:name="_Toc32670"/>
      <w:bookmarkStart w:id="456" w:name="_Toc15447"/>
      <w:bookmarkStart w:id="457" w:name="_Toc26555"/>
      <w:bookmarkStart w:id="458" w:name="_Toc22011"/>
      <w:r>
        <w:rPr>
          <w:rFonts w:ascii="宋体" w:hAnsi="宋体"/>
          <w:b/>
          <w:color w:val="auto"/>
          <w:sz w:val="24"/>
        </w:rPr>
        <w:t>2.5 结算方式和付款条件</w:t>
      </w:r>
      <w:bookmarkEnd w:id="454"/>
      <w:bookmarkEnd w:id="455"/>
      <w:bookmarkEnd w:id="456"/>
      <w:bookmarkEnd w:id="457"/>
      <w:bookmarkEnd w:id="458"/>
    </w:p>
    <w:p>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pPr>
        <w:spacing w:line="560" w:lineRule="exact"/>
        <w:ind w:firstLine="482" w:firstLineChars="200"/>
        <w:outlineLvl w:val="0"/>
        <w:rPr>
          <w:rFonts w:ascii="宋体" w:hAnsi="宋体"/>
          <w:b/>
          <w:color w:val="auto"/>
          <w:sz w:val="24"/>
        </w:rPr>
      </w:pPr>
      <w:bookmarkStart w:id="459" w:name="_Toc13467"/>
      <w:bookmarkStart w:id="460" w:name="_Toc13154"/>
      <w:bookmarkStart w:id="461" w:name="_Toc16163"/>
      <w:bookmarkStart w:id="462" w:name="_Toc18990"/>
      <w:bookmarkStart w:id="463" w:name="_Toc30507"/>
      <w:r>
        <w:rPr>
          <w:rFonts w:ascii="宋体" w:hAnsi="宋体"/>
          <w:b/>
          <w:color w:val="auto"/>
          <w:sz w:val="24"/>
        </w:rPr>
        <w:t>2.6 技术资料和保密义务</w:t>
      </w:r>
      <w:bookmarkEnd w:id="459"/>
      <w:bookmarkEnd w:id="460"/>
      <w:bookmarkEnd w:id="461"/>
      <w:bookmarkEnd w:id="462"/>
      <w:bookmarkEnd w:id="463"/>
    </w:p>
    <w:p>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rPr>
      </w:pPr>
      <w:bookmarkStart w:id="464" w:name="_Toc19069"/>
      <w:r>
        <w:rPr>
          <w:rFonts w:ascii="宋体" w:hAnsi="宋体"/>
          <w:b/>
          <w:color w:val="auto"/>
          <w:sz w:val="24"/>
        </w:rPr>
        <w:t xml:space="preserve">2.7 </w:t>
      </w:r>
      <w:r>
        <w:rPr>
          <w:rFonts w:hint="eastAsia" w:ascii="宋体" w:hAnsi="宋体"/>
          <w:b/>
          <w:color w:val="auto"/>
          <w:sz w:val="24"/>
        </w:rPr>
        <w:t>质量保证</w:t>
      </w:r>
      <w:bookmarkEnd w:id="464"/>
    </w:p>
    <w:p>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rPr>
      </w:pPr>
      <w:bookmarkStart w:id="465" w:name="_Toc22267"/>
      <w:r>
        <w:rPr>
          <w:rFonts w:ascii="宋体" w:hAnsi="宋体"/>
          <w:b/>
          <w:color w:val="auto"/>
          <w:sz w:val="24"/>
        </w:rPr>
        <w:t xml:space="preserve">2.8 </w:t>
      </w:r>
      <w:r>
        <w:rPr>
          <w:rFonts w:hint="eastAsia" w:ascii="宋体" w:hAnsi="宋体"/>
          <w:b/>
          <w:color w:val="auto"/>
          <w:sz w:val="24"/>
        </w:rPr>
        <w:t>延迟履行</w:t>
      </w:r>
      <w:bookmarkEnd w:id="465"/>
    </w:p>
    <w:p>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pPr>
        <w:spacing w:line="560" w:lineRule="exact"/>
        <w:ind w:firstLine="482" w:firstLineChars="200"/>
        <w:outlineLvl w:val="0"/>
        <w:rPr>
          <w:rFonts w:ascii="宋体" w:hAnsi="宋体"/>
          <w:b/>
          <w:color w:val="auto"/>
          <w:sz w:val="24"/>
        </w:rPr>
      </w:pPr>
      <w:bookmarkStart w:id="466" w:name="_Toc10611"/>
      <w:r>
        <w:rPr>
          <w:rFonts w:ascii="宋体" w:hAnsi="宋体"/>
          <w:b/>
          <w:color w:val="auto"/>
          <w:sz w:val="24"/>
        </w:rPr>
        <w:t xml:space="preserve">2.9 </w:t>
      </w:r>
      <w:r>
        <w:rPr>
          <w:rFonts w:hint="eastAsia" w:ascii="宋体" w:hAnsi="宋体"/>
          <w:b/>
          <w:color w:val="auto"/>
          <w:sz w:val="24"/>
        </w:rPr>
        <w:t>合同变更</w:t>
      </w:r>
      <w:bookmarkEnd w:id="466"/>
    </w:p>
    <w:p>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rPr>
      </w:pPr>
      <w:bookmarkStart w:id="467" w:name="_Toc21830"/>
      <w:bookmarkStart w:id="468" w:name="_Toc42"/>
      <w:bookmarkStart w:id="469" w:name="_Toc10663"/>
      <w:bookmarkStart w:id="470" w:name="_Toc26689"/>
      <w:bookmarkStart w:id="471" w:name="_Toc23368"/>
      <w:r>
        <w:rPr>
          <w:rFonts w:ascii="宋体" w:hAnsi="宋体"/>
          <w:b/>
          <w:color w:val="auto"/>
          <w:sz w:val="24"/>
        </w:rPr>
        <w:t>2.10 合同转让和分包</w:t>
      </w:r>
      <w:bookmarkEnd w:id="467"/>
      <w:bookmarkEnd w:id="468"/>
      <w:bookmarkEnd w:id="469"/>
      <w:bookmarkEnd w:id="470"/>
      <w:bookmarkEnd w:id="471"/>
    </w:p>
    <w:p>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pPr>
        <w:spacing w:line="560" w:lineRule="exact"/>
        <w:ind w:firstLine="482" w:firstLineChars="200"/>
        <w:outlineLvl w:val="0"/>
        <w:rPr>
          <w:rFonts w:ascii="宋体" w:hAnsi="宋体"/>
          <w:b/>
          <w:color w:val="auto"/>
          <w:sz w:val="24"/>
        </w:rPr>
      </w:pPr>
      <w:bookmarkStart w:id="472" w:name="_Toc32494"/>
      <w:bookmarkStart w:id="473" w:name="_Toc25571"/>
      <w:bookmarkStart w:id="474" w:name="_Toc4720"/>
      <w:bookmarkStart w:id="475" w:name="_Toc26633"/>
      <w:bookmarkStart w:id="476" w:name="_Toc14371"/>
      <w:r>
        <w:rPr>
          <w:rFonts w:ascii="宋体" w:hAnsi="宋体"/>
          <w:b/>
          <w:color w:val="auto"/>
          <w:sz w:val="24"/>
        </w:rPr>
        <w:t>2.11 不可抗力</w:t>
      </w:r>
      <w:bookmarkEnd w:id="472"/>
      <w:bookmarkEnd w:id="473"/>
      <w:bookmarkEnd w:id="474"/>
      <w:bookmarkEnd w:id="475"/>
      <w:bookmarkEnd w:id="476"/>
    </w:p>
    <w:p>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pPr>
        <w:spacing w:line="560" w:lineRule="exact"/>
        <w:ind w:firstLine="482" w:firstLineChars="200"/>
        <w:outlineLvl w:val="0"/>
        <w:rPr>
          <w:rFonts w:ascii="宋体" w:hAnsi="宋体"/>
          <w:b/>
          <w:color w:val="auto"/>
          <w:sz w:val="24"/>
        </w:rPr>
      </w:pPr>
      <w:bookmarkStart w:id="477" w:name="_Toc23854"/>
      <w:bookmarkStart w:id="478" w:name="_Toc14115"/>
      <w:bookmarkStart w:id="479" w:name="_Toc3638"/>
      <w:bookmarkStart w:id="480" w:name="_Toc24465"/>
      <w:bookmarkStart w:id="481" w:name="_Toc25783"/>
      <w:r>
        <w:rPr>
          <w:rFonts w:ascii="宋体" w:hAnsi="宋体"/>
          <w:b/>
          <w:color w:val="auto"/>
          <w:sz w:val="24"/>
        </w:rPr>
        <w:t>2.12 税费</w:t>
      </w:r>
      <w:bookmarkEnd w:id="477"/>
      <w:bookmarkEnd w:id="478"/>
      <w:bookmarkEnd w:id="479"/>
      <w:bookmarkEnd w:id="480"/>
      <w:bookmarkEnd w:id="481"/>
    </w:p>
    <w:p>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pPr>
        <w:spacing w:line="560" w:lineRule="exact"/>
        <w:ind w:firstLine="482" w:firstLineChars="200"/>
        <w:outlineLvl w:val="0"/>
        <w:rPr>
          <w:rFonts w:ascii="宋体" w:hAnsi="宋体"/>
          <w:b/>
          <w:color w:val="auto"/>
          <w:sz w:val="24"/>
        </w:rPr>
      </w:pPr>
      <w:bookmarkStart w:id="482" w:name="_Toc25525"/>
      <w:bookmarkStart w:id="483" w:name="_Toc14814"/>
      <w:bookmarkStart w:id="484" w:name="_Toc26883"/>
      <w:bookmarkStart w:id="485" w:name="_Toc7315"/>
      <w:bookmarkStart w:id="486" w:name="_Toc30105"/>
      <w:r>
        <w:rPr>
          <w:rFonts w:ascii="宋体" w:hAnsi="宋体"/>
          <w:b/>
          <w:color w:val="auto"/>
          <w:sz w:val="24"/>
        </w:rPr>
        <w:t>2.13 乙方破产</w:t>
      </w:r>
      <w:bookmarkEnd w:id="482"/>
      <w:bookmarkEnd w:id="483"/>
      <w:bookmarkEnd w:id="484"/>
      <w:bookmarkEnd w:id="485"/>
      <w:bookmarkEnd w:id="486"/>
    </w:p>
    <w:p>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pPr>
        <w:spacing w:line="560" w:lineRule="exact"/>
        <w:ind w:firstLine="482" w:firstLineChars="200"/>
        <w:outlineLvl w:val="0"/>
        <w:rPr>
          <w:rFonts w:ascii="宋体" w:hAnsi="宋体"/>
          <w:b/>
          <w:color w:val="auto"/>
          <w:sz w:val="24"/>
        </w:rPr>
      </w:pPr>
      <w:bookmarkStart w:id="487" w:name="_Toc1123"/>
      <w:bookmarkStart w:id="488" w:name="_Toc23323"/>
      <w:bookmarkStart w:id="489" w:name="_Toc2016"/>
      <w:r>
        <w:rPr>
          <w:rFonts w:ascii="宋体" w:hAnsi="宋体"/>
          <w:b/>
          <w:color w:val="auto"/>
          <w:sz w:val="24"/>
        </w:rPr>
        <w:t>2.14 合同中止、终止</w:t>
      </w:r>
      <w:bookmarkEnd w:id="487"/>
      <w:bookmarkEnd w:id="488"/>
      <w:bookmarkEnd w:id="489"/>
    </w:p>
    <w:p>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rPr>
      </w:pPr>
      <w:bookmarkStart w:id="490" w:name="_Toc1969"/>
      <w:bookmarkStart w:id="491" w:name="_Toc17363"/>
      <w:bookmarkStart w:id="492" w:name="_Toc14525"/>
      <w:r>
        <w:rPr>
          <w:rFonts w:ascii="宋体" w:hAnsi="宋体"/>
          <w:b/>
          <w:color w:val="auto"/>
          <w:sz w:val="24"/>
        </w:rPr>
        <w:t>2.15 检验和验收</w:t>
      </w:r>
      <w:bookmarkEnd w:id="490"/>
      <w:bookmarkEnd w:id="491"/>
      <w:bookmarkEnd w:id="492"/>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pPr>
        <w:spacing w:line="560" w:lineRule="exact"/>
        <w:ind w:firstLine="482" w:firstLineChars="200"/>
        <w:outlineLvl w:val="0"/>
        <w:rPr>
          <w:rFonts w:ascii="宋体" w:hAnsi="宋体"/>
          <w:b/>
          <w:color w:val="auto"/>
          <w:sz w:val="24"/>
        </w:rPr>
      </w:pPr>
      <w:bookmarkStart w:id="493" w:name="_Toc25198"/>
      <w:bookmarkStart w:id="494" w:name="_Toc2308"/>
      <w:bookmarkStart w:id="495" w:name="_Toc31892"/>
      <w:bookmarkStart w:id="496" w:name="_Toc12666"/>
      <w:bookmarkStart w:id="497" w:name="_Toc9808"/>
      <w:r>
        <w:rPr>
          <w:rFonts w:ascii="宋体" w:hAnsi="宋体"/>
          <w:b/>
          <w:color w:val="auto"/>
          <w:sz w:val="24"/>
        </w:rPr>
        <w:t>2.16 通知和送达</w:t>
      </w:r>
      <w:bookmarkEnd w:id="493"/>
      <w:bookmarkEnd w:id="494"/>
      <w:bookmarkEnd w:id="495"/>
      <w:bookmarkEnd w:id="496"/>
      <w:bookmarkEnd w:id="497"/>
    </w:p>
    <w:p>
      <w:pPr>
        <w:spacing w:line="560" w:lineRule="exact"/>
        <w:ind w:firstLine="480" w:firstLineChars="200"/>
        <w:rPr>
          <w:rFonts w:ascii="宋体" w:hAnsi="宋体"/>
          <w:color w:val="auto"/>
          <w:sz w:val="24"/>
        </w:rPr>
      </w:pPr>
      <w:bookmarkStart w:id="498" w:name="_Toc27674"/>
      <w:bookmarkStart w:id="499"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498"/>
      <w:bookmarkEnd w:id="499"/>
    </w:p>
    <w:p>
      <w:pPr>
        <w:spacing w:line="560" w:lineRule="exact"/>
        <w:ind w:firstLine="482" w:firstLineChars="200"/>
        <w:outlineLvl w:val="0"/>
        <w:rPr>
          <w:rFonts w:ascii="宋体" w:hAnsi="宋体"/>
          <w:b/>
          <w:color w:val="auto"/>
          <w:sz w:val="24"/>
        </w:rPr>
      </w:pPr>
      <w:bookmarkStart w:id="500" w:name="_Toc27644"/>
      <w:bookmarkStart w:id="501" w:name="_Toc28906"/>
      <w:bookmarkStart w:id="502" w:name="_Toc5063"/>
      <w:bookmarkStart w:id="503" w:name="_Toc12254"/>
      <w:bookmarkStart w:id="504" w:name="_Toc20808"/>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500"/>
      <w:bookmarkEnd w:id="501"/>
      <w:bookmarkEnd w:id="502"/>
      <w:bookmarkEnd w:id="503"/>
      <w:bookmarkEnd w:id="504"/>
    </w:p>
    <w:p>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pPr>
        <w:spacing w:line="560" w:lineRule="exact"/>
        <w:ind w:firstLine="482" w:firstLineChars="200"/>
        <w:outlineLvl w:val="0"/>
        <w:rPr>
          <w:rFonts w:ascii="宋体" w:hAnsi="宋体" w:cs="宋体"/>
          <w:b/>
          <w:color w:val="auto"/>
          <w:sz w:val="24"/>
        </w:rPr>
      </w:pPr>
      <w:bookmarkStart w:id="505" w:name="_Toc4355"/>
      <w:bookmarkStart w:id="506" w:name="_Toc18540"/>
      <w:bookmarkStart w:id="507" w:name="_Toc30599"/>
      <w:r>
        <w:rPr>
          <w:rFonts w:hint="eastAsia" w:ascii="宋体" w:hAnsi="宋体" w:cs="宋体"/>
          <w:b/>
          <w:color w:val="auto"/>
          <w:sz w:val="24"/>
        </w:rPr>
        <w:t>2.18 计量单位</w:t>
      </w:r>
      <w:bookmarkEnd w:id="505"/>
      <w:bookmarkEnd w:id="506"/>
      <w:bookmarkEnd w:id="507"/>
    </w:p>
    <w:p>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508" w:name="_Toc331685784"/>
      <w:r>
        <w:rPr>
          <w:rFonts w:hint="eastAsia" w:ascii="宋体" w:hAnsi="宋体" w:cs="宋体"/>
          <w:b/>
          <w:color w:val="auto"/>
          <w:sz w:val="24"/>
        </w:rPr>
        <w:t xml:space="preserve"> </w:t>
      </w:r>
      <w:bookmarkEnd w:id="508"/>
      <w:r>
        <w:rPr>
          <w:rFonts w:hint="eastAsia" w:ascii="宋体" w:hAnsi="宋体" w:cs="宋体"/>
          <w:b/>
          <w:color w:val="auto"/>
          <w:sz w:val="24"/>
        </w:rPr>
        <w:t>第三部分  合同专用条款</w:t>
      </w:r>
    </w:p>
    <w:p>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64" w:type="pct"/>
            <w:vAlign w:val="center"/>
          </w:tcPr>
          <w:p>
            <w:pPr>
              <w:spacing w:line="360" w:lineRule="auto"/>
              <w:jc w:val="center"/>
              <w:rPr>
                <w:rFonts w:ascii="宋体" w:hAnsi="宋体" w:cs="宋体"/>
                <w:b/>
                <w:color w:val="auto"/>
                <w:sz w:val="24"/>
              </w:rPr>
            </w:pPr>
            <w:r>
              <w:rPr>
                <w:rFonts w:hint="eastAsia" w:ascii="宋体" w:hAnsi="宋体" w:cs="宋体"/>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1.3.2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1.4.2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1.5.1 </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1.5.2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1.5.3 </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1.6.2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1.7.1</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1.7.3</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1.7.4.1</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1.7.4.3</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1.8.7</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1.9.1</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1.9.2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2.3.2</w:t>
            </w:r>
          </w:p>
        </w:tc>
        <w:tc>
          <w:tcPr>
            <w:tcW w:w="4464" w:type="pct"/>
            <w:vAlign w:val="center"/>
          </w:tcPr>
          <w:p>
            <w:pPr>
              <w:spacing w:line="360" w:lineRule="auto"/>
              <w:ind w:left="-420" w:leftChars="-200" w:right="-420" w:rightChars="-200" w:firstLine="480" w:firstLineChars="200"/>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64" w:type="pct"/>
            <w:vAlign w:val="center"/>
          </w:tcPr>
          <w:p>
            <w:pPr>
              <w:spacing w:line="360" w:lineRule="auto"/>
              <w:ind w:left="-420" w:leftChars="-200" w:right="-420" w:rightChars="-200" w:firstLine="480" w:firstLineChars="200"/>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64" w:type="pct"/>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color w:val="auto"/>
                <w:sz w:val="24"/>
              </w:rPr>
            </w:pPr>
            <w:r>
              <w:rPr>
                <w:rFonts w:hint="eastAsia" w:ascii="宋体" w:hAnsi="宋体" w:cs="宋体"/>
                <w:color w:val="auto"/>
                <w:sz w:val="24"/>
              </w:rPr>
              <w:t>2.19</w:t>
            </w:r>
          </w:p>
        </w:tc>
        <w:tc>
          <w:tcPr>
            <w:tcW w:w="4464" w:type="pct"/>
          </w:tcPr>
          <w:p>
            <w:pPr>
              <w:spacing w:line="360" w:lineRule="auto"/>
              <w:rPr>
                <w:rFonts w:ascii="宋体" w:hAnsi="宋体" w:cs="宋体"/>
                <w:color w:val="auto"/>
                <w:sz w:val="24"/>
              </w:rPr>
            </w:pPr>
          </w:p>
        </w:tc>
      </w:tr>
    </w:tbl>
    <w:p>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此仅为合同书样本，中标单位需根据实际情况和采购人签订相应的合同！</w:t>
      </w:r>
    </w:p>
    <w:p>
      <w:pPr>
        <w:spacing w:line="360" w:lineRule="auto"/>
        <w:ind w:left="-420" w:leftChars="-200" w:right="-420" w:rightChars="-200" w:firstLine="480" w:firstLineChars="200"/>
        <w:rPr>
          <w:rFonts w:ascii="宋体" w:hAnsi="宋体" w:cs="宋体"/>
          <w:color w:val="auto"/>
          <w:sz w:val="24"/>
        </w:rPr>
      </w:pPr>
    </w:p>
    <w:p>
      <w:pPr>
        <w:spacing w:line="360" w:lineRule="auto"/>
        <w:ind w:left="-420" w:leftChars="-200" w:right="-420" w:rightChars="-200" w:firstLine="480" w:firstLineChars="200"/>
        <w:jc w:val="center"/>
        <w:outlineLvl w:val="0"/>
        <w:rPr>
          <w:rFonts w:ascii="宋体" w:hAnsi="宋体" w:cs="宋体"/>
          <w:color w:val="auto"/>
          <w:sz w:val="24"/>
        </w:rPr>
      </w:pPr>
    </w:p>
    <w:p>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3"/>
      <w:r>
        <w:rPr>
          <w:rFonts w:hint="eastAsia" w:ascii="宋体" w:hAnsi="宋体" w:cs="宋体"/>
          <w:b/>
          <w:color w:val="auto"/>
          <w:sz w:val="36"/>
          <w:szCs w:val="20"/>
        </w:rPr>
        <w:t xml:space="preserve"> </w:t>
      </w:r>
      <w:bookmarkEnd w:id="394"/>
      <w:r>
        <w:rPr>
          <w:rFonts w:hint="eastAsia" w:ascii="宋体" w:hAnsi="宋体" w:cs="宋体"/>
          <w:b/>
          <w:color w:val="auto"/>
          <w:sz w:val="36"/>
          <w:szCs w:val="20"/>
        </w:rPr>
        <w:t>应提交的有关格式范例</w:t>
      </w:r>
    </w:p>
    <w:p>
      <w:pPr>
        <w:spacing w:line="360" w:lineRule="auto"/>
        <w:jc w:val="center"/>
        <w:outlineLvl w:val="0"/>
        <w:rPr>
          <w:rFonts w:ascii="宋体" w:hAnsi="宋体" w:cs="宋体"/>
          <w:b/>
          <w:color w:val="auto"/>
          <w:kern w:val="0"/>
          <w:sz w:val="36"/>
          <w:szCs w:val="36"/>
        </w:r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pPr>
        <w:snapToGrid w:val="0"/>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pPr>
        <w:widowControl/>
        <w:spacing w:line="360" w:lineRule="auto"/>
        <w:ind w:firstLine="480"/>
        <w:jc w:val="left"/>
        <w:rPr>
          <w:rFonts w:ascii="宋体" w:hAnsi="宋体" w:cs="宋体"/>
          <w:color w:val="auto"/>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rPr>
      </w:pPr>
    </w:p>
    <w:p>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outlineLvl w:val="0"/>
        <w:rPr>
          <w:rFonts w:ascii="宋体" w:hAnsi="宋体" w:cs="宋体"/>
          <w:b/>
          <w:color w:val="auto"/>
          <w:kern w:val="0"/>
          <w:sz w:val="24"/>
        </w:rPr>
      </w:pPr>
    </w:p>
    <w:p>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rPr>
          <w:rFonts w:ascii="宋体" w:hAnsi="宋体" w:cs="宋体"/>
          <w:b/>
          <w:color w:val="auto"/>
          <w:kern w:val="0"/>
          <w:sz w:val="32"/>
          <w:szCs w:val="32"/>
          <w:lang w:val="zh-CN"/>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09" w:name="_Hlk101257010"/>
      <w:r>
        <w:rPr>
          <w:rFonts w:hint="eastAsia" w:ascii="宋体" w:hAnsi="宋体" w:cs="宋体"/>
          <w:color w:val="auto"/>
          <w:sz w:val="24"/>
        </w:rPr>
        <w:t>（如果有)</w:t>
      </w:r>
      <w:bookmarkEnd w:id="509"/>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pStyle w:val="3"/>
        <w:rPr>
          <w:color w:val="auto"/>
          <w:lang w:val="en-US"/>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146"/>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color w:val="auto"/>
                <w:sz w:val="24"/>
              </w:rPr>
            </w:pPr>
            <w:r>
              <w:rPr>
                <w:rFonts w:hint="eastAsia" w:hAnsi="宋体" w:cs="宋体"/>
                <w:bCs/>
                <w:color w:val="auto"/>
                <w:sz w:val="24"/>
              </w:rPr>
              <w:t>正面：                                 反面：</w:t>
            </w:r>
          </w:p>
          <w:p>
            <w:pPr>
              <w:pStyle w:val="146"/>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pPr>
        <w:snapToGrid w:val="0"/>
        <w:spacing w:line="360" w:lineRule="auto"/>
        <w:rPr>
          <w:rFonts w:ascii="宋体" w:hAnsi="宋体" w:cs="宋体"/>
          <w:color w:val="auto"/>
          <w:kern w:val="0"/>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color w:val="auto"/>
        </w:rPr>
      </w:pPr>
      <w:r>
        <w:rPr>
          <w:rFonts w:hint="eastAsia" w:ascii="宋体" w:hAnsi="宋体" w:cs="宋体"/>
          <w:b/>
          <w:color w:val="auto"/>
          <w:kern w:val="0"/>
          <w:sz w:val="32"/>
          <w:szCs w:val="32"/>
        </w:rPr>
        <w:t>五、评标标准相应的商务技术资料</w:t>
      </w:r>
    </w:p>
    <w:p>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pPr>
        <w:jc w:val="center"/>
        <w:rPr>
          <w:rFonts w:ascii="宋体" w:hAnsi="宋体" w:cs="宋体"/>
          <w:b/>
          <w:color w:val="auto"/>
          <w:kern w:val="0"/>
          <w:sz w:val="32"/>
          <w:szCs w:val="32"/>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pPr>
        <w:snapToGrid w:val="0"/>
        <w:spacing w:line="360" w:lineRule="auto"/>
        <w:rPr>
          <w:rFonts w:ascii="宋体" w:hAnsi="宋体" w:cs="宋体"/>
          <w:color w:val="auto"/>
          <w:sz w:val="24"/>
        </w:rPr>
      </w:pPr>
      <w:r>
        <w:rPr>
          <w:rFonts w:hint="eastAsia" w:ascii="宋体" w:hAnsi="宋体" w:cs="宋体"/>
          <w:color w:val="auto"/>
          <w:sz w:val="24"/>
        </w:rPr>
        <w:t>（2）中小企业声明函………………………………………………………………（页码）</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Pr>
          <w:p>
            <w:pPr>
              <w:spacing w:line="360" w:lineRule="auto"/>
              <w:jc w:val="center"/>
              <w:rPr>
                <w:rFonts w:ascii="宋体" w:hAnsi="宋体" w:cs="宋体"/>
                <w:color w:val="auto"/>
                <w:sz w:val="24"/>
              </w:rPr>
            </w:pP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rPr>
          <w:rFonts w:ascii="宋体" w:hAnsi="宋体" w:cs="宋体"/>
          <w:b/>
          <w:color w:val="auto"/>
          <w:spacing w:val="6"/>
          <w:sz w:val="32"/>
          <w:szCs w:val="32"/>
        </w:rPr>
      </w:pPr>
      <w:bookmarkStart w:id="510" w:name="OLE_LINK13"/>
      <w:bookmarkStart w:id="511" w:name="OLE_LINK14"/>
      <w:r>
        <w:rPr>
          <w:rFonts w:hint="eastAsia" w:ascii="宋体" w:hAnsi="宋体" w:cs="宋体"/>
          <w:b/>
          <w:color w:val="auto"/>
          <w:spacing w:val="6"/>
          <w:sz w:val="32"/>
          <w:szCs w:val="32"/>
        </w:rPr>
        <w:t>残疾人福利性单位声明函</w:t>
      </w:r>
    </w:p>
    <w:bookmarkEnd w:id="510"/>
    <w:bookmarkEnd w:id="511"/>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512"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512"/>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13"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513"/>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14"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514"/>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ind w:firstLine="3666" w:firstLineChars="1100"/>
        <w:rPr>
          <w:rFonts w:ascii="宋体" w:hAnsi="宋体" w:cs="宋体"/>
          <w:b/>
          <w:color w:val="auto"/>
          <w:spacing w:val="6"/>
          <w:sz w:val="32"/>
          <w:szCs w:val="32"/>
        </w:rPr>
      </w:pPr>
    </w:p>
    <w:p>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pPr>
        <w:rPr>
          <w:color w:val="auto"/>
        </w:rPr>
      </w:pPr>
      <w:r>
        <w:rPr>
          <w:rFonts w:hint="eastAsia"/>
          <w:color w:val="auto"/>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pPr>
        <w:spacing w:line="360" w:lineRule="auto"/>
        <w:ind w:right="420"/>
        <w:rPr>
          <w:rFonts w:ascii="宋体" w:hAnsi="宋体" w:cs="宋体"/>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 xml:space="preserve">   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ascii="宋体" w:hAnsi="宋体" w:eastAsia="宋体" w:cs="宋体"/>
          <w:color w:val="auto"/>
          <w:lang w:val="en-US"/>
        </w:rPr>
      </w:pPr>
    </w:p>
    <w:p>
      <w:pPr>
        <w:spacing w:line="360" w:lineRule="auto"/>
        <w:ind w:right="420"/>
        <w:rPr>
          <w:rFonts w:ascii="宋体" w:hAnsi="宋体" w:cs="宋体"/>
          <w:color w:val="auto"/>
        </w:rPr>
      </w:pPr>
    </w:p>
    <w:p>
      <w:pPr>
        <w:pStyle w:val="25"/>
        <w:ind w:firstLine="0"/>
        <w:rPr>
          <w:rFonts w:ascii="仿宋" w:hAnsi="仿宋" w:eastAsia="仿宋" w:cs="宋体"/>
          <w:b/>
          <w:sz w:val="36"/>
          <w:lang w:val="en-US"/>
        </w:rPr>
      </w:pPr>
      <w:r>
        <w:rPr>
          <w:rFonts w:hint="eastAsia" w:ascii="仿宋" w:hAnsi="仿宋" w:eastAsia="仿宋" w:cs="宋体"/>
          <w:b/>
          <w:sz w:val="36"/>
          <w:lang w:val="en-US"/>
        </w:rPr>
        <w:t>附件8：</w:t>
      </w:r>
    </w:p>
    <w:p>
      <w:pPr>
        <w:pStyle w:val="25"/>
        <w:ind w:firstLine="0"/>
        <w:jc w:val="center"/>
        <w:rPr>
          <w:rFonts w:ascii="仿宋" w:hAnsi="仿宋" w:eastAsia="仿宋" w:cs="宋体"/>
          <w:b/>
          <w:sz w:val="36"/>
          <w:lang w:val="en-US"/>
        </w:rPr>
      </w:pPr>
      <w:r>
        <w:rPr>
          <w:rFonts w:hint="eastAsia" w:ascii="仿宋" w:hAnsi="仿宋" w:eastAsia="仿宋" w:cs="宋体"/>
          <w:b/>
          <w:sz w:val="36"/>
          <w:lang w:val="en-US"/>
        </w:rPr>
        <w:t>中小企业划型标准规定</w:t>
      </w:r>
    </w:p>
    <w:p>
      <w:pPr>
        <w:pStyle w:val="962"/>
        <w:spacing w:line="360" w:lineRule="auto"/>
        <w:rPr>
          <w:rFonts w:ascii="华文仿宋" w:hAnsi="华文仿宋" w:eastAsia="华文仿宋" w:cs="宋体"/>
          <w:b/>
          <w:szCs w:val="21"/>
        </w:rPr>
      </w:pPr>
      <w:r>
        <w:rPr>
          <w:rFonts w:hint="eastAsia" w:ascii="华文仿宋" w:hAnsi="华文仿宋" w:eastAsia="华文仿宋" w:cs="宋体"/>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一、根据《中华人民共和国中小企业促进法》和《</w:t>
      </w:r>
      <w:r>
        <w:fldChar w:fldCharType="begin"/>
      </w:r>
      <w:r>
        <w:instrText xml:space="preserve">HYPERLINK "https://www.shui5.cn/article/47/26142.html" </w:instrText>
      </w:r>
      <w:r>
        <w:fldChar w:fldCharType="separate"/>
      </w:r>
      <w:r>
        <w:rPr>
          <w:rFonts w:hint="eastAsia" w:ascii="华文仿宋" w:hAnsi="华文仿宋" w:eastAsia="华文仿宋" w:cs="宋体"/>
          <w:spacing w:val="6"/>
          <w:szCs w:val="21"/>
        </w:rPr>
        <w:t>国务院关于进一步促进中小企业发展的若干意见</w:t>
      </w:r>
      <w:r>
        <w:fldChar w:fldCharType="end"/>
      </w:r>
      <w:r>
        <w:rPr>
          <w:rFonts w:hint="eastAsia" w:ascii="华文仿宋" w:hAnsi="华文仿宋" w:eastAsia="华文仿宋" w:cs="宋体"/>
          <w:spacing w:val="6"/>
          <w:szCs w:val="21"/>
        </w:rPr>
        <w:t>》（</w:t>
      </w:r>
      <w:r>
        <w:fldChar w:fldCharType="begin"/>
      </w:r>
      <w:r>
        <w:instrText xml:space="preserve">HYPERLINK "https://www.shui5.cn/article/47/26142.html" </w:instrText>
      </w:r>
      <w:r>
        <w:fldChar w:fldCharType="separate"/>
      </w:r>
      <w:r>
        <w:rPr>
          <w:rFonts w:hint="eastAsia" w:ascii="华文仿宋" w:hAnsi="华文仿宋" w:eastAsia="华文仿宋" w:cs="宋体"/>
          <w:spacing w:val="6"/>
          <w:szCs w:val="21"/>
        </w:rPr>
        <w:t>国发〔2009〕36号</w:t>
      </w:r>
      <w:r>
        <w:fldChar w:fldCharType="end"/>
      </w:r>
      <w:r>
        <w:rPr>
          <w:rFonts w:hint="eastAsia" w:ascii="华文仿宋" w:hAnsi="华文仿宋" w:eastAsia="华文仿宋" w:cs="宋体"/>
          <w:spacing w:val="6"/>
          <w:szCs w:val="21"/>
        </w:rPr>
        <w:t>)，制定本规定。</w:t>
      </w:r>
    </w:p>
    <w:p>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二、中小企业划分为中型、小型、微型三种类型，具体标准根据企业从业人员、营业收入、资产总额等指标，结合行业特点制定。</w:t>
      </w:r>
    </w:p>
    <w:p>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四、各行业划型标准为：</w:t>
      </w:r>
      <w:r>
        <w:rPr>
          <w:rFonts w:hint="eastAsia" w:ascii="华文仿宋" w:hAnsi="华文仿宋" w:eastAsia="华文仿宋" w:cs="宋体"/>
          <w:spacing w:val="6"/>
          <w:szCs w:val="21"/>
        </w:rPr>
        <w:br w:type="textWrapping"/>
      </w:r>
      <w:r>
        <w:rPr>
          <w:rFonts w:hint="eastAsia" w:ascii="华文仿宋" w:hAnsi="华文仿宋" w:eastAsia="华文仿宋" w:cs="宋体"/>
          <w:spacing w:val="6"/>
          <w:szCs w:val="21"/>
        </w:rPr>
        <w:t>　　（一）农、林、牧、渔业。营业收入20000万元以下的为中小微型企业。其中，营业收入500万元及以上的为中型企业，营业收入50万元及以上的为小型企业，营业收入50万元以下的为微型企业。</w:t>
      </w:r>
    </w:p>
    <w:p>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5"/>
        <w:rPr>
          <w:rFonts w:ascii="华文仿宋" w:hAnsi="华文仿宋" w:eastAsia="华文仿宋" w:cs="宋体"/>
          <w:b/>
          <w:sz w:val="21"/>
          <w:szCs w:val="21"/>
        </w:rPr>
      </w:pPr>
      <w:r>
        <w:rPr>
          <w:rFonts w:hint="eastAsia" w:ascii="华文仿宋" w:hAnsi="华文仿宋" w:eastAsia="华文仿宋" w:cs="宋体"/>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（十六）其他未列明行业。从业人员300人以下的为中小微型企业。其中，从业人员100人及以上的为中型企业；从业人员10人及以上的为小型企业；从业人员10人以下的为微型企业。</w:t>
      </w:r>
    </w:p>
    <w:p>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五、企业类型的划分以统计部门的统计数据为依据。</w:t>
      </w:r>
    </w:p>
    <w:p>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六、本规定适用于在中华人民共和国境内依法设立的各类所有制和各种组织形式的企业。个体工商户和本规定以外的行业，参照本规定进行划型。</w:t>
      </w:r>
    </w:p>
    <w:p>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八、本规定由工业和信息化部、国家统计局会同有关部门根据《国民经济行业分类》修订情况和企业发展变化情况适时修订。</w:t>
      </w:r>
    </w:p>
    <w:p>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九、本规定由工业和信息化部、国家统计局会同有关部门负责解释。</w:t>
      </w:r>
    </w:p>
    <w:p>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十、本规定自发布之日起执行，原国家经贸委、原国家计委、财政部和国家统计局2003年颁布的《</w:t>
      </w:r>
      <w:r>
        <w:fldChar w:fldCharType="begin"/>
      </w:r>
      <w:r>
        <w:instrText xml:space="preserve">HYPERLINK "https://www.shui5.cn/article/df/24263.html" </w:instrText>
      </w:r>
      <w:r>
        <w:fldChar w:fldCharType="separate"/>
      </w:r>
      <w:r>
        <w:rPr>
          <w:rFonts w:hint="eastAsia" w:ascii="华文仿宋" w:hAnsi="华文仿宋" w:eastAsia="华文仿宋" w:cs="宋体"/>
          <w:spacing w:val="6"/>
          <w:szCs w:val="21"/>
        </w:rPr>
        <w:t>中小企业标准暂行规定</w:t>
      </w:r>
      <w:r>
        <w:fldChar w:fldCharType="end"/>
      </w:r>
      <w:r>
        <w:rPr>
          <w:rFonts w:hint="eastAsia" w:ascii="华文仿宋" w:hAnsi="华文仿宋" w:eastAsia="华文仿宋" w:cs="宋体"/>
          <w:spacing w:val="6"/>
          <w:szCs w:val="21"/>
        </w:rPr>
        <w:t>》</w:t>
      </w:r>
      <w:r>
        <w:fldChar w:fldCharType="begin"/>
      </w:r>
      <w:r>
        <w:instrText xml:space="preserve">HYPERLINK "https://www.shui5.cn/article/df/24263.html" </w:instrText>
      </w:r>
      <w:r>
        <w:fldChar w:fldCharType="separate"/>
      </w:r>
      <w:r>
        <w:rPr>
          <w:rFonts w:hint="eastAsia" w:ascii="华文仿宋" w:hAnsi="华文仿宋" w:eastAsia="华文仿宋" w:cs="宋体"/>
          <w:spacing w:val="6"/>
          <w:szCs w:val="21"/>
        </w:rPr>
        <w:t>国经贸中小企[2003]143号</w:t>
      </w:r>
      <w:r>
        <w:fldChar w:fldCharType="end"/>
      </w:r>
      <w:r>
        <w:rPr>
          <w:rFonts w:hint="eastAsia" w:ascii="华文仿宋" w:hAnsi="华文仿宋" w:eastAsia="华文仿宋" w:cs="宋体"/>
          <w:spacing w:val="6"/>
          <w:szCs w:val="21"/>
        </w:rPr>
        <w:t>同时废止。</w:t>
      </w:r>
    </w:p>
    <w:p>
      <w:pPr>
        <w:spacing w:line="360" w:lineRule="auto"/>
        <w:rPr>
          <w:rFonts w:hint="eastAsia" w:ascii="宋体" w:hAnsi="宋体" w:eastAsia="宋体" w:cs="宋体"/>
          <w:bCs/>
          <w:color w:val="auto"/>
          <w:sz w:val="24"/>
          <w:highlight w:val="none"/>
        </w:rPr>
      </w:pPr>
    </w:p>
    <w:p>
      <w:pPr>
        <w:spacing w:line="360" w:lineRule="auto"/>
        <w:rPr>
          <w:rFonts w:ascii="宋体" w:hAnsi="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华文仿宋">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64085800"/>
    <w:bookmarkStart w:id="516" w:name="_Toc131845147"/>
    <w:bookmarkStart w:id="517" w:name="_Toc36110187"/>
    <w:bookmarkStart w:id="518" w:name="_Toc91899912"/>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23120"/>
    <w:multiLevelType w:val="singleLevel"/>
    <w:tmpl w:val="87723120"/>
    <w:lvl w:ilvl="0" w:tentative="0">
      <w:start w:val="4"/>
      <w:numFmt w:val="chineseCounting"/>
      <w:suff w:val="space"/>
      <w:lvlText w:val="第%1部分"/>
      <w:lvlJc w:val="left"/>
      <w:rPr>
        <w:rFonts w:hint="eastAsia"/>
      </w:rPr>
    </w:lvl>
  </w:abstractNum>
  <w:abstractNum w:abstractNumId="1">
    <w:nsid w:val="647EE3B9"/>
    <w:multiLevelType w:val="singleLevel"/>
    <w:tmpl w:val="647EE3B9"/>
    <w:lvl w:ilvl="0" w:tentative="0">
      <w:start w:val="2"/>
      <w:numFmt w:val="chineseCounting"/>
      <w:suff w:val="nothing"/>
      <w:lvlText w:val="%1、"/>
      <w:lvlJc w:val="left"/>
    </w:lvl>
  </w:abstractNum>
  <w:abstractNum w:abstractNumId="2">
    <w:nsid w:val="6497DC84"/>
    <w:multiLevelType w:val="singleLevel"/>
    <w:tmpl w:val="6497DC84"/>
    <w:lvl w:ilvl="0" w:tentative="0">
      <w:start w:val="1"/>
      <w:numFmt w:val="chineseCounting"/>
      <w:suff w:val="nothing"/>
      <w:lvlText w:val="%1、"/>
      <w:lvlJc w:val="left"/>
    </w:lvl>
  </w:abstractNum>
  <w:abstractNum w:abstractNumId="3">
    <w:nsid w:val="781BB331"/>
    <w:multiLevelType w:val="singleLevel"/>
    <w:tmpl w:val="781BB331"/>
    <w:lvl w:ilvl="0" w:tentative="0">
      <w:start w:val="5"/>
      <w:numFmt w:val="chineseCounting"/>
      <w:suff w:val="nothing"/>
      <w:lvlText w:val="%1、"/>
      <w:lvlJc w:val="left"/>
      <w:rPr>
        <w:rFonts w:hint="eastAsia"/>
      </w:rPr>
    </w:lvl>
  </w:abstractNum>
  <w:abstractNum w:abstractNumId="4">
    <w:nsid w:val="7839D9EE"/>
    <w:multiLevelType w:val="singleLevel"/>
    <w:tmpl w:val="7839D9EE"/>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4ZmUzM2I5ZTQ5NjQzODE4MjE2ZjYwYjgxNzNmMz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0FF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7A268A"/>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9A1C8A"/>
    <w:rsid w:val="1DB567EC"/>
    <w:rsid w:val="1DF51A98"/>
    <w:rsid w:val="1E3D060F"/>
    <w:rsid w:val="1E3F7D2E"/>
    <w:rsid w:val="1E4134E4"/>
    <w:rsid w:val="1E5062B3"/>
    <w:rsid w:val="1E523514"/>
    <w:rsid w:val="1E595F10"/>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2A07B3"/>
    <w:rsid w:val="22334A87"/>
    <w:rsid w:val="22BE6801"/>
    <w:rsid w:val="22EF7074"/>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092A79"/>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A70CA4"/>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9F1992"/>
    <w:rsid w:val="2FD25781"/>
    <w:rsid w:val="2FDC745C"/>
    <w:rsid w:val="2FFD7934"/>
    <w:rsid w:val="30733ACD"/>
    <w:rsid w:val="308B053D"/>
    <w:rsid w:val="308C3862"/>
    <w:rsid w:val="309379D8"/>
    <w:rsid w:val="30A270F7"/>
    <w:rsid w:val="30DF1478"/>
    <w:rsid w:val="30EC586F"/>
    <w:rsid w:val="3119625B"/>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3A58D3"/>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7F725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2957BD"/>
    <w:rsid w:val="45317DFB"/>
    <w:rsid w:val="456D3CE4"/>
    <w:rsid w:val="4579042C"/>
    <w:rsid w:val="457F0571"/>
    <w:rsid w:val="45851176"/>
    <w:rsid w:val="45C63B94"/>
    <w:rsid w:val="460E7DA5"/>
    <w:rsid w:val="46422483"/>
    <w:rsid w:val="46525AC2"/>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8B2DA7"/>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65418C"/>
    <w:rsid w:val="4CB6685F"/>
    <w:rsid w:val="4CC367FE"/>
    <w:rsid w:val="4CEA42A3"/>
    <w:rsid w:val="4CEE246A"/>
    <w:rsid w:val="4D077F3C"/>
    <w:rsid w:val="4D123355"/>
    <w:rsid w:val="4D2A3B31"/>
    <w:rsid w:val="4D312C52"/>
    <w:rsid w:val="4D905305"/>
    <w:rsid w:val="4D964A72"/>
    <w:rsid w:val="4D9C1254"/>
    <w:rsid w:val="4E793892"/>
    <w:rsid w:val="4E800872"/>
    <w:rsid w:val="4E80192B"/>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CA4981"/>
    <w:rsid w:val="5AD63A24"/>
    <w:rsid w:val="5B2E1A1D"/>
    <w:rsid w:val="5B843A1C"/>
    <w:rsid w:val="5B873E3F"/>
    <w:rsid w:val="5C02690E"/>
    <w:rsid w:val="5C196DA7"/>
    <w:rsid w:val="5C2A048C"/>
    <w:rsid w:val="5C4159B4"/>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60C1C"/>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C57C5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6967E2"/>
    <w:rsid w:val="6977531D"/>
    <w:rsid w:val="69CC2BFF"/>
    <w:rsid w:val="69FD55B8"/>
    <w:rsid w:val="6A0B1C62"/>
    <w:rsid w:val="6A2406C8"/>
    <w:rsid w:val="6ADE0BD1"/>
    <w:rsid w:val="6AE96859"/>
    <w:rsid w:val="6B147746"/>
    <w:rsid w:val="6B24787C"/>
    <w:rsid w:val="6B285DEE"/>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43333"/>
    <w:rsid w:val="6FAE1A09"/>
    <w:rsid w:val="6FD75BF8"/>
    <w:rsid w:val="707723D0"/>
    <w:rsid w:val="70F5661B"/>
    <w:rsid w:val="71360107"/>
    <w:rsid w:val="713B688E"/>
    <w:rsid w:val="71D43752"/>
    <w:rsid w:val="71E601F5"/>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13C4"/>
    <w:rsid w:val="7DB57A34"/>
    <w:rsid w:val="7DE60973"/>
    <w:rsid w:val="7DEF0916"/>
    <w:rsid w:val="7E1E5218"/>
    <w:rsid w:val="7E455322"/>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link w:val="262"/>
    <w:autoRedefine/>
    <w:qFormat/>
    <w:uiPriority w:val="0"/>
    <w:pPr>
      <w:spacing w:line="480" w:lineRule="exact"/>
      <w:ind w:firstLine="480" w:firstLineChars="200"/>
    </w:pPr>
    <w:rPr>
      <w:rFonts w:ascii="宋体" w:hAnsi="宋体"/>
      <w:sz w:val="24"/>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6"/>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199"/>
    <w:autoRedefine/>
    <w:qFormat/>
    <w:uiPriority w:val="0"/>
    <w:pPr>
      <w:shd w:val="clear" w:color="auto" w:fill="000080"/>
    </w:pPr>
  </w:style>
  <w:style w:type="paragraph" w:styleId="20">
    <w:name w:val="annotation text"/>
    <w:basedOn w:val="1"/>
    <w:link w:val="341"/>
    <w:autoRedefine/>
    <w:qFormat/>
    <w:uiPriority w:val="99"/>
    <w:pPr>
      <w:jc w:val="left"/>
    </w:pPr>
  </w:style>
  <w:style w:type="paragraph" w:styleId="21">
    <w:name w:val="Salutation"/>
    <w:basedOn w:val="1"/>
    <w:next w:val="1"/>
    <w:link w:val="295"/>
    <w:autoRedefine/>
    <w:qFormat/>
    <w:uiPriority w:val="0"/>
    <w:rPr>
      <w:rFonts w:ascii="仿宋_GB2312" w:eastAsia="仿宋_GB2312"/>
      <w:sz w:val="28"/>
      <w:szCs w:val="20"/>
    </w:rPr>
  </w:style>
  <w:style w:type="paragraph" w:styleId="22">
    <w:name w:val="Body Text 3"/>
    <w:basedOn w:val="1"/>
    <w:link w:val="327"/>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18"/>
    <w:autoRedefine/>
    <w:qFormat/>
    <w:uiPriority w:val="0"/>
    <w:pPr>
      <w:ind w:firstLine="420"/>
    </w:pPr>
    <w:rPr>
      <w:rFonts w:hAnsi="Calibri" w:cs="Times New Roman"/>
      <w:snapToGrid/>
      <w:szCs w:val="20"/>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8"/>
    <w:autoRedefine/>
    <w:qFormat/>
    <w:uiPriority w:val="0"/>
    <w:pPr>
      <w:ind w:left="100" w:leftChars="2500"/>
    </w:pPr>
    <w:rPr>
      <w:rFonts w:ascii="宋体"/>
      <w:sz w:val="24"/>
      <w:szCs w:val="21"/>
      <w:lang w:val="zh-CN"/>
    </w:rPr>
  </w:style>
  <w:style w:type="paragraph" w:styleId="37">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5"/>
    <w:autoRedefine/>
    <w:qFormat/>
    <w:uiPriority w:val="0"/>
    <w:rPr>
      <w:sz w:val="18"/>
      <w:szCs w:val="18"/>
    </w:rPr>
  </w:style>
  <w:style w:type="paragraph" w:styleId="40">
    <w:name w:val="footer"/>
    <w:basedOn w:val="1"/>
    <w:link w:val="380"/>
    <w:autoRedefine/>
    <w:qFormat/>
    <w:uiPriority w:val="99"/>
    <w:pPr>
      <w:tabs>
        <w:tab w:val="center" w:pos="4153"/>
        <w:tab w:val="right" w:pos="8306"/>
      </w:tabs>
      <w:snapToGrid w:val="0"/>
      <w:jc w:val="left"/>
    </w:pPr>
    <w:rPr>
      <w:sz w:val="18"/>
      <w:szCs w:val="18"/>
    </w:rPr>
  </w:style>
  <w:style w:type="paragraph" w:styleId="41">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2"/>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299"/>
    <w:autoRedefine/>
    <w:qFormat/>
    <w:uiPriority w:val="0"/>
    <w:pPr>
      <w:spacing w:after="120" w:line="480" w:lineRule="auto"/>
    </w:pPr>
  </w:style>
  <w:style w:type="paragraph" w:styleId="57">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3"/>
    <w:autoRedefine/>
    <w:qFormat/>
    <w:uiPriority w:val="0"/>
    <w:rPr>
      <w:b/>
      <w:bCs/>
    </w:rPr>
  </w:style>
  <w:style w:type="paragraph" w:styleId="61">
    <w:name w:val="Body Text First Indent 2"/>
    <w:basedOn w:val="6"/>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Char1"/>
    <w:link w:val="60"/>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Char"/>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Char"/>
    <w:link w:val="47"/>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Char"/>
    <w:link w:val="9"/>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3"/>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Char"/>
    <w:link w:val="36"/>
    <w:autoRedefine/>
    <w:qFormat/>
    <w:uiPriority w:val="0"/>
    <w:rPr>
      <w:rFonts w:ascii="宋体"/>
      <w:kern w:val="2"/>
      <w:sz w:val="24"/>
      <w:szCs w:val="21"/>
      <w:lang w:val="zh-CN"/>
    </w:rPr>
  </w:style>
  <w:style w:type="character" w:customStyle="1" w:styleId="179">
    <w:name w:val="标题 9 Char"/>
    <w:link w:val="12"/>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99"/>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Char"/>
    <w:link w:val="39"/>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Char1"/>
    <w:link w:val="19"/>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Char"/>
    <w:link w:val="30"/>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7"/>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Char"/>
    <w:link w:val="17"/>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6"/>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0"/>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5"/>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Char"/>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qFormat/>
    <w:uiPriority w:val="99"/>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1"/>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Char"/>
    <w:link w:val="53"/>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Char2"/>
    <w:link w:val="40"/>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Char2"/>
    <w:link w:val="41"/>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156"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5"/>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312"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spacing w:before="0" w:after="0"/>
      <w:outlineLvl w:val="5"/>
    </w:pPr>
  </w:style>
  <w:style w:type="paragraph" w:customStyle="1" w:styleId="471">
    <w:name w:val="5级标题"/>
    <w:basedOn w:val="472"/>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4"/>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8"/>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24"/>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156"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纯文本3"/>
    <w:basedOn w:val="1"/>
    <w:autoRedefine/>
    <w:qFormat/>
    <w:uiPriority w:val="0"/>
    <w:pPr>
      <w:adjustRightInd/>
      <w:snapToGrid w:val="0"/>
      <w:jc w:val="left"/>
    </w:pPr>
    <w:rPr>
      <w:rFonts w:ascii="Century Gothic" w:hAnsi="楷体_GB2312" w:eastAsia="Century Gothic"/>
      <w:szCs w:val="20"/>
    </w:rPr>
  </w:style>
  <w:style w:type="paragraph" w:customStyle="1" w:styleId="963">
    <w:name w:val=" Char Char4 Char"/>
    <w:basedOn w:val="1"/>
    <w:autoRedefine/>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36996</Words>
  <Characters>39126</Characters>
  <Lines>281</Lines>
  <Paragraphs>79</Paragraphs>
  <TotalTime>16</TotalTime>
  <ScaleCrop>false</ScaleCrop>
  <LinksUpToDate>false</LinksUpToDate>
  <CharactersWithSpaces>44537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Ai萱＆茉</cp:lastModifiedBy>
  <cp:lastPrinted>2021-12-27T11:06:00Z</cp:lastPrinted>
  <dcterms:modified xsi:type="dcterms:W3CDTF">2024-02-01T03:30:50Z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AD16DABFA9F0467ABC4598E55A504653_13</vt:lpwstr>
  </property>
</Properties>
</file>