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15BF4">
      <w:pPr>
        <w:spacing w:line="360" w:lineRule="auto"/>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 xml:space="preserve"> </w:t>
      </w:r>
    </w:p>
    <w:p w14:paraId="1F5312FB">
      <w:pPr>
        <w:adjustRightInd/>
        <w:spacing w:line="360" w:lineRule="auto"/>
        <w:jc w:val="center"/>
        <w:rPr>
          <w:rFonts w:hint="eastAsia" w:ascii="宋体" w:hAnsi="宋体" w:eastAsia="宋体" w:cs="宋体"/>
          <w:b/>
          <w:color w:val="auto"/>
          <w:sz w:val="44"/>
          <w:szCs w:val="44"/>
          <w:highlight w:val="none"/>
        </w:rPr>
      </w:pPr>
    </w:p>
    <w:p w14:paraId="7B38F639">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b/>
          <w:bCs/>
          <w:color w:val="auto"/>
          <w:sz w:val="48"/>
          <w:szCs w:val="48"/>
          <w:highlight w:val="none"/>
          <w:lang w:eastAsia="zh-CN"/>
        </w:rPr>
        <w:t>杭州市余杭区市场监督管理局产品商品检测服务采购项目</w:t>
      </w:r>
    </w:p>
    <w:p w14:paraId="2B6835B4">
      <w:pPr>
        <w:adjustRightInd/>
        <w:spacing w:line="360" w:lineRule="auto"/>
        <w:jc w:val="center"/>
        <w:rPr>
          <w:rFonts w:hint="eastAsia" w:ascii="宋体" w:hAnsi="宋体" w:eastAsia="宋体" w:cs="宋体"/>
          <w:b/>
          <w:bCs/>
          <w:color w:val="auto"/>
          <w:sz w:val="48"/>
          <w:szCs w:val="48"/>
          <w:highlight w:val="none"/>
        </w:rPr>
      </w:pPr>
    </w:p>
    <w:p w14:paraId="349C29D7">
      <w:pPr>
        <w:adjustRightInd/>
        <w:spacing w:line="360" w:lineRule="auto"/>
        <w:jc w:val="center"/>
        <w:rPr>
          <w:rFonts w:hint="eastAsia" w:ascii="宋体" w:hAnsi="宋体" w:eastAsia="宋体" w:cs="宋体"/>
          <w:b/>
          <w:bCs/>
          <w:color w:val="auto"/>
          <w:sz w:val="84"/>
          <w:szCs w:val="84"/>
          <w:highlight w:val="none"/>
        </w:rPr>
      </w:pPr>
      <w:r>
        <w:rPr>
          <w:rFonts w:hint="eastAsia" w:ascii="宋体" w:hAnsi="宋体" w:eastAsia="宋体" w:cs="宋体"/>
          <w:b/>
          <w:bCs/>
          <w:color w:val="auto"/>
          <w:sz w:val="84"/>
          <w:szCs w:val="84"/>
          <w:highlight w:val="none"/>
        </w:rPr>
        <w:t xml:space="preserve">招 标 文 件 </w:t>
      </w:r>
    </w:p>
    <w:p w14:paraId="4C6D3A57">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4C327D8D">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：HZZHCG2025-012</w:t>
      </w:r>
    </w:p>
    <w:p w14:paraId="43323F7F">
      <w:pPr>
        <w:adjustRightInd/>
        <w:spacing w:line="360" w:lineRule="auto"/>
        <w:rPr>
          <w:rFonts w:hint="eastAsia" w:ascii="宋体" w:hAnsi="宋体" w:eastAsia="宋体" w:cs="宋体"/>
          <w:color w:val="auto"/>
          <w:sz w:val="28"/>
          <w:szCs w:val="20"/>
          <w:highlight w:val="none"/>
        </w:rPr>
      </w:pPr>
    </w:p>
    <w:p w14:paraId="089DDCBF">
      <w:pPr>
        <w:spacing w:line="360" w:lineRule="auto"/>
        <w:jc w:val="center"/>
        <w:rPr>
          <w:rFonts w:hint="eastAsia" w:ascii="宋体" w:hAnsi="宋体" w:eastAsia="宋体" w:cs="宋体"/>
          <w:b/>
          <w:color w:val="auto"/>
          <w:sz w:val="44"/>
          <w:szCs w:val="44"/>
          <w:highlight w:val="none"/>
        </w:rPr>
      </w:pPr>
    </w:p>
    <w:p w14:paraId="3B54D9EF">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6A6BC2B0">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05A42FB">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67513B7B">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p>
    <w:p w14:paraId="7EEA3C6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杭州市余杭区市场监督管理局</w:t>
      </w:r>
      <w:r>
        <w:rPr>
          <w:rFonts w:hint="eastAsia" w:ascii="宋体" w:hAnsi="宋体" w:eastAsia="宋体" w:cs="宋体"/>
          <w:color w:val="auto"/>
          <w:sz w:val="36"/>
          <w:szCs w:val="36"/>
          <w:highlight w:val="none"/>
          <w:lang w:eastAsia="zh-CN"/>
        </w:rPr>
        <w:t xml:space="preserve"> </w:t>
      </w:r>
    </w:p>
    <w:p w14:paraId="07DFFCE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采购代理机构：</w:t>
      </w:r>
      <w:r>
        <w:rPr>
          <w:rFonts w:hint="eastAsia" w:ascii="宋体" w:hAnsi="宋体" w:cs="宋体"/>
          <w:color w:val="auto"/>
          <w:sz w:val="36"/>
          <w:szCs w:val="36"/>
          <w:highlight w:val="none"/>
          <w:lang w:eastAsia="zh-CN"/>
        </w:rPr>
        <w:t>杭州正鸿工程咨询有限公司</w:t>
      </w:r>
    </w:p>
    <w:p w14:paraId="3673B9DC">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七月</w:t>
      </w:r>
    </w:p>
    <w:p w14:paraId="098021A7">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47779F93">
      <w:pPr>
        <w:rPr>
          <w:rFonts w:hint="eastAsia" w:ascii="宋体" w:hAnsi="宋体" w:eastAsia="宋体" w:cs="宋体"/>
          <w:color w:val="auto"/>
          <w:highlight w:val="none"/>
        </w:rPr>
      </w:pPr>
    </w:p>
    <w:p w14:paraId="781601C9">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28CF6A56">
      <w:pPr>
        <w:spacing w:line="360" w:lineRule="auto"/>
        <w:rPr>
          <w:rFonts w:hint="eastAsia" w:ascii="宋体" w:hAnsi="宋体" w:eastAsia="宋体" w:cs="宋体"/>
          <w:color w:val="auto"/>
          <w:sz w:val="32"/>
          <w:szCs w:val="32"/>
          <w:highlight w:val="none"/>
        </w:rPr>
      </w:pPr>
    </w:p>
    <w:p w14:paraId="4133B75D">
      <w:pPr>
        <w:spacing w:line="360" w:lineRule="auto"/>
        <w:rPr>
          <w:rFonts w:hint="eastAsia" w:ascii="宋体" w:hAnsi="宋体" w:eastAsia="宋体" w:cs="宋体"/>
          <w:color w:val="auto"/>
          <w:sz w:val="32"/>
          <w:szCs w:val="32"/>
          <w:highlight w:val="none"/>
        </w:rPr>
      </w:pPr>
    </w:p>
    <w:p w14:paraId="3A548D9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7C3298D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96F410D">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1AD84A6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E120EA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0529325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B86F8D1">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190FA073">
      <w:pPr>
        <w:spacing w:line="360" w:lineRule="auto"/>
        <w:ind w:firstLine="549" w:firstLineChars="229"/>
        <w:rPr>
          <w:rFonts w:hint="eastAsia" w:ascii="宋体" w:hAnsi="宋体" w:eastAsia="宋体" w:cs="宋体"/>
          <w:color w:val="auto"/>
          <w:sz w:val="24"/>
          <w:highlight w:val="none"/>
        </w:rPr>
      </w:pPr>
    </w:p>
    <w:p w14:paraId="5F608633">
      <w:pPr>
        <w:spacing w:line="360" w:lineRule="auto"/>
        <w:ind w:firstLine="549" w:firstLineChars="229"/>
        <w:rPr>
          <w:rFonts w:hint="eastAsia" w:ascii="宋体" w:hAnsi="宋体" w:eastAsia="宋体" w:cs="宋体"/>
          <w:color w:val="auto"/>
          <w:sz w:val="24"/>
          <w:highlight w:val="none"/>
        </w:rPr>
      </w:pPr>
    </w:p>
    <w:p w14:paraId="4BEC8A76">
      <w:pPr>
        <w:spacing w:line="360" w:lineRule="auto"/>
        <w:ind w:firstLine="549" w:firstLineChars="229"/>
        <w:rPr>
          <w:rFonts w:hint="eastAsia" w:ascii="宋体" w:hAnsi="宋体" w:eastAsia="宋体" w:cs="宋体"/>
          <w:color w:val="auto"/>
          <w:sz w:val="24"/>
          <w:highlight w:val="none"/>
        </w:rPr>
      </w:pPr>
    </w:p>
    <w:p w14:paraId="1131BC31">
      <w:pPr>
        <w:spacing w:line="360" w:lineRule="auto"/>
        <w:ind w:firstLine="549" w:firstLineChars="229"/>
        <w:rPr>
          <w:rFonts w:hint="eastAsia" w:ascii="宋体" w:hAnsi="宋体" w:eastAsia="宋体" w:cs="宋体"/>
          <w:color w:val="auto"/>
          <w:sz w:val="24"/>
          <w:highlight w:val="none"/>
        </w:rPr>
      </w:pPr>
    </w:p>
    <w:p w14:paraId="5728B66D">
      <w:pPr>
        <w:spacing w:line="360" w:lineRule="auto"/>
        <w:ind w:firstLine="549" w:firstLineChars="229"/>
        <w:rPr>
          <w:rFonts w:hint="eastAsia" w:ascii="宋体" w:hAnsi="宋体" w:eastAsia="宋体" w:cs="宋体"/>
          <w:color w:val="auto"/>
          <w:sz w:val="24"/>
          <w:highlight w:val="none"/>
        </w:rPr>
      </w:pPr>
    </w:p>
    <w:p w14:paraId="1F1154F3">
      <w:pPr>
        <w:spacing w:line="360" w:lineRule="auto"/>
        <w:ind w:firstLine="549" w:firstLineChars="229"/>
        <w:rPr>
          <w:rFonts w:hint="eastAsia" w:ascii="宋体" w:hAnsi="宋体" w:eastAsia="宋体" w:cs="宋体"/>
          <w:color w:val="auto"/>
          <w:sz w:val="24"/>
          <w:highlight w:val="none"/>
        </w:rPr>
      </w:pPr>
    </w:p>
    <w:p w14:paraId="556BB981">
      <w:pPr>
        <w:spacing w:line="360" w:lineRule="auto"/>
        <w:ind w:firstLine="549" w:firstLineChars="229"/>
        <w:rPr>
          <w:rFonts w:hint="eastAsia" w:ascii="宋体" w:hAnsi="宋体" w:eastAsia="宋体" w:cs="宋体"/>
          <w:color w:val="auto"/>
          <w:sz w:val="24"/>
          <w:highlight w:val="none"/>
        </w:rPr>
      </w:pPr>
    </w:p>
    <w:p w14:paraId="736BD27E">
      <w:pPr>
        <w:spacing w:line="360" w:lineRule="auto"/>
        <w:ind w:firstLine="549" w:firstLineChars="229"/>
        <w:rPr>
          <w:rFonts w:hint="eastAsia" w:ascii="宋体" w:hAnsi="宋体" w:eastAsia="宋体" w:cs="宋体"/>
          <w:color w:val="auto"/>
          <w:sz w:val="24"/>
          <w:highlight w:val="none"/>
        </w:rPr>
      </w:pPr>
    </w:p>
    <w:p w14:paraId="072EEE39">
      <w:pPr>
        <w:spacing w:line="360" w:lineRule="auto"/>
        <w:ind w:firstLine="549" w:firstLineChars="229"/>
        <w:rPr>
          <w:rFonts w:hint="eastAsia" w:ascii="宋体" w:hAnsi="宋体" w:eastAsia="宋体" w:cs="宋体"/>
          <w:color w:val="auto"/>
          <w:sz w:val="24"/>
          <w:highlight w:val="none"/>
        </w:rPr>
      </w:pPr>
    </w:p>
    <w:p w14:paraId="6ED60CD3">
      <w:pPr>
        <w:spacing w:line="360" w:lineRule="auto"/>
        <w:ind w:firstLine="549" w:firstLineChars="229"/>
        <w:rPr>
          <w:rFonts w:hint="eastAsia" w:ascii="宋体" w:hAnsi="宋体" w:eastAsia="宋体" w:cs="宋体"/>
          <w:color w:val="auto"/>
          <w:sz w:val="24"/>
          <w:highlight w:val="none"/>
        </w:rPr>
      </w:pPr>
    </w:p>
    <w:p w14:paraId="78CD3ECB">
      <w:pPr>
        <w:spacing w:line="360" w:lineRule="auto"/>
        <w:ind w:firstLine="549" w:firstLineChars="229"/>
        <w:rPr>
          <w:rFonts w:hint="eastAsia" w:ascii="宋体" w:hAnsi="宋体" w:eastAsia="宋体" w:cs="宋体"/>
          <w:color w:val="auto"/>
          <w:sz w:val="24"/>
          <w:highlight w:val="none"/>
        </w:rPr>
      </w:pPr>
    </w:p>
    <w:p w14:paraId="03EFAE34">
      <w:pPr>
        <w:spacing w:line="360" w:lineRule="auto"/>
        <w:ind w:firstLine="549" w:firstLineChars="229"/>
        <w:rPr>
          <w:rFonts w:hint="eastAsia" w:ascii="宋体" w:hAnsi="宋体" w:eastAsia="宋体" w:cs="宋体"/>
          <w:color w:val="auto"/>
          <w:sz w:val="24"/>
          <w:highlight w:val="none"/>
        </w:rPr>
      </w:pPr>
    </w:p>
    <w:p w14:paraId="3DD2C9DE">
      <w:pPr>
        <w:spacing w:line="360" w:lineRule="auto"/>
        <w:rPr>
          <w:rFonts w:hint="eastAsia" w:ascii="宋体" w:hAnsi="宋体" w:eastAsia="宋体" w:cs="宋体"/>
          <w:color w:val="auto"/>
          <w:sz w:val="24"/>
          <w:highlight w:val="none"/>
        </w:rPr>
      </w:pPr>
    </w:p>
    <w:bookmarkEnd w:id="2"/>
    <w:p w14:paraId="2D06FFDA">
      <w:pPr>
        <w:pStyle w:val="2"/>
        <w:rPr>
          <w:rFonts w:hint="eastAsia" w:ascii="宋体" w:hAnsi="宋体" w:eastAsia="宋体" w:cs="宋体"/>
          <w:color w:val="auto"/>
          <w:sz w:val="36"/>
          <w:szCs w:val="20"/>
          <w:highlight w:val="none"/>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pgNumType w:fmt="decimal"/>
          <w:cols w:space="720" w:num="1"/>
          <w:titlePg/>
          <w:docGrid w:linePitch="312" w:charSpace="0"/>
        </w:sectPr>
      </w:pPr>
      <w:bookmarkStart w:id="3" w:name="_Hlt74707423"/>
      <w:bookmarkEnd w:id="3"/>
      <w:bookmarkStart w:id="4" w:name="_Hlt74729822"/>
      <w:bookmarkEnd w:id="4"/>
      <w:bookmarkStart w:id="5" w:name="_Hlt74649545"/>
      <w:bookmarkEnd w:id="5"/>
      <w:bookmarkStart w:id="6" w:name="_Hlt74728647"/>
      <w:bookmarkEnd w:id="6"/>
      <w:bookmarkStart w:id="7" w:name="第二部分"/>
      <w:bookmarkStart w:id="8" w:name="_Toc91899870"/>
      <w:bookmarkStart w:id="9" w:name="_Toc91899871"/>
    </w:p>
    <w:p w14:paraId="3164F7F9">
      <w:pPr>
        <w:pStyle w:val="2"/>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第一部分 招标公告</w:t>
      </w:r>
    </w:p>
    <w:p w14:paraId="072E3F1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2081A4EA">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lang w:eastAsia="zh-CN"/>
        </w:rPr>
        <w:t xml:space="preserve"> </w:t>
      </w:r>
      <w:r>
        <w:rPr>
          <w:rFonts w:hint="eastAsia" w:ascii="宋体" w:hAnsi="宋体" w:cs="宋体"/>
          <w:color w:val="auto"/>
          <w:sz w:val="24"/>
          <w:highlight w:val="none"/>
          <w:u w:val="single"/>
          <w:lang w:eastAsia="zh-CN"/>
        </w:rPr>
        <w:t>杭州市余杭区市场监督管理局产品商品检测服务采购项目</w:t>
      </w:r>
      <w:r>
        <w:rPr>
          <w:rFonts w:hint="eastAsia" w:ascii="宋体" w:hAnsi="宋体" w:eastAsia="宋体" w:cs="宋体"/>
          <w:color w:val="auto"/>
          <w:sz w:val="24"/>
          <w:highlight w:val="none"/>
        </w:rPr>
        <w:t>招标项目的潜在投标人应在</w:t>
      </w:r>
      <w:r>
        <w:rPr>
          <w:rFonts w:hint="eastAsia" w:ascii="宋体" w:hAnsi="宋体" w:eastAsia="宋体" w:cs="宋体"/>
          <w:color w:val="auto"/>
          <w:sz w:val="24"/>
          <w:highlight w:val="none"/>
          <w:u w:val="single"/>
        </w:rPr>
        <w:t>政采云平台（</w:t>
      </w:r>
      <w:r>
        <w:rPr>
          <w:rFonts w:hint="eastAsia" w:ascii="宋体" w:hAnsi="宋体" w:eastAsia="宋体" w:cs="宋体"/>
          <w:color w:val="auto"/>
          <w:highlight w:val="none"/>
          <w:u w:val="single"/>
        </w:rPr>
        <w:fldChar w:fldCharType="begin"/>
      </w:r>
      <w:r>
        <w:rPr>
          <w:rFonts w:hint="eastAsia" w:ascii="宋体" w:hAnsi="宋体" w:eastAsia="宋体" w:cs="宋体"/>
          <w:color w:val="auto"/>
          <w:highlight w:val="none"/>
          <w:u w:val="single"/>
        </w:rPr>
        <w:instrText xml:space="preserve"> HYPERLINK "https://www.zcygov.cn/）获取（下载）招标文件，并于202%20年%20月%20日%20点%20分00秒" </w:instrText>
      </w:r>
      <w:r>
        <w:rPr>
          <w:rFonts w:hint="eastAsia" w:ascii="宋体" w:hAnsi="宋体" w:eastAsia="宋体" w:cs="宋体"/>
          <w:color w:val="auto"/>
          <w:highlight w:val="none"/>
          <w:u w:val="single"/>
        </w:rPr>
        <w:fldChar w:fldCharType="separate"/>
      </w:r>
      <w:r>
        <w:rPr>
          <w:rStyle w:val="77"/>
          <w:rFonts w:hint="eastAsia" w:ascii="宋体" w:hAnsi="宋体" w:eastAsia="宋体" w:cs="宋体"/>
          <w:color w:val="auto"/>
          <w:kern w:val="2"/>
          <w:sz w:val="24"/>
          <w:szCs w:val="24"/>
          <w:highlight w:val="none"/>
          <w:u w:val="single"/>
        </w:rPr>
        <w:t>https://www.zcygov.cn/）获取（下载）招标文件，并于20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Style w:val="77"/>
          <w:rFonts w:hint="eastAsia" w:ascii="宋体" w:hAnsi="宋体" w:eastAsia="宋体" w:cs="宋体"/>
          <w:bCs/>
          <w:color w:val="auto"/>
          <w:kern w:val="2"/>
          <w:sz w:val="24"/>
          <w:szCs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2CB319E">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4A030723">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HZZHCG2025-012</w:t>
      </w:r>
    </w:p>
    <w:p w14:paraId="30BB761B">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eastAsia="宋体" w:cs="宋体"/>
          <w:color w:val="auto"/>
          <w:sz w:val="24"/>
          <w:highlight w:val="none"/>
          <w:lang w:eastAsia="zh-CN"/>
        </w:rPr>
        <w:t xml:space="preserve"> </w:t>
      </w:r>
      <w:r>
        <w:rPr>
          <w:rFonts w:hint="eastAsia" w:ascii="宋体" w:hAnsi="宋体" w:cs="宋体"/>
          <w:color w:val="auto"/>
          <w:sz w:val="24"/>
          <w:highlight w:val="none"/>
          <w:lang w:eastAsia="zh-CN"/>
        </w:rPr>
        <w:t>杭州市余杭区市场监督管理局产品商品检测服务采购项目</w:t>
      </w: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w:t>
      </w:r>
    </w:p>
    <w:p w14:paraId="07E68C2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预算金额（元）：</w:t>
      </w:r>
      <w:r>
        <w:rPr>
          <w:rFonts w:hint="eastAsia" w:ascii="宋体" w:hAnsi="宋体" w:cs="宋体"/>
          <w:color w:val="auto"/>
          <w:sz w:val="24"/>
          <w:highlight w:val="none"/>
          <w:lang w:val="en-US" w:eastAsia="zh-CN"/>
        </w:rPr>
        <w:t>900000</w:t>
      </w:r>
      <w:r>
        <w:rPr>
          <w:rFonts w:hint="eastAsia" w:ascii="宋体" w:hAnsi="宋体" w:eastAsia="宋体" w:cs="宋体"/>
          <w:color w:val="auto"/>
          <w:sz w:val="24"/>
          <w:highlight w:val="none"/>
          <w:lang w:eastAsia="zh-CN"/>
        </w:rPr>
        <w:t>.00</w:t>
      </w:r>
    </w:p>
    <w:p w14:paraId="44C6F98D">
      <w:pPr>
        <w:spacing w:line="360" w:lineRule="auto"/>
        <w:ind w:firstLine="480"/>
        <w:rPr>
          <w:rFonts w:hint="eastAsia" w:ascii="宋体" w:hAnsi="宋体" w:eastAsia="宋体" w:cs="宋体"/>
          <w:color w:val="auto"/>
          <w:sz w:val="24"/>
          <w:highlight w:val="none"/>
        </w:rPr>
      </w:pPr>
      <w:r>
        <w:rPr>
          <w:rFonts w:hint="eastAsia" w:ascii="宋体" w:hAnsi="宋体" w:eastAsia="宋体" w:cs="宋体"/>
          <w:b/>
          <w:color w:val="auto"/>
          <w:sz w:val="24"/>
          <w:highlight w:val="none"/>
        </w:rPr>
        <w:t>最高限价（元）：</w:t>
      </w:r>
      <w:r>
        <w:rPr>
          <w:rFonts w:hint="eastAsia" w:ascii="宋体" w:hAnsi="宋体" w:cs="宋体"/>
          <w:color w:val="auto"/>
          <w:sz w:val="24"/>
          <w:highlight w:val="none"/>
          <w:lang w:val="en-US" w:eastAsia="zh-CN"/>
        </w:rPr>
        <w:t>900000</w:t>
      </w:r>
      <w:r>
        <w:rPr>
          <w:rFonts w:hint="eastAsia" w:ascii="宋体" w:hAnsi="宋体" w:eastAsia="宋体" w:cs="宋体"/>
          <w:color w:val="auto"/>
          <w:sz w:val="24"/>
          <w:highlight w:val="none"/>
          <w:lang w:eastAsia="zh-CN"/>
        </w:rPr>
        <w:t>.00</w:t>
      </w:r>
    </w:p>
    <w:p w14:paraId="2CC4B31A">
      <w:pPr>
        <w:pStyle w:val="15"/>
        <w:spacing w:line="360" w:lineRule="auto"/>
        <w:ind w:firstLine="480"/>
        <w:rPr>
          <w:rFonts w:hint="eastAsia" w:ascii="宋体" w:hAnsi="宋体" w:eastAsia="宋体" w:cs="宋体"/>
          <w:b/>
          <w:color w:val="auto"/>
          <w:sz w:val="24"/>
          <w:szCs w:val="32"/>
          <w:highlight w:val="none"/>
        </w:rPr>
      </w:pPr>
      <w:r>
        <w:rPr>
          <w:rFonts w:hint="eastAsia" w:ascii="宋体" w:hAnsi="宋体" w:eastAsia="宋体" w:cs="宋体"/>
          <w:b/>
          <w:color w:val="auto"/>
          <w:sz w:val="24"/>
          <w:highlight w:val="none"/>
        </w:rPr>
        <w:t>采购需求：</w:t>
      </w:r>
      <w:r>
        <w:rPr>
          <w:rFonts w:hint="eastAsia" w:hAnsi="宋体" w:cs="宋体"/>
          <w:b w:val="0"/>
          <w:bCs/>
          <w:color w:val="auto"/>
          <w:sz w:val="24"/>
          <w:highlight w:val="none"/>
          <w:lang w:eastAsia="zh-CN"/>
        </w:rPr>
        <w:t>杭州市余杭区市场监督管理局</w:t>
      </w:r>
      <w:r>
        <w:rPr>
          <w:rFonts w:hint="eastAsia" w:ascii="宋体" w:hAnsi="宋体" w:eastAsia="宋体" w:cs="宋体"/>
          <w:b w:val="0"/>
          <w:bCs/>
          <w:color w:val="auto"/>
          <w:sz w:val="24"/>
          <w:highlight w:val="none"/>
          <w:lang w:eastAsia="zh-CN"/>
        </w:rPr>
        <w:t>的</w:t>
      </w:r>
      <w:r>
        <w:rPr>
          <w:rFonts w:hint="eastAsia" w:hAnsi="宋体" w:cs="宋体"/>
          <w:bCs/>
          <w:color w:val="auto"/>
          <w:kern w:val="2"/>
          <w:sz w:val="24"/>
          <w:szCs w:val="24"/>
          <w:highlight w:val="none"/>
          <w:lang w:eastAsia="zh-CN"/>
        </w:rPr>
        <w:t>杭州市余杭区市场监督管理局产品商品检测服务采购项目</w:t>
      </w:r>
      <w:r>
        <w:rPr>
          <w:rFonts w:hint="eastAsia" w:ascii="宋体" w:hAnsi="宋体" w:eastAsia="宋体" w:cs="宋体"/>
          <w:bCs/>
          <w:color w:val="auto"/>
          <w:kern w:val="2"/>
          <w:sz w:val="24"/>
          <w:szCs w:val="24"/>
          <w:highlight w:val="none"/>
          <w:lang w:eastAsia="zh-CN"/>
        </w:rPr>
        <w:t>，具体以招标文件第三部分采购需求为准，供应商可点击本公告下方“浏览采购文件”查看采购需求。</w:t>
      </w:r>
    </w:p>
    <w:p w14:paraId="52453E8F">
      <w:pPr>
        <w:spacing w:line="360" w:lineRule="auto"/>
        <w:ind w:firstLine="482" w:firstLineChars="200"/>
        <w:rPr>
          <w:rFonts w:hint="eastAsia" w:ascii="宋体" w:hAnsi="宋体" w:eastAsia="宋体" w:cs="宋体"/>
          <w:bCs/>
          <w:color w:val="auto"/>
          <w:sz w:val="24"/>
          <w:highlight w:val="none"/>
          <w:lang w:val="en-US" w:eastAsia="zh-CN"/>
        </w:rPr>
      </w:pPr>
      <w:r>
        <w:rPr>
          <w:rFonts w:hint="eastAsia" w:ascii="宋体" w:hAnsi="宋体" w:eastAsia="宋体" w:cs="宋体"/>
          <w:b/>
          <w:sz w:val="24"/>
          <w:highlight w:val="none"/>
        </w:rPr>
        <w:t>简要规格描述或项目基本概况介绍、用途：</w:t>
      </w:r>
      <w:r>
        <w:rPr>
          <w:rFonts w:hint="eastAsia" w:ascii="宋体" w:hAnsi="宋体" w:cs="宋体"/>
          <w:b w:val="0"/>
          <w:bCs/>
          <w:sz w:val="24"/>
          <w:highlight w:val="none"/>
          <w:lang w:eastAsia="zh-CN"/>
        </w:rPr>
        <w:t>杭州市余杭区市场监督管理局产品商品检测服务采购项目</w:t>
      </w:r>
      <w:r>
        <w:rPr>
          <w:rFonts w:hint="eastAsia" w:ascii="宋体" w:hAnsi="宋体" w:eastAsia="宋体" w:cs="宋体"/>
          <w:b w:val="0"/>
          <w:bCs/>
          <w:sz w:val="24"/>
          <w:highlight w:val="none"/>
        </w:rPr>
        <w:t>，具体以招标文件第三部分采购需求为准，供应商可点击本公告下方“浏览采购文件”查看采购需求。</w:t>
      </w:r>
    </w:p>
    <w:p w14:paraId="1E7B5C33">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eastAsia="宋体" w:cs="宋体"/>
          <w:b/>
          <w:color w:val="auto"/>
          <w:sz w:val="24"/>
          <w:szCs w:val="32"/>
          <w:highlight w:val="none"/>
        </w:rPr>
        <w:t>合同履约期限：</w:t>
      </w:r>
      <w:r>
        <w:rPr>
          <w:rFonts w:hint="eastAsia" w:ascii="宋体" w:hAnsi="宋体" w:eastAsia="宋体" w:cs="宋体"/>
          <w:b w:val="0"/>
          <w:bCs/>
          <w:color w:val="auto"/>
          <w:sz w:val="24"/>
          <w:highlight w:val="none"/>
          <w:lang w:val="en-US" w:eastAsia="zh-CN"/>
        </w:rPr>
        <w:t>详见招标文件“第三部分 采购需求”</w:t>
      </w:r>
      <w:r>
        <w:rPr>
          <w:rFonts w:hint="eastAsia" w:ascii="宋体" w:hAnsi="宋体" w:eastAsia="宋体" w:cs="宋体"/>
          <w:b/>
          <w:bCs/>
          <w:color w:val="auto"/>
          <w:sz w:val="24"/>
          <w:highlight w:val="none"/>
          <w:lang w:val="en-US" w:eastAsia="zh-CN"/>
        </w:rPr>
        <w:t>。</w:t>
      </w:r>
    </w:p>
    <w:p w14:paraId="10DE041E">
      <w:pPr>
        <w:pStyle w:val="15"/>
        <w:spacing w:line="360" w:lineRule="auto"/>
        <w:ind w:firstLine="480"/>
        <w:rPr>
          <w:rFonts w:hint="eastAsia" w:ascii="宋体" w:hAnsi="宋体" w:eastAsia="宋体" w:cs="宋体"/>
          <w:b/>
          <w:color w:val="auto"/>
          <w:highlight w:val="none"/>
        </w:rPr>
      </w:pPr>
      <w:r>
        <w:rPr>
          <w:rFonts w:hint="eastAsia" w:ascii="宋体" w:hAnsi="宋体" w:eastAsia="宋体" w:cs="宋体"/>
          <w:b/>
          <w:color w:val="auto"/>
          <w:sz w:val="24"/>
          <w:highlight w:val="none"/>
        </w:rPr>
        <w:t>本项目接受联合体投标：</w:t>
      </w:r>
      <w:r>
        <w:rPr>
          <w:rFonts w:hint="eastAsia" w:ascii="宋体" w:hAnsi="宋体" w:eastAsia="宋体" w:cs="宋体"/>
          <w:b/>
          <w:color w:val="auto"/>
          <w:sz w:val="24"/>
          <w:highlight w:val="none"/>
        </w:rPr>
        <w:sym w:font="Wingdings" w:char="00FE"/>
      </w:r>
      <w:r>
        <w:rPr>
          <w:rFonts w:hint="eastAsia" w:ascii="宋体" w:hAnsi="宋体" w:eastAsia="宋体" w:cs="宋体"/>
          <w:b/>
          <w:color w:val="auto"/>
          <w:sz w:val="24"/>
          <w:highlight w:val="none"/>
        </w:rPr>
        <w:t>是；</w:t>
      </w:r>
      <w:r>
        <w:rPr>
          <w:rFonts w:hint="eastAsia" w:ascii="宋体" w:hAnsi="宋体" w:eastAsia="宋体" w:cs="宋体"/>
          <w:snapToGrid w:val="0"/>
          <w:color w:val="auto"/>
          <w:kern w:val="0"/>
          <w:sz w:val="24"/>
          <w:szCs w:val="20"/>
          <w:highlight w:val="none"/>
          <w:lang w:val="en-US" w:eastAsia="zh-CN" w:bidi="ar-SA"/>
        </w:rPr>
        <w:sym w:font="Wingdings" w:char="00A8"/>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0F58C602">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23E1D3CD">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30AC511D">
      <w:pPr>
        <w:spacing w:line="360" w:lineRule="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 xml:space="preserve">    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本项目不接受联合体投标或者投标人不以联合体形式投标的，则不需要提供</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 xml:space="preserve"> ；</w:t>
      </w:r>
    </w:p>
    <w:p w14:paraId="119FB29B">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19739D6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69D82506">
      <w:pPr>
        <w:spacing w:line="360" w:lineRule="auto"/>
        <w:ind w:firstLine="480" w:firstLineChars="200"/>
        <w:rPr>
          <w:rFonts w:hint="eastAsia" w:ascii="宋体" w:hAnsi="宋体" w:eastAsia="宋体" w:cs="宋体"/>
          <w:b w:val="0"/>
          <w:bCs w:val="0"/>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sym w:font="Wingdings" w:char="00A8"/>
      </w:r>
      <w:r>
        <w:rPr>
          <w:rFonts w:hint="eastAsia" w:ascii="宋体" w:hAnsi="宋体" w:eastAsia="宋体" w:cs="宋体"/>
          <w:b w:val="0"/>
          <w:bCs w:val="0"/>
          <w:snapToGrid w:val="0"/>
          <w:color w:val="auto"/>
          <w:kern w:val="28"/>
          <w:sz w:val="24"/>
          <w:szCs w:val="20"/>
          <w:highlight w:val="none"/>
        </w:rPr>
        <w:t>专门面向中小企业</w:t>
      </w:r>
    </w:p>
    <w:p w14:paraId="06BCD058">
      <w:pPr>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snapToGrid w:val="0"/>
          <w:color w:val="auto"/>
          <w:kern w:val="28"/>
          <w:sz w:val="24"/>
          <w:szCs w:val="20"/>
          <w:highlight w:val="none"/>
        </w:rPr>
        <w:sym w:font="Wingdings" w:char="00A8"/>
      </w:r>
      <w:r>
        <w:rPr>
          <w:rFonts w:hint="eastAsia" w:ascii="宋体" w:hAnsi="宋体" w:eastAsia="宋体" w:cs="宋体"/>
          <w:b w:val="0"/>
          <w:bCs w:val="0"/>
          <w:snapToGrid w:val="0"/>
          <w:color w:val="auto"/>
          <w:kern w:val="28"/>
          <w:sz w:val="24"/>
          <w:szCs w:val="20"/>
          <w:highlight w:val="none"/>
        </w:rPr>
        <w:t>服务全</w:t>
      </w:r>
      <w:r>
        <w:rPr>
          <w:rFonts w:hint="eastAsia" w:ascii="宋体" w:hAnsi="宋体" w:eastAsia="宋体" w:cs="宋体"/>
          <w:b w:val="0"/>
          <w:bCs w:val="0"/>
          <w:color w:val="auto"/>
          <w:sz w:val="24"/>
          <w:highlight w:val="none"/>
        </w:rPr>
        <w:t>部由符合政策要求的中小企业承接，提供中小企业声明函；</w:t>
      </w:r>
    </w:p>
    <w:p w14:paraId="5FC0E6FF">
      <w:pPr>
        <w:spacing w:line="360" w:lineRule="auto"/>
        <w:ind w:firstLine="960" w:firstLineChars="400"/>
        <w:rPr>
          <w:rFonts w:hint="eastAsia" w:ascii="宋体" w:hAnsi="宋体" w:eastAsia="宋体" w:cs="宋体"/>
          <w:b/>
          <w:bCs/>
          <w:color w:val="auto"/>
          <w:sz w:val="24"/>
          <w:highlight w:val="none"/>
        </w:rPr>
      </w:pPr>
      <w:bookmarkStart w:id="10" w:name="OLE_LINK5"/>
      <w:r>
        <w:rPr>
          <w:rFonts w:hint="eastAsia" w:ascii="宋体" w:hAnsi="宋体" w:eastAsia="宋体" w:cs="宋体"/>
          <w:b w:val="0"/>
          <w:bCs w:val="0"/>
          <w:color w:val="auto"/>
          <w:kern w:val="0"/>
          <w:sz w:val="24"/>
          <w:highlight w:val="none"/>
        </w:rPr>
        <w:sym w:font="Wingdings" w:char="00A8"/>
      </w:r>
      <w:r>
        <w:rPr>
          <w:rFonts w:hint="eastAsia" w:ascii="宋体" w:hAnsi="宋体" w:eastAsia="宋体" w:cs="宋体"/>
          <w:b w:val="0"/>
          <w:bCs w:val="0"/>
          <w:color w:val="auto"/>
          <w:sz w:val="24"/>
          <w:highlight w:val="none"/>
        </w:rPr>
        <w:t>服务全部由符合政策要求的小微企业承接，提供</w:t>
      </w:r>
      <w:r>
        <w:rPr>
          <w:rFonts w:hint="eastAsia" w:ascii="宋体" w:hAnsi="宋体" w:eastAsia="宋体" w:cs="宋体"/>
          <w:b w:val="0"/>
          <w:bCs w:val="0"/>
          <w:color w:val="auto"/>
          <w:sz w:val="24"/>
          <w:highlight w:val="none"/>
          <w:lang w:val="en-US" w:eastAsia="zh-CN"/>
        </w:rPr>
        <w:t>小微</w:t>
      </w:r>
      <w:r>
        <w:rPr>
          <w:rFonts w:hint="eastAsia" w:ascii="宋体" w:hAnsi="宋体" w:eastAsia="宋体" w:cs="宋体"/>
          <w:b w:val="0"/>
          <w:bCs w:val="0"/>
          <w:color w:val="auto"/>
          <w:sz w:val="24"/>
          <w:highlight w:val="none"/>
        </w:rPr>
        <w:t>企业声明函；</w:t>
      </w:r>
      <w:bookmarkEnd w:id="10"/>
    </w:p>
    <w:p w14:paraId="3351BDB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b w:val="0"/>
          <w:bCs w:val="0"/>
          <w:snapToGrid w:val="0"/>
          <w:color w:val="auto"/>
          <w:kern w:val="28"/>
          <w:sz w:val="24"/>
          <w:szCs w:val="20"/>
          <w:highlight w:val="none"/>
        </w:rPr>
        <w:sym w:font="Wingdings" w:char="00FE"/>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lang w:val="en-US" w:eastAsia="zh-CN"/>
        </w:rPr>
        <w:t>30</w:t>
      </w:r>
      <w:r>
        <w:rPr>
          <w:rFonts w:hint="eastAsia" w:ascii="宋体" w:hAnsi="宋体" w:eastAsia="宋体" w:cs="宋体"/>
          <w:color w:val="auto"/>
          <w:sz w:val="24"/>
          <w:highlight w:val="none"/>
        </w:rPr>
        <w:t>%，小微企业合同金额应当达到</w:t>
      </w:r>
      <w:r>
        <w:rPr>
          <w:rFonts w:hint="eastAsia" w:ascii="宋体" w:hAnsi="宋体" w:cs="宋体"/>
          <w:color w:val="auto"/>
          <w:sz w:val="24"/>
          <w:highlight w:val="none"/>
          <w:u w:val="single"/>
          <w:lang w:val="en-US" w:eastAsia="zh-CN"/>
        </w:rPr>
        <w:t>/</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110B87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3879D00F">
      <w:pPr>
        <w:spacing w:line="360" w:lineRule="auto"/>
        <w:ind w:firstLine="482" w:firstLineChars="20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rPr>
        <w:t>4.本项目的特定资格要求：</w:t>
      </w:r>
      <w:r>
        <w:rPr>
          <w:rFonts w:hint="eastAsia" w:ascii="宋体" w:hAnsi="宋体" w:eastAsia="宋体" w:cs="宋体"/>
          <w:b/>
          <w:bCs/>
          <w:color w:val="auto"/>
          <w:sz w:val="24"/>
          <w:highlight w:val="none"/>
          <w:lang w:val="en-US" w:eastAsia="zh-CN"/>
        </w:rPr>
        <w:t>无。</w:t>
      </w:r>
    </w:p>
    <w:p w14:paraId="5D1A7F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59ABDED">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C12621F">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65DA4722">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A66BDB3">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1FFAC46A">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4B811DFD">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0FDB9FFE">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1BE28106">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58AF0F26">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Style w:val="77"/>
          <w:rFonts w:hint="eastAsia" w:ascii="宋体" w:hAnsi="宋体" w:eastAsia="宋体" w:cs="宋体"/>
          <w:color w:val="auto"/>
          <w:kern w:val="2"/>
          <w:sz w:val="24"/>
          <w:szCs w:val="24"/>
          <w:highlight w:val="none"/>
          <w:u w:val="single"/>
        </w:rPr>
        <w:t>20</w:t>
      </w:r>
      <w:r>
        <w:rPr>
          <w:rStyle w:val="77"/>
          <w:rFonts w:hint="eastAsia" w:ascii="宋体" w:hAnsi="宋体" w:eastAsia="宋体" w:cs="宋体"/>
          <w:color w:val="auto"/>
          <w:kern w:val="2"/>
          <w:sz w:val="24"/>
          <w:szCs w:val="24"/>
          <w:highlight w:val="none"/>
          <w:u w:val="single"/>
          <w:lang w:val="en-US" w:eastAsia="zh-CN"/>
        </w:rPr>
        <w:t>2</w:t>
      </w:r>
      <w:r>
        <w:rPr>
          <w:rStyle w:val="77"/>
          <w:rFonts w:hint="eastAsia" w:ascii="宋体" w:hAnsi="宋体" w:cs="宋体"/>
          <w:color w:val="auto"/>
          <w:kern w:val="2"/>
          <w:sz w:val="24"/>
          <w:szCs w:val="24"/>
          <w:highlight w:val="none"/>
          <w:u w:val="single"/>
          <w:lang w:val="en-US" w:eastAsia="zh-CN"/>
        </w:rPr>
        <w:t>5</w:t>
      </w:r>
      <w:r>
        <w:rPr>
          <w:rStyle w:val="77"/>
          <w:rFonts w:hint="eastAsia" w:ascii="宋体" w:hAnsi="宋体" w:eastAsia="宋体" w:cs="宋体"/>
          <w:color w:val="auto"/>
          <w:kern w:val="2"/>
          <w:sz w:val="24"/>
          <w:szCs w:val="24"/>
          <w:highlight w:val="none"/>
          <w:u w:val="single"/>
        </w:rPr>
        <w:t>年</w:t>
      </w:r>
      <w:r>
        <w:rPr>
          <w:rStyle w:val="77"/>
          <w:rFonts w:hint="eastAsia" w:ascii="宋体" w:hAnsi="宋体" w:cs="宋体"/>
          <w:color w:val="auto"/>
          <w:kern w:val="2"/>
          <w:sz w:val="24"/>
          <w:szCs w:val="24"/>
          <w:highlight w:val="none"/>
          <w:u w:val="single"/>
          <w:lang w:val="en-US" w:eastAsia="zh-CN"/>
        </w:rPr>
        <w:t>08月05日14点00分</w:t>
      </w:r>
      <w:r>
        <w:rPr>
          <w:rStyle w:val="77"/>
          <w:rFonts w:hint="eastAsia" w:ascii="宋体" w:hAnsi="宋体" w:cs="宋体"/>
          <w:bCs w:val="0"/>
          <w:color w:val="auto"/>
          <w:kern w:val="2"/>
          <w:sz w:val="24"/>
          <w:szCs w:val="24"/>
          <w:highlight w:val="none"/>
          <w:u w:val="single"/>
          <w:lang w:val="en-US" w:eastAsia="zh-CN"/>
        </w:rPr>
        <w:t>00</w:t>
      </w:r>
      <w:r>
        <w:rPr>
          <w:rStyle w:val="77"/>
          <w:rFonts w:hint="eastAsia" w:ascii="宋体" w:hAnsi="宋体" w:eastAsia="宋体" w:cs="宋体"/>
          <w:bCs/>
          <w:color w:val="auto"/>
          <w:kern w:val="2"/>
          <w:sz w:val="24"/>
          <w:szCs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22936163">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开标地点（网址）：</w:t>
      </w:r>
      <w:r>
        <w:rPr>
          <w:rFonts w:hint="eastAsia" w:ascii="宋体" w:hAnsi="宋体" w:eastAsia="宋体" w:cs="宋体"/>
          <w:b w:val="0"/>
          <w:bCs/>
          <w:color w:val="auto"/>
          <w:sz w:val="24"/>
          <w:highlight w:val="none"/>
          <w:lang w:val="en-US" w:eastAsia="zh-CN"/>
        </w:rPr>
        <w:t>登陆</w:t>
      </w:r>
      <w:r>
        <w:rPr>
          <w:rFonts w:hint="eastAsia" w:ascii="宋体" w:hAnsi="宋体" w:eastAsia="宋体" w:cs="宋体"/>
          <w:b w:val="0"/>
          <w:bCs/>
          <w:color w:val="auto"/>
          <w:sz w:val="24"/>
          <w:highlight w:val="none"/>
        </w:rPr>
        <w:t>政</w:t>
      </w:r>
      <w:r>
        <w:rPr>
          <w:rFonts w:hint="eastAsia" w:ascii="宋体" w:hAnsi="宋体" w:eastAsia="宋体" w:cs="宋体"/>
          <w:color w:val="auto"/>
          <w:sz w:val="24"/>
          <w:highlight w:val="none"/>
        </w:rPr>
        <w:t>采云平台（https://www.zcygov.cn/）开标大厅等候</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解密</w:t>
      </w:r>
      <w:r>
        <w:rPr>
          <w:rFonts w:hint="eastAsia" w:ascii="宋体" w:hAnsi="宋体" w:eastAsia="宋体" w:cs="宋体"/>
          <w:color w:val="auto"/>
          <w:sz w:val="24"/>
          <w:highlight w:val="none"/>
          <w:lang w:val="en-US" w:eastAsia="zh-CN"/>
        </w:rPr>
        <w:t>；</w:t>
      </w:r>
    </w:p>
    <w:p w14:paraId="0F4E3694">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五、</w:t>
      </w:r>
      <w:bookmarkStart w:id="11" w:name="OLE_LINK8"/>
      <w:r>
        <w:rPr>
          <w:rFonts w:hint="eastAsia" w:ascii="宋体" w:hAnsi="宋体" w:eastAsia="宋体" w:cs="宋体"/>
          <w:b/>
          <w:color w:val="auto"/>
          <w:sz w:val="24"/>
          <w:highlight w:val="none"/>
        </w:rPr>
        <w:t>公告期限</w:t>
      </w:r>
      <w:bookmarkEnd w:id="11"/>
      <w:r>
        <w:rPr>
          <w:rFonts w:hint="eastAsia" w:ascii="宋体" w:hAnsi="宋体" w:eastAsia="宋体" w:cs="宋体"/>
          <w:b/>
          <w:color w:val="auto"/>
          <w:sz w:val="24"/>
          <w:highlight w:val="none"/>
        </w:rPr>
        <w:t xml:space="preserve"> </w:t>
      </w:r>
    </w:p>
    <w:p w14:paraId="6AB56979">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5CA398F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30A9937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D312D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96FFE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7B1F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0CE863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3F8DD7CA">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 1.采购人信息</w:t>
      </w:r>
    </w:p>
    <w:p w14:paraId="54E458F4">
      <w:pPr>
        <w:widowControl/>
        <w:wordWrap/>
        <w:spacing w:line="336" w:lineRule="auto"/>
        <w:ind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杭州市余杭区市场监督管理局</w:t>
      </w:r>
    </w:p>
    <w:p w14:paraId="51DA6C64">
      <w:pPr>
        <w:wordWrap/>
        <w:snapToGrid w:val="0"/>
        <w:spacing w:line="336"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lang w:eastAsia="zh-CN"/>
        </w:rPr>
        <w:t>杭州市余杭区</w:t>
      </w:r>
      <w:r>
        <w:rPr>
          <w:rFonts w:hint="eastAsia" w:ascii="宋体" w:hAnsi="宋体" w:eastAsia="宋体" w:cs="宋体"/>
          <w:color w:val="auto"/>
          <w:sz w:val="24"/>
          <w:highlight w:val="none"/>
          <w:lang w:val="en-US" w:eastAsia="zh-CN"/>
        </w:rPr>
        <w:t>文一西路1500号5号楼</w:t>
      </w:r>
    </w:p>
    <w:p w14:paraId="3D24C7D9">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项目联系人</w:t>
      </w:r>
      <w:r>
        <w:rPr>
          <w:rFonts w:hint="eastAsia" w:ascii="宋体" w:hAnsi="宋体" w:eastAsia="宋体" w:cs="宋体"/>
          <w:b w:val="0"/>
          <w:bCs w:val="0"/>
          <w:color w:val="auto"/>
          <w:kern w:val="2"/>
          <w:sz w:val="24"/>
          <w:szCs w:val="24"/>
          <w:highlight w:val="none"/>
          <w:lang w:val="en-US" w:eastAsia="zh-CN" w:bidi="ar-SA"/>
        </w:rPr>
        <w:t>（询问）</w:t>
      </w:r>
      <w:r>
        <w:rPr>
          <w:rFonts w:hint="eastAsia" w:ascii="宋体" w:hAnsi="宋体" w:eastAsia="宋体" w:cs="宋体"/>
          <w:b w:val="0"/>
          <w:bCs w:val="0"/>
          <w:color w:val="auto"/>
          <w:sz w:val="24"/>
          <w:highlight w:val="none"/>
        </w:rPr>
        <w:t>：孟瑶</w:t>
      </w:r>
      <w:r>
        <w:rPr>
          <w:rFonts w:hint="eastAsia" w:ascii="宋体" w:hAnsi="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sz w:val="24"/>
          <w:highlight w:val="none"/>
          <w:lang w:val="en-US" w:eastAsia="zh-CN"/>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：0571-89517981</w:t>
      </w:r>
      <w:r>
        <w:rPr>
          <w:rFonts w:hint="eastAsia" w:ascii="宋体" w:hAnsi="宋体" w:cs="宋体"/>
          <w:color w:val="auto"/>
          <w:sz w:val="24"/>
          <w:highlight w:val="none"/>
          <w:lang w:val="en-US" w:eastAsia="zh-CN"/>
        </w:rPr>
        <w:t>  </w:t>
      </w:r>
      <w:r>
        <w:rPr>
          <w:rFonts w:hint="eastAsia" w:ascii="宋体" w:hAnsi="宋体" w:cs="宋体"/>
          <w:color w:val="000000"/>
          <w:sz w:val="24"/>
          <w:lang w:val="en-US" w:eastAsia="zh-CN"/>
        </w:rPr>
        <w:t xml:space="preserve"> </w:t>
      </w:r>
    </w:p>
    <w:p w14:paraId="74AD8175">
      <w:pPr>
        <w:widowControl/>
        <w:shd w:val="clear" w:color="auto" w:fill="auto"/>
        <w:wordWrap/>
        <w:snapToGrid/>
        <w:spacing w:line="336" w:lineRule="auto"/>
        <w:ind w:firstLine="480" w:firstLineChars="200"/>
        <w:jc w:val="left"/>
        <w:textAlignment w:val="auto"/>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质疑联系人：徐庭巧</w:t>
      </w:r>
      <w:r>
        <w:rPr>
          <w:rFonts w:hint="eastAsia" w:ascii="宋体" w:hAnsi="宋体" w:cs="宋体"/>
          <w:b w:val="0"/>
          <w:bCs w:val="0"/>
          <w:color w:val="auto"/>
          <w:sz w:val="24"/>
          <w:highlight w:val="none"/>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auto"/>
          <w:sz w:val="24"/>
          <w:highlight w:val="none"/>
          <w:lang w:eastAsia="zh-CN"/>
        </w:rPr>
        <w:t xml:space="preserve">   </w:t>
      </w:r>
      <w:r>
        <w:rPr>
          <w:rFonts w:hint="eastAsia" w:ascii="宋体" w:hAnsi="宋体" w:eastAsia="宋体" w:cs="宋体"/>
          <w:b w:val="0"/>
          <w:bCs w:val="0"/>
          <w:color w:val="auto"/>
          <w:sz w:val="24"/>
          <w:highlight w:val="none"/>
        </w:rPr>
        <w:t xml:space="preserve">       </w:t>
      </w: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w:t>
      </w:r>
      <w:r>
        <w:rPr>
          <w:rFonts w:hint="eastAsia" w:ascii="宋体" w:hAnsi="宋体" w:cs="宋体"/>
          <w:color w:val="000000"/>
          <w:sz w:val="24"/>
          <w:lang w:val="en-US" w:eastAsia="zh-CN"/>
        </w:rPr>
        <w:t>0571-89517914</w:t>
      </w:r>
    </w:p>
    <w:p w14:paraId="0FD82FAE">
      <w:pPr>
        <w:wordWrap/>
        <w:snapToGrid/>
        <w:spacing w:line="336" w:lineRule="auto"/>
        <w:ind w:firstLine="482" w:firstLineChars="200"/>
        <w:textAlignment w:val="auto"/>
        <w:rPr>
          <w:rFonts w:hint="eastAsia" w:ascii="宋体" w:hAnsi="宋体" w:eastAsia="宋体" w:cs="宋体"/>
          <w:b/>
          <w:bCs/>
          <w:color w:val="auto"/>
          <w:sz w:val="24"/>
          <w:highlight w:val="none"/>
          <w:lang w:val="en-US" w:eastAsia="zh-CN"/>
        </w:rPr>
      </w:pPr>
    </w:p>
    <w:p w14:paraId="28B1A836">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3ED39234">
      <w:pPr>
        <w:wordWrap/>
        <w:snapToGrid/>
        <w:spacing w:line="336" w:lineRule="auto"/>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杭州正鸿工程咨询有限公司</w:t>
      </w:r>
    </w:p>
    <w:p w14:paraId="69B27D3B">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杭州市余杭区仓前街道龙园路88号1幢1楼186室</w:t>
      </w:r>
    </w:p>
    <w:p w14:paraId="68FFBE80">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贺胜杰</w:t>
      </w:r>
      <w:r>
        <w:rPr>
          <w:rFonts w:hint="eastAsia" w:ascii="宋体" w:hAnsi="宋体" w:eastAsia="宋体" w:cs="宋体"/>
          <w:b w:val="0"/>
          <w:bCs w:val="0"/>
          <w:color w:val="auto"/>
          <w:kern w:val="2"/>
          <w:sz w:val="24"/>
          <w:szCs w:val="24"/>
          <w:highlight w:val="none"/>
          <w:lang w:val="en-US" w:eastAsia="zh-CN" w:bidi="ar-SA"/>
        </w:rPr>
        <w:t xml:space="preserve">    联系方式</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13738009078</w:t>
      </w:r>
    </w:p>
    <w:p w14:paraId="4ED4CF15">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w:t>
      </w:r>
      <w:r>
        <w:rPr>
          <w:rFonts w:hint="eastAsia" w:ascii="宋体" w:hAnsi="宋体" w:cs="宋体"/>
          <w:color w:val="auto"/>
          <w:sz w:val="24"/>
          <w:highlight w:val="none"/>
          <w:lang w:val="en-US" w:eastAsia="zh-CN"/>
        </w:rPr>
        <w:t>王工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rPr>
        <w:t>联系方式：</w:t>
      </w:r>
      <w:r>
        <w:rPr>
          <w:rFonts w:hint="eastAsia" w:ascii="宋体" w:hAnsi="宋体" w:cs="宋体"/>
          <w:color w:val="auto"/>
          <w:sz w:val="24"/>
          <w:highlight w:val="none"/>
          <w:lang w:val="en-US" w:eastAsia="zh-CN"/>
        </w:rPr>
        <w:t>13805738712</w:t>
      </w:r>
    </w:p>
    <w:p w14:paraId="02176F56">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   </w:t>
      </w:r>
    </w:p>
    <w:p w14:paraId="1D108368">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3FBE805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bookmarkStart w:id="12" w:name="OLE_LINK1"/>
      <w:r>
        <w:rPr>
          <w:rFonts w:hint="eastAsia" w:ascii="宋体" w:hAnsi="宋体" w:eastAsia="宋体" w:cs="宋体"/>
          <w:color w:val="auto"/>
          <w:sz w:val="24"/>
          <w:highlight w:val="none"/>
        </w:rPr>
        <w:t>杭州市余杭区财政局、浙江省政府采购行政裁决服务中心</w:t>
      </w:r>
      <w:bookmarkEnd w:id="12"/>
      <w:r>
        <w:rPr>
          <w:rFonts w:hint="eastAsia" w:ascii="宋体" w:hAnsi="宋体" w:eastAsia="宋体" w:cs="宋体"/>
          <w:color w:val="auto"/>
          <w:sz w:val="24"/>
          <w:highlight w:val="none"/>
        </w:rPr>
        <w:t>（杭州）</w:t>
      </w:r>
    </w:p>
    <w:p w14:paraId="33B41DA2">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地址：</w:t>
      </w:r>
      <w:r>
        <w:rPr>
          <w:rFonts w:hint="eastAsia" w:ascii="宋体" w:hAnsi="宋体" w:eastAsia="宋体" w:cs="宋体"/>
          <w:color w:val="auto"/>
          <w:sz w:val="24"/>
          <w:highlight w:val="none"/>
          <w:lang w:eastAsia="zh-CN"/>
        </w:rPr>
        <w:t>杭州市上城区清泰街549号城建综合大楼11楼（快递仅限ems或顺丰）</w:t>
      </w:r>
    </w:p>
    <w:p w14:paraId="131FD20D">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val="en-US" w:eastAsia="zh-CN"/>
        </w:rPr>
        <w:t xml:space="preserve">匡老师          </w:t>
      </w:r>
      <w:r>
        <w:rPr>
          <w:rFonts w:hint="eastAsia" w:ascii="宋体" w:hAnsi="宋体" w:eastAsia="宋体" w:cs="宋体"/>
          <w:color w:val="auto"/>
          <w:sz w:val="24"/>
          <w:highlight w:val="none"/>
        </w:rPr>
        <w:t>监督投诉电话：</w:t>
      </w:r>
      <w:r>
        <w:rPr>
          <w:rFonts w:hint="eastAsia" w:ascii="宋体" w:hAnsi="宋体" w:eastAsia="宋体" w:cs="宋体"/>
          <w:color w:val="auto"/>
          <w:sz w:val="24"/>
          <w:highlight w:val="none"/>
          <w:lang w:eastAsia="zh-CN"/>
        </w:rPr>
        <w:t xml:space="preserve">0571-87807798 </w:t>
      </w:r>
      <w:r>
        <w:rPr>
          <w:rFonts w:hint="eastAsia" w:ascii="宋体" w:hAnsi="宋体" w:eastAsia="宋体" w:cs="宋体"/>
          <w:color w:val="auto"/>
          <w:sz w:val="24"/>
          <w:highlight w:val="none"/>
        </w:rPr>
        <w:t xml:space="preserve">   </w:t>
      </w:r>
    </w:p>
    <w:p w14:paraId="4FAF4D44">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24B1CBFC">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546F1AC">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0569BE78">
      <w:pPr>
        <w:spacing w:line="360" w:lineRule="auto"/>
        <w:ind w:firstLine="723" w:firstLineChars="20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12815109">
      <w:pPr>
        <w:pStyle w:val="2"/>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第二部分</w:t>
      </w:r>
      <w:bookmarkEnd w:id="7"/>
      <w:r>
        <w:rPr>
          <w:rFonts w:hint="eastAsia" w:ascii="宋体" w:hAnsi="宋体" w:eastAsia="宋体" w:cs="宋体"/>
          <w:color w:val="auto"/>
          <w:sz w:val="36"/>
          <w:szCs w:val="20"/>
          <w:highlight w:val="none"/>
        </w:rPr>
        <w:t xml:space="preserve"> 投标人须知</w:t>
      </w:r>
      <w:bookmarkEnd w:id="8"/>
    </w:p>
    <w:p w14:paraId="4AD229A9">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bookmarkEnd w:id="9"/>
    <w:tbl>
      <w:tblPr>
        <w:tblStyle w:val="63"/>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784E7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rPr>
        <w:tc>
          <w:tcPr>
            <w:tcW w:w="820" w:type="dxa"/>
            <w:tcBorders>
              <w:top w:val="single" w:color="auto" w:sz="4" w:space="0"/>
              <w:left w:val="single" w:color="auto" w:sz="4" w:space="0"/>
              <w:bottom w:val="single" w:color="auto" w:sz="4" w:space="0"/>
              <w:right w:val="single" w:color="auto" w:sz="4" w:space="0"/>
            </w:tcBorders>
            <w:vAlign w:val="center"/>
          </w:tcPr>
          <w:p w14:paraId="03452EB5">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bookmarkStart w:id="13" w:name="第三部分"/>
            <w:bookmarkStart w:id="14" w:name="_Toc164416483"/>
            <w:r>
              <w:rPr>
                <w:rFonts w:hint="eastAsia" w:ascii="宋体" w:hAnsi="宋体" w:eastAsia="宋体" w:cs="宋体"/>
                <w:b/>
                <w:color w:val="auto"/>
                <w:sz w:val="24"/>
                <w:szCs w:val="20"/>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309AFE8">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3A4D016B">
            <w:pPr>
              <w:snapToGrid w:val="0"/>
              <w:spacing w:before="0" w:beforeAutospacing="0" w:after="0" w:afterAutospacing="0" w:line="24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本项目的特别规定</w:t>
            </w:r>
          </w:p>
        </w:tc>
      </w:tr>
      <w:tr w14:paraId="48BAE9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287D7F1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6596597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3A5EF4ED">
            <w:pPr>
              <w:spacing w:before="0" w:beforeAutospacing="0" w:after="0" w:afterAutospacing="0" w:line="360" w:lineRule="auto"/>
              <w:ind w:left="0" w:right="0" w:firstLine="241" w:firstLineChars="100"/>
              <w:jc w:val="both"/>
              <w:rPr>
                <w:rFonts w:hint="eastAsia" w:ascii="宋体" w:hAnsi="宋体" w:eastAsia="宋体" w:cs="宋体"/>
                <w:color w:val="auto"/>
                <w:sz w:val="24"/>
                <w:szCs w:val="20"/>
                <w:highlight w:val="none"/>
              </w:rPr>
            </w:pPr>
            <w:r>
              <w:rPr>
                <w:rFonts w:hint="eastAsia" w:ascii="宋体" w:hAnsi="宋体" w:eastAsia="宋体" w:cs="宋体"/>
                <w:b/>
                <w:bCs/>
                <w:color w:val="auto"/>
                <w:sz w:val="24"/>
                <w:szCs w:val="20"/>
                <w:highlight w:val="none"/>
              </w:rPr>
              <w:t>服务类</w:t>
            </w:r>
            <w:r>
              <w:rPr>
                <w:rFonts w:hint="eastAsia" w:ascii="宋体" w:hAnsi="宋体" w:eastAsia="宋体" w:cs="宋体"/>
                <w:b/>
                <w:bCs/>
                <w:color w:val="auto"/>
                <w:sz w:val="24"/>
                <w:szCs w:val="20"/>
                <w:highlight w:val="none"/>
                <w:lang w:val="en-US" w:eastAsia="zh-CN"/>
              </w:rPr>
              <w:t>；</w:t>
            </w:r>
          </w:p>
        </w:tc>
      </w:tr>
      <w:tr w14:paraId="713FFF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75" w:hRule="atLeast"/>
        </w:trPr>
        <w:tc>
          <w:tcPr>
            <w:tcW w:w="820" w:type="dxa"/>
            <w:tcBorders>
              <w:top w:val="single" w:color="auto" w:sz="4" w:space="0"/>
              <w:left w:val="single" w:color="auto" w:sz="4" w:space="0"/>
              <w:bottom w:val="single" w:color="auto" w:sz="4" w:space="0"/>
              <w:right w:val="single" w:color="auto" w:sz="4" w:space="0"/>
            </w:tcBorders>
            <w:vAlign w:val="center"/>
          </w:tcPr>
          <w:p w14:paraId="21797C9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0BAED485">
            <w:pPr>
              <w:snapToGrid w:val="0"/>
              <w:spacing w:before="0" w:beforeAutospacing="0" w:after="0" w:afterAutospacing="0" w:line="264"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376F17C0">
            <w:pPr>
              <w:numPr>
                <w:ilvl w:val="0"/>
                <w:numId w:val="0"/>
              </w:numPr>
              <w:snapToGrid w:val="0"/>
              <w:spacing w:before="0" w:beforeAutospacing="0" w:after="0" w:afterAutospacing="0" w:line="240" w:lineRule="auto"/>
              <w:ind w:left="0" w:right="0" w:firstLine="240" w:firstLineChars="10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标的：</w:t>
            </w:r>
            <w:r>
              <w:rPr>
                <w:rFonts w:hint="eastAsia" w:ascii="宋体" w:hAnsi="宋体" w:cs="宋体"/>
                <w:color w:val="auto"/>
                <w:kern w:val="0"/>
                <w:sz w:val="24"/>
                <w:szCs w:val="20"/>
                <w:highlight w:val="none"/>
                <w:u w:val="single"/>
                <w:lang w:eastAsia="zh-CN"/>
              </w:rPr>
              <w:t>杭州市余杭区市场监督管理局产品商品检测服务采购项目</w:t>
            </w:r>
            <w:r>
              <w:rPr>
                <w:rFonts w:hint="eastAsia" w:ascii="宋体" w:hAnsi="宋体" w:eastAsia="宋体" w:cs="宋体"/>
                <w:color w:val="auto"/>
                <w:kern w:val="0"/>
                <w:sz w:val="24"/>
                <w:szCs w:val="20"/>
                <w:highlight w:val="none"/>
                <w:u w:val="single"/>
                <w:lang w:eastAsia="zh-CN"/>
              </w:rPr>
              <w:t>；</w:t>
            </w:r>
            <w:r>
              <w:rPr>
                <w:rFonts w:hint="eastAsia" w:ascii="宋体" w:hAnsi="宋体" w:eastAsia="宋体" w:cs="宋体"/>
                <w:color w:val="auto"/>
                <w:kern w:val="0"/>
                <w:sz w:val="24"/>
                <w:szCs w:val="20"/>
                <w:highlight w:val="none"/>
              </w:rPr>
              <w:t>属于</w:t>
            </w:r>
            <w:r>
              <w:rPr>
                <w:rFonts w:hint="eastAsia" w:ascii="宋体" w:hAnsi="宋体" w:eastAsia="宋体" w:cs="宋体"/>
                <w:color w:val="auto"/>
                <w:kern w:val="0"/>
                <w:sz w:val="24"/>
                <w:szCs w:val="20"/>
                <w:highlight w:val="none"/>
                <w:u w:val="single"/>
                <w:lang w:val="en-US" w:eastAsia="zh-CN"/>
              </w:rPr>
              <w:t xml:space="preserve"> </w:t>
            </w:r>
            <w:r>
              <w:rPr>
                <w:rFonts w:hint="eastAsia" w:ascii="宋体" w:hAnsi="宋体" w:cs="宋体"/>
                <w:color w:val="auto"/>
                <w:kern w:val="0"/>
                <w:sz w:val="24"/>
                <w:szCs w:val="24"/>
                <w:highlight w:val="none"/>
                <w:u w:val="single"/>
              </w:rPr>
              <w:t>其他未列明</w:t>
            </w:r>
            <w:r>
              <w:rPr>
                <w:rFonts w:hint="eastAsia" w:ascii="宋体" w:hAnsi="宋体" w:eastAsia="宋体" w:cs="宋体"/>
                <w:color w:val="auto"/>
                <w:kern w:val="0"/>
                <w:sz w:val="24"/>
                <w:szCs w:val="20"/>
                <w:highlight w:val="none"/>
              </w:rPr>
              <w:t>；</w:t>
            </w:r>
          </w:p>
          <w:p w14:paraId="1C380441">
            <w:pPr>
              <w:pStyle w:val="623"/>
              <w:widowControl w:val="0"/>
              <w:numPr>
                <w:ilvl w:val="0"/>
                <w:numId w:val="0"/>
              </w:numPr>
              <w:tabs>
                <w:tab w:val="left" w:pos="1070"/>
              </w:tabs>
              <w:wordWrap/>
              <w:adjustRightInd w:val="0"/>
              <w:snapToGrid/>
              <w:spacing w:before="0" w:beforeAutospacing="0" w:after="0" w:afterAutospacing="0" w:line="240" w:lineRule="auto"/>
              <w:ind w:left="422" w:right="52" w:hanging="482" w:hangingChars="200"/>
              <w:jc w:val="both"/>
              <w:textAlignment w:val="auto"/>
              <w:rPr>
                <w:rFonts w:hint="eastAsia" w:ascii="宋体" w:hAnsi="宋体" w:eastAsia="宋体" w:cs="宋体"/>
                <w:b/>
                <w:bCs/>
                <w:color w:val="auto"/>
                <w:sz w:val="24"/>
                <w:szCs w:val="20"/>
                <w:highlight w:val="none"/>
                <w:shd w:val="clear" w:color="auto" w:fill="FFFFFF"/>
                <w:lang w:val="zh-CN" w:bidi="zh-CN"/>
              </w:rPr>
            </w:pPr>
            <w:r>
              <w:rPr>
                <w:rFonts w:hint="eastAsia" w:ascii="宋体" w:hAnsi="宋体" w:eastAsia="宋体" w:cs="宋体"/>
                <w:b/>
                <w:bCs/>
                <w:color w:val="auto"/>
                <w:sz w:val="24"/>
                <w:szCs w:val="20"/>
                <w:highlight w:val="none"/>
                <w:shd w:val="clear" w:color="auto" w:fill="FFFFFF"/>
                <w:lang w:val="zh-CN" w:bidi="zh-CN"/>
              </w:rPr>
              <w:t>　　</w:t>
            </w:r>
          </w:p>
          <w:p w14:paraId="3D47C133">
            <w:pPr>
              <w:pStyle w:val="623"/>
              <w:widowControl w:val="0"/>
              <w:tabs>
                <w:tab w:val="left" w:pos="1070"/>
              </w:tabs>
              <w:wordWrap/>
              <w:snapToGrid/>
              <w:spacing w:before="0" w:beforeAutospacing="0" w:after="0" w:afterAutospacing="0" w:line="360" w:lineRule="auto"/>
              <w:ind w:left="0" w:right="52" w:firstLine="24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根据《关于印发中小企业划型标准规定的通知》（工信部联企业〔2011〕300）第四条第（</w:t>
            </w:r>
            <w:r>
              <w:rPr>
                <w:rFonts w:hint="eastAsia" w:ascii="宋体" w:hAnsi="宋体" w:cs="宋体"/>
                <w:color w:val="auto"/>
                <w:sz w:val="24"/>
                <w:szCs w:val="24"/>
                <w:highlight w:val="none"/>
                <w:lang w:val="en-US" w:eastAsia="zh-CN"/>
              </w:rPr>
              <w:t>十六</w:t>
            </w:r>
            <w:r>
              <w:rPr>
                <w:rFonts w:hint="eastAsia" w:ascii="宋体" w:hAnsi="宋体" w:eastAsia="宋体" w:cs="宋体"/>
                <w:color w:val="auto"/>
                <w:sz w:val="24"/>
                <w:szCs w:val="24"/>
                <w:highlight w:val="none"/>
                <w:lang w:val="en-US" w:eastAsia="zh-CN"/>
              </w:rPr>
              <w:t>）项规定</w:t>
            </w:r>
            <w:bookmarkStart w:id="15" w:name="OLE_LINK11"/>
            <w:r>
              <w:rPr>
                <w:rFonts w:hint="eastAsia" w:ascii="宋体" w:hAnsi="宋体" w:eastAsia="宋体" w:cs="宋体"/>
                <w:color w:val="auto"/>
                <w:sz w:val="24"/>
                <w:szCs w:val="24"/>
                <w:highlight w:val="none"/>
                <w:lang w:val="en-US" w:eastAsia="zh-CN"/>
              </w:rPr>
              <w:t>：</w:t>
            </w:r>
            <w:bookmarkEnd w:id="15"/>
            <w:r>
              <w:rPr>
                <w:rFonts w:hint="eastAsia" w:ascii="宋体" w:hAnsi="宋体" w:eastAsia="宋体" w:cs="宋体"/>
                <w:b w:val="0"/>
                <w:bCs w:val="0"/>
                <w:color w:val="auto"/>
                <w:kern w:val="0"/>
                <w:sz w:val="24"/>
                <w:szCs w:val="24"/>
                <w:highlight w:val="none"/>
                <w:lang w:val="en-US" w:eastAsia="zh-CN"/>
              </w:rPr>
              <w:t>其他未列明行业。从业人员300人以下的为中小微型企业。其中，从业人员100人及以上的为中型企业；从业人员10人及以上的为小型企业；从业人员10人以下的为微型企业。</w:t>
            </w:r>
          </w:p>
        </w:tc>
      </w:tr>
      <w:tr w14:paraId="2A27F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tcBorders>
              <w:top w:val="single" w:color="auto" w:sz="4" w:space="0"/>
              <w:left w:val="single" w:color="auto" w:sz="4" w:space="0"/>
              <w:bottom w:val="single" w:color="auto" w:sz="4" w:space="0"/>
              <w:right w:val="single" w:color="auto" w:sz="4" w:space="0"/>
            </w:tcBorders>
            <w:vAlign w:val="top"/>
          </w:tcPr>
          <w:p w14:paraId="79EA8E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855CA6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6DDEFC65">
            <w:pPr>
              <w:snapToGrid/>
              <w:spacing w:before="0" w:beforeAutospacing="0" w:after="0" w:afterAutospacing="0" w:line="312"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rPr>
              <w:t>是否允许采购进口产品</w:t>
            </w:r>
            <w:r>
              <w:rPr>
                <w:rFonts w:hint="eastAsia" w:ascii="宋体" w:hAnsi="宋体" w:eastAsia="宋体" w:cs="宋体"/>
                <w:b/>
                <w:color w:val="auto"/>
                <w:sz w:val="24"/>
                <w:szCs w:val="20"/>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75F5DE39">
            <w:pPr>
              <w:spacing w:before="0" w:beforeAutospacing="0" w:after="0" w:afterAutospacing="0" w:line="312" w:lineRule="auto"/>
              <w:ind w:left="0" w:right="0"/>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sym w:font="Wingdings" w:char="F0FE"/>
            </w:r>
            <w:r>
              <w:rPr>
                <w:rFonts w:hint="eastAsia" w:ascii="宋体" w:hAnsi="宋体" w:eastAsia="宋体" w:cs="宋体"/>
                <w:color w:val="auto"/>
                <w:kern w:val="0"/>
                <w:sz w:val="24"/>
                <w:szCs w:val="20"/>
                <w:highlight w:val="none"/>
              </w:rPr>
              <w:t>本项目不允许采购进口产品。</w:t>
            </w:r>
          </w:p>
          <w:p w14:paraId="2DF2BADE">
            <w:pPr>
              <w:spacing w:before="0" w:beforeAutospacing="0" w:after="0" w:afterAutospacing="0" w:line="312"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☐可以就</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kern w:val="0"/>
                <w:sz w:val="24"/>
                <w:szCs w:val="20"/>
                <w:highlight w:val="none"/>
              </w:rPr>
              <w:t>采购进口产品。</w:t>
            </w:r>
          </w:p>
        </w:tc>
      </w:tr>
      <w:tr w14:paraId="5318F9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8" w:hRule="atLeast"/>
        </w:trPr>
        <w:tc>
          <w:tcPr>
            <w:tcW w:w="820" w:type="dxa"/>
            <w:tcBorders>
              <w:top w:val="single" w:color="auto" w:sz="4" w:space="0"/>
              <w:left w:val="single" w:color="auto" w:sz="4" w:space="0"/>
              <w:bottom w:val="single" w:color="auto" w:sz="4" w:space="0"/>
              <w:right w:val="single" w:color="auto" w:sz="4" w:space="0"/>
            </w:tcBorders>
            <w:vAlign w:val="center"/>
          </w:tcPr>
          <w:p w14:paraId="6F54098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05FCC87">
            <w:pPr>
              <w:snapToGrid/>
              <w:spacing w:before="0" w:beforeAutospacing="0" w:after="0" w:afterAutospacing="0" w:line="360" w:lineRule="auto"/>
              <w:ind w:left="0" w:right="0" w:firstLine="482" w:firstLineChars="200"/>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0BBE798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A8"/>
            </w:r>
            <w:r>
              <w:rPr>
                <w:rFonts w:hint="eastAsia" w:ascii="宋体" w:hAnsi="宋体" w:eastAsia="宋体" w:cs="宋体"/>
                <w:color w:val="auto"/>
                <w:kern w:val="0"/>
                <w:sz w:val="24"/>
                <w:szCs w:val="20"/>
                <w:highlight w:val="none"/>
              </w:rPr>
              <w:t xml:space="preserve"> A</w:t>
            </w:r>
            <w:r>
              <w:rPr>
                <w:rFonts w:hint="eastAsia" w:ascii="宋体" w:hAnsi="宋体" w:eastAsia="宋体" w:cs="宋体"/>
                <w:color w:val="auto"/>
                <w:sz w:val="24"/>
                <w:szCs w:val="20"/>
                <w:highlight w:val="none"/>
              </w:rPr>
              <w:t>同意将非主体、非关键性的</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u w:val="single"/>
                <w:lang w:val="en-US" w:eastAsia="zh-CN"/>
              </w:rPr>
              <w:t xml:space="preserve"> </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工作分包。</w:t>
            </w:r>
          </w:p>
          <w:p w14:paraId="7DB22B7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 xml:space="preserve"> B</w:t>
            </w:r>
            <w:r>
              <w:rPr>
                <w:rFonts w:hint="eastAsia" w:ascii="宋体" w:hAnsi="宋体" w:eastAsia="宋体" w:cs="宋体"/>
                <w:color w:val="auto"/>
                <w:sz w:val="24"/>
                <w:szCs w:val="20"/>
                <w:highlight w:val="none"/>
              </w:rPr>
              <w:t>不同意分包。</w:t>
            </w:r>
          </w:p>
        </w:tc>
      </w:tr>
      <w:tr w14:paraId="3EF79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3" w:hRule="atLeast"/>
        </w:trPr>
        <w:tc>
          <w:tcPr>
            <w:tcW w:w="820" w:type="dxa"/>
            <w:tcBorders>
              <w:top w:val="single" w:color="auto" w:sz="4" w:space="0"/>
              <w:left w:val="single" w:color="auto" w:sz="4" w:space="0"/>
              <w:bottom w:val="single" w:color="auto" w:sz="4" w:space="0"/>
              <w:right w:val="single" w:color="auto" w:sz="4" w:space="0"/>
            </w:tcBorders>
            <w:vAlign w:val="top"/>
          </w:tcPr>
          <w:p w14:paraId="50792E0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87EC3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2E1FB3A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24760CF0">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01178699">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不组织</w:t>
            </w:r>
            <w:r>
              <w:rPr>
                <w:rFonts w:hint="eastAsia" w:ascii="宋体" w:hAnsi="宋体" w:eastAsia="宋体" w:cs="宋体"/>
                <w:color w:val="auto"/>
                <w:sz w:val="24"/>
                <w:szCs w:val="20"/>
                <w:highlight w:val="none"/>
                <w:lang w:eastAsia="zh-CN"/>
              </w:rPr>
              <w:t>，自行勘察</w:t>
            </w:r>
            <w:r>
              <w:rPr>
                <w:rFonts w:hint="eastAsia" w:ascii="宋体" w:hAnsi="宋体" w:eastAsia="宋体" w:cs="宋体"/>
                <w:color w:val="auto"/>
                <w:sz w:val="24"/>
                <w:szCs w:val="20"/>
                <w:highlight w:val="none"/>
              </w:rPr>
              <w:t>。</w:t>
            </w:r>
          </w:p>
          <w:p w14:paraId="2765ABBD">
            <w:pPr>
              <w:spacing w:before="0" w:beforeAutospacing="0" w:after="0" w:afterAutospacing="0" w:line="360" w:lineRule="auto"/>
              <w:ind w:left="0" w:right="0"/>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0"/>
                <w:highlight w:val="none"/>
              </w:rPr>
              <w:t>☐B组织，</w:t>
            </w:r>
            <w:r>
              <w:rPr>
                <w:rFonts w:hint="eastAsia" w:ascii="宋体" w:hAnsi="宋体" w:eastAsia="宋体" w:cs="宋体"/>
                <w:color w:val="auto"/>
                <w:sz w:val="24"/>
                <w:szCs w:val="20"/>
                <w:highlight w:val="none"/>
              </w:rPr>
              <w:t>时间：</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,地点：</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，联系人：</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，联系方式：</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4"/>
                <w:highlight w:val="none"/>
              </w:rPr>
              <w:t>。</w:t>
            </w:r>
          </w:p>
          <w:p w14:paraId="29F51332">
            <w:pPr>
              <w:pStyle w:val="83"/>
              <w:widowControl/>
              <w:spacing w:before="0" w:beforeAutospacing="0" w:after="0" w:afterAutospacing="0"/>
              <w:ind w:left="0" w:right="0" w:firstLine="0" w:firstLineChars="0"/>
              <w:rPr>
                <w:rFonts w:hint="eastAsia" w:ascii="Times New Roman" w:hAnsi="Times New Roman" w:cs="Times New Roman"/>
                <w:sz w:val="20"/>
                <w:szCs w:val="20"/>
                <w:highlight w:val="none"/>
              </w:rPr>
            </w:pPr>
            <w:r>
              <w:rPr>
                <w:rFonts w:hint="eastAsia" w:ascii="宋体" w:hAnsi="宋体" w:eastAsia="宋体" w:cs="宋体"/>
                <w:color w:val="000000"/>
                <w:sz w:val="24"/>
                <w:szCs w:val="24"/>
                <w:highlight w:val="none"/>
                <w:lang w:eastAsia="zh-CN"/>
              </w:rPr>
              <w:t xml:space="preserve">☐C不统一组织，供应商在获取采购文件后，自行至项目现场考察。地点： ，联系人： ，联系方式： </w:t>
            </w:r>
          </w:p>
        </w:tc>
      </w:tr>
      <w:tr w14:paraId="77657D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auto" w:sz="4" w:space="0"/>
              <w:bottom w:val="single" w:color="auto" w:sz="4" w:space="0"/>
              <w:right w:val="single" w:color="auto" w:sz="4" w:space="0"/>
            </w:tcBorders>
            <w:vAlign w:val="center"/>
          </w:tcPr>
          <w:p w14:paraId="79C1201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39EB623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714CA438">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3523F8FB">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sym w:font="Wingdings" w:char="00FE"/>
            </w:r>
            <w:r>
              <w:rPr>
                <w:rFonts w:hint="eastAsia" w:ascii="宋体" w:hAnsi="宋体" w:eastAsia="宋体" w:cs="宋体"/>
                <w:color w:val="auto"/>
                <w:kern w:val="0"/>
                <w:sz w:val="24"/>
                <w:szCs w:val="20"/>
                <w:highlight w:val="none"/>
              </w:rPr>
              <w:t>A</w:t>
            </w:r>
            <w:r>
              <w:rPr>
                <w:rFonts w:hint="eastAsia" w:ascii="宋体" w:hAnsi="宋体" w:eastAsia="宋体" w:cs="宋体"/>
                <w:color w:val="auto"/>
                <w:sz w:val="24"/>
                <w:szCs w:val="20"/>
                <w:highlight w:val="none"/>
              </w:rPr>
              <w:t>不要求提供。</w:t>
            </w:r>
          </w:p>
          <w:p w14:paraId="325E5E09">
            <w:pPr>
              <w:spacing w:before="0" w:beforeAutospacing="0" w:after="0" w:afterAutospacing="0"/>
              <w:ind w:left="0" w:right="0"/>
              <w:rPr>
                <w:rFonts w:hint="eastAsia" w:ascii="宋体" w:hAnsi="宋体" w:eastAsia="宋体" w:cs="宋体"/>
                <w:sz w:val="20"/>
                <w:szCs w:val="20"/>
                <w:highlight w:val="none"/>
                <w:lang w:eastAsia="zh-CN"/>
              </w:rPr>
            </w:pPr>
            <w:r>
              <w:rPr>
                <w:rFonts w:hint="eastAsia" w:ascii="宋体" w:hAnsi="宋体" w:eastAsia="宋体" w:cs="宋体"/>
                <w:color w:val="auto"/>
                <w:kern w:val="0"/>
                <w:sz w:val="24"/>
                <w:szCs w:val="20"/>
                <w:highlight w:val="none"/>
              </w:rPr>
              <w:sym w:font="Wingdings" w:char="00A8"/>
            </w:r>
            <w:r>
              <w:rPr>
                <w:rFonts w:hint="eastAsia" w:ascii="宋体" w:hAnsi="宋体" w:eastAsia="宋体" w:cs="宋体"/>
                <w:color w:val="auto"/>
                <w:kern w:val="0"/>
                <w:sz w:val="24"/>
                <w:szCs w:val="20"/>
                <w:highlight w:val="none"/>
              </w:rPr>
              <w:t>B要求提供</w:t>
            </w:r>
            <w:r>
              <w:rPr>
                <w:rFonts w:hint="eastAsia" w:ascii="宋体" w:hAnsi="宋体" w:eastAsia="宋体" w:cs="宋体"/>
                <w:color w:val="auto"/>
                <w:kern w:val="0"/>
                <w:sz w:val="24"/>
                <w:szCs w:val="20"/>
                <w:highlight w:val="none"/>
                <w:lang w:eastAsia="zh-CN"/>
              </w:rPr>
              <w:t>。</w:t>
            </w:r>
          </w:p>
        </w:tc>
      </w:tr>
      <w:tr w14:paraId="5EF32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rPr>
        <w:tc>
          <w:tcPr>
            <w:tcW w:w="820" w:type="dxa"/>
            <w:tcBorders>
              <w:top w:val="single" w:color="auto" w:sz="4" w:space="0"/>
              <w:left w:val="single" w:color="auto" w:sz="4" w:space="0"/>
              <w:bottom w:val="single" w:color="auto" w:sz="4" w:space="0"/>
              <w:right w:val="single" w:color="auto" w:sz="4" w:space="0"/>
            </w:tcBorders>
            <w:vAlign w:val="center"/>
          </w:tcPr>
          <w:p w14:paraId="10F5A61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503D02FA">
            <w:pPr>
              <w:snapToGrid/>
              <w:spacing w:before="0" w:beforeAutospacing="0" w:after="0" w:afterAutospacing="0" w:line="360" w:lineRule="auto"/>
              <w:ind w:left="0" w:right="0"/>
              <w:jc w:val="center"/>
              <w:rPr>
                <w:rFonts w:hint="eastAsia" w:ascii="宋体" w:hAnsi="宋体" w:eastAsia="宋体" w:cs="宋体"/>
                <w:bCs/>
                <w:color w:val="auto"/>
                <w:sz w:val="24"/>
                <w:szCs w:val="20"/>
                <w:highlight w:val="none"/>
              </w:rPr>
            </w:pPr>
            <w:r>
              <w:rPr>
                <w:rFonts w:hint="eastAsia" w:ascii="宋体" w:hAnsi="宋体" w:eastAsia="宋体" w:cs="宋体"/>
                <w:b/>
                <w:color w:val="auto"/>
                <w:sz w:val="24"/>
                <w:szCs w:val="20"/>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30ECDA77">
            <w:pPr>
              <w:spacing w:before="0" w:beforeAutospacing="0" w:after="0" w:afterAutospacing="0" w:line="360" w:lineRule="auto"/>
              <w:ind w:left="0" w:right="0"/>
              <w:rPr>
                <w:rFonts w:hint="default" w:ascii="宋体" w:hAnsi="宋体" w:cs="宋体"/>
                <w:sz w:val="24"/>
                <w:szCs w:val="20"/>
              </w:rPr>
            </w:pPr>
            <w:r>
              <w:rPr>
                <w:rFonts w:hint="eastAsia" w:ascii="Wingdings" w:hAnsi="Wingdings" w:eastAsia="MS Gothic" w:cs="宋体"/>
                <w:kern w:val="0"/>
                <w:sz w:val="24"/>
                <w:szCs w:val="24"/>
                <w:lang w:val="en-US" w:eastAsia="zh-CN" w:bidi="ar-SA"/>
              </w:rPr>
              <w:t>þ</w:t>
            </w:r>
            <w:r>
              <w:rPr>
                <w:rFonts w:hint="eastAsia" w:ascii="宋体" w:hAnsi="宋体" w:cs="宋体"/>
                <w:kern w:val="0"/>
                <w:sz w:val="24"/>
                <w:szCs w:val="20"/>
              </w:rPr>
              <w:t>A</w:t>
            </w:r>
            <w:r>
              <w:rPr>
                <w:rFonts w:hint="eastAsia" w:ascii="宋体" w:hAnsi="宋体" w:cs="宋体"/>
                <w:sz w:val="24"/>
                <w:szCs w:val="20"/>
              </w:rPr>
              <w:t>不组织。</w:t>
            </w:r>
          </w:p>
          <w:p w14:paraId="4AA78287">
            <w:pPr>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☐B组织。</w:t>
            </w:r>
          </w:p>
          <w:p w14:paraId="41EF8352">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（1）在评标时安排每个投标人进行方案讲解演示。每个投标人时间不超过</w:t>
            </w:r>
            <w:r>
              <w:rPr>
                <w:rFonts w:hint="eastAsia" w:ascii="宋体" w:hAnsi="宋体" w:cs="宋体"/>
                <w:kern w:val="0"/>
                <w:sz w:val="24"/>
                <w:szCs w:val="20"/>
                <w:u w:val="single"/>
              </w:rPr>
              <w:t>20</w:t>
            </w:r>
            <w:r>
              <w:rPr>
                <w:rFonts w:hint="eastAsia" w:ascii="宋体" w:hAnsi="宋体" w:cs="宋体"/>
                <w:kern w:val="0"/>
                <w:sz w:val="24"/>
                <w:szCs w:val="20"/>
                <w:u w:val="single"/>
                <w:lang w:eastAsia="zh-CN"/>
              </w:rPr>
              <w:t>（</w:t>
            </w:r>
            <w:r>
              <w:rPr>
                <w:rFonts w:hint="eastAsia" w:ascii="宋体" w:hAnsi="宋体" w:cs="宋体"/>
                <w:kern w:val="0"/>
                <w:sz w:val="24"/>
                <w:szCs w:val="20"/>
                <w:u w:val="single"/>
                <w:lang w:val="en-US" w:eastAsia="zh-CN"/>
              </w:rPr>
              <w:t>编制时可根据项目情况进行调整</w:t>
            </w:r>
            <w:r>
              <w:rPr>
                <w:rFonts w:hint="eastAsia" w:ascii="宋体" w:hAnsi="宋体" w:cs="宋体"/>
                <w:kern w:val="0"/>
                <w:sz w:val="24"/>
                <w:szCs w:val="20"/>
                <w:u w:val="single"/>
                <w:lang w:eastAsia="zh-CN"/>
              </w:rPr>
              <w:t>）</w:t>
            </w:r>
            <w:r>
              <w:rPr>
                <w:rFonts w:hint="eastAsia" w:ascii="宋体" w:hAnsi="宋体" w:cs="宋体"/>
                <w:kern w:val="0"/>
                <w:sz w:val="24"/>
                <w:szCs w:val="20"/>
              </w:rPr>
              <w:t>分钟，讲解次序以投标文件解密时间先后次序为准，讲解演示人员不超过</w:t>
            </w:r>
            <w:r>
              <w:rPr>
                <w:rFonts w:hint="eastAsia" w:ascii="宋体" w:hAnsi="宋体" w:cs="宋体"/>
                <w:kern w:val="0"/>
                <w:sz w:val="24"/>
                <w:szCs w:val="20"/>
                <w:u w:val="single"/>
              </w:rPr>
              <w:t>3</w:t>
            </w:r>
            <w:r>
              <w:rPr>
                <w:rFonts w:hint="eastAsia" w:ascii="宋体" w:hAnsi="宋体" w:cs="宋体"/>
                <w:kern w:val="0"/>
                <w:sz w:val="24"/>
                <w:szCs w:val="20"/>
                <w:u w:val="single"/>
                <w:lang w:eastAsia="zh-CN"/>
              </w:rPr>
              <w:t>（</w:t>
            </w:r>
            <w:r>
              <w:rPr>
                <w:rFonts w:hint="eastAsia" w:ascii="宋体" w:hAnsi="宋体" w:cs="宋体"/>
                <w:kern w:val="0"/>
                <w:sz w:val="24"/>
                <w:szCs w:val="20"/>
                <w:u w:val="single"/>
                <w:lang w:val="en-US" w:eastAsia="zh-CN"/>
              </w:rPr>
              <w:t>编制时可根据项目情况进行调整</w:t>
            </w:r>
            <w:r>
              <w:rPr>
                <w:rFonts w:hint="eastAsia" w:ascii="宋体" w:hAnsi="宋体" w:cs="宋体"/>
                <w:kern w:val="0"/>
                <w:sz w:val="24"/>
                <w:szCs w:val="20"/>
                <w:u w:val="single"/>
                <w:lang w:eastAsia="zh-CN"/>
              </w:rPr>
              <w:t>）</w:t>
            </w:r>
            <w:r>
              <w:rPr>
                <w:rFonts w:hint="eastAsia" w:ascii="宋体" w:hAnsi="宋体" w:cs="宋体"/>
                <w:kern w:val="0"/>
                <w:sz w:val="24"/>
                <w:szCs w:val="20"/>
              </w:rPr>
              <w:t>人。讲解演示结束后按要求解答评标委员会提问。</w:t>
            </w:r>
          </w:p>
          <w:p w14:paraId="3C3A93FD">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（2）方案讲解演示可选择以下其中一种方式：</w:t>
            </w:r>
          </w:p>
          <w:p w14:paraId="742BB7B5">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方式一：政采云平台在线讲解演示。政采云平台在线讲解需投标人根据政采云平台操作要求做好准备工作，提前完善软硬件配置环境。</w:t>
            </w:r>
          </w:p>
          <w:p w14:paraId="4D9D1424">
            <w:pPr>
              <w:snapToGrid w:val="0"/>
              <w:spacing w:before="0" w:beforeAutospacing="0" w:after="0" w:afterAutospacing="0" w:line="360" w:lineRule="auto"/>
              <w:ind w:left="0" w:right="0"/>
              <w:rPr>
                <w:rFonts w:hint="default" w:ascii="宋体" w:hAnsi="宋体" w:cs="宋体"/>
                <w:kern w:val="0"/>
                <w:sz w:val="24"/>
                <w:szCs w:val="20"/>
              </w:rPr>
            </w:pPr>
            <w:r>
              <w:rPr>
                <w:rFonts w:hint="eastAsia" w:ascii="宋体" w:hAnsi="宋体" w:cs="宋体"/>
                <w:kern w:val="0"/>
                <w:sz w:val="24"/>
                <w:szCs w:val="20"/>
              </w:rPr>
              <w:t>方式二：交易中心现场讲解演示。现场讲解地点为</w:t>
            </w:r>
            <w:r>
              <w:rPr>
                <w:rFonts w:hint="eastAsia" w:ascii="宋体" w:hAnsi="宋体" w:cs="宋体"/>
                <w:sz w:val="24"/>
                <w:szCs w:val="20"/>
                <w:u w:val="single"/>
              </w:rPr>
              <w:t xml:space="preserve"> </w:t>
            </w:r>
            <w:r>
              <w:rPr>
                <w:rFonts w:hint="eastAsia" w:ascii="宋体" w:hAnsi="宋体" w:cs="宋体"/>
                <w:color w:val="FF0000"/>
                <w:sz w:val="24"/>
                <w:szCs w:val="20"/>
                <w:u w:val="single"/>
              </w:rPr>
              <w:t xml:space="preserve">     </w:t>
            </w:r>
            <w:r>
              <w:rPr>
                <w:rFonts w:hint="eastAsia" w:ascii="宋体" w:hAnsi="宋体" w:cs="宋体"/>
                <w:sz w:val="24"/>
                <w:szCs w:val="20"/>
                <w:u w:val="single"/>
              </w:rPr>
              <w:t xml:space="preserve"> </w:t>
            </w:r>
            <w:r>
              <w:rPr>
                <w:rFonts w:hint="eastAsia" w:ascii="宋体" w:hAnsi="宋体" w:cs="宋体"/>
                <w:kern w:val="0"/>
                <w:sz w:val="24"/>
                <w:szCs w:val="20"/>
              </w:rPr>
              <w:t>，讲解演示所用电脑等设备由投标人自备。现场讲解演示人员进场时提供讲解人员名单（加盖公章或授权代表签名）及身份证明，否则不得讲解演示。</w:t>
            </w:r>
          </w:p>
          <w:p w14:paraId="2564ACF1">
            <w:pPr>
              <w:spacing w:before="0" w:beforeAutospacing="0" w:after="0" w:afterAutospacing="0"/>
              <w:ind w:left="0" w:right="0"/>
              <w:rPr>
                <w:rFonts w:hint="eastAsia" w:ascii="宋体" w:hAnsi="宋体" w:eastAsia="宋体" w:cs="宋体"/>
                <w:b/>
                <w:color w:val="auto"/>
                <w:kern w:val="0"/>
                <w:sz w:val="24"/>
                <w:szCs w:val="20"/>
                <w:highlight w:val="none"/>
                <w:lang w:val="zh-CN" w:eastAsia="zh-CN"/>
              </w:rPr>
            </w:pPr>
            <w:r>
              <w:rPr>
                <w:rFonts w:hint="eastAsia" w:ascii="宋体" w:hAnsi="宋体" w:cs="宋体"/>
                <w:kern w:val="0"/>
                <w:sz w:val="24"/>
                <w:szCs w:val="20"/>
              </w:rPr>
              <w:t>注：因投标人自身原因导致无法演示或者演示效果不理想的，责任自负。因平台原因导致本项目方案讲解演示环节无法顺利开展，按照《浙江省政府采购项目电子交易管理暂行办法》相关规定执行。</w:t>
            </w:r>
          </w:p>
        </w:tc>
      </w:tr>
      <w:tr w14:paraId="6556C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6" w:hRule="atLeast"/>
        </w:trPr>
        <w:tc>
          <w:tcPr>
            <w:tcW w:w="820" w:type="dxa"/>
            <w:vMerge w:val="restart"/>
            <w:tcBorders>
              <w:top w:val="single" w:color="auto" w:sz="4" w:space="0"/>
              <w:left w:val="single" w:color="auto" w:sz="4" w:space="0"/>
              <w:right w:val="single" w:color="auto" w:sz="4" w:space="0"/>
            </w:tcBorders>
            <w:vAlign w:val="center"/>
          </w:tcPr>
          <w:p w14:paraId="5BC685F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8</w:t>
            </w:r>
          </w:p>
        </w:tc>
        <w:tc>
          <w:tcPr>
            <w:tcW w:w="1660" w:type="dxa"/>
            <w:vMerge w:val="restart"/>
            <w:tcBorders>
              <w:top w:val="single" w:color="000000" w:sz="8" w:space="0"/>
              <w:left w:val="single" w:color="auto" w:sz="4" w:space="0"/>
              <w:right w:val="single" w:color="000000" w:sz="8" w:space="0"/>
            </w:tcBorders>
            <w:vAlign w:val="center"/>
          </w:tcPr>
          <w:p w14:paraId="2D085778">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60D958CD">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（1）资格证明文件：见招标文件第二部分11.1。</w:t>
            </w:r>
          </w:p>
          <w:p w14:paraId="1896A71C">
            <w:pPr>
              <w:spacing w:before="0" w:beforeAutospacing="0" w:after="0" w:afterAutospacing="0" w:line="360" w:lineRule="auto"/>
              <w:ind w:left="0" w:right="0"/>
              <w:rPr>
                <w:rFonts w:hint="eastAsia" w:ascii="宋体" w:hAnsi="宋体" w:eastAsia="宋体" w:cs="宋体"/>
                <w:snapToGrid w:val="0"/>
                <w:color w:val="auto"/>
                <w:kern w:val="0"/>
                <w:sz w:val="20"/>
                <w:szCs w:val="21"/>
                <w:highlight w:val="none"/>
              </w:rPr>
            </w:pPr>
            <w:r>
              <w:rPr>
                <w:rFonts w:hint="eastAsia" w:ascii="宋体" w:hAnsi="宋体" w:eastAsia="宋体" w:cs="宋体"/>
                <w:color w:val="auto"/>
                <w:kern w:val="0"/>
                <w:sz w:val="24"/>
                <w:szCs w:val="20"/>
                <w:highlight w:val="none"/>
                <w:lang w:val="zh-CN"/>
              </w:rPr>
              <w:t>投标人未提供有效的资格证明文件的，视为投标人不具备招标文件中规定的资格要求，投标无效。</w:t>
            </w:r>
          </w:p>
        </w:tc>
      </w:tr>
      <w:tr w14:paraId="67202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7" w:hRule="atLeast"/>
        </w:trPr>
        <w:tc>
          <w:tcPr>
            <w:tcW w:w="820" w:type="dxa"/>
            <w:vMerge w:val="continue"/>
            <w:tcBorders>
              <w:left w:val="single" w:color="auto" w:sz="4" w:space="0"/>
              <w:bottom w:val="single" w:color="auto" w:sz="4" w:space="0"/>
              <w:right w:val="single" w:color="auto" w:sz="4" w:space="0"/>
            </w:tcBorders>
            <w:vAlign w:val="top"/>
          </w:tcPr>
          <w:p w14:paraId="758861A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60" w:type="dxa"/>
            <w:vMerge w:val="continue"/>
            <w:tcBorders>
              <w:left w:val="single" w:color="auto" w:sz="4" w:space="0"/>
              <w:bottom w:val="single" w:color="000000" w:sz="8" w:space="0"/>
              <w:right w:val="single" w:color="000000" w:sz="8" w:space="0"/>
            </w:tcBorders>
            <w:vAlign w:val="center"/>
          </w:tcPr>
          <w:p w14:paraId="5211D7A1">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2E2CAE9F">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（2）资信证明文件：根据招标文件第四部分评标标准提供。</w:t>
            </w:r>
          </w:p>
        </w:tc>
      </w:tr>
      <w:tr w14:paraId="05FCF6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820" w:type="dxa"/>
            <w:tcBorders>
              <w:top w:val="single" w:color="auto" w:sz="4" w:space="0"/>
              <w:left w:val="single" w:color="000000" w:sz="8" w:space="0"/>
              <w:bottom w:val="single" w:color="auto" w:sz="4" w:space="0"/>
              <w:right w:val="single" w:color="000000" w:sz="2" w:space="0"/>
            </w:tcBorders>
            <w:vAlign w:val="top"/>
          </w:tcPr>
          <w:p w14:paraId="4432EB3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1CF6290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p w14:paraId="77E6425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0A9FA1A4">
            <w:pPr>
              <w:snapToGrid/>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52DA86F8">
            <w:pPr>
              <w:snapToGrid/>
              <w:spacing w:before="0" w:beforeAutospacing="0" w:after="0" w:afterAutospacing="0" w:line="360" w:lineRule="auto"/>
              <w:ind w:left="0" w:right="0"/>
              <w:rPr>
                <w:rFonts w:hint="eastAsia" w:ascii="宋体" w:hAnsi="宋体" w:eastAsia="宋体" w:cs="宋体"/>
                <w:color w:val="auto"/>
                <w:sz w:val="20"/>
                <w:szCs w:val="20"/>
                <w:highlight w:val="none"/>
              </w:rPr>
            </w:pPr>
            <w:r>
              <w:rPr>
                <w:rFonts w:hint="eastAsia" w:ascii="宋体" w:hAnsi="宋体" w:eastAsia="宋体" w:cs="宋体"/>
                <w:color w:val="auto"/>
                <w:kern w:val="0"/>
                <w:sz w:val="24"/>
                <w:szCs w:val="20"/>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57AFFB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77"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40F76A4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211C9DD1">
            <w:pPr>
              <w:snapToGrid/>
              <w:spacing w:before="0" w:beforeAutospacing="0" w:after="0" w:afterAutospacing="0" w:line="312"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1BD50701">
            <w:pPr>
              <w:snapToGrid w:val="0"/>
              <w:spacing w:before="0" w:beforeAutospacing="0" w:after="0" w:afterAutospacing="0" w:line="360" w:lineRule="auto"/>
              <w:ind w:left="0" w:right="0"/>
              <w:jc w:val="left"/>
              <w:rPr>
                <w:rFonts w:hint="eastAsia" w:ascii="宋体" w:hAnsi="宋体" w:eastAsia="宋体" w:cs="宋体"/>
                <w:b/>
                <w:color w:val="auto"/>
                <w:kern w:val="0"/>
                <w:sz w:val="24"/>
                <w:szCs w:val="20"/>
                <w:highlight w:val="none"/>
                <w:lang w:val="zh-CN"/>
              </w:rPr>
            </w:pPr>
            <w:r>
              <w:rPr>
                <w:rFonts w:hint="eastAsia" w:ascii="宋体" w:hAnsi="宋体" w:eastAsia="宋体" w:cs="宋体"/>
                <w:color w:val="auto"/>
                <w:kern w:val="0"/>
                <w:sz w:val="24"/>
                <w:szCs w:val="20"/>
                <w:highlight w:val="none"/>
                <w:lang w:val="zh-CN"/>
              </w:rPr>
              <w:t>有关本项目实施所需的所有费用（含税费）均计入报价。投标文件</w:t>
            </w:r>
            <w:r>
              <w:rPr>
                <w:rFonts w:hint="eastAsia" w:ascii="宋体" w:hAnsi="宋体" w:eastAsia="宋体" w:cs="宋体"/>
                <w:color w:val="auto"/>
                <w:sz w:val="24"/>
                <w:szCs w:val="20"/>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0"/>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4"/>
                <w:szCs w:val="20"/>
                <w:highlight w:val="none"/>
                <w:lang w:val="zh-CN"/>
              </w:rPr>
              <w:t>提醒：验收时检测费用由采购人承担，不包含在投标总价中。投标报价出现下列情形的，投标无效：</w:t>
            </w:r>
          </w:p>
          <w:p w14:paraId="5DB8FCC2">
            <w:pPr>
              <w:snapToGrid w:val="0"/>
              <w:spacing w:before="0" w:beforeAutospacing="0" w:after="0" w:afterAutospacing="0" w:line="360" w:lineRule="auto"/>
              <w:ind w:left="0" w:right="0" w:firstLine="241" w:firstLineChars="100"/>
              <w:jc w:val="left"/>
              <w:rPr>
                <w:rFonts w:hint="eastAsia" w:ascii="宋体" w:hAnsi="宋体" w:eastAsia="宋体" w:cs="宋体"/>
                <w:b/>
                <w:color w:val="auto"/>
                <w:kern w:val="0"/>
                <w:sz w:val="24"/>
                <w:szCs w:val="20"/>
                <w:highlight w:val="none"/>
                <w:lang w:val="zh-CN"/>
              </w:rPr>
            </w:pPr>
            <w:r>
              <w:rPr>
                <w:rFonts w:hint="eastAsia" w:ascii="宋体" w:hAnsi="宋体" w:eastAsia="宋体" w:cs="宋体"/>
                <w:b/>
                <w:color w:val="auto"/>
                <w:kern w:val="0"/>
                <w:sz w:val="24"/>
                <w:szCs w:val="20"/>
                <w:highlight w:val="none"/>
                <w:lang w:val="zh-CN"/>
              </w:rPr>
              <w:t>投标文件出现不是唯一的、有选择性投标报价的；</w:t>
            </w:r>
          </w:p>
          <w:p w14:paraId="29CF5F2F">
            <w:pPr>
              <w:pStyle w:val="85"/>
              <w:widowControl/>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szCs w:val="20"/>
                <w:highlight w:val="none"/>
                <w:lang w:val="zh-CN"/>
              </w:rPr>
            </w:pPr>
            <w:r>
              <w:rPr>
                <w:rFonts w:hint="eastAsia" w:ascii="宋体" w:hAnsi="宋体" w:eastAsia="宋体" w:cs="宋体"/>
                <w:b/>
                <w:bCs w:val="0"/>
                <w:color w:val="auto"/>
                <w:kern w:val="0"/>
                <w:sz w:val="24"/>
                <w:szCs w:val="20"/>
                <w:highlight w:val="none"/>
                <w:lang w:val="zh-CN"/>
              </w:rPr>
              <w:t>投标报价超过招标文件中规定的预算金额或者最高限价的；</w:t>
            </w:r>
          </w:p>
          <w:p w14:paraId="270B8E15">
            <w:pPr>
              <w:pStyle w:val="85"/>
              <w:widowControl/>
              <w:snapToGrid w:val="0"/>
              <w:spacing w:before="0" w:beforeAutospacing="0" w:after="0" w:afterAutospacing="0" w:line="360" w:lineRule="auto"/>
              <w:ind w:left="239" w:leftChars="114" w:right="0" w:firstLine="482" w:firstLineChars="200"/>
              <w:jc w:val="left"/>
              <w:rPr>
                <w:rFonts w:hint="eastAsia" w:ascii="宋体" w:hAnsi="宋体" w:eastAsia="宋体" w:cs="宋体"/>
                <w:b/>
                <w:bCs w:val="0"/>
                <w:color w:val="auto"/>
                <w:kern w:val="0"/>
                <w:sz w:val="24"/>
                <w:szCs w:val="20"/>
                <w:highlight w:val="none"/>
                <w:lang w:val="zh-CN"/>
              </w:rPr>
            </w:pPr>
            <w:r>
              <w:rPr>
                <w:rFonts w:hint="eastAsia" w:ascii="宋体" w:hAnsi="宋体" w:eastAsia="宋体" w:cs="宋体"/>
                <w:b/>
                <w:bCs w:val="0"/>
                <w:color w:val="auto"/>
                <w:kern w:val="0"/>
                <w:sz w:val="24"/>
                <w:szCs w:val="20"/>
                <w:highlight w:val="none"/>
                <w:lang w:val="zh-CN"/>
              </w:rPr>
              <w:t>投标报价高于该预算的作无效标处理。</w:t>
            </w:r>
          </w:p>
          <w:p w14:paraId="1772269D">
            <w:pPr>
              <w:spacing w:before="0" w:beforeAutospacing="0" w:after="0" w:afterAutospacing="0" w:line="360" w:lineRule="auto"/>
              <w:ind w:left="0" w:right="0" w:firstLine="723" w:firstLineChars="300"/>
              <w:rPr>
                <w:rFonts w:hint="eastAsia" w:ascii="宋体" w:hAnsi="宋体" w:eastAsia="宋体" w:cs="宋体"/>
                <w:b/>
                <w:color w:val="auto"/>
                <w:sz w:val="24"/>
                <w:szCs w:val="20"/>
                <w:highlight w:val="none"/>
              </w:rPr>
            </w:pPr>
            <w:r>
              <w:rPr>
                <w:rFonts w:hint="eastAsia" w:ascii="宋体" w:hAnsi="宋体" w:eastAsia="宋体" w:cs="宋体"/>
                <w:b/>
                <w:color w:val="auto"/>
                <w:kern w:val="0"/>
                <w:sz w:val="24"/>
                <w:szCs w:val="20"/>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1"/>
                <w:highlight w:val="none"/>
              </w:rPr>
              <w:t>;</w:t>
            </w:r>
          </w:p>
          <w:p w14:paraId="4FC14018">
            <w:pPr>
              <w:spacing w:before="0" w:beforeAutospacing="0" w:after="0" w:afterAutospacing="0" w:line="312" w:lineRule="auto"/>
              <w:ind w:left="0" w:right="0" w:firstLine="241" w:firstLineChars="100"/>
              <w:rPr>
                <w:rFonts w:hint="eastAsia" w:ascii="宋体" w:hAnsi="宋体" w:eastAsia="宋体" w:cs="宋体"/>
                <w:color w:val="auto"/>
                <w:sz w:val="24"/>
                <w:szCs w:val="20"/>
                <w:highlight w:val="none"/>
              </w:rPr>
            </w:pPr>
            <w:r>
              <w:rPr>
                <w:rFonts w:hint="eastAsia" w:ascii="宋体" w:hAnsi="宋体" w:eastAsia="宋体" w:cs="宋体"/>
                <w:b/>
                <w:color w:val="auto"/>
                <w:kern w:val="0"/>
                <w:sz w:val="24"/>
                <w:szCs w:val="20"/>
                <w:highlight w:val="none"/>
              </w:rPr>
              <w:t>投标人对根据修正原则修正后的报价不确认的</w:t>
            </w:r>
            <w:r>
              <w:rPr>
                <w:rFonts w:hint="eastAsia" w:ascii="宋体" w:hAnsi="宋体" w:eastAsia="宋体" w:cs="宋体"/>
                <w:b/>
                <w:color w:val="auto"/>
                <w:sz w:val="24"/>
                <w:szCs w:val="20"/>
                <w:highlight w:val="none"/>
              </w:rPr>
              <w:t>。</w:t>
            </w:r>
          </w:p>
        </w:tc>
      </w:tr>
      <w:tr w14:paraId="04C334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rPr>
        <w:tc>
          <w:tcPr>
            <w:tcW w:w="820" w:type="dxa"/>
            <w:tcBorders>
              <w:top w:val="single" w:color="auto" w:sz="4" w:space="0"/>
              <w:left w:val="single" w:color="000000" w:sz="8" w:space="0"/>
              <w:right w:val="single" w:color="000000" w:sz="2" w:space="0"/>
            </w:tcBorders>
            <w:vAlign w:val="center"/>
          </w:tcPr>
          <w:p w14:paraId="2BDE17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11</w:t>
            </w:r>
          </w:p>
        </w:tc>
        <w:tc>
          <w:tcPr>
            <w:tcW w:w="1660" w:type="dxa"/>
            <w:tcBorders>
              <w:top w:val="single" w:color="000000" w:sz="8" w:space="0"/>
              <w:left w:val="single" w:color="000000" w:sz="2" w:space="0"/>
              <w:right w:val="single" w:color="000000" w:sz="8" w:space="0"/>
            </w:tcBorders>
            <w:vAlign w:val="center"/>
          </w:tcPr>
          <w:p w14:paraId="4547E2F3">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4E798D3D">
            <w:pPr>
              <w:spacing w:before="0" w:beforeAutospacing="0" w:after="0" w:afterAutospacing="0" w:line="360" w:lineRule="auto"/>
              <w:ind w:left="0" w:right="0" w:firstLine="0" w:firstLineChars="0"/>
              <w:rPr>
                <w:rFonts w:hint="eastAsia" w:ascii="宋体" w:hAnsi="宋体" w:eastAsia="宋体" w:cs="宋体"/>
                <w:color w:val="auto"/>
                <w:sz w:val="24"/>
                <w:szCs w:val="20"/>
                <w:highlight w:val="none"/>
              </w:rPr>
            </w:pPr>
            <w:r>
              <w:rPr>
                <w:rFonts w:hint="eastAsia" w:ascii="宋体" w:hAnsi="宋体" w:eastAsia="宋体" w:cs="宋体"/>
                <w:snapToGrid w:val="0"/>
                <w:color w:val="auto"/>
                <w:kern w:val="28"/>
                <w:sz w:val="24"/>
                <w:szCs w:val="20"/>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9996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rPr>
        <w:tc>
          <w:tcPr>
            <w:tcW w:w="820" w:type="dxa"/>
            <w:tcBorders>
              <w:top w:val="single" w:color="auto" w:sz="4" w:space="0"/>
              <w:left w:val="single" w:color="000000" w:sz="8" w:space="0"/>
              <w:bottom w:val="single" w:color="auto" w:sz="4" w:space="0"/>
              <w:right w:val="single" w:color="000000" w:sz="2" w:space="0"/>
            </w:tcBorders>
            <w:vAlign w:val="center"/>
          </w:tcPr>
          <w:p w14:paraId="2569260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4B2505FB">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67A83140">
            <w:pPr>
              <w:widowControl w:val="0"/>
              <w:adjustRightInd w:val="0"/>
              <w:snapToGrid w:val="0"/>
              <w:spacing w:before="0" w:beforeAutospacing="0" w:after="0" w:afterAutospacing="0" w:line="312" w:lineRule="auto"/>
              <w:ind w:left="0" w:right="0"/>
              <w:jc w:val="both"/>
              <w:rPr>
                <w:rFonts w:hint="eastAsia" w:ascii="宋体" w:hAnsi="宋体" w:eastAsia="宋体" w:cs="宋体"/>
                <w:sz w:val="24"/>
                <w:szCs w:val="20"/>
                <w:highlight w:val="none"/>
                <w:lang w:val="zh-CN"/>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color w:val="auto"/>
                <w:kern w:val="28"/>
                <w:sz w:val="24"/>
                <w:szCs w:val="24"/>
                <w:highlight w:val="none"/>
                <w:u w:val="single"/>
              </w:rPr>
              <w:t>密封包装后（建议快递邮寄形式）投标截止时间前递交一份（邮寄地址：</w:t>
            </w:r>
            <w:r>
              <w:rPr>
                <w:rFonts w:hint="eastAsia" w:ascii="宋体" w:hAnsi="宋体" w:cs="宋体"/>
                <w:kern w:val="2"/>
                <w:sz w:val="24"/>
                <w:szCs w:val="24"/>
                <w:highlight w:val="none"/>
                <w:u w:val="single"/>
                <w:lang w:val="en-US" w:eastAsia="zh-CN"/>
              </w:rPr>
              <w:t>杭州市临平区星桥街道远展街1号联融大厦22幢505室</w:t>
            </w:r>
            <w:r>
              <w:rPr>
                <w:rFonts w:hint="eastAsia" w:ascii="宋体" w:hAnsi="宋体" w:eastAsia="宋体" w:cs="宋体"/>
                <w:kern w:val="0"/>
                <w:sz w:val="24"/>
                <w:szCs w:val="24"/>
                <w:highlight w:val="none"/>
                <w:u w:val="single"/>
                <w:lang w:val="en-US" w:eastAsia="zh-CN"/>
              </w:rPr>
              <w:t>；</w:t>
            </w:r>
          </w:p>
          <w:p w14:paraId="79AF3C9C">
            <w:pPr>
              <w:pStyle w:val="35"/>
              <w:spacing w:before="0" w:beforeAutospacing="0" w:after="0" w:afterAutospacing="0" w:line="360" w:lineRule="auto"/>
              <w:ind w:left="0" w:right="0"/>
              <w:rPr>
                <w:rFonts w:hint="eastAsia" w:ascii="宋体" w:hAnsi="宋体" w:eastAsia="宋体" w:cs="宋体"/>
                <w:color w:val="auto"/>
                <w:kern w:val="28"/>
                <w:sz w:val="24"/>
                <w:szCs w:val="20"/>
                <w:highlight w:val="none"/>
              </w:rPr>
            </w:pPr>
            <w:r>
              <w:rPr>
                <w:rFonts w:hint="eastAsia" w:ascii="宋体" w:hAnsi="宋体" w:eastAsia="宋体" w:cs="宋体"/>
                <w:color w:val="auto"/>
                <w:kern w:val="28"/>
                <w:sz w:val="24"/>
                <w:szCs w:val="24"/>
                <w:highlight w:val="none"/>
              </w:rPr>
              <w:t>备份投标文件签收人员联系电话：</w:t>
            </w:r>
            <w:r>
              <w:rPr>
                <w:rFonts w:hint="eastAsia" w:ascii="Times New Roman" w:hAnsi="宋体" w:cs="宋体"/>
                <w:color w:val="auto"/>
                <w:sz w:val="24"/>
                <w:szCs w:val="20"/>
                <w:highlight w:val="none"/>
                <w:u w:val="single"/>
                <w:lang w:val="en-US" w:eastAsia="zh-CN"/>
              </w:rPr>
              <w:t>贺胜杰</w:t>
            </w:r>
            <w:r>
              <w:rPr>
                <w:rFonts w:hint="eastAsia" w:ascii="宋体" w:hAnsi="宋体" w:eastAsia="宋体" w:cs="宋体"/>
                <w:color w:val="auto"/>
                <w:sz w:val="24"/>
                <w:szCs w:val="20"/>
                <w:highlight w:val="none"/>
                <w:u w:val="single"/>
              </w:rPr>
              <w:t>收，</w:t>
            </w:r>
            <w:r>
              <w:rPr>
                <w:rFonts w:hint="eastAsia" w:ascii="Times New Roman" w:hAnsi="宋体" w:cs="宋体"/>
                <w:color w:val="auto"/>
                <w:sz w:val="24"/>
                <w:szCs w:val="20"/>
                <w:highlight w:val="none"/>
                <w:u w:val="single"/>
                <w:lang w:eastAsia="zh-CN"/>
              </w:rPr>
              <w:t>13738009078</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采购人、采购机构不强制或变相强制投标人提交备份投标文件。</w:t>
            </w:r>
          </w:p>
        </w:tc>
      </w:tr>
      <w:tr w14:paraId="3C8A2E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5019B2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13</w:t>
            </w:r>
          </w:p>
        </w:tc>
        <w:tc>
          <w:tcPr>
            <w:tcW w:w="1660" w:type="dxa"/>
            <w:vMerge w:val="restart"/>
            <w:tcBorders>
              <w:top w:val="single" w:color="auto" w:sz="4" w:space="0"/>
              <w:left w:val="single" w:color="auto" w:sz="4" w:space="0"/>
              <w:bottom w:val="single" w:color="auto" w:sz="4" w:space="0"/>
              <w:right w:val="single" w:color="auto" w:sz="4" w:space="0"/>
            </w:tcBorders>
            <w:vAlign w:val="center"/>
          </w:tcPr>
          <w:p w14:paraId="2E76809D">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1DF585D0">
            <w:pPr>
              <w:spacing w:before="0" w:beforeAutospacing="0" w:after="0" w:afterAutospacing="0" w:line="360" w:lineRule="auto"/>
              <w:ind w:left="0" w:right="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联合体投标的，联合体各方分别提供与联合体协议中规定的分工内容相应的业绩证明材料，业绩数量以提供材料较少的一方为准。</w:t>
            </w:r>
          </w:p>
        </w:tc>
      </w:tr>
      <w:tr w14:paraId="6E398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77B34DC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660" w:type="dxa"/>
            <w:vMerge w:val="continue"/>
            <w:tcBorders>
              <w:top w:val="single" w:color="auto" w:sz="4" w:space="0"/>
              <w:left w:val="single" w:color="auto" w:sz="4" w:space="0"/>
              <w:bottom w:val="single" w:color="auto" w:sz="4" w:space="0"/>
              <w:right w:val="single" w:color="auto" w:sz="4" w:space="0"/>
            </w:tcBorders>
            <w:vAlign w:val="center"/>
          </w:tcPr>
          <w:p w14:paraId="4D2C6741">
            <w:pPr>
              <w:snapToGrid w:val="0"/>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40CE5B7F">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0"/>
                <w:highlight w:val="none"/>
                <w:lang w:val="en-US"/>
              </w:rPr>
            </w:pPr>
            <w:r>
              <w:rPr>
                <w:rFonts w:hint="eastAsia" w:ascii="宋体" w:hAnsi="宋体" w:eastAsia="宋体" w:cs="宋体"/>
                <w:color w:val="auto"/>
                <w:kern w:val="0"/>
                <w:sz w:val="24"/>
                <w:szCs w:val="20"/>
                <w:highlight w:val="none"/>
              </w:rPr>
              <w:t>☐</w:t>
            </w:r>
            <w:r>
              <w:rPr>
                <w:rFonts w:hint="eastAsia" w:ascii="宋体" w:hAnsi="宋体" w:eastAsia="宋体" w:cs="宋体"/>
                <w:snapToGrid w:val="0"/>
                <w:color w:val="auto"/>
                <w:kern w:val="28"/>
                <w:sz w:val="24"/>
                <w:szCs w:val="20"/>
                <w:highlight w:val="none"/>
              </w:rPr>
              <w:t>联</w:t>
            </w:r>
            <w:r>
              <w:rPr>
                <w:rFonts w:hint="eastAsia" w:ascii="宋体" w:hAnsi="宋体" w:eastAsia="宋体" w:cs="宋体"/>
                <w:snapToGrid w:val="0"/>
                <w:color w:val="auto"/>
                <w:kern w:val="28"/>
                <w:sz w:val="24"/>
                <w:szCs w:val="20"/>
                <w:highlight w:val="none"/>
                <w:lang w:val="en-US"/>
              </w:rPr>
              <w:t>合体投标的，联合体各方均需按招标文件第四部分评标标准要求提供资信证明文件，否则视为不符合相关要求。</w:t>
            </w:r>
          </w:p>
          <w:p w14:paraId="51457E12">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lang w:val="en-US"/>
              </w:rPr>
              <w:sym w:font="Wingdings" w:char="F0FE"/>
            </w:r>
            <w:r>
              <w:rPr>
                <w:rFonts w:hint="eastAsia" w:ascii="宋体" w:hAnsi="宋体" w:eastAsia="宋体" w:cs="宋体"/>
                <w:snapToGrid w:val="0"/>
                <w:color w:val="auto"/>
                <w:kern w:val="28"/>
                <w:sz w:val="24"/>
                <w:szCs w:val="20"/>
                <w:highlight w:val="none"/>
                <w:lang w:val="en-US"/>
              </w:rPr>
              <w:t>联合体投标的，联合体中有一方或者联合体成员根据分工按招标文件第四部分评标标准要求提供资信证明文件的，视为符合了相关要求。</w:t>
            </w:r>
          </w:p>
        </w:tc>
      </w:tr>
      <w:tr w14:paraId="39959B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7E56825">
            <w:pPr>
              <w:snapToGrid w:val="0"/>
              <w:spacing w:before="0" w:beforeAutospacing="0" w:after="0" w:afterAutospacing="0" w:line="360" w:lineRule="auto"/>
              <w:ind w:left="0" w:leftChars="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0"/>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62E95A9A">
            <w:pPr>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中标候选人数量</w:t>
            </w:r>
          </w:p>
        </w:tc>
        <w:tc>
          <w:tcPr>
            <w:tcW w:w="6670" w:type="dxa"/>
            <w:tcBorders>
              <w:top w:val="single" w:color="auto" w:sz="4" w:space="0"/>
              <w:left w:val="single" w:color="auto" w:sz="4" w:space="0"/>
              <w:bottom w:val="single" w:color="auto" w:sz="4" w:space="0"/>
              <w:right w:val="single" w:color="auto" w:sz="4" w:space="0"/>
            </w:tcBorders>
            <w:vAlign w:val="center"/>
          </w:tcPr>
          <w:p w14:paraId="21FE137F">
            <w:pPr>
              <w:widowControl w:val="0"/>
              <w:wordWrap/>
              <w:snapToGrid/>
              <w:spacing w:before="0" w:beforeAutospacing="0" w:after="0" w:afterAutospacing="0" w:line="360" w:lineRule="auto"/>
              <w:ind w:left="0" w:right="0" w:firstLine="0" w:firstLineChars="0"/>
              <w:textAlignment w:val="auto"/>
              <w:rPr>
                <w:rFonts w:hint="eastAsia" w:ascii="宋体" w:hAnsi="宋体" w:eastAsia="宋体" w:cs="宋体"/>
                <w:snapToGrid w:val="0"/>
                <w:color w:val="auto"/>
                <w:kern w:val="28"/>
                <w:sz w:val="24"/>
                <w:szCs w:val="24"/>
                <w:highlight w:val="none"/>
                <w:lang w:val="en-US" w:eastAsia="zh-CN" w:bidi="ar-SA"/>
              </w:rPr>
            </w:pPr>
            <w:r>
              <w:rPr>
                <w:rFonts w:hint="eastAsia" w:ascii="宋体" w:hAnsi="宋体" w:eastAsia="宋体" w:cs="宋体"/>
                <w:snapToGrid w:val="0"/>
                <w:color w:val="auto"/>
                <w:kern w:val="28"/>
                <w:sz w:val="24"/>
                <w:szCs w:val="24"/>
                <w:highlight w:val="none"/>
                <w:lang w:val="en-US" w:eastAsia="zh-CN"/>
              </w:rPr>
              <w:t>本项目推荐的中标候选人数量：</w:t>
            </w:r>
            <w:r>
              <w:rPr>
                <w:rFonts w:hint="eastAsia" w:ascii="宋体" w:hAnsi="宋体" w:cs="宋体"/>
                <w:snapToGrid w:val="0"/>
                <w:color w:val="auto"/>
                <w:kern w:val="28"/>
                <w:sz w:val="24"/>
                <w:szCs w:val="24"/>
                <w:highlight w:val="none"/>
                <w:lang w:val="en-US" w:eastAsia="zh-CN"/>
              </w:rPr>
              <w:t>1</w:t>
            </w:r>
            <w:r>
              <w:rPr>
                <w:rFonts w:hint="eastAsia" w:ascii="宋体" w:hAnsi="宋体" w:eastAsia="宋体" w:cs="宋体"/>
                <w:snapToGrid w:val="0"/>
                <w:color w:val="auto"/>
                <w:kern w:val="28"/>
                <w:sz w:val="24"/>
                <w:szCs w:val="24"/>
                <w:highlight w:val="none"/>
                <w:lang w:val="en-US" w:eastAsia="zh-CN"/>
              </w:rPr>
              <w:t>。</w:t>
            </w:r>
          </w:p>
        </w:tc>
      </w:tr>
      <w:tr w14:paraId="062290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11B95C1C">
            <w:pPr>
              <w:snapToGrid w:val="0"/>
              <w:spacing w:before="0" w:beforeAutospacing="0" w:after="0" w:afterAutospacing="0" w:line="360" w:lineRule="auto"/>
              <w:ind w:left="0" w:right="0"/>
              <w:jc w:val="center"/>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AEECCF6">
            <w:pPr>
              <w:snapToGrid w:val="0"/>
              <w:spacing w:before="0" w:beforeAutospacing="0" w:after="0" w:afterAutospacing="0" w:line="360" w:lineRule="auto"/>
              <w:ind w:left="0" w:right="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0"/>
                <w:highlight w:val="none"/>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63AC72F6">
            <w:pPr>
              <w:snapToGrid w:val="0"/>
              <w:spacing w:before="0" w:beforeAutospacing="0" w:after="0" w:afterAutospacing="0" w:line="360" w:lineRule="auto"/>
              <w:ind w:left="0" w:right="0"/>
              <w:jc w:val="left"/>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sz w:val="24"/>
                <w:szCs w:val="20"/>
                <w:highlight w:val="none"/>
              </w:rPr>
              <w:t>中标后提供承诺书和纸质版投标文件一式三份（正本一份红章版，副本二份，可为正本复印件），承诺书详见附件。</w:t>
            </w:r>
          </w:p>
        </w:tc>
      </w:tr>
      <w:tr w14:paraId="235331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rPr>
        <w:tc>
          <w:tcPr>
            <w:tcW w:w="820" w:type="dxa"/>
            <w:tcBorders>
              <w:top w:val="single" w:color="auto" w:sz="4" w:space="0"/>
              <w:left w:val="single" w:color="auto" w:sz="4" w:space="0"/>
              <w:bottom w:val="single" w:color="auto" w:sz="4" w:space="0"/>
              <w:right w:val="single" w:color="auto" w:sz="4" w:space="0"/>
            </w:tcBorders>
            <w:vAlign w:val="center"/>
          </w:tcPr>
          <w:p w14:paraId="6E62B723">
            <w:pPr>
              <w:snapToGrid w:val="0"/>
              <w:spacing w:before="0" w:beforeAutospacing="0" w:after="0" w:afterAutospacing="0" w:line="360" w:lineRule="auto"/>
              <w:ind w:left="0" w:right="0"/>
              <w:jc w:val="center"/>
              <w:rPr>
                <w:rFonts w:hint="default" w:ascii="宋体" w:hAnsi="宋体" w:cs="宋体"/>
                <w:color w:val="auto"/>
                <w:sz w:val="24"/>
                <w:szCs w:val="20"/>
                <w:highlight w:val="none"/>
                <w:lang w:val="en-US" w:eastAsia="zh-CN"/>
              </w:rPr>
            </w:pPr>
            <w:r>
              <w:rPr>
                <w:rFonts w:hint="eastAsia" w:ascii="宋体" w:hAnsi="宋体" w:cs="宋体"/>
                <w:color w:val="auto"/>
                <w:sz w:val="24"/>
                <w:szCs w:val="20"/>
                <w:highlight w:val="none"/>
                <w:lang w:val="en-US" w:eastAsia="zh-CN"/>
              </w:rPr>
              <w:t>16</w:t>
            </w:r>
          </w:p>
        </w:tc>
        <w:tc>
          <w:tcPr>
            <w:tcW w:w="1660" w:type="dxa"/>
            <w:tcBorders>
              <w:top w:val="single" w:color="auto" w:sz="4" w:space="0"/>
              <w:left w:val="single" w:color="auto" w:sz="4" w:space="0"/>
              <w:bottom w:val="single" w:color="auto" w:sz="4" w:space="0"/>
              <w:right w:val="single" w:color="auto" w:sz="4" w:space="0"/>
            </w:tcBorders>
            <w:vAlign w:val="center"/>
          </w:tcPr>
          <w:p w14:paraId="1B0D273F">
            <w:pPr>
              <w:snapToGrid w:val="0"/>
              <w:spacing w:before="0" w:beforeAutospacing="0" w:after="0" w:afterAutospacing="0" w:line="360" w:lineRule="auto"/>
              <w:ind w:left="0" w:right="0"/>
              <w:jc w:val="center"/>
              <w:rPr>
                <w:rFonts w:hint="default" w:ascii="宋体" w:hAnsi="宋体" w:eastAsia="宋体" w:cs="宋体"/>
                <w:b/>
                <w:bCs/>
                <w:color w:val="auto"/>
                <w:sz w:val="24"/>
                <w:szCs w:val="20"/>
                <w:highlight w:val="none"/>
                <w:lang w:val="en-US" w:eastAsia="zh-CN"/>
              </w:rPr>
            </w:pPr>
            <w:r>
              <w:rPr>
                <w:rFonts w:hint="eastAsia" w:ascii="宋体" w:hAnsi="宋体" w:cs="宋体"/>
                <w:b/>
                <w:bCs/>
                <w:color w:val="auto"/>
                <w:sz w:val="24"/>
                <w:szCs w:val="20"/>
                <w:highlight w:val="none"/>
                <w:lang w:val="en-US" w:eastAsia="zh-CN"/>
              </w:rPr>
              <w:t>招标代理服务费</w:t>
            </w:r>
          </w:p>
        </w:tc>
        <w:tc>
          <w:tcPr>
            <w:tcW w:w="6670" w:type="dxa"/>
            <w:tcBorders>
              <w:top w:val="single" w:color="auto" w:sz="4" w:space="0"/>
              <w:left w:val="single" w:color="auto" w:sz="4" w:space="0"/>
              <w:bottom w:val="single" w:color="auto" w:sz="4" w:space="0"/>
              <w:right w:val="single" w:color="auto" w:sz="4" w:space="0"/>
            </w:tcBorders>
            <w:vAlign w:val="center"/>
          </w:tcPr>
          <w:p w14:paraId="1F8CA75C">
            <w:pPr>
              <w:spacing w:before="0" w:beforeAutospacing="0" w:after="0" w:afterAutospacing="0" w:line="360" w:lineRule="auto"/>
              <w:ind w:left="0" w:right="0"/>
              <w:rPr>
                <w:rFonts w:hint="eastAsia" w:ascii="宋体" w:hAnsi="宋体" w:eastAsia="宋体" w:cs="宋体"/>
                <w:snapToGrid w:val="0"/>
                <w:color w:val="auto"/>
                <w:kern w:val="28"/>
                <w:sz w:val="24"/>
                <w:szCs w:val="20"/>
                <w:lang w:eastAsia="zh-CN"/>
              </w:rPr>
            </w:pPr>
            <w:r>
              <w:rPr>
                <w:rFonts w:hint="eastAsia" w:ascii="宋体" w:hAnsi="宋体" w:eastAsia="宋体" w:cs="宋体"/>
                <w:snapToGrid w:val="0"/>
                <w:color w:val="auto"/>
                <w:kern w:val="28"/>
                <w:sz w:val="24"/>
                <w:szCs w:val="20"/>
                <w:lang w:eastAsia="zh-CN"/>
              </w:rPr>
              <w:t>本次代理服务费由中标单位支付，代理费用付款按《招标代理服务收费管理暂行办法》的通知（</w:t>
            </w:r>
            <w:r>
              <w:rPr>
                <w:rFonts w:hint="eastAsia" w:ascii="宋体" w:hAnsi="宋体" w:cs="宋体"/>
                <w:snapToGrid w:val="0"/>
                <w:color w:val="auto"/>
                <w:kern w:val="28"/>
                <w:sz w:val="24"/>
                <w:szCs w:val="20"/>
                <w:lang w:eastAsia="zh-CN"/>
              </w:rPr>
              <w:t>余财政</w:t>
            </w:r>
            <w:r>
              <w:rPr>
                <w:rFonts w:hint="eastAsia" w:ascii="宋体" w:hAnsi="宋体" w:eastAsia="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2018</w:t>
            </w:r>
            <w:r>
              <w:rPr>
                <w:rFonts w:hint="eastAsia" w:ascii="宋体" w:hAnsi="宋体" w:eastAsia="宋体" w:cs="宋体"/>
                <w:snapToGrid w:val="0"/>
                <w:color w:val="auto"/>
                <w:kern w:val="28"/>
                <w:sz w:val="24"/>
                <w:szCs w:val="20"/>
                <w:lang w:eastAsia="zh-CN"/>
              </w:rPr>
              <w:t>]</w:t>
            </w:r>
            <w:r>
              <w:rPr>
                <w:rFonts w:hint="eastAsia" w:ascii="宋体" w:hAnsi="宋体" w:cs="宋体"/>
                <w:snapToGrid w:val="0"/>
                <w:color w:val="auto"/>
                <w:kern w:val="28"/>
                <w:sz w:val="24"/>
                <w:szCs w:val="20"/>
                <w:lang w:val="en-US" w:eastAsia="zh-CN"/>
              </w:rPr>
              <w:t>24</w:t>
            </w:r>
            <w:r>
              <w:rPr>
                <w:rFonts w:hint="eastAsia" w:ascii="宋体" w:hAnsi="宋体" w:eastAsia="宋体" w:cs="宋体"/>
                <w:snapToGrid w:val="0"/>
                <w:color w:val="auto"/>
                <w:kern w:val="28"/>
                <w:sz w:val="24"/>
                <w:szCs w:val="20"/>
                <w:lang w:eastAsia="zh-CN"/>
              </w:rPr>
              <w:t>号）文件直接支付给分散采购招标代理单位，投标人在报价时应综合考虑该笔费用。</w:t>
            </w:r>
          </w:p>
          <w:p w14:paraId="2E567F81">
            <w:pPr>
              <w:snapToGrid w:val="0"/>
              <w:spacing w:before="0" w:beforeAutospacing="0" w:after="0" w:afterAutospacing="0" w:line="360" w:lineRule="auto"/>
              <w:ind w:left="0" w:right="0"/>
              <w:jc w:val="left"/>
              <w:rPr>
                <w:rFonts w:hint="eastAsia" w:ascii="宋体" w:hAnsi="宋体" w:eastAsia="宋体" w:cs="宋体"/>
                <w:b/>
                <w:bCs/>
                <w:color w:val="auto"/>
                <w:sz w:val="24"/>
                <w:szCs w:val="20"/>
                <w:highlight w:val="none"/>
              </w:rPr>
            </w:pPr>
            <w:r>
              <w:rPr>
                <w:rFonts w:hint="eastAsia" w:ascii="宋体" w:hAnsi="宋体" w:eastAsia="宋体" w:cs="宋体"/>
                <w:snapToGrid w:val="0"/>
                <w:color w:val="auto"/>
                <w:kern w:val="28"/>
                <w:sz w:val="24"/>
                <w:szCs w:val="20"/>
                <w:highlight w:val="none"/>
              </w:rPr>
              <w:t>中标服务费的交纳方式：以转帐或支票的形式支付，开户名：</w:t>
            </w:r>
            <w:r>
              <w:rPr>
                <w:rFonts w:hint="eastAsia" w:ascii="宋体" w:hAnsi="宋体" w:eastAsia="宋体" w:cs="宋体"/>
                <w:snapToGrid w:val="0"/>
                <w:color w:val="auto"/>
                <w:kern w:val="28"/>
                <w:sz w:val="24"/>
                <w:szCs w:val="20"/>
                <w:highlight w:val="none"/>
                <w:lang w:eastAsia="zh-CN"/>
              </w:rPr>
              <w:t>杭州正鸿工程咨询有限公司</w:t>
            </w:r>
            <w:r>
              <w:rPr>
                <w:rFonts w:hint="eastAsia" w:ascii="宋体" w:hAnsi="宋体" w:eastAsia="宋体" w:cs="宋体"/>
                <w:snapToGrid w:val="0"/>
                <w:color w:val="auto"/>
                <w:kern w:val="28"/>
                <w:sz w:val="24"/>
                <w:szCs w:val="20"/>
                <w:highlight w:val="none"/>
              </w:rPr>
              <w:t>；开户行名称：</w:t>
            </w:r>
            <w:r>
              <w:rPr>
                <w:rFonts w:hint="eastAsia" w:ascii="宋体" w:hAnsi="宋体" w:eastAsia="宋体" w:cs="宋体"/>
                <w:snapToGrid w:val="0"/>
                <w:color w:val="auto"/>
                <w:kern w:val="28"/>
                <w:sz w:val="24"/>
                <w:szCs w:val="20"/>
                <w:highlight w:val="none"/>
                <w:lang w:val="en-US" w:eastAsia="zh-CN"/>
              </w:rPr>
              <w:t>杭州联合农村商业银行股份有限公司康桥支行</w:t>
            </w:r>
            <w:r>
              <w:rPr>
                <w:rFonts w:hint="eastAsia" w:ascii="宋体" w:hAnsi="宋体" w:eastAsia="宋体" w:cs="宋体"/>
                <w:snapToGrid w:val="0"/>
                <w:color w:val="auto"/>
                <w:kern w:val="28"/>
                <w:sz w:val="24"/>
                <w:szCs w:val="20"/>
                <w:highlight w:val="none"/>
              </w:rPr>
              <w:t xml:space="preserve"> 帐号：</w:t>
            </w:r>
            <w:r>
              <w:rPr>
                <w:rFonts w:hint="eastAsia" w:ascii="宋体" w:hAnsi="宋体" w:eastAsia="宋体" w:cs="宋体"/>
                <w:snapToGrid w:val="0"/>
                <w:color w:val="auto"/>
                <w:kern w:val="28"/>
                <w:sz w:val="24"/>
                <w:szCs w:val="20"/>
                <w:highlight w:val="none"/>
                <w:lang w:val="en-US" w:eastAsia="zh-CN"/>
              </w:rPr>
              <w:t>201000279863923</w:t>
            </w:r>
            <w:r>
              <w:rPr>
                <w:rFonts w:hint="eastAsia" w:ascii="宋体" w:hAnsi="宋体" w:eastAsia="宋体" w:cs="宋体"/>
                <w:snapToGrid w:val="0"/>
                <w:color w:val="auto"/>
                <w:kern w:val="28"/>
                <w:sz w:val="24"/>
                <w:szCs w:val="20"/>
                <w:highlight w:val="none"/>
              </w:rPr>
              <w:t>中标单位需在领取中标通知书时缴纳中标服务费，缴纳时注明招标编号。</w:t>
            </w:r>
            <w:r>
              <w:rPr>
                <w:rFonts w:hint="default" w:ascii="Times New Roman" w:hAnsi="Times New Roman" w:eastAsia="宋体" w:cs="Times New Roman"/>
                <w:kern w:val="2"/>
                <w:sz w:val="20"/>
                <w:szCs w:val="20"/>
                <w:lang w:val="en-US" w:eastAsia="zh-CN" w:bidi="ar-SA"/>
              </w:rPr>
              <w:drawing>
                <wp:inline distT="0" distB="0" distL="114300" distR="114300">
                  <wp:extent cx="4196715" cy="1572895"/>
                  <wp:effectExtent l="0" t="0" r="13335"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34">
                            <a:lum/>
                          </a:blip>
                          <a:stretch>
                            <a:fillRect/>
                          </a:stretch>
                        </pic:blipFill>
                        <pic:spPr>
                          <a:xfrm>
                            <a:off x="0" y="0"/>
                            <a:ext cx="4196715" cy="1572895"/>
                          </a:xfrm>
                          <a:prstGeom prst="rect">
                            <a:avLst/>
                          </a:prstGeom>
                          <a:noFill/>
                          <a:ln>
                            <a:noFill/>
                          </a:ln>
                        </pic:spPr>
                      </pic:pic>
                    </a:graphicData>
                  </a:graphic>
                </wp:inline>
              </w:drawing>
            </w:r>
          </w:p>
        </w:tc>
      </w:tr>
    </w:tbl>
    <w:p w14:paraId="203767EE">
      <w:pPr>
        <w:adjustRightInd/>
        <w:spacing w:line="360" w:lineRule="auto"/>
        <w:ind w:firstLine="0" w:firstLineChars="0"/>
        <w:jc w:val="center"/>
        <w:outlineLvl w:val="9"/>
        <w:rPr>
          <w:rFonts w:hint="eastAsia" w:ascii="宋体" w:hAnsi="宋体" w:eastAsia="宋体" w:cs="宋体"/>
          <w:b/>
          <w:color w:val="auto"/>
          <w:sz w:val="32"/>
          <w:szCs w:val="20"/>
          <w:highlight w:val="none"/>
        </w:rPr>
      </w:pPr>
    </w:p>
    <w:p w14:paraId="750D8B84">
      <w:pPr>
        <w:adjustRightInd/>
        <w:spacing w:line="240" w:lineRule="auto"/>
        <w:ind w:firstLine="0" w:firstLineChars="0"/>
        <w:jc w:val="left"/>
        <w:outlineLvl w:val="9"/>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12B4DEC6">
      <w:pPr>
        <w:adjustRightInd/>
        <w:spacing w:line="360" w:lineRule="auto"/>
        <w:ind w:firstLine="0" w:firstLineChars="0"/>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3C9C557">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1.适用范围</w:t>
      </w:r>
    </w:p>
    <w:p w14:paraId="06358689">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34D5D294">
      <w:pPr>
        <w:numPr>
          <w:ilvl w:val="0"/>
          <w:numId w:val="1"/>
        </w:numPr>
        <w:adjustRightInd/>
        <w:snapToGrid w:val="0"/>
        <w:spacing w:line="360" w:lineRule="auto"/>
        <w:ind w:left="360" w:firstLine="0" w:firstLineChars="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定义</w:t>
      </w:r>
    </w:p>
    <w:p w14:paraId="4ED302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73918C6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“采购机构”系指招标公告中载明的本项目的采购机构。</w:t>
      </w:r>
    </w:p>
    <w:p w14:paraId="4FF4017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4686EF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4C533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C5BE3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2.6“电子交易平台”是指本项目政府采购活动所依托的政府采购云平台（https://www.zcygov.cn/）。</w:t>
      </w:r>
    </w:p>
    <w:p w14:paraId="5D32C8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6EB782C5">
      <w:pPr>
        <w:spacing w:line="360" w:lineRule="auto"/>
        <w:ind w:firstLine="241" w:firstLineChars="100"/>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3.采购项目需要落实的政府采购政策</w:t>
      </w:r>
    </w:p>
    <w:p w14:paraId="61515E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72F0643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23128F9">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3B85835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1603434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快递包装政府采购需求标准（试行）》。优先采购绿色包装产品、绿色物流配送服务以及循环利用产品。</w:t>
      </w:r>
    </w:p>
    <w:p w14:paraId="414401DD">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2979F98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8CED6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5FF66E8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4F81E75">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6919D52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99C79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3C0242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5CDF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02CDAB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D16616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2CD3020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003CD44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4693754">
      <w:pPr>
        <w:adjustRightInd w:val="0"/>
        <w:snapToGrid w:val="0"/>
        <w:spacing w:line="360" w:lineRule="auto"/>
        <w:ind w:left="0" w:firstLine="480" w:firstLineChars="200"/>
        <w:outlineLvl w:val="9"/>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 xml:space="preserve">3.4.3 </w:t>
      </w:r>
      <w:r>
        <w:rPr>
          <w:rFonts w:hint="eastAsia" w:ascii="宋体" w:hAnsi="宋体" w:eastAsia="宋体" w:cs="宋体"/>
          <w:b w:val="0"/>
          <w:bCs w:val="0"/>
          <w:color w:val="auto"/>
          <w:sz w:val="24"/>
          <w:szCs w:val="24"/>
          <w:highlight w:val="none"/>
          <w:lang w:val="en-US" w:eastAsia="zh-CN"/>
        </w:rPr>
        <w:t>采购人应当贯彻落实知识产权保护相关法律法规，</w:t>
      </w:r>
      <w:r>
        <w:rPr>
          <w:rFonts w:hint="eastAsia" w:ascii="宋体" w:hAnsi="宋体" w:eastAsia="宋体" w:cs="宋体"/>
          <w:b w:val="0"/>
          <w:bCs w:val="0"/>
          <w:color w:val="auto"/>
          <w:sz w:val="24"/>
          <w:szCs w:val="24"/>
          <w:highlight w:val="none"/>
          <w:lang w:val="en-US"/>
        </w:rPr>
        <w:t>应当采购使用正版软件。</w:t>
      </w:r>
    </w:p>
    <w:p w14:paraId="6C486C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4EF0D31">
      <w:pPr>
        <w:spacing w:line="360" w:lineRule="auto"/>
        <w:ind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询问、质疑、投诉、补偿救济</w:t>
      </w:r>
    </w:p>
    <w:p w14:paraId="6E873EE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2EB253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A63F06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3D7DAF5">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684C3D3A">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1FB84FA0">
      <w:pPr>
        <w:pStyle w:val="35"/>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2C5858D3">
      <w:pPr>
        <w:pStyle w:val="15"/>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4D9E9214">
      <w:pPr>
        <w:pStyle w:val="35"/>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172A00B0">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3597E68A">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52D76D2F">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306050D3">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297FC9AE">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725E38F7">
      <w:pPr>
        <w:pStyle w:val="35"/>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55CD349F">
      <w:pPr>
        <w:pStyle w:val="35"/>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7FCEA197">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ADF7EED">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76FD6921">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052805E2">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1B48D3D8">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5F69AF46">
      <w:pPr>
        <w:pStyle w:val="581"/>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4269D68D">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547F8091">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153AE114">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DE9FCBE">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79DE7826">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4.4.5杭州市余杭区财政局</w:t>
      </w:r>
      <w:r>
        <w:rPr>
          <w:rFonts w:hint="eastAsia" w:ascii="宋体" w:hAnsi="宋体" w:eastAsia="宋体" w:cs="宋体"/>
          <w:color w:val="auto"/>
          <w:highlight w:val="none"/>
          <w:lang w:eastAsia="zh-CN"/>
        </w:rPr>
        <w:t>的</w:t>
      </w:r>
      <w:r>
        <w:rPr>
          <w:rFonts w:hint="eastAsia" w:ascii="宋体" w:hAnsi="宋体" w:eastAsia="宋体" w:cs="宋体"/>
          <w:color w:val="auto"/>
          <w:highlight w:val="none"/>
        </w:rPr>
        <w:t>政府采购项目投诉材料可寄送</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地址：</w:t>
      </w:r>
      <w:r>
        <w:rPr>
          <w:rFonts w:hint="eastAsia" w:ascii="宋体" w:hAnsi="宋体" w:eastAsia="宋体" w:cs="宋体"/>
          <w:color w:val="auto"/>
          <w:sz w:val="24"/>
          <w:highlight w:val="none"/>
        </w:rPr>
        <w:t>杭州市上城区清泰街549号城建综合大楼11楼（快递仅限ems或顺丰）</w:t>
      </w:r>
      <w:r>
        <w:rPr>
          <w:rFonts w:hint="eastAsia" w:ascii="宋体" w:hAnsi="宋体" w:eastAsia="宋体" w:cs="宋体"/>
          <w:color w:val="auto"/>
          <w:highlight w:val="none"/>
        </w:rPr>
        <w:t>，收件人：</w:t>
      </w:r>
      <w:r>
        <w:rPr>
          <w:rFonts w:hint="eastAsia" w:ascii="宋体" w:hAnsi="宋体" w:eastAsia="宋体" w:cs="宋体"/>
          <w:color w:val="auto"/>
          <w:sz w:val="24"/>
          <w:highlight w:val="none"/>
          <w:lang w:val="en-US" w:eastAsia="zh-CN"/>
        </w:rPr>
        <w:t>朱女士、王女士</w:t>
      </w:r>
      <w:r>
        <w:rPr>
          <w:rFonts w:hint="eastAsia" w:ascii="宋体" w:hAnsi="宋体" w:eastAsia="宋体" w:cs="宋体"/>
          <w:color w:val="auto"/>
          <w:highlight w:val="none"/>
        </w:rPr>
        <w:t>，电话：</w:t>
      </w:r>
      <w:r>
        <w:rPr>
          <w:rFonts w:hint="eastAsia" w:ascii="宋体" w:hAnsi="宋体" w:eastAsia="宋体" w:cs="宋体"/>
          <w:color w:val="auto"/>
          <w:sz w:val="24"/>
          <w:highlight w:val="none"/>
          <w:lang w:eastAsia="zh-CN"/>
        </w:rPr>
        <w:t xml:space="preserve">0571-87227671,0571-87800218 </w:t>
      </w:r>
      <w:r>
        <w:rPr>
          <w:rFonts w:hint="eastAsia" w:ascii="宋体" w:hAnsi="宋体" w:eastAsia="宋体" w:cs="宋体"/>
          <w:color w:val="auto"/>
          <w:highlight w:val="none"/>
        </w:rPr>
        <w:t>。</w:t>
      </w:r>
    </w:p>
    <w:p w14:paraId="0938B7F9">
      <w:pPr>
        <w:pStyle w:val="581"/>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19DF579F">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64993B17">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4FCE1507">
      <w:pPr>
        <w:pStyle w:val="98"/>
        <w:snapToGrid w:val="0"/>
        <w:spacing w:before="0"/>
        <w:ind w:firstLine="360"/>
        <w:rPr>
          <w:rFonts w:hint="eastAsia" w:ascii="宋体" w:hAnsi="宋体" w:eastAsia="宋体" w:cs="宋体"/>
          <w:color w:val="auto"/>
          <w:sz w:val="18"/>
          <w:szCs w:val="18"/>
          <w:highlight w:val="none"/>
        </w:rPr>
      </w:pPr>
    </w:p>
    <w:p w14:paraId="25244C46">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二、招标文件的构成、澄清、修改</w:t>
      </w:r>
    </w:p>
    <w:p w14:paraId="57A512EA">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62726927">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36FCC95A">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F511DCB">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2EFE8A3D">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EB5E3E2">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1FC6543E">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7EFF0131">
      <w:pPr>
        <w:pStyle w:val="35"/>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0E7DD87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1A7B739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5D7C2508">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6.1已获取招标文件的潜在投标人，若有问题需要澄清，应于投标截止时间前，以书面形式向采购机构提出。</w:t>
      </w:r>
    </w:p>
    <w:p w14:paraId="5E8AE89F">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D44FCAF">
      <w:pPr>
        <w:pStyle w:val="26"/>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45CCCC83">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5633CBD4">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100A74D3">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1050FE8D">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04DC09B2">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2576112">
      <w:pPr>
        <w:pStyle w:val="35"/>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4F90395E">
      <w:pPr>
        <w:pStyle w:val="1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0C403A31">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24F17959">
      <w:pPr>
        <w:autoSpaceDE w:val="0"/>
        <w:autoSpaceDN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投标文件及投标人与采购有关的来往通知、函件和文件均应使用中文。</w:t>
      </w:r>
    </w:p>
    <w:p w14:paraId="6C54846C">
      <w:pPr>
        <w:pStyle w:val="35"/>
        <w:spacing w:line="360" w:lineRule="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rPr>
        <w:t>11. 投标文件的组成</w:t>
      </w:r>
    </w:p>
    <w:p w14:paraId="517878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1AC85A4">
      <w:pPr>
        <w:snapToGrid w:val="0"/>
        <w:spacing w:line="360" w:lineRule="auto"/>
        <w:ind w:firstLine="723" w:firstLineChars="3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▲11.1.1符合参加政府采购活动应当具备的一般条件的承诺函；</w:t>
      </w:r>
    </w:p>
    <w:p w14:paraId="09EE61D9">
      <w:pPr>
        <w:snapToGrid w:val="0"/>
        <w:spacing w:line="360" w:lineRule="auto"/>
        <w:ind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11.1.2</w:t>
      </w:r>
      <w:r>
        <w:rPr>
          <w:rFonts w:hint="eastAsia" w:ascii="宋体" w:hAnsi="宋体" w:eastAsia="宋体" w:cs="宋体"/>
          <w:b w:val="0"/>
          <w:bCs w:val="0"/>
          <w:snapToGrid w:val="0"/>
          <w:color w:val="auto"/>
          <w:kern w:val="28"/>
          <w:sz w:val="24"/>
          <w:szCs w:val="20"/>
          <w:highlight w:val="none"/>
        </w:rPr>
        <w:t>联合协议（如果有)；</w:t>
      </w:r>
    </w:p>
    <w:p w14:paraId="6C564105">
      <w:pPr>
        <w:snapToGrid w:val="0"/>
        <w:spacing w:line="360" w:lineRule="auto"/>
        <w:ind w:firstLine="720" w:firstLineChars="300"/>
        <w:rPr>
          <w:rFonts w:hint="eastAsia" w:ascii="宋体" w:hAnsi="宋体" w:eastAsia="宋体" w:cs="宋体"/>
          <w:b w:val="0"/>
          <w:bCs w:val="0"/>
          <w:color w:val="auto"/>
          <w:sz w:val="24"/>
          <w:highlight w:val="none"/>
          <w:lang w:eastAsia="zh-CN"/>
        </w:rPr>
      </w:pPr>
      <w:r>
        <w:rPr>
          <w:rFonts w:hint="eastAsia" w:ascii="宋体" w:hAnsi="宋体" w:eastAsia="宋体" w:cs="宋体"/>
          <w:b w:val="0"/>
          <w:bCs w:val="0"/>
          <w:color w:val="auto"/>
          <w:sz w:val="24"/>
          <w:highlight w:val="none"/>
        </w:rPr>
        <w:t>▲</w:t>
      </w:r>
      <w:r>
        <w:rPr>
          <w:rFonts w:hint="eastAsia" w:ascii="宋体" w:hAnsi="宋体" w:eastAsia="宋体" w:cs="宋体"/>
          <w:b/>
          <w:bCs/>
          <w:color w:val="auto"/>
          <w:sz w:val="24"/>
          <w:highlight w:val="none"/>
        </w:rPr>
        <w:t>11.1.3落实政府采购政策需满足的资格要求</w:t>
      </w:r>
      <w:r>
        <w:rPr>
          <w:rFonts w:hint="eastAsia" w:ascii="宋体" w:hAnsi="宋体" w:eastAsia="宋体" w:cs="宋体"/>
          <w:b/>
          <w:bCs/>
          <w:snapToGrid w:val="0"/>
          <w:color w:val="auto"/>
          <w:kern w:val="28"/>
          <w:sz w:val="24"/>
          <w:szCs w:val="20"/>
          <w:highlight w:val="none"/>
          <w:lang w:eastAsia="zh-CN"/>
        </w:rPr>
        <w:t>：</w:t>
      </w:r>
      <w:r>
        <w:rPr>
          <w:rFonts w:hint="eastAsia" w:ascii="宋体" w:hAnsi="宋体" w:eastAsia="宋体" w:cs="宋体"/>
          <w:b w:val="0"/>
          <w:bCs w:val="0"/>
          <w:color w:val="auto"/>
          <w:sz w:val="24"/>
          <w:highlight w:val="none"/>
          <w:lang w:eastAsia="zh-CN"/>
        </w:rPr>
        <w:t>本项目为专门面向</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企业采购的项目,投标单位应为</w:t>
      </w:r>
      <w:r>
        <w:rPr>
          <w:rFonts w:hint="eastAsia" w:ascii="宋体" w:hAnsi="宋体" w:eastAsia="宋体" w:cs="宋体"/>
          <w:b w:val="0"/>
          <w:bCs w:val="0"/>
          <w:color w:val="auto"/>
          <w:sz w:val="24"/>
          <w:highlight w:val="none"/>
          <w:lang w:val="en-US" w:eastAsia="zh-CN"/>
        </w:rPr>
        <w:t>中型、</w:t>
      </w:r>
      <w:r>
        <w:rPr>
          <w:rFonts w:hint="eastAsia" w:ascii="宋体" w:hAnsi="宋体" w:eastAsia="宋体" w:cs="宋体"/>
          <w:b w:val="0"/>
          <w:bCs w:val="0"/>
          <w:color w:val="auto"/>
          <w:sz w:val="24"/>
          <w:highlight w:val="none"/>
          <w:lang w:eastAsia="zh-CN"/>
        </w:rPr>
        <w:t>小型企业或微型企业或监狱企业和残疾人福利性单位</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投标时提供</w:t>
      </w:r>
      <w:r>
        <w:rPr>
          <w:rFonts w:hint="eastAsia" w:ascii="宋体" w:hAnsi="宋体" w:eastAsia="宋体" w:cs="宋体"/>
          <w:b w:val="0"/>
          <w:bCs w:val="0"/>
          <w:color w:val="auto"/>
          <w:sz w:val="24"/>
          <w:highlight w:val="none"/>
          <w:lang w:val="en-US" w:eastAsia="zh-CN"/>
        </w:rPr>
        <w:t>中小</w:t>
      </w:r>
      <w:r>
        <w:rPr>
          <w:rFonts w:hint="eastAsia" w:ascii="宋体" w:hAnsi="宋体" w:eastAsia="宋体" w:cs="宋体"/>
          <w:b w:val="0"/>
          <w:bCs w:val="0"/>
          <w:color w:val="auto"/>
          <w:sz w:val="24"/>
          <w:highlight w:val="none"/>
          <w:lang w:eastAsia="zh-CN"/>
        </w:rPr>
        <w:t>企业声明函（格式后附），否则其投标文件作无效投标处理。</w:t>
      </w:r>
    </w:p>
    <w:p w14:paraId="1F9BAF9F">
      <w:pPr>
        <w:adjustRightInd/>
        <w:spacing w:line="360" w:lineRule="auto"/>
        <w:ind w:firstLine="480" w:firstLineChars="200"/>
        <w:rPr>
          <w:rFonts w:hint="eastAsia"/>
          <w:highlight w:val="none"/>
          <w:lang w:eastAsia="zh-CN"/>
        </w:rPr>
      </w:pPr>
      <w:r>
        <w:rPr>
          <w:rFonts w:hint="eastAsia" w:ascii="宋体" w:hAnsi="宋体" w:cs="宋体"/>
          <w:bCs/>
          <w:sz w:val="24"/>
          <w:highlight w:val="none"/>
        </w:rPr>
        <w:t>▲</w:t>
      </w:r>
      <w:r>
        <w:rPr>
          <w:rFonts w:hint="eastAsia" w:ascii="宋体" w:hAnsi="宋体" w:cs="宋体"/>
          <w:sz w:val="24"/>
          <w:highlight w:val="none"/>
        </w:rPr>
        <w:t>1</w:t>
      </w:r>
      <w:r>
        <w:rPr>
          <w:rFonts w:ascii="宋体" w:hAnsi="宋体" w:cs="宋体"/>
          <w:sz w:val="24"/>
          <w:highlight w:val="none"/>
        </w:rPr>
        <w:t>1.1.</w:t>
      </w:r>
      <w:r>
        <w:rPr>
          <w:rFonts w:hint="eastAsia" w:ascii="宋体" w:hAnsi="宋体" w:cs="宋体"/>
          <w:sz w:val="24"/>
          <w:highlight w:val="none"/>
        </w:rPr>
        <w:t>4营业执照，</w:t>
      </w:r>
      <w:r>
        <w:rPr>
          <w:rFonts w:hint="eastAsia" w:ascii="宋体" w:hAnsi="宋体" w:cs="宋体"/>
          <w:bCs/>
          <w:sz w:val="24"/>
          <w:highlight w:val="none"/>
        </w:rPr>
        <w:t>有效营业执照</w:t>
      </w:r>
      <w:r>
        <w:rPr>
          <w:rFonts w:hint="eastAsia" w:cs="宋体"/>
          <w:bCs/>
          <w:sz w:val="24"/>
          <w:highlight w:val="none"/>
        </w:rPr>
        <w:t>或者其他组织机构的营业执照或事业法人登记证书或其他市场监督管理部门登记证明材料；</w:t>
      </w:r>
      <w:r>
        <w:rPr>
          <w:rFonts w:hint="eastAsia" w:cs="宋体"/>
          <w:b/>
          <w:sz w:val="24"/>
          <w:highlight w:val="none"/>
        </w:rPr>
        <w:t>提供营业执照或其他执照扫描件或复印件加盖公章；</w:t>
      </w:r>
    </w:p>
    <w:p w14:paraId="3C800994">
      <w:pPr>
        <w:snapToGrid w:val="0"/>
        <w:spacing w:line="360" w:lineRule="auto"/>
        <w:ind w:firstLine="723" w:firstLineChars="300"/>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sz w:val="24"/>
          <w:highlight w:val="none"/>
        </w:rPr>
        <w:t>11.1.</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本项目的特定资格要求</w:t>
      </w:r>
      <w:r>
        <w:rPr>
          <w:rFonts w:hint="eastAsia" w:ascii="宋体" w:hAnsi="宋体" w:eastAsia="宋体" w:cs="宋体"/>
          <w:b/>
          <w:bCs/>
          <w:color w:val="auto"/>
          <w:sz w:val="24"/>
          <w:highlight w:val="none"/>
          <w:lang w:eastAsia="zh-CN"/>
        </w:rPr>
        <w:t>：</w:t>
      </w:r>
      <w:r>
        <w:rPr>
          <w:rFonts w:hint="eastAsia" w:ascii="宋体" w:hAnsi="宋体" w:cs="宋体"/>
          <w:b/>
          <w:bCs/>
          <w:color w:val="auto"/>
          <w:sz w:val="24"/>
          <w:highlight w:val="none"/>
          <w:lang w:val="en-US" w:eastAsia="zh-CN"/>
        </w:rPr>
        <w:t>无。</w:t>
      </w:r>
    </w:p>
    <w:p w14:paraId="7C5394E1">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注：上述资格条件审查材料未响应提供的，视为资格审查不通过。上述内容部分格式及内容详见“</w:t>
      </w:r>
      <w:r>
        <w:rPr>
          <w:rFonts w:hint="eastAsia" w:ascii="宋体" w:hAnsi="宋体" w:eastAsia="宋体" w:cs="宋体"/>
          <w:color w:val="auto"/>
          <w:sz w:val="24"/>
          <w:highlight w:val="none"/>
        </w:rPr>
        <w:t>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06755F07">
      <w:pPr>
        <w:snapToGrid w:val="0"/>
        <w:spacing w:line="360" w:lineRule="auto"/>
        <w:ind w:firstLine="482" w:firstLineChars="200"/>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 xml:space="preserve">  </w:t>
      </w:r>
      <w:r>
        <w:rPr>
          <w:rFonts w:hint="eastAsia" w:ascii="宋体" w:hAnsi="宋体" w:eastAsia="宋体" w:cs="宋体"/>
          <w:b/>
          <w:bCs/>
          <w:color w:val="auto"/>
          <w:sz w:val="24"/>
          <w:highlight w:val="none"/>
        </w:rPr>
        <w:t>商务技术</w:t>
      </w:r>
      <w:r>
        <w:rPr>
          <w:rFonts w:hint="eastAsia" w:ascii="宋体" w:hAnsi="宋体" w:eastAsia="宋体" w:cs="宋体"/>
          <w:b/>
          <w:bCs/>
          <w:color w:val="auto"/>
          <w:sz w:val="24"/>
          <w:highlight w:val="none"/>
          <w:lang w:val="zh-CN"/>
        </w:rPr>
        <w:t>文件：</w:t>
      </w:r>
    </w:p>
    <w:p w14:paraId="36FCDF1F">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▲11.2.1投标函；</w:t>
      </w:r>
      <w:r>
        <w:rPr>
          <w:rFonts w:hint="eastAsia" w:ascii="宋体" w:hAnsi="宋体" w:eastAsia="宋体" w:cs="宋体"/>
          <w:b/>
          <w:bCs/>
          <w:color w:val="auto"/>
          <w:sz w:val="24"/>
          <w:highlight w:val="none"/>
          <w:lang w:val="zh-CN"/>
        </w:rPr>
        <w:t xml:space="preserve"> </w:t>
      </w:r>
    </w:p>
    <w:p w14:paraId="4DC65E70">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▲11.2.2授权委托书或法定代表人（单位负责人、自然人本人）身份证明；</w:t>
      </w:r>
    </w:p>
    <w:p w14:paraId="1065B54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02229A2B">
      <w:pPr>
        <w:snapToGrid w:val="0"/>
        <w:spacing w:line="360" w:lineRule="auto"/>
        <w:ind w:firstLine="964" w:firstLineChars="4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▲11.2.4符合性审查资料；</w:t>
      </w:r>
    </w:p>
    <w:p w14:paraId="13026D10">
      <w:pPr>
        <w:snapToGrid w:val="0"/>
        <w:spacing w:line="360" w:lineRule="auto"/>
        <w:ind w:left="420" w:leftChars="200" w:firstLine="482" w:firstLineChars="200"/>
        <w:rPr>
          <w:rFonts w:hint="eastAsia" w:ascii="宋体" w:hAnsi="宋体" w:eastAsia="宋体" w:cs="宋体"/>
          <w:b w:val="0"/>
          <w:bCs w:val="0"/>
          <w:color w:val="auto"/>
          <w:sz w:val="24"/>
          <w:szCs w:val="24"/>
          <w:highlight w:val="none"/>
        </w:rPr>
      </w:pPr>
      <w:r>
        <w:rPr>
          <w:rFonts w:hint="eastAsia" w:ascii="宋体" w:hAnsi="宋体" w:eastAsia="宋体" w:cs="宋体"/>
          <w:b/>
          <w:bCs/>
          <w:color w:val="auto"/>
          <w:sz w:val="24"/>
          <w:highlight w:val="none"/>
        </w:rPr>
        <w:t>11.2.5评标标准相应的商务技术资料；</w:t>
      </w:r>
      <w:r>
        <w:rPr>
          <w:rFonts w:hint="eastAsia" w:ascii="宋体" w:hAnsi="宋体" w:eastAsia="宋体" w:cs="宋体"/>
          <w:b w:val="0"/>
          <w:bCs w:val="0"/>
          <w:color w:val="auto"/>
          <w:sz w:val="24"/>
          <w:szCs w:val="24"/>
          <w:highlight w:val="none"/>
        </w:rPr>
        <w:t>（按招标文件第四部分评标办法前附表中“投标文件中评标标准相应的商务技术资料目录”提供资料）</w:t>
      </w:r>
    </w:p>
    <w:p w14:paraId="516C398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6A983A64">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2C03D144">
      <w:pPr>
        <w:snapToGrid w:val="0"/>
        <w:spacing w:line="360" w:lineRule="auto"/>
        <w:ind w:firstLine="720" w:firstLineChars="3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bCs/>
          <w:color w:val="auto"/>
          <w:sz w:val="24"/>
          <w:highlight w:val="none"/>
          <w:lang w:val="zh-CN"/>
        </w:rPr>
        <w:t>11.</w:t>
      </w:r>
      <w:r>
        <w:rPr>
          <w:rFonts w:hint="eastAsia" w:ascii="宋体" w:hAnsi="宋体" w:eastAsia="宋体" w:cs="宋体"/>
          <w:b/>
          <w:bCs/>
          <w:color w:val="auto"/>
          <w:sz w:val="24"/>
          <w:highlight w:val="none"/>
        </w:rPr>
        <w:t>2</w:t>
      </w:r>
      <w:r>
        <w:rPr>
          <w:rFonts w:hint="eastAsia" w:ascii="宋体" w:hAnsi="宋体" w:eastAsia="宋体" w:cs="宋体"/>
          <w:b/>
          <w:bCs/>
          <w:color w:val="auto"/>
          <w:sz w:val="24"/>
          <w:highlight w:val="none"/>
          <w:lang w:val="zh-CN"/>
        </w:rPr>
        <w:t>.</w:t>
      </w:r>
      <w:r>
        <w:rPr>
          <w:rFonts w:hint="eastAsia" w:ascii="宋体" w:hAnsi="宋体" w:eastAsia="宋体" w:cs="宋体"/>
          <w:b/>
          <w:bCs/>
          <w:color w:val="auto"/>
          <w:sz w:val="24"/>
          <w:highlight w:val="none"/>
        </w:rPr>
        <w:t>8</w:t>
      </w:r>
      <w:r>
        <w:rPr>
          <w:rFonts w:hint="eastAsia" w:ascii="宋体" w:hAnsi="宋体" w:eastAsia="宋体" w:cs="宋体"/>
          <w:b/>
          <w:bCs/>
          <w:color w:val="auto"/>
          <w:sz w:val="24"/>
          <w:highlight w:val="none"/>
          <w:lang w:val="zh-CN"/>
        </w:rPr>
        <w:t>政府采购供应商廉洁自律承诺书；</w:t>
      </w:r>
    </w:p>
    <w:p w14:paraId="4FC01254">
      <w:pPr>
        <w:snapToGrid w:val="0"/>
        <w:spacing w:line="360" w:lineRule="auto"/>
        <w:ind w:firstLine="964" w:firstLineChars="400"/>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rPr>
        <w:t>注：上述内容部分格式及内容详见“第六部分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075BFB39">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38A153D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2C1909A">
      <w:pPr>
        <w:adjustRightInd w:val="0"/>
        <w:snapToGrid w:val="0"/>
        <w:spacing w:line="360" w:lineRule="auto"/>
        <w:ind w:left="0" w:firstLine="1200" w:firstLineChars="500"/>
        <w:jc w:val="both"/>
        <w:outlineLvl w:val="9"/>
        <w:rPr>
          <w:rFonts w:hint="eastAsia" w:ascii="宋体" w:hAnsi="宋体" w:eastAsia="宋体" w:cs="宋体"/>
          <w:b w:val="0"/>
          <w:bCs w:val="0"/>
          <w:snapToGrid w:val="0"/>
          <w:color w:val="auto"/>
          <w:kern w:val="28"/>
          <w:sz w:val="24"/>
          <w:szCs w:val="20"/>
          <w:highlight w:val="none"/>
          <w:lang w:eastAsia="zh-CN"/>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报价情况说明</w:t>
      </w:r>
      <w:r>
        <w:rPr>
          <w:rFonts w:hint="eastAsia" w:ascii="宋体" w:hAnsi="宋体" w:eastAsia="宋体" w:cs="宋体"/>
          <w:b w:val="0"/>
          <w:bCs w:val="0"/>
          <w:snapToGrid w:val="0"/>
          <w:color w:val="auto"/>
          <w:kern w:val="28"/>
          <w:sz w:val="24"/>
          <w:szCs w:val="20"/>
          <w:highlight w:val="none"/>
        </w:rPr>
        <w:t>（如果有)</w:t>
      </w:r>
      <w:r>
        <w:rPr>
          <w:rFonts w:hint="eastAsia" w:ascii="宋体" w:hAnsi="宋体" w:eastAsia="宋体" w:cs="宋体"/>
          <w:b w:val="0"/>
          <w:bCs w:val="0"/>
          <w:snapToGrid w:val="0"/>
          <w:color w:val="auto"/>
          <w:kern w:val="28"/>
          <w:sz w:val="24"/>
          <w:szCs w:val="20"/>
          <w:highlight w:val="none"/>
          <w:lang w:eastAsia="zh-CN"/>
        </w:rPr>
        <w:t>；</w:t>
      </w:r>
    </w:p>
    <w:p w14:paraId="3317416E">
      <w:pPr>
        <w:adjustRightInd w:val="0"/>
        <w:snapToGrid w:val="0"/>
        <w:spacing w:line="360" w:lineRule="auto"/>
        <w:ind w:left="0" w:firstLine="960" w:firstLineChars="400"/>
        <w:outlineLvl w:val="9"/>
        <w:rPr>
          <w:rFonts w:hint="eastAsia" w:ascii="宋体" w:hAnsi="宋体" w:eastAsia="宋体" w:cs="宋体"/>
          <w:b/>
          <w:bCs/>
          <w:color w:val="auto"/>
          <w:sz w:val="24"/>
          <w:szCs w:val="24"/>
          <w:highlight w:val="none"/>
          <w:lang w:val="en-US"/>
        </w:rPr>
      </w:pPr>
      <w:r>
        <w:rPr>
          <w:rFonts w:hint="eastAsia" w:ascii="宋体" w:hAnsi="宋体" w:eastAsia="宋体" w:cs="宋体"/>
          <w:b w:val="0"/>
          <w:bCs w:val="0"/>
          <w:color w:val="auto"/>
          <w:sz w:val="24"/>
          <w:szCs w:val="24"/>
          <w:highlight w:val="none"/>
          <w:lang w:val="en-US"/>
        </w:rPr>
        <w:t>（</w:t>
      </w:r>
      <w:r>
        <w:rPr>
          <w:rFonts w:hint="eastAsia" w:ascii="宋体" w:hAnsi="宋体" w:eastAsia="宋体" w:cs="宋体"/>
          <w:b/>
          <w:bCs/>
          <w:color w:val="auto"/>
          <w:sz w:val="24"/>
          <w:szCs w:val="24"/>
          <w:highlight w:val="none"/>
          <w:lang w:val="en-US"/>
        </w:rPr>
        <w:t>如供应商报价低于项目预算50%的，应当提交本文档，详细阐述不影响产品</w:t>
      </w:r>
    </w:p>
    <w:p w14:paraId="373B5374">
      <w:pPr>
        <w:adjustRightInd w:val="0"/>
        <w:snapToGrid w:val="0"/>
        <w:spacing w:line="360" w:lineRule="auto"/>
        <w:ind w:left="0" w:firstLine="964" w:firstLineChars="400"/>
        <w:jc w:val="both"/>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rPr>
        <w:t>质量或者诚信履约的具体原因）</w:t>
      </w:r>
      <w:r>
        <w:rPr>
          <w:rFonts w:hint="eastAsia" w:ascii="宋体" w:hAnsi="宋体" w:eastAsia="宋体" w:cs="宋体"/>
          <w:b w:val="0"/>
          <w:bCs w:val="0"/>
          <w:color w:val="auto"/>
          <w:sz w:val="24"/>
          <w:szCs w:val="24"/>
          <w:highlight w:val="none"/>
          <w:lang w:val="en-US" w:eastAsia="zh-CN"/>
        </w:rPr>
        <w:t>；</w:t>
      </w:r>
    </w:p>
    <w:p w14:paraId="4FEC2DF4">
      <w:pPr>
        <w:snapToGrid w:val="0"/>
        <w:spacing w:line="360" w:lineRule="auto"/>
        <w:ind w:firstLine="1200" w:firstLineChars="5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11.3.</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lang w:eastAsia="zh-CN"/>
        </w:rPr>
        <w:t>）</w:t>
      </w:r>
    </w:p>
    <w:p w14:paraId="010484BF">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lang w:eastAsia="zh-CN"/>
        </w:rPr>
        <w:t>注：</w:t>
      </w:r>
      <w:r>
        <w:rPr>
          <w:rFonts w:hint="eastAsia" w:ascii="宋体" w:hAnsi="宋体" w:eastAsia="宋体" w:cs="宋体"/>
          <w:b/>
          <w:color w:val="auto"/>
          <w:sz w:val="24"/>
          <w:highlight w:val="none"/>
        </w:rPr>
        <w:t>投标文件含有采购人不能接受的附加条件的，投标无效；投标人提供虚假材料投标的，投标无效。</w:t>
      </w:r>
    </w:p>
    <w:p w14:paraId="6F123545">
      <w:pPr>
        <w:spacing w:line="360" w:lineRule="auto"/>
        <w:ind w:firstLine="723" w:firstLineChars="30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rPr>
        <w:t>部分格式及内容详见“第六部分  应提交的有关格式范例”。</w:t>
      </w:r>
      <w:r>
        <w:rPr>
          <w:rFonts w:hint="eastAsia" w:ascii="宋体" w:hAnsi="宋体" w:eastAsia="宋体" w:cs="宋体"/>
          <w:b/>
          <w:bCs/>
          <w:color w:val="auto"/>
          <w:sz w:val="24"/>
          <w:highlight w:val="none"/>
          <w:lang w:eastAsia="zh-CN"/>
        </w:rPr>
        <w:t>未提供格式的，根据需求及要求自行草拟。</w:t>
      </w:r>
    </w:p>
    <w:p w14:paraId="759C45BD">
      <w:pPr>
        <w:pStyle w:val="86"/>
        <w:spacing w:line="360" w:lineRule="auto"/>
        <w:ind w:firstLine="480" w:firstLineChars="200"/>
        <w:rPr>
          <w:rFonts w:hint="eastAsia" w:ascii="宋体" w:hAnsi="宋体" w:eastAsia="宋体" w:cs="宋体"/>
          <w:color w:val="auto"/>
          <w:highlight w:val="none"/>
          <w:lang w:val="zh-CN" w:eastAsia="zh-CN"/>
        </w:rPr>
      </w:pPr>
      <w:r>
        <w:rPr>
          <w:rFonts w:hint="eastAsia" w:ascii="宋体" w:hAnsi="宋体" w:eastAsia="宋体" w:cs="宋体"/>
          <w:color w:val="auto"/>
          <w:sz w:val="24"/>
          <w:szCs w:val="24"/>
          <w:highlight w:val="none"/>
          <w:shd w:val="clear" w:color="auto" w:fill="FFFFFF"/>
          <w:lang w:val="en-US" w:eastAsia="zh-CN"/>
        </w:rPr>
        <w:t>投标人应对投标文件中材料的真实性、合法性负责。</w:t>
      </w:r>
    </w:p>
    <w:p w14:paraId="7E87607E">
      <w:pPr>
        <w:pStyle w:val="98"/>
        <w:snapToGrid w:val="0"/>
        <w:spacing w:before="0"/>
        <w:ind w:firstLine="0" w:firstLineChars="0"/>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3465C30E">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81EBD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F9F852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64572CC">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6912438E">
      <w:pPr>
        <w:pStyle w:val="98"/>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2F848734">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8B03DBF">
      <w:pPr>
        <w:pStyle w:val="98"/>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67C380">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FBFC5C9">
      <w:pPr>
        <w:pStyle w:val="98"/>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386AAF7">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4A59BEC6">
      <w:pPr>
        <w:pStyle w:val="98"/>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026F3E69">
      <w:pPr>
        <w:pStyle w:val="35"/>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D058CC5">
      <w:pPr>
        <w:pStyle w:val="35"/>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但采购人、采购机构不强制或变相强制投标人提交备份投标文件。</w:t>
      </w:r>
    </w:p>
    <w:p w14:paraId="457F9D47">
      <w:pPr>
        <w:pStyle w:val="35"/>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lang w:val="en-US" w:eastAsia="zh-CN"/>
        </w:rPr>
        <w:t>U</w:t>
      </w:r>
      <w:r>
        <w:rPr>
          <w:rFonts w:hint="eastAsia" w:ascii="宋体" w:hAnsi="宋体" w:eastAsia="宋体" w:cs="宋体"/>
          <w:color w:val="auto"/>
          <w:sz w:val="24"/>
          <w:highlight w:val="none"/>
        </w:rPr>
        <w:t>盘</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40768251">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D8A62CF">
      <w:pPr>
        <w:pStyle w:val="35"/>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56BD8CA1">
      <w:pPr>
        <w:pStyle w:val="35"/>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A70EA24">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90C84A4">
      <w:pPr>
        <w:pStyle w:val="16"/>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4D80EE7">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658C99AD">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02ED91D">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4A345071">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7F12B7F2">
      <w:pPr>
        <w:pStyle w:val="98"/>
        <w:spacing w:before="0"/>
        <w:ind w:firstLine="643"/>
        <w:rPr>
          <w:rFonts w:hint="eastAsia" w:ascii="宋体" w:hAnsi="宋体" w:eastAsia="宋体" w:cs="宋体"/>
          <w:b/>
          <w:color w:val="auto"/>
          <w:sz w:val="32"/>
          <w:highlight w:val="none"/>
        </w:rPr>
      </w:pPr>
    </w:p>
    <w:p w14:paraId="4B767FBB">
      <w:pPr>
        <w:pStyle w:val="98"/>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FD77CB1">
      <w:pPr>
        <w:pStyle w:val="251"/>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0298BE28">
      <w:pPr>
        <w:pStyle w:val="251"/>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18.1采购机构按照招标文件规定的时间通过电子交易平台组织开标，所有投标人均应当准时在线参加。投标人不足3家的，不得开标。</w:t>
      </w:r>
    </w:p>
    <w:p w14:paraId="3DEFE13C">
      <w:pPr>
        <w:pStyle w:val="251"/>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F49410C">
      <w:pPr>
        <w:pStyle w:val="251"/>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2E329D40">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C51BEE7">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19.1开标后，采购人或采购机构将依法对投标人的资格进行审查。</w:t>
      </w:r>
    </w:p>
    <w:p w14:paraId="099443E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19.2</w:t>
      </w:r>
      <w:r>
        <w:rPr>
          <w:rFonts w:hint="eastAsia" w:ascii="宋体" w:hAnsi="宋体" w:eastAsia="宋体" w:cs="宋体"/>
          <w:color w:val="auto"/>
          <w:sz w:val="24"/>
          <w:highlight w:val="none"/>
        </w:rPr>
        <w:t>采购人或采购机构依据法律法规和招标文件的规定，对投标人的资格进行审查。</w:t>
      </w:r>
    </w:p>
    <w:p w14:paraId="01636B38">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19.3投标人未按照招标文件要求提供与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2457EA9E">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4对未通过资格审查的投标人，采购人或采购机构告知其未通过的原因。</w:t>
      </w:r>
    </w:p>
    <w:p w14:paraId="1B34937F">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5合格投标人不足3家的，不再评标。</w:t>
      </w:r>
    </w:p>
    <w:p w14:paraId="1B524945">
      <w:pPr>
        <w:pStyle w:val="98"/>
        <w:adjustRightInd w:val="0"/>
        <w:snapToGrid w:val="0"/>
        <w:spacing w:before="0"/>
        <w:ind w:firstLine="480"/>
        <w:rPr>
          <w:rStyle w:val="79"/>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2F5A4616">
      <w:pPr>
        <w:pStyle w:val="98"/>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EB3D18F">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60E742A6">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29DE60D">
      <w:pPr>
        <w:pStyle w:val="98"/>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26B7966A">
      <w:pPr>
        <w:pStyle w:val="98"/>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254542A">
      <w:pPr>
        <w:pStyle w:val="98"/>
        <w:spacing w:before="0"/>
        <w:ind w:firstLine="0" w:firstLineChars="0"/>
        <w:rPr>
          <w:rFonts w:hint="eastAsia" w:ascii="宋体" w:hAnsi="宋体" w:eastAsia="宋体" w:cs="宋体"/>
          <w:color w:val="auto"/>
          <w:kern w:val="0"/>
          <w:szCs w:val="24"/>
          <w:highlight w:val="none"/>
        </w:rPr>
      </w:pPr>
    </w:p>
    <w:p w14:paraId="09FC31D9">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7B9372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CF0BEFB">
      <w:pPr>
        <w:spacing w:line="360" w:lineRule="auto"/>
        <w:rPr>
          <w:rFonts w:hint="eastAsia" w:ascii="宋体" w:hAnsi="宋体" w:eastAsia="宋体" w:cs="宋体"/>
          <w:b/>
          <w:color w:val="auto"/>
          <w:sz w:val="24"/>
          <w:highlight w:val="none"/>
        </w:rPr>
      </w:pPr>
    </w:p>
    <w:p w14:paraId="74EBB187">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六、定标</w:t>
      </w:r>
    </w:p>
    <w:p w14:paraId="5DCE7439">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0141D3E6">
      <w:pPr>
        <w:pStyle w:val="98"/>
        <w:snapToGrid w:val="0"/>
        <w:spacing w:before="0"/>
        <w:ind w:firstLine="480"/>
        <w:rPr>
          <w:rFonts w:hint="eastAsia" w:ascii="宋体" w:hAnsi="宋体" w:eastAsia="宋体" w:cs="宋体"/>
          <w:b/>
          <w:color w:val="auto"/>
          <w:szCs w:val="24"/>
          <w:highlight w:val="none"/>
        </w:rPr>
      </w:pPr>
      <w:r>
        <w:rPr>
          <w:rFonts w:hint="eastAsia" w:ascii="宋体" w:hAnsi="宋体" w:eastAsia="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为提高政府采购效率，一般在收到评审报告当天确定中标或者成交供应商。中标、成交通知书和中标、成交结果公告应当在规定时间内同时发出。</w:t>
      </w:r>
    </w:p>
    <w:p w14:paraId="0434CF5C">
      <w:pPr>
        <w:pStyle w:val="98"/>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06DCF81A">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562B8E0F">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B34E47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4401182A">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63E2AE8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520FB33">
      <w:pPr>
        <w:pStyle w:val="16"/>
        <w:spacing w:line="360" w:lineRule="auto"/>
        <w:ind w:left="479" w:hanging="479" w:hangingChars="199"/>
        <w:rPr>
          <w:rFonts w:hint="eastAsia" w:ascii="宋体" w:hAnsi="宋体" w:eastAsia="宋体" w:cs="宋体"/>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0615D26F">
      <w:pPr>
        <w:pStyle w:val="98"/>
        <w:adjustRightInd w:val="0"/>
        <w:snapToGrid w:val="0"/>
        <w:spacing w:before="0"/>
        <w:rPr>
          <w:rStyle w:val="79"/>
          <w:rFonts w:hint="eastAsia" w:ascii="宋体" w:hAnsi="宋体" w:eastAsia="宋体" w:cs="宋体"/>
          <w:color w:val="auto"/>
          <w:highlight w:val="none"/>
        </w:rPr>
      </w:pPr>
      <w:r>
        <w:rPr>
          <w:rFonts w:hint="eastAsia" w:ascii="宋体" w:hAnsi="宋体" w:eastAsia="宋体" w:cs="宋体"/>
          <w:b w:val="0"/>
          <w:bCs/>
          <w:color w:val="auto"/>
          <w:szCs w:val="24"/>
          <w:highlight w:val="none"/>
        </w:rPr>
        <w:t>由于</w:t>
      </w:r>
      <w:r>
        <w:rPr>
          <w:rFonts w:hint="eastAsia" w:ascii="宋体" w:hAnsi="宋体" w:eastAsia="宋体" w:cs="宋体"/>
          <w:bCs/>
          <w:color w:val="auto"/>
          <w:szCs w:val="24"/>
          <w:highlight w:val="none"/>
        </w:rPr>
        <w:t>中标、成交供应商原因导致重新采购的，应当承担支付代理费和专家评审费等费用在内的赔偿责任。</w:t>
      </w:r>
    </w:p>
    <w:p w14:paraId="1C209DA5">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2DEACD2B">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C12E2B">
      <w:pPr>
        <w:pStyle w:val="98"/>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EA10330">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2E92F3D5">
      <w:pPr>
        <w:pStyle w:val="98"/>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29E789E">
      <w:pPr>
        <w:pStyle w:val="98"/>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CE1177F">
      <w:pPr>
        <w:pStyle w:val="16"/>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1C17E70B">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49090615">
      <w:pPr>
        <w:spacing w:line="360" w:lineRule="auto"/>
        <w:ind w:left="0" w:firstLine="480" w:firstLineChars="200"/>
        <w:outlineLvl w:val="9"/>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1349B11">
      <w:pPr>
        <w:pStyle w:val="16"/>
        <w:spacing w:line="360" w:lineRule="auto"/>
        <w:ind w:left="479" w:hanging="479" w:hangingChars="199"/>
        <w:rPr>
          <w:rFonts w:hint="eastAsia" w:ascii="宋体" w:hAnsi="宋体" w:eastAsia="宋体" w:cs="宋体"/>
          <w:b/>
          <w:bCs/>
          <w:snapToGrid w:val="0"/>
          <w:color w:val="auto"/>
          <w:kern w:val="28"/>
          <w:highlight w:val="none"/>
        </w:rPr>
      </w:pPr>
      <w:r>
        <w:rPr>
          <w:rFonts w:hint="eastAsia" w:ascii="宋体" w:hAnsi="宋体" w:eastAsia="宋体" w:cs="宋体"/>
          <w:b/>
          <w:bCs/>
          <w:snapToGrid w:val="0"/>
          <w:color w:val="auto"/>
          <w:kern w:val="28"/>
          <w:highlight w:val="none"/>
        </w:rPr>
        <w:t>27.预付款</w:t>
      </w:r>
    </w:p>
    <w:p w14:paraId="1D16F906">
      <w:pPr>
        <w:snapToGrid w:val="0"/>
        <w:spacing w:line="360" w:lineRule="auto"/>
        <w:ind w:firstLine="480" w:firstLineChars="200"/>
        <w:rPr>
          <w:rFonts w:hint="eastAsia" w:ascii="宋体" w:hAnsi="宋体" w:eastAsia="宋体" w:cs="宋体"/>
          <w:snapToGrid w:val="0"/>
          <w:color w:val="auto"/>
          <w:kern w:val="28"/>
          <w:sz w:val="24"/>
          <w:szCs w:val="24"/>
          <w:highlight w:val="none"/>
          <w:lang w:val="en-US"/>
        </w:rPr>
      </w:pPr>
      <w:r>
        <w:rPr>
          <w:rFonts w:hint="eastAsia" w:ascii="宋体" w:hAnsi="宋体" w:eastAsia="宋体" w:cs="宋体"/>
          <w:snapToGrid w:val="0"/>
          <w:color w:val="auto"/>
          <w:kern w:val="28"/>
          <w:sz w:val="24"/>
          <w:szCs w:val="24"/>
          <w:highlight w:val="none"/>
          <w:lang w:val="en-US"/>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201011B4">
      <w:pPr>
        <w:pStyle w:val="3"/>
        <w:rPr>
          <w:rFonts w:hint="eastAsia"/>
          <w:lang w:val="en-US"/>
        </w:rPr>
      </w:pPr>
    </w:p>
    <w:p w14:paraId="76445B16">
      <w:pPr>
        <w:snapToGrid w:val="0"/>
        <w:spacing w:line="360" w:lineRule="auto"/>
        <w:ind w:firstLine="3357" w:firstLineChars="1045"/>
        <w:rPr>
          <w:rFonts w:hint="eastAsia" w:ascii="宋体" w:hAnsi="宋体" w:eastAsia="宋体" w:cs="宋体"/>
          <w:b/>
          <w:color w:val="auto"/>
          <w:sz w:val="32"/>
          <w:highlight w:val="none"/>
        </w:rPr>
      </w:pPr>
    </w:p>
    <w:p w14:paraId="13E64622">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03997FE">
      <w:pPr>
        <w:pStyle w:val="98"/>
        <w:snapToGrid w:val="0"/>
        <w:spacing w:before="0" w:line="360" w:lineRule="auto"/>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b/>
          <w:color w:val="auto"/>
          <w:szCs w:val="24"/>
          <w:highlight w:val="none"/>
          <w:lang w:val="en-US" w:eastAsia="zh-CN"/>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采购过程中出现以下情形，导致电子交易平台无法正常运行，或者无法保证电子交易的公平、公正和安全时，采购机构可中止电子交易活动：</w:t>
      </w:r>
    </w:p>
    <w:p w14:paraId="7E836F47">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.1电子交易平台发生故障而无法登录访问的； </w:t>
      </w:r>
    </w:p>
    <w:p w14:paraId="58780086">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.2电子交易平台应用或数据库出现错误，不能进行正常操作的；</w:t>
      </w:r>
    </w:p>
    <w:p w14:paraId="3B0794EE">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.3电子交易平台发现严重安全漏洞，有潜在泄密危险的；</w:t>
      </w:r>
    </w:p>
    <w:p w14:paraId="76731B8A">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 xml:space="preserve">.4病毒发作导致不能进行正常操作的； </w:t>
      </w:r>
    </w:p>
    <w:p w14:paraId="6A0B3006">
      <w:pPr>
        <w:pStyle w:val="98"/>
        <w:snapToGrid w:val="0"/>
        <w:spacing w:before="0"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8</w:t>
      </w:r>
      <w:r>
        <w:rPr>
          <w:rFonts w:hint="eastAsia" w:ascii="宋体" w:hAnsi="宋体" w:eastAsia="宋体" w:cs="宋体"/>
          <w:color w:val="auto"/>
          <w:highlight w:val="none"/>
        </w:rPr>
        <w:t>.5其他无法保证电子交易的公平、公正和安全的情况。</w:t>
      </w:r>
    </w:p>
    <w:p w14:paraId="4D4B28DC">
      <w:pPr>
        <w:pStyle w:val="98"/>
        <w:snapToGrid w:val="0"/>
        <w:ind w:firstLine="0" w:firstLineChars="0"/>
        <w:rPr>
          <w:rFonts w:hint="eastAsia" w:ascii="宋体" w:hAnsi="宋体" w:eastAsia="宋体" w:cs="宋体"/>
          <w:color w:val="auto"/>
          <w:sz w:val="24"/>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9</w:t>
      </w:r>
      <w:r>
        <w:rPr>
          <w:rFonts w:hint="eastAsia" w:ascii="宋体" w:hAnsi="宋体" w:eastAsia="宋体" w:cs="宋体"/>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2BB333C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8D6A776">
      <w:pPr>
        <w:pStyle w:val="16"/>
        <w:spacing w:line="360" w:lineRule="auto"/>
        <w:ind w:firstLine="0" w:firstLineChars="0"/>
        <w:rPr>
          <w:rFonts w:hint="eastAsia" w:ascii="宋体" w:hAnsi="宋体" w:eastAsia="宋体" w:cs="宋体"/>
          <w:b/>
          <w:color w:val="auto"/>
          <w:highlight w:val="none"/>
        </w:rPr>
      </w:pPr>
      <w:r>
        <w:rPr>
          <w:rFonts w:hint="eastAsia" w:cs="宋体"/>
          <w:b/>
          <w:color w:val="auto"/>
          <w:highlight w:val="none"/>
          <w:lang w:val="en-US" w:eastAsia="zh-CN"/>
        </w:rPr>
        <w:t>30</w:t>
      </w:r>
      <w:r>
        <w:rPr>
          <w:rFonts w:hint="eastAsia" w:ascii="宋体" w:hAnsi="宋体" w:eastAsia="宋体" w:cs="宋体"/>
          <w:b/>
          <w:color w:val="auto"/>
          <w:highlight w:val="none"/>
        </w:rPr>
        <w:t>.验收</w:t>
      </w:r>
    </w:p>
    <w:p w14:paraId="6D0319E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FE15563">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highlight w:val="none"/>
          <w:lang w:val="en-US" w:eastAsia="zh-CN"/>
        </w:rPr>
        <w:t>30</w:t>
      </w:r>
      <w:r>
        <w:rPr>
          <w:rFonts w:hint="eastAsia" w:ascii="宋体" w:hAnsi="宋体" w:eastAsia="宋体" w:cs="宋体"/>
          <w:color w:val="auto"/>
          <w:kern w:val="0"/>
          <w:sz w:val="24"/>
          <w:highlight w:val="none"/>
        </w:rPr>
        <w:t>.2采购人可以邀请参加本项目的其他投标人或者第三方机构参与验收。参与验收的</w:t>
      </w:r>
      <w:r>
        <w:rPr>
          <w:rFonts w:hint="eastAsia" w:ascii="宋体" w:hAnsi="宋体" w:eastAsia="宋体" w:cs="宋体"/>
          <w:color w:val="auto"/>
          <w:kern w:val="0"/>
          <w:sz w:val="24"/>
          <w:szCs w:val="24"/>
          <w:highlight w:val="none"/>
        </w:rPr>
        <w:t>投标人或者第三方机构的意见作为验收书的参考资料一并存档。</w:t>
      </w:r>
    </w:p>
    <w:p w14:paraId="667C2D52">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74C1F68">
      <w:pPr>
        <w:tabs>
          <w:tab w:val="left" w:pos="0"/>
        </w:tabs>
        <w:spacing w:line="360" w:lineRule="auto"/>
        <w:ind w:firstLine="480"/>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30</w:t>
      </w:r>
      <w:r>
        <w:rPr>
          <w:rFonts w:hint="eastAsia" w:ascii="宋体" w:hAnsi="宋体" w:eastAsia="宋体" w:cs="宋体"/>
          <w:color w:val="auto"/>
          <w:kern w:val="0"/>
          <w:sz w:val="24"/>
          <w:szCs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DD2AC95">
      <w:pPr>
        <w:adjustRightInd w:val="0"/>
        <w:snapToGrid w:val="0"/>
        <w:spacing w:line="360" w:lineRule="auto"/>
        <w:ind w:left="0" w:firstLine="480" w:firstLineChars="200"/>
        <w:jc w:val="left"/>
        <w:outlineLvl w:val="9"/>
        <w:rPr>
          <w:rFonts w:hint="eastAsia" w:ascii="宋体" w:hAnsi="宋体" w:eastAsia="宋体" w:cs="宋体"/>
          <w:b w:val="0"/>
          <w:bCs w:val="0"/>
          <w:color w:val="auto"/>
          <w:kern w:val="0"/>
          <w:sz w:val="24"/>
          <w:szCs w:val="24"/>
          <w:highlight w:val="none"/>
          <w:lang w:val="en-US"/>
        </w:rPr>
      </w:pPr>
      <w:r>
        <w:rPr>
          <w:rFonts w:hint="eastAsia" w:ascii="宋体" w:hAnsi="宋体" w:cs="宋体"/>
          <w:b w:val="0"/>
          <w:bCs w:val="0"/>
          <w:color w:val="auto"/>
          <w:kern w:val="0"/>
          <w:sz w:val="24"/>
          <w:szCs w:val="24"/>
          <w:highlight w:val="none"/>
          <w:lang w:val="en-US" w:eastAsia="zh-CN"/>
        </w:rPr>
        <w:t>30</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520D459">
      <w:pPr>
        <w:spacing w:line="360" w:lineRule="auto"/>
        <w:rPr>
          <w:rFonts w:hint="eastAsia" w:ascii="宋体" w:hAnsi="宋体" w:eastAsia="宋体" w:cs="宋体"/>
          <w:highlight w:val="none"/>
        </w:rPr>
      </w:pPr>
    </w:p>
    <w:p w14:paraId="2683E53B">
      <w:pPr>
        <w:tabs>
          <w:tab w:val="left" w:pos="0"/>
        </w:tabs>
        <w:spacing w:line="360" w:lineRule="auto"/>
        <w:ind w:firstLine="480"/>
        <w:rPr>
          <w:rFonts w:hint="eastAsia" w:ascii="宋体" w:hAnsi="宋体" w:eastAsia="宋体" w:cs="宋体"/>
          <w:color w:val="auto"/>
          <w:kern w:val="0"/>
          <w:sz w:val="24"/>
          <w:szCs w:val="24"/>
          <w:highlight w:val="none"/>
        </w:rPr>
        <w:sectPr>
          <w:footerReference r:id="rId9" w:type="first"/>
          <w:footerReference r:id="rId8" w:type="default"/>
          <w:pgSz w:w="11906" w:h="16838"/>
          <w:pgMar w:top="1247" w:right="1474" w:bottom="1247" w:left="1418" w:header="851" w:footer="992" w:gutter="0"/>
          <w:pgNumType w:fmt="decimal" w:start="3"/>
          <w:cols w:space="720" w:num="1"/>
          <w:titlePg/>
          <w:docGrid w:linePitch="312" w:charSpace="0"/>
        </w:sectPr>
      </w:pPr>
    </w:p>
    <w:bookmarkEnd w:id="13"/>
    <w:bookmarkEnd w:id="14"/>
    <w:p w14:paraId="39AF635D">
      <w:pPr>
        <w:pStyle w:val="2"/>
        <w:rPr>
          <w:rFonts w:hint="eastAsia" w:ascii="宋体" w:hAnsi="宋体" w:eastAsia="宋体" w:cs="宋体"/>
          <w:b/>
          <w:color w:val="auto"/>
          <w:sz w:val="36"/>
          <w:szCs w:val="20"/>
          <w:highlight w:val="none"/>
        </w:rPr>
      </w:pPr>
      <w:bookmarkStart w:id="16" w:name="第四部分"/>
      <w:r>
        <w:rPr>
          <w:rFonts w:hint="eastAsia" w:ascii="宋体" w:hAnsi="宋体" w:eastAsia="宋体" w:cs="宋体"/>
          <w:color w:val="auto"/>
          <w:sz w:val="36"/>
          <w:szCs w:val="20"/>
          <w:highlight w:val="none"/>
        </w:rPr>
        <w:t>第三部分  采购需求</w:t>
      </w:r>
    </w:p>
    <w:p w14:paraId="13B15657">
      <w:pPr>
        <w:spacing w:before="75" w:line="360" w:lineRule="auto"/>
        <w:ind w:left="4"/>
        <w:rPr>
          <w:rFonts w:hint="eastAsia" w:ascii="宋体" w:hAnsi="宋体" w:eastAsia="宋体" w:cs="宋体"/>
          <w:sz w:val="24"/>
          <w:szCs w:val="24"/>
          <w:highlight w:val="none"/>
        </w:rPr>
      </w:pPr>
      <w:r>
        <w:rPr>
          <w:rFonts w:hint="eastAsia" w:ascii="宋体" w:hAnsi="宋体" w:eastAsia="宋体" w:cs="宋体"/>
          <w:b/>
          <w:bCs/>
          <w:spacing w:val="11"/>
          <w:sz w:val="24"/>
          <w:szCs w:val="24"/>
          <w:highlight w:val="none"/>
        </w:rPr>
        <w:t>一</w:t>
      </w:r>
      <w:r>
        <w:rPr>
          <w:rFonts w:hint="eastAsia" w:ascii="宋体" w:hAnsi="宋体" w:eastAsia="宋体" w:cs="宋体"/>
          <w:b/>
          <w:bCs/>
          <w:spacing w:val="8"/>
          <w:sz w:val="24"/>
          <w:szCs w:val="24"/>
          <w:highlight w:val="none"/>
        </w:rPr>
        <w:t>、项目背景</w:t>
      </w:r>
    </w:p>
    <w:p w14:paraId="6BCFBCB3">
      <w:pPr>
        <w:spacing w:before="184" w:line="360" w:lineRule="auto"/>
        <w:ind w:firstLine="48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本项目采购内容为</w:t>
      </w:r>
      <w:r>
        <w:rPr>
          <w:rFonts w:hint="eastAsia" w:ascii="宋体" w:hAnsi="宋体" w:cs="宋体"/>
          <w:spacing w:val="12"/>
          <w:sz w:val="24"/>
          <w:szCs w:val="24"/>
          <w:highlight w:val="none"/>
          <w:lang w:eastAsia="zh-CN"/>
        </w:rPr>
        <w:t>杭州市余杭区市场监督管理局产品商品检测服务采购项目</w:t>
      </w:r>
      <w:r>
        <w:rPr>
          <w:rFonts w:hint="eastAsia" w:ascii="宋体" w:hAnsi="宋体" w:eastAsia="宋体" w:cs="宋体"/>
          <w:spacing w:val="12"/>
          <w:sz w:val="24"/>
          <w:szCs w:val="24"/>
          <w:highlight w:val="none"/>
        </w:rPr>
        <w:t>。项目</w:t>
      </w:r>
      <w:r>
        <w:rPr>
          <w:rFonts w:hint="eastAsia" w:ascii="宋体" w:hAnsi="宋体" w:eastAsia="宋体" w:cs="宋体"/>
          <w:spacing w:val="10"/>
          <w:sz w:val="24"/>
          <w:szCs w:val="24"/>
          <w:highlight w:val="none"/>
        </w:rPr>
        <w:t>检</w:t>
      </w:r>
      <w:r>
        <w:rPr>
          <w:rFonts w:hint="eastAsia" w:ascii="宋体" w:hAnsi="宋体" w:eastAsia="宋体" w:cs="宋体"/>
          <w:spacing w:val="14"/>
          <w:sz w:val="24"/>
          <w:szCs w:val="24"/>
          <w:highlight w:val="none"/>
        </w:rPr>
        <w:t>测范围</w:t>
      </w:r>
      <w:r>
        <w:rPr>
          <w:rFonts w:hint="eastAsia" w:ascii="宋体" w:hAnsi="宋体" w:cs="宋体"/>
          <w:spacing w:val="10"/>
          <w:sz w:val="24"/>
          <w:szCs w:val="24"/>
          <w:highlight w:val="none"/>
          <w:lang w:val="en-US" w:eastAsia="zh-CN"/>
        </w:rPr>
        <w:t>包括</w:t>
      </w:r>
      <w:r>
        <w:rPr>
          <w:rFonts w:hint="eastAsia" w:ascii="宋体" w:hAnsi="宋体" w:eastAsia="宋体" w:cs="宋体"/>
          <w:spacing w:val="7"/>
          <w:sz w:val="24"/>
          <w:szCs w:val="24"/>
          <w:highlight w:val="none"/>
        </w:rPr>
        <w:t>食品相关产品检测，电动自行车检测</w:t>
      </w:r>
      <w:r>
        <w:rPr>
          <w:rFonts w:hint="eastAsia" w:ascii="宋体" w:hAnsi="宋体" w:eastAsia="宋体" w:cs="宋体"/>
          <w:spacing w:val="7"/>
          <w:sz w:val="24"/>
          <w:szCs w:val="24"/>
          <w:highlight w:val="none"/>
          <w:lang w:eastAsia="zh-CN"/>
        </w:rPr>
        <w:t>，</w:t>
      </w:r>
      <w:r>
        <w:rPr>
          <w:rFonts w:hint="eastAsia" w:ascii="宋体" w:hAnsi="宋体" w:eastAsia="宋体" w:cs="宋体"/>
          <w:spacing w:val="7"/>
          <w:sz w:val="24"/>
          <w:szCs w:val="24"/>
          <w:highlight w:val="none"/>
        </w:rPr>
        <w:t>车用柴油检测，车用汽油检测，建材、</w:t>
      </w:r>
      <w:r>
        <w:rPr>
          <w:rFonts w:hint="eastAsia" w:ascii="宋体" w:hAnsi="宋体" w:eastAsia="宋体" w:cs="宋体"/>
          <w:spacing w:val="28"/>
          <w:sz w:val="24"/>
          <w:szCs w:val="24"/>
          <w:highlight w:val="none"/>
        </w:rPr>
        <w:t>装</w:t>
      </w:r>
      <w:r>
        <w:rPr>
          <w:rFonts w:hint="eastAsia" w:ascii="宋体" w:hAnsi="宋体" w:eastAsia="宋体" w:cs="宋体"/>
          <w:spacing w:val="22"/>
          <w:sz w:val="24"/>
          <w:szCs w:val="24"/>
          <w:highlight w:val="none"/>
        </w:rPr>
        <w:t>修</w:t>
      </w:r>
      <w:r>
        <w:rPr>
          <w:rFonts w:hint="eastAsia" w:ascii="宋体" w:hAnsi="宋体" w:eastAsia="宋体" w:cs="宋体"/>
          <w:spacing w:val="14"/>
          <w:sz w:val="24"/>
          <w:szCs w:val="24"/>
          <w:highlight w:val="none"/>
        </w:rPr>
        <w:t>装饰产品及工具检测，家用电器，轻工业品(纺织类、婴幼儿用品)</w:t>
      </w:r>
      <w:r>
        <w:rPr>
          <w:rFonts w:hint="eastAsia" w:ascii="宋体" w:hAnsi="宋体" w:cs="宋体"/>
          <w:spacing w:val="14"/>
          <w:sz w:val="24"/>
          <w:szCs w:val="24"/>
          <w:highlight w:val="none"/>
          <w:lang w:val="en-US" w:eastAsia="zh-CN"/>
        </w:rPr>
        <w:t>等</w:t>
      </w:r>
      <w:r>
        <w:rPr>
          <w:rFonts w:hint="eastAsia" w:ascii="宋体" w:hAnsi="宋体" w:eastAsia="宋体" w:cs="宋体"/>
          <w:spacing w:val="14"/>
          <w:sz w:val="24"/>
          <w:szCs w:val="24"/>
          <w:highlight w:val="none"/>
        </w:rPr>
        <w:t xml:space="preserve"> 。具体详</w:t>
      </w:r>
      <w:r>
        <w:rPr>
          <w:rFonts w:hint="eastAsia" w:ascii="宋体" w:hAnsi="宋体" w:eastAsia="宋体" w:cs="宋体"/>
          <w:spacing w:val="30"/>
          <w:sz w:val="24"/>
          <w:szCs w:val="24"/>
          <w:highlight w:val="none"/>
        </w:rPr>
        <w:t>见</w:t>
      </w:r>
      <w:r>
        <w:rPr>
          <w:rFonts w:hint="eastAsia" w:ascii="宋体" w:hAnsi="宋体" w:eastAsia="宋体" w:cs="宋体"/>
          <w:spacing w:val="20"/>
          <w:sz w:val="24"/>
          <w:szCs w:val="24"/>
          <w:highlight w:val="none"/>
        </w:rPr>
        <w:t>附件：检测项目汇总表(见附件)。</w:t>
      </w:r>
    </w:p>
    <w:p w14:paraId="5CD5A413">
      <w:pPr>
        <w:spacing w:before="198" w:line="360" w:lineRule="auto"/>
        <w:ind w:left="4"/>
        <w:rPr>
          <w:rFonts w:hint="eastAsia" w:ascii="宋体" w:hAnsi="宋体" w:eastAsia="宋体" w:cs="宋体"/>
          <w:sz w:val="24"/>
          <w:szCs w:val="24"/>
          <w:highlight w:val="none"/>
        </w:rPr>
      </w:pPr>
      <w:r>
        <w:rPr>
          <w:rFonts w:hint="eastAsia" w:ascii="宋体" w:hAnsi="宋体" w:eastAsia="宋体" w:cs="宋体"/>
          <w:b/>
          <w:bCs/>
          <w:spacing w:val="-5"/>
          <w:sz w:val="24"/>
          <w:szCs w:val="24"/>
          <w:highlight w:val="none"/>
        </w:rPr>
        <w:t>二</w:t>
      </w:r>
      <w:r>
        <w:rPr>
          <w:rFonts w:hint="eastAsia" w:ascii="宋体" w:hAnsi="宋体" w:eastAsia="宋体" w:cs="宋体"/>
          <w:b/>
          <w:bCs/>
          <w:spacing w:val="-3"/>
          <w:sz w:val="24"/>
          <w:szCs w:val="24"/>
          <w:highlight w:val="none"/>
        </w:rPr>
        <w:t>、具体内容</w:t>
      </w:r>
      <w:r>
        <w:rPr>
          <w:rFonts w:hint="eastAsia" w:ascii="宋体" w:hAnsi="宋体" w:eastAsia="宋体" w:cs="宋体"/>
          <w:b/>
          <w:bCs/>
          <w:spacing w:val="-3"/>
          <w:sz w:val="24"/>
          <w:szCs w:val="24"/>
          <w:highlight w:val="none"/>
          <w:lang w:eastAsia="zh-CN"/>
        </w:rPr>
        <w:t>、</w:t>
      </w:r>
      <w:r>
        <w:rPr>
          <w:rFonts w:hint="eastAsia" w:ascii="宋体" w:hAnsi="宋体" w:eastAsia="宋体" w:cs="宋体"/>
          <w:b/>
          <w:bCs/>
          <w:spacing w:val="-3"/>
          <w:sz w:val="24"/>
          <w:szCs w:val="24"/>
          <w:highlight w:val="none"/>
        </w:rPr>
        <w:t>要求</w:t>
      </w:r>
    </w:p>
    <w:p w14:paraId="5DF9F7DA">
      <w:pPr>
        <w:spacing w:before="175" w:line="360" w:lineRule="auto"/>
        <w:ind w:left="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7"/>
          <w:sz w:val="24"/>
          <w:szCs w:val="24"/>
          <w:highlight w:val="none"/>
        </w:rPr>
        <w:t>、中标的第三方检测机构需将有效期内的资质认定证书复印件(含证书所附的“检</w:t>
      </w:r>
      <w:r>
        <w:rPr>
          <w:rFonts w:hint="eastAsia" w:ascii="宋体" w:hAnsi="宋体" w:eastAsia="宋体" w:cs="宋体"/>
          <w:spacing w:val="10"/>
          <w:sz w:val="24"/>
          <w:szCs w:val="24"/>
          <w:highlight w:val="none"/>
        </w:rPr>
        <w:t>测能</w:t>
      </w:r>
      <w:r>
        <w:rPr>
          <w:rFonts w:hint="eastAsia" w:ascii="宋体" w:hAnsi="宋体" w:eastAsia="宋体" w:cs="宋体"/>
          <w:spacing w:val="9"/>
          <w:sz w:val="24"/>
          <w:szCs w:val="24"/>
          <w:highlight w:val="none"/>
        </w:rPr>
        <w:t>力</w:t>
      </w:r>
      <w:r>
        <w:rPr>
          <w:rFonts w:hint="eastAsia" w:ascii="宋体" w:hAnsi="宋体" w:eastAsia="宋体" w:cs="宋体"/>
          <w:spacing w:val="5"/>
          <w:sz w:val="24"/>
          <w:szCs w:val="24"/>
          <w:highlight w:val="none"/>
        </w:rPr>
        <w:t>范围表” ，如具备实验室认可证书的也同时提供) 于合同签订后 5 个工作日内送</w:t>
      </w:r>
      <w:r>
        <w:rPr>
          <w:rFonts w:hint="eastAsia" w:ascii="宋体" w:hAnsi="宋体" w:eastAsia="宋体" w:cs="宋体"/>
          <w:spacing w:val="9"/>
          <w:sz w:val="24"/>
          <w:szCs w:val="24"/>
          <w:highlight w:val="none"/>
        </w:rPr>
        <w:t>杭州市余杭区市场监督管理局备案</w:t>
      </w:r>
      <w:r>
        <w:rPr>
          <w:rFonts w:hint="eastAsia" w:ascii="宋体" w:hAnsi="宋体" w:eastAsia="宋体" w:cs="宋体"/>
          <w:spacing w:val="6"/>
          <w:sz w:val="24"/>
          <w:szCs w:val="24"/>
          <w:highlight w:val="none"/>
        </w:rPr>
        <w:t>。</w:t>
      </w:r>
    </w:p>
    <w:p w14:paraId="4579E830">
      <w:pPr>
        <w:spacing w:before="176" w:line="360" w:lineRule="auto"/>
        <w:ind w:lef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2 、杭州市余杭区市场监督管理局与确定承接委托任务的检测机构签订委托合同</w:t>
      </w:r>
      <w:r>
        <w:rPr>
          <w:rFonts w:hint="eastAsia" w:ascii="宋体" w:hAnsi="宋体" w:eastAsia="宋体" w:cs="宋体"/>
          <w:spacing w:val="5"/>
          <w:sz w:val="24"/>
          <w:szCs w:val="24"/>
          <w:highlight w:val="none"/>
        </w:rPr>
        <w:t>，</w:t>
      </w:r>
    </w:p>
    <w:p w14:paraId="08EF110E">
      <w:pPr>
        <w:spacing w:before="252" w:line="360" w:lineRule="auto"/>
        <w:ind w:left="6"/>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实行检测任务委托</w:t>
      </w:r>
      <w:r>
        <w:rPr>
          <w:rFonts w:hint="eastAsia" w:ascii="宋体" w:hAnsi="宋体" w:eastAsia="宋体" w:cs="宋体"/>
          <w:spacing w:val="3"/>
          <w:sz w:val="24"/>
          <w:szCs w:val="24"/>
          <w:highlight w:val="none"/>
        </w:rPr>
        <w:t>。</w:t>
      </w:r>
    </w:p>
    <w:p w14:paraId="45C065A6">
      <w:pPr>
        <w:spacing w:before="175" w:line="360" w:lineRule="auto"/>
        <w:ind w:lef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3、检</w:t>
      </w:r>
      <w:r>
        <w:rPr>
          <w:rFonts w:hint="eastAsia" w:ascii="宋体" w:hAnsi="宋体" w:eastAsia="宋体" w:cs="宋体"/>
          <w:spacing w:val="9"/>
          <w:sz w:val="24"/>
          <w:szCs w:val="24"/>
          <w:highlight w:val="none"/>
        </w:rPr>
        <w:t>测</w:t>
      </w:r>
      <w:r>
        <w:rPr>
          <w:rFonts w:hint="eastAsia" w:ascii="宋体" w:hAnsi="宋体" w:eastAsia="宋体" w:cs="宋体"/>
          <w:spacing w:val="6"/>
          <w:sz w:val="24"/>
          <w:szCs w:val="24"/>
          <w:highlight w:val="none"/>
        </w:rPr>
        <w:t>机构必须严格按质量管理规定和质量保证技术规定等规定对委托的检测任</w:t>
      </w:r>
      <w:r>
        <w:rPr>
          <w:rFonts w:hint="eastAsia" w:ascii="宋体" w:hAnsi="宋体" w:eastAsia="宋体" w:cs="宋体"/>
          <w:spacing w:val="16"/>
          <w:sz w:val="24"/>
          <w:szCs w:val="24"/>
          <w:highlight w:val="none"/>
        </w:rPr>
        <w:t>务</w:t>
      </w:r>
      <w:r>
        <w:rPr>
          <w:rFonts w:hint="eastAsia" w:ascii="宋体" w:hAnsi="宋体" w:eastAsia="宋体" w:cs="宋体"/>
          <w:spacing w:val="14"/>
          <w:sz w:val="24"/>
          <w:szCs w:val="24"/>
          <w:highlight w:val="none"/>
        </w:rPr>
        <w:t>实</w:t>
      </w:r>
      <w:r>
        <w:rPr>
          <w:rFonts w:hint="eastAsia" w:ascii="宋体" w:hAnsi="宋体" w:eastAsia="宋体" w:cs="宋体"/>
          <w:spacing w:val="8"/>
          <w:sz w:val="24"/>
          <w:szCs w:val="24"/>
          <w:highlight w:val="none"/>
        </w:rPr>
        <w:t>施全过程质量控制，并向杭州市余杭区市场监督管理局提供质控数据。</w:t>
      </w:r>
    </w:p>
    <w:p w14:paraId="41A7B85A">
      <w:pPr>
        <w:spacing w:before="176" w:line="360" w:lineRule="auto"/>
        <w:ind w:lef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4、</w:t>
      </w:r>
      <w:r>
        <w:rPr>
          <w:rFonts w:hint="eastAsia" w:ascii="宋体" w:hAnsi="宋体" w:eastAsia="宋体" w:cs="宋体"/>
          <w:spacing w:val="8"/>
          <w:sz w:val="24"/>
          <w:szCs w:val="24"/>
          <w:highlight w:val="none"/>
        </w:rPr>
        <w:t>承</w:t>
      </w:r>
      <w:r>
        <w:rPr>
          <w:rFonts w:hint="eastAsia" w:ascii="宋体" w:hAnsi="宋体" w:eastAsia="宋体" w:cs="宋体"/>
          <w:spacing w:val="6"/>
          <w:sz w:val="24"/>
          <w:szCs w:val="24"/>
          <w:highlight w:val="none"/>
        </w:rPr>
        <w:t>接委托任务的检测机构需在委托合同 (协议) 约定期限内向杭州市余杭区市</w:t>
      </w:r>
      <w:r>
        <w:rPr>
          <w:rFonts w:hint="eastAsia" w:ascii="宋体" w:hAnsi="宋体" w:eastAsia="宋体" w:cs="宋体"/>
          <w:spacing w:val="12"/>
          <w:sz w:val="24"/>
          <w:szCs w:val="24"/>
          <w:highlight w:val="none"/>
        </w:rPr>
        <w:t>场</w:t>
      </w:r>
      <w:r>
        <w:rPr>
          <w:rFonts w:hint="eastAsia" w:ascii="宋体" w:hAnsi="宋体" w:eastAsia="宋体" w:cs="宋体"/>
          <w:spacing w:val="11"/>
          <w:sz w:val="24"/>
          <w:szCs w:val="24"/>
          <w:highlight w:val="none"/>
        </w:rPr>
        <w:t>监</w:t>
      </w:r>
      <w:r>
        <w:rPr>
          <w:rFonts w:hint="eastAsia" w:ascii="宋体" w:hAnsi="宋体" w:eastAsia="宋体" w:cs="宋体"/>
          <w:spacing w:val="6"/>
          <w:sz w:val="24"/>
          <w:szCs w:val="24"/>
          <w:highlight w:val="none"/>
        </w:rPr>
        <w:t>督管理局递交委托检测报告。</w:t>
      </w:r>
    </w:p>
    <w:p w14:paraId="75B1E837">
      <w:pPr>
        <w:spacing w:before="177" w:line="360" w:lineRule="auto"/>
        <w:ind w:left="0"/>
        <w:rPr>
          <w:rFonts w:hint="eastAsia" w:ascii="宋体" w:hAnsi="宋体" w:eastAsia="宋体" w:cs="宋体"/>
          <w:spacing w:val="7"/>
          <w:sz w:val="24"/>
          <w:szCs w:val="24"/>
          <w:highlight w:val="none"/>
        </w:rPr>
      </w:pPr>
      <w:r>
        <w:rPr>
          <w:rFonts w:hint="eastAsia" w:ascii="宋体" w:hAnsi="宋体" w:eastAsia="宋体" w:cs="宋体"/>
          <w:spacing w:val="12"/>
          <w:sz w:val="24"/>
          <w:szCs w:val="24"/>
          <w:highlight w:val="none"/>
        </w:rPr>
        <w:t>5、未</w:t>
      </w:r>
      <w:r>
        <w:rPr>
          <w:rFonts w:hint="eastAsia" w:ascii="宋体" w:hAnsi="宋体" w:eastAsia="宋体" w:cs="宋体"/>
          <w:spacing w:val="8"/>
          <w:sz w:val="24"/>
          <w:szCs w:val="24"/>
          <w:highlight w:val="none"/>
        </w:rPr>
        <w:t>经</w:t>
      </w:r>
      <w:r>
        <w:rPr>
          <w:rFonts w:hint="eastAsia" w:ascii="宋体" w:hAnsi="宋体" w:eastAsia="宋体" w:cs="宋体"/>
          <w:spacing w:val="6"/>
          <w:sz w:val="24"/>
          <w:szCs w:val="24"/>
          <w:highlight w:val="none"/>
        </w:rPr>
        <w:t>采购人同意，各检测机构承接委托任务后不可再进行委托或分包，否则杭</w:t>
      </w:r>
      <w:r>
        <w:rPr>
          <w:rFonts w:hint="eastAsia" w:ascii="宋体" w:hAnsi="宋体" w:eastAsia="宋体" w:cs="宋体"/>
          <w:spacing w:val="14"/>
          <w:sz w:val="24"/>
          <w:szCs w:val="24"/>
          <w:highlight w:val="none"/>
        </w:rPr>
        <w:t>州市</w:t>
      </w:r>
      <w:r>
        <w:rPr>
          <w:rFonts w:hint="eastAsia" w:ascii="宋体" w:hAnsi="宋体" w:eastAsia="宋体" w:cs="宋体"/>
          <w:spacing w:val="9"/>
          <w:sz w:val="24"/>
          <w:szCs w:val="24"/>
          <w:highlight w:val="none"/>
        </w:rPr>
        <w:t>余</w:t>
      </w:r>
      <w:r>
        <w:rPr>
          <w:rFonts w:hint="eastAsia" w:ascii="宋体" w:hAnsi="宋体" w:eastAsia="宋体" w:cs="宋体"/>
          <w:spacing w:val="7"/>
          <w:sz w:val="24"/>
          <w:szCs w:val="24"/>
          <w:highlight w:val="none"/>
        </w:rPr>
        <w:t>杭区市场监督管理局将取消其中标资格。</w:t>
      </w:r>
    </w:p>
    <w:p w14:paraId="3816B35D">
      <w:pPr>
        <w:pStyle w:val="2"/>
        <w:jc w:val="left"/>
        <w:rPr>
          <w:rFonts w:hint="default" w:eastAsia="宋体"/>
          <w:b w:val="0"/>
          <w:bCs w:val="0"/>
          <w:lang w:val="en-US" w:eastAsia="zh-CN"/>
        </w:rPr>
      </w:pPr>
      <w:r>
        <w:rPr>
          <w:rFonts w:hint="eastAsia" w:ascii="宋体" w:hAnsi="宋体" w:cs="宋体"/>
          <w:b w:val="0"/>
          <w:bCs w:val="0"/>
          <w:spacing w:val="7"/>
          <w:sz w:val="24"/>
          <w:szCs w:val="24"/>
          <w:highlight w:val="none"/>
          <w:lang w:val="en-US" w:eastAsia="zh-CN"/>
        </w:rPr>
        <w:t>6、不合格产品涉及的企业复查工作由初检单位免费承担。</w:t>
      </w:r>
    </w:p>
    <w:p w14:paraId="629C889B">
      <w:pPr>
        <w:spacing w:before="118" w:line="360" w:lineRule="auto"/>
        <w:rPr>
          <w:rFonts w:hint="eastAsia" w:ascii="宋体" w:hAnsi="宋体" w:eastAsia="宋体" w:cs="宋体"/>
          <w:b/>
          <w:bCs/>
          <w:sz w:val="24"/>
          <w:szCs w:val="24"/>
          <w:highlight w:val="none"/>
        </w:rPr>
      </w:pPr>
      <w:r>
        <w:rPr>
          <w:rFonts w:hint="eastAsia" w:ascii="宋体" w:hAnsi="宋体" w:eastAsia="宋体" w:cs="宋体"/>
          <w:b/>
          <w:bCs/>
          <w:spacing w:val="-13"/>
          <w:sz w:val="24"/>
          <w:szCs w:val="24"/>
          <w:highlight w:val="none"/>
        </w:rPr>
        <w:t>三</w:t>
      </w:r>
      <w:r>
        <w:rPr>
          <w:rFonts w:hint="eastAsia" w:ascii="宋体" w:hAnsi="宋体" w:eastAsia="宋体" w:cs="宋体"/>
          <w:b/>
          <w:bCs/>
          <w:spacing w:val="-7"/>
          <w:sz w:val="24"/>
          <w:szCs w:val="24"/>
          <w:highlight w:val="none"/>
        </w:rPr>
        <w:t>、 工期要求：</w:t>
      </w:r>
    </w:p>
    <w:p w14:paraId="362E5EF7">
      <w:pPr>
        <w:spacing w:before="116" w:line="360" w:lineRule="auto"/>
        <w:ind w:left="0" w:right="82" w:firstLine="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本次招标</w:t>
      </w:r>
      <w:r>
        <w:rPr>
          <w:rFonts w:hint="eastAsia" w:ascii="宋体" w:hAnsi="宋体" w:eastAsia="宋体" w:cs="宋体"/>
          <w:spacing w:val="7"/>
          <w:sz w:val="24"/>
          <w:szCs w:val="24"/>
          <w:highlight w:val="none"/>
        </w:rPr>
        <w:t>资</w:t>
      </w:r>
      <w:r>
        <w:rPr>
          <w:rFonts w:hint="eastAsia" w:ascii="宋体" w:hAnsi="宋体" w:eastAsia="宋体" w:cs="宋体"/>
          <w:spacing w:val="6"/>
          <w:sz w:val="24"/>
          <w:szCs w:val="24"/>
          <w:highlight w:val="none"/>
        </w:rPr>
        <w:t>格中标服务期限为自合同签订之日</w:t>
      </w:r>
      <w:r>
        <w:rPr>
          <w:rFonts w:hint="eastAsia" w:ascii="宋体" w:hAnsi="宋体" w:cs="宋体"/>
          <w:spacing w:val="6"/>
          <w:sz w:val="24"/>
          <w:szCs w:val="24"/>
          <w:highlight w:val="none"/>
          <w:lang w:val="en-US" w:eastAsia="zh-CN"/>
        </w:rPr>
        <w:t>一年</w:t>
      </w:r>
      <w:r>
        <w:rPr>
          <w:rFonts w:hint="eastAsia" w:ascii="宋体" w:hAnsi="宋体" w:cs="宋体"/>
          <w:spacing w:val="6"/>
          <w:sz w:val="24"/>
          <w:szCs w:val="24"/>
          <w:highlight w:val="none"/>
          <w:lang w:eastAsia="zh-CN"/>
        </w:rPr>
        <w:t>，</w:t>
      </w:r>
      <w:r>
        <w:rPr>
          <w:rFonts w:hint="eastAsia" w:ascii="宋体" w:hAnsi="宋体" w:eastAsia="宋体" w:cs="宋体"/>
          <w:spacing w:val="6"/>
          <w:sz w:val="24"/>
          <w:szCs w:val="24"/>
          <w:highlight w:val="none"/>
        </w:rPr>
        <w:t>合同期满，另行</w:t>
      </w:r>
      <w:r>
        <w:rPr>
          <w:rFonts w:hint="eastAsia" w:ascii="宋体" w:hAnsi="宋体" w:eastAsia="宋体" w:cs="宋体"/>
          <w:spacing w:val="-6"/>
          <w:sz w:val="24"/>
          <w:szCs w:val="24"/>
          <w:highlight w:val="none"/>
        </w:rPr>
        <w:t>招</w:t>
      </w:r>
      <w:r>
        <w:rPr>
          <w:rFonts w:hint="eastAsia" w:ascii="宋体" w:hAnsi="宋体" w:eastAsia="宋体" w:cs="宋体"/>
          <w:spacing w:val="-4"/>
          <w:sz w:val="24"/>
          <w:szCs w:val="24"/>
          <w:highlight w:val="none"/>
        </w:rPr>
        <w:t>标。</w:t>
      </w:r>
    </w:p>
    <w:p w14:paraId="6323E087">
      <w:pPr>
        <w:spacing w:before="2" w:line="360" w:lineRule="auto"/>
        <w:ind w:left="0" w:right="80" w:firstLine="0"/>
        <w:rPr>
          <w:rFonts w:hint="eastAsia" w:ascii="宋体" w:hAnsi="宋体" w:eastAsia="宋体" w:cs="宋体"/>
          <w:sz w:val="24"/>
          <w:szCs w:val="24"/>
          <w:highlight w:val="none"/>
        </w:rPr>
      </w:pPr>
      <w:r>
        <w:rPr>
          <w:rFonts w:hint="eastAsia" w:ascii="宋体" w:hAnsi="宋体" w:cs="宋体"/>
          <w:spacing w:val="18"/>
          <w:sz w:val="24"/>
          <w:szCs w:val="24"/>
          <w:highlight w:val="none"/>
          <w:lang w:val="en-US" w:eastAsia="zh-CN"/>
        </w:rPr>
        <w:t>1、</w:t>
      </w:r>
      <w:r>
        <w:rPr>
          <w:rFonts w:hint="eastAsia" w:ascii="宋体" w:hAnsi="宋体" w:eastAsia="宋体" w:cs="宋体"/>
          <w:spacing w:val="9"/>
          <w:sz w:val="24"/>
          <w:szCs w:val="24"/>
          <w:highlight w:val="none"/>
        </w:rPr>
        <w:t xml:space="preserve"> 中标单位接到中标通知书后三十天内与本局签订书面合同。逾期不签的，视</w:t>
      </w:r>
      <w:r>
        <w:rPr>
          <w:rFonts w:hint="eastAsia" w:ascii="宋体" w:hAnsi="宋体" w:eastAsia="宋体" w:cs="宋体"/>
          <w:spacing w:val="-4"/>
          <w:sz w:val="24"/>
          <w:szCs w:val="24"/>
          <w:highlight w:val="none"/>
        </w:rPr>
        <w:t>为</w:t>
      </w:r>
      <w:r>
        <w:rPr>
          <w:rFonts w:hint="eastAsia" w:ascii="宋体" w:hAnsi="宋体" w:eastAsia="宋体" w:cs="宋体"/>
          <w:spacing w:val="-2"/>
          <w:sz w:val="24"/>
          <w:szCs w:val="24"/>
          <w:highlight w:val="none"/>
        </w:rPr>
        <w:t>放弃。</w:t>
      </w:r>
    </w:p>
    <w:p w14:paraId="650B0E2D">
      <w:pPr>
        <w:spacing w:before="2" w:line="360" w:lineRule="auto"/>
        <w:ind w:left="0" w:right="37" w:firstLine="0"/>
        <w:rPr>
          <w:rFonts w:hint="eastAsia" w:ascii="宋体" w:hAnsi="宋体" w:eastAsia="宋体" w:cs="宋体"/>
          <w:sz w:val="24"/>
          <w:szCs w:val="24"/>
          <w:highlight w:val="none"/>
        </w:rPr>
      </w:pPr>
      <w:r>
        <w:rPr>
          <w:rFonts w:hint="eastAsia" w:ascii="宋体" w:hAnsi="宋体" w:cs="宋体"/>
          <w:spacing w:val="20"/>
          <w:sz w:val="24"/>
          <w:szCs w:val="24"/>
          <w:highlight w:val="none"/>
          <w:lang w:val="en-US" w:eastAsia="zh-CN"/>
        </w:rPr>
        <w:t>2、</w:t>
      </w:r>
      <w:r>
        <w:rPr>
          <w:rFonts w:hint="eastAsia" w:ascii="宋体" w:hAnsi="宋体" w:eastAsia="宋体" w:cs="宋体"/>
          <w:spacing w:val="10"/>
          <w:sz w:val="24"/>
          <w:szCs w:val="24"/>
          <w:highlight w:val="none"/>
        </w:rPr>
        <w:t>中标单位须自行履行中标项目的全部工作事项，不得向他人转让中标项目，</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未</w:t>
      </w:r>
      <w:r>
        <w:rPr>
          <w:rFonts w:hint="eastAsia" w:ascii="宋体" w:hAnsi="宋体" w:eastAsia="宋体" w:cs="宋体"/>
          <w:spacing w:val="9"/>
          <w:sz w:val="24"/>
          <w:szCs w:val="24"/>
          <w:highlight w:val="none"/>
        </w:rPr>
        <w:t>经</w:t>
      </w:r>
      <w:r>
        <w:rPr>
          <w:rFonts w:hint="eastAsia" w:ascii="宋体" w:hAnsi="宋体" w:eastAsia="宋体" w:cs="宋体"/>
          <w:spacing w:val="7"/>
          <w:sz w:val="24"/>
          <w:szCs w:val="24"/>
          <w:highlight w:val="none"/>
        </w:rPr>
        <w:t>采购人同意，不得将中标项目分包给他人。</w:t>
      </w:r>
    </w:p>
    <w:p w14:paraId="1F8D476B">
      <w:pPr>
        <w:spacing w:line="360" w:lineRule="auto"/>
        <w:ind w:left="0"/>
        <w:rPr>
          <w:rFonts w:hint="eastAsia" w:ascii="宋体" w:hAnsi="宋体" w:eastAsia="宋体" w:cs="宋体"/>
          <w:sz w:val="24"/>
          <w:szCs w:val="24"/>
          <w:highlight w:val="none"/>
        </w:rPr>
        <w:sectPr>
          <w:footerReference r:id="rId10" w:type="default"/>
          <w:pgSz w:w="11906" w:h="16839"/>
          <w:pgMar w:top="400" w:right="1393" w:bottom="803" w:left="1481" w:header="0" w:footer="643" w:gutter="0"/>
          <w:pgNumType w:fmt="numberInDash"/>
          <w:cols w:space="720" w:num="1"/>
        </w:sectPr>
      </w:pPr>
      <w:r>
        <w:rPr>
          <w:rFonts w:hint="eastAsia" w:ascii="宋体" w:hAnsi="宋体" w:cs="宋体"/>
          <w:spacing w:val="18"/>
          <w:sz w:val="24"/>
          <w:szCs w:val="24"/>
          <w:highlight w:val="none"/>
          <w:lang w:val="en-US" w:eastAsia="zh-CN"/>
        </w:rPr>
        <w:t>3、</w:t>
      </w:r>
      <w:r>
        <w:rPr>
          <w:rFonts w:hint="eastAsia" w:ascii="宋体" w:hAnsi="宋体" w:eastAsia="宋体" w:cs="宋体"/>
          <w:spacing w:val="9"/>
          <w:sz w:val="24"/>
          <w:szCs w:val="24"/>
          <w:highlight w:val="none"/>
        </w:rPr>
        <w:t xml:space="preserve"> 在合同约定的服务期内，如中标单位提供的服务无法满足采购人的需要或未</w:t>
      </w:r>
    </w:p>
    <w:p w14:paraId="64A4F153">
      <w:pPr>
        <w:spacing w:before="74" w:line="360" w:lineRule="auto"/>
        <w:ind w:right="101"/>
        <w:rPr>
          <w:rFonts w:hint="eastAsia" w:ascii="宋体" w:hAnsi="宋体" w:eastAsia="宋体" w:cs="宋体"/>
          <w:sz w:val="24"/>
          <w:szCs w:val="24"/>
          <w:highlight w:val="none"/>
        </w:rPr>
      </w:pPr>
      <w:r>
        <w:rPr>
          <w:rFonts w:hint="eastAsia" w:ascii="宋体" w:hAnsi="宋体" w:eastAsia="宋体" w:cs="宋体"/>
          <w:spacing w:val="16"/>
          <w:sz w:val="24"/>
          <w:szCs w:val="24"/>
          <w:highlight w:val="none"/>
        </w:rPr>
        <w:t>达到</w:t>
      </w:r>
      <w:r>
        <w:rPr>
          <w:rFonts w:hint="eastAsia" w:ascii="宋体" w:hAnsi="宋体" w:eastAsia="宋体" w:cs="宋体"/>
          <w:spacing w:val="11"/>
          <w:sz w:val="24"/>
          <w:szCs w:val="24"/>
          <w:highlight w:val="none"/>
        </w:rPr>
        <w:t>投</w:t>
      </w:r>
      <w:r>
        <w:rPr>
          <w:rFonts w:hint="eastAsia" w:ascii="宋体" w:hAnsi="宋体" w:eastAsia="宋体" w:cs="宋体"/>
          <w:spacing w:val="8"/>
          <w:sz w:val="24"/>
          <w:szCs w:val="24"/>
          <w:highlight w:val="none"/>
        </w:rPr>
        <w:t>标承诺的标准，经采购人指出后仍未有改进的，采购人可单方解除合同， 由此</w:t>
      </w:r>
      <w:r>
        <w:rPr>
          <w:rFonts w:hint="eastAsia" w:ascii="宋体" w:hAnsi="宋体" w:eastAsia="宋体" w:cs="宋体"/>
          <w:spacing w:val="14"/>
          <w:sz w:val="24"/>
          <w:szCs w:val="24"/>
          <w:highlight w:val="none"/>
        </w:rPr>
        <w:t>造</w:t>
      </w:r>
      <w:r>
        <w:rPr>
          <w:rFonts w:hint="eastAsia" w:ascii="宋体" w:hAnsi="宋体" w:eastAsia="宋体" w:cs="宋体"/>
          <w:spacing w:val="8"/>
          <w:sz w:val="24"/>
          <w:szCs w:val="24"/>
          <w:highlight w:val="none"/>
        </w:rPr>
        <w:t>成</w:t>
      </w:r>
      <w:r>
        <w:rPr>
          <w:rFonts w:hint="eastAsia" w:ascii="宋体" w:hAnsi="宋体" w:eastAsia="宋体" w:cs="宋体"/>
          <w:spacing w:val="7"/>
          <w:sz w:val="24"/>
          <w:szCs w:val="24"/>
          <w:highlight w:val="none"/>
        </w:rPr>
        <w:t>采购人的一切损失均由中标单位承担。</w:t>
      </w:r>
    </w:p>
    <w:p w14:paraId="19750961">
      <w:pPr>
        <w:spacing w:line="360" w:lineRule="auto"/>
        <w:ind w:left="0" w:firstLine="0" w:firstLineChars="0"/>
        <w:rPr>
          <w:rFonts w:hint="eastAsia" w:ascii="宋体" w:hAnsi="宋体" w:eastAsia="宋体" w:cs="宋体"/>
          <w:sz w:val="24"/>
          <w:szCs w:val="24"/>
          <w:highlight w:val="none"/>
        </w:rPr>
      </w:pPr>
      <w:r>
        <w:rPr>
          <w:rFonts w:hint="eastAsia" w:ascii="宋体" w:hAnsi="宋体" w:cs="宋体"/>
          <w:spacing w:val="3"/>
          <w:sz w:val="24"/>
          <w:szCs w:val="24"/>
          <w:highlight w:val="none"/>
          <w:lang w:val="en-US" w:eastAsia="zh-CN"/>
        </w:rPr>
        <w:t>4、</w:t>
      </w:r>
      <w:r>
        <w:rPr>
          <w:rFonts w:hint="eastAsia" w:ascii="宋体" w:hAnsi="宋体" w:eastAsia="宋体" w:cs="宋体"/>
          <w:spacing w:val="3"/>
          <w:sz w:val="24"/>
          <w:szCs w:val="24"/>
          <w:highlight w:val="none"/>
        </w:rPr>
        <w:t>履</w:t>
      </w:r>
      <w:r>
        <w:rPr>
          <w:rFonts w:hint="eastAsia" w:ascii="宋体" w:hAnsi="宋体" w:cs="宋体"/>
          <w:spacing w:val="3"/>
          <w:sz w:val="24"/>
          <w:szCs w:val="24"/>
          <w:highlight w:val="none"/>
          <w:lang w:val="en-US" w:eastAsia="zh-CN"/>
        </w:rPr>
        <w:t>约</w:t>
      </w:r>
      <w:r>
        <w:rPr>
          <w:rFonts w:hint="eastAsia" w:ascii="宋体" w:hAnsi="宋体" w:eastAsia="宋体" w:cs="宋体"/>
          <w:spacing w:val="3"/>
          <w:sz w:val="24"/>
          <w:szCs w:val="24"/>
          <w:highlight w:val="none"/>
        </w:rPr>
        <w:t>期内每次委托检测都需按规定时间完成。</w:t>
      </w:r>
    </w:p>
    <w:p w14:paraId="3C2A5094">
      <w:pPr>
        <w:spacing w:before="115" w:line="360" w:lineRule="auto"/>
        <w:ind w:left="5"/>
        <w:rPr>
          <w:rFonts w:hint="eastAsia" w:ascii="宋体" w:hAnsi="宋体" w:eastAsia="宋体" w:cs="宋体"/>
          <w:b/>
          <w:bCs/>
          <w:sz w:val="24"/>
          <w:szCs w:val="24"/>
          <w:highlight w:val="none"/>
        </w:rPr>
      </w:pPr>
      <w:r>
        <w:rPr>
          <w:rFonts w:hint="eastAsia" w:ascii="宋体" w:hAnsi="宋体" w:cs="宋体"/>
          <w:b/>
          <w:bCs/>
          <w:spacing w:val="8"/>
          <w:sz w:val="24"/>
          <w:szCs w:val="24"/>
          <w:highlight w:val="none"/>
          <w:lang w:val="en-US" w:eastAsia="zh-CN"/>
        </w:rPr>
        <w:t>四</w:t>
      </w:r>
      <w:r>
        <w:rPr>
          <w:rFonts w:hint="eastAsia" w:ascii="宋体" w:hAnsi="宋体" w:eastAsia="宋体" w:cs="宋体"/>
          <w:b/>
          <w:bCs/>
          <w:spacing w:val="8"/>
          <w:sz w:val="24"/>
          <w:szCs w:val="24"/>
          <w:highlight w:val="none"/>
        </w:rPr>
        <w:t>、验收要求 (考核办法) ：</w:t>
      </w:r>
    </w:p>
    <w:p w14:paraId="6232D8AE">
      <w:pPr>
        <w:spacing w:before="92" w:line="360" w:lineRule="auto"/>
        <w:ind w:left="0" w:firstLine="0"/>
        <w:rPr>
          <w:rFonts w:hint="eastAsia" w:ascii="宋体" w:hAnsi="宋体" w:eastAsia="宋体" w:cs="宋体"/>
          <w:sz w:val="24"/>
          <w:szCs w:val="24"/>
          <w:highlight w:val="none"/>
        </w:rPr>
      </w:pPr>
      <w:r>
        <w:rPr>
          <w:rFonts w:hint="eastAsia" w:ascii="宋体" w:hAnsi="宋体" w:eastAsia="宋体" w:cs="宋体"/>
          <w:spacing w:val="10"/>
          <w:sz w:val="24"/>
          <w:szCs w:val="24"/>
          <w:highlight w:val="none"/>
        </w:rPr>
        <w:t>1</w:t>
      </w:r>
      <w:r>
        <w:rPr>
          <w:rFonts w:hint="eastAsia" w:ascii="宋体" w:hAnsi="宋体" w:eastAsia="宋体" w:cs="宋体"/>
          <w:spacing w:val="6"/>
          <w:sz w:val="24"/>
          <w:szCs w:val="24"/>
          <w:highlight w:val="none"/>
        </w:rPr>
        <w:t>、报告的完整性和及时性满足检测合同 (协议)要求，中标单位需按合同要求的</w:t>
      </w:r>
      <w:r>
        <w:rPr>
          <w:rFonts w:hint="eastAsia" w:ascii="宋体" w:hAnsi="宋体" w:eastAsia="宋体" w:cs="宋体"/>
          <w:spacing w:val="26"/>
          <w:sz w:val="24"/>
          <w:szCs w:val="24"/>
          <w:highlight w:val="none"/>
        </w:rPr>
        <w:t>检</w:t>
      </w:r>
      <w:r>
        <w:rPr>
          <w:rFonts w:hint="eastAsia" w:ascii="宋体" w:hAnsi="宋体" w:eastAsia="宋体" w:cs="宋体"/>
          <w:spacing w:val="13"/>
          <w:sz w:val="24"/>
          <w:szCs w:val="24"/>
          <w:highlight w:val="none"/>
        </w:rPr>
        <w:t>测项目和数量在约定时间内提供检测报告，报告需加盖资质认定标志(</w:t>
      </w:r>
      <w:r>
        <w:rPr>
          <w:rFonts w:hint="eastAsia" w:ascii="宋体" w:hAnsi="宋体" w:eastAsia="宋体" w:cs="宋体"/>
          <w:sz w:val="24"/>
          <w:szCs w:val="24"/>
          <w:highlight w:val="none"/>
        </w:rPr>
        <w:t>CMA</w:t>
      </w:r>
      <w:r>
        <w:rPr>
          <w:rFonts w:hint="eastAsia" w:ascii="宋体" w:hAnsi="宋体" w:eastAsia="宋体" w:cs="宋体"/>
          <w:spacing w:val="13"/>
          <w:sz w:val="24"/>
          <w:szCs w:val="24"/>
          <w:highlight w:val="none"/>
        </w:rPr>
        <w:t>章)，</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如报告未加盖资质认定标志或非因采购人因素造成不符合合同要求累计3次(</w:t>
      </w:r>
      <w:r>
        <w:rPr>
          <w:rFonts w:hint="eastAsia" w:ascii="宋体" w:hAnsi="宋体" w:eastAsia="宋体" w:cs="宋体"/>
          <w:spacing w:val="5"/>
          <w:sz w:val="24"/>
          <w:szCs w:val="24"/>
          <w:highlight w:val="none"/>
        </w:rPr>
        <w:t>含</w:t>
      </w:r>
      <w:r>
        <w:rPr>
          <w:rFonts w:hint="eastAsia" w:ascii="宋体" w:hAnsi="宋体" w:eastAsia="宋体" w:cs="宋体"/>
          <w:sz w:val="24"/>
          <w:szCs w:val="24"/>
          <w:highlight w:val="none"/>
        </w:rPr>
        <w:t>)</w:t>
      </w:r>
      <w:r>
        <w:rPr>
          <w:rFonts w:hint="eastAsia" w:ascii="宋体" w:hAnsi="宋体" w:eastAsia="宋体" w:cs="宋体"/>
          <w:spacing w:val="12"/>
          <w:sz w:val="24"/>
          <w:szCs w:val="24"/>
          <w:highlight w:val="none"/>
        </w:rPr>
        <w:t>以上</w:t>
      </w:r>
      <w:r>
        <w:rPr>
          <w:rFonts w:hint="eastAsia" w:ascii="宋体" w:hAnsi="宋体" w:eastAsia="宋体" w:cs="宋体"/>
          <w:spacing w:val="8"/>
          <w:sz w:val="24"/>
          <w:szCs w:val="24"/>
          <w:highlight w:val="none"/>
        </w:rPr>
        <w:t>的</w:t>
      </w:r>
      <w:r>
        <w:rPr>
          <w:rFonts w:hint="eastAsia" w:ascii="宋体" w:hAnsi="宋体" w:eastAsia="宋体" w:cs="宋体"/>
          <w:spacing w:val="6"/>
          <w:sz w:val="24"/>
          <w:szCs w:val="24"/>
          <w:highlight w:val="none"/>
        </w:rPr>
        <w:t>，采购人有权中止合同直至取消中标资格。</w:t>
      </w:r>
      <w:r>
        <w:rPr>
          <w:rFonts w:hint="eastAsia" w:ascii="仿宋" w:hAnsi="仿宋" w:eastAsia="仿宋" w:cs="仿宋"/>
          <w:bCs/>
          <w:snapToGrid w:val="0"/>
          <w:kern w:val="0"/>
          <w:sz w:val="24"/>
          <w:szCs w:val="24"/>
          <w:shd w:val="clear" w:color="auto" w:fill="FFFFFF"/>
          <w:lang w:val="en-US"/>
        </w:rPr>
        <w:t>若提前解除合同的</w:t>
      </w:r>
      <w:r>
        <w:rPr>
          <w:rFonts w:hint="default" w:ascii="仿宋" w:hAnsi="仿宋" w:eastAsia="仿宋" w:cs="仿宋"/>
          <w:bCs/>
          <w:snapToGrid w:val="0"/>
          <w:kern w:val="0"/>
          <w:sz w:val="24"/>
          <w:szCs w:val="24"/>
          <w:shd w:val="clear" w:color="auto" w:fill="FFFFFF"/>
          <w:lang w:val="en-US"/>
        </w:rPr>
        <w:t>，</w:t>
      </w:r>
      <w:r>
        <w:rPr>
          <w:rFonts w:hint="eastAsia" w:ascii="仿宋" w:hAnsi="仿宋" w:eastAsia="仿宋" w:cs="仿宋"/>
          <w:bCs/>
          <w:snapToGrid w:val="0"/>
          <w:kern w:val="0"/>
          <w:sz w:val="24"/>
          <w:szCs w:val="24"/>
          <w:shd w:val="clear" w:color="auto" w:fill="FFFFFF"/>
          <w:lang w:val="en-US" w:eastAsia="zh-CN"/>
        </w:rPr>
        <w:t>中标人</w:t>
      </w:r>
      <w:r>
        <w:rPr>
          <w:rFonts w:hint="eastAsia" w:ascii="仿宋" w:hAnsi="仿宋" w:eastAsia="仿宋" w:cs="仿宋"/>
          <w:bCs/>
          <w:snapToGrid w:val="0"/>
          <w:kern w:val="0"/>
          <w:sz w:val="24"/>
          <w:szCs w:val="24"/>
          <w:shd w:val="clear" w:color="auto" w:fill="FFFFFF"/>
          <w:lang w:val="en-US"/>
        </w:rPr>
        <w:t>应当自收到</w:t>
      </w:r>
      <w:r>
        <w:rPr>
          <w:rFonts w:hint="eastAsia" w:ascii="仿宋" w:hAnsi="仿宋" w:eastAsia="仿宋" w:cs="仿宋"/>
          <w:bCs/>
          <w:snapToGrid w:val="0"/>
          <w:kern w:val="0"/>
          <w:sz w:val="24"/>
          <w:szCs w:val="24"/>
          <w:shd w:val="clear" w:color="auto" w:fill="FFFFFF"/>
          <w:lang w:val="en-US" w:eastAsia="zh-CN"/>
        </w:rPr>
        <w:t>采购人</w:t>
      </w:r>
      <w:r>
        <w:rPr>
          <w:rFonts w:hint="eastAsia" w:ascii="仿宋" w:hAnsi="仿宋" w:eastAsia="仿宋" w:cs="仿宋"/>
          <w:bCs/>
          <w:snapToGrid w:val="0"/>
          <w:kern w:val="0"/>
          <w:sz w:val="24"/>
          <w:szCs w:val="24"/>
          <w:shd w:val="clear" w:color="auto" w:fill="FFFFFF"/>
          <w:lang w:val="en-US"/>
        </w:rPr>
        <w:t>解除通知之日起十个工作日内，按照已实际履行服务期间占合同原定服务期限的比例，退还</w:t>
      </w:r>
      <w:r>
        <w:rPr>
          <w:rFonts w:hint="eastAsia" w:ascii="仿宋" w:hAnsi="仿宋" w:eastAsia="仿宋" w:cs="仿宋"/>
          <w:bCs/>
          <w:snapToGrid w:val="0"/>
          <w:kern w:val="0"/>
          <w:sz w:val="24"/>
          <w:szCs w:val="24"/>
          <w:shd w:val="clear" w:color="auto" w:fill="FFFFFF"/>
          <w:lang w:val="en-US" w:eastAsia="zh-CN"/>
        </w:rPr>
        <w:t>采购人</w:t>
      </w:r>
      <w:r>
        <w:rPr>
          <w:rFonts w:hint="eastAsia" w:ascii="仿宋" w:hAnsi="仿宋" w:eastAsia="仿宋" w:cs="仿宋"/>
          <w:bCs/>
          <w:snapToGrid w:val="0"/>
          <w:kern w:val="0"/>
          <w:sz w:val="24"/>
          <w:szCs w:val="24"/>
          <w:shd w:val="clear" w:color="auto" w:fill="FFFFFF"/>
          <w:lang w:val="en-US"/>
        </w:rPr>
        <w:t>已支付的服务费中未履行部分对应的金额。若实际履行的服务期超出</w:t>
      </w:r>
      <w:r>
        <w:rPr>
          <w:rFonts w:hint="eastAsia" w:ascii="仿宋" w:hAnsi="仿宋" w:eastAsia="仿宋" w:cs="仿宋"/>
          <w:bCs/>
          <w:snapToGrid w:val="0"/>
          <w:kern w:val="0"/>
          <w:sz w:val="24"/>
          <w:szCs w:val="24"/>
          <w:shd w:val="clear" w:color="auto" w:fill="FFFFFF"/>
          <w:lang w:val="en-US" w:eastAsia="zh-CN"/>
        </w:rPr>
        <w:t>已支付</w:t>
      </w:r>
      <w:r>
        <w:rPr>
          <w:rFonts w:hint="eastAsia" w:ascii="仿宋" w:hAnsi="仿宋" w:eastAsia="仿宋" w:cs="仿宋"/>
          <w:bCs/>
          <w:snapToGrid w:val="0"/>
          <w:kern w:val="0"/>
          <w:sz w:val="24"/>
          <w:szCs w:val="24"/>
          <w:shd w:val="clear" w:color="auto" w:fill="FFFFFF"/>
          <w:lang w:val="en-US"/>
        </w:rPr>
        <w:t>费用涵盖范围的，</w:t>
      </w:r>
      <w:r>
        <w:rPr>
          <w:rFonts w:hint="eastAsia" w:ascii="仿宋" w:hAnsi="仿宋" w:eastAsia="仿宋" w:cs="仿宋"/>
          <w:bCs/>
          <w:snapToGrid w:val="0"/>
          <w:kern w:val="0"/>
          <w:sz w:val="24"/>
          <w:szCs w:val="24"/>
          <w:shd w:val="clear" w:color="auto" w:fill="FFFFFF"/>
          <w:lang w:val="en-US" w:eastAsia="zh-CN"/>
        </w:rPr>
        <w:t>按实结算后并不再支付未结算的费用</w:t>
      </w:r>
      <w:r>
        <w:rPr>
          <w:rFonts w:hint="eastAsia" w:ascii="仿宋" w:hAnsi="仿宋" w:eastAsia="仿宋" w:cs="仿宋"/>
          <w:bCs/>
          <w:snapToGrid w:val="0"/>
          <w:kern w:val="0"/>
          <w:sz w:val="24"/>
          <w:szCs w:val="24"/>
          <w:shd w:val="clear" w:color="auto" w:fill="FFFFFF"/>
          <w:lang w:val="en-US"/>
        </w:rPr>
        <w:t>。</w:t>
      </w:r>
    </w:p>
    <w:p w14:paraId="543AF515">
      <w:pPr>
        <w:spacing w:before="92" w:line="360" w:lineRule="auto"/>
        <w:ind w:left="0" w:right="99" w:firstLine="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2、报</w:t>
      </w:r>
      <w:r>
        <w:rPr>
          <w:rFonts w:hint="eastAsia" w:ascii="宋体" w:hAnsi="宋体" w:eastAsia="宋体" w:cs="宋体"/>
          <w:spacing w:val="7"/>
          <w:sz w:val="24"/>
          <w:szCs w:val="24"/>
          <w:highlight w:val="none"/>
        </w:rPr>
        <w:t>告</w:t>
      </w:r>
      <w:r>
        <w:rPr>
          <w:rFonts w:hint="eastAsia" w:ascii="宋体" w:hAnsi="宋体" w:eastAsia="宋体" w:cs="宋体"/>
          <w:spacing w:val="6"/>
          <w:sz w:val="24"/>
          <w:szCs w:val="24"/>
          <w:highlight w:val="none"/>
        </w:rPr>
        <w:t>的准确性应满足要求，</w:t>
      </w:r>
      <w:r>
        <w:rPr>
          <w:rFonts w:hint="eastAsia" w:ascii="宋体" w:hAnsi="宋体" w:eastAsia="宋体" w:cs="宋体"/>
          <w:spacing w:val="8"/>
          <w:sz w:val="24"/>
          <w:szCs w:val="24"/>
          <w:highlight w:val="none"/>
        </w:rPr>
        <w:t>确保检测数据的科学性、准确性和代表性，</w:t>
      </w:r>
      <w:r>
        <w:rPr>
          <w:rFonts w:hint="eastAsia" w:ascii="宋体" w:hAnsi="宋体" w:eastAsia="宋体" w:cs="宋体"/>
          <w:spacing w:val="7"/>
          <w:sz w:val="24"/>
          <w:szCs w:val="24"/>
          <w:highlight w:val="none"/>
        </w:rPr>
        <w:t>被发现有弄虚作假等严重违反《检验检测机构资质认定管理办法》行为的</w:t>
      </w:r>
      <w:r>
        <w:rPr>
          <w:rFonts w:hint="eastAsia" w:ascii="宋体" w:hAnsi="宋体" w:eastAsia="宋体" w:cs="宋体"/>
          <w:spacing w:val="11"/>
          <w:sz w:val="24"/>
          <w:szCs w:val="24"/>
          <w:highlight w:val="none"/>
        </w:rPr>
        <w:t>将被取消中标资格，其中涉嫌弄虚作假</w:t>
      </w:r>
      <w:r>
        <w:rPr>
          <w:rFonts w:hint="eastAsia" w:ascii="宋体" w:hAnsi="宋体" w:cs="宋体"/>
          <w:spacing w:val="11"/>
          <w:sz w:val="24"/>
          <w:szCs w:val="24"/>
          <w:highlight w:val="none"/>
          <w:lang w:val="en-US" w:eastAsia="zh-CN"/>
        </w:rPr>
        <w:t>行为</w:t>
      </w:r>
      <w:r>
        <w:rPr>
          <w:rFonts w:hint="eastAsia" w:ascii="宋体" w:hAnsi="宋体" w:eastAsia="宋体" w:cs="宋体"/>
          <w:spacing w:val="11"/>
          <w:sz w:val="24"/>
          <w:szCs w:val="24"/>
          <w:highlight w:val="none"/>
        </w:rPr>
        <w:t>的</w:t>
      </w:r>
      <w:r>
        <w:rPr>
          <w:rFonts w:hint="eastAsia" w:ascii="宋体" w:hAnsi="宋体" w:cs="宋体"/>
          <w:spacing w:val="11"/>
          <w:sz w:val="24"/>
          <w:szCs w:val="24"/>
          <w:highlight w:val="none"/>
          <w:lang w:eastAsia="zh-CN"/>
        </w:rPr>
        <w:t>，</w:t>
      </w:r>
      <w:r>
        <w:rPr>
          <w:rFonts w:hint="eastAsia" w:ascii="宋体" w:hAnsi="宋体" w:cs="宋体"/>
          <w:spacing w:val="11"/>
          <w:sz w:val="24"/>
          <w:szCs w:val="24"/>
          <w:highlight w:val="none"/>
          <w:lang w:val="en-US" w:eastAsia="zh-CN"/>
        </w:rPr>
        <w:t>若</w:t>
      </w:r>
      <w:r>
        <w:rPr>
          <w:rFonts w:hint="eastAsia" w:ascii="宋体" w:hAnsi="宋体" w:eastAsia="宋体" w:cs="宋体"/>
          <w:spacing w:val="11"/>
          <w:sz w:val="24"/>
          <w:szCs w:val="24"/>
          <w:highlight w:val="none"/>
        </w:rPr>
        <w:t>无有效证据证明其未弄虚</w:t>
      </w:r>
      <w:r>
        <w:rPr>
          <w:rFonts w:hint="eastAsia" w:ascii="宋体" w:hAnsi="宋体" w:eastAsia="宋体" w:cs="宋体"/>
          <w:spacing w:val="16"/>
          <w:sz w:val="24"/>
          <w:szCs w:val="24"/>
          <w:highlight w:val="none"/>
        </w:rPr>
        <w:t>作假</w:t>
      </w:r>
      <w:r>
        <w:rPr>
          <w:rFonts w:hint="eastAsia" w:ascii="宋体" w:hAnsi="宋体" w:eastAsia="宋体" w:cs="宋体"/>
          <w:spacing w:val="11"/>
          <w:sz w:val="24"/>
          <w:szCs w:val="24"/>
          <w:highlight w:val="none"/>
        </w:rPr>
        <w:t>的</w:t>
      </w:r>
      <w:r>
        <w:rPr>
          <w:rFonts w:hint="eastAsia" w:ascii="宋体" w:hAnsi="宋体" w:eastAsia="宋体" w:cs="宋体"/>
          <w:spacing w:val="8"/>
          <w:sz w:val="24"/>
          <w:szCs w:val="24"/>
          <w:highlight w:val="none"/>
        </w:rPr>
        <w:t>，采购人不承担该合同所需支付的任何费用，由此造成的损失由中标单位自行</w:t>
      </w:r>
      <w:r>
        <w:rPr>
          <w:rFonts w:hint="eastAsia" w:ascii="宋体" w:hAnsi="宋体" w:eastAsia="宋体" w:cs="宋体"/>
          <w:spacing w:val="-5"/>
          <w:sz w:val="24"/>
          <w:szCs w:val="24"/>
          <w:highlight w:val="none"/>
        </w:rPr>
        <w:t>承</w:t>
      </w:r>
      <w:r>
        <w:rPr>
          <w:rFonts w:hint="eastAsia" w:ascii="宋体" w:hAnsi="宋体" w:eastAsia="宋体" w:cs="宋体"/>
          <w:spacing w:val="-4"/>
          <w:sz w:val="24"/>
          <w:szCs w:val="24"/>
          <w:highlight w:val="none"/>
        </w:rPr>
        <w:t>担。</w:t>
      </w:r>
    </w:p>
    <w:p w14:paraId="4F4B111A">
      <w:pPr>
        <w:spacing w:before="93" w:line="360" w:lineRule="auto"/>
        <w:ind w:right="91" w:firstLine="0"/>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3 、使用方法</w:t>
      </w:r>
      <w:r>
        <w:rPr>
          <w:rFonts w:hint="eastAsia" w:ascii="宋体" w:hAnsi="宋体" w:eastAsia="宋体" w:cs="宋体"/>
          <w:spacing w:val="2"/>
          <w:sz w:val="24"/>
          <w:szCs w:val="24"/>
          <w:highlight w:val="none"/>
        </w:rPr>
        <w:t xml:space="preserve">的合适性，优先使用 </w:t>
      </w:r>
      <w:r>
        <w:rPr>
          <w:rFonts w:hint="eastAsia" w:ascii="宋体" w:hAnsi="宋体" w:eastAsia="宋体" w:cs="宋体"/>
          <w:sz w:val="24"/>
          <w:szCs w:val="24"/>
          <w:highlight w:val="none"/>
        </w:rPr>
        <w:t>GB</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HJ</w:t>
      </w:r>
      <w:r>
        <w:rPr>
          <w:rFonts w:hint="eastAsia" w:ascii="宋体" w:hAnsi="宋体" w:eastAsia="宋体" w:cs="宋体"/>
          <w:spacing w:val="2"/>
          <w:sz w:val="24"/>
          <w:szCs w:val="24"/>
          <w:highlight w:val="none"/>
        </w:rPr>
        <w:t>、</w:t>
      </w:r>
      <w:r>
        <w:rPr>
          <w:rFonts w:hint="eastAsia" w:ascii="宋体" w:hAnsi="宋体" w:eastAsia="宋体" w:cs="宋体"/>
          <w:sz w:val="24"/>
          <w:szCs w:val="24"/>
          <w:highlight w:val="none"/>
        </w:rPr>
        <w:t>DB</w:t>
      </w:r>
      <w:r>
        <w:rPr>
          <w:rFonts w:hint="eastAsia" w:ascii="宋体" w:hAnsi="宋体" w:eastAsia="宋体" w:cs="宋体"/>
          <w:spacing w:val="2"/>
          <w:sz w:val="24"/>
          <w:szCs w:val="24"/>
          <w:highlight w:val="none"/>
        </w:rPr>
        <w:t>33 (含推荐方法)方法标准，如某</w:t>
      </w:r>
      <w:r>
        <w:rPr>
          <w:rFonts w:hint="eastAsia" w:ascii="宋体" w:hAnsi="宋体" w:eastAsia="宋体" w:cs="宋体"/>
          <w:spacing w:val="12"/>
          <w:sz w:val="24"/>
          <w:szCs w:val="24"/>
          <w:highlight w:val="none"/>
        </w:rPr>
        <w:t>个指标有多个分析方法的，优先使用价格低廉的方法。如使用方法不正确，导致检</w:t>
      </w:r>
      <w:r>
        <w:rPr>
          <w:rFonts w:hint="eastAsia" w:ascii="宋体" w:hAnsi="宋体" w:eastAsia="宋体" w:cs="宋体"/>
          <w:spacing w:val="7"/>
          <w:sz w:val="24"/>
          <w:szCs w:val="24"/>
          <w:highlight w:val="none"/>
        </w:rPr>
        <w:t>测</w:t>
      </w:r>
      <w:r>
        <w:rPr>
          <w:rFonts w:hint="eastAsia" w:ascii="宋体" w:hAnsi="宋体" w:eastAsia="宋体" w:cs="宋体"/>
          <w:spacing w:val="16"/>
          <w:sz w:val="24"/>
          <w:szCs w:val="24"/>
          <w:highlight w:val="none"/>
        </w:rPr>
        <w:t>报告</w:t>
      </w:r>
      <w:r>
        <w:rPr>
          <w:rFonts w:hint="eastAsia" w:ascii="宋体" w:hAnsi="宋体" w:eastAsia="宋体" w:cs="宋体"/>
          <w:spacing w:val="12"/>
          <w:sz w:val="24"/>
          <w:szCs w:val="24"/>
          <w:highlight w:val="none"/>
        </w:rPr>
        <w:t>无</w:t>
      </w:r>
      <w:r>
        <w:rPr>
          <w:rFonts w:hint="eastAsia" w:ascii="宋体" w:hAnsi="宋体" w:eastAsia="宋体" w:cs="宋体"/>
          <w:spacing w:val="8"/>
          <w:sz w:val="24"/>
          <w:szCs w:val="24"/>
          <w:highlight w:val="none"/>
        </w:rPr>
        <w:t>效的，采购人不承担该检测报告所需支付的任何费用， 由此造成的损失由中标</w:t>
      </w:r>
      <w:r>
        <w:rPr>
          <w:rFonts w:hint="eastAsia" w:ascii="宋体" w:hAnsi="宋体" w:eastAsia="宋体" w:cs="宋体"/>
          <w:spacing w:val="4"/>
          <w:sz w:val="24"/>
          <w:szCs w:val="24"/>
          <w:highlight w:val="none"/>
        </w:rPr>
        <w:t>单</w:t>
      </w:r>
      <w:r>
        <w:rPr>
          <w:rFonts w:hint="eastAsia" w:ascii="宋体" w:hAnsi="宋体" w:eastAsia="宋体" w:cs="宋体"/>
          <w:spacing w:val="3"/>
          <w:sz w:val="24"/>
          <w:szCs w:val="24"/>
          <w:highlight w:val="none"/>
        </w:rPr>
        <w:t>位自行承担。</w:t>
      </w:r>
    </w:p>
    <w:p w14:paraId="24D17768">
      <w:pPr>
        <w:spacing w:before="93" w:line="360" w:lineRule="auto"/>
        <w:ind w:right="91" w:firstLine="0"/>
        <w:rPr>
          <w:rFonts w:hint="eastAsia" w:ascii="宋体" w:hAnsi="宋体" w:eastAsia="宋体" w:cs="宋体"/>
          <w:spacing w:val="12"/>
          <w:sz w:val="24"/>
          <w:szCs w:val="24"/>
          <w:highlight w:val="none"/>
        </w:rPr>
      </w:pPr>
      <w:r>
        <w:rPr>
          <w:rFonts w:hint="eastAsia" w:ascii="宋体" w:hAnsi="宋体" w:eastAsia="宋体" w:cs="宋体"/>
          <w:spacing w:val="4"/>
          <w:sz w:val="24"/>
          <w:szCs w:val="24"/>
          <w:highlight w:val="none"/>
        </w:rPr>
        <w:t>4 、</w:t>
      </w:r>
      <w:r>
        <w:rPr>
          <w:rFonts w:hint="eastAsia" w:ascii="宋体" w:hAnsi="宋体" w:eastAsia="宋体" w:cs="宋体"/>
          <w:spacing w:val="12"/>
          <w:sz w:val="24"/>
          <w:szCs w:val="24"/>
          <w:highlight w:val="none"/>
        </w:rPr>
        <w:t>中标单位须自行履行中标项目的全部工作事项，不得向他人转让中标项目，</w:t>
      </w:r>
      <w:r>
        <w:rPr>
          <w:rFonts w:hint="eastAsia" w:ascii="宋体" w:hAnsi="宋体" w:eastAsia="宋体" w:cs="宋体"/>
          <w:spacing w:val="12"/>
          <w:sz w:val="24"/>
          <w:szCs w:val="24"/>
          <w:highlight w:val="none"/>
          <w:lang w:eastAsia="zh-CN"/>
        </w:rPr>
        <w:t>未</w:t>
      </w:r>
      <w:r>
        <w:rPr>
          <w:rFonts w:hint="eastAsia" w:ascii="宋体" w:hAnsi="宋体" w:eastAsia="宋体" w:cs="宋体"/>
          <w:spacing w:val="12"/>
          <w:sz w:val="24"/>
          <w:szCs w:val="24"/>
          <w:highlight w:val="none"/>
        </w:rPr>
        <w:t>经采购人同意，不得将中标项目分包给他人，一经发现将取消其中标资格。</w:t>
      </w:r>
    </w:p>
    <w:p w14:paraId="04A39F0F">
      <w:pPr>
        <w:spacing w:before="93" w:line="360" w:lineRule="auto"/>
        <w:ind w:right="91" w:firstLine="0"/>
        <w:rPr>
          <w:rFonts w:hint="eastAsia" w:ascii="宋体" w:hAnsi="宋体" w:eastAsia="宋体" w:cs="宋体"/>
          <w:b/>
          <w:bCs/>
          <w:spacing w:val="12"/>
          <w:sz w:val="24"/>
          <w:szCs w:val="24"/>
          <w:highlight w:val="none"/>
        </w:rPr>
      </w:pPr>
      <w:r>
        <w:rPr>
          <w:rFonts w:hint="eastAsia" w:ascii="宋体" w:hAnsi="宋体" w:cs="宋体"/>
          <w:b/>
          <w:bCs/>
          <w:spacing w:val="12"/>
          <w:sz w:val="24"/>
          <w:szCs w:val="24"/>
          <w:highlight w:val="none"/>
          <w:lang w:val="en-US" w:eastAsia="zh-CN"/>
        </w:rPr>
        <w:t>五</w:t>
      </w:r>
      <w:r>
        <w:rPr>
          <w:rFonts w:hint="eastAsia" w:ascii="宋体" w:hAnsi="宋体" w:eastAsia="宋体" w:cs="宋体"/>
          <w:b/>
          <w:bCs/>
          <w:spacing w:val="12"/>
          <w:sz w:val="24"/>
          <w:szCs w:val="24"/>
          <w:highlight w:val="none"/>
        </w:rPr>
        <w:t>、履约保证金：</w:t>
      </w:r>
    </w:p>
    <w:p w14:paraId="4E6FD264">
      <w:pPr>
        <w:spacing w:before="67" w:line="360" w:lineRule="auto"/>
        <w:ind w:left="3" w:right="99" w:firstLine="500"/>
        <w:rPr>
          <w:rFonts w:hint="eastAsia" w:ascii="宋体" w:hAnsi="宋体" w:eastAsia="宋体" w:cs="宋体"/>
          <w:sz w:val="24"/>
          <w:szCs w:val="24"/>
          <w:highlight w:val="none"/>
        </w:rPr>
      </w:pPr>
      <w:r>
        <w:rPr>
          <w:rFonts w:hint="eastAsia" w:ascii="宋体" w:hAnsi="宋体" w:cs="宋体"/>
          <w:spacing w:val="10"/>
          <w:sz w:val="24"/>
          <w:szCs w:val="24"/>
          <w:highlight w:val="none"/>
          <w:lang w:val="en-US" w:eastAsia="zh-CN"/>
        </w:rPr>
        <w:t>无</w:t>
      </w:r>
    </w:p>
    <w:p w14:paraId="4B157BEB">
      <w:pPr>
        <w:spacing w:line="360" w:lineRule="auto"/>
        <w:rPr>
          <w:rFonts w:hint="eastAsia" w:ascii="宋体" w:hAnsi="宋体" w:eastAsia="宋体" w:cs="宋体"/>
          <w:b/>
          <w:bCs/>
          <w:sz w:val="24"/>
          <w:szCs w:val="24"/>
          <w:highlight w:val="none"/>
        </w:rPr>
      </w:pPr>
      <w:r>
        <w:rPr>
          <w:rFonts w:hint="eastAsia" w:ascii="宋体" w:hAnsi="宋体" w:cs="宋体"/>
          <w:b/>
          <w:bCs/>
          <w:spacing w:val="-10"/>
          <w:sz w:val="24"/>
          <w:szCs w:val="24"/>
          <w:highlight w:val="none"/>
          <w:lang w:val="en-US" w:eastAsia="zh-CN"/>
        </w:rPr>
        <w:t>六</w:t>
      </w:r>
      <w:r>
        <w:rPr>
          <w:rFonts w:hint="eastAsia" w:ascii="宋体" w:hAnsi="宋体" w:eastAsia="宋体" w:cs="宋体"/>
          <w:b/>
          <w:bCs/>
          <w:spacing w:val="-7"/>
          <w:sz w:val="24"/>
          <w:szCs w:val="24"/>
          <w:highlight w:val="none"/>
        </w:rPr>
        <w:t>、 费用支付：</w:t>
      </w:r>
    </w:p>
    <w:p w14:paraId="13582FB1">
      <w:pPr>
        <w:spacing w:before="115" w:line="360" w:lineRule="auto"/>
        <w:ind w:left="1" w:right="99" w:firstLine="502"/>
        <w:rPr>
          <w:rFonts w:hint="eastAsia" w:ascii="宋体" w:hAnsi="宋体" w:eastAsia="宋体" w:cs="宋体"/>
          <w:sz w:val="24"/>
          <w:szCs w:val="24"/>
          <w:highlight w:val="none"/>
        </w:rPr>
      </w:pPr>
      <w:r>
        <w:rPr>
          <w:rFonts w:hint="eastAsia" w:ascii="宋体" w:hAnsi="宋体" w:eastAsia="宋体" w:cs="宋体"/>
          <w:sz w:val="24"/>
          <w:szCs w:val="24"/>
          <w:highlight w:val="none"/>
        </w:rPr>
        <w:t>合同签订后</w:t>
      </w:r>
      <w:r>
        <w:rPr>
          <w:rFonts w:hint="eastAsia" w:ascii="宋体" w:hAnsi="宋体" w:cs="宋体"/>
          <w:sz w:val="24"/>
          <w:szCs w:val="24"/>
          <w:highlight w:val="none"/>
          <w:lang w:val="en-US" w:eastAsia="zh-CN"/>
        </w:rPr>
        <w:t>5个工作日内</w:t>
      </w:r>
      <w:r>
        <w:rPr>
          <w:rFonts w:hint="eastAsia" w:ascii="宋体" w:hAnsi="宋体" w:eastAsia="宋体" w:cs="宋体"/>
          <w:sz w:val="24"/>
          <w:szCs w:val="24"/>
          <w:highlight w:val="none"/>
        </w:rPr>
        <w:t>，支付合同总金额的</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0%预付款</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项目验收合格后支付至总合同金额的</w:t>
      </w:r>
      <w:r>
        <w:rPr>
          <w:rFonts w:hint="eastAsia" w:ascii="宋体" w:hAnsi="宋体" w:cs="宋体"/>
          <w:sz w:val="24"/>
          <w:szCs w:val="24"/>
          <w:highlight w:val="none"/>
          <w:lang w:val="en-US" w:eastAsia="zh-CN"/>
        </w:rPr>
        <w:t>100</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项目支付时中标供应商须提供正规税务发票。</w:t>
      </w:r>
    </w:p>
    <w:p w14:paraId="1C7A4083">
      <w:pPr>
        <w:spacing w:before="1" w:line="360" w:lineRule="auto"/>
        <w:ind w:left="5"/>
        <w:rPr>
          <w:rFonts w:hint="eastAsia" w:ascii="宋体" w:hAnsi="宋体" w:eastAsia="宋体" w:cs="宋体"/>
          <w:b/>
          <w:bCs/>
          <w:sz w:val="24"/>
          <w:szCs w:val="24"/>
          <w:highlight w:val="none"/>
        </w:rPr>
      </w:pPr>
      <w:r>
        <w:rPr>
          <w:rFonts w:hint="eastAsia" w:ascii="宋体" w:hAnsi="宋体" w:cs="宋体"/>
          <w:b/>
          <w:bCs/>
          <w:spacing w:val="1"/>
          <w:sz w:val="24"/>
          <w:szCs w:val="24"/>
          <w:highlight w:val="none"/>
          <w:lang w:val="en-US" w:eastAsia="zh-CN"/>
        </w:rPr>
        <w:t>七</w:t>
      </w:r>
      <w:r>
        <w:rPr>
          <w:rFonts w:hint="eastAsia" w:ascii="宋体" w:hAnsi="宋体" w:eastAsia="宋体" w:cs="宋体"/>
          <w:b/>
          <w:bCs/>
          <w:spacing w:val="1"/>
          <w:sz w:val="24"/>
          <w:szCs w:val="24"/>
          <w:highlight w:val="none"/>
        </w:rPr>
        <w:t>、 采购</w:t>
      </w:r>
      <w:r>
        <w:rPr>
          <w:rFonts w:hint="eastAsia" w:ascii="宋体" w:hAnsi="宋体" w:eastAsia="宋体" w:cs="宋体"/>
          <w:b/>
          <w:bCs/>
          <w:sz w:val="24"/>
          <w:szCs w:val="24"/>
          <w:highlight w:val="none"/>
        </w:rPr>
        <w:t>人认为必须说明的其他内容：</w:t>
      </w:r>
    </w:p>
    <w:p w14:paraId="036F4E7A">
      <w:pPr>
        <w:pStyle w:val="16"/>
        <w:widowControl w:val="0"/>
        <w:numPr>
          <w:ilvl w:val="0"/>
          <w:numId w:val="0"/>
        </w:numPr>
        <w:spacing w:before="1" w:after="120" w:line="360" w:lineRule="auto"/>
        <w:ind w:left="5" w:firstLine="482" w:firstLineChars="200"/>
        <w:jc w:val="both"/>
        <w:rPr>
          <w:rFonts w:hint="eastAsia" w:eastAsia="宋体" w:cs="宋体"/>
          <w:b/>
          <w:bCs/>
          <w:color w:val="auto"/>
          <w:sz w:val="24"/>
          <w:highlight w:val="none"/>
          <w:lang w:val="en-US" w:eastAsia="zh-CN"/>
        </w:rPr>
      </w:pPr>
      <w:r>
        <w:rPr>
          <w:rFonts w:hint="eastAsia" w:eastAsia="宋体" w:cs="宋体"/>
          <w:b/>
          <w:bCs/>
          <w:color w:val="auto"/>
          <w:sz w:val="24"/>
          <w:highlight w:val="none"/>
          <w:lang w:val="en-US" w:eastAsia="zh-CN"/>
        </w:rPr>
        <w:t>（</w:t>
      </w:r>
      <w:r>
        <w:rPr>
          <w:rFonts w:hint="eastAsia" w:cs="宋体"/>
          <w:b/>
          <w:bCs/>
          <w:color w:val="auto"/>
          <w:sz w:val="24"/>
          <w:highlight w:val="none"/>
          <w:lang w:val="en-US" w:eastAsia="zh-CN"/>
        </w:rPr>
        <w:t>1</w:t>
      </w:r>
      <w:r>
        <w:rPr>
          <w:rFonts w:hint="eastAsia" w:eastAsia="宋体" w:cs="宋体"/>
          <w:b/>
          <w:bCs/>
          <w:color w:val="auto"/>
          <w:sz w:val="24"/>
          <w:highlight w:val="none"/>
          <w:lang w:val="en-US" w:eastAsia="zh-CN"/>
        </w:rPr>
        <w:t>）检测项目因标准变化等原因，可能适当增减，包含但不限于目录内所列内容。检测目录外的检验项目需分包的，</w:t>
      </w:r>
      <w:r>
        <w:rPr>
          <w:rFonts w:hint="eastAsia" w:ascii="宋体" w:hAnsi="宋体" w:eastAsia="宋体" w:cs="宋体"/>
          <w:b/>
          <w:bCs/>
          <w:color w:val="auto"/>
          <w:sz w:val="24"/>
          <w:highlight w:val="none"/>
          <w:lang w:val="en-US" w:eastAsia="zh-CN"/>
        </w:rPr>
        <w:t>经采购人书面同意后，可以将该检验项目分包给有检测资质的机构</w:t>
      </w:r>
      <w:r>
        <w:rPr>
          <w:rFonts w:hint="eastAsia" w:eastAsia="宋体" w:cs="宋体"/>
          <w:b/>
          <w:bCs/>
          <w:color w:val="auto"/>
          <w:sz w:val="24"/>
          <w:highlight w:val="none"/>
          <w:lang w:val="en-US" w:eastAsia="zh-CN"/>
        </w:rPr>
        <w:t>。</w:t>
      </w:r>
    </w:p>
    <w:p w14:paraId="4E8AB0BE">
      <w:pPr>
        <w:pStyle w:val="17"/>
        <w:ind w:left="0" w:leftChars="0" w:firstLine="641" w:firstLineChars="266"/>
        <w:rPr>
          <w:rFonts w:hint="eastAsia" w:eastAsia="宋体" w:cs="宋体"/>
          <w:b/>
          <w:bCs/>
          <w:color w:val="000000"/>
          <w:sz w:val="24"/>
          <w:highlight w:val="none"/>
          <w:lang w:val="en-US" w:eastAsia="zh-CN"/>
        </w:rPr>
      </w:pPr>
      <w:r>
        <w:rPr>
          <w:rFonts w:hint="eastAsia" w:eastAsia="宋体" w:cs="宋体"/>
          <w:b/>
          <w:bCs/>
          <w:color w:val="auto"/>
          <w:sz w:val="24"/>
          <w:highlight w:val="none"/>
          <w:lang w:val="en-US" w:eastAsia="zh-CN"/>
        </w:rPr>
        <w:t>（</w:t>
      </w:r>
      <w:r>
        <w:rPr>
          <w:rFonts w:hint="eastAsia" w:cs="宋体"/>
          <w:b/>
          <w:bCs/>
          <w:color w:val="auto"/>
          <w:sz w:val="24"/>
          <w:highlight w:val="none"/>
          <w:lang w:val="en-US" w:eastAsia="zh-CN"/>
        </w:rPr>
        <w:t>2</w:t>
      </w:r>
      <w:r>
        <w:rPr>
          <w:rFonts w:hint="eastAsia" w:eastAsia="宋体" w:cs="宋体"/>
          <w:b/>
          <w:bCs/>
          <w:color w:val="auto"/>
          <w:sz w:val="24"/>
          <w:highlight w:val="none"/>
          <w:lang w:val="en-US" w:eastAsia="zh-CN"/>
        </w:rPr>
        <w:t>）实际执行中遇到特殊情况（如烟花爆竹、目录外的特殊产品等检测条件需特别规定要求）的</w:t>
      </w:r>
      <w:r>
        <w:rPr>
          <w:rFonts w:hint="eastAsia" w:ascii="宋体" w:hAnsi="宋体" w:eastAsia="宋体" w:cs="宋体"/>
          <w:b/>
          <w:bCs/>
          <w:color w:val="auto"/>
          <w:sz w:val="24"/>
          <w:highlight w:val="none"/>
          <w:lang w:val="en-US" w:eastAsia="zh-CN"/>
        </w:rPr>
        <w:t>监督抽查任务，供应商无法完成检测的，经采购人书面同意后，可以</w:t>
      </w:r>
      <w:r>
        <w:rPr>
          <w:rFonts w:hint="eastAsia" w:eastAsia="宋体" w:cs="宋体"/>
          <w:b/>
          <w:bCs/>
          <w:color w:val="auto"/>
          <w:sz w:val="24"/>
          <w:highlight w:val="none"/>
          <w:lang w:val="en-US" w:eastAsia="zh-CN"/>
        </w:rPr>
        <w:t>将该类产品</w:t>
      </w:r>
      <w:r>
        <w:rPr>
          <w:rFonts w:hint="eastAsia" w:ascii="宋体" w:hAnsi="宋体" w:eastAsia="宋体" w:cs="宋体"/>
          <w:b/>
          <w:bCs/>
          <w:color w:val="auto"/>
          <w:sz w:val="24"/>
          <w:highlight w:val="none"/>
          <w:lang w:val="en-US" w:eastAsia="zh-CN"/>
        </w:rPr>
        <w:t>分包给其他</w:t>
      </w:r>
      <w:r>
        <w:rPr>
          <w:rFonts w:hint="eastAsia" w:eastAsia="宋体" w:cs="宋体"/>
          <w:b/>
          <w:bCs/>
          <w:color w:val="auto"/>
          <w:sz w:val="24"/>
          <w:highlight w:val="none"/>
          <w:lang w:val="en-US" w:eastAsia="zh-CN"/>
        </w:rPr>
        <w:t>有资质的检</w:t>
      </w:r>
      <w:r>
        <w:rPr>
          <w:rFonts w:hint="eastAsia" w:eastAsia="宋体" w:cs="宋体"/>
          <w:b/>
          <w:bCs/>
          <w:color w:val="000000"/>
          <w:sz w:val="24"/>
          <w:highlight w:val="none"/>
          <w:lang w:val="en-US" w:eastAsia="zh-CN"/>
        </w:rPr>
        <w:t>测机构</w:t>
      </w:r>
      <w:r>
        <w:rPr>
          <w:rFonts w:hint="eastAsia" w:ascii="宋体" w:hAnsi="宋体" w:eastAsia="宋体" w:cs="宋体"/>
          <w:b/>
          <w:bCs/>
          <w:color w:val="000000"/>
          <w:sz w:val="24"/>
          <w:highlight w:val="none"/>
          <w:lang w:val="en-US" w:eastAsia="zh-CN"/>
        </w:rPr>
        <w:t>实施</w:t>
      </w:r>
      <w:r>
        <w:rPr>
          <w:rFonts w:hint="eastAsia" w:eastAsia="宋体" w:cs="宋体"/>
          <w:b/>
          <w:bCs/>
          <w:color w:val="000000"/>
          <w:sz w:val="24"/>
          <w:highlight w:val="none"/>
          <w:lang w:val="en-US" w:eastAsia="zh-CN"/>
        </w:rPr>
        <w:t>，检测费用参照同类型产品或者省</w:t>
      </w:r>
      <w:r>
        <w:rPr>
          <w:rFonts w:hint="eastAsia" w:cs="宋体"/>
          <w:b/>
          <w:bCs/>
          <w:color w:val="000000"/>
          <w:sz w:val="24"/>
          <w:highlight w:val="none"/>
          <w:lang w:val="en-US" w:eastAsia="zh-CN"/>
        </w:rPr>
        <w:t>(市）</w:t>
      </w:r>
      <w:r>
        <w:rPr>
          <w:rFonts w:hint="eastAsia" w:eastAsia="宋体" w:cs="宋体"/>
          <w:b/>
          <w:bCs/>
          <w:color w:val="000000"/>
          <w:sz w:val="24"/>
          <w:highlight w:val="none"/>
          <w:lang w:val="en-US" w:eastAsia="zh-CN"/>
        </w:rPr>
        <w:t>局价格的中标折扣结算。</w:t>
      </w:r>
    </w:p>
    <w:p w14:paraId="7C68043C">
      <w:pPr>
        <w:spacing w:beforeLines="0" w:afterLines="0"/>
        <w:ind w:firstLine="482" w:firstLineChars="200"/>
        <w:rPr>
          <w:rFonts w:hint="eastAsia" w:ascii="宋体" w:hAnsi="宋体" w:eastAsia="宋体" w:cs="宋体"/>
          <w:color w:val="auto"/>
          <w:kern w:val="2"/>
          <w:sz w:val="24"/>
          <w:szCs w:val="24"/>
          <w:highlight w:val="none"/>
          <w:lang w:val="en-US" w:eastAsia="zh-CN" w:bidi="ar-SA"/>
        </w:rPr>
      </w:pPr>
      <w:r>
        <w:rPr>
          <w:rFonts w:hint="eastAsia" w:cs="宋体"/>
          <w:b/>
          <w:bCs/>
          <w:color w:val="000000"/>
          <w:sz w:val="24"/>
          <w:highlight w:val="none"/>
          <w:lang w:val="en-US" w:eastAsia="zh-CN"/>
        </w:rPr>
        <w:t>（3）</w:t>
      </w:r>
      <w:r>
        <w:rPr>
          <w:rFonts w:hint="eastAsia" w:ascii="宋体" w:hAnsi="宋体" w:eastAsia="宋体" w:cs="宋体"/>
          <w:color w:val="auto"/>
          <w:kern w:val="2"/>
          <w:sz w:val="24"/>
          <w:szCs w:val="24"/>
          <w:highlight w:val="none"/>
          <w:lang w:val="en-US" w:eastAsia="zh-CN" w:bidi="ar-SA"/>
        </w:rPr>
        <w:t>在抽样工作完成后，</w:t>
      </w:r>
      <w:r>
        <w:rPr>
          <w:rFonts w:hint="eastAsia" w:ascii="宋体" w:hAnsi="宋体" w:cs="宋体"/>
          <w:color w:val="auto"/>
          <w:kern w:val="2"/>
          <w:sz w:val="24"/>
          <w:szCs w:val="24"/>
          <w:highlight w:val="none"/>
          <w:lang w:val="en-US" w:eastAsia="zh-CN" w:bidi="ar-SA"/>
        </w:rPr>
        <w:t>应在</w:t>
      </w:r>
      <w:r>
        <w:rPr>
          <w:rFonts w:hint="eastAsia" w:ascii="宋体" w:hAnsi="宋体" w:eastAsia="宋体" w:cs="宋体"/>
          <w:color w:val="auto"/>
          <w:kern w:val="2"/>
          <w:sz w:val="24"/>
          <w:szCs w:val="24"/>
          <w:highlight w:val="none"/>
          <w:lang w:val="en-US" w:eastAsia="zh-CN" w:bidi="ar-SA"/>
        </w:rPr>
        <w:t>30日内出具相应检测报告；检测工作结束后，应当交付委托人检测报告原件及电子版、产品质量抽检结果清单、质量分析报告、样品处理记录等材料，并将检查结果录入浙江省产品质量智慧监管平台；检测报告必须真实有效，不得弄虚作假，不得对外泄漏和公布检测数据和结果；检测过程中未经委托单位授权，不得与当事人联系。</w:t>
      </w:r>
    </w:p>
    <w:p w14:paraId="5DB6976F">
      <w:pPr>
        <w:widowControl w:val="0"/>
        <w:wordWrap/>
        <w:adjustRightInd/>
        <w:snapToGrid w:val="0"/>
        <w:spacing w:beforeLines="0" w:afterLines="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）供应商的检测费用报价是包括供应商完成本项目所需的一切费用。具体包括自接受交易人委托至递交满足交易人要求的报告全过程的全部内容所需的全部费用。所有检测过程中所发生的费用（</w:t>
      </w:r>
      <w:r>
        <w:rPr>
          <w:rFonts w:hint="eastAsia" w:ascii="宋体" w:hAnsi="宋体" w:eastAsia="宋体" w:cs="宋体"/>
          <w:color w:val="auto"/>
          <w:kern w:val="2"/>
          <w:sz w:val="24"/>
          <w:szCs w:val="24"/>
          <w:highlight w:val="none"/>
          <w:lang w:val="en-US" w:eastAsia="zh-CN" w:bidi="ar-SA"/>
        </w:rPr>
        <w:t>包括买样费、检验费、邮寄费、复检费用、复查费用、抽样差旅食宿费、样品处置费等一切费用</w:t>
      </w:r>
      <w:r>
        <w:rPr>
          <w:rFonts w:hint="eastAsia" w:ascii="宋体" w:hAnsi="宋体" w:eastAsia="宋体" w:cs="宋体"/>
          <w:color w:val="auto"/>
          <w:sz w:val="24"/>
          <w:szCs w:val="24"/>
          <w:highlight w:val="none"/>
          <w:lang w:val="en-US" w:eastAsia="zh-CN"/>
        </w:rPr>
        <w:t>），均应包含在本次检测费用报价内，且适用于所有检测领域。检测费用报价还应包括必要的保险费用和各项税金及各类风险因素等所有费用。</w:t>
      </w:r>
    </w:p>
    <w:p w14:paraId="658D47AF">
      <w:pPr>
        <w:pStyle w:val="2"/>
        <w:spacing w:beforeLines="0" w:afterLines="0"/>
        <w:ind w:firstLine="482" w:firstLineChars="200"/>
        <w:jc w:val="both"/>
        <w:rPr>
          <w:rFonts w:hint="eastAsia"/>
        </w:rPr>
      </w:pP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）成交供应商承检的检验任务必须在其响应文件中载明的实验室负责检验，否则视为违约，一旦发现，立即终止合同及取消中标资格。</w:t>
      </w:r>
    </w:p>
    <w:p w14:paraId="346B24C9">
      <w:pPr>
        <w:spacing w:line="360" w:lineRule="auto"/>
        <w:rPr>
          <w:rFonts w:hint="eastAsia" w:ascii="宋体" w:hAnsi="宋体" w:eastAsia="宋体" w:cs="宋体"/>
          <w:sz w:val="24"/>
          <w:szCs w:val="24"/>
          <w:highlight w:val="none"/>
        </w:rPr>
        <w:sectPr>
          <w:footerReference r:id="rId11" w:type="default"/>
          <w:pgSz w:w="11906" w:h="16839"/>
          <w:pgMar w:top="400" w:right="1374" w:bottom="803" w:left="1481" w:header="0" w:footer="643" w:gutter="0"/>
          <w:pgNumType w:fmt="numberInDash"/>
          <w:cols w:space="720" w:num="1"/>
        </w:sectPr>
      </w:pPr>
    </w:p>
    <w:p w14:paraId="2498C319">
      <w:pPr>
        <w:spacing w:before="101" w:line="224" w:lineRule="auto"/>
        <w:ind w:left="53"/>
        <w:rPr>
          <w:rFonts w:hint="eastAsia" w:ascii="宋体" w:hAnsi="宋体" w:eastAsia="宋体" w:cs="宋体"/>
          <w:sz w:val="31"/>
          <w:szCs w:val="31"/>
          <w:highlight w:val="none"/>
        </w:rPr>
      </w:pPr>
      <w:r>
        <w:rPr>
          <w:rFonts w:hint="eastAsia" w:ascii="宋体" w:hAnsi="宋体" w:eastAsia="宋体" w:cs="宋体"/>
          <w:spacing w:val="-7"/>
          <w:sz w:val="31"/>
          <w:szCs w:val="31"/>
          <w:highlight w:val="none"/>
        </w:rPr>
        <w:t>附</w:t>
      </w:r>
      <w:r>
        <w:rPr>
          <w:rFonts w:hint="eastAsia" w:ascii="宋体" w:hAnsi="宋体" w:eastAsia="宋体" w:cs="宋体"/>
          <w:spacing w:val="-5"/>
          <w:sz w:val="31"/>
          <w:szCs w:val="31"/>
          <w:highlight w:val="none"/>
        </w:rPr>
        <w:t>件：</w:t>
      </w:r>
    </w:p>
    <w:p w14:paraId="4B1D1C3F">
      <w:pPr>
        <w:spacing w:before="38" w:line="225" w:lineRule="auto"/>
        <w:ind w:left="3068"/>
        <w:rPr>
          <w:rFonts w:hint="eastAsia" w:ascii="宋体" w:hAnsi="宋体" w:eastAsia="宋体" w:cs="宋体"/>
          <w:sz w:val="31"/>
          <w:szCs w:val="31"/>
          <w:highlight w:val="none"/>
        </w:rPr>
      </w:pPr>
      <w:r>
        <w:rPr>
          <w:rFonts w:hint="eastAsia" w:ascii="宋体" w:hAnsi="宋体" w:eastAsia="宋体" w:cs="宋体"/>
          <w:spacing w:val="13"/>
          <w:sz w:val="31"/>
          <w:szCs w:val="31"/>
          <w:highlight w:val="none"/>
        </w:rPr>
        <w:t>《</w:t>
      </w:r>
      <w:r>
        <w:rPr>
          <w:rFonts w:hint="eastAsia" w:ascii="宋体" w:hAnsi="宋体" w:eastAsia="宋体" w:cs="宋体"/>
          <w:spacing w:val="7"/>
          <w:sz w:val="31"/>
          <w:szCs w:val="31"/>
          <w:highlight w:val="none"/>
        </w:rPr>
        <w:t>检测项目汇总表》</w:t>
      </w:r>
    </w:p>
    <w:p w14:paraId="7F20255B">
      <w:pPr>
        <w:rPr>
          <w:rFonts w:hint="eastAsia" w:ascii="宋体" w:hAnsi="宋体" w:eastAsia="宋体" w:cs="宋体"/>
          <w:sz w:val="24"/>
          <w:highlight w:val="none"/>
        </w:rPr>
      </w:pPr>
      <w:r>
        <w:rPr>
          <w:rFonts w:hint="eastAsia" w:ascii="宋体" w:hAnsi="宋体" w:eastAsia="宋体" w:cs="宋体"/>
          <w:spacing w:val="1"/>
          <w:sz w:val="24"/>
          <w:szCs w:val="24"/>
          <w:highlight w:val="none"/>
        </w:rPr>
        <w:t>食品相关</w:t>
      </w:r>
      <w:r>
        <w:rPr>
          <w:rFonts w:hint="eastAsia" w:ascii="宋体" w:hAnsi="宋体" w:eastAsia="宋体" w:cs="宋体"/>
          <w:sz w:val="24"/>
          <w:szCs w:val="24"/>
          <w:highlight w:val="none"/>
        </w:rPr>
        <w:t>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1FBBD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BA82BA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center"/>
          </w:tcPr>
          <w:p w14:paraId="58F7144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center"/>
          </w:tcPr>
          <w:p w14:paraId="381FCDE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center"/>
          </w:tcPr>
          <w:p w14:paraId="2B73771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center"/>
          </w:tcPr>
          <w:p w14:paraId="5F92038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22A7E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1A302B2">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CA4EA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餐</w:t>
            </w:r>
            <w:r>
              <w:rPr>
                <w:rFonts w:hint="eastAsia" w:ascii="宋体" w:hAnsi="宋体" w:eastAsia="宋体" w:cs="宋体"/>
                <w:spacing w:val="6"/>
                <w:sz w:val="24"/>
                <w:szCs w:val="24"/>
                <w:highlight w:val="none"/>
              </w:rPr>
              <w:t>具洗</w:t>
            </w:r>
            <w:r>
              <w:rPr>
                <w:rFonts w:hint="eastAsia" w:ascii="宋体" w:hAnsi="宋体" w:eastAsia="宋体" w:cs="宋体"/>
                <w:spacing w:val="5"/>
                <w:sz w:val="24"/>
                <w:szCs w:val="24"/>
                <w:highlight w:val="none"/>
              </w:rPr>
              <w:t>涤</w:t>
            </w:r>
            <w:r>
              <w:rPr>
                <w:rFonts w:hint="eastAsia" w:ascii="宋体" w:hAnsi="宋体" w:eastAsia="宋体" w:cs="宋体"/>
                <w:spacing w:val="4"/>
                <w:sz w:val="24"/>
                <w:szCs w:val="24"/>
                <w:highlight w:val="none"/>
              </w:rPr>
              <w:t>剂</w:t>
            </w:r>
          </w:p>
        </w:tc>
        <w:tc>
          <w:tcPr>
            <w:tcW w:w="626" w:type="dxa"/>
            <w:vAlign w:val="center"/>
          </w:tcPr>
          <w:p w14:paraId="631370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DCDA5C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9985-2000</w:t>
            </w:r>
          </w:p>
          <w:p w14:paraId="12D5EB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GB14930.1-2015</w:t>
            </w:r>
          </w:p>
          <w:p w14:paraId="15B2C47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574131D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手洗餐具(果蔬) 用洗涤剂 (GB/T 9985-2000): 外观、气味、稳定性(液体产品)、pH值、总活性物含量、去污力、荧光增白剂、甲醇含量、甲醛含量、砷(As)、重金属(以 Pb 计)、菌落总数、大肠菌群、标志</w:t>
            </w:r>
          </w:p>
          <w:p w14:paraId="1DEBA3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机洗餐具(果蔬)用洗涤剂和食品工业用洗涤剂(含复合剂)(GB14930.1-2015 及企业标准)：总活性物含量、甲醇含量、甲醛含量、砷(As)、重金属(以 Pb 计)、菌落总数、大肠菌群、标志</w:t>
            </w:r>
          </w:p>
        </w:tc>
      </w:tr>
      <w:tr w14:paraId="7D13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39255F9">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F776D1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食品用塑料容器</w:t>
            </w:r>
          </w:p>
        </w:tc>
        <w:tc>
          <w:tcPr>
            <w:tcW w:w="626" w:type="dxa"/>
            <w:vAlign w:val="center"/>
          </w:tcPr>
          <w:p w14:paraId="31A105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21308F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0013-2011</w:t>
            </w:r>
          </w:p>
          <w:p w14:paraId="1E0D6A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2818-2006</w:t>
            </w:r>
          </w:p>
          <w:p w14:paraId="7502C82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41167-2021</w:t>
            </w:r>
          </w:p>
          <w:p w14:paraId="76F1B4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41000-2021</w:t>
            </w:r>
          </w:p>
          <w:p w14:paraId="3A84C5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2933-2008</w:t>
            </w:r>
          </w:p>
          <w:p w14:paraId="1D52DDD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4049-2010</w:t>
            </w:r>
          </w:p>
          <w:p w14:paraId="2404458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32094-2015</w:t>
            </w:r>
          </w:p>
          <w:p w14:paraId="1A096B1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0025-2004</w:t>
            </w:r>
          </w:p>
          <w:p w14:paraId="16E540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17876-2010</w:t>
            </w:r>
          </w:p>
          <w:p w14:paraId="6DFEDF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0048-2017</w:t>
            </w:r>
          </w:p>
          <w:p w14:paraId="259D9F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BB/T0060-2012</w:t>
            </w:r>
          </w:p>
          <w:p w14:paraId="464636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GB4806.7-2023</w:t>
            </w:r>
          </w:p>
          <w:p w14:paraId="7F6BEF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289A425F">
            <w:pPr>
              <w:spacing w:before="40" w:beforeAutospacing="0" w:after="0" w:afterAutospacing="0"/>
              <w:ind w:left="15" w:right="0" w:firstLine="2"/>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软塑</w:t>
            </w:r>
            <w:r>
              <w:rPr>
                <w:rFonts w:hint="eastAsia" w:ascii="宋体" w:hAnsi="宋体" w:eastAsia="宋体" w:cs="宋体"/>
                <w:spacing w:val="7"/>
                <w:sz w:val="24"/>
                <w:szCs w:val="24"/>
                <w:highlight w:val="none"/>
              </w:rPr>
              <w:t>折叠包装容器(</w:t>
            </w:r>
            <w:r>
              <w:rPr>
                <w:rFonts w:hint="eastAsia" w:ascii="宋体" w:hAnsi="宋体" w:eastAsia="宋体" w:cs="宋体"/>
                <w:sz w:val="24"/>
                <w:szCs w:val="24"/>
                <w:highlight w:val="none"/>
              </w:rPr>
              <w:t>BB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0013-2011)：标签标识、质量偏差、容量偏差、</w:t>
            </w:r>
            <w:r>
              <w:rPr>
                <w:rFonts w:hint="eastAsia" w:ascii="宋体" w:hAnsi="宋体" w:eastAsia="宋体" w:cs="宋体"/>
                <w:spacing w:val="5"/>
                <w:sz w:val="24"/>
                <w:szCs w:val="24"/>
                <w:highlight w:val="none"/>
              </w:rPr>
              <w:t>最小壁厚、对称顶角壁厚比、口盖及配合、跌落强度、抗压试验、悬吊</w:t>
            </w:r>
            <w:r>
              <w:rPr>
                <w:rFonts w:hint="eastAsia" w:ascii="宋体" w:hAnsi="宋体" w:eastAsia="宋体" w:cs="宋体"/>
                <w:spacing w:val="1"/>
                <w:sz w:val="24"/>
                <w:szCs w:val="24"/>
                <w:highlight w:val="none"/>
              </w:rPr>
              <w:t>试</w:t>
            </w:r>
            <w:r>
              <w:rPr>
                <w:rFonts w:hint="eastAsia" w:ascii="宋体" w:hAnsi="宋体" w:eastAsia="宋体" w:cs="宋体"/>
                <w:spacing w:val="18"/>
                <w:sz w:val="24"/>
                <w:szCs w:val="24"/>
                <w:highlight w:val="none"/>
              </w:rPr>
              <w:t>验、</w:t>
            </w:r>
            <w:r>
              <w:rPr>
                <w:rFonts w:hint="eastAsia" w:ascii="宋体" w:hAnsi="宋体" w:eastAsia="宋体" w:cs="宋体"/>
                <w:spacing w:val="12"/>
                <w:sz w:val="24"/>
                <w:szCs w:val="24"/>
                <w:highlight w:val="none"/>
              </w:rPr>
              <w:t>密</w:t>
            </w:r>
            <w:r>
              <w:rPr>
                <w:rFonts w:hint="eastAsia" w:ascii="宋体" w:hAnsi="宋体" w:eastAsia="宋体" w:cs="宋体"/>
                <w:spacing w:val="9"/>
                <w:sz w:val="24"/>
                <w:szCs w:val="24"/>
                <w:highlight w:val="none"/>
              </w:rPr>
              <w:t>封试验、感官要求、总迁移量、高锰酸钾消耗量、重金属(以</w:t>
            </w:r>
            <w:r>
              <w:rPr>
                <w:rFonts w:hint="eastAsia" w:ascii="宋体" w:hAnsi="宋体" w:eastAsia="宋体" w:cs="宋体"/>
                <w:sz w:val="24"/>
                <w:szCs w:val="24"/>
                <w:highlight w:val="none"/>
              </w:rPr>
              <w:t xml:space="preserve">Pb  </w:t>
            </w:r>
            <w:r>
              <w:rPr>
                <w:rFonts w:hint="eastAsia" w:ascii="宋体" w:hAnsi="宋体" w:eastAsia="宋体" w:cs="宋体"/>
                <w:spacing w:val="4"/>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4"/>
                <w:sz w:val="24"/>
                <w:szCs w:val="24"/>
                <w:highlight w:val="none"/>
              </w:rPr>
              <w:t>单体及其他起始物的特定迁移限量、特定迁移限量总量</w:t>
            </w:r>
            <w:r>
              <w:rPr>
                <w:rFonts w:hint="eastAsia" w:ascii="宋体" w:hAnsi="宋体" w:eastAsia="宋体" w:cs="宋体"/>
                <w:spacing w:val="3"/>
                <w:sz w:val="24"/>
                <w:szCs w:val="24"/>
                <w:highlight w:val="none"/>
              </w:rPr>
              <w:t>、</w:t>
            </w:r>
            <w:r>
              <w:rPr>
                <w:rFonts w:hint="eastAsia" w:ascii="宋体" w:hAnsi="宋体" w:eastAsia="宋体" w:cs="宋体"/>
                <w:spacing w:val="8"/>
                <w:sz w:val="24"/>
                <w:szCs w:val="24"/>
                <w:highlight w:val="none"/>
              </w:rPr>
              <w:t>最大残留量等理化指</w:t>
            </w:r>
            <w:r>
              <w:rPr>
                <w:rFonts w:hint="eastAsia" w:ascii="宋体" w:hAnsi="宋体" w:eastAsia="宋体" w:cs="宋体"/>
                <w:spacing w:val="6"/>
                <w:sz w:val="24"/>
                <w:szCs w:val="24"/>
                <w:highlight w:val="none"/>
              </w:rPr>
              <w:t>标</w:t>
            </w:r>
          </w:p>
          <w:p w14:paraId="22803349">
            <w:pPr>
              <w:spacing w:before="1" w:beforeAutospacing="0" w:after="0" w:afterAutospacing="0"/>
              <w:ind w:left="15" w:right="11" w:firstLine="7"/>
              <w:rPr>
                <w:rFonts w:hint="eastAsia" w:ascii="宋体" w:hAnsi="宋体" w:eastAsia="宋体" w:cs="宋体"/>
                <w:sz w:val="24"/>
                <w:szCs w:val="24"/>
                <w:highlight w:val="none"/>
              </w:rPr>
            </w:pPr>
            <w:r>
              <w:rPr>
                <w:rFonts w:hint="eastAsia" w:ascii="宋体" w:hAnsi="宋体" w:eastAsia="宋体" w:cs="宋体"/>
                <w:spacing w:val="14"/>
                <w:sz w:val="24"/>
                <w:szCs w:val="24"/>
                <w:highlight w:val="none"/>
              </w:rPr>
              <w:t>聚烯烃</w:t>
            </w:r>
            <w:r>
              <w:rPr>
                <w:rFonts w:hint="eastAsia" w:ascii="宋体" w:hAnsi="宋体" w:eastAsia="宋体" w:cs="宋体"/>
                <w:spacing w:val="13"/>
                <w:sz w:val="24"/>
                <w:szCs w:val="24"/>
                <w:highlight w:val="none"/>
              </w:rPr>
              <w:t>注</w:t>
            </w:r>
            <w:r>
              <w:rPr>
                <w:rFonts w:hint="eastAsia" w:ascii="宋体" w:hAnsi="宋体" w:eastAsia="宋体" w:cs="宋体"/>
                <w:spacing w:val="7"/>
                <w:sz w:val="24"/>
                <w:szCs w:val="24"/>
                <w:highlight w:val="none"/>
              </w:rPr>
              <w:t>塑包装桶(</w:t>
            </w:r>
            <w:r>
              <w:rPr>
                <w:rFonts w:hint="eastAsia" w:ascii="宋体" w:hAnsi="宋体" w:eastAsia="宋体" w:cs="宋体"/>
                <w:sz w:val="24"/>
                <w:szCs w:val="24"/>
                <w:highlight w:val="none"/>
              </w:rPr>
              <w:t>QB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2818-2006)：标签标识、质量偏差、容量偏差、</w:t>
            </w:r>
            <w:r>
              <w:rPr>
                <w:rFonts w:hint="eastAsia" w:ascii="宋体" w:hAnsi="宋体" w:eastAsia="宋体" w:cs="宋体"/>
                <w:spacing w:val="14"/>
                <w:sz w:val="24"/>
                <w:szCs w:val="24"/>
                <w:highlight w:val="none"/>
              </w:rPr>
              <w:t>厚</w:t>
            </w:r>
            <w:r>
              <w:rPr>
                <w:rFonts w:hint="eastAsia" w:ascii="宋体" w:hAnsi="宋体" w:eastAsia="宋体" w:cs="宋体"/>
                <w:spacing w:val="9"/>
                <w:sz w:val="24"/>
                <w:szCs w:val="24"/>
                <w:highlight w:val="none"/>
              </w:rPr>
              <w:t>度偏差、密封性能、跌落性能、堆码试验、应力开裂、悬挂试验、感官</w:t>
            </w:r>
            <w:r>
              <w:rPr>
                <w:rFonts w:hint="eastAsia" w:ascii="宋体" w:hAnsi="宋体" w:eastAsia="宋体" w:cs="宋体"/>
                <w:spacing w:val="19"/>
                <w:sz w:val="24"/>
                <w:szCs w:val="24"/>
                <w:highlight w:val="none"/>
              </w:rPr>
              <w:t>要</w:t>
            </w:r>
            <w:r>
              <w:rPr>
                <w:rFonts w:hint="eastAsia" w:ascii="宋体" w:hAnsi="宋体" w:eastAsia="宋体" w:cs="宋体"/>
                <w:spacing w:val="12"/>
                <w:sz w:val="24"/>
                <w:szCs w:val="24"/>
                <w:highlight w:val="none"/>
              </w:rPr>
              <w:t>求、总迁移量、高锰酸钾消耗量、重金属(以</w:t>
            </w:r>
            <w:r>
              <w:rPr>
                <w:rFonts w:hint="eastAsia" w:ascii="宋体" w:hAnsi="宋体" w:eastAsia="宋体" w:cs="宋体"/>
                <w:sz w:val="24"/>
                <w:szCs w:val="24"/>
                <w:highlight w:val="none"/>
              </w:rPr>
              <w:t>Pb</w:t>
            </w:r>
            <w:r>
              <w:rPr>
                <w:rFonts w:hint="eastAsia" w:ascii="宋体" w:hAnsi="宋体" w:eastAsia="宋体" w:cs="宋体"/>
                <w:spacing w:val="12"/>
                <w:sz w:val="24"/>
                <w:szCs w:val="24"/>
                <w:highlight w:val="none"/>
              </w:rPr>
              <w:t>计)、脱色试验、</w:t>
            </w:r>
            <w:bookmarkStart w:id="17" w:name="OLE_LINK2"/>
            <w:r>
              <w:rPr>
                <w:rFonts w:hint="eastAsia" w:ascii="宋体" w:hAnsi="宋体" w:eastAsia="宋体" w:cs="宋体"/>
                <w:spacing w:val="12"/>
                <w:sz w:val="24"/>
                <w:szCs w:val="24"/>
                <w:highlight w:val="none"/>
              </w:rPr>
              <w:t>芳香族伯胺迁移总量、</w:t>
            </w:r>
            <w:bookmarkEnd w:id="17"/>
            <w:r>
              <w:rPr>
                <w:rFonts w:hint="eastAsia" w:ascii="宋体" w:hAnsi="宋体" w:eastAsia="宋体" w:cs="宋体"/>
                <w:spacing w:val="12"/>
                <w:sz w:val="24"/>
                <w:szCs w:val="24"/>
                <w:highlight w:val="none"/>
              </w:rPr>
              <w:t>单</w:t>
            </w:r>
            <w:r>
              <w:rPr>
                <w:rFonts w:hint="eastAsia" w:ascii="宋体" w:hAnsi="宋体" w:eastAsia="宋体" w:cs="宋体"/>
                <w:spacing w:val="14"/>
                <w:sz w:val="24"/>
                <w:szCs w:val="24"/>
                <w:highlight w:val="none"/>
              </w:rPr>
              <w:t>体</w:t>
            </w:r>
            <w:r>
              <w:rPr>
                <w:rFonts w:hint="eastAsia" w:ascii="宋体" w:hAnsi="宋体" w:eastAsia="宋体" w:cs="宋体"/>
                <w:spacing w:val="9"/>
                <w:sz w:val="24"/>
                <w:szCs w:val="24"/>
                <w:highlight w:val="none"/>
              </w:rPr>
              <w:t>及其他起始物的特定迁移限量、特定迁移限量总量、最大残留量等理化指标、添加</w:t>
            </w:r>
            <w:r>
              <w:rPr>
                <w:rFonts w:hint="eastAsia" w:ascii="宋体" w:hAnsi="宋体" w:eastAsia="宋体" w:cs="宋体"/>
                <w:spacing w:val="7"/>
                <w:sz w:val="24"/>
                <w:szCs w:val="24"/>
                <w:highlight w:val="none"/>
              </w:rPr>
              <w:t>剂</w:t>
            </w:r>
          </w:p>
          <w:p w14:paraId="698942D3">
            <w:pPr>
              <w:spacing w:before="0" w:beforeAutospacing="0" w:after="0" w:afterAutospacing="0"/>
              <w:ind w:left="15" w:right="0" w:firstLine="6"/>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聚对苯二甲酸乙二醇酯(PET)饮品瓶(</w:t>
            </w:r>
            <w:r>
              <w:rPr>
                <w:rFonts w:hint="eastAsia" w:ascii="宋体" w:hAnsi="宋体" w:eastAsia="宋体" w:cs="宋体"/>
                <w:sz w:val="24"/>
                <w:szCs w:val="24"/>
                <w:highlight w:val="none"/>
              </w:rPr>
              <w:t>GB/T 41167-2021</w:t>
            </w:r>
            <w:r>
              <w:rPr>
                <w:rFonts w:hint="eastAsia" w:ascii="宋体" w:hAnsi="宋体" w:eastAsia="宋体" w:cs="宋体"/>
                <w:spacing w:val="12"/>
                <w:sz w:val="24"/>
                <w:szCs w:val="24"/>
                <w:highlight w:val="none"/>
              </w:rPr>
              <w:t>)：标签标识、瓶口密封性能、跌</w:t>
            </w:r>
            <w:r>
              <w:rPr>
                <w:rFonts w:hint="eastAsia" w:ascii="宋体" w:hAnsi="宋体" w:eastAsia="宋体" w:cs="宋体"/>
                <w:spacing w:val="5"/>
                <w:sz w:val="24"/>
                <w:szCs w:val="24"/>
                <w:highlight w:val="none"/>
              </w:rPr>
              <w:t>落</w:t>
            </w:r>
            <w:r>
              <w:rPr>
                <w:rFonts w:hint="eastAsia" w:ascii="宋体" w:hAnsi="宋体" w:eastAsia="宋体" w:cs="宋体"/>
                <w:spacing w:val="24"/>
                <w:sz w:val="24"/>
                <w:szCs w:val="24"/>
                <w:highlight w:val="none"/>
              </w:rPr>
              <w:t>性能</w:t>
            </w:r>
            <w:r>
              <w:rPr>
                <w:rFonts w:hint="eastAsia" w:ascii="宋体" w:hAnsi="宋体" w:eastAsia="宋体" w:cs="宋体"/>
                <w:spacing w:val="12"/>
                <w:sz w:val="24"/>
                <w:szCs w:val="24"/>
                <w:highlight w:val="none"/>
              </w:rPr>
              <w:t>、感官要求、总迁移量、高锰酸钾消耗量、</w:t>
            </w:r>
            <w:r>
              <w:rPr>
                <w:rFonts w:hint="eastAsia" w:ascii="宋体" w:hAnsi="宋体" w:eastAsia="宋体" w:cs="宋体"/>
                <w:spacing w:val="10"/>
                <w:sz w:val="24"/>
                <w:szCs w:val="24"/>
                <w:highlight w:val="none"/>
              </w:rPr>
              <w:t>重</w:t>
            </w:r>
            <w:r>
              <w:rPr>
                <w:rFonts w:hint="eastAsia" w:ascii="宋体" w:hAnsi="宋体" w:eastAsia="宋体" w:cs="宋体"/>
                <w:spacing w:val="6"/>
                <w:sz w:val="24"/>
                <w:szCs w:val="24"/>
                <w:highlight w:val="none"/>
              </w:rPr>
              <w:t>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6"/>
                <w:sz w:val="24"/>
                <w:szCs w:val="24"/>
                <w:highlight w:val="none"/>
              </w:rPr>
              <w:t>单体及其他起始物的特定迁移限量、</w:t>
            </w:r>
            <w:r>
              <w:rPr>
                <w:rFonts w:hint="eastAsia" w:ascii="宋体" w:hAnsi="宋体" w:eastAsia="宋体" w:cs="宋体"/>
                <w:spacing w:val="10"/>
                <w:sz w:val="24"/>
                <w:szCs w:val="24"/>
                <w:highlight w:val="none"/>
              </w:rPr>
              <w:t>特</w:t>
            </w:r>
            <w:r>
              <w:rPr>
                <w:rFonts w:hint="eastAsia" w:ascii="宋体" w:hAnsi="宋体" w:eastAsia="宋体" w:cs="宋体"/>
                <w:spacing w:val="8"/>
                <w:sz w:val="24"/>
                <w:szCs w:val="24"/>
                <w:highlight w:val="none"/>
              </w:rPr>
              <w:t>定迁移限量总量、最大残留量等理化指标</w:t>
            </w:r>
          </w:p>
          <w:p w14:paraId="2B93204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聚碳酸酯(PC)饮水罐</w:t>
            </w:r>
            <w:r>
              <w:rPr>
                <w:rFonts w:hint="eastAsia" w:ascii="宋体" w:hAnsi="宋体" w:eastAsia="宋体" w:cs="宋体"/>
                <w:spacing w:val="11"/>
                <w:sz w:val="24"/>
                <w:szCs w:val="24"/>
                <w:highlight w:val="none"/>
              </w:rPr>
              <w:t xml:space="preserve"> (</w:t>
            </w:r>
            <w:r>
              <w:rPr>
                <w:rFonts w:hint="eastAsia" w:ascii="宋体" w:hAnsi="宋体" w:eastAsia="宋体" w:cs="宋体"/>
                <w:sz w:val="24"/>
                <w:szCs w:val="24"/>
                <w:highlight w:val="none"/>
              </w:rPr>
              <w:t>GB/T 41000-2021</w:t>
            </w:r>
            <w:r>
              <w:rPr>
                <w:rFonts w:hint="eastAsia" w:ascii="宋体" w:hAnsi="宋体" w:eastAsia="宋体" w:cs="宋体"/>
                <w:spacing w:val="11"/>
                <w:sz w:val="24"/>
                <w:szCs w:val="24"/>
                <w:highlight w:val="none"/>
              </w:rPr>
              <w:t>)：标签标识、密封性能、</w:t>
            </w:r>
            <w:r>
              <w:rPr>
                <w:rFonts w:hint="eastAsia" w:ascii="宋体" w:hAnsi="宋体" w:eastAsia="宋体" w:cs="宋体"/>
                <w:spacing w:val="7"/>
                <w:sz w:val="24"/>
                <w:szCs w:val="24"/>
                <w:highlight w:val="none"/>
              </w:rPr>
              <w:t>堆码要求、</w:t>
            </w:r>
            <w:r>
              <w:rPr>
                <w:rFonts w:hint="eastAsia" w:ascii="宋体" w:hAnsi="宋体" w:eastAsia="宋体" w:cs="宋体"/>
                <w:spacing w:val="11"/>
                <w:sz w:val="24"/>
                <w:szCs w:val="24"/>
                <w:highlight w:val="none"/>
              </w:rPr>
              <w:t>跌落</w:t>
            </w:r>
            <w:r>
              <w:rPr>
                <w:rFonts w:hint="eastAsia" w:ascii="宋体" w:hAnsi="宋体" w:eastAsia="宋体" w:cs="宋体"/>
                <w:spacing w:val="14"/>
                <w:sz w:val="24"/>
                <w:szCs w:val="24"/>
                <w:highlight w:val="none"/>
              </w:rPr>
              <w:t>要求</w:t>
            </w:r>
            <w:r>
              <w:rPr>
                <w:rFonts w:hint="eastAsia" w:ascii="宋体" w:hAnsi="宋体" w:eastAsia="宋体" w:cs="宋体"/>
                <w:spacing w:val="13"/>
                <w:sz w:val="24"/>
                <w:szCs w:val="24"/>
                <w:highlight w:val="none"/>
              </w:rPr>
              <w:t>、</w:t>
            </w:r>
            <w:r>
              <w:rPr>
                <w:rFonts w:hint="eastAsia" w:ascii="宋体" w:hAnsi="宋体" w:eastAsia="宋体" w:cs="宋体"/>
                <w:spacing w:val="7"/>
                <w:sz w:val="24"/>
                <w:szCs w:val="24"/>
                <w:highlight w:val="none"/>
              </w:rPr>
              <w:t>感官要求、总迁移量、高锰酸钾消耗量、重金属 (以</w:t>
            </w:r>
            <w:r>
              <w:rPr>
                <w:rFonts w:hint="eastAsia" w:ascii="宋体" w:hAnsi="宋体" w:eastAsia="宋体" w:cs="宋体"/>
                <w:sz w:val="24"/>
                <w:szCs w:val="24"/>
                <w:highlight w:val="none"/>
              </w:rPr>
              <w:t xml:space="preserve">Pb </w:t>
            </w:r>
            <w:r>
              <w:rPr>
                <w:rFonts w:hint="eastAsia" w:ascii="宋体" w:hAnsi="宋体" w:eastAsia="宋体" w:cs="宋体"/>
                <w:spacing w:val="4"/>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4"/>
                <w:sz w:val="24"/>
                <w:szCs w:val="24"/>
                <w:highlight w:val="none"/>
              </w:rPr>
              <w:t>单体及其他起始物的特定迁移限量、特定迁移限量总量</w:t>
            </w:r>
            <w:r>
              <w:rPr>
                <w:rFonts w:hint="eastAsia" w:ascii="宋体" w:hAnsi="宋体" w:eastAsia="宋体" w:cs="宋体"/>
                <w:spacing w:val="3"/>
                <w:sz w:val="24"/>
                <w:szCs w:val="24"/>
                <w:highlight w:val="none"/>
              </w:rPr>
              <w:t>、</w:t>
            </w:r>
            <w:r>
              <w:rPr>
                <w:rFonts w:hint="eastAsia" w:ascii="宋体" w:hAnsi="宋体" w:eastAsia="宋体" w:cs="宋体"/>
                <w:spacing w:val="14"/>
                <w:sz w:val="24"/>
                <w:szCs w:val="24"/>
                <w:highlight w:val="none"/>
              </w:rPr>
              <w:t>最</w:t>
            </w:r>
            <w:r>
              <w:rPr>
                <w:rFonts w:hint="eastAsia" w:ascii="宋体" w:hAnsi="宋体" w:eastAsia="宋体" w:cs="宋体"/>
                <w:spacing w:val="7"/>
                <w:sz w:val="24"/>
                <w:szCs w:val="24"/>
                <w:highlight w:val="none"/>
              </w:rPr>
              <w:t>大残留量等理化指标</w:t>
            </w:r>
          </w:p>
          <w:p w14:paraId="56167AF1">
            <w:pPr>
              <w:spacing w:before="3" w:beforeAutospacing="0" w:after="0" w:afterAutospacing="0"/>
              <w:ind w:left="15" w:right="6"/>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双</w:t>
            </w:r>
            <w:r>
              <w:rPr>
                <w:rFonts w:hint="eastAsia" w:ascii="宋体" w:hAnsi="宋体" w:eastAsia="宋体" w:cs="宋体"/>
                <w:spacing w:val="13"/>
                <w:sz w:val="24"/>
                <w:szCs w:val="24"/>
                <w:highlight w:val="none"/>
              </w:rPr>
              <w:t>层</w:t>
            </w:r>
            <w:r>
              <w:rPr>
                <w:rFonts w:hint="eastAsia" w:ascii="宋体" w:hAnsi="宋体" w:eastAsia="宋体" w:cs="宋体"/>
                <w:spacing w:val="10"/>
                <w:sz w:val="24"/>
                <w:szCs w:val="24"/>
                <w:highlight w:val="none"/>
              </w:rPr>
              <w:t>口杯(</w:t>
            </w:r>
            <w:r>
              <w:rPr>
                <w:rFonts w:hint="eastAsia" w:ascii="宋体" w:hAnsi="宋体" w:eastAsia="宋体" w:cs="宋体"/>
                <w:sz w:val="24"/>
                <w:szCs w:val="24"/>
                <w:highlight w:val="none"/>
              </w:rPr>
              <w:t>QB</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10"/>
                <w:sz w:val="24"/>
                <w:szCs w:val="24"/>
                <w:highlight w:val="none"/>
              </w:rPr>
              <w:t xml:space="preserve"> 2933-2008 )：标签标识、容量、稳定性、外表面温度、</w:t>
            </w:r>
            <w:r>
              <w:rPr>
                <w:rFonts w:hint="eastAsia" w:ascii="宋体" w:hAnsi="宋体" w:eastAsia="宋体" w:cs="宋体"/>
                <w:spacing w:val="16"/>
                <w:sz w:val="24"/>
                <w:szCs w:val="24"/>
                <w:highlight w:val="none"/>
              </w:rPr>
              <w:t>密封</w:t>
            </w:r>
            <w:r>
              <w:rPr>
                <w:rFonts w:hint="eastAsia" w:ascii="宋体" w:hAnsi="宋体" w:eastAsia="宋体" w:cs="宋体"/>
                <w:spacing w:val="14"/>
                <w:sz w:val="24"/>
                <w:szCs w:val="24"/>
                <w:highlight w:val="none"/>
              </w:rPr>
              <w:t>性</w:t>
            </w:r>
            <w:r>
              <w:rPr>
                <w:rFonts w:hint="eastAsia" w:ascii="宋体" w:hAnsi="宋体" w:eastAsia="宋体" w:cs="宋体"/>
                <w:spacing w:val="8"/>
                <w:sz w:val="24"/>
                <w:szCs w:val="24"/>
                <w:highlight w:val="none"/>
              </w:rPr>
              <w:t>能、卫生指标 (气味) 、耐冲击、盖与杯的配合、手柄强度、橡胶</w:t>
            </w:r>
            <w:r>
              <w:rPr>
                <w:rFonts w:hint="eastAsia" w:ascii="宋体" w:hAnsi="宋体" w:eastAsia="宋体" w:cs="宋体"/>
                <w:spacing w:val="18"/>
                <w:sz w:val="24"/>
                <w:szCs w:val="24"/>
                <w:highlight w:val="none"/>
              </w:rPr>
              <w:t>件</w:t>
            </w:r>
            <w:r>
              <w:rPr>
                <w:rFonts w:hint="eastAsia" w:ascii="宋体" w:hAnsi="宋体" w:eastAsia="宋体" w:cs="宋体"/>
                <w:spacing w:val="11"/>
                <w:sz w:val="24"/>
                <w:szCs w:val="24"/>
                <w:highlight w:val="none"/>
              </w:rPr>
              <w:t>耐</w:t>
            </w:r>
            <w:r>
              <w:rPr>
                <w:rFonts w:hint="eastAsia" w:ascii="宋体" w:hAnsi="宋体" w:eastAsia="宋体" w:cs="宋体"/>
                <w:spacing w:val="9"/>
                <w:sz w:val="24"/>
                <w:szCs w:val="24"/>
                <w:highlight w:val="none"/>
              </w:rPr>
              <w:t>热水、涂层、电镀件、感官要求、总迁移量、高锰酸钾消耗量、重金</w:t>
            </w:r>
            <w:r>
              <w:rPr>
                <w:rFonts w:hint="eastAsia" w:ascii="宋体" w:hAnsi="宋体" w:eastAsia="宋体" w:cs="宋体"/>
                <w:spacing w:val="22"/>
                <w:sz w:val="24"/>
                <w:szCs w:val="24"/>
                <w:highlight w:val="none"/>
              </w:rPr>
              <w:t>属</w:t>
            </w:r>
            <w:r>
              <w:rPr>
                <w:rFonts w:hint="eastAsia" w:ascii="宋体" w:hAnsi="宋体" w:eastAsia="宋体" w:cs="宋体"/>
                <w:spacing w:val="16"/>
                <w:sz w:val="24"/>
                <w:szCs w:val="24"/>
                <w:highlight w:val="none"/>
              </w:rPr>
              <w:t>(</w:t>
            </w:r>
            <w:r>
              <w:rPr>
                <w:rFonts w:hint="eastAsia" w:ascii="宋体" w:hAnsi="宋体" w:eastAsia="宋体" w:cs="宋体"/>
                <w:spacing w:val="11"/>
                <w:sz w:val="24"/>
                <w:szCs w:val="24"/>
                <w:highlight w:val="none"/>
              </w:rPr>
              <w:t>以</w:t>
            </w:r>
            <w:r>
              <w:rPr>
                <w:rFonts w:hint="eastAsia" w:ascii="宋体" w:hAnsi="宋体" w:eastAsia="宋体" w:cs="宋体"/>
                <w:sz w:val="24"/>
                <w:szCs w:val="24"/>
                <w:highlight w:val="none"/>
              </w:rPr>
              <w:t>Pb</w:t>
            </w:r>
            <w:r>
              <w:rPr>
                <w:rFonts w:hint="eastAsia" w:ascii="宋体" w:hAnsi="宋体" w:eastAsia="宋体" w:cs="宋体"/>
                <w:spacing w:val="11"/>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1"/>
                <w:sz w:val="24"/>
                <w:szCs w:val="24"/>
                <w:highlight w:val="none"/>
              </w:rPr>
              <w:t>单体及其他起始物的特定迁移限量、特定迁</w:t>
            </w:r>
            <w:r>
              <w:rPr>
                <w:rFonts w:hint="eastAsia" w:ascii="宋体" w:hAnsi="宋体" w:eastAsia="宋体" w:cs="宋体"/>
                <w:spacing w:val="18"/>
                <w:sz w:val="24"/>
                <w:szCs w:val="24"/>
                <w:highlight w:val="none"/>
              </w:rPr>
              <w:t>移</w:t>
            </w:r>
            <w:r>
              <w:rPr>
                <w:rFonts w:hint="eastAsia" w:ascii="宋体" w:hAnsi="宋体" w:eastAsia="宋体" w:cs="宋体"/>
                <w:spacing w:val="13"/>
                <w:sz w:val="24"/>
                <w:szCs w:val="24"/>
                <w:highlight w:val="none"/>
              </w:rPr>
              <w:t>限</w:t>
            </w:r>
            <w:r>
              <w:rPr>
                <w:rFonts w:hint="eastAsia" w:ascii="宋体" w:hAnsi="宋体" w:eastAsia="宋体" w:cs="宋体"/>
                <w:spacing w:val="9"/>
                <w:sz w:val="24"/>
                <w:szCs w:val="24"/>
                <w:highlight w:val="none"/>
              </w:rPr>
              <w:t>量总量、最大残留量等理化指标、添加剂</w:t>
            </w:r>
          </w:p>
          <w:p w14:paraId="58BE359D">
            <w:pPr>
              <w:spacing w:before="6" w:beforeAutospacing="0" w:after="0" w:afterAutospacing="0"/>
              <w:ind w:left="15" w:right="0" w:firstLine="3"/>
              <w:rPr>
                <w:rFonts w:hint="eastAsia" w:ascii="宋体" w:hAnsi="宋体" w:eastAsia="宋体" w:cs="宋体"/>
                <w:spacing w:val="9"/>
                <w:sz w:val="24"/>
                <w:szCs w:val="24"/>
                <w:highlight w:val="none"/>
              </w:rPr>
            </w:pPr>
            <w:r>
              <w:rPr>
                <w:rFonts w:hint="eastAsia" w:ascii="宋体" w:hAnsi="宋体" w:eastAsia="宋体" w:cs="宋体"/>
                <w:spacing w:val="7"/>
                <w:sz w:val="24"/>
                <w:szCs w:val="24"/>
                <w:highlight w:val="none"/>
              </w:rPr>
              <w:t>塑料饮水口杯(</w:t>
            </w:r>
            <w:r>
              <w:rPr>
                <w:rFonts w:hint="eastAsia" w:ascii="宋体" w:hAnsi="宋体" w:eastAsia="宋体" w:cs="宋体"/>
                <w:sz w:val="24"/>
                <w:szCs w:val="24"/>
                <w:highlight w:val="none"/>
              </w:rPr>
              <w:t>QB</w:t>
            </w:r>
            <w:r>
              <w:rPr>
                <w:rFonts w:hint="eastAsia" w:ascii="宋体" w:hAnsi="宋体" w:eastAsia="宋体" w:cs="宋体"/>
                <w:spacing w:val="7"/>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7"/>
                <w:sz w:val="24"/>
                <w:szCs w:val="24"/>
                <w:highlight w:val="none"/>
              </w:rPr>
              <w:t xml:space="preserve"> 4049-2010 )：标签标识、容量、密封性能、跌落</w:t>
            </w:r>
            <w:r>
              <w:rPr>
                <w:rFonts w:hint="eastAsia" w:ascii="宋体" w:hAnsi="宋体" w:eastAsia="宋体" w:cs="宋体"/>
                <w:spacing w:val="1"/>
                <w:sz w:val="24"/>
                <w:szCs w:val="24"/>
                <w:highlight w:val="none"/>
              </w:rPr>
              <w:t>性</w:t>
            </w:r>
            <w:r>
              <w:rPr>
                <w:rFonts w:hint="eastAsia" w:ascii="宋体" w:hAnsi="宋体" w:eastAsia="宋体" w:cs="宋体"/>
                <w:spacing w:val="14"/>
                <w:sz w:val="24"/>
                <w:szCs w:val="24"/>
                <w:highlight w:val="none"/>
              </w:rPr>
              <w:t>能、</w:t>
            </w:r>
            <w:r>
              <w:rPr>
                <w:rFonts w:hint="eastAsia" w:ascii="宋体" w:hAnsi="宋体" w:eastAsia="宋体" w:cs="宋体"/>
                <w:spacing w:val="12"/>
                <w:sz w:val="24"/>
                <w:szCs w:val="24"/>
                <w:highlight w:val="none"/>
              </w:rPr>
              <w:t>耐</w:t>
            </w:r>
            <w:r>
              <w:rPr>
                <w:rFonts w:hint="eastAsia" w:ascii="宋体" w:hAnsi="宋体" w:eastAsia="宋体" w:cs="宋体"/>
                <w:spacing w:val="7"/>
                <w:sz w:val="24"/>
                <w:szCs w:val="24"/>
                <w:highlight w:val="none"/>
              </w:rPr>
              <w:t>低温性能、耐热性、稳定性、使用性能、气味、感官要求、总迁移</w:t>
            </w:r>
            <w:r>
              <w:rPr>
                <w:rFonts w:hint="eastAsia" w:ascii="宋体" w:hAnsi="宋体" w:eastAsia="宋体" w:cs="宋体"/>
                <w:spacing w:val="14"/>
                <w:sz w:val="24"/>
                <w:szCs w:val="24"/>
                <w:highlight w:val="none"/>
              </w:rPr>
              <w:t>量、高</w:t>
            </w:r>
            <w:r>
              <w:rPr>
                <w:rFonts w:hint="eastAsia" w:ascii="宋体" w:hAnsi="宋体" w:eastAsia="宋体" w:cs="宋体"/>
                <w:spacing w:val="11"/>
                <w:sz w:val="24"/>
                <w:szCs w:val="24"/>
                <w:highlight w:val="none"/>
              </w:rPr>
              <w:t>锰</w:t>
            </w:r>
            <w:r>
              <w:rPr>
                <w:rFonts w:hint="eastAsia" w:ascii="宋体" w:hAnsi="宋体" w:eastAsia="宋体" w:cs="宋体"/>
                <w:spacing w:val="7"/>
                <w:sz w:val="24"/>
                <w:szCs w:val="24"/>
                <w:highlight w:val="none"/>
              </w:rPr>
              <w:t>酸钾消耗量、重金属(以</w:t>
            </w:r>
            <w:r>
              <w:rPr>
                <w:rFonts w:hint="eastAsia" w:ascii="宋体" w:hAnsi="宋体" w:eastAsia="宋体" w:cs="宋体"/>
                <w:sz w:val="24"/>
                <w:szCs w:val="24"/>
                <w:highlight w:val="none"/>
              </w:rPr>
              <w:t>Pb</w:t>
            </w:r>
            <w:r>
              <w:rPr>
                <w:rFonts w:hint="eastAsia" w:ascii="宋体" w:hAnsi="宋体" w:eastAsia="宋体" w:cs="宋体"/>
                <w:spacing w:val="7"/>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7"/>
                <w:sz w:val="24"/>
                <w:szCs w:val="24"/>
                <w:highlight w:val="none"/>
              </w:rPr>
              <w:t>单体及其他起始</w:t>
            </w:r>
            <w:r>
              <w:rPr>
                <w:rFonts w:hint="eastAsia" w:ascii="宋体" w:hAnsi="宋体" w:eastAsia="宋体" w:cs="宋体"/>
                <w:spacing w:val="14"/>
                <w:sz w:val="24"/>
                <w:szCs w:val="24"/>
                <w:highlight w:val="none"/>
              </w:rPr>
              <w:t>物的</w:t>
            </w:r>
            <w:r>
              <w:rPr>
                <w:rFonts w:hint="eastAsia" w:ascii="宋体" w:hAnsi="宋体" w:eastAsia="宋体" w:cs="宋体"/>
                <w:spacing w:val="12"/>
                <w:sz w:val="24"/>
                <w:szCs w:val="24"/>
                <w:highlight w:val="none"/>
              </w:rPr>
              <w:t>特</w:t>
            </w:r>
            <w:r>
              <w:rPr>
                <w:rFonts w:hint="eastAsia" w:ascii="宋体" w:hAnsi="宋体" w:eastAsia="宋体" w:cs="宋体"/>
                <w:spacing w:val="7"/>
                <w:sz w:val="24"/>
                <w:szCs w:val="24"/>
                <w:highlight w:val="none"/>
              </w:rPr>
              <w:t>定迁移限量、特定迁移限量总量、最大残留量等理化指标、添加剂</w:t>
            </w:r>
            <w:r>
              <w:rPr>
                <w:rFonts w:hint="eastAsia" w:ascii="宋体" w:hAnsi="宋体" w:eastAsia="宋体" w:cs="宋体"/>
                <w:spacing w:val="9"/>
                <w:sz w:val="24"/>
                <w:szCs w:val="24"/>
                <w:highlight w:val="none"/>
              </w:rPr>
              <w:t>塑料</w:t>
            </w:r>
          </w:p>
          <w:p w14:paraId="30784554">
            <w:pPr>
              <w:spacing w:before="6" w:beforeAutospacing="0" w:after="0" w:afterAutospacing="0"/>
              <w:ind w:left="15" w:right="0" w:firstLine="3"/>
              <w:rPr>
                <w:rFonts w:hint="eastAsia" w:ascii="宋体" w:hAnsi="宋体" w:eastAsia="宋体" w:cs="宋体"/>
                <w:sz w:val="24"/>
                <w:szCs w:val="24"/>
                <w:highlight w:val="none"/>
              </w:rPr>
            </w:pPr>
            <w:r>
              <w:rPr>
                <w:rFonts w:hint="eastAsia" w:ascii="宋体" w:hAnsi="宋体" w:eastAsia="宋体" w:cs="宋体"/>
                <w:spacing w:val="9"/>
                <w:sz w:val="24"/>
                <w:szCs w:val="24"/>
                <w:highlight w:val="none"/>
              </w:rPr>
              <w:t>保鲜盒(</w:t>
            </w:r>
            <w:r>
              <w:rPr>
                <w:rFonts w:hint="eastAsia" w:ascii="宋体" w:hAnsi="宋体" w:eastAsia="宋体" w:cs="宋体"/>
                <w:sz w:val="24"/>
                <w:szCs w:val="24"/>
                <w:highlight w:val="none"/>
              </w:rPr>
              <w:t>GB</w:t>
            </w:r>
            <w:r>
              <w:rPr>
                <w:rFonts w:hint="eastAsia" w:ascii="宋体" w:hAnsi="宋体" w:eastAsia="宋体" w:cs="宋体"/>
                <w:spacing w:val="9"/>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9"/>
                <w:sz w:val="24"/>
                <w:szCs w:val="24"/>
                <w:highlight w:val="none"/>
              </w:rPr>
              <w:t xml:space="preserve"> 32094-2015)：标签标识、容量偏差、气味、盒盖开</w:t>
            </w:r>
            <w:r>
              <w:rPr>
                <w:rFonts w:hint="eastAsia" w:ascii="宋体" w:hAnsi="宋体" w:eastAsia="宋体" w:cs="宋体"/>
                <w:spacing w:val="4"/>
                <w:sz w:val="24"/>
                <w:szCs w:val="24"/>
                <w:highlight w:val="none"/>
              </w:rPr>
              <w:t>合</w:t>
            </w:r>
            <w:r>
              <w:rPr>
                <w:rFonts w:hint="eastAsia" w:ascii="宋体" w:hAnsi="宋体" w:eastAsia="宋体" w:cs="宋体"/>
                <w:spacing w:val="12"/>
                <w:sz w:val="24"/>
                <w:szCs w:val="24"/>
                <w:highlight w:val="none"/>
              </w:rPr>
              <w:t>性</w:t>
            </w:r>
            <w:r>
              <w:rPr>
                <w:rFonts w:hint="eastAsia" w:ascii="宋体" w:hAnsi="宋体" w:eastAsia="宋体" w:cs="宋体"/>
                <w:spacing w:val="7"/>
                <w:sz w:val="24"/>
                <w:szCs w:val="24"/>
                <w:highlight w:val="none"/>
              </w:rPr>
              <w:t>能 (部件配合) 、跌落性能、悬吊变形率、耐酸碱性、耐污染性、耐洗</w:t>
            </w:r>
            <w:r>
              <w:rPr>
                <w:rFonts w:hint="eastAsia" w:ascii="宋体" w:hAnsi="宋体" w:eastAsia="宋体" w:cs="宋体"/>
                <w:spacing w:val="14"/>
                <w:sz w:val="24"/>
                <w:szCs w:val="24"/>
                <w:highlight w:val="none"/>
              </w:rPr>
              <w:t>涤剂</w:t>
            </w:r>
            <w:r>
              <w:rPr>
                <w:rFonts w:hint="eastAsia" w:ascii="宋体" w:hAnsi="宋体" w:eastAsia="宋体" w:cs="宋体"/>
                <w:spacing w:val="12"/>
                <w:sz w:val="24"/>
                <w:szCs w:val="24"/>
                <w:highlight w:val="none"/>
              </w:rPr>
              <w:t>性</w:t>
            </w:r>
            <w:r>
              <w:rPr>
                <w:rFonts w:hint="eastAsia" w:ascii="宋体" w:hAnsi="宋体" w:eastAsia="宋体" w:cs="宋体"/>
                <w:spacing w:val="7"/>
                <w:sz w:val="24"/>
                <w:szCs w:val="24"/>
                <w:highlight w:val="none"/>
              </w:rPr>
              <w:t>能、耐温性、密闭性、真空保鲜盒的真空度、真空保鲜盒真空度的</w:t>
            </w:r>
            <w:r>
              <w:rPr>
                <w:rFonts w:hint="eastAsia" w:ascii="宋体" w:hAnsi="宋体" w:eastAsia="宋体" w:cs="宋体"/>
                <w:spacing w:val="12"/>
                <w:sz w:val="24"/>
                <w:szCs w:val="24"/>
                <w:highlight w:val="none"/>
              </w:rPr>
              <w:t>保持</w:t>
            </w:r>
            <w:r>
              <w:rPr>
                <w:rFonts w:hint="eastAsia" w:ascii="宋体" w:hAnsi="宋体" w:eastAsia="宋体" w:cs="宋体"/>
                <w:spacing w:val="10"/>
                <w:sz w:val="24"/>
                <w:szCs w:val="24"/>
                <w:highlight w:val="none"/>
              </w:rPr>
              <w:t>时</w:t>
            </w:r>
            <w:r>
              <w:rPr>
                <w:rFonts w:hint="eastAsia" w:ascii="宋体" w:hAnsi="宋体" w:eastAsia="宋体" w:cs="宋体"/>
                <w:spacing w:val="6"/>
                <w:sz w:val="24"/>
                <w:szCs w:val="24"/>
                <w:highlight w:val="none"/>
              </w:rPr>
              <w:t>间、感官要求、总迁移量、高锰酸钾消耗量、重金属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w:t>
            </w:r>
            <w:r>
              <w:rPr>
                <w:rFonts w:hint="eastAsia" w:ascii="宋体" w:hAnsi="宋体" w:eastAsia="宋体" w:cs="宋体"/>
                <w:spacing w:val="14"/>
                <w:sz w:val="24"/>
                <w:szCs w:val="24"/>
                <w:highlight w:val="none"/>
              </w:rPr>
              <w:t>脱色</w:t>
            </w:r>
            <w:r>
              <w:rPr>
                <w:rFonts w:hint="eastAsia" w:ascii="宋体" w:hAnsi="宋体" w:eastAsia="宋体" w:cs="宋体"/>
                <w:spacing w:val="12"/>
                <w:sz w:val="24"/>
                <w:szCs w:val="24"/>
                <w:highlight w:val="none"/>
              </w:rPr>
              <w:t>试</w:t>
            </w:r>
            <w:r>
              <w:rPr>
                <w:rFonts w:hint="eastAsia" w:ascii="宋体" w:hAnsi="宋体" w:eastAsia="宋体" w:cs="宋体"/>
                <w:spacing w:val="7"/>
                <w:sz w:val="24"/>
                <w:szCs w:val="24"/>
                <w:highlight w:val="none"/>
              </w:rPr>
              <w:t>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7"/>
                <w:sz w:val="24"/>
                <w:szCs w:val="24"/>
                <w:highlight w:val="none"/>
              </w:rPr>
              <w:t>单体及其他起始物的特定迁移限量、特定迁移限量总量、最大</w:t>
            </w:r>
            <w:r>
              <w:rPr>
                <w:rFonts w:hint="eastAsia" w:ascii="宋体" w:hAnsi="宋体" w:eastAsia="宋体" w:cs="宋体"/>
                <w:spacing w:val="11"/>
                <w:sz w:val="24"/>
                <w:szCs w:val="24"/>
                <w:highlight w:val="none"/>
              </w:rPr>
              <w:t>残</w:t>
            </w:r>
            <w:r>
              <w:rPr>
                <w:rFonts w:hint="eastAsia" w:ascii="宋体" w:hAnsi="宋体" w:eastAsia="宋体" w:cs="宋体"/>
                <w:spacing w:val="7"/>
                <w:sz w:val="24"/>
                <w:szCs w:val="24"/>
                <w:highlight w:val="none"/>
              </w:rPr>
              <w:t>留量等理化指标</w:t>
            </w:r>
          </w:p>
          <w:p w14:paraId="778B5331">
            <w:pPr>
              <w:spacing w:before="2" w:beforeAutospacing="0" w:after="0" w:afterAutospacing="0"/>
              <w:ind w:left="16" w:right="0" w:firstLine="1"/>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婴幼儿塑料奶瓶(企业标准)：标签标识、密封性能、跌落性能、热稳定性</w:t>
            </w:r>
            <w:r>
              <w:rPr>
                <w:rFonts w:hint="eastAsia" w:ascii="宋体" w:hAnsi="宋体" w:eastAsia="宋体" w:cs="宋体"/>
                <w:spacing w:val="1"/>
                <w:sz w:val="24"/>
                <w:szCs w:val="24"/>
                <w:highlight w:val="none"/>
              </w:rPr>
              <w:t>、</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3"/>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9"/>
                <w:sz w:val="24"/>
                <w:szCs w:val="24"/>
                <w:highlight w:val="none"/>
              </w:rPr>
              <w:t>化</w:t>
            </w:r>
            <w:r>
              <w:rPr>
                <w:rFonts w:hint="eastAsia" w:ascii="宋体" w:hAnsi="宋体" w:eastAsia="宋体" w:cs="宋体"/>
                <w:spacing w:val="7"/>
                <w:sz w:val="24"/>
                <w:szCs w:val="24"/>
                <w:highlight w:val="none"/>
              </w:rPr>
              <w:t>指标、添加剂</w:t>
            </w:r>
          </w:p>
          <w:p w14:paraId="59A5FB84">
            <w:pPr>
              <w:spacing w:before="1" w:beforeAutospacing="0" w:after="0" w:afterAutospacing="0"/>
              <w:ind w:left="16" w:right="0" w:firstLine="2"/>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塑料防盗瓶盖(</w:t>
            </w:r>
            <w:r>
              <w:rPr>
                <w:rFonts w:hint="eastAsia" w:ascii="宋体" w:hAnsi="宋体" w:eastAsia="宋体" w:cs="宋体"/>
                <w:sz w:val="24"/>
                <w:szCs w:val="24"/>
                <w:highlight w:val="none"/>
              </w:rPr>
              <w:t>GB</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 xml:space="preserve"> 17876-2010、</w:t>
            </w:r>
            <w:r>
              <w:rPr>
                <w:rFonts w:hint="eastAsia" w:ascii="宋体" w:hAnsi="宋体" w:eastAsia="宋体" w:cs="宋体"/>
                <w:sz w:val="24"/>
                <w:szCs w:val="24"/>
                <w:highlight w:val="none"/>
              </w:rPr>
              <w:t>BB</w:t>
            </w:r>
            <w:r>
              <w:rPr>
                <w:rFonts w:hint="eastAsia" w:ascii="宋体" w:hAnsi="宋体" w:eastAsia="宋体" w:cs="宋体"/>
                <w:spacing w:val="8"/>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 xml:space="preserve"> 0025-2004)：标签标识、印刷</w:t>
            </w:r>
            <w:r>
              <w:rPr>
                <w:rFonts w:hint="eastAsia" w:ascii="宋体" w:hAnsi="宋体" w:eastAsia="宋体" w:cs="宋体"/>
                <w:spacing w:val="4"/>
                <w:sz w:val="24"/>
                <w:szCs w:val="24"/>
                <w:highlight w:val="none"/>
              </w:rPr>
              <w:t>图</w:t>
            </w:r>
            <w:r>
              <w:rPr>
                <w:rFonts w:hint="eastAsia" w:ascii="宋体" w:hAnsi="宋体" w:eastAsia="宋体" w:cs="宋体"/>
                <w:spacing w:val="14"/>
                <w:sz w:val="24"/>
                <w:szCs w:val="24"/>
                <w:highlight w:val="none"/>
              </w:rPr>
              <w:t>案</w:t>
            </w:r>
            <w:r>
              <w:rPr>
                <w:rFonts w:hint="eastAsia" w:ascii="宋体" w:hAnsi="宋体" w:eastAsia="宋体" w:cs="宋体"/>
                <w:spacing w:val="9"/>
                <w:sz w:val="24"/>
                <w:szCs w:val="24"/>
                <w:highlight w:val="none"/>
              </w:rPr>
              <w:t>附</w:t>
            </w:r>
            <w:r>
              <w:rPr>
                <w:rFonts w:hint="eastAsia" w:ascii="宋体" w:hAnsi="宋体" w:eastAsia="宋体" w:cs="宋体"/>
                <w:spacing w:val="7"/>
                <w:sz w:val="24"/>
                <w:szCs w:val="24"/>
                <w:highlight w:val="none"/>
              </w:rPr>
              <w:t>着性能、密封性能、热稳定性能、跌落性能 (坠落性能) 、耐冲击性</w:t>
            </w:r>
            <w:r>
              <w:rPr>
                <w:rFonts w:hint="eastAsia" w:ascii="宋体" w:hAnsi="宋体" w:eastAsia="宋体" w:cs="宋体"/>
                <w:spacing w:val="14"/>
                <w:sz w:val="24"/>
                <w:szCs w:val="24"/>
                <w:highlight w:val="none"/>
              </w:rPr>
              <w:t>能、开启扭矩性能、防盗环(条)物理性能、溢脂性能、安全开启性能</w:t>
            </w:r>
            <w:r>
              <w:rPr>
                <w:rFonts w:hint="eastAsia" w:ascii="宋体" w:hAnsi="宋体" w:eastAsia="宋体" w:cs="宋体"/>
                <w:spacing w:val="8"/>
                <w:sz w:val="24"/>
                <w:szCs w:val="24"/>
                <w:highlight w:val="none"/>
              </w:rPr>
              <w:t>、</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1"/>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9"/>
                <w:sz w:val="24"/>
                <w:szCs w:val="24"/>
                <w:highlight w:val="none"/>
              </w:rPr>
              <w:t>化</w:t>
            </w:r>
            <w:r>
              <w:rPr>
                <w:rFonts w:hint="eastAsia" w:ascii="宋体" w:hAnsi="宋体" w:eastAsia="宋体" w:cs="宋体"/>
                <w:spacing w:val="7"/>
                <w:sz w:val="24"/>
                <w:szCs w:val="24"/>
                <w:highlight w:val="none"/>
              </w:rPr>
              <w:t>指标、添加剂</w:t>
            </w:r>
          </w:p>
          <w:p w14:paraId="57B4724B">
            <w:pPr>
              <w:spacing w:before="0" w:beforeAutospacing="0" w:after="0" w:afterAutospacing="0"/>
              <w:ind w:left="0" w:right="0"/>
              <w:rPr>
                <w:rFonts w:hint="eastAsia" w:ascii="宋体" w:hAnsi="宋体" w:eastAsia="宋体" w:cs="宋体"/>
                <w:spacing w:val="8"/>
                <w:sz w:val="24"/>
                <w:szCs w:val="24"/>
                <w:highlight w:val="none"/>
              </w:rPr>
            </w:pPr>
            <w:r>
              <w:rPr>
                <w:rFonts w:hint="eastAsia" w:ascii="宋体" w:hAnsi="宋体" w:eastAsia="宋体" w:cs="宋体"/>
                <w:spacing w:val="6"/>
                <w:sz w:val="24"/>
                <w:szCs w:val="24"/>
                <w:highlight w:val="none"/>
              </w:rPr>
              <w:t>组合式防伪瓶</w:t>
            </w:r>
            <w:r>
              <w:rPr>
                <w:rFonts w:hint="eastAsia" w:ascii="宋体" w:hAnsi="宋体" w:eastAsia="宋体" w:cs="宋体"/>
                <w:spacing w:val="4"/>
                <w:sz w:val="24"/>
                <w:szCs w:val="24"/>
                <w:highlight w:val="none"/>
              </w:rPr>
              <w:t>盖</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BB</w:t>
            </w:r>
            <w:r>
              <w:rPr>
                <w:rFonts w:hint="eastAsia" w:ascii="宋体" w:hAnsi="宋体" w:eastAsia="宋体" w:cs="宋体"/>
                <w:spacing w:val="3"/>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3"/>
                <w:sz w:val="24"/>
                <w:szCs w:val="24"/>
                <w:highlight w:val="none"/>
              </w:rPr>
              <w:t xml:space="preserve"> 0048-2017)：标签标识、同批同色色差、涂膜硬度、</w:t>
            </w:r>
            <w:r>
              <w:rPr>
                <w:rFonts w:hint="eastAsia" w:ascii="宋体" w:hAnsi="宋体" w:eastAsia="宋体" w:cs="宋体"/>
                <w:spacing w:val="8"/>
                <w:sz w:val="24"/>
                <w:szCs w:val="24"/>
                <w:highlight w:val="none"/>
              </w:rPr>
              <w:t>附着力、耐低温性能、耐高温性能、耐醇性能、密封性能、开启力矩、</w:t>
            </w:r>
            <w:r>
              <w:rPr>
                <w:rFonts w:hint="eastAsia" w:ascii="宋体" w:hAnsi="宋体" w:eastAsia="宋体" w:cs="宋体"/>
                <w:spacing w:val="1"/>
                <w:sz w:val="24"/>
                <w:szCs w:val="24"/>
                <w:highlight w:val="none"/>
              </w:rPr>
              <w:t>流</w:t>
            </w:r>
            <w:r>
              <w:rPr>
                <w:rFonts w:hint="eastAsia" w:ascii="宋体" w:hAnsi="宋体" w:eastAsia="宋体" w:cs="宋体"/>
                <w:spacing w:val="6"/>
                <w:sz w:val="24"/>
                <w:szCs w:val="24"/>
                <w:highlight w:val="none"/>
              </w:rPr>
              <w:t>出</w:t>
            </w:r>
            <w:r>
              <w:rPr>
                <w:rFonts w:hint="eastAsia" w:ascii="宋体" w:hAnsi="宋体" w:eastAsia="宋体" w:cs="宋体"/>
                <w:spacing w:val="4"/>
                <w:sz w:val="24"/>
                <w:szCs w:val="24"/>
                <w:highlight w:val="none"/>
              </w:rPr>
              <w:t>速度、防伪性能、防逆灌性能、感官要求、总迁移量、高锰酸钾消耗量、</w:t>
            </w:r>
            <w:r>
              <w:rPr>
                <w:rFonts w:hint="eastAsia" w:ascii="宋体" w:hAnsi="宋体" w:eastAsia="宋体" w:cs="宋体"/>
                <w:spacing w:val="10"/>
                <w:sz w:val="24"/>
                <w:szCs w:val="24"/>
                <w:highlight w:val="none"/>
              </w:rPr>
              <w:t>重金属(以</w:t>
            </w:r>
            <w:r>
              <w:rPr>
                <w:rFonts w:hint="eastAsia" w:ascii="宋体" w:hAnsi="宋体" w:eastAsia="宋体" w:cs="宋体"/>
                <w:sz w:val="24"/>
                <w:szCs w:val="24"/>
                <w:highlight w:val="none"/>
              </w:rPr>
              <w:t>Pb</w:t>
            </w:r>
            <w:r>
              <w:rPr>
                <w:rFonts w:hint="eastAsia" w:ascii="宋体" w:hAnsi="宋体" w:eastAsia="宋体" w:cs="宋体"/>
                <w:spacing w:val="10"/>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0"/>
                <w:sz w:val="24"/>
                <w:szCs w:val="24"/>
                <w:highlight w:val="none"/>
              </w:rPr>
              <w:t>单体及其他起始物的特定迁移限量、</w:t>
            </w:r>
            <w:r>
              <w:rPr>
                <w:rFonts w:hint="eastAsia" w:ascii="宋体" w:hAnsi="宋体" w:eastAsia="宋体" w:cs="宋体"/>
                <w:spacing w:val="9"/>
                <w:sz w:val="24"/>
                <w:szCs w:val="24"/>
                <w:highlight w:val="none"/>
              </w:rPr>
              <w:t>特定</w:t>
            </w:r>
            <w:r>
              <w:rPr>
                <w:rFonts w:hint="eastAsia" w:ascii="宋体" w:hAnsi="宋体" w:eastAsia="宋体" w:cs="宋体"/>
                <w:spacing w:val="8"/>
                <w:sz w:val="24"/>
                <w:szCs w:val="24"/>
                <w:highlight w:val="none"/>
              </w:rPr>
              <w:t>迁移限量总量、最大残留量等理化指标</w:t>
            </w:r>
          </w:p>
          <w:p w14:paraId="73E54DE1">
            <w:pPr>
              <w:spacing w:before="45" w:beforeAutospacing="0" w:after="0" w:afterAutospacing="0"/>
              <w:ind w:left="15" w:right="0"/>
              <w:rPr>
                <w:rFonts w:hint="eastAsia" w:ascii="宋体" w:hAnsi="宋体" w:eastAsia="宋体" w:cs="宋体"/>
                <w:spacing w:val="3"/>
                <w:sz w:val="24"/>
                <w:szCs w:val="24"/>
                <w:highlight w:val="none"/>
              </w:rPr>
            </w:pPr>
            <w:r>
              <w:rPr>
                <w:rFonts w:hint="eastAsia" w:ascii="宋体" w:hAnsi="宋体" w:eastAsia="宋体" w:cs="宋体"/>
                <w:spacing w:val="14"/>
                <w:sz w:val="24"/>
                <w:szCs w:val="24"/>
                <w:highlight w:val="none"/>
              </w:rPr>
              <w:t>食品接</w:t>
            </w:r>
            <w:r>
              <w:rPr>
                <w:rFonts w:hint="eastAsia" w:ascii="宋体" w:hAnsi="宋体" w:eastAsia="宋体" w:cs="宋体"/>
                <w:spacing w:val="7"/>
                <w:sz w:val="24"/>
                <w:szCs w:val="24"/>
                <w:highlight w:val="none"/>
              </w:rPr>
              <w:t>触用特定塑料瓶盖、瓶盖垫片、食品接触用特定塑料瓶坯、食品接</w:t>
            </w:r>
            <w:r>
              <w:rPr>
                <w:rFonts w:hint="eastAsia" w:ascii="宋体" w:hAnsi="宋体" w:eastAsia="宋体" w:cs="宋体"/>
                <w:spacing w:val="6"/>
                <w:sz w:val="24"/>
                <w:szCs w:val="24"/>
                <w:highlight w:val="none"/>
              </w:rPr>
              <w:t>触用特定塑</w:t>
            </w:r>
            <w:r>
              <w:rPr>
                <w:rFonts w:hint="eastAsia" w:ascii="宋体" w:hAnsi="宋体" w:eastAsia="宋体" w:cs="宋体"/>
                <w:spacing w:val="3"/>
                <w:sz w:val="24"/>
                <w:szCs w:val="24"/>
                <w:highlight w:val="none"/>
              </w:rPr>
              <w:t>料容器 (</w:t>
            </w:r>
            <w:r>
              <w:rPr>
                <w:rFonts w:hint="eastAsia" w:ascii="宋体" w:hAnsi="宋体" w:eastAsia="宋体" w:cs="宋体"/>
                <w:sz w:val="24"/>
                <w:szCs w:val="24"/>
                <w:highlight w:val="none"/>
              </w:rPr>
              <w:t>GB</w:t>
            </w:r>
            <w:r>
              <w:rPr>
                <w:rFonts w:hint="eastAsia" w:ascii="宋体" w:hAnsi="宋体" w:eastAsia="宋体" w:cs="宋体"/>
                <w:spacing w:val="3"/>
                <w:sz w:val="24"/>
                <w:szCs w:val="24"/>
                <w:highlight w:val="none"/>
              </w:rPr>
              <w:t xml:space="preserve"> 4806.7-2023) ：标签标识、感官要求、总迁移量、</w:t>
            </w:r>
            <w:r>
              <w:rPr>
                <w:rFonts w:hint="eastAsia" w:ascii="宋体" w:hAnsi="宋体" w:eastAsia="宋体" w:cs="宋体"/>
                <w:spacing w:val="8"/>
                <w:sz w:val="24"/>
                <w:szCs w:val="24"/>
                <w:highlight w:val="none"/>
              </w:rPr>
              <w:t>高锰酸钾消耗量、重金属(以</w:t>
            </w:r>
            <w:r>
              <w:rPr>
                <w:rFonts w:hint="eastAsia" w:ascii="宋体" w:hAnsi="宋体" w:eastAsia="宋体" w:cs="宋体"/>
                <w:sz w:val="24"/>
                <w:szCs w:val="24"/>
                <w:highlight w:val="none"/>
              </w:rPr>
              <w:t>Pb</w:t>
            </w:r>
            <w:r>
              <w:rPr>
                <w:rFonts w:hint="eastAsia" w:ascii="宋体" w:hAnsi="宋体" w:eastAsia="宋体" w:cs="宋体"/>
                <w:spacing w:val="8"/>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8"/>
                <w:sz w:val="24"/>
                <w:szCs w:val="24"/>
                <w:highlight w:val="none"/>
              </w:rPr>
              <w:t>单体及其他起始物</w:t>
            </w:r>
            <w:r>
              <w:rPr>
                <w:rFonts w:hint="eastAsia" w:ascii="宋体" w:hAnsi="宋体" w:eastAsia="宋体" w:cs="宋体"/>
                <w:spacing w:val="3"/>
                <w:sz w:val="24"/>
                <w:szCs w:val="24"/>
                <w:highlight w:val="none"/>
              </w:rPr>
              <w:t>的</w:t>
            </w:r>
            <w:r>
              <w:rPr>
                <w:rFonts w:hint="eastAsia" w:ascii="宋体" w:hAnsi="宋体" w:eastAsia="宋体" w:cs="宋体"/>
                <w:spacing w:val="15"/>
                <w:sz w:val="24"/>
                <w:szCs w:val="24"/>
                <w:highlight w:val="none"/>
              </w:rPr>
              <w:t>特</w:t>
            </w:r>
            <w:r>
              <w:rPr>
                <w:rFonts w:hint="eastAsia" w:ascii="宋体" w:hAnsi="宋体" w:eastAsia="宋体" w:cs="宋体"/>
                <w:spacing w:val="8"/>
                <w:sz w:val="24"/>
                <w:szCs w:val="24"/>
                <w:highlight w:val="none"/>
              </w:rPr>
              <w:t>定迁移限量、特定迁移限量总量、最大残留量等理化指标、添加剂</w:t>
            </w:r>
          </w:p>
          <w:p w14:paraId="6841BC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20"/>
                <w:sz w:val="24"/>
                <w:szCs w:val="24"/>
                <w:highlight w:val="none"/>
              </w:rPr>
              <w:t>聚对</w:t>
            </w:r>
            <w:r>
              <w:rPr>
                <w:rFonts w:hint="eastAsia" w:ascii="宋体" w:hAnsi="宋体" w:eastAsia="宋体" w:cs="宋体"/>
                <w:spacing w:val="13"/>
                <w:sz w:val="24"/>
                <w:szCs w:val="24"/>
                <w:highlight w:val="none"/>
              </w:rPr>
              <w:t>苯</w:t>
            </w:r>
            <w:r>
              <w:rPr>
                <w:rFonts w:hint="eastAsia" w:ascii="宋体" w:hAnsi="宋体" w:eastAsia="宋体" w:cs="宋体"/>
                <w:spacing w:val="10"/>
                <w:sz w:val="24"/>
                <w:szCs w:val="24"/>
                <w:highlight w:val="none"/>
              </w:rPr>
              <w:t>二甲酸乙二醇酯(</w:t>
            </w:r>
            <w:r>
              <w:rPr>
                <w:rFonts w:hint="eastAsia" w:ascii="宋体" w:hAnsi="宋体" w:eastAsia="宋体" w:cs="宋体"/>
                <w:sz w:val="24"/>
                <w:szCs w:val="24"/>
                <w:highlight w:val="none"/>
              </w:rPr>
              <w:t>PET</w:t>
            </w:r>
            <w:r>
              <w:rPr>
                <w:rFonts w:hint="eastAsia" w:ascii="宋体" w:hAnsi="宋体" w:eastAsia="宋体" w:cs="宋体"/>
                <w:spacing w:val="10"/>
                <w:sz w:val="24"/>
                <w:szCs w:val="24"/>
                <w:highlight w:val="none"/>
              </w:rPr>
              <w:t>)瓶坯(</w:t>
            </w:r>
            <w:r>
              <w:rPr>
                <w:rFonts w:hint="eastAsia" w:ascii="宋体" w:hAnsi="宋体" w:eastAsia="宋体" w:cs="宋体"/>
                <w:sz w:val="24"/>
                <w:szCs w:val="24"/>
                <w:highlight w:val="none"/>
              </w:rPr>
              <w:t>BB</w:t>
            </w:r>
            <w:r>
              <w:rPr>
                <w:rFonts w:hint="eastAsia" w:ascii="宋体" w:hAnsi="宋体" w:eastAsia="宋体" w:cs="宋体"/>
                <w:spacing w:val="10"/>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10"/>
                <w:sz w:val="24"/>
                <w:szCs w:val="24"/>
                <w:highlight w:val="none"/>
              </w:rPr>
              <w:t xml:space="preserve"> 0060-2012)：标签标识、乙醛、</w:t>
            </w:r>
            <w:r>
              <w:rPr>
                <w:rFonts w:hint="eastAsia" w:ascii="宋体" w:hAnsi="宋体" w:eastAsia="宋体" w:cs="宋体"/>
                <w:spacing w:val="12"/>
                <w:sz w:val="24"/>
                <w:szCs w:val="24"/>
                <w:highlight w:val="none"/>
              </w:rPr>
              <w:t>感官</w:t>
            </w:r>
            <w:r>
              <w:rPr>
                <w:rFonts w:hint="eastAsia" w:ascii="宋体" w:hAnsi="宋体" w:eastAsia="宋体" w:cs="宋体"/>
                <w:spacing w:val="9"/>
                <w:sz w:val="24"/>
                <w:szCs w:val="24"/>
                <w:highlight w:val="none"/>
              </w:rPr>
              <w:t>要</w:t>
            </w:r>
            <w:r>
              <w:rPr>
                <w:rFonts w:hint="eastAsia" w:ascii="宋体" w:hAnsi="宋体" w:eastAsia="宋体" w:cs="宋体"/>
                <w:spacing w:val="6"/>
                <w:sz w:val="24"/>
                <w:szCs w:val="24"/>
                <w:highlight w:val="none"/>
              </w:rPr>
              <w:t>求、总迁移量、高锰酸钾消耗量、重金属 (以</w:t>
            </w:r>
            <w:r>
              <w:rPr>
                <w:rFonts w:hint="eastAsia" w:ascii="宋体" w:hAnsi="宋体" w:eastAsia="宋体" w:cs="宋体"/>
                <w:sz w:val="24"/>
                <w:szCs w:val="24"/>
                <w:highlight w:val="none"/>
              </w:rPr>
              <w:t>Pb</w:t>
            </w:r>
            <w:r>
              <w:rPr>
                <w:rFonts w:hint="eastAsia" w:ascii="宋体" w:hAnsi="宋体" w:eastAsia="宋体" w:cs="宋体"/>
                <w:spacing w:val="6"/>
                <w:sz w:val="24"/>
                <w:szCs w:val="24"/>
                <w:highlight w:val="none"/>
              </w:rPr>
              <w:t>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pacing w:val="14"/>
                <w:sz w:val="24"/>
                <w:szCs w:val="24"/>
                <w:highlight w:val="none"/>
              </w:rPr>
              <w:t>单体</w:t>
            </w:r>
            <w:r>
              <w:rPr>
                <w:rFonts w:hint="eastAsia" w:ascii="宋体" w:hAnsi="宋体" w:eastAsia="宋体" w:cs="宋体"/>
                <w:spacing w:val="11"/>
                <w:sz w:val="24"/>
                <w:szCs w:val="24"/>
                <w:highlight w:val="none"/>
              </w:rPr>
              <w:t>及</w:t>
            </w:r>
            <w:r>
              <w:rPr>
                <w:rFonts w:hint="eastAsia" w:ascii="宋体" w:hAnsi="宋体" w:eastAsia="宋体" w:cs="宋体"/>
                <w:spacing w:val="7"/>
                <w:sz w:val="24"/>
                <w:szCs w:val="24"/>
                <w:highlight w:val="none"/>
              </w:rPr>
              <w:t>其他起始物的特定迁移限量、特定迁移限量总量、最大残留量等理</w:t>
            </w:r>
            <w:r>
              <w:rPr>
                <w:rFonts w:hint="eastAsia" w:ascii="宋体" w:hAnsi="宋体" w:eastAsia="宋体" w:cs="宋体"/>
                <w:spacing w:val="6"/>
                <w:sz w:val="24"/>
                <w:szCs w:val="24"/>
                <w:highlight w:val="none"/>
              </w:rPr>
              <w:t>化指</w:t>
            </w:r>
            <w:r>
              <w:rPr>
                <w:rFonts w:hint="eastAsia" w:ascii="宋体" w:hAnsi="宋体" w:eastAsia="宋体" w:cs="宋体"/>
                <w:spacing w:val="5"/>
                <w:sz w:val="24"/>
                <w:szCs w:val="24"/>
                <w:highlight w:val="none"/>
              </w:rPr>
              <w:t>标</w:t>
            </w:r>
          </w:p>
        </w:tc>
      </w:tr>
      <w:tr w14:paraId="0965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635E7AC">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3A6AA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食品用塑料工具</w:t>
            </w:r>
          </w:p>
        </w:tc>
        <w:tc>
          <w:tcPr>
            <w:tcW w:w="626" w:type="dxa"/>
            <w:vAlign w:val="center"/>
          </w:tcPr>
          <w:p w14:paraId="439D44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E64E5DF">
            <w:pPr>
              <w:spacing w:before="55" w:beforeAutospacing="0" w:after="0" w:afterAutospacing="0"/>
              <w:ind w:left="12" w:right="124"/>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3</w:t>
            </w:r>
            <w:r>
              <w:rPr>
                <w:rFonts w:hint="eastAsia" w:ascii="宋体" w:hAnsi="宋体" w:eastAsia="宋体" w:cs="宋体"/>
                <w:spacing w:val="5"/>
                <w:sz w:val="24"/>
                <w:szCs w:val="24"/>
                <w:highlight w:val="none"/>
              </w:rPr>
              <w:t>2</w:t>
            </w:r>
            <w:r>
              <w:rPr>
                <w:rFonts w:hint="eastAsia" w:ascii="宋体" w:hAnsi="宋体" w:eastAsia="宋体" w:cs="宋体"/>
                <w:spacing w:val="4"/>
                <w:sz w:val="24"/>
                <w:szCs w:val="24"/>
                <w:highlight w:val="none"/>
              </w:rPr>
              <w:t>094-2015</w:t>
            </w:r>
          </w:p>
          <w:p w14:paraId="699CD75E">
            <w:pPr>
              <w:spacing w:before="55" w:beforeAutospacing="0" w:after="0" w:afterAutospacing="0"/>
              <w:ind w:left="12" w:right="124"/>
              <w:rPr>
                <w:rFonts w:hint="eastAsia" w:ascii="宋体" w:hAnsi="宋体" w:eastAsia="宋体" w:cs="宋体"/>
                <w:spacing w:val="3"/>
                <w:sz w:val="24"/>
                <w:szCs w:val="24"/>
                <w:highlight w:val="none"/>
              </w:rPr>
            </w:pPr>
            <w:r>
              <w:rPr>
                <w:rFonts w:hint="eastAsia" w:ascii="宋体" w:hAnsi="宋体" w:eastAsia="宋体" w:cs="宋体"/>
                <w:spacing w:val="3"/>
                <w:sz w:val="24"/>
                <w:szCs w:val="24"/>
                <w:highlight w:val="none"/>
              </w:rPr>
              <w:t>GB/T 41001-2021</w:t>
            </w:r>
          </w:p>
          <w:p w14:paraId="43E3067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15"/>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1</w:t>
            </w:r>
            <w:r>
              <w:rPr>
                <w:rFonts w:hint="eastAsia" w:ascii="宋体" w:hAnsi="宋体" w:eastAsia="宋体" w:cs="宋体"/>
                <w:spacing w:val="4"/>
                <w:sz w:val="24"/>
                <w:szCs w:val="24"/>
                <w:highlight w:val="none"/>
              </w:rPr>
              <w:t>870-2015</w:t>
            </w:r>
          </w:p>
          <w:p w14:paraId="41E2D3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 xml:space="preserve">T </w:t>
            </w:r>
            <w:r>
              <w:rPr>
                <w:rFonts w:hint="eastAsia" w:ascii="宋体" w:hAnsi="宋体" w:eastAsia="宋体" w:cs="宋体"/>
                <w:spacing w:val="8"/>
                <w:sz w:val="24"/>
                <w:szCs w:val="24"/>
                <w:highlight w:val="none"/>
              </w:rPr>
              <w:t>18</w:t>
            </w:r>
            <w:r>
              <w:rPr>
                <w:rFonts w:hint="eastAsia" w:ascii="宋体" w:hAnsi="宋体" w:eastAsia="宋体" w:cs="宋体"/>
                <w:spacing w:val="4"/>
                <w:sz w:val="24"/>
                <w:szCs w:val="24"/>
                <w:highlight w:val="none"/>
              </w:rPr>
              <w:t>006.1-2009</w:t>
            </w:r>
          </w:p>
          <w:p w14:paraId="257F34B2">
            <w:pPr>
              <w:spacing w:before="0" w:beforeAutospacing="0" w:after="0" w:afterAutospacing="0"/>
              <w:ind w:left="0" w:right="0"/>
              <w:rPr>
                <w:rFonts w:hint="eastAsia" w:ascii="宋体" w:hAnsi="宋体" w:eastAsia="宋体" w:cs="宋体"/>
                <w:spacing w:val="4"/>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8"/>
                <w:sz w:val="24"/>
                <w:szCs w:val="24"/>
                <w:highlight w:val="none"/>
              </w:rPr>
              <w:t>2</w:t>
            </w:r>
            <w:r>
              <w:rPr>
                <w:rFonts w:hint="eastAsia" w:ascii="宋体" w:hAnsi="宋体" w:eastAsia="宋体" w:cs="宋体"/>
                <w:spacing w:val="6"/>
                <w:sz w:val="24"/>
                <w:szCs w:val="24"/>
                <w:highlight w:val="none"/>
              </w:rPr>
              <w:t>4</w:t>
            </w:r>
            <w:r>
              <w:rPr>
                <w:rFonts w:hint="eastAsia" w:ascii="宋体" w:hAnsi="宋体" w:eastAsia="宋体" w:cs="宋体"/>
                <w:spacing w:val="4"/>
                <w:sz w:val="24"/>
                <w:szCs w:val="24"/>
                <w:highlight w:val="none"/>
              </w:rPr>
              <w:t>693-2009</w:t>
            </w:r>
          </w:p>
          <w:p w14:paraId="48D8901B">
            <w:pPr>
              <w:spacing w:before="0" w:beforeAutospacing="0" w:after="0" w:afterAutospacing="0"/>
              <w:ind w:left="0" w:right="0"/>
              <w:rPr>
                <w:rFonts w:hint="eastAsia" w:ascii="宋体" w:hAnsi="宋体" w:eastAsia="宋体" w:cs="宋体"/>
                <w:spacing w:val="4"/>
                <w:sz w:val="24"/>
                <w:szCs w:val="24"/>
                <w:highlight w:val="none"/>
              </w:rPr>
            </w:pPr>
            <w:r>
              <w:rPr>
                <w:rFonts w:hint="eastAsia" w:ascii="宋体" w:hAnsi="宋体" w:eastAsia="宋体" w:cs="宋体"/>
                <w:spacing w:val="3"/>
                <w:sz w:val="24"/>
                <w:szCs w:val="24"/>
                <w:highlight w:val="none"/>
              </w:rPr>
              <w:t>GB</w:t>
            </w:r>
            <w:r>
              <w:rPr>
                <w:rFonts w:hint="eastAsia" w:ascii="宋体" w:hAnsi="宋体" w:eastAsia="宋体" w:cs="宋体"/>
                <w:spacing w:val="8"/>
                <w:sz w:val="24"/>
                <w:szCs w:val="24"/>
                <w:highlight w:val="none"/>
              </w:rPr>
              <w:t>4</w:t>
            </w:r>
            <w:r>
              <w:rPr>
                <w:rFonts w:hint="eastAsia" w:ascii="宋体" w:hAnsi="宋体" w:eastAsia="宋体" w:cs="宋体"/>
                <w:spacing w:val="6"/>
                <w:sz w:val="24"/>
                <w:szCs w:val="24"/>
                <w:highlight w:val="none"/>
              </w:rPr>
              <w:t>8</w:t>
            </w:r>
            <w:r>
              <w:rPr>
                <w:rFonts w:hint="eastAsia" w:ascii="宋体" w:hAnsi="宋体" w:eastAsia="宋体" w:cs="宋体"/>
                <w:spacing w:val="4"/>
                <w:sz w:val="24"/>
                <w:szCs w:val="24"/>
                <w:highlight w:val="none"/>
              </w:rPr>
              <w:t>06.7-2023</w:t>
            </w:r>
          </w:p>
          <w:p w14:paraId="0705C3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11"/>
                <w:sz w:val="24"/>
                <w:szCs w:val="24"/>
                <w:highlight w:val="none"/>
              </w:rPr>
              <w:t>企</w:t>
            </w:r>
            <w:r>
              <w:rPr>
                <w:rFonts w:hint="eastAsia" w:ascii="宋体" w:hAnsi="宋体" w:eastAsia="宋体" w:cs="宋体"/>
                <w:spacing w:val="8"/>
                <w:sz w:val="24"/>
                <w:szCs w:val="24"/>
                <w:highlight w:val="none"/>
              </w:rPr>
              <w:t>业标准</w:t>
            </w:r>
          </w:p>
        </w:tc>
        <w:tc>
          <w:tcPr>
            <w:tcW w:w="4586" w:type="dxa"/>
            <w:vAlign w:val="center"/>
          </w:tcPr>
          <w:p w14:paraId="2062B9B9">
            <w:pPr>
              <w:spacing w:before="55" w:beforeAutospacing="0" w:after="0" w:afterAutospacing="0"/>
              <w:ind w:left="12" w:right="124"/>
              <w:rPr>
                <w:rFonts w:hint="eastAsia" w:ascii="宋体" w:hAnsi="宋体" w:eastAsia="宋体" w:cs="宋体"/>
                <w:spacing w:val="3"/>
                <w:sz w:val="24"/>
                <w:szCs w:val="24"/>
                <w:highlight w:val="none"/>
              </w:rPr>
            </w:pPr>
            <w:r>
              <w:rPr>
                <w:rFonts w:hint="eastAsia" w:ascii="宋体" w:hAnsi="宋体" w:eastAsia="宋体" w:cs="宋体"/>
                <w:sz w:val="24"/>
                <w:szCs w:val="24"/>
                <w:highlight w:val="none"/>
              </w:rPr>
              <w:t>密胺塑料餐具(</w:t>
            </w:r>
            <w:r>
              <w:rPr>
                <w:rFonts w:hint="eastAsia" w:ascii="宋体" w:hAnsi="宋体" w:eastAsia="宋体" w:cs="宋体"/>
                <w:spacing w:val="3"/>
                <w:sz w:val="24"/>
                <w:szCs w:val="24"/>
                <w:highlight w:val="none"/>
              </w:rPr>
              <w:t>GB/T 41001-2021)</w:t>
            </w:r>
            <w:r>
              <w:rPr>
                <w:rFonts w:hint="eastAsia" w:ascii="宋体" w:hAnsi="宋体" w:eastAsia="宋体" w:cs="宋体"/>
                <w:sz w:val="24"/>
                <w:szCs w:val="24"/>
                <w:highlight w:val="none"/>
              </w:rPr>
              <w:t>：标签标识、耐干热性、耐低温性、耐湿热性、耐污染性、翘曲（底部）、跌落、感官要求、总迁移量 (乙酸) 、总迁移量 (乙醇或水) 、总迁移量 (植物油或化学溶剂替代物) 、高锰酸钾消耗量、重金属(以 Pb 计) 、脱色试验、</w:t>
            </w:r>
            <w:r>
              <w:rPr>
                <w:rFonts w:hint="eastAsia" w:ascii="宋体" w:hAnsi="宋体" w:eastAsia="宋体" w:cs="宋体"/>
                <w:spacing w:val="12"/>
                <w:sz w:val="24"/>
                <w:szCs w:val="24"/>
                <w:highlight w:val="none"/>
              </w:rPr>
              <w:t>芳香族伯胺迁移总量</w:t>
            </w:r>
          </w:p>
          <w:p w14:paraId="0509F9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塑料菜板 (PE、PP 材质) (QB/T 1870-2015)：标签标识、邵氏硬度、跌落性能、感官要求、总迁移量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 、脱色试验、</w:t>
            </w:r>
            <w:r>
              <w:rPr>
                <w:rFonts w:hint="eastAsia" w:ascii="宋体" w:hAnsi="宋体" w:eastAsia="宋体" w:cs="宋体"/>
                <w:spacing w:val="12"/>
                <w:sz w:val="24"/>
                <w:szCs w:val="24"/>
                <w:highlight w:val="none"/>
              </w:rPr>
              <w:t>芳香族伯胺迁移总量</w:t>
            </w:r>
          </w:p>
          <w:p w14:paraId="0984F8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塑料菜板(其它材质) (GB 4806.7-2023)、聚丙烯饮用吸管(GB/T       24693-2009)、塑料保鲜盒(GB/T 32094-2015)、其它类塑料餐具(GB     4806.7-2023)：标签标识、感官要求、总迁移量 (乙酸) 、总迁移量 (乙醇或水) 、总迁移量 (植物油或化学溶剂替代物) 、高锰酸钾消耗量、重金属(以 Pb 计) 、脱色试验、</w:t>
            </w:r>
            <w:r>
              <w:rPr>
                <w:rFonts w:hint="eastAsia" w:ascii="宋体" w:hAnsi="宋体" w:eastAsia="宋体" w:cs="宋体"/>
                <w:spacing w:val="12"/>
                <w:sz w:val="24"/>
                <w:szCs w:val="24"/>
                <w:highlight w:val="none"/>
              </w:rPr>
              <w:t>芳香族伯胺迁移总量</w:t>
            </w:r>
          </w:p>
          <w:p w14:paraId="3C4889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一次性塑料餐饮具、一次性塑料餐饮具(其它类) (GB/T 18006.1-2009)：标签标识、负重性能、耐温性能 (油、水) 、跌落试验、感官要求、总迁移量 (乙酸) 、总迁移量 (乙醇或水) 、总迁移量 (植物油或化学溶剂替代物)、高锰酸钾消耗量、重金属(以 Pb 计) 、脱色试验、</w:t>
            </w:r>
            <w:r>
              <w:rPr>
                <w:rFonts w:hint="eastAsia" w:ascii="宋体" w:hAnsi="宋体" w:eastAsia="宋体" w:cs="宋体"/>
                <w:spacing w:val="12"/>
                <w:sz w:val="24"/>
                <w:szCs w:val="24"/>
                <w:highlight w:val="none"/>
              </w:rPr>
              <w:t>芳香族伯胺迁移总量、</w:t>
            </w:r>
          </w:p>
        </w:tc>
      </w:tr>
      <w:tr w14:paraId="7295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C393E8A">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AE0F93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食品用塑料片材</w:t>
            </w:r>
          </w:p>
        </w:tc>
        <w:tc>
          <w:tcPr>
            <w:tcW w:w="626" w:type="dxa"/>
            <w:vAlign w:val="center"/>
          </w:tcPr>
          <w:p w14:paraId="57B92DA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5FF10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2471-2000</w:t>
            </w:r>
          </w:p>
          <w:p w14:paraId="406CB5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GB/T15267-1994</w:t>
            </w:r>
          </w:p>
          <w:p w14:paraId="76E9E1D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GB/T16719-2008</w:t>
            </w:r>
          </w:p>
          <w:p w14:paraId="664E7F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GB4806.7-2023</w:t>
            </w:r>
          </w:p>
          <w:p w14:paraId="2FCDFC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442EE1F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聚丙烯(PP)挤出片材(QB/T 2471-2000)：标签标识、拉伸屈服强度、纵向尺寸变化率、感官要求、总迁移量、高锰酸钾消耗量、重金属(以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w:t>
            </w:r>
          </w:p>
          <w:p w14:paraId="144747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食品包装用聚氯乙烯硬片、膜(GB/T 15267-1994)：标签标识、拉伸强度、落球冲击破碎率、柔曲温度、透湿度、透光率、雾度、加热伸缩率、感官要求、总迁移量、高锰酸钾消耗量、重金属(以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单体及其他起始物的特定迁移限量、特定迁移限量总量、最大残留量等理化指标、添加剂</w:t>
            </w:r>
          </w:p>
          <w:p w14:paraId="11891CD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双向拉伸聚苯乙烯(BOPS)片材(GB/T 16719-2008)：标签标识、拉伸强度、断裂伸长率、防雾性、透光率、雾度、湿润张力、感官要求、总迁移量、高锰酸钾消耗量、重金属(以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w:t>
            </w:r>
          </w:p>
          <w:p w14:paraId="576EFA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食品接触用特定片材(GB 4806.7-2023)：标签标识、感官要求、总迁移量、高锰酸钾消耗量、重金属(以 Pb 计) 、脱色试验、</w:t>
            </w:r>
            <w:r>
              <w:rPr>
                <w:rFonts w:hint="eastAsia" w:ascii="宋体" w:hAnsi="宋体" w:eastAsia="宋体" w:cs="宋体"/>
                <w:spacing w:val="12"/>
                <w:sz w:val="24"/>
                <w:szCs w:val="24"/>
                <w:highlight w:val="none"/>
              </w:rPr>
              <w:t>芳香族伯胺迁移总量、</w:t>
            </w:r>
            <w:r>
              <w:rPr>
                <w:rFonts w:hint="eastAsia" w:ascii="宋体" w:hAnsi="宋体" w:eastAsia="宋体" w:cs="宋体"/>
                <w:sz w:val="24"/>
                <w:szCs w:val="24"/>
                <w:highlight w:val="none"/>
              </w:rPr>
              <w:t>单体及其他起始物的特定迁移限量、特定迁移限量总量、最大残留量等理化指标、添加剂</w:t>
            </w:r>
          </w:p>
        </w:tc>
      </w:tr>
      <w:tr w14:paraId="3FA0D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381C0B0">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63492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食品用非复合膜袋</w:t>
            </w:r>
          </w:p>
        </w:tc>
        <w:tc>
          <w:tcPr>
            <w:tcW w:w="626" w:type="dxa"/>
            <w:vAlign w:val="center"/>
          </w:tcPr>
          <w:p w14:paraId="1A363B1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18B36C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10457-2021</w:t>
            </w:r>
          </w:p>
          <w:p w14:paraId="50711E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0039-2013</w:t>
            </w:r>
          </w:p>
          <w:p w14:paraId="423D2C8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1231-1991</w:t>
            </w:r>
          </w:p>
          <w:p w14:paraId="16C188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17030-2019</w:t>
            </w:r>
          </w:p>
          <w:p w14:paraId="439230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BB/T 0002-2008 </w:t>
            </w:r>
          </w:p>
          <w:p w14:paraId="08560BA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4456-2008 </w:t>
            </w:r>
          </w:p>
          <w:p w14:paraId="7AB8CD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GB/T16958-2008</w:t>
            </w:r>
          </w:p>
          <w:p w14:paraId="1F1BFD6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1956-1994</w:t>
            </w:r>
          </w:p>
          <w:p w14:paraId="5912AC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GB/T27740-2011 </w:t>
            </w:r>
          </w:p>
          <w:p w14:paraId="41698D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GB/T10003-2008</w:t>
            </w:r>
          </w:p>
          <w:p w14:paraId="573A1CA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GB/T20218-2006 </w:t>
            </w:r>
          </w:p>
          <w:p w14:paraId="3A25B7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BB/T 0014-2011 </w:t>
            </w:r>
          </w:p>
          <w:p w14:paraId="5CAF3F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0030-2019</w:t>
            </w:r>
          </w:p>
          <w:p w14:paraId="39855D1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4129F2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食品用塑料自粘保鲜膜(GB/T 10457-2021)：标签标识、拉伸强度、断裂伸长应变（纵、横向）、透光率、雾度、氧气透过量、透湿量、氧气透过量偏差、二氧化碳透过量偏差、透湿量偏差、直角撕裂强度、自粘性、感官要求、总迁移量 (乙酸) 、总迁移量 (乙醇或水) 、总迁移量 (植物油或化学溶剂替代物) 、高锰酸钾消耗量、重金属 (以Pb 计) 、脱色试验、芳香族伯胺迁移总量</w:t>
            </w:r>
          </w:p>
          <w:p w14:paraId="6A807B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商品零售包装袋(BB/T 0039-2013 及企业标准)：标签标识、热封强度、提吊试验、跌落试验、漏水性、感官要求、总迁移量 (乙酸) 、总迁移量 (乙醇或水) 、总迁移量 (植物油或化学溶剂替代物) 、高锰酸钾消耗量、重金属(以 Pb 计) 、脱色试验、芳香族伯胺迁移总量</w:t>
            </w:r>
          </w:p>
          <w:p w14:paraId="770255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食品包装用聚丙烯/聚乙烯薄膜袋(GB/T 10003-2008 及 GB/T 4456-2008)：标签标识、拉伸强度、断裂标称应变、落镖冲击、热收缩率、雾度、光泽度、透湿量、感官要求、总迁移量 (乙酸) 、总迁移量 (乙醇或水) 、总迁移量(植物油或化学溶剂替代物)、高锰酸钾消耗量、重金属(以 Pb  计) 、脱色试验、芳香族伯胺迁移总量</w:t>
            </w:r>
          </w:p>
          <w:p w14:paraId="632AAB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液体包装用聚乙烯吹塑薄膜(QB/T 1231-1991)：标签标识、拉伸强度、断裂伸长率、热合强度、落镖冲击试验、水蒸气透过量、氧气透过量、感官要求、总迁移量、高锰酸钾消耗量、重金属、脱色试验、芳香族伯胺迁移总量</w:t>
            </w:r>
          </w:p>
          <w:p w14:paraId="04583F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食品包装用聚偏二氯乙烯(PVDC)片状肠衣膜 (GB/T 17030-2019)：标签标识、拉伸强度、断裂伸长率、耐撕裂力、热收缩率、水蒸气透过量、氧气透过量、感官要求、总迁移量、高锰酸钾消耗量、重金属、脱色试验双向拉伸聚丙烯珠光薄膜(BB/T 0002-2008)：标签标识、拉伸强度、断裂</w:t>
            </w:r>
          </w:p>
          <w:p w14:paraId="3FAFD8C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伸长率、热收缩率、热封强度、透光率、光泽度、透湿量、感官要求、总迁移量、高锰酸钾消耗量、重金属、脱色试验</w:t>
            </w:r>
          </w:p>
          <w:p w14:paraId="6C55E5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包装用聚乙烯吹塑薄膜(.GB/T 4456-2008)：标签标识、拉伸强度、断裂标称应变、落镖冲击、感官要求、总迁移量、高锰酸钾消耗量、重金属、脱色试验、芳香族伯胺迁移总量</w:t>
            </w:r>
          </w:p>
          <w:p w14:paraId="091F385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包装用双向拉伸聚酯薄膜(GB/T 16958-2008)：标签标识、拉伸强度、断裂伸长率、热收缩率、雾度、光泽度、感官要求、总迁移量、高锰酸钾消耗量、重金属、脱色试验、芳香族伯胺迁移总量</w:t>
            </w:r>
          </w:p>
          <w:p w14:paraId="6D55E70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单向拉伸高密度聚乙烯薄膜(企业标准)：标签标识、表面润湿张力、雾度、扭捻性残留角度、纵向撕裂长度、感官要求、总迁移量、高锰酸钾消耗量、重金属、脱色试验、芳香族伯胺迁移总量</w:t>
            </w:r>
          </w:p>
          <w:p w14:paraId="08E5E0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聚丙烯吹塑薄膜(QB/T 1956-1994)：标签标识、拉伸强度、断裂伸长率、雾度、直角撕裂强度、感官要求、总迁移量、高锰酸钾消耗量、重金属、脱色试验、芳香族伯胺迁移总量</w:t>
            </w:r>
          </w:p>
          <w:p w14:paraId="73809F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未拉伸聚乙烯、聚丙烯薄膜(GB/T 27740-2011 及企业标准)：标签标识、拉伸强度、断裂伸长率、雾度、感官要求、总迁移量、高锰酸钾消耗量、重金属、脱色试验、芳香族伯胺迁移总量</w:t>
            </w:r>
          </w:p>
          <w:p w14:paraId="02BC663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普通用途双向拉伸聚丙烯(BOPP)薄膜(GB/T 10003-2008)：标签标识、拉伸强度、断裂标称应变、热收缩率、热封强度、雾度、光泽度、透湿量、感官要求、总迁移量、高锰酸钾消耗量、重金属、脱色试验、芳香族伯胺迁移总量</w:t>
            </w:r>
          </w:p>
          <w:p w14:paraId="0A6F4BB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双向拉伸聚酰胺(尼龙)薄膜(GB/T 20218-2006)：标签标识、拉伸强度、断裂伸长率、热收缩率、耐撕裂力、雾度、氧气透过量、感官要求、总迁移量、高锰酸钾消耗量、重金属、脱色试验、芳香族伯胺迁移总量</w:t>
            </w:r>
          </w:p>
          <w:p w14:paraId="5249EE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夹链自封袋(BB/T 0014-2011)：标签标识、开启拉力、热合强度、跌落强度、密封试验、感官要求、总迁移量、高锰酸钾消耗量、重金属、脱色试验、芳香族伯胺迁移总量</w:t>
            </w:r>
          </w:p>
          <w:p w14:paraId="776FDEA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包装用镀铝薄膜(BB/T 0030-2019)：标签标识、水蒸气透过量、氧气透过量、镀铝层附着力、镀铝层厚度、镀铝层均匀度、感官要求、总迁移量、高锰酸钾消耗量、重金属、脱色试验、芳香族伯胺迁移总量</w:t>
            </w:r>
          </w:p>
        </w:tc>
      </w:tr>
      <w:tr w14:paraId="73063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4211FC7">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EEBD7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食品用复合膜袋</w:t>
            </w:r>
          </w:p>
        </w:tc>
        <w:tc>
          <w:tcPr>
            <w:tcW w:w="626" w:type="dxa"/>
            <w:vAlign w:val="center"/>
          </w:tcPr>
          <w:p w14:paraId="73A6DF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3176A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10004-2008 </w:t>
            </w:r>
          </w:p>
          <w:p w14:paraId="7162F9E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1871-1993</w:t>
            </w:r>
          </w:p>
          <w:p w14:paraId="6EF1E9E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2197-1996</w:t>
            </w:r>
          </w:p>
          <w:p w14:paraId="737B0CA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19741-2005</w:t>
            </w:r>
          </w:p>
          <w:p w14:paraId="0304D5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18192-2008 </w:t>
            </w:r>
          </w:p>
          <w:p w14:paraId="2557FF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18454-2019</w:t>
            </w:r>
          </w:p>
          <w:p w14:paraId="0A34ABB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18706-2008 </w:t>
            </w:r>
          </w:p>
          <w:p w14:paraId="6B4ED4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28118-2011</w:t>
            </w:r>
          </w:p>
          <w:p w14:paraId="54DFD5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28117-2011 </w:t>
            </w:r>
          </w:p>
          <w:p w14:paraId="5FC81D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96AF33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包装用塑料复合膜、袋干法复合、挤出复合(GB/T 10004-2008)：QS 标志、拉断力、断裂标称应变、剥离力、热合强度、水蒸气透过量、氧气透过量、袋的耐压性能、袋的跌落性能、耐热性、感官要求、总迁移量、高锰酸钾消耗量、重金属、脱色试验、芳香族伯胺迁移总量、溶剂残留量</w:t>
            </w:r>
          </w:p>
          <w:p w14:paraId="65FA440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双向拉伸尼龙 (BOPA) /低密度聚乙烯 (LDPE) 复合膜、袋(QB/T 1871-1993)： QS 标志、层间剥离力、封口剥离力(袋)、氧气透过量、水蒸气透过量、耐热性、耐寒性、耐油度、耐压性、耐跌落性感官要求、总迁移量、高锰酸钾消耗量、重金属、脱色试验、芳香族伯胺迁移总量、溶剂残留量</w:t>
            </w:r>
          </w:p>
          <w:p w14:paraId="5A5824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榨菜包装用复合膜、袋(QB/T 2197-1996 )：QS 标志、剥离力、氧气透过量、水蒸气透过量、耐压、跌落、感官、甲苯二胺、蒸发残渣、高锰酸钾消耗量、重金属、溶剂残留量</w:t>
            </w:r>
          </w:p>
          <w:p w14:paraId="345E91D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液体食品包装用塑料复合膜、袋(GB/T 19741-2005)：QS 标志、拉断力、封合强度、内层塑料膜剥离强度、复合塑料膜与纸粘结度、透氧率、耐压性能、跌落性能、感官要求、总迁移量、高锰酸钾消耗量、重金属、脱色试验、芳香族伯胺迁移总量、微生物指标、溶剂残留量</w:t>
            </w:r>
          </w:p>
          <w:p w14:paraId="01C8C0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液体食品无菌包装用纸基复合材料(GB/T 18192-2008)：QS 标志、拉断力、封合强度、内层塑料膜剥离强度、透氧率、挺度、感官要求、总迁移量、高锰酸钾消耗量、重金属、脱色试验、芳香族伯胺迁移总量、溶剂残留量</w:t>
            </w:r>
          </w:p>
          <w:p w14:paraId="04A35C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液体食品无菌包装用复合袋(GB/T 18454-2019)：QS 标志、氧气透过率、拉伸强度、断裂伸长率、剥离力、热合强度、光线透过率、袋的耐压性能、袋的跌落性能、感官要求、总迁移量、高锰酸钾消耗量、重金属、脱色试验、芳香族伯胺迁移总量、口盖材料卫生指标、灭菌指标、溶剂残留量</w:t>
            </w:r>
          </w:p>
          <w:p w14:paraId="21FBF84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液体食品保鲜包装纸基复合材料 (屋顶包) (GB/T 18706-2008)：QS 标志、拉断力、封合强度、内层塑料膜剥离强度、透氧率、挺度、感官要求、总迁移量、高锰酸钾消耗量、重金属、脱色试验、芳香族伯胺迁移总量、菌落总数、大肠菌群、致病菌、霉菌、溶剂残留量</w:t>
            </w:r>
          </w:p>
          <w:p w14:paraId="6E733B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其它类多层复合食品包装膜、袋(企业标准)：QS 标志、感官要求、总迁移量、高锰酸钾消耗量、重金属、脱色试验、芳香族伯胺迁移总量、溶剂残留量</w:t>
            </w:r>
          </w:p>
        </w:tc>
      </w:tr>
      <w:tr w14:paraId="74EF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4FC03A2">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08300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食品用纸包装</w:t>
            </w:r>
          </w:p>
        </w:tc>
        <w:tc>
          <w:tcPr>
            <w:tcW w:w="626" w:type="dxa"/>
            <w:vAlign w:val="center"/>
          </w:tcPr>
          <w:p w14:paraId="53526DE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146E13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GB/T25436-2023 QB/T1016-2006 </w:t>
            </w:r>
          </w:p>
          <w:p w14:paraId="2A0B7DC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24696-2009 </w:t>
            </w:r>
          </w:p>
          <w:p w14:paraId="43AAB4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22812-2008 </w:t>
            </w:r>
          </w:p>
          <w:p w14:paraId="1C8F04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1014-2010 </w:t>
            </w:r>
          </w:p>
          <w:p w14:paraId="76476F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1704-2010 </w:t>
            </w:r>
          </w:p>
          <w:p w14:paraId="044E57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4032-2010</w:t>
            </w:r>
          </w:p>
          <w:p w14:paraId="7F37C7D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4033-2010 </w:t>
            </w:r>
          </w:p>
          <w:p w14:paraId="18B8EAD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4819-2015 </w:t>
            </w:r>
          </w:p>
          <w:p w14:paraId="7281152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36392-2018 </w:t>
            </w:r>
          </w:p>
          <w:p w14:paraId="29933D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BB/T 0054-2010</w:t>
            </w:r>
          </w:p>
          <w:p w14:paraId="476EBE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25435-2010 </w:t>
            </w:r>
          </w:p>
          <w:p w14:paraId="13B4D2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25437-2010</w:t>
            </w:r>
          </w:p>
          <w:p w14:paraId="260D2FA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31123-2014</w:t>
            </w:r>
          </w:p>
          <w:p w14:paraId="5C8985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GB/T 31122-2014 </w:t>
            </w:r>
          </w:p>
          <w:p w14:paraId="1EC33E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5050-2017 </w:t>
            </w:r>
          </w:p>
          <w:p w14:paraId="49738A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5055-2017</w:t>
            </w:r>
          </w:p>
          <w:p w14:paraId="775E3E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3143547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茶叶滤纸(GB/T 25436-2023)：热封型茶叶滤纸：定量、紧度、抗张强度(纵向/横向)、纵向湿抗张强度、热封强度、透气量、D65亮度、</w:t>
            </w:r>
            <w:bookmarkStart w:id="18" w:name="OLE_LINK7"/>
            <w:r>
              <w:rPr>
                <w:rFonts w:hint="eastAsia" w:ascii="宋体" w:hAnsi="宋体" w:eastAsia="宋体" w:cs="宋体"/>
                <w:sz w:val="24"/>
                <w:szCs w:val="24"/>
                <w:highlight w:val="none"/>
              </w:rPr>
              <w:t>交货水分、异味、漏茶末、感官要求、铅、砷、甲醛、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(乙酸)、总迁移量(乙醇或水)、总迁移量(植物油或化学溶剂替代物) 、高锰酸钾消耗量、重金属(以 Pb 计)、大肠菌群、沙门氏菌、霉菌、标签标识</w:t>
            </w:r>
            <w:bookmarkEnd w:id="18"/>
          </w:p>
          <w:p w14:paraId="4A025A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非热封型茶叶滤纸：定量、紧度、抗张强度 (纵向/横向)、纵向湿抗张强度、透气度、D65亮度、交货水分、异味、漏茶末、感官要求、铅、砷、甲醛、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(乙酸)、总迁移量(乙醇或水)、总迁移量(植物油或化学溶剂替代物) 、高锰酸钾消耗量、重金属(以 Pb 计)、大肠菌群、沙门氏菌、霉菌、标签标识</w:t>
            </w:r>
          </w:p>
          <w:p w14:paraId="4919ADC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鸡皮纸(QB/T 1016-2006)：定量、湿抗张强度(纵横向平均)、吸水性</w:t>
            </w:r>
            <w:r>
              <w:rPr>
                <w:rFonts w:hint="eastAsia" w:ascii="宋体" w:hAnsi="宋体" w:eastAsia="宋体" w:cs="宋体"/>
                <w:sz w:val="24"/>
                <w:szCs w:val="24"/>
                <w:highlight w:val="none"/>
              </w:rPr>
              <w:tab/>
            </w:r>
            <w:r>
              <w:rPr>
                <w:rFonts w:hint="eastAsia" w:ascii="宋体" w:hAnsi="宋体" w:eastAsia="宋体" w:cs="宋体"/>
                <w:sz w:val="24"/>
                <w:szCs w:val="24"/>
                <w:highlight w:val="none"/>
              </w:rPr>
              <w:t>(Cobb60)、耐破度、耐折度(纵向)、水分、光泽度(75o)、外观、感官要求、铅、砷、甲醛、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5551AF3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食品包装用羊皮纸(GB/T 24696-2009)：定量、抗张指数(纵横平均)、耐破指数(干/湿)、耐折度(纵横平均)、透油度、尘埃度、水抽提液 pH 值、水分、尺寸偏差、外观、感官要求、铅、砷、甲醛、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5E2138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半透明纸(GB/T 22812-2008)：定量、透明度(白色纸)、耐破指数、撕裂指数 (纵向) 、尘埃度、水分、尺寸偏差、外观、色差、感官要求、铅、砷、甲醛、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、总迁移量(植物油或化学溶剂替代物)、重金属(以 Pb  计)、大肠菌群、沙门氏菌、霉菌、标签标识</w:t>
            </w:r>
          </w:p>
          <w:p w14:paraId="3F48BED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食品包装纸(QB/T 1014-2010 )：定量、抗张指数(纵横平均)、撕裂指数</w:t>
            </w:r>
            <w:r>
              <w:rPr>
                <w:rFonts w:hint="eastAsia" w:ascii="宋体" w:hAnsi="宋体" w:eastAsia="宋体" w:cs="宋体"/>
                <w:sz w:val="24"/>
                <w:szCs w:val="24"/>
                <w:highlight w:val="none"/>
              </w:rPr>
              <w:tab/>
            </w:r>
            <w:r>
              <w:rPr>
                <w:rFonts w:hint="eastAsia" w:ascii="宋体" w:hAnsi="宋体" w:eastAsia="宋体" w:cs="宋体"/>
                <w:sz w:val="24"/>
                <w:szCs w:val="24"/>
                <w:highlight w:val="none"/>
              </w:rPr>
              <w:t>(纵向) 、尘埃度、水分、耐破指数、吸水性、外观、感官要求、铅、砷、甲醛、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34ED09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铝箔衬纸(QB/T 1704-2010 )：定量、纵向抗张强度、施胶度、平滑度 (光面) 、亮度 (白度) 、荧光亮度 (荧光白度) 、纵向耐折度、尘埃度、水分、灰分、外观、尺寸偏差、感官要求、铅、砷、甲醛、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、高锰酸钾消耗量、重金属 (以Pb 计) 、大肠菌群、沙门氏菌、霉菌、标签标识</w:t>
            </w:r>
          </w:p>
          <w:p w14:paraId="27EDF4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纸杯原纸(QB/T 4032-2010 )：定量、横幅定量差、厚度、横幅厚度差、平滑度、亮度、抗张指数(纵横平均)、吸水性、横向耐折度、边渗透、泰伯挺度、卧式挺度、尘埃度、水分、尺寸偏差、外观、感官要求、铅、砷、甲醛、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28780A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餐盒原纸(QB/T 4033-2010)：定量、横幅定量差、厚度、横幅厚度差、亮度、吸水性、横向耐折度、边渗透、挺度、尘埃度、水分、尺寸偏差、外观、感官要求、铅、砷、甲醛、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(乙醇或水) 、总迁移量 (植物油或化学溶剂替代物)、重金属(以 Pb 计)、脱色试验、单体及其他起始物的特定迁移限量、特定迁移限量总量、最大残留量等理化指标、标签标识</w:t>
            </w:r>
          </w:p>
          <w:p w14:paraId="4818102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食品包装用淋膜纸和纸板(QB/T 4819-2015)：定量偏差、厚度横幅差、膜定量偏差、黏合程度、耐脂度、透湿度、渗漏性、润湿张力、水分、尺寸偏差、外观、感官要求、铅、砷、甲醛、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 (乙醇或水) 、总迁移量 (植物油或化学溶剂替代物) 、高锰酸钾消耗量、重金属 (以Pb 计) 、大肠菌群、沙门氏菌、霉菌、感官要求、总迁移量 (乙醇或水) 、总迁移量 (植物油或化学溶剂替代物) 、高锰酸钾消耗量、重金属(以 Pb 计)、脱色试验、芳香族伯胺迁移总量、单体及其他起始物的特定迁移限量、特定迁移限量总量、最大残留量等理化指标、标签标识</w:t>
            </w:r>
          </w:p>
          <w:p w14:paraId="7E89FB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食品包装用淋膜纸和纸板(GB/T 36392-2018)：定量偏差、厚度横幅差、膜定量偏差、粘合程度、耐脂度、透湿度、渗漏性、润湿张力、水分、尺寸偏差、外观、感官要求、铅、砷、甲醛、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(乙酸)、总迁移量 (乙醇或水) 、总迁移量 (植物油或化学溶剂替代物) 、高锰酸钾消耗量、重金属 (以Pb 计) 、大肠菌群、沙门氏菌、霉菌、感官要求、总迁移量 (乙醇或水) 、总迁移量 (植物油或化学溶剂替代物) 、高锰酸钾消耗量、重金属(以 Pb 计)、脱色试验、芳香族伯胺迁移总量、单体及其他起始物的特定迁移限量、特定迁移限量总量、最大残留量等理化指标、标签标识</w:t>
            </w:r>
          </w:p>
          <w:p w14:paraId="20852E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真空镀铝纸(BB/T 0054-2010)：外观质量、平张尺寸偏差、偏斜度、色差、定量偏差、光泽度 (45o) 、挺度 (纵向/横向) 、抗张指数 (纵向) 、撕裂指数(横向)、表面张力、铝层附着力、单张平整度、水分、耐热性、静摩擦系数、动摩擦系数、信噪比、衍射效率、感官要求、铅、砷、甲醛、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0F982CE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精细过滤纸板(GB/T 25435-2010)：厚度、滤水时间(3kPa，50mL)、耐破度、湿耐破度 (煮沸 2h) 、水分、外观、感官要求、铅、砷、甲醛、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(植物油或化学溶剂替代物)、重金属(以 Pb 计)、大肠菌群、沙门氏菌、霉菌、标签标识</w:t>
            </w:r>
          </w:p>
          <w:p w14:paraId="0A3C916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支撑过滤纸板(GB/T 25437-2010)：厚度、最大孔径、滤水时间、湿耐破度、水分、尺寸偏差、外观、感官要求、铅、砷、甲醛、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、大肠菌群、沙门氏菌、霉菌、标签标识</w:t>
            </w:r>
          </w:p>
          <w:p w14:paraId="6DF36D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固体食品包装纸板(GB/T 31123-2014)：定量、定量偏差、横幅定量差、紧度、亮度 (白度) 、平滑度 (正面/反面) 、印刷表面粗糙度 (正面) 、表面吸水性 (正面/反面) 、耐折度 (横向) 、内结合强度 (纵横向均) 、耐脂度、尘埃度、水分、挺度(纵向/横向)、尺寸偏差、外观、感官要求、铅、砷、甲醛、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荧光性物质、大肠菌群、沙门氏菌、霉菌、标签标识</w:t>
            </w:r>
          </w:p>
          <w:p w14:paraId="34E0F72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液体食品包装纸板(GB/T 31122-2014)：定量、横幅定量差、紧度、横幅厚度差、光泽度 (正面) 、平滑度 (正面) 、亮度 (正面) 、印刷表面粗糙度 (正面) 、表面吸水性 (正反面均) 、内结合强度、耐折度 (横向) 、边渗水、挺度(泰伯)(CD/MD)、尘埃度、水分、尺寸偏差、外观、感官要求、铅、砷、甲醛、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59883E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咖啡袋滤纸(QB/T 5050-2017)：定量、定量偏差、抗张强度 (纵向/横向)、纵向湿抗张强度、热封强度、透气量、滤水时间、耐破度、水分、外观、尺寸偏差、感官要求、铅、砷、甲醛、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荧光性物质、总迁移量(乙酸) 、总迁移量 (乙醇或水) 、总迁移量 (植物油或化学溶剂替代物) 、重金属(以 Pb 计)、大肠菌群、沙门氏菌、霉菌、标签标识</w:t>
            </w:r>
          </w:p>
          <w:p w14:paraId="7A7F066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真空镀铝原纸(QB/T 5055-2017)：定量、厚度、横幅厚度变异系数、吸水性(正反面均)、撕裂度(横向)、抗张强度(纵向/横向)、耐破度、抗张能量吸收(纵向)、光泽度(正面)、 D65 亮度、平滑度(正面)、印刷表面粗糙度(正面)、伸缩性(横向)、水分、尘埃度、尺寸偏差、外观、感官要求、铅、砷、甲醛、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0177B36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特定食品包装用纸和纸板(企业标准)：感官要求、铅、砷、甲醛、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(植物油或化学溶剂替代物)、高锰酸钾消耗量、重金属(以 Pb 计)、大肠菌群、沙门氏菌、霉菌、感官要求、总迁移量 (乙酸) 、总迁移量 (乙醇或水) 、总迁移量(植物油或化学溶剂替代物) 、高锰酸钾消耗量、重金属 (以Pb 计) 、脱色试验、芳香族伯胺迁移总量、单体及其他起始物的特定迁移限量、特定迁移限量总量、最大残留量等理化指标、标签标识</w:t>
            </w:r>
          </w:p>
        </w:tc>
      </w:tr>
      <w:tr w14:paraId="62B1A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159036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3553C56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食品用纸容器</w:t>
            </w:r>
          </w:p>
        </w:tc>
        <w:tc>
          <w:tcPr>
            <w:tcW w:w="626" w:type="dxa"/>
            <w:vAlign w:val="center"/>
          </w:tcPr>
          <w:p w14:paraId="42D639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BACFC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28120-2011</w:t>
            </w:r>
          </w:p>
          <w:p w14:paraId="78099A9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10440-2008</w:t>
            </w:r>
          </w:p>
          <w:p w14:paraId="1703B1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27590-2022</w:t>
            </w:r>
          </w:p>
          <w:p w14:paraId="77E6B34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27591-2011</w:t>
            </w:r>
          </w:p>
          <w:p w14:paraId="4A337C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27589-2011</w:t>
            </w:r>
          </w:p>
          <w:p w14:paraId="6DA48D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QB/T2898-2007</w:t>
            </w:r>
          </w:p>
          <w:p w14:paraId="5D0D20C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36787-2018</w:t>
            </w:r>
          </w:p>
          <w:p w14:paraId="3B5387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1CDDDA3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面粉纸袋(GB/T 28120-2011)：尺寸偏差、外观、拉伸负荷、牢固度、感官要求、铅、砷、甲醛、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 (以Pb 计) 、大肠菌群、沙门氏菌、霉菌；感官要求、总迁移量 (乙酸)、总迁移量(乙醇或水)、总迁移量(植物油或化学溶剂替代物) 、高锰酸钾消耗量、重金属(以 Pb 计)、脱色试验、芳香族伯胺迁移总量、单体及其他起始物的特定迁移限量、特定迁移限量总量、最大残留量等理化指标、标签标识</w:t>
            </w:r>
          </w:p>
          <w:p w14:paraId="172296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圆柱形复合罐(GB/T 10440-2008)：外观、尺寸极限偏差、端盖脱离力、轴向压溃力、快速泄漏试验、跌落试验、感官要求、铅、砷、甲醛、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荧光性物质、大肠菌群、沙门氏菌、霉菌、总迁移量 (乙酸) 、总迁移量 (乙醇或水) 、总迁移量 (植物油或化学溶剂替代物) 、高锰酸钾消耗量、重金属 (以Pb 计) 、感官要求、总迁移量 (乙酸) 、总迁移量 (乙醇或水)、总迁移量 (植物油或化学溶剂替代物) 、高锰酸钾消耗量、重金属 (以Pb 计) 、脱色试验、芳香族伯胺迁移总量、单体及其他起始物的特定迁移限量、特定迁移限量总量、最大残留量等理化指标、标签标识</w:t>
            </w:r>
          </w:p>
          <w:p w14:paraId="7A7794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淋膜纸杯(GB/T 27590-2022)：感官指标、容量及容量偏差、渗漏性能、杯身挺度、感官要求、铅、砷、甲醛、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计)、脱色试验、芳香族伯胺迁移总量、单体及其他起始物的特定迁移限量、特定迁移限量总量、最大残留量等理化指标、标签标识</w:t>
            </w:r>
          </w:p>
          <w:p w14:paraId="073590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涂蜡纸杯(GB/T 27590-2011)：感官指标、容量及容量偏差、渗漏性能、杯身挺度、感官要求、铅、砷、甲醛、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荧光性物质、大肠菌群、沙门氏菌、霉菌、标签标识</w:t>
            </w:r>
          </w:p>
          <w:p w14:paraId="3DA647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纸碗(GB/T 27591-2011)：外观、容量偏差、渗漏性能、抗压强度、感官要求、铅、砷、甲醛、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 (植物油或化学溶剂替代物)、高锰酸钾消耗量、重金属(以 Pb 计)、脱色试验、芳香族伯胺迁移总量、单体及其他起始物的特定迁移限量、特定迁移限量总量、最大残留量等理化指标、标签标识</w:t>
            </w:r>
          </w:p>
          <w:p w14:paraId="3BB2044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纸餐盒(GB/T27589 -2011)：外观、盖体对折试验、尺寸偏差、耐温试验、负重性能、感官要求、铅、砷、甲醛、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荧光性物质、大肠菌群、沙门氏菌、霉菌、感官要求、总迁移量 (乙酸) 、总迁移量 (乙醇或水) 、总迁移量</w:t>
            </w:r>
            <w:r>
              <w:rPr>
                <w:rFonts w:hint="eastAsia" w:ascii="宋体" w:hAnsi="宋体" w:eastAsia="宋体" w:cs="宋体"/>
                <w:sz w:val="24"/>
                <w:szCs w:val="24"/>
                <w:highlight w:val="none"/>
              </w:rPr>
              <w:tab/>
            </w:r>
            <w:r>
              <w:rPr>
                <w:rFonts w:hint="eastAsia" w:ascii="宋体" w:hAnsi="宋体" w:eastAsia="宋体" w:cs="宋体"/>
                <w:sz w:val="24"/>
                <w:szCs w:val="24"/>
                <w:highlight w:val="none"/>
              </w:rPr>
              <w:t>(植物油或化学溶剂替代物)、高锰酸钾消耗量、重金属(以 Pb 计)、脱色试验、芳香族伯胺迁移总量、单体及其他起始物的特定迁移限量、特定迁移限量总量、最大残留量等理化指标、标签标识</w:t>
            </w:r>
          </w:p>
          <w:p w14:paraId="7AFABA0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餐用纸制品(QB/T 2898-2007)：外观、PE 膜定量、容积相对偏差、渗漏性能、挺度、负重性能、水分、脱色试验、感官要求、铅、砷、甲醛、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荧光性物质、大肠菌群、沙门氏菌、霉菌、志贺氏菌、金黄色葡萄球菌、 β型溶血性链球菌、总迁移量 (乙酸) 、总迁移量 (乙醇或水) 、总迁移量 (植物油或化学溶剂替代物)、高锰酸钾消耗量、重金属(以 Pb 计)、感官要求、总迁移量 (乙酸) 、总迁移量 (乙醇或水) 、总迁移量 (植物油或化学溶剂替代物)、高锰酸钾消耗量、重金属(以 Pb 计)、脱色试验、芳香族伯胺迁移总量、单体及其他起始物的特定迁移限量、特定迁移限量总量、最大残留量等理化指标、标签标识</w:t>
            </w:r>
          </w:p>
          <w:p w14:paraId="3C9883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纸浆模塑餐具(GB/T 36787-2018)：尺寸偏差、容量偏差、漏水性、耐温性能、杯身挺度、负重性能、抗压性能、盒盖对折试验、跌落试验、水分、外观、感官要求、铅、砷、甲醛、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 、重金属(以 Pb 计)、大肠菌群、沙门氏菌、霉菌、标签标识</w:t>
            </w:r>
          </w:p>
          <w:p w14:paraId="2064AD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特定食品用纸容器(企业标准)：感官要求、铅、砷、甲醛、</w:t>
            </w:r>
            <w:r>
              <w:rPr>
                <w:rFonts w:hint="eastAsia" w:ascii="宋体" w:hAnsi="宋体" w:eastAsia="宋体" w:cs="宋体"/>
                <w:color w:val="000000"/>
                <w:sz w:val="24"/>
                <w:highlight w:val="none"/>
              </w:rPr>
              <w:t>1,3-二氯-2-丙醇、3-氯-1,2-丙二醇、</w:t>
            </w:r>
            <w:r>
              <w:rPr>
                <w:rFonts w:hint="eastAsia" w:ascii="宋体" w:hAnsi="宋体" w:eastAsia="宋体" w:cs="宋体"/>
                <w:sz w:val="24"/>
                <w:szCs w:val="24"/>
                <w:highlight w:val="none"/>
              </w:rPr>
              <w:t>荧光性物质、总迁移量 (乙酸) 、总迁移量 (乙醇或水) 、总迁移量 (植物油或化学溶剂替代物)、高锰酸钾消耗量、重金属(以 Pb 计)、大肠菌群、沙门氏菌、霉菌、感官要求、总迁移量 (乙酸) 、总迁移量 (乙醇或水) 、总迁移量 (植物油或化学溶剂替代物) 、高锰酸钾消耗量、重金属 (以Pb 计)、脱色试验、单体及其他起始物的特定迁移限量、特定迁移限量总量、最大残留量等理化指标、标签标识</w:t>
            </w:r>
          </w:p>
        </w:tc>
      </w:tr>
      <w:tr w14:paraId="4CDD3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A1D81ED">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FA04E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过度包装产品</w:t>
            </w:r>
          </w:p>
        </w:tc>
        <w:tc>
          <w:tcPr>
            <w:tcW w:w="626" w:type="dxa"/>
            <w:vAlign w:val="center"/>
          </w:tcPr>
          <w:p w14:paraId="3F51A4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CF7D2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23350-2021（附2022年第1号修改单、2024年第2号修改单)</w:t>
            </w:r>
          </w:p>
        </w:tc>
        <w:tc>
          <w:tcPr>
            <w:tcW w:w="4586" w:type="dxa"/>
            <w:vAlign w:val="center"/>
          </w:tcPr>
          <w:p w14:paraId="4AE267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过度包装：包装空隙率、包装层数、混装要求、商品包装质量</w:t>
            </w:r>
          </w:p>
        </w:tc>
      </w:tr>
      <w:tr w14:paraId="132E6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F6281EB">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A2285E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塑料购物袋</w:t>
            </w:r>
          </w:p>
        </w:tc>
        <w:tc>
          <w:tcPr>
            <w:tcW w:w="626" w:type="dxa"/>
            <w:vAlign w:val="center"/>
          </w:tcPr>
          <w:p w14:paraId="45E34E65">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658AD93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21661-2020、GB/T 38079-2019（附2022年第1号修改单）》</w:t>
            </w:r>
          </w:p>
          <w:p w14:paraId="359337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38082-2019</w:t>
            </w:r>
          </w:p>
          <w:p w14:paraId="5AFC18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4806.7-2023</w:t>
            </w:r>
          </w:p>
          <w:p w14:paraId="412B488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4806.14-2023 </w:t>
            </w:r>
          </w:p>
          <w:p w14:paraId="3CFB52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4806.15-2024</w:t>
            </w:r>
          </w:p>
        </w:tc>
        <w:tc>
          <w:tcPr>
            <w:tcW w:w="4586" w:type="dxa"/>
            <w:vAlign w:val="center"/>
          </w:tcPr>
          <w:p w14:paraId="7671A69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识要求、环保要求、厚度及偏差、提吊试验、封合强度、落镖冲击、感官、总迁移量、高锰酸钾消耗量、重金属（以Pb计）、脱色试验、1-辛烯特定迁移量、特定迁移总量（以丙烯酸计）、特定迁移总量（以甲基丙烯酸计）、特定迁移总量（以顺丁烯二酸计）、乙酸乙烯酯特定迁移量、特定迁移总量（以1,2-乙二醇计）、特定迁移总量（以间苯二甲酸计）、氯乙烯特定迁移量、1,1-二氯乙烷特定迁移量、邻苯二甲酸二（2-乙基）己酯（DEHP）迁移量、邻苯二甲酸二烯丙酯（DAP）迁移量、邻苯二甲酸二异壬酯（DINP）迁移量、芳香族伯胺迁移总量（食品安全卫生指标仅适用于明示食品直接接触用塑料购物袋产品）</w:t>
            </w:r>
          </w:p>
        </w:tc>
      </w:tr>
      <w:tr w14:paraId="3573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D27B8BA">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43E7E1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农用薄膜（地膜、棚膜）</w:t>
            </w:r>
          </w:p>
        </w:tc>
        <w:tc>
          <w:tcPr>
            <w:tcW w:w="626" w:type="dxa"/>
            <w:vAlign w:val="center"/>
          </w:tcPr>
          <w:p w14:paraId="76A5C496">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51D6AD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13735-2017</w:t>
            </w:r>
          </w:p>
          <w:p w14:paraId="0EA848A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4455-2019</w:t>
            </w:r>
          </w:p>
          <w:p w14:paraId="3184461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20202-2019</w:t>
            </w:r>
          </w:p>
          <w:p w14:paraId="24E420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4475-2013</w:t>
            </w:r>
          </w:p>
        </w:tc>
        <w:tc>
          <w:tcPr>
            <w:tcW w:w="4586" w:type="dxa"/>
            <w:vAlign w:val="center"/>
          </w:tcPr>
          <w:p w14:paraId="70DD70F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厚度、厚度偏差（厚度极限偏差、厚度平均偏差）、宽度极限偏差、拉伸强度、断裂标称应变、直角撕裂强度、流滴性能</w:t>
            </w:r>
          </w:p>
        </w:tc>
      </w:tr>
      <w:tr w14:paraId="0095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1FEE42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030729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快递封装用品</w:t>
            </w:r>
          </w:p>
        </w:tc>
        <w:tc>
          <w:tcPr>
            <w:tcW w:w="626" w:type="dxa"/>
            <w:vAlign w:val="center"/>
          </w:tcPr>
          <w:p w14:paraId="0DF778F5">
            <w:pPr>
              <w:spacing w:before="0" w:beforeAutospacing="0" w:after="0" w:afterAutospacing="0"/>
              <w:ind w:left="0" w:right="0"/>
              <w:rPr>
                <w:rFonts w:hint="eastAsia" w:ascii="宋体" w:hAnsi="宋体" w:eastAsia="宋体" w:cs="宋体"/>
                <w:sz w:val="24"/>
                <w:szCs w:val="24"/>
                <w:highlight w:val="none"/>
              </w:rPr>
            </w:pPr>
          </w:p>
        </w:tc>
        <w:tc>
          <w:tcPr>
            <w:tcW w:w="1962" w:type="dxa"/>
            <w:vAlign w:val="center"/>
          </w:tcPr>
          <w:p w14:paraId="0B986AB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16606.1-2018</w:t>
            </w:r>
          </w:p>
          <w:p w14:paraId="60DEA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16606.2-2018</w:t>
            </w:r>
          </w:p>
          <w:p w14:paraId="178D51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16606.3-2018</w:t>
            </w:r>
          </w:p>
          <w:p w14:paraId="0CAFCBA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0148-2015</w:t>
            </w:r>
          </w:p>
          <w:p w14:paraId="59B2F8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28582-2012</w:t>
            </w:r>
          </w:p>
          <w:p w14:paraId="541896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41833-2022</w:t>
            </w:r>
          </w:p>
          <w:p w14:paraId="6196DD0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0167-2018</w:t>
            </w:r>
          </w:p>
          <w:p w14:paraId="422265E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0160.1-2017</w:t>
            </w:r>
          </w:p>
          <w:p w14:paraId="6F5CBE2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YZ/T 0160.2-2017</w:t>
            </w:r>
          </w:p>
          <w:p w14:paraId="043D9A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38727-2020</w:t>
            </w:r>
          </w:p>
          <w:p w14:paraId="4C7064A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43352-2023</w:t>
            </w:r>
          </w:p>
        </w:tc>
        <w:tc>
          <w:tcPr>
            <w:tcW w:w="4586" w:type="dxa"/>
            <w:vAlign w:val="center"/>
          </w:tcPr>
          <w:p w14:paraId="2B9D5D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封套：重金属与特定物质、溶剂残留、AOX；</w:t>
            </w:r>
          </w:p>
          <w:p w14:paraId="71839E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包装箱：耐破强度、粘合强度、重金属与特定物质、溶剂残留、AOX；</w:t>
            </w:r>
          </w:p>
          <w:p w14:paraId="4A7BAEC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电子运单：初粘性钢球号、重金属与特定物质、溶剂残留、AOX、双酚A；</w:t>
            </w:r>
          </w:p>
          <w:p w14:paraId="32D547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包装袋：拉伸强度、断裂标称应变、直角撕裂力、热合强度、重金属与特定物质、邻苯二甲酸酯、溶剂残留；</w:t>
            </w:r>
          </w:p>
          <w:p w14:paraId="5D055FC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集装袋：拉伸力、重金属与特定物质、邻苯二甲酸酯、溶剂残留；</w:t>
            </w:r>
          </w:p>
          <w:p w14:paraId="68CC041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胶带：持粘力、直角撕裂负荷、重金属与特定物质、邻苯二甲酸酯、溶剂残留；</w:t>
            </w:r>
          </w:p>
          <w:p w14:paraId="6CF707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纸质填充物：重金属与特定物质、溶剂残留、AOX；</w:t>
            </w:r>
          </w:p>
          <w:p w14:paraId="6B887C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塑料填充物：重金属与特定物质、邻苯二甲酸酯、溶剂残留</w:t>
            </w:r>
          </w:p>
        </w:tc>
      </w:tr>
      <w:tr w14:paraId="45660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E18C3B4">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AFE0D8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危险化学品包装物（金属桶、罐）</w:t>
            </w:r>
          </w:p>
        </w:tc>
        <w:tc>
          <w:tcPr>
            <w:tcW w:w="626" w:type="dxa"/>
            <w:vAlign w:val="center"/>
          </w:tcPr>
          <w:p w14:paraId="1E09B8E4">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14F9A3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325.1-2018  包装容器 钢桶 第1部分：通用技术要求                        GB/T 13252-2008  包装容器 钢提桶      GB/T 17343-2023  包装容器 金属方桶    GB/T 15170-2007  包装容器 工业用薄钢板圆罐BB/T 0019-2013  包装容器 方罐与扁圆罐 BB/T 0064-2013  包装容器 钢质手提罐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GB/T 25164-2010   25.4mm口径铝气雾罐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13042-2008     包装容器 铁质气雾罐</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12463-2009   危险货物运输包装通用技术条件</w:t>
            </w:r>
          </w:p>
        </w:tc>
        <w:tc>
          <w:tcPr>
            <w:tcW w:w="4586" w:type="dxa"/>
            <w:vAlign w:val="center"/>
          </w:tcPr>
          <w:p w14:paraId="6DC5AF90">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钢桶:气密试验,液压试验,跌落高度,堆码试验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钢提桶:气密性能, 耐液压性, 耐跌落性, 耐堆码性, 提梁、提环强度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方桶: 气密性能, 耐液压性, 耐跌落性, 耐堆码性, 提环强度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工业用薄钢板圆罐:气密试验, 液压试验, 跌落试验, 堆码试验, 提梁、提环强度试验</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方罐与扁圆罐:气密性能, 液压性能, 跌落高度, 堆码负载性能, 提环拉力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钢质手提罐:气密性能, 液压性能, 堆码性能, 跌落高度, 提手拉力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25.4mm口径铝气雾罐:罐口外径、罐口内径、罐口接触高度、内涂层完整性（电流值）、气密试验, 变形压力, 爆破压力</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铁质气雾罐:罐口外径、罐口内径、罐口接触高度、焊缝补涂完整性、气密性能, 变形压力, 爆破压力</w:t>
            </w:r>
          </w:p>
        </w:tc>
      </w:tr>
      <w:tr w14:paraId="1C6F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5B5B27F">
            <w:pPr>
              <w:pStyle w:val="636"/>
              <w:numPr>
                <w:ilvl w:val="0"/>
                <w:numId w:val="2"/>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D855A9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危险化学品包装物（塑料）</w:t>
            </w:r>
          </w:p>
        </w:tc>
        <w:tc>
          <w:tcPr>
            <w:tcW w:w="626" w:type="dxa"/>
            <w:vAlign w:val="center"/>
          </w:tcPr>
          <w:p w14:paraId="413BBB86">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8F4F69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GB 18191-2008 包装容器 危险品包装用塑料桶 GB 19160-2008 包装容器 危险品包装用塑料罐 </w:t>
            </w:r>
          </w:p>
        </w:tc>
        <w:tc>
          <w:tcPr>
            <w:tcW w:w="4586" w:type="dxa"/>
            <w:vAlign w:val="center"/>
          </w:tcPr>
          <w:p w14:paraId="0C5EE00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危险品包装用塑料桶:气密试验, 液压试验, 堆码负载, 跌落高度</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危险品包装用塑料罐:气密试验, 液压试验, 堆码负载, 跌落高度</w:t>
            </w:r>
          </w:p>
        </w:tc>
      </w:tr>
    </w:tbl>
    <w:p w14:paraId="0E5F1069">
      <w:pPr>
        <w:rPr>
          <w:rFonts w:hint="eastAsia" w:ascii="宋体" w:hAnsi="宋体" w:eastAsia="宋体" w:cs="宋体"/>
          <w:sz w:val="24"/>
          <w:highlight w:val="none"/>
        </w:rPr>
      </w:pPr>
    </w:p>
    <w:p w14:paraId="687EFEDE">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4ADE8CE5">
      <w:pP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化肥产品：</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76C1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84A93F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center"/>
          </w:tcPr>
          <w:p w14:paraId="4CCD4ED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center"/>
          </w:tcPr>
          <w:p w14:paraId="07F69CD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center"/>
          </w:tcPr>
          <w:p w14:paraId="76E7FC15">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center"/>
          </w:tcPr>
          <w:p w14:paraId="378739D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5744B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FE6CF39">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712" w:type="dxa"/>
            <w:vAlign w:val="center"/>
          </w:tcPr>
          <w:p w14:paraId="4EBBFCE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复合肥料</w:t>
            </w:r>
          </w:p>
        </w:tc>
        <w:tc>
          <w:tcPr>
            <w:tcW w:w="626" w:type="dxa"/>
            <w:vAlign w:val="center"/>
          </w:tcPr>
          <w:p w14:paraId="3D6A090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7CD5250">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15063-2020《复合肥料》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181ECD2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总养分（N+P2O5+K2O）的质量分数、总氮(N)的质量分数、有效磷(P2O5) 的质量分数、钾(K2O) 的质量分数、水溶性磷占有效磷百分率、粒度、氯离子的质量分数、缩二脲的质量分数、硝态氮、总砷、总镉、总铅、总铬、总汞、总铊、包装标识（养分含量、含氯标识、警示语、名称中的禁用语）；</w:t>
            </w:r>
          </w:p>
        </w:tc>
      </w:tr>
      <w:tr w14:paraId="79D79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99BB026">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712" w:type="dxa"/>
            <w:vAlign w:val="center"/>
          </w:tcPr>
          <w:p w14:paraId="55BDEB8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有机-无机复混肥料</w:t>
            </w:r>
          </w:p>
        </w:tc>
        <w:tc>
          <w:tcPr>
            <w:tcW w:w="626" w:type="dxa"/>
            <w:vAlign w:val="center"/>
          </w:tcPr>
          <w:p w14:paraId="055BF6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242BCA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18877-2020《有机无机复混肥料》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0339ED7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质含量、总养分、总氮含量、有效五氧化二磷、总氧化钾、酸碱度、粒度、蛔虫卵死亡率、粪大肠菌群数、氯离子、缩二脲、钠离子含量、总砷、总镉、总铅、总铬、总汞、总铊、包装标识（养分含量、含氯标识、警示语、名称中的禁用语）</w:t>
            </w:r>
          </w:p>
        </w:tc>
      </w:tr>
      <w:tr w14:paraId="57EF8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A4789D2">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712" w:type="dxa"/>
            <w:vAlign w:val="center"/>
          </w:tcPr>
          <w:p w14:paraId="7875F38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掺混肥料(BB肥)</w:t>
            </w:r>
          </w:p>
        </w:tc>
        <w:tc>
          <w:tcPr>
            <w:tcW w:w="626" w:type="dxa"/>
            <w:vAlign w:val="center"/>
          </w:tcPr>
          <w:p w14:paraId="37E98EC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B25D25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21633-2020《掺混肥料(BB肥)》</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3B6059B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总养分、总氮、有效磷、钾、水溶性磷占有效磷百分率、粒度、氯离子、缩二脲、总砷、总镉、总铅、总铬、总汞、总铊、包装标识（养分含量、含氯标识、警示语、名称中的禁用语）;</w:t>
            </w:r>
          </w:p>
        </w:tc>
      </w:tr>
      <w:tr w14:paraId="4CF3E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4E701EEA">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712" w:type="dxa"/>
            <w:vAlign w:val="center"/>
          </w:tcPr>
          <w:p w14:paraId="7B4335B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缓释肥料                 </w:t>
            </w:r>
          </w:p>
        </w:tc>
        <w:tc>
          <w:tcPr>
            <w:tcW w:w="626" w:type="dxa"/>
            <w:vAlign w:val="center"/>
          </w:tcPr>
          <w:p w14:paraId="0F3DA4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0AB24E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GB/T 23348-2009《缓释肥料》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2031C04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外观，总养分，总氮,有效磷，水溶性磷占有效磷的质量分数，钾，粒度;</w:t>
            </w:r>
          </w:p>
        </w:tc>
      </w:tr>
      <w:tr w14:paraId="36AC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4242270">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712" w:type="dxa"/>
            <w:vAlign w:val="center"/>
          </w:tcPr>
          <w:p w14:paraId="3F0066E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含腐植酸水溶肥料(大量元素型）</w:t>
            </w:r>
          </w:p>
        </w:tc>
        <w:tc>
          <w:tcPr>
            <w:tcW w:w="626" w:type="dxa"/>
            <w:vAlign w:val="center"/>
          </w:tcPr>
          <w:p w14:paraId="51E9A2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5E8A8F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1106-2010《含腐植酸水溶肥料》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4675FF0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外观、腐植酸、大量元素、总氮、磷、钾、水不溶物、pH、水分、硫、氯、钠、汞、砷、镉、铅、铬、标识</w:t>
            </w:r>
          </w:p>
        </w:tc>
      </w:tr>
      <w:tr w14:paraId="5365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E45BDE">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712" w:type="dxa"/>
            <w:vAlign w:val="center"/>
          </w:tcPr>
          <w:p w14:paraId="44DBB7A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含腐植酸水溶肥料(微量元素型）</w:t>
            </w:r>
          </w:p>
        </w:tc>
        <w:tc>
          <w:tcPr>
            <w:tcW w:w="626" w:type="dxa"/>
            <w:vAlign w:val="center"/>
          </w:tcPr>
          <w:p w14:paraId="0E82D2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BA97BF9">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1106-2010《含腐植酸水溶肥料》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5B40D8A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外观、腐植酸、微量元素、铜、铁、锰、锌、硼、钼、水不溶物、pH、水分、硫、氯、钠、汞、砷、镉、铅、铬、标识</w:t>
            </w:r>
          </w:p>
        </w:tc>
      </w:tr>
      <w:tr w14:paraId="5A89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E2731B7">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712" w:type="dxa"/>
            <w:vAlign w:val="center"/>
          </w:tcPr>
          <w:p w14:paraId="492FC0F1">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大量元素水溶肥料</w:t>
            </w:r>
          </w:p>
        </w:tc>
        <w:tc>
          <w:tcPr>
            <w:tcW w:w="626" w:type="dxa"/>
            <w:vAlign w:val="center"/>
          </w:tcPr>
          <w:p w14:paraId="5E8DFE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064E6F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NY/T 1107-2020《大量元素水溶肥料》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4650139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外观、大量元素、总氮、磷、钾、水不溶物、水分、缩二脲、氯离子含量、汞、砷、镉、铅、铬、中量元素、单一中量元素、微量元素、单一微量元素、粒度、钠、pH、标识</w:t>
            </w:r>
          </w:p>
        </w:tc>
      </w:tr>
      <w:tr w14:paraId="1B8EF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92E4C03">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712" w:type="dxa"/>
            <w:vAlign w:val="center"/>
          </w:tcPr>
          <w:p w14:paraId="0AEC40C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中量元素水溶肥料         </w:t>
            </w:r>
          </w:p>
        </w:tc>
        <w:tc>
          <w:tcPr>
            <w:tcW w:w="626" w:type="dxa"/>
            <w:vAlign w:val="center"/>
          </w:tcPr>
          <w:p w14:paraId="5FEF31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06E2E1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2266-2012《中量元素水溶肥料》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09AC503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外观、中量元素、钙、镁、水不溶物、pH、水分、微量元素、铜、铁、锰、锌、硼、钼、硫、氯、钠、汞、砷、镉、铅、铬、标识</w:t>
            </w:r>
          </w:p>
        </w:tc>
      </w:tr>
      <w:tr w14:paraId="011BB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B94312C">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w:t>
            </w:r>
          </w:p>
        </w:tc>
        <w:tc>
          <w:tcPr>
            <w:tcW w:w="712" w:type="dxa"/>
            <w:vAlign w:val="center"/>
          </w:tcPr>
          <w:p w14:paraId="13BB2BE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微量元素水溶肥料</w:t>
            </w:r>
          </w:p>
        </w:tc>
        <w:tc>
          <w:tcPr>
            <w:tcW w:w="626" w:type="dxa"/>
            <w:vAlign w:val="center"/>
          </w:tcPr>
          <w:p w14:paraId="3FC710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DF45F58">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1428-2010《微量元素水溶肥料》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28329B0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外观、微量元素、铜、铁、锰、锌、硼、钼、水不溶物、pH、水分、硫、氯、钠、汞、砷、镉、铅、铬、标识</w:t>
            </w:r>
          </w:p>
        </w:tc>
      </w:tr>
      <w:tr w14:paraId="66AF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46864EF">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10</w:t>
            </w:r>
          </w:p>
        </w:tc>
        <w:tc>
          <w:tcPr>
            <w:tcW w:w="712" w:type="dxa"/>
            <w:vAlign w:val="center"/>
          </w:tcPr>
          <w:p w14:paraId="6BD40D2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含氨基酸水溶肥料（中量元素型）</w:t>
            </w:r>
          </w:p>
        </w:tc>
        <w:tc>
          <w:tcPr>
            <w:tcW w:w="626" w:type="dxa"/>
            <w:vAlign w:val="center"/>
          </w:tcPr>
          <w:p w14:paraId="5FC36CD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224AC4E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1429-2010《含氨基酸水溶肥料》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16F15A1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外观、游离氨基酸、中量元素、钙、镁、水不溶物、pH、水分、硫、氯、钠、汞、砷、镉、铅、铬、标识</w:t>
            </w:r>
          </w:p>
        </w:tc>
      </w:tr>
      <w:tr w14:paraId="279C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6" w:type="dxa"/>
            <w:vAlign w:val="center"/>
          </w:tcPr>
          <w:p w14:paraId="4CF52072">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712" w:type="dxa"/>
            <w:vAlign w:val="center"/>
          </w:tcPr>
          <w:p w14:paraId="61CC35E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含氨基酸水溶肥料（微量元素型）</w:t>
            </w:r>
          </w:p>
        </w:tc>
        <w:tc>
          <w:tcPr>
            <w:tcW w:w="626" w:type="dxa"/>
            <w:vAlign w:val="center"/>
          </w:tcPr>
          <w:p w14:paraId="2642ECE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4FE1A7B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 1429-2010《含氨基酸水溶肥料》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NY 1110－2010《水溶肥料 汞、砷、镉、铅、铬的限量要求》</w:t>
            </w:r>
          </w:p>
        </w:tc>
        <w:tc>
          <w:tcPr>
            <w:tcW w:w="4586" w:type="dxa"/>
            <w:vAlign w:val="center"/>
          </w:tcPr>
          <w:p w14:paraId="7EA0EFBD">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外观、游离氨基酸、微量元素、铜、铁、锰、锌、硼、钼、水不溶物、pH、水分、硫、氯、钠、汞、砷、镉、铅、铬、标识</w:t>
            </w:r>
          </w:p>
        </w:tc>
      </w:tr>
      <w:tr w14:paraId="7CF2F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F46FFCD">
            <w:pPr>
              <w:pStyle w:val="636"/>
              <w:numPr>
                <w:ilvl w:val="0"/>
                <w:numId w:val="0"/>
              </w:numPr>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12</w:t>
            </w:r>
          </w:p>
        </w:tc>
        <w:tc>
          <w:tcPr>
            <w:tcW w:w="712" w:type="dxa"/>
            <w:vAlign w:val="center"/>
          </w:tcPr>
          <w:p w14:paraId="294CD3A6">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 xml:space="preserve">有机肥料                                        </w:t>
            </w:r>
          </w:p>
        </w:tc>
        <w:tc>
          <w:tcPr>
            <w:tcW w:w="626" w:type="dxa"/>
            <w:vAlign w:val="center"/>
          </w:tcPr>
          <w:p w14:paraId="5256C2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17FDDFAA">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NY/T 525-2021《有机肥料》</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18382—2021《肥料标识 内容和要求》</w:t>
            </w:r>
            <w:r>
              <w:rPr>
                <w:rFonts w:hint="eastAsia" w:ascii="宋体" w:hAnsi="宋体" w:eastAsia="宋体" w:cs="宋体"/>
                <w:i w:val="0"/>
                <w:iCs w:val="0"/>
                <w:color w:val="auto"/>
                <w:kern w:val="0"/>
                <w:sz w:val="24"/>
                <w:szCs w:val="24"/>
                <w:u w:val="none"/>
                <w:lang w:val="en-US" w:eastAsia="zh-CN"/>
              </w:rPr>
              <w:br w:type="textWrapping"/>
            </w:r>
            <w:r>
              <w:rPr>
                <w:rFonts w:hint="eastAsia" w:ascii="宋体" w:hAnsi="宋体" w:eastAsia="宋体" w:cs="宋体"/>
                <w:i w:val="0"/>
                <w:iCs w:val="0"/>
                <w:color w:val="auto"/>
                <w:kern w:val="0"/>
                <w:sz w:val="24"/>
                <w:szCs w:val="24"/>
                <w:u w:val="none"/>
                <w:lang w:val="en-US" w:eastAsia="zh-CN"/>
              </w:rPr>
              <w:t>GB 38400—2019《肥料中有毒有害物质的限量要求》</w:t>
            </w:r>
          </w:p>
        </w:tc>
        <w:tc>
          <w:tcPr>
            <w:tcW w:w="4586" w:type="dxa"/>
            <w:vAlign w:val="center"/>
          </w:tcPr>
          <w:p w14:paraId="2588A685">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有机质、总养分、氮、磷、钾、水分、酸碱度、机械杂质、总砷、总汞、总铅、总镉、总铬、总铊、蛔虫卵死亡率、粪大肠菌群数、氯离子、缩二脲、包装标识</w:t>
            </w:r>
          </w:p>
        </w:tc>
      </w:tr>
    </w:tbl>
    <w:p w14:paraId="06E117F1">
      <w:pPr>
        <w:rPr>
          <w:rFonts w:hint="eastAsia" w:ascii="宋体" w:hAnsi="宋体" w:eastAsia="宋体" w:cs="宋体"/>
          <w:spacing w:val="1"/>
          <w:sz w:val="24"/>
          <w:szCs w:val="24"/>
          <w:highlight w:val="none"/>
        </w:rPr>
      </w:pPr>
    </w:p>
    <w:p w14:paraId="0D87DE9B">
      <w:pPr>
        <w:rPr>
          <w:rFonts w:hint="eastAsia" w:ascii="宋体" w:hAnsi="宋体" w:eastAsia="宋体" w:cs="宋体"/>
          <w:spacing w:val="1"/>
          <w:sz w:val="24"/>
          <w:szCs w:val="24"/>
          <w:highlight w:val="none"/>
        </w:rPr>
      </w:pPr>
    </w:p>
    <w:p w14:paraId="0FF459B6">
      <w:pPr>
        <w:rPr>
          <w:rFonts w:hint="eastAsia" w:ascii="宋体" w:hAnsi="宋体" w:eastAsia="宋体" w:cs="宋体"/>
          <w:spacing w:val="1"/>
          <w:sz w:val="24"/>
          <w:szCs w:val="24"/>
          <w:highlight w:val="none"/>
        </w:rPr>
      </w:pPr>
    </w:p>
    <w:p w14:paraId="24DE6C1A">
      <w:pPr>
        <w:rPr>
          <w:rFonts w:hint="eastAsia" w:ascii="宋体" w:hAnsi="宋体" w:eastAsia="宋体" w:cs="宋体"/>
          <w:spacing w:val="1"/>
          <w:sz w:val="24"/>
          <w:szCs w:val="24"/>
          <w:highlight w:val="none"/>
        </w:rPr>
      </w:pPr>
    </w:p>
    <w:p w14:paraId="0728F50C">
      <w:pPr>
        <w:rPr>
          <w:rFonts w:hint="eastAsia" w:ascii="宋体" w:hAnsi="宋体" w:eastAsia="宋体" w:cs="宋体"/>
          <w:spacing w:val="1"/>
          <w:sz w:val="24"/>
          <w:szCs w:val="24"/>
          <w:highlight w:val="none"/>
        </w:rPr>
      </w:pPr>
    </w:p>
    <w:p w14:paraId="3B2C091A">
      <w:pPr>
        <w:rPr>
          <w:rFonts w:hint="eastAsia" w:ascii="宋体" w:hAnsi="宋体" w:eastAsia="宋体" w:cs="宋体"/>
          <w:spacing w:val="1"/>
          <w:sz w:val="24"/>
          <w:szCs w:val="24"/>
          <w:highlight w:val="none"/>
        </w:rPr>
      </w:pPr>
    </w:p>
    <w:p w14:paraId="57DE959D">
      <w:pPr>
        <w:rPr>
          <w:rFonts w:hint="eastAsia" w:ascii="宋体" w:hAnsi="宋体" w:eastAsia="宋体" w:cs="宋体"/>
          <w:spacing w:val="1"/>
          <w:sz w:val="24"/>
          <w:szCs w:val="24"/>
          <w:highlight w:val="none"/>
        </w:rPr>
      </w:pPr>
    </w:p>
    <w:p w14:paraId="0FF27D6E">
      <w:pPr>
        <w:rPr>
          <w:rFonts w:hint="eastAsia" w:ascii="宋体" w:hAnsi="宋体" w:eastAsia="宋体" w:cs="宋体"/>
          <w:spacing w:val="1"/>
          <w:sz w:val="24"/>
          <w:szCs w:val="24"/>
          <w:highlight w:val="none"/>
        </w:rPr>
      </w:pPr>
    </w:p>
    <w:p w14:paraId="15B343B2">
      <w:pPr>
        <w:rPr>
          <w:rFonts w:hint="eastAsia" w:ascii="宋体" w:hAnsi="宋体" w:eastAsia="宋体" w:cs="宋体"/>
          <w:spacing w:val="1"/>
          <w:sz w:val="24"/>
          <w:szCs w:val="24"/>
          <w:highlight w:val="none"/>
        </w:rPr>
      </w:pPr>
    </w:p>
    <w:p w14:paraId="61FE7399">
      <w:pPr>
        <w:rPr>
          <w:rFonts w:hint="eastAsia" w:ascii="宋体" w:hAnsi="宋体" w:eastAsia="宋体" w:cs="宋体"/>
          <w:spacing w:val="1"/>
          <w:sz w:val="24"/>
          <w:szCs w:val="24"/>
          <w:highlight w:val="none"/>
        </w:rPr>
      </w:pPr>
    </w:p>
    <w:p w14:paraId="64E6A9F7">
      <w:pPr>
        <w:rPr>
          <w:rFonts w:hint="eastAsia" w:ascii="宋体" w:hAnsi="宋体" w:eastAsia="宋体" w:cs="宋体"/>
          <w:spacing w:val="1"/>
          <w:sz w:val="24"/>
          <w:szCs w:val="24"/>
          <w:highlight w:val="none"/>
        </w:rPr>
      </w:pPr>
    </w:p>
    <w:p w14:paraId="2BE5A220">
      <w:pPr>
        <w:rPr>
          <w:rFonts w:hint="eastAsia" w:ascii="宋体" w:hAnsi="宋体" w:eastAsia="宋体" w:cs="宋体"/>
          <w:spacing w:val="1"/>
          <w:sz w:val="24"/>
          <w:szCs w:val="24"/>
          <w:highlight w:val="none"/>
        </w:rPr>
      </w:pPr>
    </w:p>
    <w:p w14:paraId="5ED2F462">
      <w:pPr>
        <w:rPr>
          <w:rFonts w:hint="eastAsia" w:ascii="宋体" w:hAnsi="宋体" w:eastAsia="宋体" w:cs="宋体"/>
          <w:spacing w:val="1"/>
          <w:sz w:val="24"/>
          <w:szCs w:val="24"/>
          <w:highlight w:val="none"/>
        </w:rPr>
      </w:pPr>
    </w:p>
    <w:p w14:paraId="7E1C20BF">
      <w:pPr>
        <w:rPr>
          <w:rFonts w:hint="eastAsia" w:ascii="宋体" w:hAnsi="宋体" w:eastAsia="宋体" w:cs="宋体"/>
          <w:spacing w:val="1"/>
          <w:sz w:val="24"/>
          <w:szCs w:val="24"/>
          <w:highlight w:val="none"/>
        </w:rPr>
      </w:pPr>
    </w:p>
    <w:p w14:paraId="2301CF70">
      <w:pPr>
        <w:rPr>
          <w:rFonts w:hint="eastAsia" w:ascii="宋体" w:hAnsi="宋体" w:eastAsia="宋体" w:cs="宋体"/>
          <w:spacing w:val="1"/>
          <w:sz w:val="24"/>
          <w:szCs w:val="24"/>
          <w:highlight w:val="none"/>
        </w:rPr>
      </w:pPr>
    </w:p>
    <w:p w14:paraId="5D0F01E5">
      <w:pPr>
        <w:rPr>
          <w:rFonts w:hint="eastAsia" w:ascii="宋体" w:hAnsi="宋体" w:eastAsia="宋体" w:cs="宋体"/>
          <w:spacing w:val="1"/>
          <w:sz w:val="24"/>
          <w:szCs w:val="24"/>
          <w:highlight w:val="none"/>
        </w:rPr>
      </w:pPr>
    </w:p>
    <w:p w14:paraId="3A24222D">
      <w:pPr>
        <w:rPr>
          <w:rFonts w:hint="eastAsia" w:ascii="宋体" w:hAnsi="宋体" w:eastAsia="宋体" w:cs="宋体"/>
          <w:spacing w:val="1"/>
          <w:sz w:val="24"/>
          <w:szCs w:val="24"/>
          <w:highlight w:val="none"/>
        </w:rPr>
      </w:pPr>
    </w:p>
    <w:p w14:paraId="2AC1F9FB">
      <w:pPr>
        <w:rPr>
          <w:rFonts w:hint="eastAsia" w:ascii="宋体" w:hAnsi="宋体" w:eastAsia="宋体" w:cs="宋体"/>
          <w:spacing w:val="1"/>
          <w:sz w:val="24"/>
          <w:szCs w:val="24"/>
          <w:highlight w:val="none"/>
        </w:rPr>
      </w:pPr>
    </w:p>
    <w:p w14:paraId="373BDC64">
      <w:pPr>
        <w:rPr>
          <w:rFonts w:hint="eastAsia" w:ascii="宋体" w:hAnsi="宋体" w:eastAsia="宋体" w:cs="宋体"/>
          <w:spacing w:val="1"/>
          <w:sz w:val="24"/>
          <w:szCs w:val="24"/>
          <w:highlight w:val="none"/>
        </w:rPr>
      </w:pPr>
    </w:p>
    <w:p w14:paraId="6044F468">
      <w:pPr>
        <w:rPr>
          <w:rFonts w:hint="eastAsia" w:ascii="宋体" w:hAnsi="宋体" w:eastAsia="宋体" w:cs="宋体"/>
          <w:spacing w:val="1"/>
          <w:sz w:val="24"/>
          <w:szCs w:val="24"/>
          <w:highlight w:val="none"/>
        </w:rPr>
      </w:pPr>
    </w:p>
    <w:p w14:paraId="1AA57CBF">
      <w:pPr>
        <w:rPr>
          <w:rFonts w:hint="eastAsia" w:ascii="宋体" w:hAnsi="宋体" w:eastAsia="宋体" w:cs="宋体"/>
          <w:spacing w:val="1"/>
          <w:sz w:val="24"/>
          <w:szCs w:val="24"/>
          <w:highlight w:val="none"/>
        </w:rPr>
      </w:pPr>
    </w:p>
    <w:p w14:paraId="26A4D51B">
      <w:pPr>
        <w:rPr>
          <w:rFonts w:hint="eastAsia" w:ascii="宋体" w:hAnsi="宋体" w:eastAsia="宋体" w:cs="宋体"/>
          <w:spacing w:val="1"/>
          <w:sz w:val="24"/>
          <w:szCs w:val="24"/>
          <w:highlight w:val="none"/>
        </w:rPr>
      </w:pPr>
    </w:p>
    <w:p w14:paraId="77F1E432">
      <w:pPr>
        <w:rPr>
          <w:rFonts w:hint="eastAsia" w:ascii="宋体" w:hAnsi="宋体" w:eastAsia="宋体" w:cs="宋体"/>
          <w:spacing w:val="1"/>
          <w:sz w:val="24"/>
          <w:szCs w:val="24"/>
          <w:highlight w:val="none"/>
        </w:rPr>
      </w:pPr>
    </w:p>
    <w:p w14:paraId="6B888998">
      <w:pPr>
        <w:rPr>
          <w:rFonts w:hint="eastAsia" w:ascii="宋体" w:hAnsi="宋体" w:eastAsia="宋体" w:cs="宋体"/>
          <w:spacing w:val="1"/>
          <w:sz w:val="24"/>
          <w:szCs w:val="24"/>
          <w:highlight w:val="none"/>
        </w:rPr>
      </w:pPr>
    </w:p>
    <w:p w14:paraId="4CE48E1F">
      <w:pPr>
        <w:rPr>
          <w:rFonts w:hint="eastAsia" w:ascii="宋体" w:hAnsi="宋体" w:eastAsia="宋体" w:cs="宋体"/>
          <w:spacing w:val="1"/>
          <w:sz w:val="24"/>
          <w:szCs w:val="24"/>
          <w:highlight w:val="none"/>
        </w:rPr>
      </w:pPr>
    </w:p>
    <w:p w14:paraId="39F00410">
      <w:pPr>
        <w:rPr>
          <w:rFonts w:hint="eastAsia" w:ascii="宋体" w:hAnsi="宋体" w:eastAsia="宋体" w:cs="宋体"/>
          <w:spacing w:val="1"/>
          <w:sz w:val="24"/>
          <w:szCs w:val="24"/>
          <w:highlight w:val="none"/>
        </w:rPr>
      </w:pPr>
    </w:p>
    <w:p w14:paraId="0A59034B">
      <w:pPr>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油品相关产产品检测：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49F2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top"/>
          </w:tcPr>
          <w:p w14:paraId="0231E93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12" w:type="dxa"/>
            <w:vAlign w:val="top"/>
          </w:tcPr>
          <w:p w14:paraId="51F935F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top"/>
          </w:tcPr>
          <w:p w14:paraId="3BE96E5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top"/>
          </w:tcPr>
          <w:p w14:paraId="41F83265">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top"/>
          </w:tcPr>
          <w:p w14:paraId="4A65E1C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3D73D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6D6A841">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4F3DF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车用汽油</w:t>
            </w:r>
          </w:p>
        </w:tc>
        <w:tc>
          <w:tcPr>
            <w:tcW w:w="626" w:type="dxa"/>
            <w:vAlign w:val="center"/>
          </w:tcPr>
          <w:p w14:paraId="0FB68D1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E4EF57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17930-2016</w:t>
            </w:r>
          </w:p>
        </w:tc>
        <w:tc>
          <w:tcPr>
            <w:tcW w:w="4586" w:type="dxa"/>
            <w:vAlign w:val="center"/>
          </w:tcPr>
          <w:p w14:paraId="734B4B9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研究法辛烷值（RON）、铅含量、馏程、蒸气压、胶质含量、诱导期、硫含量、硫醇（博士试验）、铜片腐蚀（50℃，3h）、水溶性酸或碱、机械杂质及水分、苯含量、芳烃含量、烯烃含量、氧含量、甲醇含量、锰含量、铁含量、密度（20℃）</w:t>
            </w:r>
          </w:p>
        </w:tc>
      </w:tr>
      <w:tr w14:paraId="486E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FC79AE3">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1C7EFF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车用柴油</w:t>
            </w:r>
          </w:p>
        </w:tc>
        <w:tc>
          <w:tcPr>
            <w:tcW w:w="626" w:type="dxa"/>
            <w:vAlign w:val="center"/>
          </w:tcPr>
          <w:p w14:paraId="4BE058F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86115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19147-2016</w:t>
            </w:r>
          </w:p>
        </w:tc>
        <w:tc>
          <w:tcPr>
            <w:tcW w:w="4586" w:type="dxa"/>
            <w:vAlign w:val="center"/>
          </w:tcPr>
          <w:p w14:paraId="1B9982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硫含量、酸度（以KOH计）、10%蒸余物残炭、灰分、铜片腐蚀（50℃，3h）、水含量、润滑性磨痕直径（60℃）、多环芳烃含量、总污染物含量、运动黏度（20℃）、凝点、冷滤点、闪点（闭口）、馏程、十六烷值、十六烷指数、密度（20℃）、脂肪酸甲酯含量</w:t>
            </w:r>
          </w:p>
        </w:tc>
      </w:tr>
      <w:tr w14:paraId="1E1E9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A00691D">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408D9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发动机润滑油</w:t>
            </w:r>
          </w:p>
        </w:tc>
        <w:tc>
          <w:tcPr>
            <w:tcW w:w="626" w:type="dxa"/>
            <w:vAlign w:val="center"/>
          </w:tcPr>
          <w:p w14:paraId="5B47D2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2A525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11121-2006</w:t>
            </w:r>
          </w:p>
          <w:p w14:paraId="7C6EE59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11122-2006</w:t>
            </w:r>
          </w:p>
          <w:p w14:paraId="31AD39E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519EFA1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低温动力黏度、边界泵送温度、低温泵送黏度、运动黏度（100℃）、高温高剪切黏度、黏度指数、倾点、水分、泡沫性、蒸发损失、机械杂质、闪点（开口）、磷</w:t>
            </w:r>
          </w:p>
        </w:tc>
      </w:tr>
      <w:tr w14:paraId="6079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04BC62E">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963AF2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汽车风窗玻璃清洗液</w:t>
            </w:r>
          </w:p>
        </w:tc>
        <w:tc>
          <w:tcPr>
            <w:tcW w:w="626" w:type="dxa"/>
            <w:vAlign w:val="center"/>
          </w:tcPr>
          <w:p w14:paraId="606484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3B317D9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23436-2009</w:t>
            </w:r>
          </w:p>
        </w:tc>
        <w:tc>
          <w:tcPr>
            <w:tcW w:w="4586" w:type="dxa"/>
            <w:vAlign w:val="center"/>
          </w:tcPr>
          <w:p w14:paraId="2C3FF90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冰点、pH值、最低使用浓度下的洗净力、相容性、对橡胶的影响、对塑料的影响、热稳定性</w:t>
            </w:r>
          </w:p>
        </w:tc>
      </w:tr>
      <w:tr w14:paraId="6D6F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549A700B">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068C5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车用汽油清净剂</w:t>
            </w:r>
          </w:p>
        </w:tc>
        <w:tc>
          <w:tcPr>
            <w:tcW w:w="626" w:type="dxa"/>
            <w:vAlign w:val="center"/>
          </w:tcPr>
          <w:p w14:paraId="71D5491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16FF772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19592-2019</w:t>
            </w:r>
          </w:p>
        </w:tc>
        <w:tc>
          <w:tcPr>
            <w:tcW w:w="4586" w:type="dxa"/>
            <w:vAlign w:val="center"/>
          </w:tcPr>
          <w:p w14:paraId="3A6653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倾点、闪点（闭口）、硫含量、氯含量、防锈性/锈蚀程度、破乳性</w:t>
            </w:r>
          </w:p>
        </w:tc>
      </w:tr>
      <w:tr w14:paraId="1DA7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1E29F6B">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767F820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发动机冷却液</w:t>
            </w:r>
          </w:p>
        </w:tc>
        <w:tc>
          <w:tcPr>
            <w:tcW w:w="626" w:type="dxa"/>
            <w:vAlign w:val="center"/>
          </w:tcPr>
          <w:p w14:paraId="2DCF938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A2224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29743.1-2022</w:t>
            </w:r>
          </w:p>
        </w:tc>
        <w:tc>
          <w:tcPr>
            <w:tcW w:w="4586" w:type="dxa"/>
            <w:vAlign w:val="center"/>
          </w:tcPr>
          <w:p w14:paraId="2677DB8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冰点、沸点、pH值、玻璃器皿腐蚀、泡沫倾向、硝酸盐含量、硝酸盐和钼酸盐含量</w:t>
            </w:r>
          </w:p>
        </w:tc>
      </w:tr>
      <w:tr w14:paraId="7237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223D4473">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295EBD3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机动车辆制动液</w:t>
            </w:r>
          </w:p>
        </w:tc>
        <w:tc>
          <w:tcPr>
            <w:tcW w:w="626" w:type="dxa"/>
            <w:vAlign w:val="center"/>
          </w:tcPr>
          <w:p w14:paraId="67479EF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0D911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12981-2012</w:t>
            </w:r>
          </w:p>
        </w:tc>
        <w:tc>
          <w:tcPr>
            <w:tcW w:w="4586" w:type="dxa"/>
            <w:vAlign w:val="center"/>
          </w:tcPr>
          <w:p w14:paraId="30DADFE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运动黏度（-40℃、100℃）、平衡回流沸点（ERBP）、湿平衡回流沸点（WERBP）、pH值、蒸发性能</w:t>
            </w:r>
          </w:p>
        </w:tc>
      </w:tr>
      <w:tr w14:paraId="1BC5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8E87E74">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54C6B6C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与成品油性质相近的化工品</w:t>
            </w:r>
          </w:p>
        </w:tc>
        <w:tc>
          <w:tcPr>
            <w:tcW w:w="626" w:type="dxa"/>
            <w:vAlign w:val="center"/>
          </w:tcPr>
          <w:p w14:paraId="7D2819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14E04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11118.1-2011</w:t>
            </w:r>
          </w:p>
          <w:p w14:paraId="74040DE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13895-2018</w:t>
            </w:r>
          </w:p>
          <w:p w14:paraId="77F7F8E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NB/SH/T 0006-2017</w:t>
            </w:r>
          </w:p>
          <w:p w14:paraId="6EDECD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23971-2009</w:t>
            </w:r>
          </w:p>
          <w:p w14:paraId="4340BDD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企业标准</w:t>
            </w:r>
          </w:p>
        </w:tc>
        <w:tc>
          <w:tcPr>
            <w:tcW w:w="4586" w:type="dxa"/>
            <w:vAlign w:val="center"/>
          </w:tcPr>
          <w:p w14:paraId="644A1F3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液压油GB 11118.1-2011：运动黏度、黏度指数、机械杂质、倾点、闪点（开口）、泡沫性、铜片腐蚀（100℃，3h）、液相锈蚀、空气释放值、抗乳化性</w:t>
            </w:r>
          </w:p>
          <w:p w14:paraId="58ADF6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齿轮油GB 13895-2018：运动黏度、黏度指数、倾点、闪点（开口）、泡沫性（泡沫倾向）、铜片腐蚀、机械杂质</w:t>
            </w:r>
          </w:p>
          <w:p w14:paraId="43FFBC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工业白油（NB/SH/T 0006-2017）：运动黏度、闪点（开口）、倾点</w:t>
            </w:r>
          </w:p>
          <w:p w14:paraId="03F0A9C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颜色、硫含量、芳烃含量（质量分数）</w:t>
            </w:r>
          </w:p>
          <w:p w14:paraId="1C8EAB2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有机热载体（GB 23971-2009）：自燃点、闪点（闭口）、硫含量（质量分数）、氯含量、酸值、水分、残炭、运动黏度（40℃）</w:t>
            </w:r>
          </w:p>
        </w:tc>
      </w:tr>
      <w:tr w14:paraId="2A24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36" w:type="dxa"/>
            <w:vAlign w:val="center"/>
          </w:tcPr>
          <w:p w14:paraId="699D661F">
            <w:pPr>
              <w:pStyle w:val="636"/>
              <w:numPr>
                <w:ilvl w:val="0"/>
                <w:numId w:val="3"/>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11D959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车用尿素水溶液</w:t>
            </w:r>
          </w:p>
        </w:tc>
        <w:tc>
          <w:tcPr>
            <w:tcW w:w="626" w:type="dxa"/>
            <w:vAlign w:val="center"/>
          </w:tcPr>
          <w:p w14:paraId="001ADE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663EFA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29518-2013</w:t>
            </w:r>
          </w:p>
        </w:tc>
        <w:tc>
          <w:tcPr>
            <w:tcW w:w="4586" w:type="dxa"/>
            <w:vAlign w:val="center"/>
          </w:tcPr>
          <w:p w14:paraId="693751B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尿素含量、密度、折光率、碱度、缩二脲、醛类、磷酸盐、钙、铁、铜、锌、铬、镍、铝、镁、钠、钾</w:t>
            </w:r>
          </w:p>
        </w:tc>
      </w:tr>
    </w:tbl>
    <w:p w14:paraId="3BF91406">
      <w:pPr>
        <w:rPr>
          <w:rFonts w:hint="eastAsia" w:ascii="宋体" w:hAnsi="宋体" w:eastAsia="宋体" w:cs="宋体"/>
          <w:sz w:val="24"/>
          <w:highlight w:val="none"/>
        </w:rPr>
      </w:pPr>
    </w:p>
    <w:p w14:paraId="22CF6E65">
      <w:pPr>
        <w:rPr>
          <w:rFonts w:hint="eastAsia" w:ascii="宋体" w:hAnsi="宋体" w:eastAsia="宋体" w:cs="宋体"/>
          <w:sz w:val="24"/>
          <w:highlight w:val="none"/>
        </w:rPr>
      </w:pPr>
    </w:p>
    <w:p w14:paraId="28EBE3F5">
      <w:pPr>
        <w:rPr>
          <w:rFonts w:hint="eastAsia" w:ascii="宋体" w:hAnsi="宋体" w:eastAsia="宋体" w:cs="宋体"/>
          <w:sz w:val="24"/>
          <w:highlight w:val="none"/>
        </w:rPr>
      </w:pPr>
    </w:p>
    <w:p w14:paraId="4F8A49B1">
      <w:pPr>
        <w:rPr>
          <w:rFonts w:hint="eastAsia" w:ascii="宋体" w:hAnsi="宋体" w:eastAsia="宋体" w:cs="宋体"/>
          <w:sz w:val="24"/>
          <w:highlight w:val="none"/>
        </w:rPr>
      </w:pPr>
    </w:p>
    <w:p w14:paraId="7916A3DA">
      <w:pPr>
        <w:rPr>
          <w:rFonts w:hint="eastAsia" w:ascii="宋体" w:hAnsi="宋体" w:eastAsia="宋体" w:cs="宋体"/>
          <w:sz w:val="24"/>
          <w:highlight w:val="none"/>
        </w:rPr>
      </w:pPr>
    </w:p>
    <w:p w14:paraId="7FE06BAB">
      <w:pPr>
        <w:rPr>
          <w:rFonts w:hint="eastAsia" w:ascii="宋体" w:hAnsi="宋体" w:eastAsia="宋体" w:cs="宋体"/>
          <w:sz w:val="24"/>
          <w:highlight w:val="none"/>
        </w:rPr>
      </w:pPr>
    </w:p>
    <w:p w14:paraId="180B0BF4">
      <w:pPr>
        <w:rPr>
          <w:rFonts w:hint="eastAsia" w:ascii="宋体" w:hAnsi="宋体" w:eastAsia="宋体" w:cs="宋体"/>
          <w:sz w:val="24"/>
          <w:highlight w:val="none"/>
        </w:rPr>
      </w:pPr>
    </w:p>
    <w:p w14:paraId="05FCA15E">
      <w:pPr>
        <w:rPr>
          <w:rFonts w:hint="eastAsia" w:ascii="宋体" w:hAnsi="宋体" w:eastAsia="宋体" w:cs="宋体"/>
          <w:sz w:val="24"/>
          <w:highlight w:val="none"/>
        </w:rPr>
      </w:pPr>
    </w:p>
    <w:p w14:paraId="228C21F6">
      <w:pPr>
        <w:rPr>
          <w:rFonts w:hint="eastAsia" w:ascii="宋体" w:hAnsi="宋体" w:eastAsia="宋体" w:cs="宋体"/>
          <w:sz w:val="24"/>
          <w:highlight w:val="none"/>
        </w:rPr>
      </w:pPr>
    </w:p>
    <w:p w14:paraId="4FBF443B">
      <w:pPr>
        <w:rPr>
          <w:rFonts w:hint="eastAsia" w:ascii="宋体" w:hAnsi="宋体" w:eastAsia="宋体" w:cs="宋体"/>
          <w:sz w:val="24"/>
          <w:highlight w:val="none"/>
        </w:rPr>
      </w:pPr>
    </w:p>
    <w:p w14:paraId="71EC4937">
      <w:pPr>
        <w:rPr>
          <w:rFonts w:hint="eastAsia" w:ascii="宋体" w:hAnsi="宋体" w:eastAsia="宋体" w:cs="宋体"/>
          <w:sz w:val="24"/>
          <w:highlight w:val="none"/>
        </w:rPr>
      </w:pPr>
    </w:p>
    <w:p w14:paraId="4625FFBA">
      <w:pPr>
        <w:rPr>
          <w:rFonts w:hint="eastAsia" w:ascii="宋体" w:hAnsi="宋体" w:eastAsia="宋体" w:cs="宋体"/>
          <w:sz w:val="24"/>
          <w:highlight w:val="none"/>
        </w:rPr>
      </w:pPr>
    </w:p>
    <w:p w14:paraId="7325DA87">
      <w:pPr>
        <w:rPr>
          <w:rFonts w:hint="eastAsia" w:ascii="宋体" w:hAnsi="宋体" w:eastAsia="宋体" w:cs="宋体"/>
          <w:sz w:val="24"/>
          <w:highlight w:val="none"/>
        </w:rPr>
      </w:pPr>
    </w:p>
    <w:p w14:paraId="4DBA6DA2">
      <w:pPr>
        <w:rPr>
          <w:rFonts w:hint="eastAsia" w:ascii="宋体" w:hAnsi="宋体" w:eastAsia="宋体" w:cs="宋体"/>
          <w:sz w:val="24"/>
          <w:highlight w:val="none"/>
        </w:rPr>
      </w:pPr>
    </w:p>
    <w:p w14:paraId="55354B18">
      <w:pPr>
        <w:rPr>
          <w:rFonts w:hint="eastAsia" w:ascii="宋体" w:hAnsi="宋体" w:eastAsia="宋体" w:cs="宋体"/>
          <w:sz w:val="24"/>
          <w:highlight w:val="none"/>
        </w:rPr>
      </w:pPr>
    </w:p>
    <w:p w14:paraId="0D04927E">
      <w:pPr>
        <w:rPr>
          <w:rFonts w:hint="eastAsia" w:ascii="宋体" w:hAnsi="宋体" w:eastAsia="宋体" w:cs="宋体"/>
          <w:sz w:val="24"/>
          <w:highlight w:val="none"/>
        </w:rPr>
      </w:pPr>
    </w:p>
    <w:p w14:paraId="18EE59E1">
      <w:pPr>
        <w:rPr>
          <w:rFonts w:hint="eastAsia" w:ascii="宋体" w:hAnsi="宋体" w:eastAsia="宋体" w:cs="宋体"/>
          <w:sz w:val="24"/>
          <w:highlight w:val="none"/>
        </w:rPr>
      </w:pPr>
    </w:p>
    <w:p w14:paraId="0C32D44E">
      <w:pPr>
        <w:rPr>
          <w:rFonts w:hint="eastAsia" w:ascii="宋体" w:hAnsi="宋体" w:eastAsia="宋体" w:cs="宋体"/>
          <w:sz w:val="24"/>
          <w:highlight w:val="none"/>
        </w:rPr>
      </w:pPr>
    </w:p>
    <w:p w14:paraId="691A301A">
      <w:pPr>
        <w:rPr>
          <w:rFonts w:hint="eastAsia" w:ascii="宋体" w:hAnsi="宋体" w:eastAsia="宋体" w:cs="宋体"/>
          <w:sz w:val="24"/>
          <w:highlight w:val="none"/>
        </w:rPr>
      </w:pPr>
    </w:p>
    <w:p w14:paraId="56E76A41">
      <w:pPr>
        <w:rPr>
          <w:rFonts w:hint="eastAsia" w:ascii="宋体" w:hAnsi="宋体" w:eastAsia="宋体" w:cs="宋体"/>
          <w:sz w:val="24"/>
          <w:highlight w:val="none"/>
        </w:rPr>
      </w:pPr>
    </w:p>
    <w:p w14:paraId="20348CEA">
      <w:pPr>
        <w:rPr>
          <w:rFonts w:hint="eastAsia" w:ascii="宋体" w:hAnsi="宋体" w:eastAsia="宋体" w:cs="宋体"/>
          <w:sz w:val="24"/>
          <w:highlight w:val="none"/>
        </w:rPr>
      </w:pPr>
    </w:p>
    <w:p w14:paraId="6ED9A0D1">
      <w:pPr>
        <w:rPr>
          <w:rFonts w:hint="eastAsia" w:ascii="宋体" w:hAnsi="宋体" w:eastAsia="宋体" w:cs="宋体"/>
          <w:sz w:val="24"/>
          <w:highlight w:val="none"/>
        </w:rPr>
      </w:pPr>
    </w:p>
    <w:p w14:paraId="59DE29D7">
      <w:pPr>
        <w:rPr>
          <w:rFonts w:hint="eastAsia" w:ascii="宋体" w:hAnsi="宋体" w:eastAsia="宋体" w:cs="宋体"/>
          <w:sz w:val="24"/>
          <w:highlight w:val="none"/>
        </w:rPr>
      </w:pPr>
    </w:p>
    <w:p w14:paraId="3128C8F4">
      <w:pPr>
        <w:rPr>
          <w:rFonts w:hint="eastAsia" w:ascii="宋体" w:hAnsi="宋体" w:eastAsia="宋体" w:cs="宋体"/>
          <w:sz w:val="24"/>
          <w:highlight w:val="none"/>
        </w:rPr>
      </w:pPr>
    </w:p>
    <w:p w14:paraId="7752CFF5">
      <w:pPr>
        <w:rPr>
          <w:rFonts w:hint="eastAsia" w:ascii="宋体" w:hAnsi="宋体" w:eastAsia="宋体" w:cs="宋体"/>
          <w:sz w:val="24"/>
          <w:highlight w:val="none"/>
        </w:rPr>
      </w:pPr>
    </w:p>
    <w:p w14:paraId="5643ECC3">
      <w:pPr>
        <w:rPr>
          <w:rFonts w:hint="eastAsia" w:ascii="宋体" w:hAnsi="宋体" w:eastAsia="宋体" w:cs="宋体"/>
          <w:sz w:val="24"/>
          <w:highlight w:val="none"/>
        </w:rPr>
      </w:pPr>
    </w:p>
    <w:p w14:paraId="2EC950A0">
      <w:pPr>
        <w:rPr>
          <w:rFonts w:hint="eastAsia" w:ascii="宋体" w:hAnsi="宋体" w:eastAsia="宋体" w:cs="宋体"/>
          <w:sz w:val="24"/>
          <w:highlight w:val="none"/>
        </w:rPr>
      </w:pPr>
    </w:p>
    <w:p w14:paraId="05E029A9">
      <w:pPr>
        <w:rPr>
          <w:rFonts w:hint="eastAsia" w:ascii="宋体" w:hAnsi="宋体" w:eastAsia="宋体" w:cs="宋体"/>
          <w:sz w:val="24"/>
          <w:highlight w:val="none"/>
        </w:rPr>
      </w:pPr>
    </w:p>
    <w:p w14:paraId="3AB293FB">
      <w:pPr>
        <w:rPr>
          <w:rFonts w:hint="eastAsia" w:ascii="宋体" w:hAnsi="宋体" w:eastAsia="宋体" w:cs="宋体"/>
          <w:sz w:val="24"/>
          <w:highlight w:val="none"/>
        </w:rPr>
      </w:pPr>
    </w:p>
    <w:p w14:paraId="4C86862A">
      <w:pPr>
        <w:rPr>
          <w:rFonts w:hint="eastAsia" w:ascii="宋体" w:hAnsi="宋体" w:eastAsia="宋体" w:cs="宋体"/>
          <w:sz w:val="24"/>
          <w:highlight w:val="none"/>
        </w:rPr>
      </w:pPr>
    </w:p>
    <w:p w14:paraId="52A80A07">
      <w:pPr>
        <w:rPr>
          <w:rFonts w:hint="eastAsia" w:ascii="宋体" w:hAnsi="宋体" w:eastAsia="宋体" w:cs="宋体"/>
          <w:sz w:val="24"/>
          <w:highlight w:val="none"/>
        </w:rPr>
      </w:pPr>
    </w:p>
    <w:p w14:paraId="378B1358">
      <w:pPr>
        <w:rPr>
          <w:rFonts w:hint="eastAsia" w:ascii="宋体" w:hAnsi="宋体" w:eastAsia="宋体" w:cs="宋体"/>
          <w:sz w:val="24"/>
          <w:highlight w:val="none"/>
        </w:rPr>
      </w:pPr>
    </w:p>
    <w:p w14:paraId="687ADB9F">
      <w:pPr>
        <w:rPr>
          <w:rFonts w:hint="eastAsia" w:ascii="宋体" w:hAnsi="宋体" w:eastAsia="宋体" w:cs="宋体"/>
          <w:sz w:val="24"/>
          <w:highlight w:val="none"/>
        </w:rPr>
      </w:pPr>
      <w:r>
        <w:rPr>
          <w:rFonts w:hint="eastAsia" w:ascii="宋体" w:hAnsi="宋体" w:eastAsia="宋体" w:cs="宋体"/>
          <w:sz w:val="24"/>
          <w:highlight w:val="none"/>
        </w:rPr>
        <w:t>电动车相关产品及燃气具相关产品</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712"/>
        <w:gridCol w:w="626"/>
        <w:gridCol w:w="1962"/>
        <w:gridCol w:w="4586"/>
      </w:tblGrid>
      <w:tr w14:paraId="63CD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125A02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69813A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6" w:type="dxa"/>
            <w:vAlign w:val="top"/>
          </w:tcPr>
          <w:p w14:paraId="662D5796">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62" w:type="dxa"/>
            <w:vAlign w:val="top"/>
          </w:tcPr>
          <w:p w14:paraId="24A3F8B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86" w:type="dxa"/>
            <w:vAlign w:val="top"/>
          </w:tcPr>
          <w:p w14:paraId="04A39E8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6C6F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636" w:type="dxa"/>
            <w:vAlign w:val="center"/>
          </w:tcPr>
          <w:p w14:paraId="57182BC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12" w:type="dxa"/>
            <w:vAlign w:val="center"/>
          </w:tcPr>
          <w:p w14:paraId="07EB35B6">
            <w:pPr>
              <w:spacing w:before="0" w:beforeAutospacing="0" w:after="0" w:afterAutospacing="0" w:line="242" w:lineRule="auto"/>
              <w:ind w:left="0" w:right="0"/>
              <w:rPr>
                <w:rFonts w:hint="eastAsia" w:ascii="宋体" w:hAnsi="宋体" w:eastAsia="宋体" w:cs="宋体"/>
                <w:color w:val="000000"/>
                <w:sz w:val="24"/>
                <w:highlight w:val="none"/>
              </w:rPr>
            </w:pPr>
          </w:p>
          <w:p w14:paraId="6FAB34A1">
            <w:pPr>
              <w:spacing w:before="0" w:beforeAutospacing="0" w:after="0" w:afterAutospacing="0" w:line="242" w:lineRule="auto"/>
              <w:ind w:left="0" w:right="0"/>
              <w:jc w:val="center"/>
              <w:rPr>
                <w:rFonts w:hint="eastAsia" w:ascii="宋体" w:hAnsi="宋体" w:eastAsia="宋体" w:cs="宋体"/>
                <w:color w:val="000000"/>
                <w:sz w:val="24"/>
                <w:szCs w:val="24"/>
                <w:highlight w:val="none"/>
              </w:rPr>
            </w:pPr>
            <w:r>
              <w:rPr>
                <w:rFonts w:hint="eastAsia" w:ascii="宋体" w:hAnsi="宋体" w:eastAsia="宋体" w:cs="宋体"/>
                <w:sz w:val="24"/>
                <w:szCs w:val="24"/>
                <w:highlight w:val="none"/>
                <w:lang w:val="en-US" w:eastAsia="zh-CN"/>
              </w:rPr>
              <w:t>家用</w:t>
            </w:r>
            <w:r>
              <w:rPr>
                <w:rFonts w:hint="eastAsia" w:ascii="宋体" w:hAnsi="宋体" w:eastAsia="宋体" w:cs="宋体"/>
                <w:sz w:val="24"/>
                <w:szCs w:val="24"/>
                <w:highlight w:val="none"/>
              </w:rPr>
              <w:t>燃气灶</w:t>
            </w:r>
          </w:p>
        </w:tc>
        <w:tc>
          <w:tcPr>
            <w:tcW w:w="626" w:type="dxa"/>
            <w:vAlign w:val="center"/>
          </w:tcPr>
          <w:p w14:paraId="34B76418">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5235727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16410—2020</w:t>
            </w:r>
          </w:p>
          <w:p w14:paraId="5146C63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30720—2014  </w:t>
            </w:r>
          </w:p>
        </w:tc>
        <w:tc>
          <w:tcPr>
            <w:tcW w:w="4586" w:type="dxa"/>
            <w:vAlign w:val="center"/>
          </w:tcPr>
          <w:p w14:paraId="4DBED7F5">
            <w:pPr>
              <w:spacing w:before="0" w:beforeAutospacing="0" w:after="0" w:afterAutospacing="0"/>
              <w:ind w:left="0" w:right="0"/>
              <w:jc w:val="center"/>
              <w:rPr>
                <w:rFonts w:hint="eastAsia" w:ascii="宋体" w:hAnsi="宋体" w:eastAsia="宋体" w:cs="宋体"/>
                <w:sz w:val="24"/>
                <w:szCs w:val="24"/>
                <w:highlight w:val="none"/>
              </w:rPr>
            </w:pPr>
          </w:p>
          <w:p w14:paraId="334C77DF">
            <w:pPr>
              <w:spacing w:before="0" w:beforeAutospacing="0" w:after="0" w:afterAutospacing="0"/>
              <w:ind w:left="0" w:right="0"/>
              <w:jc w:val="center"/>
              <w:rPr>
                <w:rFonts w:hint="eastAsia" w:ascii="宋体" w:hAnsi="宋体" w:eastAsia="宋体" w:cs="宋体"/>
                <w:sz w:val="24"/>
                <w:szCs w:val="24"/>
                <w:highlight w:val="none"/>
              </w:rPr>
            </w:pPr>
          </w:p>
          <w:p w14:paraId="015091A7">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气密性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热负荷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燃烧工况（离焰、熄火、回火、燃烧噪声、</w:t>
            </w:r>
          </w:p>
          <w:p w14:paraId="79EB486A">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熄火噪声、干烟气中CO浓度（室内型））、温升、熄火保护装置、</w:t>
            </w:r>
            <w:r>
              <w:rPr>
                <w:rFonts w:hint="eastAsia" w:ascii="宋体" w:hAnsi="宋体" w:eastAsia="宋体" w:cs="宋体"/>
                <w:sz w:val="24"/>
                <w:szCs w:val="24"/>
                <w:highlight w:val="none"/>
              </w:rPr>
              <w:t>结构的一般要求</w:t>
            </w:r>
            <w:r>
              <w:rPr>
                <w:rFonts w:hint="eastAsia" w:ascii="宋体" w:hAnsi="宋体" w:eastAsia="宋体" w:cs="宋体"/>
                <w:sz w:val="24"/>
                <w:szCs w:val="24"/>
                <w:highlight w:val="none"/>
                <w:lang w:eastAsia="zh-CN"/>
              </w:rPr>
              <w:t>（燃气导管、</w:t>
            </w:r>
          </w:p>
          <w:p w14:paraId="6D86EEE3">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燃烧器的熄火保护装置）、热效率、耐热冲击、</w:t>
            </w:r>
          </w:p>
          <w:p w14:paraId="01934134">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耐重力冲击</w:t>
            </w:r>
          </w:p>
        </w:tc>
      </w:tr>
      <w:tr w14:paraId="59F37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1F4B3F8">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712" w:type="dxa"/>
            <w:vAlign w:val="center"/>
          </w:tcPr>
          <w:p w14:paraId="0D63BCD8">
            <w:pPr>
              <w:spacing w:before="0" w:beforeAutospacing="0" w:after="0" w:afterAutospacing="0" w:line="242" w:lineRule="auto"/>
              <w:ind w:left="0" w:right="0"/>
              <w:jc w:val="center"/>
              <w:rPr>
                <w:rFonts w:hint="eastAsia" w:ascii="宋体" w:hAnsi="宋体" w:eastAsia="宋体" w:cs="宋体"/>
                <w:color w:val="000000"/>
                <w:sz w:val="24"/>
                <w:highlight w:val="none"/>
              </w:rPr>
            </w:pPr>
            <w:r>
              <w:rPr>
                <w:rFonts w:hint="eastAsia" w:ascii="宋体" w:hAnsi="宋体" w:eastAsia="宋体" w:cs="宋体"/>
                <w:sz w:val="24"/>
                <w:szCs w:val="24"/>
                <w:highlight w:val="none"/>
              </w:rPr>
              <w:t>瓶装液化石油气调压器</w:t>
            </w:r>
          </w:p>
        </w:tc>
        <w:tc>
          <w:tcPr>
            <w:tcW w:w="626" w:type="dxa"/>
            <w:vAlign w:val="center"/>
          </w:tcPr>
          <w:p w14:paraId="5DBC6EA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7841682">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35844—2018 </w:t>
            </w:r>
          </w:p>
        </w:tc>
        <w:tc>
          <w:tcPr>
            <w:tcW w:w="4586" w:type="dxa"/>
            <w:vAlign w:val="center"/>
          </w:tcPr>
          <w:p w14:paraId="2FEDB4A9">
            <w:pPr>
              <w:spacing w:before="0" w:beforeAutospacing="0" w:after="0" w:afterAutospacing="0"/>
              <w:ind w:left="0" w:right="0"/>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结构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一般要求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压器的接头组件</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压力或流量安全装置</w:t>
            </w:r>
            <w:r>
              <w:rPr>
                <w:rFonts w:hint="eastAsia" w:ascii="宋体" w:hAnsi="宋体" w:eastAsia="宋体" w:cs="宋体"/>
                <w:sz w:val="24"/>
                <w:szCs w:val="24"/>
                <w:highlight w:val="none"/>
                <w:lang w:eastAsia="zh-CN"/>
              </w:rPr>
              <w:t>）、气密性、调压静特性、耐冲击性</w:t>
            </w:r>
          </w:p>
          <w:p w14:paraId="6661CB0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连接接头机械强度、材料</w:t>
            </w:r>
          </w:p>
        </w:tc>
      </w:tr>
      <w:tr w14:paraId="783C4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09696A3B">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4</w:t>
            </w:r>
          </w:p>
        </w:tc>
        <w:tc>
          <w:tcPr>
            <w:tcW w:w="712" w:type="dxa"/>
            <w:vAlign w:val="center"/>
          </w:tcPr>
          <w:p w14:paraId="6A5E4A85">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燃气用具连接用软管</w:t>
            </w:r>
          </w:p>
        </w:tc>
        <w:tc>
          <w:tcPr>
            <w:tcW w:w="626" w:type="dxa"/>
            <w:vAlign w:val="center"/>
          </w:tcPr>
          <w:p w14:paraId="3BBCD9DA">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0BC31AAD">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41317—2024 </w:t>
            </w:r>
          </w:p>
          <w:p w14:paraId="386FF7A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44017—2024 </w:t>
            </w:r>
          </w:p>
          <w:p w14:paraId="49E331E3">
            <w:pPr>
              <w:spacing w:before="55" w:beforeAutospacing="0" w:after="0" w:afterAutospacing="0" w:line="256" w:lineRule="auto"/>
              <w:ind w:left="0" w:right="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CJ/T 197—2010</w:t>
            </w:r>
          </w:p>
        </w:tc>
        <w:tc>
          <w:tcPr>
            <w:tcW w:w="4586" w:type="dxa"/>
            <w:vAlign w:val="center"/>
          </w:tcPr>
          <w:p w14:paraId="3F6397BC">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燃气用具连接用不锈钢波纹软管</w:t>
            </w:r>
            <w:r>
              <w:rPr>
                <w:rFonts w:hint="eastAsia" w:ascii="宋体" w:hAnsi="宋体" w:eastAsia="宋体" w:cs="宋体"/>
                <w:sz w:val="24"/>
                <w:szCs w:val="24"/>
                <w:highlight w:val="none"/>
                <w:lang w:val="en-US" w:eastAsia="zh-CN"/>
              </w:rPr>
              <w:t>:气密性、耐压性</w:t>
            </w:r>
          </w:p>
          <w:p w14:paraId="1116B82D">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弯曲性、耐安装强度、耐安装性</w:t>
            </w:r>
          </w:p>
          <w:p w14:paraId="351A6612">
            <w:pPr>
              <w:spacing w:before="0" w:beforeAutospacing="0" w:after="0" w:afterAutospacing="0"/>
              <w:ind w:left="0" w:right="0"/>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燃气用具连接用金属包覆软管</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气密性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内层胶管</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拉伸强度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拉断伸长率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耐压性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耐安装强度</w:t>
            </w:r>
          </w:p>
        </w:tc>
      </w:tr>
      <w:tr w14:paraId="585F1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133BD972">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5</w:t>
            </w:r>
          </w:p>
        </w:tc>
        <w:tc>
          <w:tcPr>
            <w:tcW w:w="712" w:type="dxa"/>
            <w:vAlign w:val="center"/>
          </w:tcPr>
          <w:p w14:paraId="2A19EC70">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电动自行车用蓄电池</w:t>
            </w:r>
          </w:p>
        </w:tc>
        <w:tc>
          <w:tcPr>
            <w:tcW w:w="626" w:type="dxa"/>
            <w:vAlign w:val="center"/>
          </w:tcPr>
          <w:p w14:paraId="44E030C8">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5AB5165">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2199.1-2017</w:t>
            </w:r>
          </w:p>
        </w:tc>
        <w:tc>
          <w:tcPr>
            <w:tcW w:w="4586" w:type="dxa"/>
            <w:vAlign w:val="center"/>
          </w:tcPr>
          <w:p w14:paraId="13FA7B1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2hr容量、大电流放电、能量密度、耐振动能力、快速充电能力、防爆能力</w:t>
            </w:r>
          </w:p>
        </w:tc>
      </w:tr>
      <w:tr w14:paraId="4FDE3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361C1C5E">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712" w:type="dxa"/>
            <w:vAlign w:val="center"/>
          </w:tcPr>
          <w:p w14:paraId="31600BFB">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电动自行车头盔</w:t>
            </w:r>
          </w:p>
        </w:tc>
        <w:tc>
          <w:tcPr>
            <w:tcW w:w="626" w:type="dxa"/>
            <w:vAlign w:val="center"/>
          </w:tcPr>
          <w:p w14:paraId="0D248E5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6AB5D44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811-2022</w:t>
            </w:r>
          </w:p>
        </w:tc>
        <w:tc>
          <w:tcPr>
            <w:tcW w:w="4586" w:type="dxa"/>
            <w:vAlign w:val="center"/>
          </w:tcPr>
          <w:p w14:paraId="48C61C4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结构（结构组成、壳体反光材料总面积、佩戴装置）、保护区及试验区、质量、视野、护目镜（可见光透过率、耐磨性）、固定装置稳定性、吸收碰撞能量（低温）</w:t>
            </w:r>
          </w:p>
        </w:tc>
      </w:tr>
      <w:tr w14:paraId="4FCF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64C1AA12">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7</w:t>
            </w:r>
          </w:p>
        </w:tc>
        <w:tc>
          <w:tcPr>
            <w:tcW w:w="712" w:type="dxa"/>
            <w:vAlign w:val="center"/>
          </w:tcPr>
          <w:p w14:paraId="26DAB564">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安全帽</w:t>
            </w:r>
          </w:p>
        </w:tc>
        <w:tc>
          <w:tcPr>
            <w:tcW w:w="626" w:type="dxa"/>
            <w:vAlign w:val="center"/>
          </w:tcPr>
          <w:p w14:paraId="0408954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62" w:type="dxa"/>
            <w:vAlign w:val="center"/>
          </w:tcPr>
          <w:p w14:paraId="7199AB36">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2811-2019</w:t>
            </w:r>
          </w:p>
        </w:tc>
        <w:tc>
          <w:tcPr>
            <w:tcW w:w="4586" w:type="dxa"/>
            <w:vAlign w:val="center"/>
          </w:tcPr>
          <w:p w14:paraId="1C82ED1F">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佩戴高度、垂直间距、下颏带强度、冲击吸收性能（低温）、耐穿刺性能（低温）</w:t>
            </w:r>
          </w:p>
        </w:tc>
      </w:tr>
      <w:tr w14:paraId="3000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6" w:type="dxa"/>
            <w:vAlign w:val="center"/>
          </w:tcPr>
          <w:p w14:paraId="726CABEC">
            <w:pPr>
              <w:pStyle w:val="636"/>
              <w:adjustRightInd/>
              <w:spacing w:before="0" w:beforeAutospacing="0" w:after="0" w:afterAutospacing="0" w:line="240" w:lineRule="auto"/>
              <w:ind w:left="0" w:right="0" w:firstLine="0"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w:t>
            </w:r>
          </w:p>
        </w:tc>
        <w:tc>
          <w:tcPr>
            <w:tcW w:w="712" w:type="dxa"/>
            <w:vAlign w:val="center"/>
          </w:tcPr>
          <w:p w14:paraId="5D3AC423">
            <w:pPr>
              <w:spacing w:before="0" w:beforeAutospacing="0" w:after="0" w:afterAutospacing="0" w:line="242" w:lineRule="auto"/>
              <w:ind w:left="0" w:right="0"/>
              <w:jc w:val="center"/>
              <w:rPr>
                <w:rFonts w:hint="eastAsia" w:ascii="宋体" w:hAnsi="宋体" w:eastAsia="宋体" w:cs="宋体"/>
                <w:sz w:val="24"/>
                <w:szCs w:val="24"/>
                <w:highlight w:val="none"/>
              </w:rPr>
            </w:pPr>
            <w:r>
              <w:rPr>
                <w:rFonts w:hint="eastAsia" w:ascii="宋体" w:hAnsi="宋体" w:eastAsia="宋体" w:cs="宋体"/>
                <w:sz w:val="24"/>
                <w:szCs w:val="24"/>
              </w:rPr>
              <w:t>电动自行车</w:t>
            </w:r>
          </w:p>
        </w:tc>
        <w:tc>
          <w:tcPr>
            <w:tcW w:w="626" w:type="dxa"/>
            <w:vAlign w:val="center"/>
          </w:tcPr>
          <w:p w14:paraId="3EE46298">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rPr>
              <w:t>监督抽查</w:t>
            </w:r>
          </w:p>
        </w:tc>
        <w:tc>
          <w:tcPr>
            <w:tcW w:w="1962" w:type="dxa"/>
            <w:vAlign w:val="center"/>
          </w:tcPr>
          <w:p w14:paraId="7F1CA68F">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17761—2018</w:t>
            </w:r>
          </w:p>
          <w:p w14:paraId="20D9733A">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17761—2024</w:t>
            </w:r>
          </w:p>
          <w:p w14:paraId="6503A340">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42295—2022及第1号修改单</w:t>
            </w:r>
          </w:p>
          <w:p w14:paraId="2468265D">
            <w:pPr>
              <w:spacing w:before="55" w:beforeAutospacing="0" w:after="0" w:afterAutospacing="0" w:line="256" w:lineRule="auto"/>
              <w:ind w:left="0" w:right="100"/>
              <w:jc w:val="left"/>
              <w:rPr>
                <w:rFonts w:hint="eastAsia" w:ascii="宋体" w:hAnsi="宋体" w:eastAsia="宋体" w:cs="宋体"/>
                <w:sz w:val="24"/>
                <w:szCs w:val="24"/>
                <w:highlight w:val="none"/>
              </w:rPr>
            </w:pPr>
            <w:r>
              <w:rPr>
                <w:rFonts w:hint="eastAsia" w:ascii="宋体" w:hAnsi="宋体" w:eastAsia="宋体" w:cs="宋体"/>
                <w:sz w:val="24"/>
                <w:szCs w:val="24"/>
              </w:rPr>
              <w:t>GB 42296—2022及第1号修改单</w:t>
            </w:r>
          </w:p>
        </w:tc>
        <w:tc>
          <w:tcPr>
            <w:tcW w:w="4586" w:type="dxa"/>
            <w:vAlign w:val="center"/>
          </w:tcPr>
          <w:p w14:paraId="261A1743">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17761—2018：车速限值、制动性能(干态)、整车质量、结构、车速提示音、电气装置、蓄电池防篡改、淋水涉水性能、反射器（仅做后反）、照明（仅做后灯）和鸣号装置</w:t>
            </w:r>
          </w:p>
          <w:p w14:paraId="4D2C2BB3">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17761—2024：车速限值（电驱动）、制动性能(干态)、整车质量、结构、车速提示音、电气装置、蓄电池防篡改、淋水涉水性能、反射器（仅做后反）、照明（仅做后灯）和鸣号装置</w:t>
            </w:r>
          </w:p>
          <w:p w14:paraId="4320970C">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42295—2022及第1号修改单：标识与警示语、互认协同充电、布线</w:t>
            </w:r>
          </w:p>
          <w:p w14:paraId="47B81151">
            <w:pPr>
              <w:spacing w:before="55" w:beforeAutospacing="0" w:after="0" w:afterAutospacing="0" w:line="256" w:lineRule="auto"/>
              <w:ind w:left="0" w:right="100"/>
              <w:jc w:val="left"/>
              <w:rPr>
                <w:rFonts w:hint="eastAsia" w:ascii="宋体" w:hAnsi="宋体" w:eastAsia="宋体" w:cs="宋体"/>
                <w:sz w:val="24"/>
                <w:szCs w:val="24"/>
              </w:rPr>
            </w:pPr>
            <w:r>
              <w:rPr>
                <w:rFonts w:hint="eastAsia" w:ascii="宋体" w:hAnsi="宋体" w:eastAsia="宋体" w:cs="宋体"/>
                <w:sz w:val="24"/>
                <w:szCs w:val="24"/>
              </w:rPr>
              <w:t>GB 42296—2022及第1号修改单：输出接口安全性</w:t>
            </w:r>
          </w:p>
          <w:p w14:paraId="6E9B82A2">
            <w:pPr>
              <w:spacing w:before="55" w:beforeAutospacing="0" w:after="0" w:afterAutospacing="0" w:line="256" w:lineRule="auto"/>
              <w:ind w:left="0" w:right="100"/>
              <w:jc w:val="left"/>
              <w:rPr>
                <w:rFonts w:hint="eastAsia" w:ascii="宋体" w:hAnsi="宋体" w:eastAsia="宋体" w:cs="宋体"/>
                <w:sz w:val="24"/>
                <w:szCs w:val="24"/>
              </w:rPr>
            </w:pPr>
          </w:p>
          <w:p w14:paraId="1084473B">
            <w:pPr>
              <w:spacing w:before="0" w:beforeAutospacing="0" w:after="0" w:afterAutospacing="0"/>
              <w:ind w:left="0" w:right="0"/>
              <w:jc w:val="center"/>
              <w:rPr>
                <w:rFonts w:hint="eastAsia" w:ascii="宋体" w:hAnsi="宋体" w:eastAsia="宋体" w:cs="宋体"/>
                <w:sz w:val="24"/>
                <w:szCs w:val="24"/>
                <w:highlight w:val="none"/>
              </w:rPr>
            </w:pPr>
          </w:p>
        </w:tc>
      </w:tr>
    </w:tbl>
    <w:p w14:paraId="402320D2">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71C953E0">
      <w:pPr>
        <w:rPr>
          <w:rFonts w:hint="eastAsia" w:ascii="宋体" w:hAnsi="宋体" w:eastAsia="宋体" w:cs="宋体"/>
          <w:spacing w:val="9"/>
          <w:sz w:val="24"/>
          <w:szCs w:val="24"/>
          <w:highlight w:val="none"/>
        </w:rPr>
      </w:pPr>
      <w:r>
        <w:rPr>
          <w:rFonts w:hint="eastAsia" w:ascii="宋体" w:hAnsi="宋体" w:eastAsia="宋体" w:cs="宋体"/>
          <w:spacing w:val="12"/>
          <w:sz w:val="24"/>
          <w:szCs w:val="24"/>
          <w:highlight w:val="none"/>
        </w:rPr>
        <w:t>建</w:t>
      </w:r>
      <w:r>
        <w:rPr>
          <w:rFonts w:hint="eastAsia" w:ascii="宋体" w:hAnsi="宋体" w:eastAsia="宋体" w:cs="宋体"/>
          <w:spacing w:val="9"/>
          <w:sz w:val="24"/>
          <w:szCs w:val="24"/>
          <w:highlight w:val="none"/>
        </w:rPr>
        <w:t>材、装修装饰产品及工具检测：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936"/>
        <w:gridCol w:w="768"/>
        <w:gridCol w:w="2136"/>
        <w:gridCol w:w="3895"/>
      </w:tblGrid>
      <w:tr w14:paraId="45898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top"/>
          </w:tcPr>
          <w:p w14:paraId="7F59DF7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936" w:type="dxa"/>
            <w:vAlign w:val="top"/>
          </w:tcPr>
          <w:p w14:paraId="2FA7BBEE">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768" w:type="dxa"/>
            <w:vAlign w:val="top"/>
          </w:tcPr>
          <w:p w14:paraId="58931E1A">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2136" w:type="dxa"/>
            <w:vAlign w:val="top"/>
          </w:tcPr>
          <w:p w14:paraId="52EC75E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3895" w:type="dxa"/>
            <w:vAlign w:val="top"/>
          </w:tcPr>
          <w:p w14:paraId="42B67AD2">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2D9EF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D14236D">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FD2A2F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壁纸(布)</w:t>
            </w:r>
          </w:p>
        </w:tc>
        <w:tc>
          <w:tcPr>
            <w:tcW w:w="768" w:type="dxa"/>
            <w:vAlign w:val="center"/>
          </w:tcPr>
          <w:p w14:paraId="0AF0AC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0E3E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QB/T 4034-2010</w:t>
            </w:r>
          </w:p>
          <w:p w14:paraId="5348388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JG/T509-2016</w:t>
            </w:r>
          </w:p>
          <w:p w14:paraId="0176D8B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JG/T510-2016</w:t>
            </w:r>
          </w:p>
          <w:p w14:paraId="091078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GB18585-2001</w:t>
            </w:r>
          </w:p>
          <w:p w14:paraId="1C5E11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HJ2502-2010</w:t>
            </w:r>
          </w:p>
        </w:tc>
        <w:tc>
          <w:tcPr>
            <w:tcW w:w="3895" w:type="dxa"/>
            <w:vAlign w:val="center"/>
          </w:tcPr>
          <w:p w14:paraId="61321DC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标志、重金属、氯乙烯单体、甲醛、褪色性、耐摩擦色牢度、遮蔽性、湿润拉伸负荷、吸水性、伸缩性、粘合剂可拭性</w:t>
            </w:r>
          </w:p>
          <w:p w14:paraId="7D93B9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横向、可洗性、挥发物、面层与基底剥离强度 (基底为热胶除外)、水浸尺寸稳定性</w:t>
            </w:r>
          </w:p>
        </w:tc>
      </w:tr>
      <w:tr w14:paraId="6E4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3CC519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2EC41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标准紧固件</w:t>
            </w:r>
          </w:p>
        </w:tc>
        <w:tc>
          <w:tcPr>
            <w:tcW w:w="768" w:type="dxa"/>
            <w:vAlign w:val="center"/>
          </w:tcPr>
          <w:p w14:paraId="4DBE4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665F96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94.1-2008</w:t>
            </w:r>
          </w:p>
          <w:p w14:paraId="72FA21F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95-2002</w:t>
            </w:r>
          </w:p>
          <w:p w14:paraId="622222E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GB/T1230-2006</w:t>
            </w:r>
          </w:p>
          <w:p w14:paraId="4A9FC4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3098.1-2010</w:t>
            </w:r>
          </w:p>
          <w:p w14:paraId="6346E6B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3098.2-2015</w:t>
            </w:r>
          </w:p>
          <w:p w14:paraId="422991B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3098.5-2014</w:t>
            </w:r>
          </w:p>
          <w:p w14:paraId="2EB2743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3098.6-2014</w:t>
            </w:r>
          </w:p>
        </w:tc>
        <w:tc>
          <w:tcPr>
            <w:tcW w:w="3895" w:type="dxa"/>
            <w:vAlign w:val="center"/>
          </w:tcPr>
          <w:p w14:paraId="4F48BA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94.1-2008：表面缺陷；内径 d；宽度 b 或外径 b；厚度 S；自由高度 H；工作时的开口距离 m；弹性；扭转。</w:t>
            </w:r>
          </w:p>
          <w:p w14:paraId="7E5A5F3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95-2002、GB/T1230-2006：表面缺陷；内径；外径；厚度；硬度</w:t>
            </w:r>
          </w:p>
          <w:p w14:paraId="15B694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3098.1-2010：表面缺陷；螺纹止通性能；对边宽度；对角宽度；公称长度；无螺纹杆径；头部高度；抗拉强度；公称保证应力；硬度</w:t>
            </w:r>
          </w:p>
          <w:p w14:paraId="1F3B8B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3098.2-2015：表面缺陷；螺纹止通性能；对边宽度；对角宽度；螺母高度；硬度</w:t>
            </w:r>
          </w:p>
          <w:p w14:paraId="2F2CBC8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3098.5-2014：对边宽度；对角宽度；公称长度；无螺纹杆径；螺纹长度；头部高度；拧入性能；破坏扭矩</w:t>
            </w:r>
          </w:p>
          <w:p w14:paraId="690DA01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3098.6-2014：螺纹止通性能；对边宽度；对角宽度；公称长度；无螺纹杆径；头部高度；抗拉强度</w:t>
            </w:r>
          </w:p>
        </w:tc>
      </w:tr>
      <w:tr w14:paraId="1C495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D8D5CF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A1F39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插头插座</w:t>
            </w:r>
          </w:p>
        </w:tc>
        <w:tc>
          <w:tcPr>
            <w:tcW w:w="768" w:type="dxa"/>
            <w:vAlign w:val="center"/>
          </w:tcPr>
          <w:p w14:paraId="723C411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7C064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GB/T2099.1-2008</w:t>
            </w:r>
          </w:p>
          <w:p w14:paraId="1C0223A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GB/T1002-2008</w:t>
            </w:r>
          </w:p>
          <w:p w14:paraId="41CCE0F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2DB0521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2099.1-2008：插座：标志、尺寸检查、防触电保护、接地措施、端子和端头、固定式插座的结构、耐老化、由外壳提供的防护和防潮、绝缘电阻和电气强度、温升、分断容量、正常操作、拔出插头所需的力、机械强度、耐热、螺钉、载流部件及其连接、爬电距离、电气间隙和通过密封胶的距离、绝缘材料的耐非正常热、耐燃和耐电痕化</w:t>
            </w:r>
          </w:p>
          <w:p w14:paraId="1B204D4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1002-2008：插头：标志、尺寸检查、防触电保护、接地措施、端子和端头、插头和移动式插座的结构、耐老化、由外壳提供的防护和防潮、绝缘电阻和电气强度、温升、软缆及其连接、机械强度、耐热、螺钉、载流部件及其连接、爬电距离、电气间隙和通过密封胶的距离、绝缘材料的耐非正常热、耐燃和耐电痕化</w:t>
            </w:r>
          </w:p>
        </w:tc>
      </w:tr>
      <w:tr w14:paraId="10F14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5166B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150062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电工套管</w:t>
            </w:r>
          </w:p>
        </w:tc>
        <w:tc>
          <w:tcPr>
            <w:tcW w:w="768" w:type="dxa"/>
            <w:vAlign w:val="center"/>
          </w:tcPr>
          <w:p w14:paraId="0D9F5F5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BC8583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3050-1998</w:t>
            </w:r>
          </w:p>
        </w:tc>
        <w:tc>
          <w:tcPr>
            <w:tcW w:w="3895" w:type="dxa"/>
            <w:vAlign w:val="center"/>
          </w:tcPr>
          <w:p w14:paraId="1BF7C25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标志、外观、最大外径、最小外径、最小内径、最小壁厚、抗压性能、冲击性能、弯曲性能、弯扁性能、跌落性能、耐热性能、阻燃性能、电气性能</w:t>
            </w:r>
          </w:p>
        </w:tc>
      </w:tr>
      <w:tr w14:paraId="378A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996F2A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801CD6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防水卷材</w:t>
            </w:r>
          </w:p>
        </w:tc>
        <w:tc>
          <w:tcPr>
            <w:tcW w:w="768" w:type="dxa"/>
            <w:vAlign w:val="center"/>
          </w:tcPr>
          <w:p w14:paraId="6FF0C6A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7E39D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18242-2008</w:t>
            </w:r>
          </w:p>
          <w:p w14:paraId="2B55052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GB18243-2008</w:t>
            </w:r>
          </w:p>
          <w:p w14:paraId="73103D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GB23441-2009</w:t>
            </w:r>
          </w:p>
          <w:p w14:paraId="6C09496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20474-2015</w:t>
            </w:r>
          </w:p>
          <w:p w14:paraId="041887F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18173.1-2012</w:t>
            </w:r>
          </w:p>
        </w:tc>
        <w:tc>
          <w:tcPr>
            <w:tcW w:w="3895" w:type="dxa"/>
            <w:vAlign w:val="center"/>
          </w:tcPr>
          <w:p w14:paraId="523B9EE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18242-2008、GB18243-2008：可溶物含量、耐热性、低温柔性、不透水性、拉力、延伸率、浸水后质量增加、热老化、渗油性、钉杆撕裂强度</w:t>
            </w:r>
          </w:p>
          <w:p w14:paraId="18BDFB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GB23441-2009：可溶物含量、拉伸性能钉杆撕裂强度、耐热性、低温柔性、不透水性、剥离强度、钉杆水密性、渗油性、持粘性、热老化、热稳定性、自粘沥青再剥离强度</w:t>
            </w:r>
          </w:p>
          <w:p w14:paraId="047BD18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20474-2015：可溶物含量、拉力、耐热度、柔度、不透水性、耐钉子拔出性、矿物料粘附性、自粘胶耐热度、燃烧性能</w:t>
            </w:r>
          </w:p>
          <w:p w14:paraId="60C8A87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18173.1-2012：拉伸强度 (常温) 、拉断伸长率 (常温) 、撕裂强度、不透水性、低温弯折、加热伸缩量、热空气老化、耐碱性、粘合剥离强度、复合强度、剥离强度</w:t>
            </w:r>
          </w:p>
        </w:tc>
      </w:tr>
      <w:tr w14:paraId="400B7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D3F357E">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792524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钢化玻璃</w:t>
            </w:r>
          </w:p>
        </w:tc>
        <w:tc>
          <w:tcPr>
            <w:tcW w:w="768" w:type="dxa"/>
            <w:vAlign w:val="center"/>
          </w:tcPr>
          <w:p w14:paraId="0DCBA72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8234E8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GB15763.2-2005</w:t>
            </w:r>
          </w:p>
        </w:tc>
        <w:tc>
          <w:tcPr>
            <w:tcW w:w="3895" w:type="dxa"/>
            <w:vAlign w:val="center"/>
          </w:tcPr>
          <w:p w14:paraId="5F4DF1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尺寸偏差项目、厚度允差项目、外观质量项目、弯曲度项目，、抗冲击性项目、碎片状态项目、霰弹袋冲击性能项目，、表面应力项目、耐热冲击性能项目。</w:t>
            </w:r>
          </w:p>
        </w:tc>
      </w:tr>
      <w:tr w14:paraId="02F4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8C79B3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A9084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给水用聚乙烯(PE)管</w:t>
            </w:r>
          </w:p>
        </w:tc>
        <w:tc>
          <w:tcPr>
            <w:tcW w:w="768" w:type="dxa"/>
            <w:vAlign w:val="center"/>
          </w:tcPr>
          <w:p w14:paraId="5D9F7E4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58C42C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13663.2-2018</w:t>
            </w:r>
          </w:p>
        </w:tc>
        <w:tc>
          <w:tcPr>
            <w:tcW w:w="3895" w:type="dxa"/>
            <w:vAlign w:val="center"/>
          </w:tcPr>
          <w:p w14:paraId="7EB467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标志、外观、平均外径、壁厚、静液压强度(20℃ ，100h)、静液压强度(80℃ ，1000h)、氧化诱导时间(210℃) 、纵向回缩率、炭黑含量、炭黑分散/颜料分散、灰分、断裂伸长率、色、浑浊度、臭和味、肉眼可见物、 pH 值、铁、、铜、锌、挥发酚类、砷、汞、铬 (六价) 、镉、铅、银、氟化物、硝酸盐、氯仿、四氯化碳、苯并 (a) 芘、蒸发残渣、高锰酸钾消耗量</w:t>
            </w:r>
          </w:p>
        </w:tc>
      </w:tr>
      <w:tr w14:paraId="12F48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4B2AC45">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00CF3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混凝土输水管</w:t>
            </w:r>
          </w:p>
        </w:tc>
        <w:tc>
          <w:tcPr>
            <w:tcW w:w="768" w:type="dxa"/>
            <w:vAlign w:val="center"/>
          </w:tcPr>
          <w:p w14:paraId="077313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503FF3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GB/T11836-2009</w:t>
            </w:r>
          </w:p>
        </w:tc>
        <w:tc>
          <w:tcPr>
            <w:tcW w:w="3895" w:type="dxa"/>
            <w:vAlign w:val="center"/>
          </w:tcPr>
          <w:p w14:paraId="72F5E1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标志、外观质量、尺寸偏差、物理力学性能、保护层厚度；</w:t>
            </w:r>
          </w:p>
        </w:tc>
      </w:tr>
      <w:tr w14:paraId="2DDF5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431306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4C6CA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夹层玻璃</w:t>
            </w:r>
          </w:p>
        </w:tc>
        <w:tc>
          <w:tcPr>
            <w:tcW w:w="768" w:type="dxa"/>
            <w:vAlign w:val="center"/>
          </w:tcPr>
          <w:p w14:paraId="1A9500B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2010F9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GB15763.3-2009</w:t>
            </w:r>
          </w:p>
        </w:tc>
        <w:tc>
          <w:tcPr>
            <w:tcW w:w="3895" w:type="dxa"/>
            <w:vAlign w:val="center"/>
          </w:tcPr>
          <w:p w14:paraId="6EE0E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CCC标志项目、厚度项目、耐热性项目、耐湿性项目、耐辐照性项目、落球冲击剥离性能项目、霰弹袋冲击性能项目</w:t>
            </w:r>
          </w:p>
        </w:tc>
      </w:tr>
      <w:tr w14:paraId="3BB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A99ACE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57D390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建筑</w:t>
            </w:r>
          </w:p>
          <w:p w14:paraId="3E5A95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胶粘</w:t>
            </w:r>
          </w:p>
          <w:p w14:paraId="6960E2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剂</w:t>
            </w:r>
          </w:p>
        </w:tc>
        <w:tc>
          <w:tcPr>
            <w:tcW w:w="768" w:type="dxa"/>
            <w:vAlign w:val="center"/>
          </w:tcPr>
          <w:p w14:paraId="711DD2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858C41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JC/T438-2019</w:t>
            </w:r>
          </w:p>
        </w:tc>
        <w:tc>
          <w:tcPr>
            <w:tcW w:w="3895" w:type="dxa"/>
            <w:vAlign w:val="center"/>
          </w:tcPr>
          <w:p w14:paraId="45B362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标志、外观、不挥发物含量、粘结强度、 pH 值、低温稳定性、游离甲醛、苯、甲苯+二甲苯、总挥发性有机物</w:t>
            </w:r>
          </w:p>
        </w:tc>
      </w:tr>
      <w:tr w14:paraId="55738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DBFFE6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1A0E99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浸渍胶膜纸饰面人造板</w:t>
            </w:r>
          </w:p>
        </w:tc>
        <w:tc>
          <w:tcPr>
            <w:tcW w:w="768" w:type="dxa"/>
            <w:vAlign w:val="center"/>
          </w:tcPr>
          <w:p w14:paraId="0E72D8D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749AE3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15102-2017</w:t>
            </w:r>
          </w:p>
          <w:p w14:paraId="76F491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18580-2017</w:t>
            </w:r>
          </w:p>
        </w:tc>
        <w:tc>
          <w:tcPr>
            <w:tcW w:w="3895" w:type="dxa"/>
            <w:vAlign w:val="center"/>
          </w:tcPr>
          <w:p w14:paraId="2B13B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静曲强度、弹性模量、内结合强度、 24h 吸水厚度膨胀率、含水率、板内密度偏差、表面胶合强度、表面耐冷热循环、表面耐划痕、表面耐磨、表面耐香烟灼烧、表面耐干热、表面耐污染腐蚀、表面耐龟裂、表面耐水蒸气、耐光色牢度、密度、甲醛释放量</w:t>
            </w:r>
          </w:p>
        </w:tc>
      </w:tr>
      <w:tr w14:paraId="56EB0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DBE431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BACC02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管材(建筑用聚氯乙烯管材、聚丙烯(PP-R)给水管等)</w:t>
            </w:r>
          </w:p>
        </w:tc>
        <w:tc>
          <w:tcPr>
            <w:tcW w:w="768" w:type="dxa"/>
            <w:vAlign w:val="center"/>
          </w:tcPr>
          <w:p w14:paraId="46FC841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67FDA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GB/T18742.2-2017</w:t>
            </w:r>
          </w:p>
          <w:p w14:paraId="0BBD1B9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GB/T5836.1-2018</w:t>
            </w:r>
          </w:p>
          <w:p w14:paraId="445BE0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JG/T3050-1998</w:t>
            </w:r>
          </w:p>
        </w:tc>
        <w:tc>
          <w:tcPr>
            <w:tcW w:w="3895" w:type="dxa"/>
            <w:vAlign w:val="center"/>
          </w:tcPr>
          <w:p w14:paraId="2E5AD6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GB/T18742.2-2017：标志、颜色、外观、平均外径、壁厚、 20℃  1h 静液压试验、95℃  22h 静液压试验、95℃  165h 静液压试验、95℃  1000h 静液压试验、 95℃1000h 静液压试验后的氧化诱导时间、颜料分散、纵向回缩率、简支梁冲击试验、熔体质量流动速率、色、浑浊度、臭和味、肉眼可见物、pH 值、铁、锰、铜、锌、挥发酚类、砷、汞、铬(六价)、镉、铅、银、氟化物、硝酸盐、氯仿、四氯化碳、苯并(a)芘、蒸发残渣、高锰酸钾消耗量</w:t>
            </w:r>
          </w:p>
          <w:p w14:paraId="341316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GB/T5836.1-2018：标志、外观、颜色、规格尺寸、密度、维卡软化温度、纵向回缩率、断裂伸长率、拉伸屈服强度、落锤冲击试验</w:t>
            </w:r>
          </w:p>
          <w:p w14:paraId="005ED9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JG/T3050-1998：最大外径、最小外径、最小内径、最小壁厚、抗压性能、冲击性能、弯曲性能、弯扁性能、跌落性能、耐热性能、阻燃性能、电气性能</w:t>
            </w:r>
          </w:p>
        </w:tc>
      </w:tr>
      <w:tr w14:paraId="7814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05E75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ACCBDC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建筑排水用硬聚氯乙烯管件</w:t>
            </w:r>
          </w:p>
        </w:tc>
        <w:tc>
          <w:tcPr>
            <w:tcW w:w="768" w:type="dxa"/>
            <w:vAlign w:val="center"/>
          </w:tcPr>
          <w:p w14:paraId="3C0FA1A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0552D2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GB/T5836.2-2018</w:t>
            </w:r>
          </w:p>
        </w:tc>
        <w:tc>
          <w:tcPr>
            <w:tcW w:w="3895" w:type="dxa"/>
            <w:vAlign w:val="center"/>
          </w:tcPr>
          <w:p w14:paraId="2A937C7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标志、颜色、外观、规格尺寸偏差、密度、维卡软化温度、烘箱试验、坠落试验</w:t>
            </w:r>
          </w:p>
        </w:tc>
      </w:tr>
      <w:tr w14:paraId="4BFF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E43D596">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E71D3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埋地用聚乙烯 (PE)结构壁管材</w:t>
            </w:r>
          </w:p>
        </w:tc>
        <w:tc>
          <w:tcPr>
            <w:tcW w:w="768" w:type="dxa"/>
            <w:vAlign w:val="center"/>
          </w:tcPr>
          <w:p w14:paraId="158E80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1EEEC9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19472.1-2019</w:t>
            </w:r>
          </w:p>
          <w:p w14:paraId="4E04BC3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19472.2-2017</w:t>
            </w:r>
          </w:p>
        </w:tc>
        <w:tc>
          <w:tcPr>
            <w:tcW w:w="3895" w:type="dxa"/>
            <w:vAlign w:val="center"/>
          </w:tcPr>
          <w:p w14:paraId="108267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标志、颜色、外观、规格尺寸、纵向回缩率、烘箱试验、灰分、氧化诱导时间、密度、环刚度、冲击性能、环柔性、熔接处的拉伸力</w:t>
            </w:r>
          </w:p>
        </w:tc>
      </w:tr>
      <w:tr w14:paraId="6191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70D3A4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8A0A0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木材胶粘剂</w:t>
            </w:r>
          </w:p>
        </w:tc>
        <w:tc>
          <w:tcPr>
            <w:tcW w:w="768" w:type="dxa"/>
            <w:vAlign w:val="center"/>
          </w:tcPr>
          <w:p w14:paraId="3F23EC8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535C14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HG/T2727-2010</w:t>
            </w:r>
          </w:p>
          <w:p w14:paraId="31BC9D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GB18583-2008</w:t>
            </w:r>
          </w:p>
        </w:tc>
        <w:tc>
          <w:tcPr>
            <w:tcW w:w="3895" w:type="dxa"/>
            <w:vAlign w:val="center"/>
          </w:tcPr>
          <w:p w14:paraId="07374151">
            <w:pPr>
              <w:spacing w:before="0" w:beforeAutospacing="0" w:after="0" w:afterAutospacing="0"/>
              <w:ind w:left="0" w:right="12"/>
              <w:rPr>
                <w:rFonts w:hint="eastAsia" w:ascii="宋体" w:hAnsi="宋体" w:eastAsia="宋体" w:cs="宋体"/>
                <w:sz w:val="24"/>
                <w:szCs w:val="24"/>
                <w:highlight w:val="none"/>
              </w:rPr>
            </w:pPr>
            <w:r>
              <w:rPr>
                <w:rFonts w:hint="eastAsia" w:ascii="宋体" w:hAnsi="宋体" w:eastAsia="宋体" w:cs="宋体"/>
                <w:sz w:val="24"/>
                <w:szCs w:val="24"/>
                <w:highlight w:val="none"/>
              </w:rPr>
              <w:t>标志、外观、pH 值、粘度、不挥发物、最低成膜温度、木材污染性、压缩剪切强度、游离甲醛、苯、甲苯+二甲苯、总挥发性有机物</w:t>
            </w:r>
          </w:p>
        </w:tc>
      </w:tr>
      <w:tr w14:paraId="7301B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640E94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9F614D0">
            <w:pPr>
              <w:spacing w:before="56" w:beforeAutospacing="0" w:after="0" w:afterAutospacing="0"/>
              <w:ind w:left="73" w:right="0"/>
              <w:rPr>
                <w:rFonts w:hint="eastAsia" w:ascii="宋体" w:hAnsi="宋体" w:eastAsia="宋体" w:cs="宋体"/>
                <w:sz w:val="24"/>
                <w:szCs w:val="24"/>
                <w:highlight w:val="none"/>
              </w:rPr>
            </w:pPr>
            <w:r>
              <w:rPr>
                <w:rFonts w:hint="eastAsia" w:ascii="宋体" w:hAnsi="宋体" w:eastAsia="宋体" w:cs="宋体"/>
                <w:sz w:val="24"/>
                <w:szCs w:val="24"/>
                <w:highlight w:val="none"/>
              </w:rPr>
              <w:t>木门</w:t>
            </w:r>
          </w:p>
        </w:tc>
        <w:tc>
          <w:tcPr>
            <w:tcW w:w="768" w:type="dxa"/>
            <w:vAlign w:val="center"/>
          </w:tcPr>
          <w:p w14:paraId="001E3B9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3EF204">
            <w:pPr>
              <w:spacing w:before="42" w:beforeAutospacing="0" w:after="0" w:afterAutospacing="0"/>
              <w:ind w:left="8" w:right="0"/>
              <w:rPr>
                <w:rFonts w:hint="eastAsia" w:ascii="宋体" w:hAnsi="宋体" w:eastAsia="宋体" w:cs="宋体"/>
                <w:sz w:val="24"/>
                <w:szCs w:val="24"/>
                <w:highlight w:val="none"/>
              </w:rPr>
            </w:pPr>
            <w:r>
              <w:rPr>
                <w:rFonts w:hint="eastAsia" w:ascii="宋体" w:hAnsi="宋体" w:eastAsia="宋体" w:cs="宋体"/>
                <w:sz w:val="24"/>
                <w:szCs w:val="24"/>
                <w:highlight w:val="none"/>
              </w:rPr>
              <w:t>WB/T 1024-2006</w:t>
            </w:r>
          </w:p>
          <w:p w14:paraId="13355E50">
            <w:pPr>
              <w:spacing w:before="0"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1923-2010</w:t>
            </w:r>
          </w:p>
          <w:p w14:paraId="083AFB36">
            <w:pPr>
              <w:spacing w:before="43"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p w14:paraId="3CB5F97B">
            <w:pPr>
              <w:spacing w:before="55"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GB18584-2001</w:t>
            </w:r>
          </w:p>
        </w:tc>
        <w:tc>
          <w:tcPr>
            <w:tcW w:w="3895" w:type="dxa"/>
            <w:vAlign w:val="center"/>
          </w:tcPr>
          <w:p w14:paraId="716058D3">
            <w:pPr>
              <w:spacing w:before="275" w:beforeAutospacing="0" w:after="0" w:afterAutospacing="0"/>
              <w:ind w:left="15" w:right="97"/>
              <w:rPr>
                <w:rFonts w:hint="eastAsia" w:ascii="宋体" w:hAnsi="宋体" w:eastAsia="宋体" w:cs="宋体"/>
                <w:sz w:val="24"/>
                <w:szCs w:val="24"/>
                <w:highlight w:val="none"/>
              </w:rPr>
            </w:pPr>
            <w:r>
              <w:rPr>
                <w:rFonts w:hint="eastAsia" w:ascii="宋体" w:hAnsi="宋体" w:eastAsia="宋体" w:cs="宋体"/>
                <w:sz w:val="24"/>
                <w:szCs w:val="24"/>
                <w:highlight w:val="none"/>
              </w:rPr>
              <w:t>产品标志、允许偏差、装饰面贴面表面外观要求、漆饰面表面外观要求、含水率、甲醛释放量、有害物质限量</w:t>
            </w:r>
          </w:p>
        </w:tc>
      </w:tr>
      <w:tr w14:paraId="2D8C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95EA04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52AA51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内墙腻子</w:t>
            </w:r>
          </w:p>
        </w:tc>
        <w:tc>
          <w:tcPr>
            <w:tcW w:w="768" w:type="dxa"/>
            <w:vAlign w:val="center"/>
          </w:tcPr>
          <w:p w14:paraId="532937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56999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298-2010</w:t>
            </w:r>
          </w:p>
          <w:p w14:paraId="7648FAA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tc>
        <w:tc>
          <w:tcPr>
            <w:tcW w:w="3895" w:type="dxa"/>
            <w:vAlign w:val="center"/>
          </w:tcPr>
          <w:p w14:paraId="456428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标志、容器中状态、低温贮存稳定性、施工性 5、干燥时间、初期干燥抗裂性、打磨性、耐水性、粘结强度、柔韧性、pH 值、挥发性有机化合物含量(VOC)、苯、甲苯、乙苯、二甲苯总和，、游离甲醛、可溶性重金属</w:t>
            </w:r>
          </w:p>
        </w:tc>
      </w:tr>
      <w:tr w14:paraId="32654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0FAC59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B43580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强化木地板</w:t>
            </w:r>
          </w:p>
        </w:tc>
        <w:tc>
          <w:tcPr>
            <w:tcW w:w="768" w:type="dxa"/>
            <w:vAlign w:val="center"/>
          </w:tcPr>
          <w:p w14:paraId="3912B7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B8D38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18102-2007</w:t>
            </w:r>
          </w:p>
          <w:p w14:paraId="200C55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p w14:paraId="3AD9F06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1AE36466">
            <w:pPr>
              <w:spacing w:before="0" w:beforeAutospacing="0" w:after="0" w:afterAutospacing="0"/>
              <w:ind w:left="0" w:right="12"/>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内结合强度、含水率、密度、吸水厚度膨胀率、表面胶合强度、表面耐冷热循环、表面耐划痕、尺寸稳定性、表面耐磨、表面耐香烟灼烧、表面耐干热、表面耐污染腐蚀、表面耐龟裂、抗冲击、耐光色牢度、甲醛释放量</w:t>
            </w:r>
          </w:p>
        </w:tc>
      </w:tr>
      <w:tr w14:paraId="6BDD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23F7F45">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A97105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实木地板</w:t>
            </w:r>
          </w:p>
        </w:tc>
        <w:tc>
          <w:tcPr>
            <w:tcW w:w="768" w:type="dxa"/>
            <w:vAlign w:val="center"/>
          </w:tcPr>
          <w:p w14:paraId="0AF7ED7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BE69DC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15036.1-2009</w:t>
            </w:r>
          </w:p>
          <w:p w14:paraId="17A171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15036.2-2009</w:t>
            </w:r>
          </w:p>
          <w:p w14:paraId="69A14B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tc>
        <w:tc>
          <w:tcPr>
            <w:tcW w:w="3895" w:type="dxa"/>
            <w:vAlign w:val="center"/>
          </w:tcPr>
          <w:p w14:paraId="49D6C0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含水率、漆膜表面耐磨、漆膜附着力、漆膜硬度、木材名称</w:t>
            </w:r>
          </w:p>
        </w:tc>
      </w:tr>
      <w:tr w14:paraId="50F4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2C6B14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1EFAE5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实木复合地板</w:t>
            </w:r>
          </w:p>
        </w:tc>
        <w:tc>
          <w:tcPr>
            <w:tcW w:w="768" w:type="dxa"/>
            <w:vAlign w:val="center"/>
          </w:tcPr>
          <w:p w14:paraId="5FB45B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5A662B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18103-2013</w:t>
            </w:r>
          </w:p>
          <w:p w14:paraId="1AB778B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LY/T 1859-2009</w:t>
            </w:r>
          </w:p>
          <w:p w14:paraId="5A1D23B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704C7A1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浸渍剥离、静曲强度、弹性模量、含水率、漆膜附着力、表面耐磨、漆膜硬度、表面耐污染、尺寸稳定性、甲醛释放量</w:t>
            </w:r>
          </w:p>
        </w:tc>
      </w:tr>
      <w:tr w14:paraId="07F0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8003AF8">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C86EE0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水暖用内螺纹连接阀门</w:t>
            </w:r>
          </w:p>
        </w:tc>
        <w:tc>
          <w:tcPr>
            <w:tcW w:w="768" w:type="dxa"/>
            <w:vAlign w:val="center"/>
          </w:tcPr>
          <w:p w14:paraId="79A3F5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5EE8A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8464-2008</w:t>
            </w:r>
          </w:p>
        </w:tc>
        <w:tc>
          <w:tcPr>
            <w:tcW w:w="3895" w:type="dxa"/>
            <w:vAlign w:val="center"/>
          </w:tcPr>
          <w:p w14:paraId="62079C0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壳体试验、密封试验、上密封试验、壳体最小壁厚、阀杆最小直径、连接尺寸、铸 (锻) 件外观质量、启闭动作、标志铭牌、螺纹精度、抗扭力性能、抗弯曲性能、阀座 (通道、流道) 最小直径</w:t>
            </w:r>
          </w:p>
        </w:tc>
      </w:tr>
      <w:tr w14:paraId="1EB16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2E6348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DDBAE6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水嘴、花洒</w:t>
            </w:r>
          </w:p>
        </w:tc>
        <w:tc>
          <w:tcPr>
            <w:tcW w:w="768" w:type="dxa"/>
            <w:vAlign w:val="center"/>
          </w:tcPr>
          <w:p w14:paraId="4896B01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60B1AC">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GB18145-2014</w:t>
            </w:r>
          </w:p>
          <w:p w14:paraId="6F171C92">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 25501</w:t>
            </w:r>
          </w:p>
          <w:p w14:paraId="36DB7B2F">
            <w:pPr>
              <w:spacing w:before="56" w:beforeAutospacing="0" w:after="0" w:afterAutospacing="0"/>
              <w:ind w:left="12" w:right="0"/>
              <w:rPr>
                <w:rFonts w:hint="eastAsia" w:ascii="宋体" w:hAnsi="宋体" w:eastAsia="宋体" w:cs="宋体"/>
                <w:sz w:val="24"/>
                <w:szCs w:val="24"/>
                <w:highlight w:val="none"/>
              </w:rPr>
            </w:pPr>
            <w:r>
              <w:rPr>
                <w:rFonts w:hint="eastAsia" w:ascii="宋体" w:hAnsi="宋体" w:eastAsia="宋体" w:cs="宋体"/>
                <w:sz w:val="24"/>
                <w:szCs w:val="24"/>
                <w:highlight w:val="none"/>
              </w:rPr>
              <w:t>GB/T23447-2009</w:t>
            </w:r>
          </w:p>
        </w:tc>
        <w:tc>
          <w:tcPr>
            <w:tcW w:w="3895" w:type="dxa"/>
            <w:vAlign w:val="center"/>
          </w:tcPr>
          <w:p w14:paraId="4D10A231">
            <w:pPr>
              <w:spacing w:before="43" w:beforeAutospacing="0" w:after="0" w:afterAutospacing="0"/>
              <w:ind w:left="15" w:right="12" w:firstLine="2"/>
              <w:rPr>
                <w:rFonts w:hint="eastAsia" w:ascii="宋体" w:hAnsi="宋体" w:eastAsia="宋体" w:cs="宋体"/>
                <w:sz w:val="24"/>
                <w:szCs w:val="24"/>
                <w:highlight w:val="none"/>
              </w:rPr>
            </w:pPr>
            <w:r>
              <w:rPr>
                <w:rFonts w:hint="eastAsia" w:ascii="宋体" w:hAnsi="宋体" w:eastAsia="宋体" w:cs="宋体"/>
                <w:sz w:val="24"/>
                <w:szCs w:val="24"/>
                <w:highlight w:val="none"/>
              </w:rPr>
              <w:t>水嘴：标志、外观质量、管螺纹精度、冷热水标志、金属污染物析出、抗水压机械性能、密封性能、流量、灵敏度、流量均匀性、水嘴用水效率等级、涂层附着强度、镀层附着强度、抗安装负载、表面耐腐蚀性能.</w:t>
            </w:r>
          </w:p>
          <w:p w14:paraId="68D06AD9">
            <w:pPr>
              <w:spacing w:before="43" w:beforeAutospacing="0" w:after="0" w:afterAutospacing="0"/>
              <w:ind w:left="14" w:right="0" w:firstLine="1"/>
              <w:rPr>
                <w:rFonts w:hint="eastAsia" w:ascii="宋体" w:hAnsi="宋体" w:eastAsia="宋体" w:cs="宋体"/>
                <w:sz w:val="24"/>
                <w:szCs w:val="24"/>
                <w:highlight w:val="none"/>
              </w:rPr>
            </w:pPr>
            <w:r>
              <w:rPr>
                <w:rFonts w:hint="eastAsia" w:ascii="宋体" w:hAnsi="宋体" w:eastAsia="宋体" w:cs="宋体"/>
                <w:sz w:val="24"/>
                <w:szCs w:val="24"/>
                <w:highlight w:val="none"/>
              </w:rPr>
              <w:t>花洒：外观质量、管螺纹精度、温降、流量、手持式花洒防虹吸性能、安全性能、耐急冷急热性能、耐腐蚀性能、密封性能、机械强度、旋转连接性能、耐冷热疲劳性能、整体抗拉性能、花洒功能转换寿命、球形连接摇摆性能</w:t>
            </w:r>
          </w:p>
        </w:tc>
      </w:tr>
      <w:tr w14:paraId="6468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313B982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Merge w:val="restart"/>
            <w:vAlign w:val="center"/>
          </w:tcPr>
          <w:p w14:paraId="2B88A5C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油漆、内墙涂料</w:t>
            </w:r>
          </w:p>
        </w:tc>
        <w:tc>
          <w:tcPr>
            <w:tcW w:w="768" w:type="dxa"/>
            <w:vMerge w:val="restart"/>
            <w:vAlign w:val="center"/>
          </w:tcPr>
          <w:p w14:paraId="2C555A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E25946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23997-2009</w:t>
            </w:r>
          </w:p>
          <w:p w14:paraId="57C4A81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GB18581-2009</w:t>
            </w:r>
          </w:p>
          <w:p w14:paraId="2708074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GB/T25249-2010</w:t>
            </w:r>
          </w:p>
          <w:p w14:paraId="324A4E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GB/T25251-2010</w:t>
            </w:r>
          </w:p>
          <w:p w14:paraId="59F5B3C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GB/T25252-2010</w:t>
            </w:r>
          </w:p>
          <w:p w14:paraId="56E6351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GB/T25253-2010</w:t>
            </w:r>
          </w:p>
          <w:p w14:paraId="1BD1D3A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GB/T25258-2010</w:t>
            </w:r>
          </w:p>
          <w:p w14:paraId="3447365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GB/T25259-2010</w:t>
            </w:r>
          </w:p>
          <w:p w14:paraId="0CB63D4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GB/T25263-2010</w:t>
            </w:r>
          </w:p>
          <w:p w14:paraId="3EDE439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GB/T25264-2010</w:t>
            </w:r>
          </w:p>
          <w:p w14:paraId="50068BA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25271-2010</w:t>
            </w:r>
          </w:p>
        </w:tc>
        <w:tc>
          <w:tcPr>
            <w:tcW w:w="3895" w:type="dxa"/>
            <w:vAlign w:val="center"/>
          </w:tcPr>
          <w:p w14:paraId="5FB7630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施工性、干燥时间、涂膜外观、贮存稳定性、打磨性、光泽(60º)、铅笔硬度，、附着力、耐干热性、耐磨性、耐冲击性、耐水性、耐碱性、耐醇性、耐污染性、耐黄变性、挥发性有机化合物(VOC)、苯含量、甲苯、二甲苯、乙苯总和、游离二异氰酸酯(TDl、HDI) 总和、卤代烃含量、重金属、原漆颜色、流出时间、不挥发物含量、细度、划格试验、耐冲击性、弯曲试验、耐热性、渗色性、耐挥发油性、耐酸性、耐人工气候老化性、结皮性、回粘性、遮盖力、重涂适应性、与面漆的适应性、硬度、耐盐水性、与底材的适应性、耐硝基漆性、柔韧性、耐盐雾性</w:t>
            </w:r>
          </w:p>
        </w:tc>
      </w:tr>
      <w:tr w14:paraId="05E4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26A85776">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Merge w:val="continue"/>
            <w:vAlign w:val="center"/>
          </w:tcPr>
          <w:p w14:paraId="4D2DDE7D">
            <w:pPr>
              <w:spacing w:before="55" w:beforeAutospacing="0" w:after="0" w:afterAutospacing="0"/>
              <w:ind w:left="71" w:right="0" w:hanging="56"/>
              <w:rPr>
                <w:rFonts w:hint="eastAsia" w:ascii="宋体" w:hAnsi="宋体" w:eastAsia="宋体" w:cs="宋体"/>
                <w:sz w:val="24"/>
                <w:szCs w:val="24"/>
                <w:highlight w:val="none"/>
              </w:rPr>
            </w:pPr>
          </w:p>
        </w:tc>
        <w:tc>
          <w:tcPr>
            <w:tcW w:w="768" w:type="dxa"/>
            <w:vMerge w:val="continue"/>
            <w:vAlign w:val="center"/>
          </w:tcPr>
          <w:p w14:paraId="2135AD93">
            <w:pPr>
              <w:spacing w:before="55" w:beforeAutospacing="0" w:after="0" w:afterAutospacing="0"/>
              <w:ind w:left="71" w:right="0" w:hanging="56"/>
              <w:rPr>
                <w:rFonts w:hint="eastAsia" w:ascii="宋体" w:hAnsi="宋体" w:eastAsia="宋体" w:cs="宋体"/>
                <w:sz w:val="24"/>
                <w:szCs w:val="24"/>
                <w:highlight w:val="none"/>
              </w:rPr>
            </w:pPr>
          </w:p>
        </w:tc>
        <w:tc>
          <w:tcPr>
            <w:tcW w:w="2136" w:type="dxa"/>
            <w:vAlign w:val="center"/>
          </w:tcPr>
          <w:p w14:paraId="6765DE7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GB/T9756-2018</w:t>
            </w:r>
          </w:p>
          <w:p w14:paraId="18B88B4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JC/T 423-1991</w:t>
            </w:r>
          </w:p>
          <w:p w14:paraId="08D9492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tc>
        <w:tc>
          <w:tcPr>
            <w:tcW w:w="3895" w:type="dxa"/>
            <w:vAlign w:val="center"/>
          </w:tcPr>
          <w:p w14:paraId="409B6A82">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标志、在容器中状态、施工性、低温稳定性(3 次循环)、低温成膜性、涂膜外观、干燥时间 (表干) 、对比率 (白色和浅色)、耐碱性 (24h) 、耐洗刷性、抗泛碱性 (48h) 、挥发性有机化合物含量(VOC)、苯、甲苯、乙苯、二甲苯总和，、游离甲醛、可溶性重金属、粘度、细度、遮盖力、白度、附着力、耐水性、耐干擦性</w:t>
            </w:r>
          </w:p>
        </w:tc>
      </w:tr>
      <w:tr w14:paraId="2A2A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671F36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6EDA1C6">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仿石型涂料</w:t>
            </w:r>
          </w:p>
        </w:tc>
        <w:tc>
          <w:tcPr>
            <w:tcW w:w="768" w:type="dxa"/>
            <w:vAlign w:val="center"/>
          </w:tcPr>
          <w:p w14:paraId="3F5CB1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AF87846">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JG/T24-2018</w:t>
            </w:r>
          </w:p>
          <w:p w14:paraId="6B2801CD">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HG/T4344-2012</w:t>
            </w:r>
          </w:p>
          <w:p w14:paraId="3FA83E6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JC/T2079-2011</w:t>
            </w:r>
          </w:p>
          <w:p w14:paraId="4AE7EDE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GB18582-2008</w:t>
            </w:r>
          </w:p>
          <w:p w14:paraId="1922D90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GB24408-2009</w:t>
            </w:r>
          </w:p>
        </w:tc>
        <w:tc>
          <w:tcPr>
            <w:tcW w:w="3895" w:type="dxa"/>
            <w:vAlign w:val="center"/>
          </w:tcPr>
          <w:p w14:paraId="19B0CD3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标志、容器中状态、施工性、低温贮存稳定性、热贮存稳定性、初期干燥抗裂性、干燥时间 (表干) 、涂膜外观、耐水性、耐碱性、耐酸雨性、柔韧性、耐冲击性、耐温变性、耐沾污性、粘结强度、耐人工老化性、挥发性有机化合物(VOC)含量、游离甲醛含量、乙二醇醚及醚酯含量总和、重金属含量、苯、甲苯、乙苯、二甲苯总和、可溶性重金属、吸水量、耐候性</w:t>
            </w:r>
          </w:p>
        </w:tc>
      </w:tr>
      <w:tr w14:paraId="2830D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44D761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F729E3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粉末涂料</w:t>
            </w:r>
          </w:p>
        </w:tc>
        <w:tc>
          <w:tcPr>
            <w:tcW w:w="768" w:type="dxa"/>
            <w:vAlign w:val="center"/>
          </w:tcPr>
          <w:p w14:paraId="0403477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2CD18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HG/T2006-2006</w:t>
            </w:r>
          </w:p>
        </w:tc>
        <w:tc>
          <w:tcPr>
            <w:tcW w:w="3895" w:type="dxa"/>
            <w:vAlign w:val="center"/>
          </w:tcPr>
          <w:p w14:paraId="628C594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标志、在容器中状态、筛余物、涂膜外观、硬度、附着力、耐冲击性、弯曲试验、杯突、耐碱性、耐酸性、耐湿热性、耐盐雾性、耐人工气候老化性、重金属</w:t>
            </w:r>
          </w:p>
        </w:tc>
      </w:tr>
      <w:tr w14:paraId="12D76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F7F95BE">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3FC9BAA">
            <w:pPr>
              <w:spacing w:before="55" w:beforeAutospacing="0" w:after="0" w:afterAutospacing="0"/>
              <w:ind w:left="71" w:right="7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外墙涂料</w:t>
            </w:r>
          </w:p>
        </w:tc>
        <w:tc>
          <w:tcPr>
            <w:tcW w:w="768" w:type="dxa"/>
            <w:vAlign w:val="center"/>
          </w:tcPr>
          <w:p w14:paraId="221E301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983748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9755-2014</w:t>
            </w:r>
          </w:p>
          <w:p w14:paraId="12A36DB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9757-2001</w:t>
            </w:r>
          </w:p>
          <w:p w14:paraId="36BD665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JG/T 172-2014</w:t>
            </w:r>
          </w:p>
          <w:p w14:paraId="6929B2C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GB24408-2009</w:t>
            </w:r>
          </w:p>
        </w:tc>
        <w:tc>
          <w:tcPr>
            <w:tcW w:w="3895" w:type="dxa"/>
            <w:vAlign w:val="center"/>
          </w:tcPr>
          <w:p w14:paraId="48B6AF8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标志、容器中状态、施工性、低温稳定性、涂膜外观、干燥时间、对比率、耐沾污性、耐洗刷性、耐碱性、耐水性、涂层耐温变性、透水性、耐人工气候老化性、挥发性有机化合物 (VOC 含量、游离甲醛含量、乙二醇醚及醚酯含量总和、重金属含量、苯含量、甲苯、乙苯和二甲苯总和，、游离二异氰酸酯(TDI 和HDI)含量总和、拉伸强度、断裂伸长率</w:t>
            </w:r>
          </w:p>
        </w:tc>
      </w:tr>
      <w:tr w14:paraId="1353D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07A8353">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415DA68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细木工板</w:t>
            </w:r>
          </w:p>
        </w:tc>
        <w:tc>
          <w:tcPr>
            <w:tcW w:w="768" w:type="dxa"/>
            <w:vAlign w:val="center"/>
          </w:tcPr>
          <w:p w14:paraId="1DA08D1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ECEA24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5849-2016</w:t>
            </w:r>
          </w:p>
          <w:p w14:paraId="2D732E7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3BF9508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含水率、横向静曲强度、浸渍剥离性能、表面胶合强度、胶合强度、甲醛释放量</w:t>
            </w:r>
          </w:p>
        </w:tc>
      </w:tr>
      <w:tr w14:paraId="28B1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D412A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1B7F91F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油漆稀释剂</w:t>
            </w:r>
          </w:p>
        </w:tc>
        <w:tc>
          <w:tcPr>
            <w:tcW w:w="768" w:type="dxa"/>
            <w:vAlign w:val="center"/>
          </w:tcPr>
          <w:p w14:paraId="7F47B02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1459F5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3378-2003</w:t>
            </w:r>
          </w:p>
          <w:p w14:paraId="0A7085E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3379-2003</w:t>
            </w:r>
          </w:p>
          <w:p w14:paraId="243FF1A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HG/T 3380-2003</w:t>
            </w:r>
          </w:p>
        </w:tc>
        <w:tc>
          <w:tcPr>
            <w:tcW w:w="3895" w:type="dxa"/>
            <w:vAlign w:val="center"/>
          </w:tcPr>
          <w:p w14:paraId="7427F858">
            <w:pPr>
              <w:spacing w:before="55" w:beforeAutospacing="0" w:after="0" w:afterAutospacing="0"/>
              <w:ind w:left="71" w:right="3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标志、颜色、外观和透明度、酸值、水分、胶凝数、白化性、溶解性、水分</w:t>
            </w:r>
          </w:p>
        </w:tc>
      </w:tr>
      <w:tr w14:paraId="756F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98F1657">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CB82B4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装饰单板贴面人造板</w:t>
            </w:r>
          </w:p>
        </w:tc>
        <w:tc>
          <w:tcPr>
            <w:tcW w:w="768" w:type="dxa"/>
            <w:vAlign w:val="center"/>
          </w:tcPr>
          <w:p w14:paraId="39A47F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5B67AB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15104-2006</w:t>
            </w:r>
          </w:p>
          <w:p w14:paraId="22EE9B6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GB18580-2017</w:t>
            </w:r>
          </w:p>
        </w:tc>
        <w:tc>
          <w:tcPr>
            <w:tcW w:w="3895" w:type="dxa"/>
            <w:vAlign w:val="center"/>
          </w:tcPr>
          <w:p w14:paraId="5282F5CA">
            <w:pPr>
              <w:spacing w:before="55" w:beforeAutospacing="0" w:after="0" w:afterAutospacing="0"/>
              <w:ind w:left="71" w:right="0" w:hanging="56"/>
              <w:rPr>
                <w:rFonts w:hint="eastAsia" w:ascii="宋体" w:hAnsi="宋体" w:eastAsia="宋体" w:cs="宋体"/>
                <w:sz w:val="24"/>
                <w:szCs w:val="24"/>
                <w:highlight w:val="none"/>
              </w:rPr>
            </w:pPr>
          </w:p>
          <w:p w14:paraId="77783D11">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含水率、浸渍剥离试验、表面胶合强度、冷热循环试验、甲醛释放量</w:t>
            </w:r>
          </w:p>
        </w:tc>
      </w:tr>
      <w:tr w14:paraId="2017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EFB92E0">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E326EB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扳手</w:t>
            </w:r>
          </w:p>
        </w:tc>
        <w:tc>
          <w:tcPr>
            <w:tcW w:w="768" w:type="dxa"/>
            <w:vAlign w:val="center"/>
          </w:tcPr>
          <w:p w14:paraId="19DF28E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F8E3989">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3390.1-2013</w:t>
            </w:r>
          </w:p>
          <w:p w14:paraId="69C489E2">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3390.2-2013</w:t>
            </w:r>
          </w:p>
          <w:p w14:paraId="67F51A64">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3390.3-2013</w:t>
            </w:r>
          </w:p>
          <w:p w14:paraId="18DB8C49">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3390.4-2013</w:t>
            </w:r>
          </w:p>
          <w:p w14:paraId="218403E0">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4393-2008</w:t>
            </w:r>
          </w:p>
          <w:p w14:paraId="4A717CAD">
            <w:pPr>
              <w:spacing w:before="55" w:beforeAutospacing="0" w:after="0" w:afterAutospacing="0"/>
              <w:ind w:left="71" w:right="49"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4440-2008</w:t>
            </w:r>
          </w:p>
        </w:tc>
        <w:tc>
          <w:tcPr>
            <w:tcW w:w="3895" w:type="dxa"/>
            <w:vAlign w:val="center"/>
          </w:tcPr>
          <w:p w14:paraId="6ACC5388">
            <w:pPr>
              <w:spacing w:before="55" w:beforeAutospacing="0" w:after="0" w:afterAutospacing="0"/>
              <w:ind w:left="71" w:right="0" w:hanging="56"/>
              <w:rPr>
                <w:rFonts w:hint="eastAsia" w:ascii="宋体" w:hAnsi="宋体" w:eastAsia="宋体" w:cs="宋体"/>
                <w:sz w:val="24"/>
                <w:szCs w:val="24"/>
                <w:highlight w:val="none"/>
              </w:rPr>
            </w:pPr>
          </w:p>
          <w:p w14:paraId="02C75CF2">
            <w:pPr>
              <w:spacing w:before="55" w:beforeAutospacing="0" w:after="0" w:afterAutospacing="0"/>
              <w:ind w:left="71" w:right="97" w:hanging="56"/>
              <w:rPr>
                <w:rFonts w:hint="eastAsia" w:ascii="宋体" w:hAnsi="宋体" w:eastAsia="宋体" w:cs="宋体"/>
                <w:sz w:val="24"/>
                <w:szCs w:val="24"/>
                <w:highlight w:val="none"/>
              </w:rPr>
            </w:pPr>
            <w:r>
              <w:rPr>
                <w:rFonts w:hint="eastAsia" w:ascii="宋体" w:hAnsi="宋体" w:eastAsia="宋体" w:cs="宋体"/>
                <w:sz w:val="24"/>
                <w:szCs w:val="24"/>
                <w:highlight w:val="none"/>
              </w:rPr>
              <w:t>表面质量、外表面处理、开口和孔的精度、硬度、扭矩、装配性能、结合性能、操作性能</w:t>
            </w:r>
          </w:p>
        </w:tc>
      </w:tr>
      <w:tr w14:paraId="72551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461264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p w14:paraId="395DFE71">
            <w:pPr>
              <w:spacing w:before="0" w:beforeAutospacing="0" w:after="0" w:afterAutospacing="0"/>
              <w:ind w:left="0" w:right="0"/>
              <w:rPr>
                <w:rFonts w:hint="eastAsia" w:ascii="宋体" w:hAnsi="宋体" w:eastAsia="宋体" w:cs="宋体"/>
                <w:sz w:val="24"/>
                <w:szCs w:val="24"/>
                <w:highlight w:val="none"/>
              </w:rPr>
            </w:pPr>
          </w:p>
        </w:tc>
        <w:tc>
          <w:tcPr>
            <w:tcW w:w="936" w:type="dxa"/>
            <w:vAlign w:val="center"/>
          </w:tcPr>
          <w:p w14:paraId="53AD30C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电线电缆</w:t>
            </w:r>
          </w:p>
        </w:tc>
        <w:tc>
          <w:tcPr>
            <w:tcW w:w="768" w:type="dxa"/>
            <w:vAlign w:val="center"/>
          </w:tcPr>
          <w:p w14:paraId="4B87237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215363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GB/T5023.1-2008额定电压 450/750V 及以下聚氯乙烯绝缘电缆第 1 部分：一般要求</w:t>
            </w:r>
          </w:p>
          <w:p w14:paraId="3AECA3C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GB/T5023.2-2008 额定电压 450/750V 及以下聚氯乙烯绝缘电缆第 2 部分：试验方法</w:t>
            </w:r>
          </w:p>
          <w:p w14:paraId="0C86EEB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GB/T5023.3-2008额定电压 450/750V 及以下聚氯乙烯绝缘电缆第 3 部分：固定布线用无护套电缆</w:t>
            </w:r>
          </w:p>
          <w:p w14:paraId="34B170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GB/T5023.4-2008额定电压 450/750V 及以下聚氯乙烯绝缘电缆第 4 部分：固定布线用护套电缆</w:t>
            </w:r>
          </w:p>
          <w:p w14:paraId="3744647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GB/T5023.5-2008额定电压 450/750V 及以下聚氯乙烯绝缘电缆第 5 部分：软电缆</w:t>
            </w:r>
            <w:r>
              <w:rPr>
                <w:rFonts w:hint="eastAsia" w:ascii="宋体" w:hAnsi="宋体" w:eastAsia="宋体" w:cs="宋体"/>
                <w:sz w:val="24"/>
                <w:szCs w:val="24"/>
                <w:highlight w:val="none"/>
              </w:rPr>
              <w:tab/>
            </w:r>
            <w:r>
              <w:rPr>
                <w:rFonts w:hint="eastAsia" w:ascii="宋体" w:hAnsi="宋体" w:eastAsia="宋体" w:cs="宋体"/>
                <w:sz w:val="24"/>
                <w:szCs w:val="24"/>
                <w:highlight w:val="none"/>
              </w:rPr>
              <w:t>(软线)</w:t>
            </w:r>
          </w:p>
          <w:p w14:paraId="3F42C8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GB/T5023.6-2006 额定电压 450/750V 及以下聚氯乙烯绝缘电缆第 6 部分：电梯电缆和挠性连接用电缆</w:t>
            </w:r>
          </w:p>
          <w:p w14:paraId="40ACAF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8734.1-2016  额定电压 450/750V 及以下聚氯乙烯绝缘电缆电线和软线第 1 部分：一般要求</w:t>
            </w:r>
          </w:p>
          <w:p w14:paraId="6EC48BB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8734.2-2016  额定电压 450/750V 及以下聚氯乙烯绝缘电缆电线和软线第 2 部分：固定布线用电缆电线   JB/T 8734.3-2016  额定电压 450/750V 及以下聚氯乙烯绝缘电缆电线和软线第 3 部分：连接用软电线和软电缆 JB/T 8734.4-2016  额定电压 450/750V 及以下聚氯乙烯绝缘电缆电线和软线第 4 部分：安装用电线</w:t>
            </w:r>
          </w:p>
          <w:p w14:paraId="558B7C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8734.5-2016  额定电压 450/750V 及以下聚氯乙烯绝缘电缆电线和软线第 5 部分：屏蔽电线</w:t>
            </w:r>
          </w:p>
          <w:p w14:paraId="6E65E2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JB/T 8734.6-2016  额定电压 450/750V 及以下聚氯乙烯绝缘电缆电线和软线第 6 部分：电梯电缆</w:t>
            </w:r>
          </w:p>
          <w:p w14:paraId="5563452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3C80CD5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标签检查、标志检查、绝缘线芯识别、结构检查、屏蔽、导体电阻、成品电缆电压试验、绝缘线芯电压试验、绝缘电阻、绝缘平均厚度、绝缘最薄处厚度、内护层厚度、护套平均厚度、护套最薄处厚度、平均外形尺寸、椭圆度、绝缘机械性能、绝缘失重试验、绝缘热冲击试验、绝缘高温压力试验、绝缘低温弯曲试验、绝缘低温拉伸试验、绝缘热稳定性试验、绝缘热收缩试验、绝缘线芯撕离试验、护套机械性能、护套失重试验、护套热冲击试验、护套高温压力试验、护套低温弯曲试验、护套低温拉伸试验、低温冲击试验、护套 200℃时最低热稳定性、绝缘非污染试验后机械性能、护套非污染试验后机械性能、弯曲试验、荷重断芯试验、曲挠试验、静态曲挠试验、承拉元件的抗拉强度、不延燃试验</w:t>
            </w:r>
          </w:p>
        </w:tc>
      </w:tr>
      <w:tr w14:paraId="2BBCF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2C3F86D">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p w14:paraId="057AD131">
            <w:pPr>
              <w:spacing w:before="0" w:beforeAutospacing="0" w:after="0" w:afterAutospacing="0"/>
              <w:ind w:left="0" w:right="0"/>
              <w:rPr>
                <w:rFonts w:hint="eastAsia" w:ascii="宋体" w:hAnsi="宋体" w:eastAsia="宋体" w:cs="宋体"/>
                <w:sz w:val="24"/>
                <w:szCs w:val="24"/>
                <w:highlight w:val="none"/>
              </w:rPr>
            </w:pPr>
          </w:p>
        </w:tc>
        <w:tc>
          <w:tcPr>
            <w:tcW w:w="936" w:type="dxa"/>
            <w:vAlign w:val="center"/>
          </w:tcPr>
          <w:p w14:paraId="4F1FFF49">
            <w:pPr>
              <w:spacing w:before="55" w:beforeAutospacing="0" w:after="0" w:afterAutospacing="0"/>
              <w:ind w:left="71" w:right="72" w:hanging="56"/>
              <w:rPr>
                <w:rFonts w:hint="eastAsia" w:ascii="宋体" w:hAnsi="宋体" w:eastAsia="宋体" w:cs="宋体"/>
                <w:sz w:val="24"/>
                <w:szCs w:val="24"/>
                <w:highlight w:val="none"/>
              </w:rPr>
            </w:pPr>
            <w:r>
              <w:rPr>
                <w:rFonts w:hint="eastAsia" w:ascii="宋体" w:hAnsi="宋体" w:eastAsia="宋体" w:cs="宋体"/>
                <w:sz w:val="24"/>
                <w:szCs w:val="24"/>
                <w:highlight w:val="none"/>
              </w:rPr>
              <w:t>钳类工具</w:t>
            </w:r>
          </w:p>
        </w:tc>
        <w:tc>
          <w:tcPr>
            <w:tcW w:w="768" w:type="dxa"/>
            <w:vAlign w:val="center"/>
          </w:tcPr>
          <w:p w14:paraId="703411E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42B75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6290-2013</w:t>
            </w:r>
          </w:p>
          <w:p w14:paraId="2F384D3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2440.1-2007</w:t>
            </w:r>
          </w:p>
          <w:p w14:paraId="6F167B0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2440.4-2007</w:t>
            </w:r>
          </w:p>
          <w:p w14:paraId="53D1BA1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2441.1-2007</w:t>
            </w:r>
          </w:p>
          <w:p w14:paraId="7362F86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2442.1-2007</w:t>
            </w:r>
          </w:p>
          <w:p w14:paraId="6A81723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2442.3-2007</w:t>
            </w:r>
          </w:p>
          <w:p w14:paraId="0CF6714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2442.4-2007</w:t>
            </w:r>
          </w:p>
        </w:tc>
        <w:tc>
          <w:tcPr>
            <w:tcW w:w="3895" w:type="dxa"/>
            <w:vAlign w:val="center"/>
          </w:tcPr>
          <w:p w14:paraId="1820E2FE">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使用性能、嘴顶缝隙、刃口缝隙、嘴顶偏摆量、装配精度、剪切有色金属丝试验、硬度、剪切性能试验、抗弯强度试验、扭力试验</w:t>
            </w:r>
          </w:p>
        </w:tc>
      </w:tr>
      <w:tr w14:paraId="3F08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103D14">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AD7EBD9">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照明开关</w:t>
            </w:r>
          </w:p>
        </w:tc>
        <w:tc>
          <w:tcPr>
            <w:tcW w:w="768" w:type="dxa"/>
            <w:vAlign w:val="center"/>
          </w:tcPr>
          <w:p w14:paraId="1ADA293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5E1353">
            <w:pPr>
              <w:spacing w:before="55" w:beforeAutospacing="0" w:after="0" w:afterAutospacing="0"/>
              <w:ind w:left="71" w:right="84"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16915.1-2014   家用和类似用途固定式电气装置的开关第 1 部分：通用要求</w:t>
            </w:r>
          </w:p>
          <w:p w14:paraId="4D2CE88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5453469D">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触电保护、接地措施、端子、结构要求、开关机构、耐老化、开关外壳提供的防护和防潮、绝缘电阻和电气强度、温升、通断能力、正常操作、机械强度、耐热、螺钉、载流部件和连接、爬电距离、电气间隙和穿通密封胶距离、绝缘材料的耐非正常热、耐燃和耐电痕化</w:t>
            </w:r>
          </w:p>
        </w:tc>
      </w:tr>
      <w:tr w14:paraId="67D5B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5B94F5B">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62D48B2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钢管</w:t>
            </w:r>
          </w:p>
          <w:p w14:paraId="34B547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脚手</w:t>
            </w:r>
          </w:p>
          <w:p w14:paraId="3DAC4C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架扣</w:t>
            </w:r>
          </w:p>
          <w:p w14:paraId="03679DA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件</w:t>
            </w:r>
          </w:p>
        </w:tc>
        <w:tc>
          <w:tcPr>
            <w:tcW w:w="768" w:type="dxa"/>
            <w:vAlign w:val="center"/>
          </w:tcPr>
          <w:p w14:paraId="45EDAA3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3CDC9805">
            <w:pPr>
              <w:spacing w:before="55" w:beforeAutospacing="0" w:after="0" w:afterAutospacing="0"/>
              <w:ind w:left="71" w:right="0" w:hanging="56"/>
              <w:rPr>
                <w:rFonts w:hint="eastAsia" w:ascii="宋体" w:hAnsi="宋体" w:eastAsia="宋体" w:cs="宋体"/>
                <w:sz w:val="24"/>
                <w:szCs w:val="24"/>
                <w:highlight w:val="none"/>
              </w:rPr>
            </w:pPr>
          </w:p>
          <w:p w14:paraId="216C4EDE">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15831－2006</w:t>
            </w:r>
          </w:p>
        </w:tc>
        <w:tc>
          <w:tcPr>
            <w:tcW w:w="3895" w:type="dxa"/>
            <w:vAlign w:val="center"/>
          </w:tcPr>
          <w:p w14:paraId="2786C4DC">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型号、商标、生产年号、裂纹、盖板与座间张开距、抗滑、抗破坏、扭转刚度、抗拉</w:t>
            </w:r>
          </w:p>
        </w:tc>
      </w:tr>
      <w:tr w14:paraId="0C39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FD6042F">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77402D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高强度螺栓连接副</w:t>
            </w:r>
          </w:p>
        </w:tc>
        <w:tc>
          <w:tcPr>
            <w:tcW w:w="768" w:type="dxa"/>
            <w:vAlign w:val="center"/>
          </w:tcPr>
          <w:p w14:paraId="44761D0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D42625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GB/T1228-2006</w:t>
            </w:r>
          </w:p>
          <w:p w14:paraId="6E9EDB4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GB/T1229-2006</w:t>
            </w:r>
          </w:p>
          <w:p w14:paraId="5C94658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GB/T1230-2006</w:t>
            </w:r>
          </w:p>
          <w:p w14:paraId="66C01D3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GB/T1231-2006</w:t>
            </w:r>
          </w:p>
          <w:p w14:paraId="30B55FE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GB/T3632-2008</w:t>
            </w:r>
          </w:p>
        </w:tc>
        <w:tc>
          <w:tcPr>
            <w:tcW w:w="3895" w:type="dxa"/>
            <w:vAlign w:val="center"/>
          </w:tcPr>
          <w:p w14:paraId="6DF41B9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螺栓尺寸、螺母尺寸、垫圈尺寸、机械性能、连接副的扭矩系数、连接副紧固轴力、螺栓、螺母、垫圈的材料化学成分</w:t>
            </w:r>
          </w:p>
        </w:tc>
      </w:tr>
      <w:tr w14:paraId="251A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2DEFBD9">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8276332">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螺钉旋具</w:t>
            </w:r>
          </w:p>
        </w:tc>
        <w:tc>
          <w:tcPr>
            <w:tcW w:w="768" w:type="dxa"/>
            <w:vAlign w:val="center"/>
          </w:tcPr>
          <w:p w14:paraId="34CCEC4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0A91E5D">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10635-2013</w:t>
            </w:r>
          </w:p>
          <w:p w14:paraId="47130DD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2564.2-2012</w:t>
            </w:r>
          </w:p>
          <w:p w14:paraId="2510ADB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2564.3-2012</w:t>
            </w:r>
          </w:p>
          <w:p w14:paraId="41079EC5">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2564.4-2012</w:t>
            </w:r>
          </w:p>
          <w:p w14:paraId="025E206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2564 5-2012</w:t>
            </w:r>
          </w:p>
        </w:tc>
        <w:tc>
          <w:tcPr>
            <w:tcW w:w="3895" w:type="dxa"/>
            <w:vAlign w:val="center"/>
          </w:tcPr>
          <w:p w14:paraId="4AC666BB">
            <w:pPr>
              <w:spacing w:before="55" w:beforeAutospacing="0" w:after="0" w:afterAutospacing="0"/>
              <w:ind w:left="71" w:right="3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旋柄质量、旋杆质量、旋杆的表面处理、工作部偏斜、尺寸、旋杆硬度、连接强度、扭矩、磁性、垂直度</w:t>
            </w:r>
          </w:p>
        </w:tc>
      </w:tr>
      <w:tr w14:paraId="6D17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AF51CAC">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2215BE4C">
            <w:pPr>
              <w:spacing w:before="55" w:beforeAutospacing="0" w:after="0" w:afterAutospacing="0"/>
              <w:ind w:left="71" w:right="7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通用阀门</w:t>
            </w:r>
          </w:p>
        </w:tc>
        <w:tc>
          <w:tcPr>
            <w:tcW w:w="768" w:type="dxa"/>
            <w:vAlign w:val="center"/>
          </w:tcPr>
          <w:p w14:paraId="6DB092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2F230A89">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4213-2008</w:t>
            </w:r>
          </w:p>
          <w:p w14:paraId="57989A0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12232-2005</w:t>
            </w:r>
          </w:p>
          <w:p w14:paraId="23CDF2C7">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12233-2006</w:t>
            </w:r>
          </w:p>
          <w:p w14:paraId="27D797C8">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12234-2007</w:t>
            </w:r>
          </w:p>
          <w:p w14:paraId="7714F90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12235-2007</w:t>
            </w:r>
          </w:p>
          <w:p w14:paraId="11F971C2">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12236-2008</w:t>
            </w:r>
          </w:p>
          <w:p w14:paraId="33299454">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12237-2007</w:t>
            </w:r>
          </w:p>
          <w:p w14:paraId="37038B2F">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12238-2008</w:t>
            </w:r>
          </w:p>
          <w:p w14:paraId="3F89DF1C">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JB/T 7746-2006</w:t>
            </w:r>
          </w:p>
        </w:tc>
        <w:tc>
          <w:tcPr>
            <w:tcW w:w="3895" w:type="dxa"/>
            <w:vAlign w:val="center"/>
          </w:tcPr>
          <w:p w14:paraId="159753E0">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耐压强度、  (壳体试验) ；填料函及其他连接处的密封性、气室密封性；泄漏量试验；壳体最小壁厚；额定行程偏差；基本误差；回差；死区；始终点偏差；连接尺寸；外观质量；标志铭牌；密封试验；上密封试验阀座(通道、流道)最小直径；阀杆最小直径；启闭动作；</w:t>
            </w:r>
          </w:p>
        </w:tc>
      </w:tr>
      <w:tr w14:paraId="7124F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7A38037">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088B16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LED模块用电子控制装置</w:t>
            </w:r>
          </w:p>
        </w:tc>
        <w:tc>
          <w:tcPr>
            <w:tcW w:w="768" w:type="dxa"/>
            <w:vAlign w:val="center"/>
          </w:tcPr>
          <w:p w14:paraId="7EFCB38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0B6C7341">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19510.1-2009     灯的控制装置第 1 部分：一般要求和安全要求</w:t>
            </w:r>
          </w:p>
          <w:p w14:paraId="2FF33530">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GB19510.14-2009    灯的控制装置第 14 部分：LED 模块用直流或交流电子控制装置的特殊要求</w:t>
            </w:r>
          </w:p>
          <w:p w14:paraId="053F694B">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6A9103F3">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非安全特低电压(SELV)输出的 LED 模块用电子控制装置：</w:t>
            </w:r>
          </w:p>
          <w:p w14:paraId="39CA80F5">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标志、防止意外接触带电部件的措施、接线端子、保护接地装置、防潮与绝缘、介电强度、结构、爬电距离和电气间隙、螺钉、载流部件及连接件、异常状态、耐热、防火和耐漏电起痕、耐腐蚀</w:t>
            </w:r>
          </w:p>
          <w:p w14:paraId="5084321A">
            <w:pPr>
              <w:spacing w:before="55" w:beforeAutospacing="0" w:after="0" w:afterAutospacing="0"/>
              <w:ind w:left="71" w:right="0"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安全特低电压(SELV)输出的 LED 模块用电子控制装置：</w:t>
            </w:r>
          </w:p>
          <w:p w14:paraId="6BE8BE0F">
            <w:pPr>
              <w:spacing w:before="55" w:beforeAutospacing="0" w:after="0" w:afterAutospacing="0"/>
              <w:ind w:left="71" w:right="12"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防止意外接触带电部件的措施、接线端子、保护接地装置、防潮与绝缘、介电强度、结构、爬电距离和电气间隙、螺钉、载流部件及连接件、防电击保护措施、加热、零部件、异常状态、耐热、防火和耐漏电起痕、耐腐蚀、短路与过载保护</w:t>
            </w:r>
          </w:p>
        </w:tc>
      </w:tr>
      <w:tr w14:paraId="6B60E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EE925B1">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96099E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w:t>
            </w:r>
          </w:p>
        </w:tc>
        <w:tc>
          <w:tcPr>
            <w:tcW w:w="768" w:type="dxa"/>
            <w:vAlign w:val="center"/>
          </w:tcPr>
          <w:p w14:paraId="12AA71F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26C5C2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GB7000.1-2015     《灯具：第 1 部分一般要求与试验》 GB 7000.201-2008   《灯具第 2-1 部分：特殊要求固定式通用灯具》</w:t>
            </w:r>
          </w:p>
          <w:p w14:paraId="539A656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7000.202-2008   《灯具第 2-2 部分：特殊要求嵌入式灯具》</w:t>
            </w:r>
          </w:p>
          <w:p w14:paraId="35CC068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7000.204-2008   《灯具第 2-4 部分：特殊要求可移式通用灯具》</w:t>
            </w:r>
          </w:p>
          <w:p w14:paraId="1797C51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7000.213-2008   《灯具第 2-13 部分：特殊要求地面嵌入式灯具》</w:t>
            </w:r>
          </w:p>
          <w:p w14:paraId="7252148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    《电气照明和类似设备的无线电骚扰特性的限值和测量方法》</w:t>
            </w:r>
          </w:p>
          <w:p w14:paraId="382C2E3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17625.1-2012    《电磁兼容限值谐波电流发射限值(设备每相输入电流≤16A)》</w:t>
            </w:r>
          </w:p>
          <w:p w14:paraId="593A3B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产品明示质量指标及国家法律、法规、规章的有关规定</w:t>
            </w:r>
          </w:p>
        </w:tc>
        <w:tc>
          <w:tcPr>
            <w:tcW w:w="3895" w:type="dxa"/>
            <w:vAlign w:val="center"/>
          </w:tcPr>
          <w:p w14:paraId="6ECD20B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w:t>
            </w:r>
          </w:p>
          <w:p w14:paraId="2B3372E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部接线和内部接线、防触电保护、耐久性试验和热试验、防尘、防水和防固体异物、绝缘电阻和电气强度、接触电流和保护导体电流、耐热、耐火和耐起痕、插入损耗、骚扰电压、辐射电磁骚扰、谐波电流</w:t>
            </w:r>
          </w:p>
        </w:tc>
      </w:tr>
      <w:tr w14:paraId="7C7B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7158DA2">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7AC1751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儿童灯具</w:t>
            </w:r>
          </w:p>
        </w:tc>
        <w:tc>
          <w:tcPr>
            <w:tcW w:w="768" w:type="dxa"/>
            <w:vAlign w:val="center"/>
          </w:tcPr>
          <w:p w14:paraId="5B45291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89455B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7000.1-2015 《灯具第 1 部分:一般要求与试验》</w:t>
            </w:r>
          </w:p>
          <w:p w14:paraId="5A3E964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GB7000.4-2007</w:t>
            </w:r>
          </w:p>
          <w:p w14:paraId="2085853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2-10 部分:特殊要求儿童用可移式灯具》</w:t>
            </w:r>
          </w:p>
          <w:p w14:paraId="7DD5892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 《电气照明和类似设备的无线电骚扰特性的限值和测量方法》</w:t>
            </w:r>
          </w:p>
          <w:p w14:paraId="2F41421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17625.1-2012 《电磁兼容限值谐波电流发射限值(设备每相输入电流≤16A)》</w:t>
            </w:r>
          </w:p>
        </w:tc>
        <w:tc>
          <w:tcPr>
            <w:tcW w:w="3895" w:type="dxa"/>
            <w:vAlign w:val="center"/>
          </w:tcPr>
          <w:p w14:paraId="7DB1543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部接线和内部接线，防触电保护，耐久性试验和热试验，防尘和防潮，绝缘电阻和电气强度、接触电流和保护导体电流，耐热、耐火和耐电痕，插入损耗，骚扰电压，辐射电磁骚扰，谐波电流</w:t>
            </w:r>
          </w:p>
        </w:tc>
      </w:tr>
      <w:tr w14:paraId="350F5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9A395BC">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35F086E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卫生间附属配件</w:t>
            </w:r>
          </w:p>
        </w:tc>
        <w:tc>
          <w:tcPr>
            <w:tcW w:w="768" w:type="dxa"/>
            <w:vAlign w:val="center"/>
          </w:tcPr>
          <w:p w14:paraId="6EA137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4C2CED4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QB/T1560-2017</w:t>
            </w:r>
          </w:p>
        </w:tc>
        <w:tc>
          <w:tcPr>
            <w:tcW w:w="3895" w:type="dxa"/>
            <w:vAlign w:val="center"/>
          </w:tcPr>
          <w:p w14:paraId="437E8AA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产品外观要求、浴帘杆要求、浴缸拉手要求、毛巾架和电热毛巾架要求、浴巾架要求、毛巾环要求、皂盒要求、手纸架要求、衣钩要求、镜夹要求、便刷要求、杯架要求、化妆架要求、电吹风座要求、伸缩晾衣绳要求、牙刷杯架要求、置物架要求、皂液器给皂量误差、皂液器使用性能、皂液器机械强度、涂、镀层附着强度、表面耐腐蚀性能</w:t>
            </w:r>
          </w:p>
        </w:tc>
      </w:tr>
      <w:tr w14:paraId="64F3D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B59F30A">
            <w:pPr>
              <w:pStyle w:val="636"/>
              <w:numPr>
                <w:ilvl w:val="0"/>
                <w:numId w:val="5"/>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936" w:type="dxa"/>
            <w:vAlign w:val="center"/>
          </w:tcPr>
          <w:p w14:paraId="5234E78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卫生洁具软管</w:t>
            </w:r>
          </w:p>
        </w:tc>
        <w:tc>
          <w:tcPr>
            <w:tcW w:w="768" w:type="dxa"/>
            <w:vAlign w:val="center"/>
          </w:tcPr>
          <w:p w14:paraId="6FFF07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F4EB3B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GB/T23448-2009</w:t>
            </w:r>
          </w:p>
        </w:tc>
        <w:tc>
          <w:tcPr>
            <w:tcW w:w="3895" w:type="dxa"/>
            <w:vAlign w:val="center"/>
          </w:tcPr>
          <w:p w14:paraId="383E52D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标识、尺寸、螺纹连接、外观、耐腐蚀性能、耐老化性、密封性、耐压性、抗拉伸性、抗脉冲性、抗弯曲性、耐冷热循环性</w:t>
            </w:r>
          </w:p>
        </w:tc>
      </w:tr>
      <w:tr w14:paraId="32963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7DE9794C">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center"/>
          </w:tcPr>
          <w:p w14:paraId="045AB19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灯具(LED 灯)</w:t>
            </w:r>
          </w:p>
        </w:tc>
        <w:tc>
          <w:tcPr>
            <w:tcW w:w="768" w:type="dxa"/>
            <w:vAlign w:val="center"/>
          </w:tcPr>
          <w:p w14:paraId="21E1E9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C933BE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GB7000.1-2015</w:t>
            </w:r>
          </w:p>
          <w:p w14:paraId="17CF465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1 部分:一般要求与试验》</w:t>
            </w:r>
          </w:p>
          <w:p w14:paraId="0053660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GB7000.201-2008</w:t>
            </w:r>
          </w:p>
          <w:p w14:paraId="494953C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2-1 部分:特殊要求固定式通用灯具》</w:t>
            </w:r>
          </w:p>
          <w:p w14:paraId="44D1F66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GB7000.202-2008</w:t>
            </w:r>
          </w:p>
          <w:p w14:paraId="2F16D98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2-2 部分:特殊要求嵌入式灯具》</w:t>
            </w:r>
          </w:p>
          <w:p w14:paraId="2D41F53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GB7000.204-2008</w:t>
            </w:r>
          </w:p>
          <w:p w14:paraId="3725A00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《灯具第 2-4 部分:特殊要求可移式通用灯具》</w:t>
            </w:r>
          </w:p>
          <w:p w14:paraId="0FC894C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17743-2017</w:t>
            </w:r>
          </w:p>
          <w:p w14:paraId="6874F6E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《电气照明和类似设备的无线电骚扰特性的限值和测量方法》</w:t>
            </w:r>
          </w:p>
          <w:p w14:paraId="5A9F6A1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GB17625.1-2012</w:t>
            </w:r>
          </w:p>
          <w:p w14:paraId="2A89EED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《电磁兼容限值谐波电流发射限值(设备每相输入电流≤16A)》</w:t>
            </w:r>
          </w:p>
        </w:tc>
        <w:tc>
          <w:tcPr>
            <w:tcW w:w="3895" w:type="dxa"/>
            <w:vAlign w:val="center"/>
          </w:tcPr>
          <w:p w14:paraId="1C954F2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标记，结构，爬电距离和电气间隙，接地规定，接线端子，外</w:t>
            </w:r>
          </w:p>
          <w:p w14:paraId="1B2EF62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部接线和内部接线，防触电保护，耐久性试验和热试验，防尘、防水和防固体异物，绝缘电阻和电气强度、接触电流和保护导体电流，耐热、耐火和耐电痕，插入损耗，骚扰电压，辐射电磁骚扰，谐波电流</w:t>
            </w:r>
          </w:p>
        </w:tc>
      </w:tr>
      <w:tr w14:paraId="27DE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1E8F52ED">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restart"/>
            <w:vAlign w:val="center"/>
          </w:tcPr>
          <w:p w14:paraId="4F0BDD0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开关插座</w:t>
            </w:r>
          </w:p>
        </w:tc>
        <w:tc>
          <w:tcPr>
            <w:tcW w:w="768" w:type="dxa"/>
            <w:vMerge w:val="restart"/>
            <w:vAlign w:val="center"/>
          </w:tcPr>
          <w:p w14:paraId="16EE232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61D40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16915.1-2014</w:t>
            </w:r>
          </w:p>
          <w:p w14:paraId="2ADCE29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《家用和类似用途固定式电气装置的开关第 1 部分:通用要求》</w:t>
            </w:r>
          </w:p>
        </w:tc>
        <w:tc>
          <w:tcPr>
            <w:tcW w:w="3895" w:type="dxa"/>
            <w:vAlign w:val="center"/>
          </w:tcPr>
          <w:p w14:paraId="7A79C10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 防触电保护, 接地措施, 端子, 结构要求, 开关机构,耐老化、开关外壳提供的防护和防潮, 绝缘电阻和电气强度,温升, 通断能力, 正常操作, 机械强度, 耐热, 螺钉、载流部件和连接, 爬电距离、电气间隙和穿通密封胶距离, 绝缘材料的耐非正常热、耐燃和耐电痕化</w:t>
            </w:r>
          </w:p>
        </w:tc>
      </w:tr>
      <w:tr w14:paraId="6878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6D37F651">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continue"/>
            <w:vAlign w:val="center"/>
          </w:tcPr>
          <w:p w14:paraId="381CD464">
            <w:pPr>
              <w:spacing w:before="55" w:beforeAutospacing="0" w:after="0" w:afterAutospacing="0"/>
              <w:ind w:left="71" w:right="11" w:hanging="56"/>
              <w:rPr>
                <w:rFonts w:hint="eastAsia" w:ascii="宋体" w:hAnsi="宋体" w:eastAsia="宋体" w:cs="宋体"/>
                <w:sz w:val="24"/>
                <w:szCs w:val="24"/>
                <w:highlight w:val="none"/>
              </w:rPr>
            </w:pPr>
          </w:p>
        </w:tc>
        <w:tc>
          <w:tcPr>
            <w:tcW w:w="768" w:type="dxa"/>
            <w:vMerge w:val="continue"/>
            <w:vAlign w:val="center"/>
          </w:tcPr>
          <w:p w14:paraId="7A714A27">
            <w:pPr>
              <w:spacing w:before="55" w:beforeAutospacing="0" w:after="0" w:afterAutospacing="0"/>
              <w:ind w:left="71" w:right="11" w:hanging="56"/>
              <w:rPr>
                <w:rFonts w:hint="eastAsia" w:ascii="宋体" w:hAnsi="宋体" w:eastAsia="宋体" w:cs="宋体"/>
                <w:sz w:val="24"/>
                <w:szCs w:val="24"/>
                <w:highlight w:val="none"/>
              </w:rPr>
            </w:pPr>
          </w:p>
        </w:tc>
        <w:tc>
          <w:tcPr>
            <w:tcW w:w="2136" w:type="dxa"/>
            <w:vAlign w:val="center"/>
          </w:tcPr>
          <w:p w14:paraId="0EF174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2099.1-2008</w:t>
            </w:r>
          </w:p>
          <w:p w14:paraId="13A4ABD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《家用和类似用途插头插座第 1 部分:通用要求》；</w:t>
            </w:r>
          </w:p>
          <w:p w14:paraId="0A8A7D2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1002-2008《家用和类似用途单相插头插座型式、基本参数和尺寸》</w:t>
            </w:r>
          </w:p>
        </w:tc>
        <w:tc>
          <w:tcPr>
            <w:tcW w:w="3895" w:type="dxa"/>
            <w:vAlign w:val="center"/>
          </w:tcPr>
          <w:p w14:paraId="0D7F374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尺寸检查，防触电保护，接地措施，端子和端头，固定式插座的结构，耐老化、由外壳提供的防护和防潮，绝缘电阻和电气强度，温升，分断容量，正常操作，拔出插头所需的力，机械强度，耐热，螺钉、载流部件及其连接，爬电距离、电气间隙和通过密封胶的距离，绝缘材料的耐非正常热、耐燃和耐电痕化</w:t>
            </w:r>
          </w:p>
        </w:tc>
      </w:tr>
      <w:tr w14:paraId="4648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62199C">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center"/>
          </w:tcPr>
          <w:p w14:paraId="1D10BD5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强化地板</w:t>
            </w:r>
          </w:p>
        </w:tc>
        <w:tc>
          <w:tcPr>
            <w:tcW w:w="768" w:type="dxa"/>
            <w:vAlign w:val="center"/>
          </w:tcPr>
          <w:p w14:paraId="066EDF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2136" w:type="dxa"/>
            <w:vAlign w:val="center"/>
          </w:tcPr>
          <w:p w14:paraId="7542A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GB/T18102-2007 《浸渍纸层压木质地板》</w:t>
            </w:r>
          </w:p>
          <w:p w14:paraId="54261B8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LY/T 1859-2009 《仿古木质地板</w:t>
            </w:r>
          </w:p>
          <w:p w14:paraId="71F23A0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18580-2017 《室内装饰装修材料人造板及其制品中甲醛释放限量》</w:t>
            </w:r>
          </w:p>
        </w:tc>
        <w:tc>
          <w:tcPr>
            <w:tcW w:w="3895" w:type="dxa"/>
            <w:vAlign w:val="center"/>
          </w:tcPr>
          <w:p w14:paraId="0AB81E4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静曲强度、内结合强度、含水率、吸水厚度膨胀率、表面胶合强度、表面耐磨、甲醛释放量</w:t>
            </w:r>
          </w:p>
        </w:tc>
      </w:tr>
      <w:tr w14:paraId="3223E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3C8BB7C2">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76A5C3B3">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热轧带肋钢筋</w:t>
            </w:r>
          </w:p>
        </w:tc>
        <w:tc>
          <w:tcPr>
            <w:tcW w:w="768" w:type="dxa"/>
            <w:vAlign w:val="top"/>
          </w:tcPr>
          <w:p w14:paraId="6C3CD94A">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38C8A64">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1499.2-2018   钢筋混凝土用钢 第1部分：热轧带肋钢筋</w:t>
            </w:r>
          </w:p>
        </w:tc>
        <w:tc>
          <w:tcPr>
            <w:tcW w:w="3895" w:type="dxa"/>
            <w:vAlign w:val="top"/>
          </w:tcPr>
          <w:p w14:paraId="3AD2D9E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力学性能(拉伸试验)、工艺性能（弯曲、反向弯曲）、化学成分（C、Si、Mn、P、S、C</w:t>
            </w:r>
            <w:r>
              <w:rPr>
                <w:rFonts w:hint="eastAsia" w:ascii="宋体" w:hAnsi="宋体" w:eastAsia="宋体" w:cs="宋体"/>
                <w:sz w:val="24"/>
                <w:szCs w:val="24"/>
                <w:highlight w:val="none"/>
                <w:vertAlign w:val="subscript"/>
              </w:rPr>
              <w:t>eq）</w:t>
            </w:r>
            <w:r>
              <w:rPr>
                <w:rFonts w:hint="eastAsia" w:ascii="宋体" w:hAnsi="宋体" w:eastAsia="宋体" w:cs="宋体"/>
                <w:sz w:val="24"/>
                <w:szCs w:val="24"/>
                <w:highlight w:val="none"/>
              </w:rPr>
              <w:t>尺寸外形、重量偏差、金相组织、表面标志</w:t>
            </w:r>
          </w:p>
        </w:tc>
      </w:tr>
      <w:tr w14:paraId="4477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8D10F36">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4EA30EA5">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热轧光圆钢筋</w:t>
            </w:r>
          </w:p>
        </w:tc>
        <w:tc>
          <w:tcPr>
            <w:tcW w:w="768" w:type="dxa"/>
            <w:vAlign w:val="top"/>
          </w:tcPr>
          <w:p w14:paraId="2C749D97">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E3EEABA">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1499.1-2017   钢筋混凝土用钢 第1部分：热轧光圆钢筋</w:t>
            </w:r>
          </w:p>
        </w:tc>
        <w:tc>
          <w:tcPr>
            <w:tcW w:w="3895" w:type="dxa"/>
            <w:vAlign w:val="top"/>
          </w:tcPr>
          <w:p w14:paraId="4E9AC75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力学性能(拉伸试验)、工艺性能（弯曲）、化学成分（C、Si、Mn、P、S）尺寸、重量偏差</w:t>
            </w:r>
          </w:p>
        </w:tc>
      </w:tr>
      <w:tr w14:paraId="32E8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683F06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413C6DE0">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热轧型钢</w:t>
            </w:r>
          </w:p>
        </w:tc>
        <w:tc>
          <w:tcPr>
            <w:tcW w:w="768" w:type="dxa"/>
            <w:vAlign w:val="top"/>
          </w:tcPr>
          <w:p w14:paraId="1B2D2A7A">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43BF1FFB">
            <w:pPr>
              <w:widowControl/>
              <w:adjustRightInd/>
              <w:snapToGrid w:val="0"/>
              <w:spacing w:before="0" w:beforeAutospacing="0" w:after="0" w:afterAutospacing="0"/>
              <w:ind w:left="0" w:right="0"/>
              <w:textAlignment w:val="baseline"/>
              <w:rPr>
                <w:rFonts w:hint="eastAsia" w:ascii="宋体" w:hAnsi="宋体" w:eastAsia="宋体" w:cs="宋体"/>
                <w:color w:val="000000"/>
                <w:sz w:val="24"/>
                <w:szCs w:val="24"/>
                <w:highlight w:val="none"/>
              </w:rPr>
            </w:pPr>
            <w:r>
              <w:rPr>
                <w:rFonts w:hint="eastAsia" w:ascii="宋体" w:hAnsi="宋体" w:eastAsia="宋体" w:cs="宋体"/>
                <w:sz w:val="24"/>
                <w:szCs w:val="24"/>
                <w:highlight w:val="none"/>
              </w:rPr>
              <w:t xml:space="preserve">GB/T 706—2016 </w:t>
            </w:r>
            <w:r>
              <w:rPr>
                <w:rFonts w:hint="eastAsia" w:ascii="宋体" w:hAnsi="宋体" w:eastAsia="宋体" w:cs="宋体"/>
                <w:color w:val="000000"/>
                <w:sz w:val="24"/>
                <w:szCs w:val="24"/>
                <w:highlight w:val="none"/>
              </w:rPr>
              <w:t>热轧型钢</w:t>
            </w:r>
          </w:p>
          <w:p w14:paraId="1E362BA5">
            <w:pPr>
              <w:widowControl/>
              <w:adjustRightInd/>
              <w:snapToGrid w:val="0"/>
              <w:spacing w:before="0" w:beforeAutospacing="0" w:after="0" w:afterAutospacing="0"/>
              <w:ind w:left="0" w:right="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11263—2017 </w:t>
            </w:r>
            <w:r>
              <w:rPr>
                <w:rFonts w:hint="eastAsia" w:ascii="宋体" w:hAnsi="宋体" w:eastAsia="宋体" w:cs="宋体"/>
                <w:color w:val="000000"/>
                <w:sz w:val="24"/>
                <w:szCs w:val="24"/>
                <w:highlight w:val="none"/>
              </w:rPr>
              <w:t>热轧H型钢和部分T型钢</w:t>
            </w:r>
          </w:p>
        </w:tc>
        <w:tc>
          <w:tcPr>
            <w:tcW w:w="3895" w:type="dxa"/>
            <w:vAlign w:val="top"/>
          </w:tcPr>
          <w:p w14:paraId="424FE010">
            <w:pPr>
              <w:spacing w:before="0" w:beforeAutospacing="0" w:after="0" w:afterAutospacing="0" w:line="284" w:lineRule="auto"/>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化学成分（C、Si、Mn、P、S）、力学性能（拉伸试验、冲击试验）、工艺性能（弯曲试验）、尺寸外形</w:t>
            </w:r>
          </w:p>
        </w:tc>
      </w:tr>
      <w:tr w14:paraId="7BCB7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23BD1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Align w:val="top"/>
          </w:tcPr>
          <w:p w14:paraId="11A09A5E">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食品接触不锈钢保制品</w:t>
            </w:r>
          </w:p>
        </w:tc>
        <w:tc>
          <w:tcPr>
            <w:tcW w:w="768" w:type="dxa"/>
            <w:vAlign w:val="top"/>
          </w:tcPr>
          <w:p w14:paraId="74D129BC">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638443F">
            <w:pPr>
              <w:spacing w:before="0" w:beforeAutospacing="0" w:after="0" w:afterAutospacing="0" w:line="250" w:lineRule="auto"/>
              <w:ind w:left="0" w:right="0"/>
              <w:rPr>
                <w:rFonts w:hint="eastAsia" w:ascii="宋体" w:hAnsi="宋体" w:eastAsia="宋体" w:cs="宋体"/>
                <w:sz w:val="24"/>
                <w:szCs w:val="24"/>
                <w:highlight w:val="none"/>
              </w:rPr>
            </w:pPr>
          </w:p>
          <w:p w14:paraId="7CE4B374">
            <w:pPr>
              <w:spacing w:before="42" w:beforeAutospacing="0" w:after="0" w:afterAutospacing="0" w:line="253" w:lineRule="auto"/>
              <w:ind w:left="14" w:leftChars="0" w:right="21" w:hanging="2" w:firstLineChars="0"/>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GB4806</w:t>
            </w:r>
            <w:r>
              <w:rPr>
                <w:rFonts w:hint="eastAsia" w:ascii="宋体" w:hAnsi="宋体" w:eastAsia="宋体" w:cs="宋体"/>
                <w:spacing w:val="1"/>
                <w:sz w:val="24"/>
                <w:szCs w:val="24"/>
                <w:highlight w:val="none"/>
              </w:rPr>
              <w:t>.9-2016</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《食品安全国家标准 食品接</w:t>
            </w:r>
            <w:r>
              <w:rPr>
                <w:rFonts w:hint="eastAsia" w:ascii="宋体" w:hAnsi="宋体" w:eastAsia="宋体" w:cs="宋体"/>
                <w:spacing w:val="4"/>
                <w:sz w:val="24"/>
                <w:szCs w:val="24"/>
                <w:highlight w:val="none"/>
              </w:rPr>
              <w:t>触用</w:t>
            </w:r>
            <w:r>
              <w:rPr>
                <w:rFonts w:hint="eastAsia" w:ascii="宋体" w:hAnsi="宋体" w:eastAsia="宋体" w:cs="宋体"/>
                <w:spacing w:val="3"/>
                <w:sz w:val="24"/>
                <w:szCs w:val="24"/>
                <w:highlight w:val="none"/>
              </w:rPr>
              <w:t>金</w:t>
            </w:r>
            <w:r>
              <w:rPr>
                <w:rFonts w:hint="eastAsia" w:ascii="宋体" w:hAnsi="宋体" w:eastAsia="宋体" w:cs="宋体"/>
                <w:spacing w:val="2"/>
                <w:sz w:val="24"/>
                <w:szCs w:val="24"/>
                <w:highlight w:val="none"/>
              </w:rPr>
              <w:t>属材料及制品》、GB4806</w:t>
            </w:r>
            <w:r>
              <w:rPr>
                <w:rFonts w:hint="eastAsia" w:ascii="宋体" w:hAnsi="宋体" w:eastAsia="宋体" w:cs="宋体"/>
                <w:spacing w:val="1"/>
                <w:sz w:val="24"/>
                <w:szCs w:val="24"/>
                <w:highlight w:val="none"/>
              </w:rPr>
              <w:t>.9-2023</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《食品安全国家标准 食品接</w:t>
            </w:r>
            <w:r>
              <w:rPr>
                <w:rFonts w:hint="eastAsia" w:ascii="宋体" w:hAnsi="宋体" w:eastAsia="宋体" w:cs="宋体"/>
                <w:spacing w:val="4"/>
                <w:sz w:val="24"/>
                <w:szCs w:val="24"/>
                <w:highlight w:val="none"/>
              </w:rPr>
              <w:t>触用</w:t>
            </w:r>
            <w:r>
              <w:rPr>
                <w:rFonts w:hint="eastAsia" w:ascii="宋体" w:hAnsi="宋体" w:eastAsia="宋体" w:cs="宋体"/>
                <w:spacing w:val="3"/>
                <w:sz w:val="24"/>
                <w:szCs w:val="24"/>
                <w:highlight w:val="none"/>
              </w:rPr>
              <w:t>金</w:t>
            </w:r>
            <w:r>
              <w:rPr>
                <w:rFonts w:hint="eastAsia" w:ascii="宋体" w:hAnsi="宋体" w:eastAsia="宋体" w:cs="宋体"/>
                <w:spacing w:val="2"/>
                <w:sz w:val="24"/>
                <w:szCs w:val="24"/>
                <w:highlight w:val="none"/>
              </w:rPr>
              <w:t>属材料及制品》、GB31604.49-2023《</w:t>
            </w:r>
            <w:r>
              <w:rPr>
                <w:rFonts w:hint="eastAsia" w:ascii="宋体" w:hAnsi="宋体" w:eastAsia="宋体" w:cs="宋体"/>
                <w:sz w:val="24"/>
                <w:szCs w:val="24"/>
                <w:highlight w:val="none"/>
                <w:shd w:val="clear" w:color="auto" w:fill="FEFFFF"/>
              </w:rPr>
              <w:t>食品安全国家标准 食品接触材料及制品 多元素的测定和多元素迁移量的测定</w:t>
            </w:r>
            <w:r>
              <w:rPr>
                <w:rFonts w:hint="eastAsia" w:ascii="宋体" w:hAnsi="宋体" w:eastAsia="宋体" w:cs="宋体"/>
                <w:spacing w:val="2"/>
                <w:sz w:val="24"/>
                <w:szCs w:val="24"/>
                <w:highlight w:val="none"/>
              </w:rPr>
              <w:t>》</w:t>
            </w:r>
          </w:p>
        </w:tc>
        <w:tc>
          <w:tcPr>
            <w:tcW w:w="3895" w:type="dxa"/>
            <w:vAlign w:val="top"/>
          </w:tcPr>
          <w:p w14:paraId="22AACFA1">
            <w:pPr>
              <w:spacing w:before="161" w:beforeAutospacing="0" w:after="0" w:afterAutospacing="0" w:line="513" w:lineRule="auto"/>
              <w:ind w:left="16" w:right="1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铅</w:t>
            </w:r>
            <w:r>
              <w:rPr>
                <w:rFonts w:hint="eastAsia" w:ascii="宋体" w:hAnsi="宋体" w:eastAsia="宋体" w:cs="宋体"/>
                <w:spacing w:val="5"/>
                <w:sz w:val="24"/>
                <w:szCs w:val="24"/>
                <w:highlight w:val="none"/>
              </w:rPr>
              <w:t>、</w:t>
            </w:r>
            <w:r>
              <w:rPr>
                <w:rFonts w:hint="eastAsia" w:ascii="宋体" w:hAnsi="宋体" w:eastAsia="宋体" w:cs="宋体"/>
                <w:spacing w:val="4"/>
                <w:sz w:val="24"/>
                <w:szCs w:val="24"/>
                <w:highlight w:val="none"/>
              </w:rPr>
              <w:t>镉、砷、镍、铬、感官要求</w:t>
            </w:r>
          </w:p>
          <w:p w14:paraId="4D0041CA">
            <w:pPr>
              <w:spacing w:before="0" w:beforeAutospacing="0" w:after="0" w:afterAutospacing="0" w:line="284" w:lineRule="auto"/>
              <w:ind w:left="0" w:right="0"/>
              <w:rPr>
                <w:rFonts w:hint="eastAsia" w:ascii="宋体" w:hAnsi="宋体" w:eastAsia="宋体" w:cs="宋体"/>
                <w:sz w:val="24"/>
                <w:szCs w:val="24"/>
                <w:highlight w:val="none"/>
              </w:rPr>
            </w:pPr>
          </w:p>
        </w:tc>
      </w:tr>
      <w:tr w14:paraId="414D6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46E35A4A">
            <w:pPr>
              <w:pStyle w:val="636"/>
              <w:numPr>
                <w:ilvl w:val="0"/>
                <w:numId w:val="5"/>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936" w:type="dxa"/>
            <w:vMerge w:val="restart"/>
            <w:vAlign w:val="top"/>
          </w:tcPr>
          <w:p w14:paraId="3F258641">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焊接钢管</w:t>
            </w:r>
          </w:p>
        </w:tc>
        <w:tc>
          <w:tcPr>
            <w:tcW w:w="768" w:type="dxa"/>
            <w:vMerge w:val="restart"/>
            <w:vAlign w:val="top"/>
          </w:tcPr>
          <w:p w14:paraId="5B002F9E">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25FB39CC">
            <w:pPr>
              <w:adjustRightInd/>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3091-2015   低压流体输送用焊接钢管</w:t>
            </w:r>
          </w:p>
        </w:tc>
        <w:tc>
          <w:tcPr>
            <w:tcW w:w="3895" w:type="dxa"/>
            <w:vAlign w:val="top"/>
          </w:tcPr>
          <w:p w14:paraId="43E6109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尺寸、力学性能（拉伸试验）、工艺性能（弯曲试验）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工艺性能（压扁试验）</w:t>
            </w:r>
            <w:r>
              <w:rPr>
                <w:rFonts w:hint="eastAsia" w:ascii="宋体" w:hAnsi="宋体" w:eastAsia="宋体" w:cs="宋体"/>
                <w:sz w:val="24"/>
                <w:szCs w:val="24"/>
                <w:highlight w:val="none"/>
              </w:rPr>
              <w:t>、镀锌层重量、镀锌层均匀性、镀锌层的附着力、</w:t>
            </w:r>
            <w:r>
              <w:rPr>
                <w:rFonts w:hint="eastAsia" w:ascii="宋体" w:hAnsi="宋体" w:eastAsia="宋体" w:cs="宋体"/>
                <w:color w:val="000000"/>
                <w:kern w:val="0"/>
                <w:sz w:val="24"/>
                <w:szCs w:val="24"/>
                <w:highlight w:val="none"/>
              </w:rPr>
              <w:t>化学成分</w:t>
            </w:r>
          </w:p>
        </w:tc>
      </w:tr>
      <w:tr w14:paraId="1DD7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17A27147">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36FE6B2C">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3CFD3230">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580DF54F">
            <w:pPr>
              <w:adjustRightInd/>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GB/T 13793-2016  直缝电焊钢</w:t>
            </w:r>
          </w:p>
        </w:tc>
        <w:tc>
          <w:tcPr>
            <w:tcW w:w="3895" w:type="dxa"/>
            <w:vAlign w:val="top"/>
          </w:tcPr>
          <w:p w14:paraId="64A0F65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尺寸、力学性能（拉伸试验）、工艺性能（弯曲试验）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工艺性能（压扁试验）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工艺性能（扩口试验）</w:t>
            </w:r>
            <w:r>
              <w:rPr>
                <w:rFonts w:hint="eastAsia" w:ascii="宋体" w:hAnsi="宋体" w:eastAsia="宋体" w:cs="宋体"/>
                <w:sz w:val="24"/>
                <w:szCs w:val="24"/>
                <w:highlight w:val="none"/>
              </w:rPr>
              <w:t>、镀锌层重量、镀锌层均匀性、镀锌层的附着力、</w:t>
            </w:r>
            <w:r>
              <w:rPr>
                <w:rFonts w:hint="eastAsia" w:ascii="宋体" w:hAnsi="宋体" w:eastAsia="宋体" w:cs="宋体"/>
                <w:color w:val="000000"/>
                <w:kern w:val="0"/>
                <w:sz w:val="24"/>
                <w:szCs w:val="24"/>
                <w:highlight w:val="none"/>
              </w:rPr>
              <w:t>化学成分</w:t>
            </w:r>
          </w:p>
        </w:tc>
      </w:tr>
      <w:tr w14:paraId="13B49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A1372FA">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5F595C47">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5E9AB751">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4AD5577D">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JG/T 539-2017      建筑用不锈钢焊接管材</w:t>
            </w:r>
          </w:p>
        </w:tc>
        <w:tc>
          <w:tcPr>
            <w:tcW w:w="3895" w:type="dxa"/>
            <w:vAlign w:val="top"/>
          </w:tcPr>
          <w:p w14:paraId="7BE5ED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尺寸、力学性能（拉伸试验）、晶间腐蚀</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化学成分</w:t>
            </w:r>
          </w:p>
        </w:tc>
      </w:tr>
      <w:tr w14:paraId="5A10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FB6B078">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64B3808E">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2FE035FB">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110CD1F2">
            <w:pPr>
              <w:snapToGrid w:val="0"/>
              <w:spacing w:before="0" w:beforeAutospacing="0" w:after="0" w:afterAutospacing="0" w:line="264" w:lineRule="auto"/>
              <w:ind w:left="0" w:right="0"/>
              <w:textAlignment w:val="baseline"/>
              <w:rPr>
                <w:rFonts w:hint="eastAsia" w:ascii="宋体" w:hAnsi="宋体" w:eastAsia="宋体" w:cs="宋体"/>
                <w:sz w:val="24"/>
                <w:szCs w:val="24"/>
                <w:highlight w:val="none"/>
              </w:rPr>
            </w:pPr>
            <w:r>
              <w:rPr>
                <w:rFonts w:hint="eastAsia" w:ascii="宋体" w:hAnsi="宋体" w:eastAsia="宋体" w:cs="宋体"/>
                <w:kern w:val="0"/>
                <w:sz w:val="24"/>
                <w:szCs w:val="24"/>
                <w:highlight w:val="none"/>
              </w:rPr>
              <w:t>YB/T 5363-2016     装饰用焊接不锈钢管</w:t>
            </w:r>
          </w:p>
        </w:tc>
        <w:tc>
          <w:tcPr>
            <w:tcW w:w="3895" w:type="dxa"/>
            <w:vAlign w:val="top"/>
          </w:tcPr>
          <w:p w14:paraId="20890FB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尺寸、力学性能（拉伸试验）、弯曲试验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压扁试验</w:t>
            </w:r>
            <w:r>
              <w:rPr>
                <w:rFonts w:hint="eastAsia" w:ascii="宋体" w:hAnsi="宋体" w:eastAsia="宋体" w:cs="宋体"/>
                <w:sz w:val="24"/>
                <w:szCs w:val="24"/>
                <w:highlight w:val="none"/>
              </w:rPr>
              <w:t>、</w:t>
            </w:r>
            <w:r>
              <w:rPr>
                <w:rFonts w:hint="eastAsia" w:ascii="宋体" w:hAnsi="宋体" w:eastAsia="宋体" w:cs="宋体"/>
                <w:color w:val="000000"/>
                <w:kern w:val="0"/>
                <w:sz w:val="24"/>
                <w:szCs w:val="24"/>
                <w:highlight w:val="none"/>
              </w:rPr>
              <w:t>化学成分</w:t>
            </w:r>
          </w:p>
        </w:tc>
      </w:tr>
      <w:tr w14:paraId="3469A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5387A7B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0655A6EB">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6FAE7B2F">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13E701FF">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12770-2012    机械结构用不锈钢焊接钢管</w:t>
            </w:r>
          </w:p>
        </w:tc>
        <w:tc>
          <w:tcPr>
            <w:tcW w:w="3895" w:type="dxa"/>
            <w:vAlign w:val="top"/>
          </w:tcPr>
          <w:p w14:paraId="2CE35CA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尺寸、力学性能（拉伸试验）、</w:t>
            </w:r>
            <w:r>
              <w:rPr>
                <w:rFonts w:hint="eastAsia" w:ascii="宋体" w:hAnsi="宋体" w:eastAsia="宋体" w:cs="宋体"/>
                <w:sz w:val="24"/>
                <w:szCs w:val="24"/>
                <w:highlight w:val="none"/>
              </w:rPr>
              <w:t>压扁试验、焊缝横向弯曲试验、化学成分</w:t>
            </w:r>
          </w:p>
        </w:tc>
      </w:tr>
      <w:tr w14:paraId="5704E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30294CDA">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rPr>
            </w:pPr>
          </w:p>
        </w:tc>
        <w:tc>
          <w:tcPr>
            <w:tcW w:w="936" w:type="dxa"/>
            <w:vMerge w:val="continue"/>
            <w:vAlign w:val="top"/>
          </w:tcPr>
          <w:p w14:paraId="5190F6A2">
            <w:pPr>
              <w:spacing w:before="0" w:beforeAutospacing="0" w:after="0" w:afterAutospacing="0" w:line="283" w:lineRule="auto"/>
              <w:ind w:left="0" w:right="0"/>
              <w:rPr>
                <w:rFonts w:hint="eastAsia" w:ascii="宋体" w:hAnsi="宋体" w:eastAsia="宋体" w:cs="宋体"/>
                <w:sz w:val="24"/>
                <w:szCs w:val="24"/>
                <w:highlight w:val="none"/>
              </w:rPr>
            </w:pPr>
          </w:p>
        </w:tc>
        <w:tc>
          <w:tcPr>
            <w:tcW w:w="768" w:type="dxa"/>
            <w:vMerge w:val="continue"/>
            <w:vAlign w:val="top"/>
          </w:tcPr>
          <w:p w14:paraId="5C35282E">
            <w:pPr>
              <w:spacing w:before="0" w:beforeAutospacing="0" w:after="0" w:afterAutospacing="0" w:line="283" w:lineRule="auto"/>
              <w:ind w:left="0" w:right="0"/>
              <w:rPr>
                <w:rFonts w:hint="eastAsia" w:ascii="宋体" w:hAnsi="宋体" w:eastAsia="宋体" w:cs="宋体"/>
                <w:sz w:val="24"/>
                <w:szCs w:val="24"/>
                <w:highlight w:val="none"/>
              </w:rPr>
            </w:pPr>
          </w:p>
        </w:tc>
        <w:tc>
          <w:tcPr>
            <w:tcW w:w="2136" w:type="dxa"/>
            <w:vAlign w:val="top"/>
          </w:tcPr>
          <w:p w14:paraId="4295DB33">
            <w:pPr>
              <w:snapToGrid w:val="0"/>
              <w:spacing w:before="0" w:beforeAutospacing="0" w:after="0" w:afterAutospacing="0" w:line="264" w:lineRule="auto"/>
              <w:ind w:left="0" w:right="0"/>
              <w:textAlignment w:val="baseline"/>
              <w:rPr>
                <w:rFonts w:hint="eastAsia" w:ascii="宋体" w:hAnsi="宋体" w:eastAsia="宋体" w:cs="宋体"/>
                <w:sz w:val="24"/>
                <w:szCs w:val="24"/>
                <w:highlight w:val="none"/>
              </w:rPr>
            </w:pPr>
            <w:r>
              <w:rPr>
                <w:rFonts w:hint="eastAsia" w:ascii="宋体" w:hAnsi="宋体" w:eastAsia="宋体" w:cs="宋体"/>
                <w:kern w:val="0"/>
                <w:sz w:val="24"/>
                <w:szCs w:val="24"/>
                <w:highlight w:val="none"/>
              </w:rPr>
              <w:t>GB/T 12771-2019    流体输送用不锈钢焊接钢管</w:t>
            </w:r>
          </w:p>
        </w:tc>
        <w:tc>
          <w:tcPr>
            <w:tcW w:w="3895" w:type="dxa"/>
            <w:vAlign w:val="top"/>
          </w:tcPr>
          <w:p w14:paraId="366C8AF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rPr>
              <w:t>尺寸、拉伸试验、</w:t>
            </w:r>
            <w:r>
              <w:rPr>
                <w:rFonts w:hint="eastAsia" w:ascii="宋体" w:hAnsi="宋体" w:eastAsia="宋体" w:cs="宋体"/>
                <w:sz w:val="24"/>
                <w:szCs w:val="24"/>
                <w:highlight w:val="none"/>
              </w:rPr>
              <w:t>压扁试验、焊缝横向弯曲试验、晶间腐蚀、化学成分</w:t>
            </w:r>
          </w:p>
        </w:tc>
      </w:tr>
      <w:tr w14:paraId="7AD8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5F4B8C5">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51.</w:t>
            </w:r>
          </w:p>
        </w:tc>
        <w:tc>
          <w:tcPr>
            <w:tcW w:w="936" w:type="dxa"/>
            <w:vAlign w:val="top"/>
          </w:tcPr>
          <w:p w14:paraId="11DACB86">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不锈钢保温杯</w:t>
            </w:r>
          </w:p>
        </w:tc>
        <w:tc>
          <w:tcPr>
            <w:tcW w:w="768" w:type="dxa"/>
            <w:vAlign w:val="top"/>
          </w:tcPr>
          <w:p w14:paraId="5EE625C3">
            <w:pPr>
              <w:spacing w:before="0" w:beforeAutospacing="0" w:after="0" w:afterAutospacing="0" w:line="283" w:lineRule="auto"/>
              <w:ind w:left="0" w:right="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172332B">
            <w:pPr>
              <w:adjustRightInd/>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GB/T 29606-2013  不锈钢真空杯GB/T 40355-2021  不锈钢真空保温容器</w:t>
            </w:r>
          </w:p>
        </w:tc>
        <w:tc>
          <w:tcPr>
            <w:tcW w:w="3895" w:type="dxa"/>
            <w:vAlign w:val="top"/>
          </w:tcPr>
          <w:p w14:paraId="2025BE6A">
            <w:pPr>
              <w:spacing w:before="0" w:beforeAutospacing="0" w:after="0" w:afterAutospacing="0"/>
              <w:ind w:left="0" w:right="0"/>
              <w:rPr>
                <w:rFonts w:hint="eastAsia" w:ascii="宋体" w:hAnsi="宋体" w:eastAsia="宋体" w:cs="宋体"/>
                <w:color w:val="000000"/>
                <w:kern w:val="0"/>
                <w:sz w:val="24"/>
                <w:szCs w:val="24"/>
                <w:highlight w:val="none"/>
              </w:rPr>
            </w:pPr>
            <w:r>
              <w:rPr>
                <w:rFonts w:hint="eastAsia" w:ascii="宋体" w:hAnsi="宋体" w:eastAsia="宋体" w:cs="宋体"/>
                <w:kern w:val="0"/>
                <w:sz w:val="24"/>
                <w:szCs w:val="24"/>
                <w:highlight w:val="none"/>
              </w:rPr>
              <w:t>标志</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保温效能</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密封性、耐冲击性</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不锈钢材料化学成分</w:t>
            </w:r>
          </w:p>
        </w:tc>
      </w:tr>
      <w:tr w14:paraId="3E4AC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63B72A9D">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52.</w:t>
            </w:r>
          </w:p>
        </w:tc>
        <w:tc>
          <w:tcPr>
            <w:tcW w:w="936" w:type="dxa"/>
            <w:vAlign w:val="top"/>
          </w:tcPr>
          <w:p w14:paraId="4E29EC0D">
            <w:pPr>
              <w:spacing w:before="0" w:beforeAutospacing="0" w:after="0" w:afterAutospacing="0" w:line="283" w:lineRule="auto"/>
              <w:ind w:left="0" w:right="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不锈钢保温杯</w:t>
            </w:r>
          </w:p>
        </w:tc>
        <w:tc>
          <w:tcPr>
            <w:tcW w:w="768" w:type="dxa"/>
            <w:vAlign w:val="top"/>
          </w:tcPr>
          <w:p w14:paraId="7CFBDFAA">
            <w:pPr>
              <w:spacing w:before="0" w:beforeAutospacing="0" w:after="0" w:afterAutospacing="0" w:line="283" w:lineRule="auto"/>
              <w:ind w:left="0" w:right="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57E66C5">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29606-2013  不锈钢真空杯GB/T 40355-2021  不锈钢真空保温容器</w:t>
            </w:r>
          </w:p>
        </w:tc>
        <w:tc>
          <w:tcPr>
            <w:tcW w:w="3895" w:type="dxa"/>
            <w:vAlign w:val="top"/>
          </w:tcPr>
          <w:p w14:paraId="6F044AAA">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标志</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保温效能</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密封性、耐冲击性</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不锈钢材料化学成分</w:t>
            </w:r>
          </w:p>
        </w:tc>
      </w:tr>
      <w:tr w14:paraId="55E32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1C16D3BC">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p>
        </w:tc>
        <w:tc>
          <w:tcPr>
            <w:tcW w:w="936" w:type="dxa"/>
            <w:vAlign w:val="top"/>
          </w:tcPr>
          <w:p w14:paraId="5F59A473">
            <w:pPr>
              <w:spacing w:before="0" w:beforeAutospacing="0" w:after="0" w:afterAutospacing="0" w:line="283" w:lineRule="auto"/>
              <w:ind w:left="0" w:right="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不锈钢保温杯</w:t>
            </w:r>
          </w:p>
        </w:tc>
        <w:tc>
          <w:tcPr>
            <w:tcW w:w="768" w:type="dxa"/>
            <w:vAlign w:val="top"/>
          </w:tcPr>
          <w:p w14:paraId="5C207943">
            <w:pPr>
              <w:spacing w:before="0" w:beforeAutospacing="0" w:after="0" w:afterAutospacing="0" w:line="283" w:lineRule="auto"/>
              <w:ind w:left="0" w:right="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78D1D3F">
            <w:pPr>
              <w:adjustRightInd/>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29606-2013  不锈钢真空杯GB/T 40355-2021  不锈钢真空保温容器</w:t>
            </w:r>
          </w:p>
        </w:tc>
        <w:tc>
          <w:tcPr>
            <w:tcW w:w="3895" w:type="dxa"/>
            <w:vAlign w:val="top"/>
          </w:tcPr>
          <w:p w14:paraId="44D139CD">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标志</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保温效能</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密封性、耐冲击性</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rPr>
              <w:t>不锈钢材料化学成分</w:t>
            </w:r>
          </w:p>
        </w:tc>
      </w:tr>
      <w:tr w14:paraId="4A193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52B587DD">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53.</w:t>
            </w:r>
          </w:p>
        </w:tc>
        <w:tc>
          <w:tcPr>
            <w:tcW w:w="936" w:type="dxa"/>
            <w:vAlign w:val="top"/>
          </w:tcPr>
          <w:p w14:paraId="7E0DFA46">
            <w:pPr>
              <w:spacing w:before="0" w:beforeAutospacing="0" w:after="0" w:afterAutospacing="0" w:line="283" w:lineRule="auto"/>
              <w:ind w:left="0" w:right="0"/>
              <w:rPr>
                <w:rFonts w:hint="eastAsia" w:ascii="宋体" w:hAnsi="宋体" w:eastAsia="宋体" w:cs="宋体"/>
                <w:spacing w:val="6"/>
                <w:sz w:val="24"/>
                <w:szCs w:val="24"/>
                <w:highlight w:val="none"/>
              </w:rPr>
            </w:pPr>
            <w:r>
              <w:rPr>
                <w:rFonts w:hint="eastAsia" w:ascii="宋体" w:hAnsi="宋体" w:eastAsia="宋体" w:cs="宋体"/>
                <w:spacing w:val="6"/>
                <w:sz w:val="24"/>
                <w:szCs w:val="24"/>
                <w:highlight w:val="none"/>
              </w:rPr>
              <w:t>铝合金</w:t>
            </w:r>
          </w:p>
        </w:tc>
        <w:tc>
          <w:tcPr>
            <w:tcW w:w="768" w:type="dxa"/>
            <w:vAlign w:val="top"/>
          </w:tcPr>
          <w:p w14:paraId="0AC765E3">
            <w:pPr>
              <w:spacing w:before="0" w:beforeAutospacing="0" w:after="0" w:afterAutospacing="0" w:line="283" w:lineRule="auto"/>
              <w:ind w:left="0" w:right="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监督抽查</w:t>
            </w:r>
          </w:p>
        </w:tc>
        <w:tc>
          <w:tcPr>
            <w:tcW w:w="2136" w:type="dxa"/>
            <w:vAlign w:val="top"/>
          </w:tcPr>
          <w:p w14:paraId="600B00F9">
            <w:pPr>
              <w:snapToGrid w:val="0"/>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GB/T5237.1-2017铝合金建筑型材第1部分：基材GB/T  5237.2-2017铝合金建筑型材第2部分：阳极氧化型材GB/T  5237.3-2017铝合金建筑型材第3部分：电泳涂漆型材GB/T  5237.4-2017铝合金建筑型材第4部分：喷粉型材GB/T  5237.5-2017铝合金建筑型材第5部分：喷漆型材</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"javascript:ShowStdInfo('32429')" </w:instrText>
            </w:r>
            <w:r>
              <w:rPr>
                <w:rFonts w:hint="eastAsia" w:ascii="宋体" w:hAnsi="宋体" w:eastAsia="宋体" w:cs="宋体"/>
                <w:sz w:val="24"/>
                <w:szCs w:val="24"/>
                <w:highlight w:val="none"/>
              </w:rPr>
              <w:fldChar w:fldCharType="separate"/>
            </w:r>
            <w:r>
              <w:rPr>
                <w:rFonts w:hint="eastAsia" w:ascii="宋体" w:hAnsi="宋体" w:eastAsia="宋体" w:cs="宋体"/>
                <w:kern w:val="0"/>
                <w:sz w:val="24"/>
                <w:szCs w:val="24"/>
                <w:highlight w:val="none"/>
              </w:rPr>
              <w:t>GB/T  5237.6-20</w:t>
            </w:r>
            <w:r>
              <w:rPr>
                <w:rFonts w:hint="eastAsia" w:ascii="宋体" w:hAnsi="宋体" w:eastAsia="宋体" w:cs="宋体"/>
                <w:kern w:val="0"/>
                <w:sz w:val="24"/>
                <w:szCs w:val="24"/>
                <w:highlight w:val="none"/>
              </w:rPr>
              <w:fldChar w:fldCharType="end"/>
            </w:r>
            <w:r>
              <w:rPr>
                <w:rFonts w:hint="eastAsia" w:ascii="宋体" w:hAnsi="宋体" w:eastAsia="宋体" w:cs="宋体"/>
                <w:kern w:val="0"/>
                <w:sz w:val="24"/>
                <w:szCs w:val="24"/>
                <w:highlight w:val="none"/>
              </w:rPr>
              <w:t>17铝合金建筑型材第6部分：隔热型材GB/T  6892-2015 一般工业用铝及铝合金挤压型材</w:t>
            </w:r>
          </w:p>
        </w:tc>
        <w:tc>
          <w:tcPr>
            <w:tcW w:w="3895" w:type="dxa"/>
            <w:vAlign w:val="top"/>
          </w:tcPr>
          <w:p w14:paraId="4D5FD7B8">
            <w:pPr>
              <w:spacing w:before="0" w:beforeAutospacing="0" w:after="0" w:afterAutospacing="0"/>
              <w:ind w:left="0" w:right="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壁厚、力学性能、化学成分、膜层性能</w:t>
            </w:r>
          </w:p>
        </w:tc>
      </w:tr>
      <w:tr w14:paraId="08304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374315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54.</w:t>
            </w:r>
          </w:p>
        </w:tc>
        <w:tc>
          <w:tcPr>
            <w:tcW w:w="936" w:type="dxa"/>
            <w:vAlign w:val="top"/>
          </w:tcPr>
          <w:p w14:paraId="4225CFF2">
            <w:pPr>
              <w:spacing w:before="0" w:beforeAutospacing="0" w:after="0" w:afterAutospacing="0" w:line="257" w:lineRule="auto"/>
              <w:ind w:left="0" w:right="0"/>
              <w:rPr>
                <w:rFonts w:hint="eastAsia" w:ascii="宋体" w:hAnsi="宋体" w:eastAsia="宋体" w:cs="宋体"/>
                <w:sz w:val="24"/>
                <w:szCs w:val="24"/>
                <w:highlight w:val="none"/>
              </w:rPr>
            </w:pPr>
          </w:p>
          <w:p w14:paraId="6527049C">
            <w:pPr>
              <w:spacing w:before="0" w:beforeAutospacing="0" w:after="0" w:afterAutospacing="0" w:line="257" w:lineRule="auto"/>
              <w:ind w:left="0" w:right="0"/>
              <w:rPr>
                <w:rFonts w:hint="eastAsia" w:ascii="宋体" w:hAnsi="宋体" w:eastAsia="宋体" w:cs="宋体"/>
                <w:sz w:val="24"/>
                <w:szCs w:val="24"/>
                <w:highlight w:val="none"/>
              </w:rPr>
            </w:pPr>
          </w:p>
          <w:p w14:paraId="67F43E16">
            <w:pPr>
              <w:spacing w:before="0" w:beforeAutospacing="0" w:after="0" w:afterAutospacing="0" w:line="257" w:lineRule="auto"/>
              <w:ind w:left="0" w:right="0"/>
              <w:rPr>
                <w:rFonts w:hint="eastAsia" w:ascii="宋体" w:hAnsi="宋体" w:eastAsia="宋体" w:cs="宋体"/>
                <w:sz w:val="24"/>
                <w:szCs w:val="24"/>
                <w:highlight w:val="none"/>
              </w:rPr>
            </w:pPr>
          </w:p>
          <w:p w14:paraId="3E7B1BD2">
            <w:pPr>
              <w:spacing w:before="0" w:beforeAutospacing="0" w:after="0" w:afterAutospacing="0" w:line="258" w:lineRule="auto"/>
              <w:ind w:left="0" w:right="0"/>
              <w:rPr>
                <w:rFonts w:hint="eastAsia" w:ascii="宋体" w:hAnsi="宋体" w:eastAsia="宋体" w:cs="宋体"/>
                <w:sz w:val="24"/>
                <w:szCs w:val="24"/>
                <w:highlight w:val="none"/>
              </w:rPr>
            </w:pPr>
          </w:p>
          <w:p w14:paraId="1E473640">
            <w:pPr>
              <w:spacing w:before="55" w:beforeAutospacing="0" w:after="0" w:afterAutospacing="0" w:line="231" w:lineRule="auto"/>
              <w:ind w:left="94" w:right="0"/>
              <w:rPr>
                <w:rFonts w:hint="eastAsia" w:ascii="宋体" w:hAnsi="宋体" w:eastAsia="宋体" w:cs="宋体"/>
                <w:sz w:val="24"/>
                <w:szCs w:val="24"/>
                <w:highlight w:val="none"/>
              </w:rPr>
            </w:pPr>
            <w:r>
              <w:rPr>
                <w:rFonts w:hint="eastAsia" w:ascii="宋体" w:hAnsi="宋体" w:eastAsia="宋体" w:cs="宋体"/>
                <w:spacing w:val="-3"/>
                <w:sz w:val="24"/>
                <w:szCs w:val="24"/>
                <w:highlight w:val="none"/>
              </w:rPr>
              <w:t>电</w:t>
            </w:r>
            <w:r>
              <w:rPr>
                <w:rFonts w:hint="eastAsia" w:ascii="宋体" w:hAnsi="宋体" w:eastAsia="宋体" w:cs="宋体"/>
                <w:spacing w:val="-2"/>
                <w:sz w:val="24"/>
                <w:szCs w:val="24"/>
                <w:highlight w:val="none"/>
              </w:rPr>
              <w:t>子</w:t>
            </w:r>
          </w:p>
          <w:p w14:paraId="380A5A0E">
            <w:pPr>
              <w:spacing w:before="20" w:beforeAutospacing="0" w:after="0" w:afterAutospacing="0" w:line="231" w:lineRule="auto"/>
              <w:ind w:left="84" w:right="0"/>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防</w:t>
            </w:r>
            <w:r>
              <w:rPr>
                <w:rFonts w:hint="eastAsia" w:ascii="宋体" w:hAnsi="宋体" w:eastAsia="宋体" w:cs="宋体"/>
                <w:sz w:val="24"/>
                <w:szCs w:val="24"/>
                <w:highlight w:val="none"/>
              </w:rPr>
              <w:t>盗</w:t>
            </w:r>
          </w:p>
          <w:p w14:paraId="171A9324">
            <w:pPr>
              <w:spacing w:before="19" w:beforeAutospacing="0" w:after="0" w:afterAutospacing="0" w:line="232" w:lineRule="auto"/>
              <w:ind w:left="161" w:leftChars="0" w:right="0"/>
              <w:rPr>
                <w:rFonts w:hint="eastAsia" w:ascii="宋体" w:hAnsi="宋体" w:eastAsia="宋体" w:cs="宋体"/>
                <w:spacing w:val="6"/>
                <w:sz w:val="24"/>
                <w:szCs w:val="24"/>
                <w:highlight w:val="none"/>
              </w:rPr>
            </w:pPr>
            <w:r>
              <w:rPr>
                <w:rFonts w:hint="eastAsia" w:ascii="宋体" w:hAnsi="宋体" w:eastAsia="宋体" w:cs="宋体"/>
                <w:spacing w:val="2"/>
                <w:sz w:val="24"/>
                <w:szCs w:val="24"/>
                <w:highlight w:val="none"/>
              </w:rPr>
              <w:t>锁</w:t>
            </w:r>
          </w:p>
        </w:tc>
        <w:tc>
          <w:tcPr>
            <w:tcW w:w="768" w:type="dxa"/>
            <w:vAlign w:val="top"/>
          </w:tcPr>
          <w:p w14:paraId="443A77D2">
            <w:pPr>
              <w:spacing w:before="0" w:beforeAutospacing="0" w:after="0" w:afterAutospacing="0" w:line="286" w:lineRule="auto"/>
              <w:ind w:left="0" w:right="0"/>
              <w:rPr>
                <w:rFonts w:hint="eastAsia" w:ascii="宋体" w:hAnsi="宋体" w:eastAsia="宋体" w:cs="宋体"/>
                <w:sz w:val="24"/>
                <w:szCs w:val="24"/>
                <w:highlight w:val="none"/>
              </w:rPr>
            </w:pPr>
          </w:p>
          <w:p w14:paraId="00DDCEC6">
            <w:pPr>
              <w:spacing w:before="0" w:beforeAutospacing="0" w:after="0" w:afterAutospacing="0" w:line="286" w:lineRule="auto"/>
              <w:ind w:left="0" w:right="0"/>
              <w:rPr>
                <w:rFonts w:hint="eastAsia" w:ascii="宋体" w:hAnsi="宋体" w:eastAsia="宋体" w:cs="宋体"/>
                <w:sz w:val="24"/>
                <w:szCs w:val="24"/>
                <w:highlight w:val="none"/>
              </w:rPr>
            </w:pPr>
          </w:p>
          <w:p w14:paraId="254F589A">
            <w:pPr>
              <w:spacing w:before="0" w:beforeAutospacing="0" w:after="0" w:afterAutospacing="0" w:line="286" w:lineRule="auto"/>
              <w:ind w:left="0" w:right="0"/>
              <w:rPr>
                <w:rFonts w:hint="eastAsia" w:ascii="宋体" w:hAnsi="宋体" w:eastAsia="宋体" w:cs="宋体"/>
                <w:sz w:val="24"/>
                <w:szCs w:val="24"/>
                <w:highlight w:val="none"/>
              </w:rPr>
            </w:pPr>
          </w:p>
          <w:p w14:paraId="7487C141">
            <w:pPr>
              <w:spacing w:before="0" w:beforeAutospacing="0" w:after="0" w:afterAutospacing="0" w:line="286" w:lineRule="auto"/>
              <w:ind w:left="0" w:right="0"/>
              <w:rPr>
                <w:rFonts w:hint="eastAsia" w:ascii="宋体" w:hAnsi="宋体" w:eastAsia="宋体" w:cs="宋体"/>
                <w:sz w:val="24"/>
                <w:szCs w:val="24"/>
                <w:highlight w:val="none"/>
              </w:rPr>
            </w:pPr>
          </w:p>
          <w:p w14:paraId="4A8680FB">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7D63C466">
            <w:pPr>
              <w:spacing w:before="0" w:beforeAutospacing="0" w:after="0" w:afterAutospacing="0" w:line="292" w:lineRule="auto"/>
              <w:ind w:left="0" w:right="0"/>
              <w:rPr>
                <w:rFonts w:hint="eastAsia" w:ascii="宋体" w:hAnsi="宋体" w:eastAsia="宋体" w:cs="宋体"/>
                <w:sz w:val="24"/>
                <w:szCs w:val="24"/>
                <w:highlight w:val="none"/>
              </w:rPr>
            </w:pPr>
          </w:p>
          <w:p w14:paraId="7231C36F">
            <w:pPr>
              <w:spacing w:before="0" w:beforeAutospacing="0" w:after="0" w:afterAutospacing="0" w:line="293" w:lineRule="auto"/>
              <w:ind w:left="0" w:right="0"/>
              <w:rPr>
                <w:rFonts w:hint="eastAsia" w:ascii="宋体" w:hAnsi="宋体" w:eastAsia="宋体" w:cs="宋体"/>
                <w:sz w:val="24"/>
                <w:szCs w:val="24"/>
                <w:highlight w:val="none"/>
              </w:rPr>
            </w:pPr>
          </w:p>
          <w:p w14:paraId="2B92DF98">
            <w:pPr>
              <w:spacing w:before="0" w:beforeAutospacing="0" w:after="0" w:afterAutospacing="0" w:line="293" w:lineRule="auto"/>
              <w:ind w:left="0" w:right="0"/>
              <w:rPr>
                <w:rFonts w:hint="eastAsia" w:ascii="宋体" w:hAnsi="宋体" w:eastAsia="宋体" w:cs="宋体"/>
                <w:sz w:val="24"/>
                <w:szCs w:val="24"/>
                <w:highlight w:val="none"/>
              </w:rPr>
            </w:pPr>
          </w:p>
          <w:p w14:paraId="03052A77">
            <w:pPr>
              <w:spacing w:before="0" w:beforeAutospacing="0" w:after="0" w:afterAutospacing="0" w:line="293" w:lineRule="auto"/>
              <w:ind w:left="0" w:right="0"/>
              <w:rPr>
                <w:rFonts w:hint="eastAsia" w:ascii="宋体" w:hAnsi="宋体" w:eastAsia="宋体" w:cs="宋体"/>
                <w:sz w:val="24"/>
                <w:szCs w:val="24"/>
                <w:highlight w:val="none"/>
              </w:rPr>
            </w:pPr>
          </w:p>
          <w:p w14:paraId="3E4C2EA8">
            <w:pPr>
              <w:spacing w:before="55" w:beforeAutospacing="0" w:after="0" w:afterAutospacing="0" w:line="276" w:lineRule="auto"/>
              <w:ind w:left="17" w:leftChars="0" w:right="200" w:hanging="5" w:firstLineChars="0"/>
              <w:rPr>
                <w:rFonts w:hint="eastAsia" w:ascii="宋体" w:hAnsi="宋体" w:eastAsia="宋体" w:cs="宋体"/>
                <w:kern w:val="0"/>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6"/>
                <w:sz w:val="24"/>
                <w:szCs w:val="24"/>
                <w:highlight w:val="none"/>
              </w:rPr>
              <w:t xml:space="preserve"> </w:t>
            </w:r>
            <w:r>
              <w:rPr>
                <w:rFonts w:hint="eastAsia" w:ascii="宋体" w:hAnsi="宋体" w:eastAsia="宋体" w:cs="宋体"/>
                <w:spacing w:val="4"/>
                <w:sz w:val="24"/>
                <w:szCs w:val="24"/>
                <w:highlight w:val="none"/>
              </w:rPr>
              <w:t>2</w:t>
            </w:r>
            <w:r>
              <w:rPr>
                <w:rFonts w:hint="eastAsia" w:ascii="宋体" w:hAnsi="宋体" w:eastAsia="宋体" w:cs="宋体"/>
                <w:spacing w:val="3"/>
                <w:sz w:val="24"/>
                <w:szCs w:val="24"/>
                <w:highlight w:val="none"/>
              </w:rPr>
              <w:t>1556-2008、</w:t>
            </w:r>
            <w:r>
              <w:rPr>
                <w:rFonts w:hint="eastAsia" w:ascii="宋体" w:hAnsi="宋体" w:eastAsia="宋体" w:cs="宋体"/>
                <w:sz w:val="24"/>
                <w:szCs w:val="24"/>
                <w:highlight w:val="none"/>
              </w:rPr>
              <w:t xml:space="preserve"> </w:t>
            </w:r>
            <w:r>
              <w:rPr>
                <w:rFonts w:hint="eastAsia" w:ascii="宋体" w:hAnsi="宋体" w:eastAsia="宋体" w:cs="宋体"/>
                <w:spacing w:val="4"/>
                <w:sz w:val="24"/>
                <w:szCs w:val="24"/>
                <w:highlight w:val="none"/>
              </w:rPr>
              <w:t>374-201</w:t>
            </w:r>
            <w:r>
              <w:rPr>
                <w:rFonts w:hint="eastAsia" w:ascii="宋体" w:hAnsi="宋体" w:eastAsia="宋体" w:cs="宋体"/>
                <w:spacing w:val="2"/>
                <w:sz w:val="24"/>
                <w:szCs w:val="24"/>
                <w:highlight w:val="none"/>
              </w:rPr>
              <w:t>9</w:t>
            </w:r>
          </w:p>
        </w:tc>
        <w:tc>
          <w:tcPr>
            <w:tcW w:w="3895" w:type="dxa"/>
            <w:vAlign w:val="top"/>
          </w:tcPr>
          <w:p w14:paraId="57B87C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pacing w:val="7"/>
                <w:sz w:val="24"/>
                <w:szCs w:val="24"/>
                <w:highlight w:val="none"/>
              </w:rPr>
              <w:t>1.锁舌伸出长度、稳定性要求、防技术开启、电源适应性、</w:t>
            </w:r>
            <w:r>
              <w:rPr>
                <w:rFonts w:hint="eastAsia" w:ascii="宋体" w:hAnsi="宋体" w:eastAsia="宋体" w:cs="宋体"/>
                <w:spacing w:val="1"/>
                <w:sz w:val="24"/>
                <w:szCs w:val="24"/>
                <w:highlight w:val="none"/>
              </w:rPr>
              <w:t>防</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破坏报</w:t>
            </w:r>
            <w:r>
              <w:rPr>
                <w:rFonts w:hint="eastAsia" w:ascii="宋体" w:hAnsi="宋体" w:eastAsia="宋体" w:cs="宋体"/>
                <w:spacing w:val="9"/>
                <w:sz w:val="24"/>
                <w:szCs w:val="24"/>
                <w:highlight w:val="none"/>
              </w:rPr>
              <w:t>警</w:t>
            </w:r>
            <w:r>
              <w:rPr>
                <w:rFonts w:hint="eastAsia" w:ascii="宋体" w:hAnsi="宋体" w:eastAsia="宋体" w:cs="宋体"/>
                <w:spacing w:val="6"/>
                <w:sz w:val="24"/>
                <w:szCs w:val="24"/>
                <w:highlight w:val="none"/>
              </w:rPr>
              <w:t>功能 、环境适应性、机械环境适应性、抗电强度、</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绝缘电</w:t>
            </w:r>
            <w:r>
              <w:rPr>
                <w:rFonts w:hint="eastAsia" w:ascii="宋体" w:hAnsi="宋体" w:eastAsia="宋体" w:cs="宋体"/>
                <w:spacing w:val="4"/>
                <w:sz w:val="24"/>
                <w:szCs w:val="24"/>
                <w:highlight w:val="none"/>
              </w:rPr>
              <w:t>阻</w:t>
            </w:r>
            <w:r>
              <w:rPr>
                <w:rFonts w:hint="eastAsia" w:ascii="宋体" w:hAnsi="宋体" w:eastAsia="宋体" w:cs="宋体"/>
                <w:spacing w:val="3"/>
                <w:sz w:val="24"/>
                <w:szCs w:val="24"/>
                <w:highlight w:val="none"/>
              </w:rPr>
              <w:t>、泄漏电流、过压运行、过流保护、锁舌侧向静载荷、</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锁体</w:t>
            </w:r>
            <w:r>
              <w:rPr>
                <w:rFonts w:hint="eastAsia" w:ascii="宋体" w:hAnsi="宋体" w:eastAsia="宋体" w:cs="宋体"/>
                <w:spacing w:val="8"/>
                <w:sz w:val="24"/>
                <w:szCs w:val="24"/>
                <w:highlight w:val="none"/>
              </w:rPr>
              <w:t>承</w:t>
            </w:r>
            <w:r>
              <w:rPr>
                <w:rFonts w:hint="eastAsia" w:ascii="宋体" w:hAnsi="宋体" w:eastAsia="宋体" w:cs="宋体"/>
                <w:spacing w:val="7"/>
                <w:sz w:val="24"/>
                <w:szCs w:val="24"/>
                <w:highlight w:val="none"/>
              </w:rPr>
              <w:t>受静载荷及冲击强度、锁扣盒承受静载荷、锁舌轴向静</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载荷</w:t>
            </w:r>
            <w:r>
              <w:rPr>
                <w:rFonts w:hint="eastAsia" w:ascii="宋体" w:hAnsi="宋体" w:eastAsia="宋体" w:cs="宋体"/>
                <w:spacing w:val="10"/>
                <w:sz w:val="24"/>
                <w:szCs w:val="24"/>
                <w:highlight w:val="none"/>
              </w:rPr>
              <w:t>、</w:t>
            </w:r>
            <w:r>
              <w:rPr>
                <w:rFonts w:hint="eastAsia" w:ascii="宋体" w:hAnsi="宋体" w:eastAsia="宋体" w:cs="宋体"/>
                <w:spacing w:val="7"/>
                <w:sz w:val="24"/>
                <w:szCs w:val="24"/>
                <w:highlight w:val="none"/>
              </w:rPr>
              <w:t>执手承受静拉力及扭矩、阻燃、非正常操作 2.主锁舌</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伸出长</w:t>
            </w:r>
            <w:r>
              <w:rPr>
                <w:rFonts w:hint="eastAsia" w:ascii="宋体" w:hAnsi="宋体" w:eastAsia="宋体" w:cs="宋体"/>
                <w:spacing w:val="4"/>
                <w:sz w:val="24"/>
                <w:szCs w:val="24"/>
                <w:highlight w:val="none"/>
              </w:rPr>
              <w:t>度</w:t>
            </w:r>
            <w:r>
              <w:rPr>
                <w:rFonts w:hint="eastAsia" w:ascii="宋体" w:hAnsi="宋体" w:eastAsia="宋体" w:cs="宋体"/>
                <w:spacing w:val="3"/>
                <w:sz w:val="24"/>
                <w:szCs w:val="24"/>
                <w:highlight w:val="none"/>
              </w:rPr>
              <w:t>、主锁舌灵活度、稳定性、信息保存、使用权限管理、</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输</w:t>
            </w:r>
            <w:r>
              <w:rPr>
                <w:rFonts w:hint="eastAsia" w:ascii="宋体" w:hAnsi="宋体" w:eastAsia="宋体" w:cs="宋体"/>
                <w:spacing w:val="11"/>
                <w:sz w:val="24"/>
                <w:szCs w:val="24"/>
                <w:highlight w:val="none"/>
              </w:rPr>
              <w:t>入</w:t>
            </w:r>
            <w:r>
              <w:rPr>
                <w:rFonts w:hint="eastAsia" w:ascii="宋体" w:hAnsi="宋体" w:eastAsia="宋体" w:cs="宋体"/>
                <w:spacing w:val="8"/>
                <w:sz w:val="24"/>
                <w:szCs w:val="24"/>
                <w:highlight w:val="none"/>
              </w:rPr>
              <w:t>错误报警、防拆报警、事件记录、供电方式、欠压指示、</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电源电</w:t>
            </w:r>
            <w:r>
              <w:rPr>
                <w:rFonts w:hint="eastAsia" w:ascii="宋体" w:hAnsi="宋体" w:eastAsia="宋体" w:cs="宋体"/>
                <w:spacing w:val="4"/>
                <w:sz w:val="24"/>
                <w:szCs w:val="24"/>
                <w:highlight w:val="none"/>
              </w:rPr>
              <w:t>压</w:t>
            </w:r>
            <w:r>
              <w:rPr>
                <w:rFonts w:hint="eastAsia" w:ascii="宋体" w:hAnsi="宋体" w:eastAsia="宋体" w:cs="宋体"/>
                <w:spacing w:val="3"/>
                <w:sz w:val="24"/>
                <w:szCs w:val="24"/>
                <w:highlight w:val="none"/>
              </w:rPr>
              <w:t>适应范围、高温、低温、恒定湿热、正弦振动、冲击、</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自由</w:t>
            </w:r>
            <w:r>
              <w:rPr>
                <w:rFonts w:hint="eastAsia" w:ascii="宋体" w:hAnsi="宋体" w:eastAsia="宋体" w:cs="宋体"/>
                <w:spacing w:val="8"/>
                <w:sz w:val="24"/>
                <w:szCs w:val="24"/>
                <w:highlight w:val="none"/>
              </w:rPr>
              <w:t>跌</w:t>
            </w:r>
            <w:r>
              <w:rPr>
                <w:rFonts w:hint="eastAsia" w:ascii="宋体" w:hAnsi="宋体" w:eastAsia="宋体" w:cs="宋体"/>
                <w:spacing w:val="7"/>
                <w:sz w:val="24"/>
                <w:szCs w:val="24"/>
                <w:highlight w:val="none"/>
              </w:rPr>
              <w:t>落、外壳防护等级、防技术开启、锁壳强度、主锁舌抗</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轴向</w:t>
            </w:r>
            <w:r>
              <w:rPr>
                <w:rFonts w:hint="eastAsia" w:ascii="宋体" w:hAnsi="宋体" w:eastAsia="宋体" w:cs="宋体"/>
                <w:spacing w:val="11"/>
                <w:sz w:val="24"/>
                <w:szCs w:val="24"/>
                <w:highlight w:val="none"/>
              </w:rPr>
              <w:t>静</w:t>
            </w:r>
            <w:r>
              <w:rPr>
                <w:rFonts w:hint="eastAsia" w:ascii="宋体" w:hAnsi="宋体" w:eastAsia="宋体" w:cs="宋体"/>
                <w:spacing w:val="7"/>
                <w:sz w:val="24"/>
                <w:szCs w:val="24"/>
                <w:highlight w:val="none"/>
              </w:rPr>
              <w:t>压力、主锁舌抗侧向静压力 、手动部件强度、锁扣盒</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17"/>
                <w:sz w:val="24"/>
                <w:szCs w:val="24"/>
                <w:highlight w:val="none"/>
              </w:rPr>
              <w:t>(</w:t>
            </w:r>
            <w:r>
              <w:rPr>
                <w:rFonts w:hint="eastAsia" w:ascii="宋体" w:hAnsi="宋体" w:eastAsia="宋体" w:cs="宋体"/>
                <w:spacing w:val="11"/>
                <w:sz w:val="24"/>
                <w:szCs w:val="24"/>
                <w:highlight w:val="none"/>
              </w:rPr>
              <w:t>板)强度、识读装置强度、机械钥匙强度、差异量、防钻、</w:t>
            </w:r>
            <w:r>
              <w:rPr>
                <w:rFonts w:hint="eastAsia" w:ascii="宋体" w:hAnsi="宋体" w:eastAsia="宋体" w:cs="宋体"/>
                <w:sz w:val="24"/>
                <w:szCs w:val="24"/>
                <w:highlight w:val="none"/>
              </w:rPr>
              <w:t xml:space="preserve"> </w:t>
            </w:r>
            <w:r>
              <w:rPr>
                <w:rFonts w:hint="eastAsia" w:ascii="宋体" w:hAnsi="宋体" w:eastAsia="宋体" w:cs="宋体"/>
                <w:spacing w:val="11"/>
                <w:sz w:val="24"/>
                <w:szCs w:val="24"/>
                <w:highlight w:val="none"/>
              </w:rPr>
              <w:t>阻</w:t>
            </w:r>
            <w:r>
              <w:rPr>
                <w:rFonts w:hint="eastAsia" w:ascii="宋体" w:hAnsi="宋体" w:eastAsia="宋体" w:cs="宋体"/>
                <w:spacing w:val="7"/>
                <w:sz w:val="24"/>
                <w:szCs w:val="24"/>
                <w:highlight w:val="none"/>
              </w:rPr>
              <w:t>燃、耐久性、盐雾</w:t>
            </w:r>
          </w:p>
        </w:tc>
      </w:tr>
      <w:tr w14:paraId="314D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restart"/>
            <w:vAlign w:val="center"/>
          </w:tcPr>
          <w:p w14:paraId="369028C9">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55.</w:t>
            </w:r>
          </w:p>
        </w:tc>
        <w:tc>
          <w:tcPr>
            <w:tcW w:w="936" w:type="dxa"/>
            <w:vMerge w:val="restart"/>
            <w:vAlign w:val="top"/>
          </w:tcPr>
          <w:p w14:paraId="6C277AF5">
            <w:pPr>
              <w:spacing w:before="0" w:beforeAutospacing="0" w:after="0" w:afterAutospacing="0" w:line="270" w:lineRule="auto"/>
              <w:ind w:left="0" w:right="0"/>
              <w:rPr>
                <w:rFonts w:hint="eastAsia" w:ascii="宋体" w:hAnsi="宋体" w:eastAsia="宋体" w:cs="宋体"/>
                <w:sz w:val="24"/>
                <w:szCs w:val="24"/>
                <w:highlight w:val="none"/>
              </w:rPr>
            </w:pPr>
          </w:p>
          <w:p w14:paraId="55983417">
            <w:pPr>
              <w:spacing w:before="0" w:beforeAutospacing="0" w:after="0" w:afterAutospacing="0" w:line="270" w:lineRule="auto"/>
              <w:ind w:left="0" w:right="0"/>
              <w:rPr>
                <w:rFonts w:hint="eastAsia" w:ascii="宋体" w:hAnsi="宋体" w:eastAsia="宋体" w:cs="宋体"/>
                <w:sz w:val="24"/>
                <w:szCs w:val="24"/>
                <w:highlight w:val="none"/>
              </w:rPr>
            </w:pPr>
          </w:p>
          <w:p w14:paraId="45536710">
            <w:pPr>
              <w:spacing w:before="0" w:beforeAutospacing="0" w:after="0" w:afterAutospacing="0" w:line="270" w:lineRule="auto"/>
              <w:ind w:left="0" w:right="0"/>
              <w:rPr>
                <w:rFonts w:hint="eastAsia" w:ascii="宋体" w:hAnsi="宋体" w:eastAsia="宋体" w:cs="宋体"/>
                <w:sz w:val="24"/>
                <w:szCs w:val="24"/>
                <w:highlight w:val="none"/>
              </w:rPr>
            </w:pPr>
          </w:p>
          <w:p w14:paraId="041502D8">
            <w:pPr>
              <w:spacing w:before="0" w:beforeAutospacing="0" w:after="0" w:afterAutospacing="0" w:line="270" w:lineRule="auto"/>
              <w:ind w:left="0" w:right="0"/>
              <w:rPr>
                <w:rFonts w:hint="eastAsia" w:ascii="宋体" w:hAnsi="宋体" w:eastAsia="宋体" w:cs="宋体"/>
                <w:sz w:val="24"/>
                <w:szCs w:val="24"/>
                <w:highlight w:val="none"/>
              </w:rPr>
            </w:pPr>
          </w:p>
          <w:p w14:paraId="32CC79DB">
            <w:pPr>
              <w:spacing w:before="0" w:beforeAutospacing="0" w:after="0" w:afterAutospacing="0" w:line="270" w:lineRule="auto"/>
              <w:ind w:left="0" w:right="0"/>
              <w:rPr>
                <w:rFonts w:hint="eastAsia" w:ascii="宋体" w:hAnsi="宋体" w:eastAsia="宋体" w:cs="宋体"/>
                <w:sz w:val="24"/>
                <w:szCs w:val="24"/>
                <w:highlight w:val="none"/>
              </w:rPr>
            </w:pPr>
          </w:p>
          <w:p w14:paraId="2AE55607">
            <w:pPr>
              <w:spacing w:before="0" w:beforeAutospacing="0" w:after="0" w:afterAutospacing="0" w:line="270" w:lineRule="auto"/>
              <w:ind w:left="0" w:right="0"/>
              <w:rPr>
                <w:rFonts w:hint="eastAsia" w:ascii="宋体" w:hAnsi="宋体" w:eastAsia="宋体" w:cs="宋体"/>
                <w:sz w:val="24"/>
                <w:szCs w:val="24"/>
                <w:highlight w:val="none"/>
              </w:rPr>
            </w:pPr>
          </w:p>
          <w:p w14:paraId="370254E2">
            <w:pPr>
              <w:spacing w:before="55" w:beforeAutospacing="0" w:after="0" w:afterAutospacing="0" w:line="232" w:lineRule="auto"/>
              <w:ind w:left="93" w:leftChars="0" w:right="0"/>
              <w:rPr>
                <w:rFonts w:hint="eastAsia" w:ascii="宋体" w:hAnsi="宋体" w:eastAsia="宋体" w:cs="宋体"/>
                <w:spacing w:val="2"/>
                <w:sz w:val="24"/>
                <w:szCs w:val="24"/>
                <w:highlight w:val="none"/>
              </w:rPr>
            </w:pPr>
            <w:r>
              <w:rPr>
                <w:rFonts w:hint="eastAsia" w:ascii="宋体" w:hAnsi="宋体" w:eastAsia="宋体" w:cs="宋体"/>
                <w:spacing w:val="-2"/>
                <w:sz w:val="24"/>
                <w:szCs w:val="24"/>
                <w:highlight w:val="none"/>
              </w:rPr>
              <w:t>门锁</w:t>
            </w:r>
          </w:p>
        </w:tc>
        <w:tc>
          <w:tcPr>
            <w:tcW w:w="768" w:type="dxa"/>
            <w:vMerge w:val="restart"/>
            <w:vAlign w:val="top"/>
          </w:tcPr>
          <w:p w14:paraId="4C6D431C">
            <w:pPr>
              <w:spacing w:before="0" w:beforeAutospacing="0" w:after="0" w:afterAutospacing="0" w:line="251" w:lineRule="auto"/>
              <w:ind w:left="0" w:right="0"/>
              <w:rPr>
                <w:rFonts w:hint="eastAsia" w:ascii="宋体" w:hAnsi="宋体" w:eastAsia="宋体" w:cs="宋体"/>
                <w:sz w:val="24"/>
                <w:szCs w:val="24"/>
                <w:highlight w:val="none"/>
              </w:rPr>
            </w:pPr>
          </w:p>
          <w:p w14:paraId="13F29F7F">
            <w:pPr>
              <w:spacing w:before="0" w:beforeAutospacing="0" w:after="0" w:afterAutospacing="0" w:line="251" w:lineRule="auto"/>
              <w:ind w:left="0" w:right="0"/>
              <w:rPr>
                <w:rFonts w:hint="eastAsia" w:ascii="宋体" w:hAnsi="宋体" w:eastAsia="宋体" w:cs="宋体"/>
                <w:sz w:val="24"/>
                <w:szCs w:val="24"/>
                <w:highlight w:val="none"/>
              </w:rPr>
            </w:pPr>
          </w:p>
          <w:p w14:paraId="2E6E0D61">
            <w:pPr>
              <w:spacing w:before="0" w:beforeAutospacing="0" w:after="0" w:afterAutospacing="0" w:line="251" w:lineRule="auto"/>
              <w:ind w:left="0" w:right="0"/>
              <w:rPr>
                <w:rFonts w:hint="eastAsia" w:ascii="宋体" w:hAnsi="宋体" w:eastAsia="宋体" w:cs="宋体"/>
                <w:sz w:val="24"/>
                <w:szCs w:val="24"/>
                <w:highlight w:val="none"/>
              </w:rPr>
            </w:pPr>
          </w:p>
          <w:p w14:paraId="0F8FDDBD">
            <w:pPr>
              <w:spacing w:before="0" w:beforeAutospacing="0" w:after="0" w:afterAutospacing="0" w:line="251" w:lineRule="auto"/>
              <w:ind w:left="0" w:right="0"/>
              <w:rPr>
                <w:rFonts w:hint="eastAsia" w:ascii="宋体" w:hAnsi="宋体" w:eastAsia="宋体" w:cs="宋体"/>
                <w:sz w:val="24"/>
                <w:szCs w:val="24"/>
                <w:highlight w:val="none"/>
              </w:rPr>
            </w:pPr>
          </w:p>
          <w:p w14:paraId="38EDBF90">
            <w:pPr>
              <w:spacing w:before="0" w:beforeAutospacing="0" w:after="0" w:afterAutospacing="0" w:line="251" w:lineRule="auto"/>
              <w:ind w:left="0" w:right="0"/>
              <w:rPr>
                <w:rFonts w:hint="eastAsia" w:ascii="宋体" w:hAnsi="宋体" w:eastAsia="宋体" w:cs="宋体"/>
                <w:sz w:val="24"/>
                <w:szCs w:val="24"/>
                <w:highlight w:val="none"/>
              </w:rPr>
            </w:pPr>
          </w:p>
          <w:p w14:paraId="0764092B">
            <w:pPr>
              <w:spacing w:before="0" w:beforeAutospacing="0" w:after="0" w:afterAutospacing="0" w:line="251" w:lineRule="auto"/>
              <w:ind w:left="0" w:right="0"/>
              <w:rPr>
                <w:rFonts w:hint="eastAsia" w:ascii="宋体" w:hAnsi="宋体" w:eastAsia="宋体" w:cs="宋体"/>
                <w:sz w:val="24"/>
                <w:szCs w:val="24"/>
                <w:highlight w:val="none"/>
              </w:rPr>
            </w:pPr>
          </w:p>
          <w:p w14:paraId="5381C494">
            <w:pPr>
              <w:spacing w:before="55" w:beforeAutospacing="0" w:after="0" w:afterAutospacing="0" w:line="271"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top"/>
          </w:tcPr>
          <w:p w14:paraId="61745035">
            <w:pPr>
              <w:spacing w:before="0" w:beforeAutospacing="0" w:after="0" w:afterAutospacing="0" w:line="304" w:lineRule="auto"/>
              <w:ind w:left="0" w:right="0"/>
              <w:rPr>
                <w:rFonts w:hint="eastAsia" w:ascii="宋体" w:hAnsi="宋体" w:eastAsia="宋体" w:cs="宋体"/>
                <w:sz w:val="24"/>
                <w:szCs w:val="24"/>
                <w:highlight w:val="none"/>
              </w:rPr>
            </w:pPr>
          </w:p>
          <w:p w14:paraId="22CBD3F8">
            <w:pPr>
              <w:spacing w:before="0" w:beforeAutospacing="0" w:after="0" w:afterAutospacing="0" w:line="305" w:lineRule="auto"/>
              <w:ind w:left="0" w:right="0"/>
              <w:rPr>
                <w:rFonts w:hint="eastAsia" w:ascii="宋体" w:hAnsi="宋体" w:eastAsia="宋体" w:cs="宋体"/>
                <w:sz w:val="24"/>
                <w:szCs w:val="24"/>
                <w:highlight w:val="none"/>
              </w:rPr>
            </w:pPr>
          </w:p>
          <w:p w14:paraId="6330D811">
            <w:pPr>
              <w:spacing w:before="0" w:beforeAutospacing="0" w:after="0" w:afterAutospacing="0" w:line="305" w:lineRule="auto"/>
              <w:ind w:left="0" w:right="0"/>
              <w:rPr>
                <w:rFonts w:hint="eastAsia" w:ascii="宋体" w:hAnsi="宋体" w:eastAsia="宋体" w:cs="宋体"/>
                <w:sz w:val="24"/>
                <w:szCs w:val="24"/>
                <w:highlight w:val="none"/>
              </w:rPr>
            </w:pPr>
          </w:p>
          <w:p w14:paraId="0AAB1084">
            <w:pPr>
              <w:spacing w:before="56" w:beforeAutospacing="0" w:after="0" w:afterAutospacing="0" w:line="235"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6"/>
                <w:sz w:val="24"/>
                <w:szCs w:val="24"/>
                <w:highlight w:val="none"/>
              </w:rPr>
              <w:t>2473-201</w:t>
            </w:r>
            <w:r>
              <w:rPr>
                <w:rFonts w:hint="eastAsia" w:ascii="宋体" w:hAnsi="宋体" w:eastAsia="宋体" w:cs="宋体"/>
                <w:spacing w:val="5"/>
                <w:sz w:val="24"/>
                <w:szCs w:val="24"/>
                <w:highlight w:val="none"/>
              </w:rPr>
              <w:t>7</w:t>
            </w:r>
          </w:p>
        </w:tc>
        <w:tc>
          <w:tcPr>
            <w:tcW w:w="3895" w:type="dxa"/>
            <w:vAlign w:val="top"/>
          </w:tcPr>
          <w:p w14:paraId="4A5BD618">
            <w:pPr>
              <w:tabs>
                <w:tab w:val="left" w:pos="108"/>
              </w:tabs>
              <w:spacing w:before="45" w:beforeAutospacing="0" w:after="0" w:afterAutospacing="0" w:line="250" w:lineRule="auto"/>
              <w:ind w:left="15" w:leftChars="0" w:right="0"/>
              <w:rPr>
                <w:rFonts w:hint="eastAsia" w:ascii="宋体" w:hAnsi="宋体" w:eastAsia="宋体" w:cs="宋体"/>
                <w:spacing w:val="7"/>
                <w:sz w:val="24"/>
                <w:szCs w:val="24"/>
                <w:highlight w:val="none"/>
              </w:rPr>
            </w:pPr>
            <w:r>
              <w:rPr>
                <w:rFonts w:hint="eastAsia" w:ascii="宋体" w:hAnsi="宋体" w:eastAsia="宋体" w:cs="宋体"/>
                <w:spacing w:val="14"/>
                <w:sz w:val="24"/>
                <w:szCs w:val="24"/>
                <w:highlight w:val="none"/>
              </w:rPr>
              <w:t>锁舌</w:t>
            </w:r>
            <w:r>
              <w:rPr>
                <w:rFonts w:hint="eastAsia" w:ascii="宋体" w:hAnsi="宋体" w:eastAsia="宋体" w:cs="宋体"/>
                <w:spacing w:val="9"/>
                <w:sz w:val="24"/>
                <w:szCs w:val="24"/>
                <w:highlight w:val="none"/>
              </w:rPr>
              <w:t>伸</w:t>
            </w:r>
            <w:r>
              <w:rPr>
                <w:rFonts w:hint="eastAsia" w:ascii="宋体" w:hAnsi="宋体" w:eastAsia="宋体" w:cs="宋体"/>
                <w:spacing w:val="7"/>
                <w:sz w:val="24"/>
                <w:szCs w:val="24"/>
                <w:highlight w:val="none"/>
              </w:rPr>
              <w:t>出长度、铆接牢固度、外露件表面、配合间隙 、钥匙</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启、闭力矩、旋钮 (执手) 启、闭力矩、钥匙插、拔力、斜舌</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返回力</w:t>
            </w:r>
            <w:r>
              <w:rPr>
                <w:rFonts w:hint="eastAsia" w:ascii="宋体" w:hAnsi="宋体" w:eastAsia="宋体" w:cs="宋体"/>
                <w:spacing w:val="3"/>
                <w:sz w:val="24"/>
                <w:szCs w:val="24"/>
                <w:highlight w:val="none"/>
              </w:rPr>
              <w:t>、斜舌关闭力、呆舌轴向负载启、闭、锁舌侧向静载荷、</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锁舌</w:t>
            </w:r>
            <w:r>
              <w:rPr>
                <w:rFonts w:hint="eastAsia" w:ascii="宋体" w:hAnsi="宋体" w:eastAsia="宋体" w:cs="宋体"/>
                <w:spacing w:val="11"/>
                <w:sz w:val="24"/>
                <w:szCs w:val="24"/>
                <w:highlight w:val="none"/>
              </w:rPr>
              <w:t>轴</w:t>
            </w:r>
            <w:r>
              <w:rPr>
                <w:rFonts w:hint="eastAsia" w:ascii="宋体" w:hAnsi="宋体" w:eastAsia="宋体" w:cs="宋体"/>
                <w:spacing w:val="6"/>
                <w:sz w:val="24"/>
                <w:szCs w:val="24"/>
                <w:highlight w:val="none"/>
              </w:rPr>
              <w:t>向静载荷、旋钮 (执手) 扭矩、旋钮 (执手) 轴向静拉</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力、</w:t>
            </w:r>
            <w:r>
              <w:rPr>
                <w:rFonts w:hint="eastAsia" w:ascii="宋体" w:hAnsi="宋体" w:eastAsia="宋体" w:cs="宋体"/>
                <w:spacing w:val="10"/>
                <w:sz w:val="24"/>
                <w:szCs w:val="24"/>
                <w:highlight w:val="none"/>
              </w:rPr>
              <w:t>执</w:t>
            </w:r>
            <w:r>
              <w:rPr>
                <w:rFonts w:hint="eastAsia" w:ascii="宋体" w:hAnsi="宋体" w:eastAsia="宋体" w:cs="宋体"/>
                <w:spacing w:val="7"/>
                <w:sz w:val="24"/>
                <w:szCs w:val="24"/>
                <w:highlight w:val="none"/>
              </w:rPr>
              <w:t>手径向静载荷、斜舌拉手静拉力、钥匙扭矩 、锁扣盒</w:t>
            </w: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rPr>
              <w:tab/>
            </w:r>
            <w:r>
              <w:rPr>
                <w:rFonts w:hint="eastAsia" w:ascii="宋体" w:hAnsi="宋体" w:eastAsia="宋体" w:cs="宋体"/>
                <w:spacing w:val="7"/>
                <w:sz w:val="24"/>
                <w:szCs w:val="24"/>
                <w:highlight w:val="none"/>
              </w:rPr>
              <w:t>(板) 侧向静载荷、锁芯扭矩、锁头轴向静载荷、安全链静</w:t>
            </w:r>
            <w:r>
              <w:rPr>
                <w:rFonts w:hint="eastAsia" w:ascii="宋体" w:hAnsi="宋体" w:eastAsia="宋体" w:cs="宋体"/>
                <w:spacing w:val="6"/>
                <w:sz w:val="24"/>
                <w:szCs w:val="24"/>
                <w:highlight w:val="none"/>
              </w:rPr>
              <w:t>拉</w:t>
            </w:r>
            <w:r>
              <w:rPr>
                <w:rFonts w:hint="eastAsia" w:ascii="宋体" w:hAnsi="宋体" w:eastAsia="宋体" w:cs="宋体"/>
                <w:sz w:val="24"/>
                <w:szCs w:val="24"/>
                <w:highlight w:val="none"/>
              </w:rPr>
              <w:t xml:space="preserve"> </w:t>
            </w:r>
            <w:r>
              <w:rPr>
                <w:rFonts w:hint="eastAsia" w:ascii="宋体" w:hAnsi="宋体" w:eastAsia="宋体" w:cs="宋体"/>
                <w:spacing w:val="16"/>
                <w:sz w:val="24"/>
                <w:szCs w:val="24"/>
                <w:highlight w:val="none"/>
              </w:rPr>
              <w:t>力</w:t>
            </w:r>
            <w:r>
              <w:rPr>
                <w:rFonts w:hint="eastAsia" w:ascii="宋体" w:hAnsi="宋体" w:eastAsia="宋体" w:cs="宋体"/>
                <w:spacing w:val="10"/>
                <w:sz w:val="24"/>
                <w:szCs w:val="24"/>
                <w:highlight w:val="none"/>
              </w:rPr>
              <w:t>、</w:t>
            </w:r>
            <w:r>
              <w:rPr>
                <w:rFonts w:hint="eastAsia" w:ascii="宋体" w:hAnsi="宋体" w:eastAsia="宋体" w:cs="宋体"/>
                <w:spacing w:val="8"/>
                <w:sz w:val="24"/>
                <w:szCs w:val="24"/>
                <w:highlight w:val="none"/>
              </w:rPr>
              <w:t>锁头传动条扭矩、锁体拨动件扭矩、耐腐蚀、钥匙齿数、</w:t>
            </w:r>
            <w:r>
              <w:rPr>
                <w:rFonts w:hint="eastAsia" w:ascii="宋体" w:hAnsi="宋体" w:eastAsia="宋体" w:cs="宋体"/>
                <w:sz w:val="24"/>
                <w:szCs w:val="24"/>
                <w:highlight w:val="none"/>
              </w:rPr>
              <w:t xml:space="preserve"> </w:t>
            </w:r>
            <w:r>
              <w:rPr>
                <w:rFonts w:hint="eastAsia" w:ascii="宋体" w:hAnsi="宋体" w:eastAsia="宋体" w:cs="宋体"/>
                <w:spacing w:val="12"/>
                <w:sz w:val="24"/>
                <w:szCs w:val="24"/>
                <w:highlight w:val="none"/>
              </w:rPr>
              <w:t>钥匙理</w:t>
            </w:r>
            <w:r>
              <w:rPr>
                <w:rFonts w:hint="eastAsia" w:ascii="宋体" w:hAnsi="宋体" w:eastAsia="宋体" w:cs="宋体"/>
                <w:spacing w:val="8"/>
                <w:sz w:val="24"/>
                <w:szCs w:val="24"/>
                <w:highlight w:val="none"/>
              </w:rPr>
              <w:t>论</w:t>
            </w:r>
            <w:r>
              <w:rPr>
                <w:rFonts w:hint="eastAsia" w:ascii="宋体" w:hAnsi="宋体" w:eastAsia="宋体" w:cs="宋体"/>
                <w:spacing w:val="6"/>
                <w:sz w:val="24"/>
                <w:szCs w:val="24"/>
                <w:highlight w:val="none"/>
              </w:rPr>
              <w:t>牙花数 、钥匙牙花不同高度数、同一牙花相邻数、</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互</w:t>
            </w:r>
            <w:r>
              <w:rPr>
                <w:rFonts w:hint="eastAsia" w:ascii="宋体" w:hAnsi="宋体" w:eastAsia="宋体" w:cs="宋体"/>
                <w:spacing w:val="8"/>
                <w:sz w:val="24"/>
                <w:szCs w:val="24"/>
                <w:highlight w:val="none"/>
              </w:rPr>
              <w:t>开</w:t>
            </w:r>
            <w:r>
              <w:rPr>
                <w:rFonts w:hint="eastAsia" w:ascii="宋体" w:hAnsi="宋体" w:eastAsia="宋体" w:cs="宋体"/>
                <w:spacing w:val="7"/>
                <w:sz w:val="24"/>
                <w:szCs w:val="24"/>
                <w:highlight w:val="none"/>
              </w:rPr>
              <w:t>率、锁头防拨安全装置</w:t>
            </w:r>
          </w:p>
        </w:tc>
      </w:tr>
      <w:tr w14:paraId="1E80F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417B90EF">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p>
        </w:tc>
        <w:tc>
          <w:tcPr>
            <w:tcW w:w="936" w:type="dxa"/>
            <w:vMerge w:val="continue"/>
            <w:vAlign w:val="top"/>
          </w:tcPr>
          <w:p w14:paraId="79F84E49">
            <w:pPr>
              <w:spacing w:before="19" w:beforeAutospacing="0" w:after="0" w:afterAutospacing="0" w:line="232" w:lineRule="auto"/>
              <w:ind w:left="161" w:leftChars="0" w:right="0"/>
              <w:rPr>
                <w:rFonts w:hint="eastAsia" w:ascii="宋体" w:hAnsi="宋体" w:eastAsia="宋体" w:cs="宋体"/>
                <w:spacing w:val="2"/>
                <w:sz w:val="24"/>
                <w:szCs w:val="24"/>
                <w:highlight w:val="none"/>
              </w:rPr>
            </w:pPr>
          </w:p>
        </w:tc>
        <w:tc>
          <w:tcPr>
            <w:tcW w:w="768" w:type="dxa"/>
            <w:vMerge w:val="continue"/>
            <w:vAlign w:val="top"/>
          </w:tcPr>
          <w:p w14:paraId="20EE09B9">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p>
        </w:tc>
        <w:tc>
          <w:tcPr>
            <w:tcW w:w="2136" w:type="dxa"/>
            <w:vAlign w:val="top"/>
          </w:tcPr>
          <w:p w14:paraId="0AB0DD6B">
            <w:pPr>
              <w:spacing w:before="0" w:beforeAutospacing="0" w:after="0" w:afterAutospacing="0" w:line="297" w:lineRule="auto"/>
              <w:ind w:left="0" w:right="0"/>
              <w:rPr>
                <w:rFonts w:hint="eastAsia" w:ascii="宋体" w:hAnsi="宋体" w:eastAsia="宋体" w:cs="宋体"/>
                <w:sz w:val="24"/>
                <w:szCs w:val="24"/>
                <w:highlight w:val="none"/>
              </w:rPr>
            </w:pPr>
          </w:p>
          <w:p w14:paraId="6788573E">
            <w:pPr>
              <w:spacing w:before="0" w:beforeAutospacing="0" w:after="0" w:afterAutospacing="0" w:line="298" w:lineRule="auto"/>
              <w:ind w:left="0" w:right="0"/>
              <w:rPr>
                <w:rFonts w:hint="eastAsia" w:ascii="宋体" w:hAnsi="宋体" w:eastAsia="宋体" w:cs="宋体"/>
                <w:sz w:val="24"/>
                <w:szCs w:val="24"/>
                <w:highlight w:val="none"/>
              </w:rPr>
            </w:pPr>
          </w:p>
          <w:p w14:paraId="182CA03B">
            <w:pPr>
              <w:spacing w:before="56" w:beforeAutospacing="0" w:after="0" w:afterAutospacing="0" w:line="193"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GB</w:t>
            </w:r>
            <w:r>
              <w:rPr>
                <w:rFonts w:hint="eastAsia" w:ascii="宋体" w:hAnsi="宋体" w:eastAsia="宋体" w:cs="宋体"/>
                <w:spacing w:val="10"/>
                <w:sz w:val="24"/>
                <w:szCs w:val="24"/>
                <w:highlight w:val="none"/>
              </w:rPr>
              <w:t xml:space="preserve"> </w:t>
            </w:r>
            <w:r>
              <w:rPr>
                <w:rFonts w:hint="eastAsia" w:ascii="宋体" w:hAnsi="宋体" w:eastAsia="宋体" w:cs="宋体"/>
                <w:spacing w:val="7"/>
                <w:sz w:val="24"/>
                <w:szCs w:val="24"/>
                <w:highlight w:val="none"/>
              </w:rPr>
              <w:t>2</w:t>
            </w:r>
            <w:r>
              <w:rPr>
                <w:rFonts w:hint="eastAsia" w:ascii="宋体" w:hAnsi="宋体" w:eastAsia="宋体" w:cs="宋体"/>
                <w:spacing w:val="5"/>
                <w:sz w:val="24"/>
                <w:szCs w:val="24"/>
                <w:highlight w:val="none"/>
              </w:rPr>
              <w:t>1556-2008</w:t>
            </w:r>
          </w:p>
        </w:tc>
        <w:tc>
          <w:tcPr>
            <w:tcW w:w="3895" w:type="dxa"/>
            <w:vAlign w:val="top"/>
          </w:tcPr>
          <w:p w14:paraId="761B2251">
            <w:pPr>
              <w:spacing w:before="43" w:beforeAutospacing="0" w:after="0" w:afterAutospacing="0" w:line="249" w:lineRule="auto"/>
              <w:ind w:left="14" w:leftChars="0" w:right="12" w:firstLine="91" w:firstLineChars="0"/>
              <w:rPr>
                <w:rFonts w:hint="eastAsia" w:ascii="宋体" w:hAnsi="宋体" w:eastAsia="宋体" w:cs="宋体"/>
                <w:spacing w:val="7"/>
                <w:sz w:val="24"/>
                <w:szCs w:val="24"/>
                <w:highlight w:val="none"/>
              </w:rPr>
            </w:pPr>
            <w:r>
              <w:rPr>
                <w:rFonts w:hint="eastAsia" w:ascii="宋体" w:hAnsi="宋体" w:eastAsia="宋体" w:cs="宋体"/>
                <w:spacing w:val="18"/>
                <w:sz w:val="24"/>
                <w:szCs w:val="24"/>
                <w:highlight w:val="none"/>
              </w:rPr>
              <w:t>锁舌</w:t>
            </w:r>
            <w:r>
              <w:rPr>
                <w:rFonts w:hint="eastAsia" w:ascii="宋体" w:hAnsi="宋体" w:eastAsia="宋体" w:cs="宋体"/>
                <w:spacing w:val="9"/>
                <w:sz w:val="24"/>
                <w:szCs w:val="24"/>
                <w:highlight w:val="none"/>
              </w:rPr>
              <w:t>伸出长度、双向锁头结构、锁头螺孔静拉力、弹子孔封</w:t>
            </w:r>
            <w:r>
              <w:rPr>
                <w:rFonts w:hint="eastAsia" w:ascii="宋体" w:hAnsi="宋体" w:eastAsia="宋体" w:cs="宋体"/>
                <w:sz w:val="24"/>
                <w:szCs w:val="24"/>
                <w:highlight w:val="none"/>
              </w:rPr>
              <w:t xml:space="preserve"> </w:t>
            </w:r>
            <w:r>
              <w:rPr>
                <w:rFonts w:hint="eastAsia" w:ascii="宋体" w:hAnsi="宋体" w:eastAsia="宋体" w:cs="宋体"/>
                <w:spacing w:val="17"/>
                <w:sz w:val="24"/>
                <w:szCs w:val="24"/>
                <w:highlight w:val="none"/>
              </w:rPr>
              <w:t>片</w:t>
            </w:r>
            <w:r>
              <w:rPr>
                <w:rFonts w:hint="eastAsia" w:ascii="宋体" w:hAnsi="宋体" w:eastAsia="宋体" w:cs="宋体"/>
                <w:spacing w:val="9"/>
                <w:sz w:val="24"/>
                <w:szCs w:val="24"/>
                <w:highlight w:val="none"/>
              </w:rPr>
              <w:t>静拉力、拉手静拉力、执手静拉力、保险钮静拉力、安全链</w:t>
            </w:r>
            <w:r>
              <w:rPr>
                <w:rFonts w:hint="eastAsia" w:ascii="宋体" w:hAnsi="宋体" w:eastAsia="宋体" w:cs="宋体"/>
                <w:sz w:val="24"/>
                <w:szCs w:val="24"/>
                <w:highlight w:val="none"/>
              </w:rPr>
              <w:t xml:space="preserve"> </w:t>
            </w:r>
            <w:r>
              <w:rPr>
                <w:rFonts w:hint="eastAsia" w:ascii="宋体" w:hAnsi="宋体" w:eastAsia="宋体" w:cs="宋体"/>
                <w:spacing w:val="17"/>
                <w:sz w:val="24"/>
                <w:szCs w:val="24"/>
                <w:highlight w:val="none"/>
              </w:rPr>
              <w:t>静</w:t>
            </w:r>
            <w:r>
              <w:rPr>
                <w:rFonts w:hint="eastAsia" w:ascii="宋体" w:hAnsi="宋体" w:eastAsia="宋体" w:cs="宋体"/>
                <w:spacing w:val="9"/>
                <w:sz w:val="24"/>
                <w:szCs w:val="24"/>
                <w:highlight w:val="none"/>
              </w:rPr>
              <w:t>拉力、锁舌侧向静载荷、锁舌轴向静载荷、锁扣盒静拉力、</w:t>
            </w:r>
            <w:r>
              <w:rPr>
                <w:rFonts w:hint="eastAsia" w:ascii="宋体" w:hAnsi="宋体" w:eastAsia="宋体" w:cs="宋体"/>
                <w:sz w:val="24"/>
                <w:szCs w:val="24"/>
                <w:highlight w:val="none"/>
              </w:rPr>
              <w:t xml:space="preserve"> </w:t>
            </w:r>
            <w:r>
              <w:rPr>
                <w:rFonts w:hint="eastAsia" w:ascii="宋体" w:hAnsi="宋体" w:eastAsia="宋体" w:cs="宋体"/>
                <w:spacing w:val="18"/>
                <w:sz w:val="24"/>
                <w:szCs w:val="24"/>
                <w:highlight w:val="none"/>
              </w:rPr>
              <w:t>锁</w:t>
            </w:r>
            <w:r>
              <w:rPr>
                <w:rFonts w:hint="eastAsia" w:ascii="宋体" w:hAnsi="宋体" w:eastAsia="宋体" w:cs="宋体"/>
                <w:spacing w:val="9"/>
                <w:sz w:val="24"/>
                <w:szCs w:val="24"/>
                <w:highlight w:val="none"/>
              </w:rPr>
              <w:t>扣板静拉力、钥匙扭矩、锁头传动条扭矩 、锁体拨动件扭</w:t>
            </w:r>
            <w:r>
              <w:rPr>
                <w:rFonts w:hint="eastAsia" w:ascii="宋体" w:hAnsi="宋体" w:eastAsia="宋体" w:cs="宋体"/>
                <w:sz w:val="24"/>
                <w:szCs w:val="24"/>
                <w:highlight w:val="none"/>
              </w:rPr>
              <w:t xml:space="preserve"> </w:t>
            </w:r>
            <w:r>
              <w:rPr>
                <w:rFonts w:hint="eastAsia" w:ascii="宋体" w:hAnsi="宋体" w:eastAsia="宋体" w:cs="宋体"/>
                <w:spacing w:val="9"/>
                <w:sz w:val="24"/>
                <w:szCs w:val="24"/>
                <w:highlight w:val="none"/>
              </w:rPr>
              <w:t>矩、执手扭矩 、锁头防拨安全装置 、钥匙不同牙花数 、互</w:t>
            </w:r>
            <w:r>
              <w:rPr>
                <w:rFonts w:hint="eastAsia" w:ascii="宋体" w:hAnsi="宋体" w:eastAsia="宋体" w:cs="宋体"/>
                <w:sz w:val="24"/>
                <w:szCs w:val="24"/>
                <w:highlight w:val="none"/>
              </w:rPr>
              <w:t xml:space="preserve"> </w:t>
            </w:r>
            <w:r>
              <w:rPr>
                <w:rFonts w:hint="eastAsia" w:ascii="宋体" w:hAnsi="宋体" w:eastAsia="宋体" w:cs="宋体"/>
                <w:spacing w:val="7"/>
                <w:sz w:val="24"/>
                <w:szCs w:val="24"/>
                <w:highlight w:val="none"/>
              </w:rPr>
              <w:t>开</w:t>
            </w:r>
            <w:r>
              <w:rPr>
                <w:rFonts w:hint="eastAsia" w:ascii="宋体" w:hAnsi="宋体" w:eastAsia="宋体" w:cs="宋体"/>
                <w:spacing w:val="6"/>
                <w:sz w:val="24"/>
                <w:szCs w:val="24"/>
                <w:highlight w:val="none"/>
              </w:rPr>
              <w:t>率</w:t>
            </w:r>
          </w:p>
        </w:tc>
      </w:tr>
      <w:tr w14:paraId="7236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Merge w:val="continue"/>
            <w:vAlign w:val="center"/>
          </w:tcPr>
          <w:p w14:paraId="00FD55D7">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p>
        </w:tc>
        <w:tc>
          <w:tcPr>
            <w:tcW w:w="936" w:type="dxa"/>
            <w:vMerge w:val="continue"/>
            <w:vAlign w:val="top"/>
          </w:tcPr>
          <w:p w14:paraId="172AE181">
            <w:pPr>
              <w:spacing w:before="19" w:beforeAutospacing="0" w:after="0" w:afterAutospacing="0" w:line="232" w:lineRule="auto"/>
              <w:ind w:left="161" w:leftChars="0" w:right="0"/>
              <w:rPr>
                <w:rFonts w:hint="eastAsia" w:ascii="宋体" w:hAnsi="宋体" w:eastAsia="宋体" w:cs="宋体"/>
                <w:spacing w:val="2"/>
                <w:sz w:val="24"/>
                <w:szCs w:val="24"/>
                <w:highlight w:val="none"/>
              </w:rPr>
            </w:pPr>
          </w:p>
        </w:tc>
        <w:tc>
          <w:tcPr>
            <w:tcW w:w="768" w:type="dxa"/>
            <w:vMerge w:val="continue"/>
            <w:vAlign w:val="top"/>
          </w:tcPr>
          <w:p w14:paraId="63A516EA">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p>
        </w:tc>
        <w:tc>
          <w:tcPr>
            <w:tcW w:w="2136" w:type="dxa"/>
            <w:vAlign w:val="top"/>
          </w:tcPr>
          <w:p w14:paraId="70F8A64E">
            <w:pPr>
              <w:spacing w:before="0" w:beforeAutospacing="0" w:after="0" w:afterAutospacing="0" w:line="286" w:lineRule="auto"/>
              <w:ind w:left="0" w:right="0"/>
              <w:rPr>
                <w:rFonts w:hint="eastAsia" w:ascii="宋体" w:hAnsi="宋体" w:eastAsia="宋体" w:cs="宋体"/>
                <w:sz w:val="24"/>
                <w:szCs w:val="24"/>
                <w:highlight w:val="none"/>
              </w:rPr>
            </w:pPr>
          </w:p>
          <w:p w14:paraId="12055CFA">
            <w:pPr>
              <w:spacing w:before="0" w:beforeAutospacing="0" w:after="0" w:afterAutospacing="0" w:line="287" w:lineRule="auto"/>
              <w:ind w:left="0" w:right="0"/>
              <w:rPr>
                <w:rFonts w:hint="eastAsia" w:ascii="宋体" w:hAnsi="宋体" w:eastAsia="宋体" w:cs="宋体"/>
                <w:sz w:val="24"/>
                <w:szCs w:val="24"/>
                <w:highlight w:val="none"/>
              </w:rPr>
            </w:pPr>
          </w:p>
          <w:p w14:paraId="04323F57">
            <w:pPr>
              <w:spacing w:before="0" w:beforeAutospacing="0" w:after="0" w:afterAutospacing="0" w:line="287" w:lineRule="auto"/>
              <w:ind w:left="0" w:right="0"/>
              <w:rPr>
                <w:rFonts w:hint="eastAsia" w:ascii="宋体" w:hAnsi="宋体" w:eastAsia="宋体" w:cs="宋体"/>
                <w:sz w:val="24"/>
                <w:szCs w:val="24"/>
                <w:highlight w:val="none"/>
              </w:rPr>
            </w:pPr>
          </w:p>
          <w:p w14:paraId="1F314421">
            <w:pPr>
              <w:spacing w:before="0" w:beforeAutospacing="0" w:after="0" w:afterAutospacing="0" w:line="287" w:lineRule="auto"/>
              <w:ind w:left="0" w:right="0"/>
              <w:rPr>
                <w:rFonts w:hint="eastAsia" w:ascii="宋体" w:hAnsi="宋体" w:eastAsia="宋体" w:cs="宋体"/>
                <w:sz w:val="24"/>
                <w:szCs w:val="24"/>
                <w:highlight w:val="none"/>
              </w:rPr>
            </w:pPr>
          </w:p>
          <w:p w14:paraId="06318465">
            <w:pPr>
              <w:spacing w:before="55" w:beforeAutospacing="0" w:after="0" w:afterAutospacing="0" w:line="235" w:lineRule="auto"/>
              <w:ind w:left="12"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QB</w:t>
            </w:r>
            <w:r>
              <w:rPr>
                <w:rFonts w:hint="eastAsia" w:ascii="宋体" w:hAnsi="宋体" w:eastAsia="宋体" w:cs="宋体"/>
                <w:spacing w:val="6"/>
                <w:sz w:val="24"/>
                <w:szCs w:val="24"/>
                <w:highlight w:val="none"/>
              </w:rPr>
              <w:t>/</w:t>
            </w:r>
            <w:r>
              <w:rPr>
                <w:rFonts w:hint="eastAsia" w:ascii="宋体" w:hAnsi="宋体" w:eastAsia="宋体" w:cs="宋体"/>
                <w:sz w:val="24"/>
                <w:szCs w:val="24"/>
                <w:highlight w:val="none"/>
              </w:rPr>
              <w:t>T</w:t>
            </w:r>
            <w:r>
              <w:rPr>
                <w:rFonts w:hint="eastAsia" w:ascii="宋体" w:hAnsi="宋体" w:eastAsia="宋体" w:cs="宋体"/>
                <w:spacing w:val="6"/>
                <w:sz w:val="24"/>
                <w:szCs w:val="24"/>
                <w:highlight w:val="none"/>
              </w:rPr>
              <w:t>2474-201</w:t>
            </w:r>
            <w:r>
              <w:rPr>
                <w:rFonts w:hint="eastAsia" w:ascii="宋体" w:hAnsi="宋体" w:eastAsia="宋体" w:cs="宋体"/>
                <w:spacing w:val="5"/>
                <w:sz w:val="24"/>
                <w:szCs w:val="24"/>
                <w:highlight w:val="none"/>
              </w:rPr>
              <w:t>7</w:t>
            </w:r>
          </w:p>
        </w:tc>
        <w:tc>
          <w:tcPr>
            <w:tcW w:w="3895" w:type="dxa"/>
            <w:vAlign w:val="top"/>
          </w:tcPr>
          <w:p w14:paraId="5BB37591">
            <w:pPr>
              <w:spacing w:before="46" w:beforeAutospacing="0" w:after="0" w:afterAutospacing="0" w:line="251" w:lineRule="auto"/>
              <w:ind w:left="14" w:leftChars="0" w:right="0"/>
              <w:rPr>
                <w:rFonts w:hint="eastAsia" w:ascii="宋体" w:hAnsi="宋体" w:eastAsia="宋体" w:cs="宋体"/>
                <w:spacing w:val="7"/>
                <w:sz w:val="24"/>
                <w:szCs w:val="24"/>
                <w:highlight w:val="none"/>
              </w:rPr>
            </w:pPr>
            <w:r>
              <w:rPr>
                <w:rFonts w:hint="eastAsia" w:ascii="宋体" w:hAnsi="宋体" w:eastAsia="宋体" w:cs="宋体"/>
                <w:spacing w:val="16"/>
                <w:sz w:val="24"/>
                <w:szCs w:val="24"/>
                <w:highlight w:val="none"/>
              </w:rPr>
              <w:t>锁</w:t>
            </w:r>
            <w:r>
              <w:rPr>
                <w:rFonts w:hint="eastAsia" w:ascii="宋体" w:hAnsi="宋体" w:eastAsia="宋体" w:cs="宋体"/>
                <w:spacing w:val="10"/>
                <w:sz w:val="24"/>
                <w:szCs w:val="24"/>
                <w:highlight w:val="none"/>
              </w:rPr>
              <w:t>舌</w:t>
            </w:r>
            <w:r>
              <w:rPr>
                <w:rFonts w:hint="eastAsia" w:ascii="宋体" w:hAnsi="宋体" w:eastAsia="宋体" w:cs="宋体"/>
                <w:spacing w:val="8"/>
                <w:sz w:val="24"/>
                <w:szCs w:val="24"/>
                <w:highlight w:val="none"/>
              </w:rPr>
              <w:t>伸出长度、铆接牢固度、外露件表面、配合间隙、钥匙、</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旋钮</w:t>
            </w:r>
            <w:r>
              <w:rPr>
                <w:rFonts w:hint="eastAsia" w:ascii="宋体" w:hAnsi="宋体" w:eastAsia="宋体" w:cs="宋体"/>
                <w:spacing w:val="8"/>
                <w:sz w:val="24"/>
                <w:szCs w:val="24"/>
                <w:highlight w:val="none"/>
              </w:rPr>
              <w:t>启</w:t>
            </w:r>
            <w:r>
              <w:rPr>
                <w:rFonts w:hint="eastAsia" w:ascii="宋体" w:hAnsi="宋体" w:eastAsia="宋体" w:cs="宋体"/>
                <w:spacing w:val="7"/>
                <w:sz w:val="24"/>
                <w:szCs w:val="24"/>
                <w:highlight w:val="none"/>
              </w:rPr>
              <w:t>、闭力矩、执手启、闭力矩、按压按钮开锁力、锁头钥</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匙插、</w:t>
            </w:r>
            <w:r>
              <w:rPr>
                <w:rFonts w:hint="eastAsia" w:ascii="宋体" w:hAnsi="宋体" w:eastAsia="宋体" w:cs="宋体"/>
                <w:spacing w:val="4"/>
                <w:sz w:val="24"/>
                <w:szCs w:val="24"/>
                <w:highlight w:val="none"/>
              </w:rPr>
              <w:t>拔</w:t>
            </w:r>
            <w:r>
              <w:rPr>
                <w:rFonts w:hint="eastAsia" w:ascii="宋体" w:hAnsi="宋体" w:eastAsia="宋体" w:cs="宋体"/>
                <w:spacing w:val="3"/>
                <w:sz w:val="24"/>
                <w:szCs w:val="24"/>
                <w:highlight w:val="none"/>
              </w:rPr>
              <w:t>力、斜舌返回力、斜舌关闭力、呆舌轴向负载启、闭、</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锁舌</w:t>
            </w:r>
            <w:r>
              <w:rPr>
                <w:rFonts w:hint="eastAsia" w:ascii="宋体" w:hAnsi="宋体" w:eastAsia="宋体" w:cs="宋体"/>
                <w:spacing w:val="8"/>
                <w:sz w:val="24"/>
                <w:szCs w:val="24"/>
                <w:highlight w:val="none"/>
              </w:rPr>
              <w:t>侧</w:t>
            </w:r>
            <w:r>
              <w:rPr>
                <w:rFonts w:hint="eastAsia" w:ascii="宋体" w:hAnsi="宋体" w:eastAsia="宋体" w:cs="宋体"/>
                <w:spacing w:val="7"/>
                <w:sz w:val="24"/>
                <w:szCs w:val="24"/>
                <w:highlight w:val="none"/>
              </w:rPr>
              <w:t>向静载荷、锁舌轴向静载荷、锁定状态外执手扭矩、解</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锁状</w:t>
            </w:r>
            <w:r>
              <w:rPr>
                <w:rFonts w:hint="eastAsia" w:ascii="宋体" w:hAnsi="宋体" w:eastAsia="宋体" w:cs="宋体"/>
                <w:spacing w:val="8"/>
                <w:sz w:val="24"/>
                <w:szCs w:val="24"/>
                <w:highlight w:val="none"/>
              </w:rPr>
              <w:t>态</w:t>
            </w:r>
            <w:r>
              <w:rPr>
                <w:rFonts w:hint="eastAsia" w:ascii="宋体" w:hAnsi="宋体" w:eastAsia="宋体" w:cs="宋体"/>
                <w:spacing w:val="7"/>
                <w:sz w:val="24"/>
                <w:szCs w:val="24"/>
                <w:highlight w:val="none"/>
              </w:rPr>
              <w:t>执手扭矩、执手径向静载荷、执手轴向静拉力、旋钮扭</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矩、</w:t>
            </w:r>
            <w:r>
              <w:rPr>
                <w:rFonts w:hint="eastAsia" w:ascii="宋体" w:hAnsi="宋体" w:eastAsia="宋体" w:cs="宋体"/>
                <w:spacing w:val="8"/>
                <w:sz w:val="24"/>
                <w:szCs w:val="24"/>
                <w:highlight w:val="none"/>
              </w:rPr>
              <w:t>旋</w:t>
            </w:r>
            <w:r>
              <w:rPr>
                <w:rFonts w:hint="eastAsia" w:ascii="宋体" w:hAnsi="宋体" w:eastAsia="宋体" w:cs="宋体"/>
                <w:spacing w:val="7"/>
                <w:sz w:val="24"/>
                <w:szCs w:val="24"/>
                <w:highlight w:val="none"/>
              </w:rPr>
              <w:t>钮轴向静拉力、锁定状态外按压按钮静载荷、解锁状态</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外按压</w:t>
            </w:r>
            <w:r>
              <w:rPr>
                <w:rFonts w:hint="eastAsia" w:ascii="宋体" w:hAnsi="宋体" w:eastAsia="宋体" w:cs="宋体"/>
                <w:spacing w:val="4"/>
                <w:sz w:val="24"/>
                <w:szCs w:val="24"/>
                <w:highlight w:val="none"/>
              </w:rPr>
              <w:t>按</w:t>
            </w:r>
            <w:r>
              <w:rPr>
                <w:rFonts w:hint="eastAsia" w:ascii="宋体" w:hAnsi="宋体" w:eastAsia="宋体" w:cs="宋体"/>
                <w:spacing w:val="3"/>
                <w:sz w:val="24"/>
                <w:szCs w:val="24"/>
                <w:highlight w:val="none"/>
              </w:rPr>
              <w:t>钮静载荷、锁芯扭矩、钥匙扭矩、锁扣板侧向静载荷、</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锁</w:t>
            </w:r>
            <w:r>
              <w:rPr>
                <w:rFonts w:hint="eastAsia" w:ascii="宋体" w:hAnsi="宋体" w:eastAsia="宋体" w:cs="宋体"/>
                <w:spacing w:val="8"/>
                <w:sz w:val="24"/>
                <w:szCs w:val="24"/>
                <w:highlight w:val="none"/>
              </w:rPr>
              <w:t>扣</w:t>
            </w:r>
            <w:r>
              <w:rPr>
                <w:rFonts w:hint="eastAsia" w:ascii="宋体" w:hAnsi="宋体" w:eastAsia="宋体" w:cs="宋体"/>
                <w:spacing w:val="7"/>
                <w:sz w:val="24"/>
                <w:szCs w:val="24"/>
                <w:highlight w:val="none"/>
              </w:rPr>
              <w:t>板静拉力、锁头轴向静载荷、锁头传动条扭矩、覆板 (盖</w:t>
            </w:r>
            <w:r>
              <w:rPr>
                <w:rFonts w:hint="eastAsia" w:ascii="宋体" w:hAnsi="宋体" w:eastAsia="宋体" w:cs="宋体"/>
                <w:sz w:val="24"/>
                <w:szCs w:val="24"/>
                <w:highlight w:val="none"/>
              </w:rPr>
              <w:t xml:space="preserve"> </w:t>
            </w:r>
            <w:r>
              <w:rPr>
                <w:rFonts w:hint="eastAsia" w:ascii="宋体" w:hAnsi="宋体" w:eastAsia="宋体" w:cs="宋体"/>
                <w:spacing w:val="14"/>
                <w:sz w:val="24"/>
                <w:szCs w:val="24"/>
                <w:highlight w:val="none"/>
              </w:rPr>
              <w:t>圈</w:t>
            </w:r>
            <w:r>
              <w:rPr>
                <w:rFonts w:hint="eastAsia" w:ascii="宋体" w:hAnsi="宋体" w:eastAsia="宋体" w:cs="宋体"/>
                <w:spacing w:val="8"/>
                <w:sz w:val="24"/>
                <w:szCs w:val="24"/>
                <w:highlight w:val="none"/>
              </w:rPr>
              <w:t>)</w:t>
            </w:r>
            <w:r>
              <w:rPr>
                <w:rFonts w:hint="eastAsia" w:ascii="宋体" w:hAnsi="宋体" w:eastAsia="宋体" w:cs="宋体"/>
                <w:spacing w:val="7"/>
                <w:sz w:val="24"/>
                <w:szCs w:val="24"/>
                <w:highlight w:val="none"/>
              </w:rPr>
              <w:t xml:space="preserve"> 抗冲击、有机覆盖层铅笔硬度、耐腐蚀、钥匙齿数、钥匙</w:t>
            </w:r>
            <w:r>
              <w:rPr>
                <w:rFonts w:hint="eastAsia" w:ascii="宋体" w:hAnsi="宋体" w:eastAsia="宋体" w:cs="宋体"/>
                <w:sz w:val="24"/>
                <w:szCs w:val="24"/>
                <w:highlight w:val="none"/>
              </w:rPr>
              <w:t xml:space="preserve"> </w:t>
            </w:r>
            <w:r>
              <w:rPr>
                <w:rFonts w:hint="eastAsia" w:ascii="宋体" w:hAnsi="宋体" w:eastAsia="宋体" w:cs="宋体"/>
                <w:spacing w:val="6"/>
                <w:sz w:val="24"/>
                <w:szCs w:val="24"/>
                <w:highlight w:val="none"/>
              </w:rPr>
              <w:t>理论牙</w:t>
            </w:r>
            <w:r>
              <w:rPr>
                <w:rFonts w:hint="eastAsia" w:ascii="宋体" w:hAnsi="宋体" w:eastAsia="宋体" w:cs="宋体"/>
                <w:spacing w:val="4"/>
                <w:sz w:val="24"/>
                <w:szCs w:val="24"/>
                <w:highlight w:val="none"/>
              </w:rPr>
              <w:t>花</w:t>
            </w:r>
            <w:r>
              <w:rPr>
                <w:rFonts w:hint="eastAsia" w:ascii="宋体" w:hAnsi="宋体" w:eastAsia="宋体" w:cs="宋体"/>
                <w:spacing w:val="3"/>
                <w:sz w:val="24"/>
                <w:szCs w:val="24"/>
                <w:highlight w:val="none"/>
              </w:rPr>
              <w:t>数、钥匙牙花不同高度数、同一牙花相邻数、互开率、</w:t>
            </w:r>
            <w:r>
              <w:rPr>
                <w:rFonts w:hint="eastAsia" w:ascii="宋体" w:hAnsi="宋体" w:eastAsia="宋体" w:cs="宋体"/>
                <w:sz w:val="24"/>
                <w:szCs w:val="24"/>
                <w:highlight w:val="none"/>
              </w:rPr>
              <w:t xml:space="preserve"> </w:t>
            </w:r>
            <w:r>
              <w:rPr>
                <w:rFonts w:hint="eastAsia" w:ascii="宋体" w:hAnsi="宋体" w:eastAsia="宋体" w:cs="宋体"/>
                <w:spacing w:val="10"/>
                <w:sz w:val="24"/>
                <w:szCs w:val="24"/>
                <w:highlight w:val="none"/>
              </w:rPr>
              <w:t>锁</w:t>
            </w:r>
            <w:r>
              <w:rPr>
                <w:rFonts w:hint="eastAsia" w:ascii="宋体" w:hAnsi="宋体" w:eastAsia="宋体" w:cs="宋体"/>
                <w:spacing w:val="7"/>
                <w:sz w:val="24"/>
                <w:szCs w:val="24"/>
                <w:highlight w:val="none"/>
              </w:rPr>
              <w:t>头防拨安全装置</w:t>
            </w:r>
          </w:p>
        </w:tc>
      </w:tr>
      <w:tr w14:paraId="7982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46E5B69C">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56</w:t>
            </w:r>
          </w:p>
        </w:tc>
        <w:tc>
          <w:tcPr>
            <w:tcW w:w="936" w:type="dxa"/>
            <w:vAlign w:val="center"/>
          </w:tcPr>
          <w:p w14:paraId="24A98107">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手提式灭火器</w:t>
            </w:r>
          </w:p>
        </w:tc>
        <w:tc>
          <w:tcPr>
            <w:tcW w:w="768" w:type="dxa"/>
            <w:vAlign w:val="top"/>
          </w:tcPr>
          <w:p w14:paraId="43923954">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12F95BC">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4351-2023《手提式灭火器》</w:t>
            </w:r>
          </w:p>
        </w:tc>
        <w:tc>
          <w:tcPr>
            <w:tcW w:w="3895" w:type="dxa"/>
            <w:vAlign w:val="center"/>
          </w:tcPr>
          <w:p w14:paraId="610AF551">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充装要求（充装误差）、20℃时喷射性能、瓶体爆破性能、瓶体材料与最小壁厚（壁厚测量）、阀门外观和结构尺寸、干粉灭火剂（主要组分含量）</w:t>
            </w:r>
          </w:p>
        </w:tc>
      </w:tr>
      <w:tr w14:paraId="5747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816EAF3">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57</w:t>
            </w:r>
          </w:p>
        </w:tc>
        <w:tc>
          <w:tcPr>
            <w:tcW w:w="936" w:type="dxa"/>
            <w:vAlign w:val="center"/>
          </w:tcPr>
          <w:p w14:paraId="5985D2AB">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洒水喷头</w:t>
            </w:r>
          </w:p>
        </w:tc>
        <w:tc>
          <w:tcPr>
            <w:tcW w:w="768" w:type="dxa"/>
            <w:vAlign w:val="top"/>
          </w:tcPr>
          <w:p w14:paraId="14EFEE90">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29D6606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5135.1-2019《自动喷水灭火系统 第1部分：洒水喷头》</w:t>
            </w:r>
          </w:p>
        </w:tc>
        <w:tc>
          <w:tcPr>
            <w:tcW w:w="3895" w:type="dxa"/>
            <w:vAlign w:val="center"/>
          </w:tcPr>
          <w:p w14:paraId="75D2CF0A">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整体要求、外观与标志、密封结构要求、水压密封和耐水压强度性能、流量系数、溅水盘上、下的喷水量、</w:t>
            </w:r>
            <w:r>
              <w:rPr>
                <w:rFonts w:hint="eastAsia" w:ascii="宋体" w:hAnsi="宋体" w:eastAsia="宋体" w:cs="宋体"/>
                <w:color w:val="000000"/>
                <w:sz w:val="24"/>
                <w:highlight w:val="none"/>
              </w:rPr>
              <w:t>静态动作温度、抗水冲击性能、溅水盘强度、耐高温性能</w:t>
            </w:r>
          </w:p>
        </w:tc>
      </w:tr>
      <w:tr w14:paraId="58B1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7" w:type="dxa"/>
            <w:vAlign w:val="center"/>
          </w:tcPr>
          <w:p w14:paraId="684C8A7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58</w:t>
            </w:r>
          </w:p>
        </w:tc>
        <w:tc>
          <w:tcPr>
            <w:tcW w:w="936" w:type="dxa"/>
            <w:vAlign w:val="center"/>
          </w:tcPr>
          <w:p w14:paraId="42BF842B">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消防水带</w:t>
            </w:r>
          </w:p>
        </w:tc>
        <w:tc>
          <w:tcPr>
            <w:tcW w:w="768" w:type="dxa"/>
            <w:vAlign w:val="top"/>
          </w:tcPr>
          <w:p w14:paraId="361E6464">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35EA5EA3">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6246-2011《消防水带》</w:t>
            </w:r>
          </w:p>
        </w:tc>
        <w:tc>
          <w:tcPr>
            <w:tcW w:w="3895" w:type="dxa"/>
            <w:vAlign w:val="center"/>
          </w:tcPr>
          <w:p w14:paraId="15D421CC">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内径、长度、单位长度质量、设计工作压力、试验压力及最小爆破压力、黏附性、附着强度、耐磨性能、热空气老化性能、</w:t>
            </w:r>
            <w:r>
              <w:rPr>
                <w:rFonts w:hint="eastAsia" w:ascii="宋体" w:hAnsi="宋体" w:eastAsia="宋体" w:cs="宋体"/>
                <w:color w:val="000000"/>
                <w:sz w:val="24"/>
                <w:szCs w:val="24"/>
                <w:highlight w:val="none"/>
              </w:rPr>
              <w:t>延伸率和膨胀率及扭转方向</w:t>
            </w:r>
          </w:p>
        </w:tc>
      </w:tr>
      <w:tr w14:paraId="7170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264AADC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59</w:t>
            </w:r>
          </w:p>
        </w:tc>
        <w:tc>
          <w:tcPr>
            <w:tcW w:w="936" w:type="dxa"/>
            <w:vAlign w:val="center"/>
          </w:tcPr>
          <w:p w14:paraId="5FECCEB4">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消防水枪</w:t>
            </w:r>
          </w:p>
        </w:tc>
        <w:tc>
          <w:tcPr>
            <w:tcW w:w="768" w:type="dxa"/>
            <w:vAlign w:val="top"/>
          </w:tcPr>
          <w:p w14:paraId="2CDE8806">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502A58CE">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8181-2005《消防水枪》</w:t>
            </w:r>
          </w:p>
        </w:tc>
        <w:tc>
          <w:tcPr>
            <w:tcW w:w="3895" w:type="dxa"/>
            <w:vAlign w:val="center"/>
          </w:tcPr>
          <w:p w14:paraId="7BEAED86">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highlight w:val="none"/>
                <w:u w:val="none"/>
                <w:lang w:val="en-US" w:eastAsia="zh-CN"/>
              </w:rPr>
              <w:t>密封性能、耐水压强度、抗跌落性能、耐腐蚀性能、</w:t>
            </w:r>
            <w:r>
              <w:rPr>
                <w:rFonts w:hint="eastAsia" w:ascii="宋体" w:hAnsi="宋体" w:eastAsia="宋体" w:cs="宋体"/>
                <w:sz w:val="24"/>
                <w:highlight w:val="none"/>
              </w:rPr>
              <w:t>表面质量、基本参数、接口性能</w:t>
            </w:r>
          </w:p>
        </w:tc>
      </w:tr>
      <w:tr w14:paraId="4CB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B438B85">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60</w:t>
            </w:r>
          </w:p>
        </w:tc>
        <w:tc>
          <w:tcPr>
            <w:tcW w:w="936" w:type="dxa"/>
            <w:vAlign w:val="center"/>
          </w:tcPr>
          <w:p w14:paraId="4A2991AC">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消防接口</w:t>
            </w:r>
          </w:p>
        </w:tc>
        <w:tc>
          <w:tcPr>
            <w:tcW w:w="768" w:type="dxa"/>
            <w:vAlign w:val="top"/>
          </w:tcPr>
          <w:p w14:paraId="018713DD">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A7E2207">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12514.1-2005《消防接口 第1部分：消防接口通用技术条件》</w:t>
            </w:r>
          </w:p>
        </w:tc>
        <w:tc>
          <w:tcPr>
            <w:tcW w:w="3895" w:type="dxa"/>
            <w:vAlign w:val="center"/>
          </w:tcPr>
          <w:p w14:paraId="3B86E239">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外观质量、标志、基本尺寸、密封性能、水压强度、抗跌落性能</w:t>
            </w:r>
          </w:p>
        </w:tc>
      </w:tr>
      <w:tr w14:paraId="00937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1A743938">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61</w:t>
            </w:r>
          </w:p>
        </w:tc>
        <w:tc>
          <w:tcPr>
            <w:tcW w:w="936" w:type="dxa"/>
            <w:vAlign w:val="center"/>
          </w:tcPr>
          <w:p w14:paraId="2F8B5416">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灭火毯</w:t>
            </w:r>
          </w:p>
        </w:tc>
        <w:tc>
          <w:tcPr>
            <w:tcW w:w="768" w:type="dxa"/>
            <w:vAlign w:val="top"/>
          </w:tcPr>
          <w:p w14:paraId="5546BA31">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56BD82E2">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XF 1205-2014《灭火毯》</w:t>
            </w:r>
          </w:p>
        </w:tc>
        <w:tc>
          <w:tcPr>
            <w:tcW w:w="3895" w:type="dxa"/>
            <w:vAlign w:val="center"/>
          </w:tcPr>
          <w:p w14:paraId="177E0504">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材料性能（毯面干态断裂强力、手持件和包边材料阻燃性能、缝纫线的耐高温性能）、绝缘性能、F类火灭火性能</w:t>
            </w:r>
          </w:p>
        </w:tc>
      </w:tr>
      <w:tr w14:paraId="60A7E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0974E41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62</w:t>
            </w:r>
          </w:p>
        </w:tc>
        <w:tc>
          <w:tcPr>
            <w:tcW w:w="936" w:type="dxa"/>
            <w:vAlign w:val="center"/>
          </w:tcPr>
          <w:p w14:paraId="504F0D91">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独立式光电感烟火灾探测报警器</w:t>
            </w:r>
          </w:p>
        </w:tc>
        <w:tc>
          <w:tcPr>
            <w:tcW w:w="768" w:type="dxa"/>
            <w:vAlign w:val="top"/>
          </w:tcPr>
          <w:p w14:paraId="73F68170">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080A9DF4">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20517-2006《独立式感烟火灾探测报警器》</w:t>
            </w:r>
          </w:p>
        </w:tc>
        <w:tc>
          <w:tcPr>
            <w:tcW w:w="3895" w:type="dxa"/>
            <w:vAlign w:val="center"/>
          </w:tcPr>
          <w:p w14:paraId="0AB0076E">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声压试验、重复性试验、方位试验、气流试验、低温试验</w:t>
            </w:r>
          </w:p>
        </w:tc>
      </w:tr>
      <w:tr w14:paraId="355F4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vAlign w:val="center"/>
          </w:tcPr>
          <w:p w14:paraId="6CF4AA6E">
            <w:pPr>
              <w:pStyle w:val="636"/>
              <w:adjustRightInd/>
              <w:spacing w:before="55" w:beforeAutospacing="0" w:after="0" w:afterAutospacing="0" w:line="240" w:lineRule="auto"/>
              <w:ind w:left="0" w:right="11" w:firstLineChars="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63</w:t>
            </w:r>
          </w:p>
        </w:tc>
        <w:tc>
          <w:tcPr>
            <w:tcW w:w="936" w:type="dxa"/>
            <w:vAlign w:val="center"/>
          </w:tcPr>
          <w:p w14:paraId="0905CDC1">
            <w:pPr>
              <w:widowControl/>
              <w:spacing w:before="0" w:beforeAutospacing="0" w:after="0" w:afterAutospacing="0"/>
              <w:ind w:left="0" w:right="0"/>
              <w:jc w:val="left"/>
              <w:textAlignment w:val="center"/>
              <w:rPr>
                <w:rFonts w:hint="eastAsia" w:ascii="宋体" w:hAnsi="宋体" w:eastAsia="宋体" w:cs="宋体"/>
                <w:spacing w:val="2"/>
                <w:sz w:val="24"/>
                <w:szCs w:val="24"/>
                <w:highlight w:val="none"/>
              </w:rPr>
            </w:pPr>
            <w:r>
              <w:rPr>
                <w:rFonts w:hint="eastAsia" w:ascii="宋体" w:hAnsi="宋体" w:eastAsia="宋体" w:cs="宋体"/>
                <w:i w:val="0"/>
                <w:iCs w:val="0"/>
                <w:color w:val="auto"/>
                <w:kern w:val="0"/>
                <w:sz w:val="24"/>
                <w:szCs w:val="24"/>
                <w:u w:val="none"/>
                <w:lang w:val="en-US" w:eastAsia="zh-CN"/>
              </w:rPr>
              <w:t>过滤式消防自救呼吸器</w:t>
            </w:r>
          </w:p>
        </w:tc>
        <w:tc>
          <w:tcPr>
            <w:tcW w:w="768" w:type="dxa"/>
            <w:vAlign w:val="top"/>
          </w:tcPr>
          <w:p w14:paraId="11FCB7B8">
            <w:pPr>
              <w:spacing w:before="55" w:beforeAutospacing="0" w:after="0" w:afterAutospacing="0" w:line="273" w:lineRule="auto"/>
              <w:ind w:left="241" w:leftChars="0" w:right="57" w:hanging="181" w:firstLineChars="0"/>
              <w:rPr>
                <w:rFonts w:hint="eastAsia" w:ascii="宋体" w:hAnsi="宋体" w:eastAsia="宋体" w:cs="宋体"/>
                <w:spacing w:val="8"/>
                <w:sz w:val="24"/>
                <w:szCs w:val="24"/>
                <w:highlight w:val="none"/>
              </w:rPr>
            </w:pPr>
            <w:r>
              <w:rPr>
                <w:rFonts w:hint="eastAsia" w:ascii="宋体" w:hAnsi="宋体" w:eastAsia="宋体" w:cs="宋体"/>
                <w:spacing w:val="8"/>
                <w:sz w:val="24"/>
                <w:szCs w:val="24"/>
                <w:highlight w:val="none"/>
              </w:rPr>
              <w:t>监</w:t>
            </w:r>
            <w:r>
              <w:rPr>
                <w:rFonts w:hint="eastAsia" w:ascii="宋体" w:hAnsi="宋体" w:eastAsia="宋体" w:cs="宋体"/>
                <w:spacing w:val="7"/>
                <w:sz w:val="24"/>
                <w:szCs w:val="24"/>
                <w:highlight w:val="none"/>
              </w:rPr>
              <w:t>督抽</w:t>
            </w:r>
            <w:r>
              <w:rPr>
                <w:rFonts w:hint="eastAsia" w:ascii="宋体" w:hAnsi="宋体" w:eastAsia="宋体" w:cs="宋体"/>
                <w:sz w:val="24"/>
                <w:szCs w:val="24"/>
                <w:highlight w:val="none"/>
              </w:rPr>
              <w:t xml:space="preserve"> 查</w:t>
            </w:r>
          </w:p>
        </w:tc>
        <w:tc>
          <w:tcPr>
            <w:tcW w:w="2136" w:type="dxa"/>
            <w:vAlign w:val="center"/>
          </w:tcPr>
          <w:p w14:paraId="11E45DDF">
            <w:pPr>
              <w:widowControl/>
              <w:spacing w:before="0" w:beforeAutospacing="0" w:after="0" w:afterAutospacing="0"/>
              <w:ind w:left="0" w:right="0"/>
              <w:jc w:val="left"/>
              <w:textAlignment w:val="center"/>
              <w:rPr>
                <w:rFonts w:hint="eastAsia" w:ascii="宋体" w:hAnsi="宋体" w:eastAsia="宋体" w:cs="宋体"/>
                <w:sz w:val="24"/>
                <w:szCs w:val="24"/>
                <w:highlight w:val="none"/>
              </w:rPr>
            </w:pPr>
            <w:r>
              <w:rPr>
                <w:rFonts w:hint="eastAsia" w:ascii="宋体" w:hAnsi="宋体" w:eastAsia="宋体" w:cs="宋体"/>
                <w:i w:val="0"/>
                <w:iCs w:val="0"/>
                <w:color w:val="auto"/>
                <w:kern w:val="0"/>
                <w:sz w:val="24"/>
                <w:szCs w:val="24"/>
                <w:u w:val="none"/>
                <w:lang w:val="en-US" w:eastAsia="zh-CN"/>
              </w:rPr>
              <w:t>GB 21976.7-2012 《建筑火灾逃生避难器材 第7部分：过滤式消防自救呼吸器》</w:t>
            </w:r>
          </w:p>
        </w:tc>
        <w:tc>
          <w:tcPr>
            <w:tcW w:w="3895" w:type="dxa"/>
            <w:vAlign w:val="center"/>
          </w:tcPr>
          <w:p w14:paraId="113BCDC2">
            <w:pPr>
              <w:widowControl/>
              <w:spacing w:before="0" w:beforeAutospacing="0" w:after="0" w:afterAutospacing="0"/>
              <w:ind w:left="0" w:right="0"/>
              <w:jc w:val="left"/>
              <w:textAlignment w:val="center"/>
              <w:rPr>
                <w:rFonts w:hint="eastAsia" w:ascii="宋体" w:hAnsi="宋体" w:eastAsia="宋体" w:cs="宋体"/>
                <w:spacing w:val="16"/>
                <w:sz w:val="24"/>
                <w:szCs w:val="24"/>
                <w:highlight w:val="none"/>
              </w:rPr>
            </w:pPr>
            <w:r>
              <w:rPr>
                <w:rFonts w:hint="eastAsia" w:ascii="宋体" w:hAnsi="宋体" w:eastAsia="宋体" w:cs="宋体"/>
                <w:i w:val="0"/>
                <w:iCs w:val="0"/>
                <w:color w:val="auto"/>
                <w:kern w:val="0"/>
                <w:sz w:val="24"/>
                <w:szCs w:val="24"/>
                <w:u w:val="none"/>
                <w:lang w:val="en-US" w:eastAsia="zh-CN"/>
              </w:rPr>
              <w:t>结构、材料阻燃性能、一氧化碳防护性能、滤烟性能、连接强度</w:t>
            </w:r>
          </w:p>
        </w:tc>
      </w:tr>
    </w:tbl>
    <w:p w14:paraId="66460B8C">
      <w:pPr>
        <w:rPr>
          <w:rFonts w:hint="eastAsia" w:ascii="宋体" w:hAnsi="宋体" w:eastAsia="宋体" w:cs="宋体"/>
          <w:sz w:val="24"/>
          <w:highlight w:val="none"/>
        </w:rPr>
      </w:pPr>
    </w:p>
    <w:p w14:paraId="0C430796">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49AFA412">
      <w:pPr>
        <w:spacing w:before="94" w:line="226" w:lineRule="auto"/>
        <w:ind w:left="30"/>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家</w:t>
      </w:r>
      <w:r>
        <w:rPr>
          <w:rFonts w:hint="eastAsia" w:ascii="宋体" w:hAnsi="宋体" w:eastAsia="宋体" w:cs="宋体"/>
          <w:spacing w:val="5"/>
          <w:sz w:val="24"/>
          <w:szCs w:val="24"/>
          <w:highlight w:val="none"/>
        </w:rPr>
        <w:t>用电器产品检测：</w:t>
      </w:r>
    </w:p>
    <w:tbl>
      <w:tblPr>
        <w:tblStyle w:val="6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778"/>
        <w:gridCol w:w="621"/>
        <w:gridCol w:w="1978"/>
        <w:gridCol w:w="4514"/>
      </w:tblGrid>
      <w:tr w14:paraId="6C60A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top"/>
          </w:tcPr>
          <w:p w14:paraId="4E86E452">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778" w:type="dxa"/>
            <w:vAlign w:val="top"/>
          </w:tcPr>
          <w:p w14:paraId="42DCD90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21" w:type="dxa"/>
            <w:vAlign w:val="top"/>
          </w:tcPr>
          <w:p w14:paraId="062339E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78" w:type="dxa"/>
            <w:vAlign w:val="top"/>
          </w:tcPr>
          <w:p w14:paraId="4B6EEED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514" w:type="dxa"/>
            <w:vAlign w:val="top"/>
          </w:tcPr>
          <w:p w14:paraId="112F64B6">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32F6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7B8DAE8">
            <w:pPr>
              <w:pStyle w:val="636"/>
              <w:numPr>
                <w:ilvl w:val="0"/>
                <w:numId w:val="6"/>
              </w:numPr>
              <w:adjustRightInd/>
              <w:spacing w:before="55" w:beforeAutospacing="0" w:after="0" w:afterAutospacing="0" w:line="240" w:lineRule="auto"/>
              <w:ind w:right="11" w:firstLineChars="0"/>
              <w:rPr>
                <w:rFonts w:hint="eastAsia" w:ascii="宋体" w:hAnsi="宋体" w:eastAsia="宋体" w:cs="宋体"/>
                <w:sz w:val="24"/>
                <w:szCs w:val="24"/>
                <w:highlight w:val="none"/>
              </w:rPr>
            </w:pPr>
          </w:p>
        </w:tc>
        <w:tc>
          <w:tcPr>
            <w:tcW w:w="778" w:type="dxa"/>
            <w:vAlign w:val="center"/>
          </w:tcPr>
          <w:p w14:paraId="4B6B8A5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小家</w:t>
            </w:r>
          </w:p>
          <w:p w14:paraId="0740F1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电(厨</w:t>
            </w:r>
          </w:p>
          <w:p w14:paraId="043C04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房机</w:t>
            </w:r>
          </w:p>
          <w:p w14:paraId="09C5C16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械、按</w:t>
            </w:r>
          </w:p>
          <w:p w14:paraId="0716FB3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摩器</w:t>
            </w:r>
          </w:p>
          <w:p w14:paraId="57F5920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具、室</w:t>
            </w:r>
          </w:p>
          <w:p w14:paraId="4EE97E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内加</w:t>
            </w:r>
          </w:p>
          <w:p w14:paraId="6B22732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热器、液体加热器等)</w:t>
            </w:r>
          </w:p>
        </w:tc>
        <w:tc>
          <w:tcPr>
            <w:tcW w:w="621" w:type="dxa"/>
            <w:vAlign w:val="center"/>
          </w:tcPr>
          <w:p w14:paraId="349462C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3B9F6ED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3A95317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GB4706.30-2008</w:t>
            </w:r>
          </w:p>
          <w:p w14:paraId="0FF3D30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GB4706.10-2008</w:t>
            </w:r>
          </w:p>
          <w:p w14:paraId="415AA8B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GB4706.23-2007</w:t>
            </w:r>
          </w:p>
          <w:p w14:paraId="3D27979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GB4706.19-2008</w:t>
            </w:r>
          </w:p>
        </w:tc>
        <w:tc>
          <w:tcPr>
            <w:tcW w:w="4514" w:type="dxa"/>
            <w:vAlign w:val="center"/>
          </w:tcPr>
          <w:p w14:paraId="2E7BFDF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，稳定性和机械危险，机械强度，结构，内部布线，元件，电源连接和外部软线，外部导线用接线端子，接地措施，螺钉和连接，电气间隙、爬电距离和固体绝缘，耐热和耐燃，防锈</w:t>
            </w:r>
          </w:p>
        </w:tc>
      </w:tr>
      <w:tr w14:paraId="5CF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294D318">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79AF348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电冰箱(冷柜)</w:t>
            </w:r>
          </w:p>
        </w:tc>
        <w:tc>
          <w:tcPr>
            <w:tcW w:w="621" w:type="dxa"/>
            <w:vAlign w:val="center"/>
          </w:tcPr>
          <w:p w14:paraId="0034D3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1DC042D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724E769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GB4706.13-2014</w:t>
            </w:r>
          </w:p>
          <w:p w14:paraId="3C55BB1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8059-2016</w:t>
            </w:r>
          </w:p>
          <w:p w14:paraId="27922E1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GB12021.2-2015</w:t>
            </w:r>
          </w:p>
          <w:p w14:paraId="339682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tc>
        <w:tc>
          <w:tcPr>
            <w:tcW w:w="4514" w:type="dxa"/>
            <w:vAlign w:val="center"/>
          </w:tcPr>
          <w:p w14:paraId="07DA72C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防锈、总容积、储藏温度、耗电量、能效标识、电冰箱耗电量限定值、能效等级的判定、冷冻能力、凝露试验、门封气密性、搁架及类似部件的机械强度、噪声、标志</w:t>
            </w:r>
          </w:p>
        </w:tc>
      </w:tr>
      <w:tr w14:paraId="26E75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CAFD840">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514474F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电热水器</w:t>
            </w:r>
          </w:p>
        </w:tc>
        <w:tc>
          <w:tcPr>
            <w:tcW w:w="621" w:type="dxa"/>
            <w:vAlign w:val="center"/>
          </w:tcPr>
          <w:p w14:paraId="7BB09FB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12E06A1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GB4706.1-1998</w:t>
            </w:r>
          </w:p>
          <w:p w14:paraId="2576C46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GB4706.12-2006</w:t>
            </w:r>
          </w:p>
          <w:p w14:paraId="1A663CC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GB21519-2008</w:t>
            </w:r>
          </w:p>
          <w:p w14:paraId="16A19A5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23E2C98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GB4706.11-2008</w:t>
            </w:r>
          </w:p>
        </w:tc>
        <w:tc>
          <w:tcPr>
            <w:tcW w:w="4514" w:type="dxa"/>
            <w:vAlign w:val="center"/>
          </w:tcPr>
          <w:p w14:paraId="099D400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储水式热水器：标志和说明、对触及带电部件的防护、输入功率和电流、发热、在工作温度下的泄漏电流和电气强度、耐潮湿、泄漏电流和电气强度、变压器及其相关电路的过载保护、非正常工作、稳定性和机械危险、机械强度、结构、内部布线、元件、电源连接和外部软线、外部导线用接线端子、接地措施、螺钉和连接、爬电距离、电气间隙和穿通绝缘距离、耐热、耐燃和耐漏电起痕、防锈、辐射、毒性和类似危险、对在接地系统异常时提供应急防护措施的 Ⅰ类热水器的附加要求、能效标识、能效等级快热式热水</w:t>
            </w:r>
          </w:p>
          <w:p w14:paraId="074ADE9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器：标志和说明、对触及带电部件的防护、输入功率和电流、发热、工作温度下的泄漏电流和电气强度、瞬态过电压、耐潮湿、泄漏电流和电气强度、变压器和相关电路的过载保护、非正常工作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w:t>
            </w:r>
          </w:p>
        </w:tc>
      </w:tr>
      <w:tr w14:paraId="4676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2A27B19">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2040C4F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食具</w:t>
            </w:r>
          </w:p>
          <w:p w14:paraId="0CA5CF3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消毒</w:t>
            </w:r>
          </w:p>
          <w:p w14:paraId="59D1DDA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柜</w:t>
            </w:r>
          </w:p>
        </w:tc>
        <w:tc>
          <w:tcPr>
            <w:tcW w:w="621" w:type="dxa"/>
            <w:vAlign w:val="center"/>
          </w:tcPr>
          <w:p w14:paraId="0D9E456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16A52F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7CD72D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GB17988-2008</w:t>
            </w:r>
          </w:p>
        </w:tc>
        <w:tc>
          <w:tcPr>
            <w:tcW w:w="4514" w:type="dxa"/>
            <w:vAlign w:val="center"/>
          </w:tcPr>
          <w:p w14:paraId="1AD6D35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分类、标志和说明、对触及带电部件的防护、输入功率和电流、发热、工作温度下的泄漏电流和电气强度、瞬态过电压、耐潮湿、泄漏电流和电气强度、变压器和相关电路的过载保护、耐久性、非正常工作(除19.11.4)、稳定性和机械危险、机械强度、结构、内部布线、元件、电源连接和外部软线、外部导线用接线端子、接地措施、螺钉和连接、电气间隙、爬电距离和固体绝缘、耐热和耐燃、防锈、辐射、毒性和类似危险</w:t>
            </w:r>
          </w:p>
        </w:tc>
      </w:tr>
      <w:tr w14:paraId="4C845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3541D2B">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237F541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吸油烟机</w:t>
            </w:r>
          </w:p>
        </w:tc>
        <w:tc>
          <w:tcPr>
            <w:tcW w:w="621" w:type="dxa"/>
            <w:vAlign w:val="center"/>
          </w:tcPr>
          <w:p w14:paraId="1717EB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45CEF1A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350DBC4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GB4706.28-2008</w:t>
            </w:r>
          </w:p>
          <w:p w14:paraId="5DDB56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p w14:paraId="1B483B9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17713-2011</w:t>
            </w:r>
          </w:p>
          <w:p w14:paraId="485EFA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GB29539-2013</w:t>
            </w:r>
          </w:p>
        </w:tc>
        <w:tc>
          <w:tcPr>
            <w:tcW w:w="4514" w:type="dxa"/>
            <w:vAlign w:val="center"/>
          </w:tcPr>
          <w:p w14:paraId="1DB2EE4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辐射、毒性和类似危险、风量、风压、噪声、调速、产品的外观质量、能效标识、能效等级、全压效率、常态气味降低度、待机功率、关机功率</w:t>
            </w:r>
          </w:p>
        </w:tc>
      </w:tr>
      <w:tr w14:paraId="1F241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635FA4DD">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4CDDA53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洗衣机</w:t>
            </w:r>
          </w:p>
        </w:tc>
        <w:tc>
          <w:tcPr>
            <w:tcW w:w="621" w:type="dxa"/>
            <w:vAlign w:val="center"/>
          </w:tcPr>
          <w:p w14:paraId="27FE509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5CD4C51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1424FEF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GB4706.24-2008</w:t>
            </w:r>
          </w:p>
          <w:p w14:paraId="164F7F8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GB4706.26-2008</w:t>
            </w:r>
          </w:p>
          <w:p w14:paraId="2F03FB6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GB12021.4-2013</w:t>
            </w:r>
          </w:p>
          <w:p w14:paraId="64F8A16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GB19606-2004</w:t>
            </w:r>
          </w:p>
          <w:p w14:paraId="348C1FE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4288-2018</w:t>
            </w:r>
          </w:p>
        </w:tc>
        <w:tc>
          <w:tcPr>
            <w:tcW w:w="4514" w:type="dxa"/>
            <w:vAlign w:val="center"/>
          </w:tcPr>
          <w:p w14:paraId="1566FB2B">
            <w:pPr>
              <w:tabs>
                <w:tab w:val="left" w:pos="111"/>
              </w:tabs>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安全要求检验项目：标志和说明、对触及带电部件的防护、输入功率和电流、发热、工作温度下的泄漏电流和电气强度、瞬态过电压、耐潮湿、泄漏电流和电气强度、变压器和相关电路的过载保护、非正常工作</w:t>
            </w:r>
            <w:r>
              <w:rPr>
                <w:rFonts w:hint="eastAsia" w:ascii="宋体" w:hAnsi="宋体" w:eastAsia="宋体" w:cs="宋体"/>
                <w:sz w:val="24"/>
                <w:szCs w:val="24"/>
                <w:highlight w:val="none"/>
              </w:rPr>
              <w:tab/>
            </w:r>
            <w:r>
              <w:rPr>
                <w:rFonts w:hint="eastAsia" w:ascii="宋体" w:hAnsi="宋体" w:eastAsia="宋体" w:cs="宋体"/>
                <w:sz w:val="24"/>
                <w:szCs w:val="24"/>
                <w:highlight w:val="none"/>
              </w:rPr>
              <w:t>(不进行 19.11.4 项目的检验)、稳定性和机械危险、机械强度、结构、内部布线、内部布线、电源连接和外部软线、外部导线用接线端子、接地措施、螺钉和连接、电气间隙、爬电距离和固体绝缘、电气间隙、爬电距离和固体绝缘、电气间隙、爬电距离和固体绝缘、防锈、辐射、毒性和类似危险；使用性能检验项</w:t>
            </w:r>
          </w:p>
          <w:p w14:paraId="6D244F4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目：能效标识、能效水效限定值(耗电量、用水量、洗净比、脱水率、漂洗性能) 、能效等级、明示值允许偏差、噪声、洗涤筒(桶)有效容积、关机/待机功率、振动性能；使用性能检验项目 (仅对不适用     GB12021.4-2013 的洗衣机)：洗涤筒(桶)有效容积、洗净性能、漂洗性能、脱水性能、单位用水量、单位用水量、关机/待机功率、关机/待机功率、振动性能、明示值允许偏差</w:t>
            </w:r>
          </w:p>
        </w:tc>
      </w:tr>
      <w:tr w14:paraId="3F6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6D6FF9">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57CA7D09">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真空吸尘器</w:t>
            </w:r>
          </w:p>
        </w:tc>
        <w:tc>
          <w:tcPr>
            <w:tcW w:w="621" w:type="dxa"/>
            <w:vAlign w:val="center"/>
          </w:tcPr>
          <w:p w14:paraId="6F41B1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FE78D5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5886027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GB4706.7-2014</w:t>
            </w:r>
          </w:p>
          <w:p w14:paraId="20C2CEF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GB4343.1-2009</w:t>
            </w:r>
          </w:p>
          <w:p w14:paraId="4D1ECCA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GB17625.1-2012</w:t>
            </w:r>
          </w:p>
        </w:tc>
        <w:tc>
          <w:tcPr>
            <w:tcW w:w="4514" w:type="dxa"/>
            <w:vAlign w:val="center"/>
          </w:tcPr>
          <w:p w14:paraId="6D45EAD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骚扰电压、骚扰功率、谐波电流、对触及带电部件的防护、输入功率和电流、发热、工作温度下的泄漏电流和电气强度、瞬态过电压、耐潮湿、泄漏电流和电气强度、变压器和相关电路的过载保护、非正常工作 (除 19.11.4) 、稳定性和机械危险、机械强度、结构、内部布线、元件、电源连接和外部软线、外部导线用接线端子、接地措施、螺钉和连接、电气间隙、爬电距离和固体绝缘、耐热和耐燃</w:t>
            </w:r>
          </w:p>
        </w:tc>
      </w:tr>
      <w:tr w14:paraId="7EBA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2649CD3C">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650738D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空气净化器</w:t>
            </w:r>
          </w:p>
        </w:tc>
        <w:tc>
          <w:tcPr>
            <w:tcW w:w="621" w:type="dxa"/>
            <w:vAlign w:val="center"/>
          </w:tcPr>
          <w:p w14:paraId="4723A4C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5C87556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GB4706.1-2005</w:t>
            </w:r>
          </w:p>
          <w:p w14:paraId="1CE0714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GB4706.45-2008</w:t>
            </w:r>
          </w:p>
        </w:tc>
        <w:tc>
          <w:tcPr>
            <w:tcW w:w="4514" w:type="dxa"/>
            <w:vAlign w:val="center"/>
          </w:tcPr>
          <w:p w14:paraId="25623FE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标志和说明、对触及带电部件的防护、输入功率和电流、工作温度下的泄漏电流和电气强度、稳定性和机械危险、机械强度、结构、电源连接和外部软线、外部导线用接线端子、接地措施、电气间隙、爬电距离和固体绝缘</w:t>
            </w:r>
          </w:p>
        </w:tc>
      </w:tr>
      <w:tr w14:paraId="02D94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E8537AF">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0AC93E2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电表</w:t>
            </w:r>
          </w:p>
        </w:tc>
        <w:tc>
          <w:tcPr>
            <w:tcW w:w="621" w:type="dxa"/>
            <w:vAlign w:val="center"/>
          </w:tcPr>
          <w:p w14:paraId="2D2425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759189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17215.211-2021  </w:t>
            </w:r>
            <w:r>
              <w:rPr>
                <w:rFonts w:hint="eastAsia" w:ascii="宋体" w:hAnsi="宋体" w:eastAsia="宋体" w:cs="宋体"/>
                <w:sz w:val="24"/>
                <w:szCs w:val="24"/>
                <w:highlight w:val="none"/>
              </w:rPr>
              <w:cr/>
            </w:r>
            <w:r>
              <w:rPr>
                <w:rFonts w:hint="eastAsia" w:ascii="宋体" w:hAnsi="宋体" w:eastAsia="宋体" w:cs="宋体"/>
                <w:sz w:val="24"/>
                <w:szCs w:val="24"/>
                <w:highlight w:val="none"/>
              </w:rPr>
              <w:t xml:space="preserve">GB/T 17215.321-2021  </w:t>
            </w:r>
            <w:r>
              <w:rPr>
                <w:rFonts w:hint="eastAsia" w:ascii="宋体" w:hAnsi="宋体" w:eastAsia="宋体" w:cs="宋体"/>
                <w:sz w:val="24"/>
                <w:szCs w:val="24"/>
                <w:highlight w:val="none"/>
              </w:rPr>
              <w:cr/>
            </w:r>
            <w:r>
              <w:rPr>
                <w:rFonts w:hint="eastAsia" w:ascii="宋体" w:hAnsi="宋体" w:eastAsia="宋体" w:cs="宋体"/>
                <w:sz w:val="24"/>
                <w:szCs w:val="24"/>
                <w:highlight w:val="none"/>
              </w:rPr>
              <w:t>GB/T 17215.323-2022</w:t>
            </w:r>
          </w:p>
        </w:tc>
        <w:tc>
          <w:tcPr>
            <w:tcW w:w="4514" w:type="dxa"/>
            <w:vAlign w:val="center"/>
          </w:tcPr>
          <w:p w14:paraId="6ADF0CA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基本误差，启动，潜动，电压影响，频率影响，外磁感应强度影响，功耗</w:t>
            </w:r>
          </w:p>
        </w:tc>
      </w:tr>
      <w:tr w14:paraId="2E736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7DFBE7FB">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756C2BE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燃气</w:t>
            </w:r>
            <w:r>
              <w:rPr>
                <w:rFonts w:hint="eastAsia" w:ascii="宋体" w:hAnsi="宋体" w:eastAsia="宋体" w:cs="宋体"/>
                <w:sz w:val="24"/>
                <w:szCs w:val="24"/>
                <w:highlight w:val="none"/>
              </w:rPr>
              <w:t>表</w:t>
            </w:r>
          </w:p>
        </w:tc>
        <w:tc>
          <w:tcPr>
            <w:tcW w:w="621" w:type="dxa"/>
            <w:vAlign w:val="center"/>
          </w:tcPr>
          <w:p w14:paraId="658CBE77">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6AFEC69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6968-2019 6. GB/T</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6968-2019 C.3. </w:t>
            </w:r>
          </w:p>
        </w:tc>
        <w:tc>
          <w:tcPr>
            <w:tcW w:w="4514" w:type="dxa"/>
            <w:vAlign w:val="center"/>
          </w:tcPr>
          <w:p w14:paraId="74A1F6F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示值误差，压力损失，密封性，计数器，防逆转装置，机械封印，外观，标志，防护封印，机电转换误差，断电保护功能，剩余气量不足功能，误操作提示，交易完成提示，数据传输，远程阀控，读取累积量。</w:t>
            </w:r>
          </w:p>
        </w:tc>
      </w:tr>
      <w:tr w14:paraId="5953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5671660E">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1E7779E9">
            <w:pPr>
              <w:spacing w:before="55" w:beforeAutospacing="0" w:after="0" w:afterAutospacing="0"/>
              <w:ind w:left="71" w:right="11" w:hanging="5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水表</w:t>
            </w:r>
          </w:p>
        </w:tc>
        <w:tc>
          <w:tcPr>
            <w:tcW w:w="621" w:type="dxa"/>
            <w:vAlign w:val="center"/>
          </w:tcPr>
          <w:p w14:paraId="5A0B6766">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7B76A63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778.2-2018</w:t>
            </w:r>
          </w:p>
        </w:tc>
        <w:tc>
          <w:tcPr>
            <w:tcW w:w="4514" w:type="dxa"/>
            <w:vAlign w:val="center"/>
          </w:tcPr>
          <w:p w14:paraId="36A698D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示值误差，压力损失，静磁场试验，静压。</w:t>
            </w:r>
          </w:p>
        </w:tc>
      </w:tr>
      <w:tr w14:paraId="76857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1" w:type="dxa"/>
            <w:vAlign w:val="center"/>
          </w:tcPr>
          <w:p w14:paraId="32D1C9C5">
            <w:pPr>
              <w:pStyle w:val="636"/>
              <w:numPr>
                <w:ilvl w:val="0"/>
                <w:numId w:val="6"/>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778" w:type="dxa"/>
            <w:vAlign w:val="center"/>
          </w:tcPr>
          <w:p w14:paraId="1CC1938F">
            <w:pPr>
              <w:spacing w:before="55" w:beforeAutospacing="0" w:after="0" w:afterAutospacing="0"/>
              <w:ind w:left="71" w:right="11" w:hanging="56"/>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烟花、爆竹</w:t>
            </w:r>
          </w:p>
        </w:tc>
        <w:tc>
          <w:tcPr>
            <w:tcW w:w="621" w:type="dxa"/>
            <w:vAlign w:val="center"/>
          </w:tcPr>
          <w:p w14:paraId="78D365FB">
            <w:pPr>
              <w:spacing w:before="0" w:beforeAutospacing="0" w:after="0" w:afterAutospacing="0"/>
              <w:ind w:left="0" w:leftChars="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78" w:type="dxa"/>
            <w:vAlign w:val="center"/>
          </w:tcPr>
          <w:p w14:paraId="2982B18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10631-2013《烟花爆竹 安全与质量》</w:t>
            </w:r>
          </w:p>
          <w:p w14:paraId="4F574C0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19593-2015《烟花爆竹 组合烟花》</w:t>
            </w:r>
          </w:p>
          <w:p w14:paraId="620BC90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GB 21555-2008《烟花爆竹 双响（升空类产品）》国家标准第1号修改单</w:t>
            </w:r>
          </w:p>
          <w:p w14:paraId="784DBFF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（具体检测项目依据抽样产品特性种类而指定）</w:t>
            </w:r>
          </w:p>
        </w:tc>
        <w:tc>
          <w:tcPr>
            <w:tcW w:w="4514" w:type="dxa"/>
            <w:vAlign w:val="center"/>
          </w:tcPr>
          <w:p w14:paraId="64B8E532">
            <w:pPr>
              <w:spacing w:before="55" w:beforeAutospacing="0" w:after="0" w:afterAutospacing="0"/>
              <w:ind w:left="71" w:right="11" w:hanging="56"/>
              <w:rPr>
                <w:rFonts w:hint="eastAsia" w:ascii="宋体" w:hAnsi="宋体" w:eastAsia="宋体" w:cs="宋体"/>
                <w:sz w:val="24"/>
                <w:szCs w:val="24"/>
                <w:highlight w:val="none"/>
                <w:lang w:val="en-US"/>
              </w:rPr>
            </w:pPr>
            <w:r>
              <w:rPr>
                <w:rFonts w:hint="eastAsia" w:ascii="宋体" w:hAnsi="宋体" w:eastAsia="宋体" w:cs="宋体"/>
                <w:sz w:val="24"/>
                <w:szCs w:val="24"/>
                <w:highlight w:val="none"/>
                <w:lang w:val="en-US" w:eastAsia="zh-CN"/>
              </w:rPr>
              <w:t>标志、包装、外观、部件、结构和材质、双响筒体尺寸、药种、药量、燃放性能、</w:t>
            </w:r>
          </w:p>
          <w:p w14:paraId="40F889FB">
            <w:pPr>
              <w:spacing w:before="55" w:beforeAutospacing="0" w:after="0" w:afterAutospacing="0"/>
              <w:ind w:left="71" w:right="11" w:hanging="56"/>
              <w:rPr>
                <w:rFonts w:hint="eastAsia" w:ascii="宋体" w:hAnsi="宋体" w:eastAsia="宋体" w:cs="宋体"/>
                <w:sz w:val="24"/>
                <w:szCs w:val="24"/>
                <w:highlight w:val="none"/>
              </w:rPr>
            </w:pPr>
          </w:p>
        </w:tc>
      </w:tr>
    </w:tbl>
    <w:p w14:paraId="5FFBF8C1">
      <w:pPr>
        <w:rPr>
          <w:rFonts w:hint="eastAsia" w:ascii="宋体" w:hAnsi="宋体" w:eastAsia="宋体" w:cs="宋体"/>
          <w:sz w:val="24"/>
          <w:highlight w:val="none"/>
        </w:rPr>
        <w:sectPr>
          <w:pgSz w:w="11906" w:h="16838"/>
          <w:pgMar w:top="1440" w:right="1800" w:bottom="1440" w:left="1800" w:header="851" w:footer="992" w:gutter="0"/>
          <w:cols w:space="720" w:num="1"/>
          <w:docGrid w:type="lines" w:linePitch="312" w:charSpace="0"/>
        </w:sectPr>
      </w:pPr>
    </w:p>
    <w:p w14:paraId="63588A94">
      <w:pPr>
        <w:spacing w:before="94" w:line="226" w:lineRule="auto"/>
        <w:ind w:left="29"/>
        <w:rPr>
          <w:rFonts w:hint="eastAsia" w:ascii="宋体" w:hAnsi="宋体" w:eastAsia="宋体" w:cs="宋体"/>
          <w:sz w:val="24"/>
          <w:szCs w:val="24"/>
          <w:highlight w:val="none"/>
        </w:rPr>
      </w:pPr>
      <w:r>
        <w:rPr>
          <w:rFonts w:hint="eastAsia" w:ascii="宋体" w:hAnsi="宋体" w:eastAsia="宋体" w:cs="宋体"/>
          <w:spacing w:val="23"/>
          <w:sz w:val="24"/>
          <w:szCs w:val="24"/>
          <w:highlight w:val="none"/>
        </w:rPr>
        <w:t>轻</w:t>
      </w:r>
      <w:r>
        <w:rPr>
          <w:rFonts w:hint="eastAsia" w:ascii="宋体" w:hAnsi="宋体" w:eastAsia="宋体" w:cs="宋体"/>
          <w:spacing w:val="17"/>
          <w:sz w:val="24"/>
          <w:szCs w:val="24"/>
          <w:highlight w:val="none"/>
        </w:rPr>
        <w:t>工业品(纺织类、婴幼儿用品) ：</w:t>
      </w:r>
    </w:p>
    <w:tbl>
      <w:tblPr>
        <w:tblStyle w:val="64"/>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87"/>
        <w:gridCol w:w="603"/>
        <w:gridCol w:w="1933"/>
        <w:gridCol w:w="4466"/>
      </w:tblGrid>
      <w:tr w14:paraId="0338E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top"/>
          </w:tcPr>
          <w:p w14:paraId="234A9990">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887" w:type="dxa"/>
            <w:vAlign w:val="top"/>
          </w:tcPr>
          <w:p w14:paraId="69A4B93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产品名称</w:t>
            </w:r>
          </w:p>
        </w:tc>
        <w:tc>
          <w:tcPr>
            <w:tcW w:w="603" w:type="dxa"/>
            <w:vAlign w:val="top"/>
          </w:tcPr>
          <w:p w14:paraId="1B69DCAB">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任务类型</w:t>
            </w:r>
          </w:p>
        </w:tc>
        <w:tc>
          <w:tcPr>
            <w:tcW w:w="1933" w:type="dxa"/>
            <w:vAlign w:val="top"/>
          </w:tcPr>
          <w:p w14:paraId="44EE5FB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执行标准</w:t>
            </w:r>
          </w:p>
        </w:tc>
        <w:tc>
          <w:tcPr>
            <w:tcW w:w="4466" w:type="dxa"/>
            <w:vAlign w:val="top"/>
          </w:tcPr>
          <w:p w14:paraId="3B3017C1">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检测项目</w:t>
            </w:r>
          </w:p>
        </w:tc>
      </w:tr>
      <w:tr w14:paraId="0F0B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6" w:type="dxa"/>
            <w:vAlign w:val="center"/>
          </w:tcPr>
          <w:p w14:paraId="0F1E77C8">
            <w:pPr>
              <w:pStyle w:val="636"/>
              <w:numPr>
                <w:ilvl w:val="0"/>
                <w:numId w:val="0"/>
              </w:numPr>
              <w:adjustRightInd/>
              <w:spacing w:before="0" w:beforeAutospacing="0" w:after="0" w:afterAutospacing="0" w:line="24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887" w:type="dxa"/>
            <w:vAlign w:val="center"/>
          </w:tcPr>
          <w:p w14:paraId="60608F6F">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儿童餐具（不锈钢儿童餐具、塑料儿童餐具）</w:t>
            </w:r>
          </w:p>
        </w:tc>
        <w:tc>
          <w:tcPr>
            <w:tcW w:w="603" w:type="dxa"/>
            <w:vAlign w:val="center"/>
          </w:tcPr>
          <w:p w14:paraId="765CF9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B25D737">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4806.9-2023</w:t>
            </w:r>
          </w:p>
          <w:p w14:paraId="43030610">
            <w:pPr>
              <w:spacing w:before="55" w:beforeAutospacing="0" w:after="0" w:afterAutospacing="0"/>
              <w:ind w:left="71" w:right="11" w:hanging="56"/>
              <w:rPr>
                <w:rFonts w:hint="eastAsia" w:ascii="宋体" w:hAnsi="宋体" w:eastAsia="宋体" w:cs="宋体"/>
                <w:strike/>
                <w:sz w:val="24"/>
                <w:highlight w:val="none"/>
              </w:rPr>
            </w:pPr>
            <w:r>
              <w:rPr>
                <w:rFonts w:hint="eastAsia" w:ascii="宋体" w:hAnsi="宋体" w:eastAsia="宋体" w:cs="宋体"/>
                <w:sz w:val="24"/>
                <w:szCs w:val="24"/>
                <w:highlight w:val="none"/>
              </w:rPr>
              <w:t>GB 4806.7-2023</w:t>
            </w:r>
          </w:p>
        </w:tc>
        <w:tc>
          <w:tcPr>
            <w:tcW w:w="4466" w:type="dxa"/>
            <w:vAlign w:val="center"/>
          </w:tcPr>
          <w:p w14:paraId="450D0AE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不锈钢儿童餐具：感官要求、杂质元素迁移量（砷As、镉Cd、铅Pb、锑Sb）、合金元素迁移量（铝Al、铬Cr、钴Co、铜Cu、锰Mn、钼Mo、镍Ni、锡Sn、锌Zn）</w:t>
            </w:r>
          </w:p>
          <w:p w14:paraId="4B70457A">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塑料儿童餐具：感官要求、总迁移量、高锰酸钾消耗量、重金属（以Pb计）、脱色试验、芳香族伯胺迁移总量、单体及其他起始物的特定迁移限量、特定迁移限量总量、最大残留量等理化指标、添加剂（邻苯二甲酸二（α-乙基己酯）迁移量，邻苯二甲酸二烯丙酯迁移量，邻苯二甲酸二异壬酯迁移总量，邻苯二甲酸二正丁酯迁移量）（限PVC材质）</w:t>
            </w:r>
          </w:p>
        </w:tc>
      </w:tr>
      <w:tr w14:paraId="0664E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153F04D">
            <w:pPr>
              <w:pStyle w:val="636"/>
              <w:numPr>
                <w:ilvl w:val="0"/>
                <w:numId w:val="0"/>
              </w:numPr>
              <w:adjustRightInd/>
              <w:spacing w:before="0" w:beforeAutospacing="0" w:after="0" w:afterAutospacing="0" w:line="240" w:lineRule="auto"/>
              <w:ind w:left="0" w:leftChars="0" w:right="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887" w:type="dxa"/>
            <w:vAlign w:val="center"/>
          </w:tcPr>
          <w:p w14:paraId="727F978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奶嘴</w:t>
            </w:r>
          </w:p>
        </w:tc>
        <w:tc>
          <w:tcPr>
            <w:tcW w:w="603" w:type="dxa"/>
            <w:vAlign w:val="center"/>
          </w:tcPr>
          <w:p w14:paraId="126A40D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4084374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4806.2-2015</w:t>
            </w:r>
          </w:p>
        </w:tc>
        <w:tc>
          <w:tcPr>
            <w:tcW w:w="4466" w:type="dxa"/>
            <w:vAlign w:val="top"/>
          </w:tcPr>
          <w:p w14:paraId="1594423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感官要求、总迁移量、高锰酸钾消耗量、重金属（以Pb</w:t>
            </w:r>
          </w:p>
          <w:p w14:paraId="2599CC8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计）、挥发性物质</w:t>
            </w:r>
          </w:p>
        </w:tc>
      </w:tr>
      <w:tr w14:paraId="7C78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606" w:type="dxa"/>
            <w:vAlign w:val="center"/>
          </w:tcPr>
          <w:p w14:paraId="592915C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05FCF4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塑料婴幼儿奶瓶</w:t>
            </w:r>
          </w:p>
        </w:tc>
        <w:tc>
          <w:tcPr>
            <w:tcW w:w="603" w:type="dxa"/>
            <w:vAlign w:val="center"/>
          </w:tcPr>
          <w:p w14:paraId="1AFBC8B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6408D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38995—2020</w:t>
            </w:r>
          </w:p>
          <w:p w14:paraId="1880541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4806.7—2023</w:t>
            </w:r>
          </w:p>
        </w:tc>
        <w:tc>
          <w:tcPr>
            <w:tcW w:w="4466" w:type="dxa"/>
            <w:vAlign w:val="center"/>
          </w:tcPr>
          <w:p w14:paraId="4417993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感官要求、总迁移量、高锰酸钾消耗量、重金属（以Pb计）、脱色试验，单体及其他起始物的特定迁移限量、特定迁移限量总量、最大残留量等理化指标，标签标识、容量偏差、塑料奶瓶瓶身的抗压变形性能、耐沸水性能、耐热冲击性能</w:t>
            </w:r>
          </w:p>
        </w:tc>
      </w:tr>
      <w:tr w14:paraId="21DD2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E14332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409808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学生书包</w:t>
            </w:r>
          </w:p>
        </w:tc>
        <w:tc>
          <w:tcPr>
            <w:tcW w:w="603" w:type="dxa"/>
            <w:vAlign w:val="center"/>
          </w:tcPr>
          <w:p w14:paraId="2FC4E4D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4716614">
            <w:pPr>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21027—2020 </w:t>
            </w:r>
          </w:p>
          <w:p w14:paraId="05890CBD">
            <w:pPr>
              <w:spacing w:before="0" w:beforeAutospacing="0" w:after="0" w:afterAutospacing="0"/>
              <w:ind w:left="0" w:right="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QB/T 1333—2018</w:t>
            </w:r>
          </w:p>
          <w:p w14:paraId="33C8BA20">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2858—2007</w:t>
            </w:r>
          </w:p>
        </w:tc>
        <w:tc>
          <w:tcPr>
            <w:tcW w:w="4466" w:type="dxa"/>
            <w:vAlign w:val="center"/>
          </w:tcPr>
          <w:p w14:paraId="385AB60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学生书包（背提包）：振荡冲击性能、缝合强度、可迁移元素的限量、游离甲醛含量、可分解有害芳香胺染料、可触及的塑料件中邻苯二甲酸酯、增塑剂的限量</w:t>
            </w:r>
          </w:p>
          <w:p w14:paraId="2626BC7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学生书包（书袋）：甲醛、可迁移元素最大限量、可分解致癌芳香胺染料、可触及的塑料件中邻苯二甲酸酯增塑剂的限量、缝合强度、负重、旅行式拉杆书袋滑轮和拉杆、舒适度、书袋带、提把</w:t>
            </w:r>
          </w:p>
        </w:tc>
      </w:tr>
      <w:tr w14:paraId="1E5F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D6001E1">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ADE1EF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学生用品</w:t>
            </w:r>
          </w:p>
        </w:tc>
        <w:tc>
          <w:tcPr>
            <w:tcW w:w="603" w:type="dxa"/>
            <w:vAlign w:val="center"/>
          </w:tcPr>
          <w:p w14:paraId="3AF63C7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E2F3F5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21027—2020</w:t>
            </w:r>
          </w:p>
        </w:tc>
        <w:tc>
          <w:tcPr>
            <w:tcW w:w="4466" w:type="dxa"/>
            <w:vAlign w:val="center"/>
          </w:tcPr>
          <w:p w14:paraId="6B1EDEA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学生文具（美术用品）：可迁移元素的限量、可触及的塑料件中邻苯二甲酸酯增塑剂的限量、笔套安全</w:t>
            </w:r>
          </w:p>
          <w:p w14:paraId="24F9785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学生文具（书写笔）：可迁移元素的限量、可触及的塑料件中邻苯二甲酸酯增塑剂的限量、笔套安全</w:t>
            </w:r>
          </w:p>
          <w:p w14:paraId="110A624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学生文具（记号笔）：可迁移元素的限量、可触及的塑料件中邻苯二甲酸酯增塑剂的限量、笔套安全</w:t>
            </w:r>
          </w:p>
          <w:p w14:paraId="7516EC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学生文具（橡皮擦）：可迁移元素的限量、可触及的塑料件中邻苯二甲酸酯增塑剂的限量</w:t>
            </w:r>
          </w:p>
          <w:p w14:paraId="41C4B90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学生文具（涂改制品）：可迁移元素的限量、苯的含量、氯代烃、可触及的塑料件中邻苯二甲酸酯增塑剂的限量、笔套安全</w:t>
            </w:r>
          </w:p>
          <w:p w14:paraId="5926136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学生文具（胶黏剂）：游离甲醛、苯、甲苯+二甲苯、总挥发性有机物、丙烯酰胺、可触及的塑料件中邻苯二甲酸酯增塑剂的限量</w:t>
            </w:r>
          </w:p>
          <w:p w14:paraId="343F476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学生文具（笔袋）：可迁移元素的限量、游离甲醛含量、可分解有害芳香胺染料、可触及的塑料件中邻苯二甲酸酯增塑剂的限量</w:t>
            </w:r>
          </w:p>
          <w:p w14:paraId="3E5EBBF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学生文具（卷削类文具、绘图仪尺、学生圆规、文具盒）：可迁移元素的限量、可触及的塑料件中邻苯二甲酸酯增塑剂的限量，边缘、尖端</w:t>
            </w:r>
          </w:p>
          <w:p w14:paraId="740460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学生文具（课业簿册）：可迁移元素的限量、D65亮度、D65荧光亮度</w:t>
            </w:r>
          </w:p>
          <w:p w14:paraId="0088D84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学生文具（书套）：可迁移元素的限量、可触及的塑料件中邻苯二甲酸酯增塑剂的限量</w:t>
            </w:r>
          </w:p>
          <w:p w14:paraId="7E4EFC9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学生文具（彩泥）：可迁移元素的限量、可触及的塑料件中邻苯二甲酸酯增塑剂的限量、游离甲醛的限量</w:t>
            </w:r>
          </w:p>
        </w:tc>
      </w:tr>
      <w:tr w14:paraId="2F2D6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F7847B8">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447246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玩具滑板车</w:t>
            </w:r>
          </w:p>
        </w:tc>
        <w:tc>
          <w:tcPr>
            <w:tcW w:w="603" w:type="dxa"/>
            <w:vAlign w:val="center"/>
          </w:tcPr>
          <w:p w14:paraId="7C85B2D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3703F30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6675.12-2014</w:t>
            </w:r>
          </w:p>
        </w:tc>
        <w:tc>
          <w:tcPr>
            <w:tcW w:w="4466" w:type="dxa"/>
            <w:vAlign w:val="center"/>
          </w:tcPr>
          <w:p w14:paraId="495C200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正常使用、可预见的合理滥用、材料、小零件、边缘、尖端、突出部件、用于包装或玩具中的塑料袋或塑料薄膜，孔、间隙、机械装置的可触及性，弹簧、强度、三轮滑板车的稳定性，可调节、可折叠的把立管和把横管、刹车</w:t>
            </w:r>
          </w:p>
        </w:tc>
      </w:tr>
      <w:tr w14:paraId="4CB00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E28BA7D">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B842AB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儿童牙刷</w:t>
            </w:r>
          </w:p>
        </w:tc>
        <w:tc>
          <w:tcPr>
            <w:tcW w:w="603" w:type="dxa"/>
            <w:vAlign w:val="center"/>
          </w:tcPr>
          <w:p w14:paraId="3AE18F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4CA4B44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 39669—2020</w:t>
            </w:r>
          </w:p>
        </w:tc>
        <w:tc>
          <w:tcPr>
            <w:tcW w:w="4466" w:type="dxa"/>
            <w:vAlign w:val="center"/>
          </w:tcPr>
          <w:p w14:paraId="097C0DF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儿童手动牙刷：邻苯二甲酸酯增塑剂、有害元素、磨尖丝刷毛pH、毛束拉力、颈部抗弯力、儿童牙刷刷头、磨毛、磨尖丝，边缘、尖端，儿童用牙刷及口腔器具饰件</w:t>
            </w:r>
          </w:p>
          <w:p w14:paraId="1E6653EA">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儿童电动牙刷：邻苯二甲酸酯增塑剂、有害元素、磨尖丝刷毛pH、毛束拉力、磨毛、磨尖丝、电安全要求、电动牙刷植毛块牢固度、儿童电动牙刷可拆卸零部件，边缘、尖端，儿童用牙刷及口腔器具饰件</w:t>
            </w:r>
          </w:p>
        </w:tc>
      </w:tr>
      <w:tr w14:paraId="0E213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F35F852">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40078B9">
            <w:pPr>
              <w:spacing w:before="55" w:beforeAutospacing="0" w:after="0" w:afterAutospacing="0"/>
              <w:ind w:left="71" w:leftChars="0" w:right="11" w:hanging="56"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儿童及婴幼儿服装</w:t>
            </w:r>
          </w:p>
        </w:tc>
        <w:tc>
          <w:tcPr>
            <w:tcW w:w="603" w:type="dxa"/>
            <w:vAlign w:val="center"/>
          </w:tcPr>
          <w:p w14:paraId="58E2B39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2D8DA8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GB18401—2010 GB31701—2015</w:t>
            </w:r>
          </w:p>
          <w:p w14:paraId="09B5852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0DB3590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39508—2020 </w:t>
            </w:r>
          </w:p>
          <w:p w14:paraId="5C7817D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31900—2015</w:t>
            </w:r>
          </w:p>
          <w:p w14:paraId="1DDAA7E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33271—2016</w:t>
            </w:r>
          </w:p>
          <w:p w14:paraId="6215847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2660—2017</w:t>
            </w:r>
          </w:p>
          <w:p w14:paraId="60A4DF2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2662—2017</w:t>
            </w:r>
          </w:p>
          <w:p w14:paraId="170728F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2664—2017 </w:t>
            </w:r>
          </w:p>
          <w:p w14:paraId="4C6F147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2665—2017 </w:t>
            </w:r>
          </w:p>
          <w:p w14:paraId="150B1F9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2666—2017 </w:t>
            </w:r>
          </w:p>
          <w:p w14:paraId="5DFCFB4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8878—2014</w:t>
            </w:r>
          </w:p>
          <w:p w14:paraId="10F48D3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8878—2023 </w:t>
            </w:r>
          </w:p>
          <w:p w14:paraId="3F0ACB3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14272—2011 </w:t>
            </w:r>
          </w:p>
          <w:p w14:paraId="30C4EE3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14272—2021 </w:t>
            </w:r>
          </w:p>
          <w:p w14:paraId="28ADBB5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18132—2016 </w:t>
            </w:r>
          </w:p>
          <w:p w14:paraId="04DF4CCE">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22700—2016 </w:t>
            </w:r>
          </w:p>
          <w:p w14:paraId="5B9C32B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22849—2014 </w:t>
            </w:r>
          </w:p>
          <w:p w14:paraId="5605278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22853—2019 </w:t>
            </w:r>
          </w:p>
          <w:p w14:paraId="3215C5E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26384—2011 </w:t>
            </w:r>
          </w:p>
          <w:p w14:paraId="71D99A4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GB/T 26385—2011</w:t>
            </w:r>
          </w:p>
          <w:p w14:paraId="62AED9A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43015—2021 </w:t>
            </w:r>
          </w:p>
          <w:p w14:paraId="3E86B88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73005—2021 </w:t>
            </w:r>
          </w:p>
          <w:p w14:paraId="3914D45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73009—2021 </w:t>
            </w:r>
          </w:p>
          <w:p w14:paraId="1BBF37A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73010—2016 </w:t>
            </w:r>
          </w:p>
          <w:p w14:paraId="4B52FE7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73017—2014 </w:t>
            </w:r>
          </w:p>
          <w:p w14:paraId="67510AA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73018—2021 </w:t>
            </w:r>
          </w:p>
          <w:p w14:paraId="429C0C5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73020—2019 </w:t>
            </w:r>
          </w:p>
          <w:p w14:paraId="61ECED6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73022—2019 </w:t>
            </w:r>
          </w:p>
          <w:p w14:paraId="082733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73024—2014 </w:t>
            </w:r>
          </w:p>
          <w:p w14:paraId="1A01B4D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73025—2019 </w:t>
            </w:r>
          </w:p>
          <w:p w14:paraId="6E992BC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73026—2014 </w:t>
            </w:r>
          </w:p>
          <w:p w14:paraId="2DC0C75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73029—2019 </w:t>
            </w:r>
          </w:p>
          <w:p w14:paraId="2CFF5A7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73032—2017 </w:t>
            </w:r>
          </w:p>
          <w:p w14:paraId="3FA2D14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73034—2021 </w:t>
            </w:r>
          </w:p>
          <w:p w14:paraId="013CD50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73043—2020 </w:t>
            </w:r>
          </w:p>
          <w:p w14:paraId="0B8F487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73045—2013 </w:t>
            </w:r>
          </w:p>
          <w:p w14:paraId="47613FB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FZ/T 73052—2015</w:t>
            </w:r>
          </w:p>
          <w:p w14:paraId="4281CE8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73053—2015 </w:t>
            </w:r>
          </w:p>
          <w:p w14:paraId="110E0D5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73056—2016 </w:t>
            </w:r>
          </w:p>
          <w:p w14:paraId="62DC343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73058—2017 </w:t>
            </w:r>
          </w:p>
          <w:p w14:paraId="48356D4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73059—2017 </w:t>
            </w:r>
          </w:p>
          <w:p w14:paraId="1E2D878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73061—2019 </w:t>
            </w:r>
          </w:p>
          <w:p w14:paraId="5ABB280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73064—2019 </w:t>
            </w:r>
          </w:p>
          <w:p w14:paraId="7EEF903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81001—2016 </w:t>
            </w:r>
          </w:p>
          <w:p w14:paraId="52DC76A2">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81004—2012 </w:t>
            </w:r>
          </w:p>
          <w:p w14:paraId="699EFD4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81004—2022 </w:t>
            </w:r>
          </w:p>
          <w:p w14:paraId="5C13E18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81006—2017 </w:t>
            </w:r>
          </w:p>
          <w:p w14:paraId="06E9D9D3">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81007—2012 </w:t>
            </w:r>
          </w:p>
          <w:p w14:paraId="14A523E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81007—2022 </w:t>
            </w:r>
          </w:p>
          <w:p w14:paraId="54885921">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81008—2021 </w:t>
            </w:r>
          </w:p>
          <w:p w14:paraId="1418C996">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81010—2018 </w:t>
            </w:r>
          </w:p>
          <w:p w14:paraId="7FB6F4E5">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81019—2014 </w:t>
            </w:r>
          </w:p>
        </w:tc>
        <w:tc>
          <w:tcPr>
            <w:tcW w:w="4466" w:type="dxa"/>
            <w:vAlign w:val="center"/>
          </w:tcPr>
          <w:p w14:paraId="56E369F2">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耐唾液色牢度</w:t>
            </w:r>
            <w:r>
              <w:rPr>
                <w:rFonts w:hint="eastAsia" w:ascii="宋体" w:hAnsi="宋体" w:eastAsia="宋体" w:cs="宋体"/>
                <w:sz w:val="24"/>
                <w:szCs w:val="24"/>
                <w:highlight w:val="none"/>
                <w:lang w:eastAsia="zh-CN"/>
              </w:rPr>
              <w:t>、</w:t>
            </w:r>
          </w:p>
          <w:p w14:paraId="7A17AB7F">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耐皂洗色牢度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耐光色牢度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拼接互染色牢度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p>
          <w:p w14:paraId="347D712A">
            <w:pPr>
              <w:spacing w:before="0" w:beforeAutospacing="0" w:after="0" w:afterAutospacing="0"/>
              <w:ind w:left="0" w:right="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重金属</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邻苯二甲酸酯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附件抗拉强力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缝子纰裂程度</w:t>
            </w:r>
            <w:r>
              <w:rPr>
                <w:rFonts w:hint="eastAsia" w:ascii="宋体" w:hAnsi="宋体" w:eastAsia="宋体" w:cs="宋体"/>
                <w:sz w:val="24"/>
                <w:szCs w:val="24"/>
                <w:highlight w:val="none"/>
                <w:lang w:eastAsia="zh-CN"/>
              </w:rPr>
              <w:t>、</w:t>
            </w:r>
          </w:p>
          <w:p w14:paraId="1C1214B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裤后裆缝接缝强力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接缝性能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起球</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绳带要求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附件锐利性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燃烧性能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金属针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羽绒含绒量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绒子含量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绒丝+羽丝</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陆禽毛含量</w:t>
            </w:r>
          </w:p>
        </w:tc>
      </w:tr>
      <w:tr w14:paraId="67D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E19556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1F6DA36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童鞋</w:t>
            </w:r>
          </w:p>
        </w:tc>
        <w:tc>
          <w:tcPr>
            <w:tcW w:w="603" w:type="dxa"/>
            <w:vAlign w:val="center"/>
          </w:tcPr>
          <w:p w14:paraId="2587D4DC">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C3477A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GB30585—2014</w:t>
            </w:r>
          </w:p>
          <w:p w14:paraId="515CA23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QB/T2880—2016</w:t>
            </w:r>
          </w:p>
          <w:p w14:paraId="39A8DB8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QB/T 2955—2017</w:t>
            </w:r>
          </w:p>
          <w:p w14:paraId="747E1BE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4331—2021 </w:t>
            </w:r>
          </w:p>
          <w:p w14:paraId="09579402">
            <w:pPr>
              <w:spacing w:before="55" w:beforeAutospacing="0" w:after="0" w:afterAutospacing="0"/>
              <w:ind w:left="71" w:leftChars="0" w:right="11" w:hanging="56"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QB/T 4546—2021 </w:t>
            </w:r>
          </w:p>
        </w:tc>
        <w:tc>
          <w:tcPr>
            <w:tcW w:w="4466" w:type="dxa"/>
            <w:vAlign w:val="center"/>
          </w:tcPr>
          <w:p w14:paraId="07A936F7">
            <w:pPr>
              <w:spacing w:before="0" w:beforeAutospacing="0" w:after="0" w:afterAutospacing="0"/>
              <w:ind w:left="0" w:right="0"/>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val="en-US" w:eastAsia="zh-CN"/>
              </w:rPr>
              <w:t>儿童旅游鞋：</w:t>
            </w:r>
            <w:r>
              <w:rPr>
                <w:rFonts w:hint="eastAsia" w:ascii="宋体" w:hAnsi="宋体" w:eastAsia="宋体" w:cs="宋体"/>
                <w:b w:val="0"/>
                <w:bCs w:val="0"/>
                <w:sz w:val="24"/>
                <w:szCs w:val="24"/>
                <w:highlight w:val="none"/>
              </w:rPr>
              <w:t>帮底剥离强度或底墙与帮面剥离强度</w:t>
            </w:r>
            <w:r>
              <w:rPr>
                <w:rFonts w:hint="eastAsia" w:ascii="宋体" w:hAnsi="宋体" w:eastAsia="宋体" w:cs="宋体"/>
                <w:b w:val="0"/>
                <w:bCs w:val="0"/>
                <w:sz w:val="24"/>
                <w:szCs w:val="24"/>
                <w:highlight w:val="none"/>
                <w:lang w:eastAsia="zh-CN"/>
              </w:rPr>
              <w:t>、外帮底剥离强度、或底墙与帮面剥离强度底耐磨性能、衬里和内垫耐摩擦色牢度、外底硬度、物理机械安全性能、皮革和毛皮中的六价铬、可分解有害芳香胺染料、甲醛、重金属总量（砷、铅、镉）、富马酸二甲酯、橡胶部件中的N—亚硝基胺（婴幼儿鞋）、邻苯二甲酸酯</w:t>
            </w:r>
          </w:p>
          <w:p w14:paraId="07036C0A">
            <w:pPr>
              <w:spacing w:before="0" w:beforeAutospacing="0" w:after="0" w:afterAutospacing="0"/>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highlight w:val="none"/>
              </w:rPr>
              <w:t xml:space="preserve"> </w:t>
            </w:r>
            <w:r>
              <w:rPr>
                <w:rFonts w:hint="eastAsia" w:ascii="宋体" w:hAnsi="宋体" w:eastAsia="宋体" w:cs="宋体"/>
                <w:b w:val="0"/>
                <w:bCs w:val="0"/>
                <w:sz w:val="24"/>
                <w:szCs w:val="24"/>
                <w:highlight w:val="none"/>
                <w:lang w:val="en-US" w:eastAsia="zh-CN"/>
              </w:rPr>
              <w:t>儿童皮鞋：耐磨性能、剥离强度、外底硬度、鞋帮拉出强度、衬里和内垫摩擦色牢度、勾心纵向刚度、勾心硬度、</w:t>
            </w:r>
          </w:p>
          <w:p w14:paraId="1EBC96F2">
            <w:pPr>
              <w:spacing w:before="0" w:beforeAutospacing="0" w:after="0" w:afterAutospacing="0"/>
              <w:ind w:left="0" w:right="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勾心长度、勾心弯曲性能、物理机械安全性能、皮革和毛皮中的六价铬、可分解有害芳香胺染料、甲醛、重金属总量（砷、铅、镉）、富马酸二甲酯、橡胶部件中的N—亚硝基胺（婴幼儿鞋）、邻苯二甲酸酯</w:t>
            </w:r>
          </w:p>
          <w:p w14:paraId="742F2D8A">
            <w:pPr>
              <w:spacing w:before="0" w:beforeAutospacing="0" w:after="0" w:afterAutospacing="0"/>
              <w:ind w:left="0" w:right="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儿童皮凉鞋：耐磨性能、帮底剥离强度、外底硬度、帮带拉出强度（或帮带拔出力）、衬里和内垫摩擦色牢度、勾心纵向刚度、勾心硬度、勾心长度、勾心弯曲性能、物理机械安全性能\皮革和毛皮中的六价铬、可分解</w:t>
            </w:r>
            <w:r>
              <w:rPr>
                <w:rFonts w:hint="eastAsia" w:ascii="宋体" w:hAnsi="宋体" w:eastAsia="宋体" w:cs="宋体"/>
                <w:sz w:val="24"/>
                <w:szCs w:val="24"/>
                <w:highlight w:val="none"/>
                <w:lang w:val="en-US" w:eastAsia="zh-CN"/>
              </w:rPr>
              <w:t>有害芳香胺染料、甲醛、重金属总量（砷、铅、镉）、富马酸二甲酯、橡胶部件中的N—亚硝基胺（婴幼儿鞋）、邻苯二甲酸酯</w:t>
            </w:r>
          </w:p>
          <w:p w14:paraId="4F0753FF">
            <w:pPr>
              <w:spacing w:before="0" w:beforeAutospacing="0" w:after="0" w:afterAutospacing="0"/>
              <w:ind w:left="0" w:right="0"/>
              <w:rPr>
                <w:rFonts w:hint="eastAsia" w:ascii="宋体" w:hAnsi="宋体" w:eastAsia="宋体" w:cs="宋体"/>
                <w:sz w:val="24"/>
                <w:szCs w:val="24"/>
                <w:highlight w:val="none"/>
              </w:rPr>
            </w:pPr>
          </w:p>
        </w:tc>
      </w:tr>
      <w:tr w14:paraId="3625D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0517610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4321C340">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校服</w:t>
            </w:r>
          </w:p>
        </w:tc>
        <w:tc>
          <w:tcPr>
            <w:tcW w:w="603" w:type="dxa"/>
            <w:vAlign w:val="center"/>
          </w:tcPr>
          <w:p w14:paraId="5336E15F">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6AC7B9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4F568F64">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18383—2007</w:t>
            </w:r>
          </w:p>
          <w:p w14:paraId="3BE01C07">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 31701—2015</w:t>
            </w:r>
          </w:p>
          <w:p w14:paraId="076E4C0A">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0AA156C">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22854—2009</w:t>
            </w:r>
          </w:p>
          <w:p w14:paraId="20C372ED">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23328—2009</w:t>
            </w:r>
          </w:p>
          <w:p w14:paraId="0EAB8673">
            <w:pPr>
              <w:spacing w:before="0" w:beforeAutospacing="0" w:after="0" w:afterAutospacing="0"/>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GB/T 31888—2015</w:t>
            </w:r>
          </w:p>
        </w:tc>
        <w:tc>
          <w:tcPr>
            <w:tcW w:w="4466" w:type="dxa"/>
            <w:vAlign w:val="center"/>
          </w:tcPr>
          <w:p w14:paraId="61B65F44">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绳带要求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附件锐利性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金属针</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絮用纤维原料要求</w:t>
            </w:r>
          </w:p>
        </w:tc>
      </w:tr>
      <w:tr w14:paraId="16FD3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606" w:type="dxa"/>
            <w:vAlign w:val="center"/>
          </w:tcPr>
          <w:p w14:paraId="502BF53A">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994C6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玩具</w:t>
            </w:r>
          </w:p>
          <w:p w14:paraId="123342DF">
            <w:pPr>
              <w:pStyle w:val="3"/>
              <w:spacing w:before="0" w:beforeAutospacing="0" w:after="0" w:afterAutospacing="0"/>
              <w:ind w:right="0"/>
              <w:outlineLvl w:val="1"/>
              <w:rPr>
                <w:rFonts w:hint="eastAsia" w:ascii="宋体" w:hAnsi="宋体" w:eastAsia="宋体" w:cs="宋体"/>
                <w:sz w:val="24"/>
                <w:szCs w:val="24"/>
                <w:highlight w:val="none"/>
                <w:lang w:val="en-US"/>
              </w:rPr>
            </w:pPr>
          </w:p>
          <w:p w14:paraId="2FD34EB3">
            <w:pPr>
              <w:spacing w:before="0" w:beforeAutospacing="0" w:after="0" w:afterAutospacing="0"/>
              <w:ind w:left="0" w:right="0"/>
              <w:rPr>
                <w:rFonts w:hint="eastAsia" w:ascii="宋体" w:hAnsi="宋体" w:eastAsia="宋体" w:cs="宋体"/>
                <w:sz w:val="24"/>
                <w:highlight w:val="none"/>
              </w:rPr>
            </w:pPr>
          </w:p>
          <w:p w14:paraId="010A35FD">
            <w:pPr>
              <w:pStyle w:val="3"/>
              <w:spacing w:before="0" w:beforeAutospacing="0" w:after="0" w:afterAutospacing="0"/>
              <w:ind w:right="0"/>
              <w:outlineLvl w:val="1"/>
              <w:rPr>
                <w:rFonts w:hint="eastAsia" w:ascii="宋体" w:hAnsi="宋体" w:eastAsia="宋体" w:cs="宋体"/>
                <w:b w:val="0"/>
                <w:bCs w:val="0"/>
                <w:sz w:val="24"/>
                <w:szCs w:val="24"/>
                <w:highlight w:val="none"/>
                <w:lang w:val="en-US"/>
              </w:rPr>
            </w:pPr>
            <w:r>
              <w:rPr>
                <w:rFonts w:hint="eastAsia" w:ascii="宋体" w:hAnsi="宋体" w:eastAsia="宋体" w:cs="宋体"/>
                <w:b w:val="0"/>
                <w:bCs w:val="0"/>
                <w:sz w:val="24"/>
                <w:szCs w:val="24"/>
                <w:highlight w:val="none"/>
                <w:lang w:val="en-US"/>
              </w:rPr>
              <w:t>玩具</w:t>
            </w:r>
          </w:p>
          <w:p w14:paraId="3A3C9958">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（电玩具）</w:t>
            </w:r>
          </w:p>
          <w:p w14:paraId="73B078E1">
            <w:pPr>
              <w:pStyle w:val="3"/>
              <w:spacing w:before="0" w:beforeAutospacing="0" w:after="0" w:afterAutospacing="0"/>
              <w:ind w:right="0"/>
              <w:outlineLvl w:val="1"/>
              <w:rPr>
                <w:rFonts w:hint="eastAsia" w:ascii="宋体" w:hAnsi="宋体" w:eastAsia="宋体" w:cs="宋体"/>
                <w:sz w:val="24"/>
                <w:szCs w:val="24"/>
                <w:highlight w:val="none"/>
                <w:lang w:val="en-US" w:eastAsia="zh-CN"/>
              </w:rPr>
            </w:pPr>
          </w:p>
        </w:tc>
        <w:tc>
          <w:tcPr>
            <w:tcW w:w="603" w:type="dxa"/>
            <w:vAlign w:val="center"/>
          </w:tcPr>
          <w:p w14:paraId="50A33D47">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BCDF8A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GB6675.1-4</w:t>
            </w:r>
          </w:p>
          <w:p w14:paraId="6CF7237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GB19865-2005</w:t>
            </w:r>
          </w:p>
          <w:p w14:paraId="44D11DB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GB5296.5-2006《消费品标志说明第 5 部分：玩具》</w:t>
            </w:r>
          </w:p>
          <w:p w14:paraId="5FE8D445">
            <w:pPr>
              <w:pStyle w:val="3"/>
              <w:spacing w:before="0" w:beforeAutospacing="0" w:after="0" w:afterAutospacing="0"/>
              <w:ind w:left="0" w:right="0" w:firstLine="0"/>
              <w:outlineLvl w:val="1"/>
              <w:rPr>
                <w:rFonts w:hint="eastAsia" w:ascii="宋体" w:hAnsi="宋体" w:eastAsia="宋体" w:cs="宋体"/>
                <w:sz w:val="24"/>
                <w:szCs w:val="24"/>
                <w:highlight w:val="none"/>
                <w:lang w:val="en-US"/>
              </w:rPr>
            </w:pPr>
          </w:p>
          <w:p w14:paraId="5D7B5166">
            <w:pPr>
              <w:spacing w:before="0" w:beforeAutospacing="0" w:after="0" w:afterAutospacing="0"/>
              <w:ind w:left="0" w:right="0"/>
              <w:rPr>
                <w:rFonts w:hint="eastAsia" w:ascii="宋体" w:hAnsi="宋体" w:eastAsia="宋体" w:cs="宋体"/>
                <w:sz w:val="24"/>
                <w:highlight w:val="none"/>
              </w:rPr>
            </w:pPr>
          </w:p>
          <w:p w14:paraId="6AE0F9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6675.1—2014 </w:t>
            </w:r>
          </w:p>
          <w:p w14:paraId="0AF0C47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6675.2—2014 </w:t>
            </w:r>
          </w:p>
          <w:p w14:paraId="432E03EA">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6675.3—2014 </w:t>
            </w:r>
          </w:p>
          <w:p w14:paraId="2E03B97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6675.4—2014 </w:t>
            </w:r>
          </w:p>
          <w:p w14:paraId="09810E4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19865—2005 </w:t>
            </w:r>
          </w:p>
          <w:p w14:paraId="193FE28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22048—2022</w:t>
            </w:r>
          </w:p>
        </w:tc>
        <w:tc>
          <w:tcPr>
            <w:tcW w:w="4466" w:type="dxa"/>
            <w:vAlign w:val="center"/>
          </w:tcPr>
          <w:p w14:paraId="0577205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全项目</w:t>
            </w:r>
          </w:p>
          <w:p w14:paraId="67A8163B">
            <w:pPr>
              <w:pStyle w:val="3"/>
              <w:spacing w:before="0" w:beforeAutospacing="0" w:after="0" w:afterAutospacing="0"/>
              <w:ind w:right="0"/>
              <w:outlineLvl w:val="1"/>
              <w:rPr>
                <w:rFonts w:hint="eastAsia" w:ascii="宋体" w:hAnsi="宋体" w:eastAsia="宋体" w:cs="宋体"/>
                <w:sz w:val="24"/>
                <w:szCs w:val="24"/>
                <w:highlight w:val="none"/>
                <w:lang w:val="en-US"/>
              </w:rPr>
            </w:pPr>
          </w:p>
          <w:p w14:paraId="4CEFDAC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机械与物理性能（正常使用）、机械与物理性能（可预见的合理滥用）、易燃性能、特定元素的迁移、增塑剂、电性能</w:t>
            </w:r>
          </w:p>
        </w:tc>
      </w:tr>
      <w:tr w14:paraId="1F233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36CD17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7366A773">
            <w:pPr>
              <w:spacing w:before="55" w:beforeAutospacing="0" w:after="0" w:afterAutospacing="0"/>
              <w:ind w:left="71" w:right="11" w:hanging="56"/>
              <w:rPr>
                <w:rFonts w:hint="eastAsia" w:ascii="宋体" w:hAnsi="宋体" w:eastAsia="宋体" w:cs="宋体"/>
                <w:b w:val="0"/>
                <w:bCs w:val="0"/>
                <w:sz w:val="24"/>
                <w:szCs w:val="24"/>
                <w:highlight w:val="none"/>
                <w:lang w:val="en-US"/>
              </w:rPr>
            </w:pPr>
            <w:r>
              <w:rPr>
                <w:rFonts w:hint="eastAsia" w:ascii="宋体" w:hAnsi="宋体" w:eastAsia="宋体" w:cs="宋体"/>
                <w:sz w:val="24"/>
                <w:szCs w:val="24"/>
                <w:highlight w:val="none"/>
              </w:rPr>
              <w:t>玩具（含木质、塑胶、毛绒等玩具，解压、弹射、假水等玩具，爬行垫、水晶泥等）</w:t>
            </w:r>
          </w:p>
        </w:tc>
        <w:tc>
          <w:tcPr>
            <w:tcW w:w="603" w:type="dxa"/>
            <w:vAlign w:val="center"/>
          </w:tcPr>
          <w:p w14:paraId="15A3E67B">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008C829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6675.1—2014 </w:t>
            </w:r>
          </w:p>
          <w:p w14:paraId="26B3F2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6675.2—2014 </w:t>
            </w:r>
          </w:p>
          <w:p w14:paraId="5A78C71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6675.3—2014 </w:t>
            </w:r>
          </w:p>
          <w:p w14:paraId="36EFF11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6675.4—2014 </w:t>
            </w:r>
          </w:p>
          <w:p w14:paraId="469656A7">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GB/T 22048—2022</w:t>
            </w:r>
          </w:p>
        </w:tc>
        <w:tc>
          <w:tcPr>
            <w:tcW w:w="4466" w:type="dxa"/>
            <w:vAlign w:val="center"/>
          </w:tcPr>
          <w:p w14:paraId="5068F325">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szCs w:val="24"/>
                <w:highlight w:val="none"/>
              </w:rPr>
              <w:t>机械与物理性能（正常使用）、机械与物理性能（可预见的合理滥用）、易燃性能、特定元素的迁移、增塑剂</w:t>
            </w:r>
          </w:p>
        </w:tc>
      </w:tr>
      <w:tr w14:paraId="4A3D8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1889A0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2A2239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一次性用品（一次性床单、一次性内裤、一次性毛巾、一次性柔巾）</w:t>
            </w:r>
          </w:p>
        </w:tc>
        <w:tc>
          <w:tcPr>
            <w:tcW w:w="603" w:type="dxa"/>
            <w:vAlign w:val="center"/>
          </w:tcPr>
          <w:p w14:paraId="017F99C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338EDB5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15979—2002 </w:t>
            </w:r>
          </w:p>
          <w:p w14:paraId="3B4DE19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15979—2024 </w:t>
            </w:r>
          </w:p>
          <w:p w14:paraId="5D72C1F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4164D52D">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2B4F5522">
            <w:pPr>
              <w:spacing w:before="55" w:beforeAutospacing="0" w:after="0" w:afterAutospacing="0"/>
              <w:ind w:left="71" w:right="11" w:hanging="56"/>
              <w:rPr>
                <w:rFonts w:hint="eastAsia" w:ascii="宋体" w:hAnsi="宋体" w:eastAsia="宋体" w:cs="宋体"/>
                <w:sz w:val="24"/>
                <w:szCs w:val="24"/>
                <w:highlight w:val="none"/>
              </w:rPr>
            </w:pPr>
          </w:p>
        </w:tc>
        <w:tc>
          <w:tcPr>
            <w:tcW w:w="4466" w:type="dxa"/>
            <w:vAlign w:val="center"/>
          </w:tcPr>
          <w:p w14:paraId="5F6B9EB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甲醛含量、pH值、异味、可分解致癌芳香胺染料、纤维含量、细菌菌落总数、大肠菌群、金黄色葡萄球菌、溶血性链球菌、绿脓杆菌、真菌菌落总数</w:t>
            </w:r>
          </w:p>
        </w:tc>
      </w:tr>
      <w:tr w14:paraId="38F4B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F1849B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64B731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卫生用品</w:t>
            </w:r>
          </w:p>
        </w:tc>
        <w:tc>
          <w:tcPr>
            <w:tcW w:w="603" w:type="dxa"/>
            <w:vAlign w:val="center"/>
          </w:tcPr>
          <w:p w14:paraId="20EF042D">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01460512">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 2626—2019</w:t>
            </w:r>
          </w:p>
          <w:p w14:paraId="7829C891">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GB/T 32610—2016</w:t>
            </w:r>
          </w:p>
          <w:p w14:paraId="617D4B8C">
            <w:pPr>
              <w:spacing w:before="0" w:beforeAutospacing="0" w:after="0" w:afterAutospacing="0"/>
              <w:ind w:left="0" w:right="0"/>
              <w:jc w:val="left"/>
              <w:rPr>
                <w:rFonts w:hint="eastAsia" w:ascii="宋体" w:hAnsi="宋体" w:eastAsia="宋体" w:cs="宋体"/>
                <w:sz w:val="24"/>
                <w:highlight w:val="none"/>
              </w:rPr>
            </w:pPr>
            <w:r>
              <w:rPr>
                <w:rFonts w:hint="eastAsia" w:ascii="宋体" w:hAnsi="宋体" w:eastAsia="宋体" w:cs="宋体"/>
                <w:sz w:val="24"/>
                <w:highlight w:val="none"/>
              </w:rPr>
              <w:t>GB/T 38880—2020</w:t>
            </w:r>
          </w:p>
          <w:p w14:paraId="207D6482">
            <w:pPr>
              <w:spacing w:before="55" w:beforeAutospacing="0" w:after="0" w:afterAutospacing="0"/>
              <w:ind w:left="71" w:right="11" w:hanging="56"/>
              <w:rPr>
                <w:rFonts w:hint="eastAsia" w:ascii="宋体" w:hAnsi="宋体" w:eastAsia="宋体" w:cs="宋体"/>
                <w:sz w:val="24"/>
                <w:highlight w:val="none"/>
              </w:rPr>
            </w:pPr>
            <w:r>
              <w:rPr>
                <w:rFonts w:hint="eastAsia" w:ascii="宋体" w:hAnsi="宋体" w:eastAsia="宋体" w:cs="宋体"/>
                <w:sz w:val="24"/>
                <w:highlight w:val="none"/>
              </w:rPr>
              <w:t>其他非医用口罩</w:t>
            </w:r>
          </w:p>
          <w:p w14:paraId="4D266C7D">
            <w:pPr>
              <w:pStyle w:val="3"/>
              <w:spacing w:before="0" w:beforeAutospacing="0" w:after="0" w:afterAutospacing="0"/>
              <w:ind w:right="0"/>
              <w:outlineLvl w:val="1"/>
              <w:rPr>
                <w:rFonts w:hint="eastAsia" w:ascii="宋体" w:hAnsi="宋体" w:eastAsia="宋体" w:cs="宋体"/>
                <w:sz w:val="24"/>
                <w:szCs w:val="24"/>
                <w:highlight w:val="none"/>
              </w:rPr>
            </w:pPr>
          </w:p>
          <w:p w14:paraId="28F9C4E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2626—2019</w:t>
            </w:r>
          </w:p>
          <w:p w14:paraId="18014AC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32610—2016</w:t>
            </w:r>
          </w:p>
          <w:p w14:paraId="2A376DA1">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38880—2020</w:t>
            </w:r>
          </w:p>
          <w:p w14:paraId="28788F15">
            <w:pPr>
              <w:spacing w:before="0" w:beforeAutospacing="0" w:after="0" w:afterAutospacing="0"/>
              <w:ind w:left="0" w:right="0"/>
              <w:rPr>
                <w:rFonts w:hint="eastAsia" w:ascii="宋体" w:hAnsi="宋体" w:eastAsia="宋体" w:cs="宋体"/>
                <w:sz w:val="24"/>
                <w:highlight w:val="none"/>
              </w:rPr>
            </w:pPr>
            <w:r>
              <w:rPr>
                <w:rFonts w:hint="eastAsia" w:ascii="宋体" w:hAnsi="宋体" w:eastAsia="宋体" w:cs="宋体"/>
                <w:sz w:val="24"/>
                <w:szCs w:val="24"/>
                <w:highlight w:val="none"/>
              </w:rPr>
              <w:t>其他非医用口罩</w:t>
            </w:r>
          </w:p>
          <w:p w14:paraId="5180774A">
            <w:pPr>
              <w:pStyle w:val="3"/>
              <w:spacing w:before="0" w:beforeAutospacing="0" w:after="0" w:afterAutospacing="0"/>
              <w:ind w:right="0"/>
              <w:outlineLvl w:val="1"/>
              <w:rPr>
                <w:rFonts w:hint="eastAsia" w:ascii="宋体" w:hAnsi="宋体" w:eastAsia="宋体" w:cs="宋体"/>
                <w:sz w:val="24"/>
                <w:szCs w:val="24"/>
                <w:highlight w:val="none"/>
              </w:rPr>
            </w:pPr>
          </w:p>
        </w:tc>
        <w:tc>
          <w:tcPr>
            <w:tcW w:w="4466" w:type="dxa"/>
            <w:vAlign w:val="center"/>
          </w:tcPr>
          <w:p w14:paraId="6F0F3E04">
            <w:pPr>
              <w:spacing w:before="160" w:beforeAutospacing="0" w:after="0" w:afterAutospacing="0"/>
              <w:ind w:left="15" w:right="0"/>
              <w:rPr>
                <w:rFonts w:hint="eastAsia" w:ascii="宋体" w:hAnsi="宋体" w:eastAsia="宋体" w:cs="宋体"/>
                <w:sz w:val="24"/>
                <w:szCs w:val="24"/>
                <w:highlight w:val="none"/>
              </w:rPr>
            </w:pPr>
            <w:r>
              <w:rPr>
                <w:rFonts w:hint="eastAsia" w:ascii="宋体" w:hAnsi="宋体" w:eastAsia="宋体" w:cs="宋体"/>
                <w:sz w:val="24"/>
                <w:szCs w:val="24"/>
                <w:highlight w:val="none"/>
              </w:rPr>
              <w:t>渗漏性能、pH 值、交货水分、外观质量、细菌菌落总数、大肠菌群、绿脓杆菌、金黄色葡萄球菌、溶血性链球菌、真菌菌落总数、含液量、横向抗张指数、 pH 值、腐蚀性、内装量、包装密封性能、</w:t>
            </w:r>
          </w:p>
          <w:p w14:paraId="28A87B36">
            <w:pPr>
              <w:spacing w:before="0" w:beforeAutospacing="0" w:after="0" w:afterAutospacing="0"/>
              <w:ind w:left="18" w:right="0"/>
              <w:rPr>
                <w:rFonts w:hint="eastAsia" w:ascii="宋体" w:hAnsi="宋体" w:eastAsia="宋体" w:cs="宋体"/>
                <w:sz w:val="24"/>
                <w:szCs w:val="24"/>
                <w:highlight w:val="none"/>
              </w:rPr>
            </w:pPr>
            <w:r>
              <w:rPr>
                <w:rFonts w:hint="eastAsia" w:ascii="宋体" w:hAnsi="宋体" w:eastAsia="宋体" w:cs="宋体"/>
                <w:sz w:val="24"/>
                <w:szCs w:val="24"/>
                <w:highlight w:val="none"/>
              </w:rPr>
              <w:t>去污力、尘埃度</w:t>
            </w:r>
          </w:p>
          <w:p w14:paraId="50BE91D9">
            <w:pPr>
              <w:pStyle w:val="3"/>
              <w:spacing w:before="0" w:beforeAutospacing="0" w:after="0" w:afterAutospacing="0"/>
              <w:ind w:right="0"/>
              <w:outlineLvl w:val="1"/>
              <w:rPr>
                <w:rFonts w:hint="eastAsia" w:ascii="宋体" w:hAnsi="宋体" w:eastAsia="宋体" w:cs="宋体"/>
                <w:sz w:val="24"/>
                <w:szCs w:val="24"/>
                <w:highlight w:val="none"/>
                <w:lang w:val="en-US"/>
              </w:rPr>
            </w:pPr>
          </w:p>
          <w:p w14:paraId="0572B77D">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口罩（防颗粒物呼吸器）：过滤效率、呼吸阻力、呼气阀气密性、头带</w:t>
            </w:r>
          </w:p>
          <w:p w14:paraId="59BF165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日常防护型口罩：吸气阻力、呼气阻力、过滤效率、防护效果、口罩带及口罩带与口罩体的连接处断裂强力</w:t>
            </w:r>
          </w:p>
          <w:p w14:paraId="3CD22B56">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儿童口罩：颗粒物过滤效率、吸气阻力、呼气阻力、通气阻力、防护效果、口罩带及口罩带与口罩体的连接处断裂强力</w:t>
            </w:r>
          </w:p>
          <w:p w14:paraId="0B1E70D9">
            <w:pPr>
              <w:spacing w:before="0" w:beforeAutospacing="0" w:after="0" w:afterAutospacing="0"/>
              <w:ind w:left="0" w:right="0"/>
              <w:rPr>
                <w:rFonts w:hint="eastAsia" w:ascii="宋体" w:hAnsi="宋体" w:eastAsia="宋体" w:cs="宋体"/>
                <w:sz w:val="24"/>
                <w:szCs w:val="24"/>
                <w:highlight w:val="none"/>
              </w:rPr>
            </w:pPr>
            <w:r>
              <w:rPr>
                <w:rFonts w:hint="eastAsia" w:ascii="宋体" w:hAnsi="宋体" w:eastAsia="宋体" w:cs="宋体"/>
                <w:sz w:val="24"/>
                <w:szCs w:val="24"/>
                <w:highlight w:val="none"/>
              </w:rPr>
              <w:t>其他非医用口罩：过滤效率/颗粒物过滤效率、呼吸阻力/吸气阻力/呼气阻力/通气阻力/压力差、头带/口罩带及口罩带与口罩体的连接处断裂强力</w:t>
            </w:r>
          </w:p>
        </w:tc>
      </w:tr>
      <w:tr w14:paraId="6BE2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6D4AA89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B3B4D3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针织服装（成人）</w:t>
            </w:r>
          </w:p>
        </w:tc>
        <w:tc>
          <w:tcPr>
            <w:tcW w:w="603" w:type="dxa"/>
            <w:vAlign w:val="center"/>
          </w:tcPr>
          <w:p w14:paraId="0393CE1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top"/>
          </w:tcPr>
          <w:p w14:paraId="0D56E45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39A6352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C8C3CC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8878—2023</w:t>
            </w:r>
          </w:p>
          <w:p w14:paraId="63769FF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22849—2014</w:t>
            </w:r>
          </w:p>
          <w:p w14:paraId="6F8B87D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22849—2024</w:t>
            </w:r>
          </w:p>
          <w:p w14:paraId="40CDCD50">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22853—2019</w:t>
            </w:r>
          </w:p>
          <w:p w14:paraId="41E957A8">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26384—2011</w:t>
            </w:r>
          </w:p>
          <w:p w14:paraId="11E055C4">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26385—2011</w:t>
            </w:r>
          </w:p>
          <w:p w14:paraId="7F14934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43015—2021</w:t>
            </w:r>
          </w:p>
          <w:p w14:paraId="2D11E7F8">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73010—2016</w:t>
            </w:r>
          </w:p>
          <w:p w14:paraId="0BFF820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73016—2020</w:t>
            </w:r>
          </w:p>
          <w:p w14:paraId="503A118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73017—2014</w:t>
            </w:r>
          </w:p>
          <w:p w14:paraId="59E92E46">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FZ/T 73017—2023</w:t>
            </w:r>
          </w:p>
          <w:p w14:paraId="28D0978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FZ/T 73019.1—2017</w:t>
            </w:r>
          </w:p>
          <w:p w14:paraId="2517CEF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73019.2—2020</w:t>
            </w:r>
          </w:p>
          <w:p w14:paraId="428C039D">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73020—2019</w:t>
            </w:r>
          </w:p>
          <w:p w14:paraId="60E489A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73022—2019</w:t>
            </w:r>
          </w:p>
          <w:p w14:paraId="0E4C41E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73026—2014</w:t>
            </w:r>
          </w:p>
          <w:p w14:paraId="408CCA0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73029—2019</w:t>
            </w:r>
          </w:p>
          <w:p w14:paraId="2718C8A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73032—2017</w:t>
            </w:r>
          </w:p>
          <w:p w14:paraId="7E83EABF">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73033—2009</w:t>
            </w:r>
          </w:p>
          <w:p w14:paraId="19AE6D84">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73035—2010</w:t>
            </w:r>
          </w:p>
          <w:p w14:paraId="6CDA8FF5">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73043—2020</w:t>
            </w:r>
          </w:p>
          <w:p w14:paraId="1DCA7A3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73052—2015</w:t>
            </w:r>
          </w:p>
          <w:p w14:paraId="76BE87F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"https://std.samr.gov.cn/hb/search/stdHBDetailed?id=8B1827F21E48BB19E05397BE0A0AB44A"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FZ/T 73056—2016</w:t>
            </w:r>
            <w:r>
              <w:rPr>
                <w:rFonts w:hint="eastAsia" w:ascii="宋体" w:hAnsi="宋体" w:eastAsia="宋体" w:cs="宋体"/>
                <w:sz w:val="24"/>
                <w:szCs w:val="24"/>
                <w:highlight w:val="none"/>
              </w:rPr>
              <w:fldChar w:fldCharType="end"/>
            </w:r>
          </w:p>
          <w:p w14:paraId="12B7A45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73057—2017</w:t>
            </w:r>
          </w:p>
          <w:p w14:paraId="636952A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HYPERLINK "https://std.samr.gov.cn/hb/search/stdHBDetailed?id=8B1827F24BCDBB19E05397BE0A0AB44A" \t "_blank" </w:instrText>
            </w:r>
            <w:r>
              <w:rPr>
                <w:rFonts w:hint="eastAsia" w:ascii="宋体" w:hAnsi="宋体" w:eastAsia="宋体" w:cs="宋体"/>
                <w:sz w:val="24"/>
                <w:szCs w:val="24"/>
                <w:highlight w:val="none"/>
              </w:rPr>
              <w:fldChar w:fldCharType="separate"/>
            </w:r>
            <w:r>
              <w:rPr>
                <w:rFonts w:hint="eastAsia" w:ascii="宋体" w:hAnsi="宋体" w:eastAsia="宋体" w:cs="宋体"/>
                <w:sz w:val="24"/>
                <w:szCs w:val="24"/>
                <w:highlight w:val="none"/>
              </w:rPr>
              <w:t>FZ/T 73058—2017 </w:t>
            </w:r>
            <w:r>
              <w:rPr>
                <w:rFonts w:hint="eastAsia" w:ascii="宋体" w:hAnsi="宋体" w:eastAsia="宋体" w:cs="宋体"/>
                <w:sz w:val="24"/>
                <w:szCs w:val="24"/>
                <w:highlight w:val="none"/>
              </w:rPr>
              <w:fldChar w:fldCharType="end"/>
            </w:r>
          </w:p>
          <w:p w14:paraId="70FC72FF">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73061—2019</w:t>
            </w:r>
          </w:p>
          <w:p w14:paraId="109116D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73062—2019 </w:t>
            </w:r>
          </w:p>
          <w:p w14:paraId="18A13F5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73063—2019</w:t>
            </w:r>
          </w:p>
          <w:p w14:paraId="797C4ED4">
            <w:pPr>
              <w:spacing w:before="55" w:beforeAutospacing="0" w:after="0" w:afterAutospacing="0"/>
              <w:ind w:left="71" w:leftChars="0" w:right="11" w:hanging="56" w:firstLineChars="0"/>
              <w:jc w:val="left"/>
              <w:rPr>
                <w:rFonts w:hint="eastAsia" w:ascii="宋体" w:hAnsi="宋体" w:eastAsia="宋体" w:cs="宋体"/>
                <w:sz w:val="24"/>
                <w:highlight w:val="none"/>
              </w:rPr>
            </w:pPr>
          </w:p>
        </w:tc>
        <w:tc>
          <w:tcPr>
            <w:tcW w:w="4466" w:type="dxa"/>
            <w:vAlign w:val="center"/>
          </w:tcPr>
          <w:p w14:paraId="3A935E7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p>
          <w:p w14:paraId="52C93DE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耐光色牢度、洗液沾色程度、起毛起球</w:t>
            </w:r>
          </w:p>
          <w:p w14:paraId="3EB0DC9C">
            <w:pPr>
              <w:spacing w:before="55" w:beforeAutospacing="0" w:after="0" w:afterAutospacing="0"/>
              <w:ind w:left="71" w:leftChars="0" w:right="11" w:hanging="56" w:firstLineChars="0"/>
              <w:jc w:val="left"/>
              <w:rPr>
                <w:rFonts w:hint="eastAsia" w:ascii="宋体" w:hAnsi="宋体" w:eastAsia="宋体" w:cs="宋体"/>
                <w:sz w:val="24"/>
                <w:highlight w:val="none"/>
              </w:rPr>
            </w:pPr>
          </w:p>
        </w:tc>
      </w:tr>
      <w:tr w14:paraId="0ADD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8DA993F">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1AD71ED">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羽绒服装</w:t>
            </w:r>
          </w:p>
        </w:tc>
        <w:tc>
          <w:tcPr>
            <w:tcW w:w="603" w:type="dxa"/>
            <w:vAlign w:val="center"/>
          </w:tcPr>
          <w:p w14:paraId="248750B0">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top"/>
          </w:tcPr>
          <w:p w14:paraId="6F4E1D9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 xml:space="preserve">GB/T 29862—2013 </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14272—2011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14272—2021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73053—2015</w:t>
            </w:r>
          </w:p>
        </w:tc>
        <w:tc>
          <w:tcPr>
            <w:tcW w:w="4466" w:type="dxa"/>
            <w:vAlign w:val="center"/>
          </w:tcPr>
          <w:p w14:paraId="717049C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纤维含量、甲醛含量、可分解致癌芳香胺染料、pH值、异味、耐皂洗色牢度、耐汗渍色牢度、耐水色牢度、耐摩擦色牢度、耐光色牢度、充绒量、羽绒含绒量、绒子含量、鸭毛（绒）含量、鹅毛绒含量、 绒丝+羽丝、蓬松度、烷基酚和烷基酚聚氧乙烯醚</w:t>
            </w:r>
          </w:p>
        </w:tc>
      </w:tr>
      <w:tr w14:paraId="3B6C7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BC9656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47B09A5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羽绒被</w:t>
            </w:r>
          </w:p>
        </w:tc>
        <w:tc>
          <w:tcPr>
            <w:tcW w:w="603" w:type="dxa"/>
            <w:vAlign w:val="center"/>
          </w:tcPr>
          <w:p w14:paraId="2F6A8E44">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top"/>
          </w:tcPr>
          <w:p w14:paraId="6EAD46A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4AE22E8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39A82964">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31701—2015 </w:t>
            </w:r>
          </w:p>
          <w:p w14:paraId="170EE34C">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81005—2017</w:t>
            </w:r>
          </w:p>
          <w:p w14:paraId="620BBB3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QB/T 1193—2012</w:t>
            </w:r>
          </w:p>
          <w:p w14:paraId="7A4FA1C3">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QB/T 1193—2023</w:t>
            </w:r>
          </w:p>
        </w:tc>
        <w:tc>
          <w:tcPr>
            <w:tcW w:w="4466" w:type="dxa"/>
            <w:vAlign w:val="center"/>
          </w:tcPr>
          <w:p w14:paraId="59B3FE02">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被壳纤维含量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被壳耐唾液色牢度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被壳</w:t>
            </w:r>
            <w:r>
              <w:rPr>
                <w:rFonts w:hint="eastAsia" w:ascii="宋体" w:hAnsi="宋体" w:eastAsia="宋体" w:cs="宋体"/>
                <w:sz w:val="24"/>
                <w:szCs w:val="24"/>
                <w:highlight w:val="none"/>
              </w:rPr>
              <w:t>耐光色牢度、防钻绒性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羽绒绒子含量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羽绒鸭毛绒含量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羽绒鹅毛绒含量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附件要求；重金属（铅和镉）</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邻苯二甲酸酯</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燃烧性能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包装中尖锐物</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残留金属针</w:t>
            </w:r>
          </w:p>
        </w:tc>
      </w:tr>
      <w:tr w14:paraId="39A3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137019D3">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1008533">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羊毛衫</w:t>
            </w:r>
          </w:p>
        </w:tc>
        <w:tc>
          <w:tcPr>
            <w:tcW w:w="603" w:type="dxa"/>
            <w:vAlign w:val="center"/>
          </w:tcPr>
          <w:p w14:paraId="7FB8D95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0C72F4CA">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73005—2021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73018—2021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73034—2021</w:t>
            </w:r>
          </w:p>
        </w:tc>
        <w:tc>
          <w:tcPr>
            <w:tcW w:w="4466" w:type="dxa"/>
            <w:vAlign w:val="center"/>
          </w:tcPr>
          <w:p w14:paraId="6C34FE5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纤维含量、甲醛含量、pH值、可分解致癌芳香胺染料、耐水色牢度、耐汗渍色牢度、耐干摩擦色牢度、耐湿摩擦色牢度、耐光色牢度、起球、烷基酚和烷基酚聚氧乙烯醚</w:t>
            </w:r>
          </w:p>
        </w:tc>
      </w:tr>
      <w:tr w14:paraId="766AB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BF1FDD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FBD484E">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羊绒针织衫</w:t>
            </w:r>
          </w:p>
        </w:tc>
        <w:tc>
          <w:tcPr>
            <w:tcW w:w="603" w:type="dxa"/>
            <w:vAlign w:val="center"/>
          </w:tcPr>
          <w:p w14:paraId="08CC301D">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7DAF636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7825249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7405128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73009—2021 </w:t>
            </w:r>
          </w:p>
        </w:tc>
        <w:tc>
          <w:tcPr>
            <w:tcW w:w="4466" w:type="dxa"/>
            <w:vAlign w:val="center"/>
          </w:tcPr>
          <w:p w14:paraId="5468E9F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纤维含量、甲醛、pH值、可分解芳香胺染料、异味、耐水色牢度、耐汗渍色牢度、耐摩擦色牢度、耐光色牢度、耐洗色牢度、耐干洗色牢度、起球、二氯甲烷可溶性物质、烷基酚（AP）和烷基酚聚氧乙烯醚（APEO）。</w:t>
            </w:r>
          </w:p>
        </w:tc>
      </w:tr>
      <w:tr w14:paraId="2BEE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9CA0B39">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38DAC92A">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冲锋衣</w:t>
            </w:r>
          </w:p>
        </w:tc>
        <w:tc>
          <w:tcPr>
            <w:tcW w:w="603" w:type="dxa"/>
            <w:vAlign w:val="center"/>
          </w:tcPr>
          <w:p w14:paraId="20DE7BF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200BBAA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5C981E0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256FA750">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32614—2016</w:t>
            </w:r>
          </w:p>
          <w:p w14:paraId="33F0B186">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GB/T 32614—2023</w:t>
            </w:r>
          </w:p>
        </w:tc>
        <w:tc>
          <w:tcPr>
            <w:tcW w:w="4466" w:type="dxa"/>
            <w:vAlign w:val="center"/>
          </w:tcPr>
          <w:p w14:paraId="001D88AD">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p>
          <w:p w14:paraId="2F4F755C">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表面抗湿性（洗后）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静水压（洗后）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透湿率（洗后）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全氟辛烷磺酰基化合物（PFOS）</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全氟辛酸（PFOA）</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p>
        </w:tc>
      </w:tr>
      <w:tr w14:paraId="6FEE4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81D729B">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1F49843">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机织服装(成人)</w:t>
            </w:r>
          </w:p>
        </w:tc>
        <w:tc>
          <w:tcPr>
            <w:tcW w:w="603" w:type="dxa"/>
            <w:vAlign w:val="center"/>
          </w:tcPr>
          <w:p w14:paraId="0321A49A">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698995D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2660-2017</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81001-2016</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81004-2022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81006-2017</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81007-2022</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81008-2021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81010-2018</w:t>
            </w:r>
          </w:p>
        </w:tc>
        <w:tc>
          <w:tcPr>
            <w:tcW w:w="4466" w:type="dxa"/>
            <w:vAlign w:val="center"/>
          </w:tcPr>
          <w:p w14:paraId="5D46B49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衬衫：纤维含量、甲醛含量、pH值、可分解致癌芳香胺染料、异味、耐干摩擦色牢度、耐汗渍色牢度、耐水色牢度、耐皂洗色牢度、耐湿摩擦色牢度</w:t>
            </w:r>
          </w:p>
          <w:p w14:paraId="2498256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睡衣套：纤维含量、甲醛含量、pH值、可分解致癌芳香胺染料、异味、耐干摩擦色牢度、耐汗渍色牢度、耐水色牢度、耐皂洗色牢度、耐湿摩擦色牢度、起球、缝子纰裂程度、裤后裆缝接缝强力</w:t>
            </w:r>
          </w:p>
          <w:p w14:paraId="7B804772">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连衣裙、裙套：纤维含量、甲醛含量、pH值、可分解致癌芳香胺染料、异味、耐干摩擦色牢度、耐汗渍色牢度、耐水色牢度、耐皂洗色牢度、耐湿摩擦色牢度、拼接互染色牢度、起球、接缝性能</w:t>
            </w:r>
          </w:p>
          <w:p w14:paraId="509449C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牛仔服装：纤维含量、甲醛含量、pH值、可分解致癌芳香胺染料、异味、耐干摩擦色牢度、耐汗渍色牢度、耐水色牢度、耐皂洗色牢度、缝子纰裂程度、裤后裆缝接缝强力</w:t>
            </w:r>
          </w:p>
          <w:p w14:paraId="31E98479">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单、夹服装：纤维含量、甲醛含量、pH值、可分解致癌芳香胺染料、异味、耐干摩擦色牢度、耐汗渍色牢度、耐水色牢度、耐皂洗色牢度、耐湿摩擦色牢度、拼接互染色牢度、起球、接缝性能、裤后裆缝接缝强力</w:t>
            </w:r>
          </w:p>
          <w:p w14:paraId="1C8636CA">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茄克衫：纤维含量、甲醛含量、pH值、可分解致癌芳香胺染料、异味、耐干摩擦色牢度、耐汗渍色牢度、耐水色牢度、耐皂洗色牢度、耐湿摩擦色牢度、耐光色牢度、起球、缝子纰裂程度</w:t>
            </w:r>
          </w:p>
          <w:p w14:paraId="767E253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风衣：纤维含量、甲醛含量、pH值、可分解致癌芳香胺染料、异味、耐干摩擦色牢度、耐汗渍色牢度、耐水色牢度、耐皂洗色牢度、耐湿摩擦色牢度、拼接互染色牢度、起毛起球、接缝性能、防风性、防水性、透湿性</w:t>
            </w:r>
          </w:p>
        </w:tc>
      </w:tr>
      <w:tr w14:paraId="65FEB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FE28E92">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4B4A971">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女士内衣</w:t>
            </w:r>
          </w:p>
        </w:tc>
        <w:tc>
          <w:tcPr>
            <w:tcW w:w="603" w:type="dxa"/>
            <w:vAlign w:val="center"/>
          </w:tcPr>
          <w:p w14:paraId="6F478D82">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1099E26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p>
          <w:p w14:paraId="49E4962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6686469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73012—2017 </w:t>
            </w:r>
          </w:p>
          <w:p w14:paraId="7C76104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73046—20</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rPr>
              <w:t xml:space="preserve"> </w:t>
            </w:r>
          </w:p>
          <w:p w14:paraId="2EE140F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73057—2017 </w:t>
            </w:r>
          </w:p>
          <w:p w14:paraId="7F9C1A5C">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74002—2014</w:t>
            </w:r>
          </w:p>
        </w:tc>
        <w:tc>
          <w:tcPr>
            <w:tcW w:w="4466" w:type="dxa"/>
            <w:vAlign w:val="center"/>
          </w:tcPr>
          <w:p w14:paraId="657641FC">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异味</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p>
        </w:tc>
      </w:tr>
      <w:tr w14:paraId="00E2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3DAA3EB7">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D4156C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床上用品</w:t>
            </w:r>
          </w:p>
        </w:tc>
        <w:tc>
          <w:tcPr>
            <w:tcW w:w="603" w:type="dxa"/>
            <w:vAlign w:val="center"/>
          </w:tcPr>
          <w:p w14:paraId="48D9075F">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监督抽查</w:t>
            </w:r>
          </w:p>
        </w:tc>
        <w:tc>
          <w:tcPr>
            <w:tcW w:w="1933" w:type="dxa"/>
            <w:vAlign w:val="center"/>
          </w:tcPr>
          <w:p w14:paraId="3863C3D1">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68395AE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29862—2013</w:t>
            </w:r>
          </w:p>
          <w:p w14:paraId="51635B4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 31701—2015</w:t>
            </w:r>
          </w:p>
          <w:p w14:paraId="46A16B45">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22796—2021 </w:t>
            </w:r>
          </w:p>
          <w:p w14:paraId="5B47914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22864—2020 </w:t>
            </w:r>
          </w:p>
          <w:p w14:paraId="59CD600F">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GB/T 33734—2017</w:t>
            </w:r>
          </w:p>
          <w:p w14:paraId="1D5D0B32">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34003—2011 </w:t>
            </w:r>
          </w:p>
          <w:p w14:paraId="1D0645CE">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44004—2018 </w:t>
            </w:r>
          </w:p>
          <w:p w14:paraId="55A47C7B">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FZ/T 43007—2011 </w:t>
            </w:r>
          </w:p>
          <w:p w14:paraId="28253E04">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62028—2015</w:t>
            </w:r>
          </w:p>
          <w:p w14:paraId="6B91FB68">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62030—2015</w:t>
            </w:r>
          </w:p>
          <w:p w14:paraId="459A9313">
            <w:pPr>
              <w:spacing w:before="55" w:beforeAutospacing="0" w:after="0" w:afterAutospacing="0"/>
              <w:ind w:left="71" w:right="11" w:hanging="56"/>
              <w:rPr>
                <w:rFonts w:hint="eastAsia" w:ascii="宋体" w:hAnsi="宋体" w:eastAsia="宋体" w:cs="宋体"/>
                <w:sz w:val="24"/>
                <w:szCs w:val="24"/>
                <w:highlight w:val="none"/>
              </w:rPr>
            </w:pPr>
            <w:r>
              <w:rPr>
                <w:rFonts w:hint="eastAsia" w:ascii="宋体" w:hAnsi="宋体" w:eastAsia="宋体" w:cs="宋体"/>
                <w:sz w:val="24"/>
                <w:szCs w:val="24"/>
                <w:highlight w:val="none"/>
              </w:rPr>
              <w:t>FZ/T 62031—2015</w:t>
            </w:r>
          </w:p>
          <w:p w14:paraId="7B6A77A8">
            <w:pPr>
              <w:spacing w:before="55" w:beforeAutospacing="0" w:after="0" w:afterAutospacing="0"/>
              <w:ind w:left="71" w:leftChars="0" w:right="11" w:hanging="56" w:firstLineChars="0"/>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 xml:space="preserve">FZ/T 81005—2017  </w:t>
            </w:r>
          </w:p>
        </w:tc>
        <w:tc>
          <w:tcPr>
            <w:tcW w:w="4466" w:type="dxa"/>
            <w:vAlign w:val="center"/>
          </w:tcPr>
          <w:p w14:paraId="44FEFE2D">
            <w:pPr>
              <w:spacing w:before="55" w:beforeAutospacing="0" w:after="0" w:afterAutospacing="0"/>
              <w:ind w:left="71" w:leftChars="0" w:right="11" w:hanging="56" w:firstLineChars="0"/>
              <w:jc w:val="left"/>
              <w:rPr>
                <w:rFonts w:hint="eastAsia" w:ascii="宋体" w:hAnsi="宋体" w:eastAsia="宋体" w:cs="宋体"/>
                <w:color w:val="000000"/>
                <w:kern w:val="0"/>
                <w:sz w:val="24"/>
                <w:szCs w:val="24"/>
                <w:highlight w:val="none"/>
                <w:lang w:val="en-US" w:eastAsia="zh-CN" w:bidi="ar-SA"/>
              </w:rPr>
            </w:pPr>
            <w:r>
              <w:rPr>
                <w:rFonts w:hint="eastAsia" w:ascii="宋体" w:hAnsi="宋体" w:eastAsia="宋体" w:cs="宋体"/>
                <w:sz w:val="24"/>
                <w:szCs w:val="24"/>
                <w:highlight w:val="none"/>
              </w:rPr>
              <w:t>甲醛含量、pH值、可分解致癌芳香胺染料、异味、耐水色牢度、耐汗渍色牢度、耐干摩擦色牢度、耐湿摩擦色牢度、耐唾液色牢度、燃烧性能、重金属、邻苯二甲酸酯、断裂强力、纤维含量</w:t>
            </w:r>
          </w:p>
        </w:tc>
      </w:tr>
      <w:tr w14:paraId="466CE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0C4952A">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2557A26C">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围巾披肩</w:t>
            </w:r>
          </w:p>
        </w:tc>
        <w:tc>
          <w:tcPr>
            <w:tcW w:w="603" w:type="dxa"/>
            <w:vAlign w:val="center"/>
          </w:tcPr>
          <w:p w14:paraId="7456F04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79AF880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 18401-2010</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GB/T 29862-2013</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73042-2011</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43014-2018</w:t>
            </w:r>
            <w:r>
              <w:rPr>
                <w:rFonts w:hint="eastAsia" w:ascii="宋体" w:hAnsi="宋体" w:eastAsia="宋体" w:cs="宋体"/>
                <w:sz w:val="24"/>
                <w:szCs w:val="24"/>
                <w:highlight w:val="none"/>
              </w:rPr>
              <w:br w:type="textWrapping"/>
            </w:r>
            <w:r>
              <w:rPr>
                <w:rFonts w:hint="eastAsia" w:ascii="宋体" w:hAnsi="宋体" w:eastAsia="宋体" w:cs="宋体"/>
                <w:sz w:val="24"/>
                <w:szCs w:val="24"/>
                <w:highlight w:val="none"/>
              </w:rPr>
              <w:t>FZ/T 81012-2016</w:t>
            </w:r>
          </w:p>
        </w:tc>
        <w:tc>
          <w:tcPr>
            <w:tcW w:w="4466" w:type="dxa"/>
            <w:vAlign w:val="center"/>
          </w:tcPr>
          <w:p w14:paraId="71A14AC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围巾、披肩：纤维含量、甲醛含量、pH值、可分解致癌芳香胺染料、异味、耐干摩擦色牢度、耐汗渍色牢度、耐水色牢度、耐皂洗色牢度、耐湿摩擦色牢度</w:t>
            </w:r>
          </w:p>
        </w:tc>
      </w:tr>
      <w:tr w14:paraId="63F2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5646F7A0">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5CDD5D97">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毛巾制品</w:t>
            </w:r>
          </w:p>
        </w:tc>
        <w:tc>
          <w:tcPr>
            <w:tcW w:w="603" w:type="dxa"/>
            <w:vAlign w:val="center"/>
          </w:tcPr>
          <w:p w14:paraId="2D4FEACD">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监督抽查</w:t>
            </w:r>
          </w:p>
        </w:tc>
        <w:tc>
          <w:tcPr>
            <w:tcW w:w="1933" w:type="dxa"/>
            <w:vAlign w:val="center"/>
          </w:tcPr>
          <w:p w14:paraId="2A8152BB">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18401—2010 </w:t>
            </w:r>
          </w:p>
          <w:p w14:paraId="3D435805">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 31701—2015 </w:t>
            </w:r>
          </w:p>
          <w:p w14:paraId="791314E7">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22864—2020</w:t>
            </w:r>
          </w:p>
          <w:p w14:paraId="5D692993">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GB/T 29862—2013 </w:t>
            </w:r>
          </w:p>
          <w:p w14:paraId="025777BC">
            <w:pPr>
              <w:spacing w:before="55" w:beforeAutospacing="0" w:after="0" w:afterAutospacing="0"/>
              <w:ind w:left="71" w:right="11" w:hanging="56"/>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FZ/T 62015—2009</w:t>
            </w:r>
          </w:p>
          <w:p w14:paraId="18CFD135">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FZ/T 62033—2016</w:t>
            </w:r>
          </w:p>
        </w:tc>
        <w:tc>
          <w:tcPr>
            <w:tcW w:w="4466" w:type="dxa"/>
            <w:vAlign w:val="center"/>
          </w:tcPr>
          <w:p w14:paraId="03C2B01D">
            <w:pPr>
              <w:spacing w:before="55" w:beforeAutospacing="0" w:after="0" w:afterAutospacing="0"/>
              <w:ind w:left="71" w:right="11" w:hanging="56"/>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甲醛含量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pH值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耐水色牢度</w:t>
            </w:r>
            <w:r>
              <w:rPr>
                <w:rFonts w:hint="eastAsia" w:ascii="宋体" w:hAnsi="宋体" w:eastAsia="宋体" w:cs="宋体"/>
                <w:sz w:val="24"/>
                <w:szCs w:val="24"/>
                <w:highlight w:val="none"/>
                <w:lang w:eastAsia="zh-CN"/>
              </w:rPr>
              <w:t>、</w:t>
            </w:r>
          </w:p>
          <w:p w14:paraId="6592C136">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耐酸汗渍色牢度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耐碱汗渍色牢度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耐干摩擦色牢度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耐湿摩擦色牢度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耐唾液色牢度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纤维含量</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吸水性</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吸水率</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脱毛率</w:t>
            </w:r>
          </w:p>
        </w:tc>
      </w:tr>
      <w:tr w14:paraId="56F19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5B3553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628DC925">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旅游鞋</w:t>
            </w:r>
          </w:p>
        </w:tc>
        <w:tc>
          <w:tcPr>
            <w:tcW w:w="603" w:type="dxa"/>
            <w:vAlign w:val="center"/>
          </w:tcPr>
          <w:p w14:paraId="7CFB8F0A">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监督抽查</w:t>
            </w:r>
          </w:p>
        </w:tc>
        <w:tc>
          <w:tcPr>
            <w:tcW w:w="1933" w:type="dxa"/>
            <w:vAlign w:val="center"/>
          </w:tcPr>
          <w:p w14:paraId="3E3DA27F">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 xml:space="preserve">GB/T 15107—2013 </w:t>
            </w:r>
          </w:p>
        </w:tc>
        <w:tc>
          <w:tcPr>
            <w:tcW w:w="4466" w:type="dxa"/>
            <w:vAlign w:val="center"/>
          </w:tcPr>
          <w:p w14:paraId="22E32677">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帮底剥离强度或</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底墙与帮面剥离强度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成鞋耐折性能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外底与外中底粘合强度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可分解致癌芳香胺染料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p>
        </w:tc>
      </w:tr>
      <w:tr w14:paraId="2A49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2669FA8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12626D98">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皮</w:t>
            </w:r>
            <w:r>
              <w:rPr>
                <w:rFonts w:hint="eastAsia" w:ascii="宋体" w:hAnsi="宋体" w:eastAsia="宋体" w:cs="宋体"/>
                <w:sz w:val="24"/>
                <w:szCs w:val="24"/>
                <w:highlight w:val="none"/>
                <w:lang w:val="en-US" w:eastAsia="zh-CN"/>
              </w:rPr>
              <w:t>鞋</w:t>
            </w:r>
          </w:p>
        </w:tc>
        <w:tc>
          <w:tcPr>
            <w:tcW w:w="603" w:type="dxa"/>
            <w:vAlign w:val="center"/>
          </w:tcPr>
          <w:p w14:paraId="377120CE">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监督抽查</w:t>
            </w:r>
          </w:p>
        </w:tc>
        <w:tc>
          <w:tcPr>
            <w:tcW w:w="1933" w:type="dxa"/>
            <w:vAlign w:val="center"/>
          </w:tcPr>
          <w:p w14:paraId="49148389">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eastAsia="zh-CN" w:bidi="ar-SA"/>
              </w:rPr>
            </w:pPr>
            <w:r>
              <w:rPr>
                <w:rFonts w:hint="eastAsia" w:ascii="宋体" w:hAnsi="宋体" w:eastAsia="宋体" w:cs="宋体"/>
                <w:sz w:val="24"/>
                <w:szCs w:val="24"/>
                <w:highlight w:val="none"/>
              </w:rPr>
              <w:t>QB/T 1002—2015</w:t>
            </w:r>
          </w:p>
        </w:tc>
        <w:tc>
          <w:tcPr>
            <w:tcW w:w="4466" w:type="dxa"/>
            <w:vAlign w:val="center"/>
          </w:tcPr>
          <w:p w14:paraId="120BDDBD">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帮底剥离强度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鞋帮拉出强度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成鞋耐折性能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鞋跟结合力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成型底鞋跟硬度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衬里和内垫材料的耐摩擦色牢度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安装勾心或其他刚性支撑材料的要求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勾心纵向刚度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勾心长度下限值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勾心弯曲性能</w:t>
            </w:r>
            <w:r>
              <w:rPr>
                <w:rFonts w:hint="eastAsia" w:ascii="宋体" w:hAnsi="宋体" w:eastAsia="宋体" w:cs="宋体"/>
                <w:sz w:val="24"/>
                <w:szCs w:val="24"/>
                <w:highlight w:val="none"/>
                <w:lang w:eastAsia="zh-CN"/>
              </w:rPr>
              <w:t>、</w:t>
            </w:r>
          </w:p>
          <w:p w14:paraId="7683AA54">
            <w:pPr>
              <w:spacing w:before="55" w:beforeAutospacing="0" w:after="0" w:afterAutospacing="0"/>
              <w:ind w:left="71" w:leftChars="0" w:right="11" w:hanging="56"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可分解有害芳香胺染料</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p>
        </w:tc>
      </w:tr>
      <w:tr w14:paraId="6CA5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407C7DAE">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00754076">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皮凉鞋</w:t>
            </w:r>
          </w:p>
        </w:tc>
        <w:tc>
          <w:tcPr>
            <w:tcW w:w="603" w:type="dxa"/>
            <w:vAlign w:val="center"/>
          </w:tcPr>
          <w:p w14:paraId="116380E8">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66F46678">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GB/T 22756-2017</w:t>
            </w:r>
          </w:p>
        </w:tc>
        <w:tc>
          <w:tcPr>
            <w:tcW w:w="4466" w:type="dxa"/>
            <w:vAlign w:val="center"/>
          </w:tcPr>
          <w:p w14:paraId="3B7D81C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耐折性能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外底耐磨性能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帮底剥离强度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帮带拉出强度</w:t>
            </w:r>
          </w:p>
          <w:p w14:paraId="7D091BFE">
            <w:pPr>
              <w:spacing w:before="55" w:beforeAutospacing="0" w:after="0" w:afterAutospacing="0"/>
              <w:ind w:left="71" w:leftChars="0" w:right="11" w:hanging="56"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成型底鞋跟硬度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鞋跟结合力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勾心纵向刚度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勾心硬度</w:t>
            </w:r>
            <w:r>
              <w:rPr>
                <w:rFonts w:hint="eastAsia" w:ascii="宋体" w:hAnsi="宋体" w:eastAsia="宋体" w:cs="宋体"/>
                <w:sz w:val="24"/>
                <w:szCs w:val="24"/>
                <w:highlight w:val="none"/>
                <w:lang w:eastAsia="zh-CN"/>
              </w:rPr>
              <w:t>、</w:t>
            </w:r>
          </w:p>
          <w:p w14:paraId="17FBD406">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勾心长度下限值</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勾心弯曲性能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衬里和内垫耐摩擦色牢度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游离或可部分水解的甲醛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可分解有害芳香胺染料</w:t>
            </w:r>
          </w:p>
        </w:tc>
      </w:tr>
      <w:tr w14:paraId="30F1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6" w:type="dxa"/>
            <w:vAlign w:val="center"/>
          </w:tcPr>
          <w:p w14:paraId="769D34E5">
            <w:pPr>
              <w:pStyle w:val="636"/>
              <w:numPr>
                <w:ilvl w:val="0"/>
                <w:numId w:val="4"/>
              </w:numPr>
              <w:adjustRightInd/>
              <w:spacing w:before="0" w:beforeAutospacing="0" w:after="0" w:afterAutospacing="0" w:line="240" w:lineRule="auto"/>
              <w:ind w:right="0" w:firstLineChars="0"/>
              <w:rPr>
                <w:rFonts w:hint="eastAsia" w:ascii="宋体" w:hAnsi="宋体" w:eastAsia="宋体" w:cs="宋体"/>
                <w:sz w:val="24"/>
                <w:szCs w:val="24"/>
                <w:highlight w:val="none"/>
              </w:rPr>
            </w:pPr>
          </w:p>
        </w:tc>
        <w:tc>
          <w:tcPr>
            <w:tcW w:w="887" w:type="dxa"/>
            <w:vAlign w:val="center"/>
          </w:tcPr>
          <w:p w14:paraId="7E41DFA8">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背提包</w:t>
            </w:r>
          </w:p>
        </w:tc>
        <w:tc>
          <w:tcPr>
            <w:tcW w:w="603" w:type="dxa"/>
            <w:vAlign w:val="center"/>
          </w:tcPr>
          <w:p w14:paraId="40067C63">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监督抽查</w:t>
            </w:r>
          </w:p>
        </w:tc>
        <w:tc>
          <w:tcPr>
            <w:tcW w:w="1933" w:type="dxa"/>
            <w:vAlign w:val="center"/>
          </w:tcPr>
          <w:p w14:paraId="5C6F66F5">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QB/T1333-2018</w:t>
            </w:r>
          </w:p>
        </w:tc>
        <w:tc>
          <w:tcPr>
            <w:tcW w:w="4466" w:type="dxa"/>
            <w:vAlign w:val="center"/>
          </w:tcPr>
          <w:p w14:paraId="68056E8B">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振荡冲击性能、包锁耐用性能、扣件耐用性能、拉链耐用度、缝合强度、塑料插扣耐用性能、摩擦色牢度（沾色）、游离甲醛（织物）、游离甲醛（皮革、毛皮、再生革）、可分解有害芳香胺染料（织物）、可分解有害芳香胺染料（皮革、毛皮、再生革）</w:t>
            </w:r>
          </w:p>
        </w:tc>
      </w:tr>
      <w:tr w14:paraId="274C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606" w:type="dxa"/>
            <w:vAlign w:val="center"/>
          </w:tcPr>
          <w:p w14:paraId="1DE5E5A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30</w:t>
            </w:r>
          </w:p>
        </w:tc>
        <w:tc>
          <w:tcPr>
            <w:tcW w:w="887" w:type="dxa"/>
            <w:vAlign w:val="center"/>
          </w:tcPr>
          <w:p w14:paraId="6854A367">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旅行箱包</w:t>
            </w:r>
          </w:p>
          <w:p w14:paraId="3BB2B762">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p>
        </w:tc>
        <w:tc>
          <w:tcPr>
            <w:tcW w:w="603" w:type="dxa"/>
            <w:vAlign w:val="center"/>
          </w:tcPr>
          <w:p w14:paraId="2F589151">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p>
        </w:tc>
        <w:tc>
          <w:tcPr>
            <w:tcW w:w="1933" w:type="dxa"/>
            <w:vAlign w:val="center"/>
          </w:tcPr>
          <w:p w14:paraId="301F8B96">
            <w:pPr>
              <w:spacing w:before="55" w:beforeAutospacing="0" w:after="0" w:afterAutospacing="0"/>
              <w:ind w:left="71" w:leftChars="0" w:right="11" w:hanging="56" w:firstLineChars="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QB/T 2155-2018</w:t>
            </w:r>
          </w:p>
        </w:tc>
        <w:tc>
          <w:tcPr>
            <w:tcW w:w="4466" w:type="dxa"/>
            <w:vAlign w:val="center"/>
          </w:tcPr>
          <w:p w14:paraId="295FB0BF">
            <w:pPr>
              <w:spacing w:before="55" w:beforeAutospacing="0" w:after="0" w:afterAutospacing="0"/>
              <w:ind w:left="71" w:leftChars="0" w:right="11" w:hanging="56"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可分解有害芳香胺染料、游离甲醛、拉杆耐疲劳性能、行走性能、振荡冲击性能、跌落性能、硬箱箱体耐静压性能、塑料硬箱箱面耐落球冲击性能、滚筒冲击性能、箱（包）锁耐用性能、箱铝口硬度、缝合强度、旅行包面料摩擦色牢度（沾色）、五金配件耐腐蚀性、标志</w:t>
            </w:r>
          </w:p>
        </w:tc>
      </w:tr>
    </w:tbl>
    <w:p w14:paraId="3E6460DD">
      <w:pPr>
        <w:widowControl w:val="0"/>
        <w:numPr>
          <w:ilvl w:val="0"/>
          <w:numId w:val="0"/>
        </w:numPr>
        <w:wordWrap/>
        <w:adjustRightInd/>
        <w:snapToGrid/>
        <w:spacing w:line="360" w:lineRule="auto"/>
        <w:ind w:firstLine="480" w:firstLineChars="200"/>
        <w:jc w:val="left"/>
        <w:textAlignment w:val="auto"/>
        <w:rPr>
          <w:rFonts w:hint="eastAsia" w:ascii="宋体" w:hAnsi="宋体" w:eastAsia="宋体" w:cs="宋体"/>
          <w:b w:val="0"/>
          <w:bCs w:val="0"/>
          <w:color w:val="auto"/>
          <w:sz w:val="24"/>
          <w:highlight w:val="none"/>
          <w:lang w:val="en-US" w:eastAsia="zh-CN"/>
        </w:rPr>
      </w:pPr>
      <w:bookmarkStart w:id="19" w:name="_Toc8078"/>
    </w:p>
    <w:p w14:paraId="3E9700D2">
      <w:pPr>
        <w:pStyle w:val="3"/>
        <w:rPr>
          <w:rFonts w:hint="eastAsia"/>
        </w:rPr>
      </w:pPr>
    </w:p>
    <w:bookmarkEnd w:id="19"/>
    <w:p w14:paraId="0EBD930F">
      <w:pPr>
        <w:numPr>
          <w:ilvl w:val="0"/>
          <w:numId w:val="7"/>
        </w:numPr>
        <w:ind w:firstLine="0" w:firstLineChars="0"/>
        <w:rPr>
          <w:rFonts w:hint="eastAsia" w:ascii="宋体" w:hAnsi="宋体" w:eastAsia="宋体" w:cs="宋体"/>
          <w:color w:val="auto"/>
          <w:sz w:val="44"/>
          <w:szCs w:val="44"/>
          <w:highlight w:val="none"/>
        </w:rPr>
      </w:pPr>
      <w:bookmarkStart w:id="20" w:name="_Toc184313270"/>
      <w:bookmarkEnd w:id="20"/>
      <w:bookmarkStart w:id="21" w:name="_Toc184308051"/>
      <w:bookmarkEnd w:id="21"/>
      <w:bookmarkStart w:id="22" w:name="_Toc184308037"/>
      <w:bookmarkEnd w:id="22"/>
      <w:bookmarkStart w:id="23" w:name="_Toc184308062"/>
      <w:bookmarkEnd w:id="23"/>
      <w:bookmarkStart w:id="24" w:name="_Toc184310323"/>
      <w:bookmarkEnd w:id="24"/>
      <w:bookmarkStart w:id="25" w:name="_Toc184308079"/>
      <w:bookmarkEnd w:id="25"/>
      <w:bookmarkStart w:id="26" w:name="_Toc184310319"/>
      <w:bookmarkEnd w:id="26"/>
      <w:bookmarkStart w:id="27" w:name="_Toc184310294"/>
      <w:bookmarkEnd w:id="27"/>
      <w:bookmarkStart w:id="28" w:name="_Toc184313239"/>
      <w:bookmarkEnd w:id="28"/>
      <w:bookmarkStart w:id="29" w:name="_Toc184312093"/>
      <w:bookmarkEnd w:id="29"/>
      <w:bookmarkStart w:id="30" w:name="_Toc184312073"/>
      <w:bookmarkEnd w:id="30"/>
      <w:bookmarkStart w:id="31" w:name="_Toc184308074"/>
      <w:bookmarkEnd w:id="31"/>
      <w:bookmarkStart w:id="32" w:name="_Toc184314440"/>
      <w:bookmarkEnd w:id="32"/>
      <w:bookmarkStart w:id="33" w:name="_Toc184313259"/>
      <w:bookmarkEnd w:id="33"/>
      <w:bookmarkStart w:id="34" w:name="_Toc184308061"/>
      <w:bookmarkEnd w:id="34"/>
      <w:bookmarkStart w:id="35" w:name="_Toc184308075"/>
      <w:bookmarkEnd w:id="35"/>
      <w:bookmarkStart w:id="36" w:name="_Toc184313278"/>
      <w:bookmarkEnd w:id="36"/>
      <w:bookmarkStart w:id="37" w:name="_Toc184312094"/>
      <w:bookmarkEnd w:id="37"/>
      <w:bookmarkStart w:id="38" w:name="_Toc184314470"/>
      <w:bookmarkEnd w:id="38"/>
      <w:bookmarkStart w:id="39" w:name="_Toc184314428"/>
      <w:bookmarkEnd w:id="39"/>
      <w:bookmarkStart w:id="40" w:name="_Toc184312090"/>
      <w:bookmarkEnd w:id="40"/>
      <w:bookmarkStart w:id="41" w:name="_Toc184310335"/>
      <w:bookmarkEnd w:id="41"/>
      <w:bookmarkStart w:id="42" w:name="_Toc184314417"/>
      <w:bookmarkEnd w:id="42"/>
      <w:bookmarkStart w:id="43" w:name="_Toc184308071"/>
      <w:bookmarkEnd w:id="43"/>
      <w:bookmarkStart w:id="44" w:name="_Toc184313261"/>
      <w:bookmarkEnd w:id="44"/>
      <w:bookmarkStart w:id="45" w:name="_Toc184313256"/>
      <w:bookmarkEnd w:id="45"/>
      <w:bookmarkStart w:id="46" w:name="_Toc184313309"/>
      <w:bookmarkEnd w:id="46"/>
      <w:bookmarkStart w:id="47" w:name="_Toc184310328"/>
      <w:bookmarkEnd w:id="47"/>
      <w:bookmarkStart w:id="48" w:name="_Toc184313241"/>
      <w:bookmarkEnd w:id="48"/>
      <w:bookmarkStart w:id="49" w:name="_Toc184310293"/>
      <w:bookmarkEnd w:id="49"/>
      <w:bookmarkStart w:id="50" w:name="_Toc184314419"/>
      <w:bookmarkEnd w:id="50"/>
      <w:bookmarkStart w:id="51" w:name="_Toc184314411"/>
      <w:bookmarkEnd w:id="51"/>
      <w:bookmarkStart w:id="52" w:name="_Toc184314456"/>
      <w:bookmarkEnd w:id="52"/>
      <w:bookmarkStart w:id="53" w:name="_Toc184314424"/>
      <w:bookmarkEnd w:id="53"/>
      <w:bookmarkStart w:id="54" w:name="_Toc184314434"/>
      <w:bookmarkEnd w:id="54"/>
      <w:bookmarkStart w:id="55" w:name="_Toc184312107"/>
      <w:bookmarkEnd w:id="55"/>
      <w:bookmarkStart w:id="56" w:name="_Toc184310311"/>
      <w:bookmarkEnd w:id="56"/>
      <w:bookmarkStart w:id="57" w:name="_Toc184313251"/>
      <w:bookmarkEnd w:id="57"/>
      <w:bookmarkStart w:id="58" w:name="_Toc184313242"/>
      <w:bookmarkEnd w:id="58"/>
      <w:bookmarkStart w:id="59" w:name="_Toc184308072"/>
      <w:bookmarkEnd w:id="59"/>
      <w:bookmarkStart w:id="60" w:name="_Toc184314458"/>
      <w:bookmarkEnd w:id="60"/>
      <w:bookmarkStart w:id="61" w:name="_Toc184314427"/>
      <w:bookmarkEnd w:id="61"/>
      <w:bookmarkStart w:id="62" w:name="_Toc184314475"/>
      <w:bookmarkEnd w:id="62"/>
      <w:bookmarkStart w:id="63" w:name="_Toc184310327"/>
      <w:bookmarkEnd w:id="63"/>
      <w:bookmarkStart w:id="64" w:name="_Toc184308104"/>
      <w:bookmarkEnd w:id="64"/>
      <w:bookmarkStart w:id="65" w:name="_Toc184313252"/>
      <w:bookmarkEnd w:id="65"/>
      <w:bookmarkStart w:id="66" w:name="_Toc184314416"/>
      <w:bookmarkEnd w:id="66"/>
      <w:bookmarkStart w:id="67" w:name="_Toc184310336"/>
      <w:bookmarkEnd w:id="67"/>
      <w:bookmarkStart w:id="68" w:name="_Toc184314468"/>
      <w:bookmarkEnd w:id="68"/>
      <w:bookmarkStart w:id="69" w:name="_Toc184313265"/>
      <w:bookmarkEnd w:id="69"/>
      <w:bookmarkStart w:id="70" w:name="_Toc184313245"/>
      <w:bookmarkEnd w:id="70"/>
      <w:bookmarkStart w:id="71" w:name="_Toc184313244"/>
      <w:bookmarkEnd w:id="71"/>
      <w:bookmarkStart w:id="72" w:name="_Toc184312074"/>
      <w:bookmarkEnd w:id="72"/>
      <w:bookmarkStart w:id="73" w:name="_Toc184313291"/>
      <w:bookmarkEnd w:id="73"/>
      <w:bookmarkStart w:id="74" w:name="_Toc184312091"/>
      <w:bookmarkEnd w:id="74"/>
      <w:bookmarkStart w:id="75" w:name="_Toc184310289"/>
      <w:bookmarkEnd w:id="75"/>
      <w:bookmarkStart w:id="76" w:name="_Toc184314467"/>
      <w:bookmarkEnd w:id="76"/>
      <w:bookmarkStart w:id="77" w:name="_Toc184312130"/>
      <w:bookmarkEnd w:id="77"/>
      <w:bookmarkStart w:id="78" w:name="_Toc184313287"/>
      <w:bookmarkEnd w:id="78"/>
      <w:bookmarkStart w:id="79" w:name="_Toc184314465"/>
      <w:bookmarkEnd w:id="79"/>
      <w:bookmarkStart w:id="80" w:name="_Toc184308091"/>
      <w:bookmarkEnd w:id="80"/>
      <w:bookmarkStart w:id="81" w:name="_Toc184308077"/>
      <w:bookmarkEnd w:id="81"/>
      <w:bookmarkStart w:id="82" w:name="_Toc184312114"/>
      <w:bookmarkEnd w:id="82"/>
      <w:bookmarkStart w:id="83" w:name="_Toc184313247"/>
      <w:bookmarkEnd w:id="83"/>
      <w:bookmarkStart w:id="84" w:name="_Toc184308048"/>
      <w:bookmarkEnd w:id="84"/>
      <w:bookmarkStart w:id="85" w:name="_Toc184310337"/>
      <w:bookmarkEnd w:id="85"/>
      <w:bookmarkStart w:id="86" w:name="_Toc184313308"/>
      <w:bookmarkEnd w:id="86"/>
      <w:bookmarkStart w:id="87" w:name="_Toc184310314"/>
      <w:bookmarkEnd w:id="87"/>
      <w:bookmarkStart w:id="88" w:name="_Toc184310280"/>
      <w:bookmarkEnd w:id="88"/>
      <w:bookmarkStart w:id="89" w:name="_Toc184312117"/>
      <w:bookmarkEnd w:id="89"/>
      <w:bookmarkStart w:id="90" w:name="_Toc184308066"/>
      <w:bookmarkEnd w:id="90"/>
      <w:bookmarkStart w:id="91" w:name="_Toc184313266"/>
      <w:bookmarkEnd w:id="91"/>
      <w:bookmarkStart w:id="92" w:name="_Toc184314457"/>
      <w:bookmarkEnd w:id="92"/>
      <w:bookmarkStart w:id="93" w:name="_Toc184313298"/>
      <w:bookmarkEnd w:id="93"/>
      <w:bookmarkStart w:id="94" w:name="_Toc184308042"/>
      <w:bookmarkEnd w:id="94"/>
      <w:bookmarkStart w:id="95" w:name="_Toc184313303"/>
      <w:bookmarkEnd w:id="95"/>
      <w:bookmarkStart w:id="96" w:name="_Toc184313264"/>
      <w:bookmarkEnd w:id="96"/>
      <w:bookmarkStart w:id="97" w:name="_Toc184314446"/>
      <w:bookmarkEnd w:id="97"/>
      <w:bookmarkStart w:id="98" w:name="_Toc184308054"/>
      <w:bookmarkEnd w:id="98"/>
      <w:bookmarkStart w:id="99" w:name="_Toc184312118"/>
      <w:bookmarkEnd w:id="99"/>
      <w:bookmarkStart w:id="100" w:name="_Toc184310331"/>
      <w:bookmarkEnd w:id="100"/>
      <w:bookmarkStart w:id="101" w:name="_Toc184313284"/>
      <w:bookmarkEnd w:id="101"/>
      <w:bookmarkStart w:id="102" w:name="_Toc184310326"/>
      <w:bookmarkEnd w:id="102"/>
      <w:bookmarkStart w:id="103" w:name="_Toc184308049"/>
      <w:bookmarkEnd w:id="103"/>
      <w:bookmarkStart w:id="104" w:name="_Toc184313300"/>
      <w:bookmarkEnd w:id="104"/>
      <w:bookmarkStart w:id="105" w:name="_Toc184313301"/>
      <w:bookmarkEnd w:id="105"/>
      <w:bookmarkStart w:id="106" w:name="_Toc184313267"/>
      <w:bookmarkEnd w:id="106"/>
      <w:bookmarkStart w:id="107" w:name="_Toc184313276"/>
      <w:bookmarkEnd w:id="107"/>
      <w:bookmarkStart w:id="108" w:name="_Toc184312109"/>
      <w:bookmarkEnd w:id="108"/>
      <w:bookmarkStart w:id="109" w:name="_Toc184312127"/>
      <w:bookmarkEnd w:id="109"/>
      <w:bookmarkStart w:id="110" w:name="_Toc184310344"/>
      <w:bookmarkEnd w:id="110"/>
      <w:bookmarkStart w:id="111" w:name="_Toc184310308"/>
      <w:bookmarkEnd w:id="111"/>
      <w:bookmarkStart w:id="112" w:name="_Toc184312133"/>
      <w:bookmarkEnd w:id="112"/>
      <w:bookmarkStart w:id="113" w:name="_Toc184308053"/>
      <w:bookmarkEnd w:id="113"/>
      <w:bookmarkStart w:id="114" w:name="_Toc184308047"/>
      <w:bookmarkEnd w:id="114"/>
      <w:bookmarkStart w:id="115" w:name="_Toc184314474"/>
      <w:bookmarkEnd w:id="115"/>
      <w:bookmarkStart w:id="116" w:name="_Toc184310303"/>
      <w:bookmarkEnd w:id="116"/>
      <w:bookmarkStart w:id="117" w:name="_Toc184313286"/>
      <w:bookmarkEnd w:id="117"/>
      <w:bookmarkStart w:id="118" w:name="_Toc184313271"/>
      <w:bookmarkEnd w:id="118"/>
      <w:bookmarkStart w:id="119" w:name="_Toc184312069"/>
      <w:bookmarkEnd w:id="119"/>
      <w:bookmarkStart w:id="120" w:name="_Toc184314442"/>
      <w:bookmarkEnd w:id="120"/>
      <w:bookmarkStart w:id="121" w:name="_Toc184314415"/>
      <w:bookmarkEnd w:id="121"/>
      <w:bookmarkStart w:id="122" w:name="_Toc184310343"/>
      <w:bookmarkEnd w:id="122"/>
      <w:bookmarkStart w:id="123" w:name="_Toc184314437"/>
      <w:bookmarkEnd w:id="123"/>
      <w:bookmarkStart w:id="124" w:name="_Toc184313263"/>
      <w:bookmarkEnd w:id="124"/>
      <w:bookmarkStart w:id="125" w:name="_Toc184310339"/>
      <w:bookmarkEnd w:id="125"/>
      <w:bookmarkStart w:id="126" w:name="_Toc184308095"/>
      <w:bookmarkEnd w:id="126"/>
      <w:bookmarkStart w:id="127" w:name="_Toc184310297"/>
      <w:bookmarkEnd w:id="127"/>
      <w:bookmarkStart w:id="128" w:name="_Toc184312068"/>
      <w:bookmarkEnd w:id="128"/>
      <w:bookmarkStart w:id="129" w:name="_Toc184312101"/>
      <w:bookmarkEnd w:id="129"/>
      <w:bookmarkStart w:id="130" w:name="_Toc184312087"/>
      <w:bookmarkEnd w:id="130"/>
      <w:bookmarkStart w:id="131" w:name="_Toc184313306"/>
      <w:bookmarkEnd w:id="131"/>
      <w:bookmarkStart w:id="132" w:name="_Toc184312102"/>
      <w:bookmarkEnd w:id="132"/>
      <w:bookmarkStart w:id="133" w:name="_Toc184308041"/>
      <w:bookmarkEnd w:id="133"/>
      <w:bookmarkStart w:id="134" w:name="_Toc184314472"/>
      <w:bookmarkEnd w:id="134"/>
      <w:bookmarkStart w:id="135" w:name="_Toc184310340"/>
      <w:bookmarkEnd w:id="135"/>
      <w:bookmarkStart w:id="136" w:name="_Toc184310315"/>
      <w:bookmarkEnd w:id="136"/>
      <w:bookmarkStart w:id="137" w:name="_Toc184308085"/>
      <w:bookmarkEnd w:id="137"/>
      <w:bookmarkStart w:id="138" w:name="_Toc184310316"/>
      <w:bookmarkEnd w:id="138"/>
      <w:bookmarkStart w:id="139" w:name="_Toc184310286"/>
      <w:bookmarkEnd w:id="139"/>
      <w:bookmarkStart w:id="140" w:name="_Toc184308083"/>
      <w:bookmarkEnd w:id="140"/>
      <w:bookmarkStart w:id="141" w:name="_Toc184312129"/>
      <w:bookmarkEnd w:id="141"/>
      <w:bookmarkStart w:id="142" w:name="_Toc184313275"/>
      <w:bookmarkEnd w:id="142"/>
      <w:bookmarkStart w:id="143" w:name="_Toc184313305"/>
      <w:bookmarkEnd w:id="143"/>
      <w:bookmarkStart w:id="144" w:name="_Toc184314463"/>
      <w:bookmarkEnd w:id="144"/>
      <w:bookmarkStart w:id="145" w:name="_Toc184308038"/>
      <w:bookmarkEnd w:id="145"/>
      <w:bookmarkStart w:id="146" w:name="_Toc184313250"/>
      <w:bookmarkEnd w:id="146"/>
      <w:bookmarkStart w:id="147" w:name="_Toc184308052"/>
      <w:bookmarkEnd w:id="147"/>
      <w:bookmarkStart w:id="148" w:name="_Toc184310292"/>
      <w:bookmarkEnd w:id="148"/>
      <w:bookmarkStart w:id="149" w:name="_Toc184314452"/>
      <w:bookmarkEnd w:id="149"/>
      <w:bookmarkStart w:id="150" w:name="_Toc184314450"/>
      <w:bookmarkEnd w:id="150"/>
      <w:bookmarkStart w:id="151" w:name="_Toc184314459"/>
      <w:bookmarkEnd w:id="151"/>
      <w:bookmarkStart w:id="152" w:name="_Toc184313240"/>
      <w:bookmarkEnd w:id="152"/>
      <w:bookmarkStart w:id="153" w:name="_Toc184314460"/>
      <w:bookmarkEnd w:id="153"/>
      <w:bookmarkStart w:id="154" w:name="_Toc184312106"/>
      <w:bookmarkEnd w:id="154"/>
      <w:bookmarkStart w:id="155" w:name="_Toc184310300"/>
      <w:bookmarkEnd w:id="155"/>
      <w:bookmarkStart w:id="156" w:name="_Toc184310299"/>
      <w:bookmarkEnd w:id="156"/>
      <w:bookmarkStart w:id="157" w:name="_Toc184314447"/>
      <w:bookmarkEnd w:id="157"/>
      <w:bookmarkStart w:id="158" w:name="_Toc184312111"/>
      <w:bookmarkEnd w:id="158"/>
      <w:bookmarkStart w:id="159" w:name="_Toc184314473"/>
      <w:bookmarkEnd w:id="159"/>
      <w:bookmarkStart w:id="160" w:name="_Toc184310276"/>
      <w:bookmarkEnd w:id="160"/>
      <w:bookmarkStart w:id="161" w:name="_Toc184310320"/>
      <w:bookmarkEnd w:id="161"/>
      <w:bookmarkStart w:id="162" w:name="_Toc184313254"/>
      <w:bookmarkEnd w:id="162"/>
      <w:bookmarkStart w:id="163" w:name="_Toc184312119"/>
      <w:bookmarkEnd w:id="163"/>
      <w:bookmarkStart w:id="164" w:name="_Toc184314435"/>
      <w:bookmarkEnd w:id="164"/>
      <w:bookmarkStart w:id="165" w:name="_Toc184308045"/>
      <w:bookmarkEnd w:id="165"/>
      <w:bookmarkStart w:id="166" w:name="_Toc184310338"/>
      <w:bookmarkEnd w:id="166"/>
      <w:bookmarkStart w:id="167" w:name="_Toc184314471"/>
      <w:bookmarkEnd w:id="167"/>
      <w:bookmarkStart w:id="168" w:name="_Toc184314464"/>
      <w:bookmarkEnd w:id="168"/>
      <w:bookmarkStart w:id="169" w:name="_Toc184314445"/>
      <w:bookmarkEnd w:id="169"/>
      <w:bookmarkStart w:id="170" w:name="_Toc184314421"/>
      <w:bookmarkEnd w:id="170"/>
      <w:bookmarkStart w:id="171" w:name="_Toc184308050"/>
      <w:bookmarkEnd w:id="171"/>
      <w:bookmarkStart w:id="172" w:name="_Toc184308087"/>
      <w:bookmarkEnd w:id="172"/>
      <w:bookmarkStart w:id="173" w:name="_Toc184312075"/>
      <w:bookmarkEnd w:id="173"/>
      <w:bookmarkStart w:id="174" w:name="_Toc184312081"/>
      <w:bookmarkEnd w:id="174"/>
      <w:bookmarkStart w:id="175" w:name="_Toc184313255"/>
      <w:bookmarkEnd w:id="175"/>
      <w:bookmarkStart w:id="176" w:name="_Toc184310324"/>
      <w:bookmarkEnd w:id="176"/>
      <w:bookmarkStart w:id="177" w:name="_Toc184310279"/>
      <w:bookmarkEnd w:id="177"/>
      <w:bookmarkStart w:id="178" w:name="_Toc184310301"/>
      <w:bookmarkEnd w:id="178"/>
      <w:bookmarkStart w:id="179" w:name="_Toc184310333"/>
      <w:bookmarkEnd w:id="179"/>
      <w:bookmarkStart w:id="180" w:name="_Toc184314432"/>
      <w:bookmarkEnd w:id="180"/>
      <w:bookmarkStart w:id="181" w:name="_Toc184308068"/>
      <w:bookmarkEnd w:id="181"/>
      <w:bookmarkStart w:id="182" w:name="_Toc184308060"/>
      <w:bookmarkEnd w:id="182"/>
      <w:bookmarkStart w:id="183" w:name="_Toc184308098"/>
      <w:bookmarkEnd w:id="183"/>
      <w:bookmarkStart w:id="184" w:name="_Toc184308078"/>
      <w:bookmarkEnd w:id="184"/>
      <w:bookmarkStart w:id="185" w:name="_Toc184313282"/>
      <w:bookmarkEnd w:id="185"/>
      <w:bookmarkStart w:id="186" w:name="_Toc184308080"/>
      <w:bookmarkEnd w:id="186"/>
      <w:bookmarkStart w:id="187" w:name="_Toc184310288"/>
      <w:bookmarkEnd w:id="187"/>
      <w:bookmarkStart w:id="188" w:name="_Toc184313292"/>
      <w:bookmarkEnd w:id="188"/>
      <w:bookmarkStart w:id="189" w:name="_Toc184312104"/>
      <w:bookmarkEnd w:id="189"/>
      <w:bookmarkStart w:id="190" w:name="_Toc184312088"/>
      <w:bookmarkEnd w:id="190"/>
      <w:bookmarkStart w:id="191" w:name="_Toc184308046"/>
      <w:bookmarkEnd w:id="191"/>
      <w:bookmarkStart w:id="192" w:name="_Toc184314413"/>
      <w:bookmarkEnd w:id="192"/>
      <w:bookmarkStart w:id="193" w:name="_Toc184314412"/>
      <w:bookmarkEnd w:id="193"/>
      <w:bookmarkStart w:id="194" w:name="_Toc184312131"/>
      <w:bookmarkEnd w:id="194"/>
      <w:bookmarkStart w:id="195" w:name="_Toc184312105"/>
      <w:bookmarkEnd w:id="195"/>
      <w:bookmarkStart w:id="196" w:name="_Toc184312083"/>
      <w:bookmarkEnd w:id="196"/>
      <w:bookmarkStart w:id="197" w:name="_Toc184314438"/>
      <w:bookmarkEnd w:id="197"/>
      <w:bookmarkStart w:id="198" w:name="_Toc184308103"/>
      <w:bookmarkEnd w:id="198"/>
      <w:bookmarkStart w:id="199" w:name="_Toc184313281"/>
      <w:bookmarkEnd w:id="199"/>
      <w:bookmarkStart w:id="200" w:name="_Toc184312110"/>
      <w:bookmarkEnd w:id="200"/>
      <w:bookmarkStart w:id="201" w:name="_Toc184310272"/>
      <w:bookmarkEnd w:id="201"/>
      <w:bookmarkStart w:id="202" w:name="_Toc184314431"/>
      <w:bookmarkEnd w:id="202"/>
      <w:bookmarkStart w:id="203" w:name="_Toc184312095"/>
      <w:bookmarkEnd w:id="203"/>
      <w:bookmarkStart w:id="204" w:name="_Toc184312126"/>
      <w:bookmarkEnd w:id="204"/>
      <w:bookmarkStart w:id="205" w:name="_Toc184313283"/>
      <w:bookmarkEnd w:id="205"/>
      <w:bookmarkStart w:id="206" w:name="_Toc184308064"/>
      <w:bookmarkEnd w:id="206"/>
      <w:bookmarkStart w:id="207" w:name="_Toc184313285"/>
      <w:bookmarkEnd w:id="207"/>
      <w:bookmarkStart w:id="208" w:name="_Toc184310285"/>
      <w:bookmarkEnd w:id="208"/>
      <w:bookmarkStart w:id="209" w:name="_Toc184312116"/>
      <w:bookmarkEnd w:id="209"/>
      <w:bookmarkStart w:id="210" w:name="_Toc184313268"/>
      <w:bookmarkEnd w:id="210"/>
      <w:bookmarkStart w:id="211" w:name="_Toc184310298"/>
      <w:bookmarkEnd w:id="211"/>
      <w:bookmarkStart w:id="212" w:name="_Toc184310321"/>
      <w:bookmarkEnd w:id="212"/>
      <w:bookmarkStart w:id="213" w:name="_Toc184312122"/>
      <w:bookmarkEnd w:id="213"/>
      <w:bookmarkStart w:id="214" w:name="_Toc184314429"/>
      <w:bookmarkEnd w:id="214"/>
      <w:bookmarkStart w:id="215" w:name="_Toc184312113"/>
      <w:bookmarkEnd w:id="215"/>
      <w:bookmarkStart w:id="216" w:name="_Toc184310305"/>
      <w:bookmarkEnd w:id="216"/>
      <w:bookmarkStart w:id="217" w:name="_Toc184312072"/>
      <w:bookmarkEnd w:id="217"/>
      <w:bookmarkStart w:id="218" w:name="_Toc184310296"/>
      <w:bookmarkEnd w:id="218"/>
      <w:bookmarkStart w:id="219" w:name="_Toc184310275"/>
      <w:bookmarkEnd w:id="219"/>
      <w:bookmarkStart w:id="220" w:name="_Toc184312086"/>
      <w:bookmarkEnd w:id="220"/>
      <w:bookmarkStart w:id="221" w:name="_Toc184310317"/>
      <w:bookmarkEnd w:id="221"/>
      <w:bookmarkStart w:id="222" w:name="_Toc184312138"/>
      <w:bookmarkEnd w:id="222"/>
      <w:bookmarkStart w:id="223" w:name="_Toc184312139"/>
      <w:bookmarkEnd w:id="223"/>
      <w:bookmarkStart w:id="224" w:name="_Toc184310281"/>
      <w:bookmarkEnd w:id="224"/>
      <w:bookmarkStart w:id="225" w:name="_Toc184314420"/>
      <w:bookmarkEnd w:id="225"/>
      <w:bookmarkStart w:id="226" w:name="_Toc184312078"/>
      <w:bookmarkEnd w:id="226"/>
      <w:bookmarkStart w:id="227" w:name="_Toc184314453"/>
      <w:bookmarkEnd w:id="227"/>
      <w:bookmarkStart w:id="228" w:name="_Toc184313296"/>
      <w:bookmarkEnd w:id="228"/>
      <w:bookmarkStart w:id="229" w:name="_Toc184310329"/>
      <w:bookmarkEnd w:id="229"/>
      <w:bookmarkStart w:id="230" w:name="_Toc184313260"/>
      <w:bookmarkEnd w:id="230"/>
      <w:bookmarkStart w:id="231" w:name="_Toc184310273"/>
      <w:bookmarkEnd w:id="231"/>
      <w:bookmarkStart w:id="232" w:name="_Toc184312134"/>
      <w:bookmarkEnd w:id="232"/>
      <w:bookmarkStart w:id="233" w:name="_Toc184308106"/>
      <w:bookmarkEnd w:id="233"/>
      <w:bookmarkStart w:id="234" w:name="_Toc184310277"/>
      <w:bookmarkEnd w:id="234"/>
      <w:bookmarkStart w:id="235" w:name="_Toc184312079"/>
      <w:bookmarkEnd w:id="235"/>
      <w:bookmarkStart w:id="236" w:name="_Toc184312099"/>
      <w:bookmarkEnd w:id="236"/>
      <w:bookmarkStart w:id="237" w:name="_Toc184314462"/>
      <w:bookmarkEnd w:id="237"/>
      <w:bookmarkStart w:id="238" w:name="_Toc184308097"/>
      <w:bookmarkEnd w:id="238"/>
      <w:bookmarkStart w:id="239" w:name="_Toc184312120"/>
      <w:bookmarkEnd w:id="239"/>
      <w:bookmarkStart w:id="240" w:name="_Toc184313274"/>
      <w:bookmarkEnd w:id="240"/>
      <w:bookmarkStart w:id="241" w:name="_Toc184310334"/>
      <w:bookmarkEnd w:id="241"/>
      <w:bookmarkStart w:id="242" w:name="_Toc184308100"/>
      <w:bookmarkEnd w:id="242"/>
      <w:bookmarkStart w:id="243" w:name="_Toc184312096"/>
      <w:bookmarkEnd w:id="243"/>
      <w:bookmarkStart w:id="244" w:name="_Toc184314480"/>
      <w:bookmarkEnd w:id="244"/>
      <w:bookmarkStart w:id="245" w:name="_Toc184312125"/>
      <w:bookmarkEnd w:id="245"/>
      <w:bookmarkStart w:id="246" w:name="_Toc184314481"/>
      <w:bookmarkEnd w:id="246"/>
      <w:bookmarkStart w:id="247" w:name="_Toc184308108"/>
      <w:bookmarkEnd w:id="247"/>
      <w:bookmarkStart w:id="248" w:name="_Toc184308093"/>
      <w:bookmarkEnd w:id="248"/>
      <w:bookmarkStart w:id="249" w:name="_Toc184313295"/>
      <w:bookmarkEnd w:id="249"/>
      <w:bookmarkStart w:id="250" w:name="_Toc184313280"/>
      <w:bookmarkEnd w:id="250"/>
      <w:bookmarkStart w:id="251" w:name="_Toc184314423"/>
      <w:bookmarkEnd w:id="251"/>
      <w:bookmarkStart w:id="252" w:name="_Toc184308099"/>
      <w:bookmarkEnd w:id="252"/>
      <w:bookmarkStart w:id="253" w:name="_Toc184313272"/>
      <w:bookmarkEnd w:id="253"/>
      <w:bookmarkStart w:id="254" w:name="_Toc184314410"/>
      <w:bookmarkEnd w:id="254"/>
      <w:bookmarkStart w:id="255" w:name="_Toc184308081"/>
      <w:bookmarkEnd w:id="255"/>
      <w:bookmarkStart w:id="256" w:name="_Toc184313297"/>
      <w:bookmarkEnd w:id="256"/>
      <w:bookmarkStart w:id="257" w:name="_Toc184308057"/>
      <w:bookmarkEnd w:id="257"/>
      <w:bookmarkStart w:id="258" w:name="_Toc184310341"/>
      <w:bookmarkEnd w:id="258"/>
      <w:bookmarkStart w:id="259" w:name="_Toc184310318"/>
      <w:bookmarkEnd w:id="259"/>
      <w:bookmarkStart w:id="260" w:name="_Toc184308107"/>
      <w:bookmarkEnd w:id="260"/>
      <w:bookmarkStart w:id="261" w:name="_Toc184314451"/>
      <w:bookmarkEnd w:id="261"/>
      <w:bookmarkStart w:id="262" w:name="_Toc184312084"/>
      <w:bookmarkEnd w:id="262"/>
      <w:bookmarkStart w:id="263" w:name="_Toc184310313"/>
      <w:bookmarkEnd w:id="263"/>
      <w:bookmarkStart w:id="264" w:name="_Toc184312085"/>
      <w:bookmarkEnd w:id="264"/>
      <w:bookmarkStart w:id="265" w:name="_Toc184313273"/>
      <w:bookmarkEnd w:id="265"/>
      <w:bookmarkStart w:id="266" w:name="_Toc184313288"/>
      <w:bookmarkEnd w:id="266"/>
      <w:bookmarkStart w:id="267" w:name="_Toc184308040"/>
      <w:bookmarkEnd w:id="267"/>
      <w:bookmarkStart w:id="268" w:name="_Toc184308039"/>
      <w:bookmarkEnd w:id="268"/>
      <w:bookmarkStart w:id="269" w:name="_Toc184312097"/>
      <w:bookmarkEnd w:id="269"/>
      <w:bookmarkStart w:id="270" w:name="_Toc184312071"/>
      <w:bookmarkEnd w:id="270"/>
      <w:bookmarkStart w:id="271" w:name="_Toc184314444"/>
      <w:bookmarkEnd w:id="271"/>
      <w:bookmarkStart w:id="272" w:name="_Toc184308043"/>
      <w:bookmarkEnd w:id="272"/>
      <w:bookmarkStart w:id="273" w:name="_Toc184313289"/>
      <w:bookmarkEnd w:id="273"/>
      <w:bookmarkStart w:id="274" w:name="_Toc184313262"/>
      <w:bookmarkEnd w:id="274"/>
      <w:bookmarkStart w:id="275" w:name="_Toc184310278"/>
      <w:bookmarkEnd w:id="275"/>
      <w:bookmarkStart w:id="276" w:name="_Toc184312103"/>
      <w:bookmarkEnd w:id="276"/>
      <w:bookmarkStart w:id="277" w:name="_Toc184313269"/>
      <w:bookmarkEnd w:id="277"/>
      <w:bookmarkStart w:id="278" w:name="_Toc184312067"/>
      <w:bookmarkEnd w:id="278"/>
      <w:bookmarkStart w:id="279" w:name="_Toc184308036"/>
      <w:bookmarkEnd w:id="279"/>
      <w:bookmarkStart w:id="280" w:name="_Toc184313293"/>
      <w:bookmarkEnd w:id="280"/>
      <w:bookmarkStart w:id="281" w:name="_Toc184313238"/>
      <w:bookmarkEnd w:id="281"/>
      <w:bookmarkStart w:id="282" w:name="_Toc184308055"/>
      <w:bookmarkEnd w:id="282"/>
      <w:bookmarkStart w:id="283" w:name="_Toc184308059"/>
      <w:bookmarkEnd w:id="283"/>
      <w:bookmarkStart w:id="284" w:name="_Toc184308096"/>
      <w:bookmarkEnd w:id="284"/>
      <w:bookmarkStart w:id="285" w:name="_Toc184308102"/>
      <w:bookmarkEnd w:id="285"/>
      <w:bookmarkStart w:id="286" w:name="_Toc184308076"/>
      <w:bookmarkEnd w:id="286"/>
      <w:bookmarkStart w:id="287" w:name="_Toc184312082"/>
      <w:bookmarkEnd w:id="287"/>
      <w:bookmarkStart w:id="288" w:name="_Toc184314414"/>
      <w:bookmarkEnd w:id="288"/>
      <w:bookmarkStart w:id="289" w:name="_Toc184312135"/>
      <w:bookmarkEnd w:id="289"/>
      <w:bookmarkStart w:id="290" w:name="_Toc184314439"/>
      <w:bookmarkEnd w:id="290"/>
      <w:bookmarkStart w:id="291" w:name="_Toc184308063"/>
      <w:bookmarkEnd w:id="291"/>
      <w:bookmarkStart w:id="292" w:name="_Toc184308088"/>
      <w:bookmarkEnd w:id="292"/>
      <w:bookmarkStart w:id="293" w:name="_Toc184312115"/>
      <w:bookmarkEnd w:id="293"/>
      <w:bookmarkStart w:id="294" w:name="_Toc184308084"/>
      <w:bookmarkEnd w:id="294"/>
      <w:bookmarkStart w:id="295" w:name="_Toc184310282"/>
      <w:bookmarkEnd w:id="295"/>
      <w:bookmarkStart w:id="296" w:name="_Toc184314476"/>
      <w:bookmarkEnd w:id="296"/>
      <w:bookmarkStart w:id="297" w:name="_Toc184310295"/>
      <w:bookmarkEnd w:id="297"/>
      <w:bookmarkStart w:id="298" w:name="_Toc184313246"/>
      <w:bookmarkEnd w:id="298"/>
      <w:bookmarkStart w:id="299" w:name="_Toc184308101"/>
      <w:bookmarkEnd w:id="299"/>
      <w:bookmarkStart w:id="300" w:name="_Toc184312070"/>
      <w:bookmarkEnd w:id="300"/>
      <w:bookmarkStart w:id="301" w:name="_Toc184310309"/>
      <w:bookmarkEnd w:id="301"/>
      <w:bookmarkStart w:id="302" w:name="_Toc184314479"/>
      <w:bookmarkEnd w:id="302"/>
      <w:bookmarkStart w:id="303" w:name="_Toc184312137"/>
      <w:bookmarkEnd w:id="303"/>
      <w:bookmarkStart w:id="304" w:name="_Toc184308058"/>
      <w:bookmarkEnd w:id="304"/>
      <w:bookmarkStart w:id="305" w:name="_Toc184310325"/>
      <w:bookmarkEnd w:id="305"/>
      <w:bookmarkStart w:id="306" w:name="_Toc184312089"/>
      <w:bookmarkEnd w:id="306"/>
      <w:bookmarkStart w:id="307" w:name="_Toc184308105"/>
      <w:bookmarkEnd w:id="307"/>
      <w:bookmarkStart w:id="308" w:name="_Toc184312112"/>
      <w:bookmarkEnd w:id="308"/>
      <w:bookmarkStart w:id="309" w:name="_Toc184308082"/>
      <w:bookmarkEnd w:id="309"/>
      <w:bookmarkStart w:id="310" w:name="_Toc184312098"/>
      <w:bookmarkEnd w:id="310"/>
      <w:bookmarkStart w:id="311" w:name="_Toc184313253"/>
      <w:bookmarkEnd w:id="311"/>
      <w:bookmarkStart w:id="312" w:name="_Toc184310330"/>
      <w:bookmarkEnd w:id="312"/>
      <w:bookmarkStart w:id="313" w:name="_Toc184310302"/>
      <w:bookmarkEnd w:id="313"/>
      <w:bookmarkStart w:id="314" w:name="_Toc184310304"/>
      <w:bookmarkEnd w:id="314"/>
      <w:bookmarkStart w:id="315" w:name="_Toc184308092"/>
      <w:bookmarkEnd w:id="315"/>
      <w:bookmarkStart w:id="316" w:name="_Toc184310306"/>
      <w:bookmarkEnd w:id="316"/>
      <w:bookmarkStart w:id="317" w:name="_Toc184314425"/>
      <w:bookmarkEnd w:id="317"/>
      <w:bookmarkStart w:id="318" w:name="_Toc184310291"/>
      <w:bookmarkEnd w:id="318"/>
      <w:bookmarkStart w:id="319" w:name="_Toc184313307"/>
      <w:bookmarkEnd w:id="319"/>
      <w:bookmarkStart w:id="320" w:name="_Toc184313294"/>
      <w:bookmarkEnd w:id="320"/>
      <w:bookmarkStart w:id="321" w:name="_Toc184314418"/>
      <w:bookmarkEnd w:id="321"/>
      <w:bookmarkStart w:id="322" w:name="_Toc184313248"/>
      <w:bookmarkEnd w:id="322"/>
      <w:bookmarkStart w:id="323" w:name="_Toc184313249"/>
      <w:bookmarkEnd w:id="323"/>
      <w:bookmarkStart w:id="324" w:name="_Toc184313258"/>
      <w:bookmarkEnd w:id="324"/>
      <w:bookmarkStart w:id="325" w:name="_Toc184310283"/>
      <w:bookmarkEnd w:id="325"/>
      <w:bookmarkStart w:id="326" w:name="_Toc184310342"/>
      <w:bookmarkEnd w:id="326"/>
      <w:bookmarkStart w:id="327" w:name="_Toc184313304"/>
      <w:bookmarkEnd w:id="327"/>
      <w:bookmarkStart w:id="328" w:name="_Toc184314455"/>
      <w:bookmarkEnd w:id="328"/>
      <w:bookmarkStart w:id="329" w:name="_Toc184312100"/>
      <w:bookmarkEnd w:id="329"/>
      <w:bookmarkStart w:id="330" w:name="_Toc184314448"/>
      <w:bookmarkEnd w:id="330"/>
      <w:bookmarkStart w:id="331" w:name="_Toc184312128"/>
      <w:bookmarkEnd w:id="331"/>
      <w:bookmarkStart w:id="332" w:name="_Toc184314430"/>
      <w:bookmarkEnd w:id="332"/>
      <w:bookmarkStart w:id="333" w:name="_Toc184313290"/>
      <w:bookmarkEnd w:id="333"/>
      <w:bookmarkStart w:id="334" w:name="_Toc184308073"/>
      <w:bookmarkEnd w:id="334"/>
      <w:bookmarkStart w:id="335" w:name="_Toc184308094"/>
      <w:bookmarkEnd w:id="335"/>
      <w:bookmarkStart w:id="336" w:name="_Toc184314482"/>
      <w:bookmarkEnd w:id="336"/>
      <w:bookmarkStart w:id="337" w:name="_Toc184310287"/>
      <w:bookmarkEnd w:id="337"/>
      <w:bookmarkStart w:id="338" w:name="_Toc184310310"/>
      <w:bookmarkEnd w:id="338"/>
      <w:bookmarkStart w:id="339" w:name="_Toc184312123"/>
      <w:bookmarkEnd w:id="339"/>
      <w:bookmarkStart w:id="340" w:name="_Toc184310290"/>
      <w:bookmarkEnd w:id="340"/>
      <w:bookmarkStart w:id="341" w:name="_Toc184314477"/>
      <w:bookmarkEnd w:id="341"/>
      <w:bookmarkStart w:id="342" w:name="_Toc184312092"/>
      <w:bookmarkEnd w:id="342"/>
      <w:bookmarkStart w:id="343" w:name="_Toc184308067"/>
      <w:bookmarkEnd w:id="343"/>
      <w:bookmarkStart w:id="344" w:name="_Toc184314449"/>
      <w:bookmarkEnd w:id="344"/>
      <w:bookmarkStart w:id="345" w:name="_Toc184312132"/>
      <w:bookmarkEnd w:id="345"/>
      <w:bookmarkStart w:id="346" w:name="_Toc184314441"/>
      <w:bookmarkEnd w:id="346"/>
      <w:bookmarkStart w:id="347" w:name="_Toc184313243"/>
      <w:bookmarkEnd w:id="347"/>
      <w:bookmarkStart w:id="348" w:name="_Toc184313302"/>
      <w:bookmarkEnd w:id="348"/>
      <w:bookmarkStart w:id="349" w:name="_Toc184308065"/>
      <w:bookmarkEnd w:id="349"/>
      <w:bookmarkStart w:id="350" w:name="_Toc184308090"/>
      <w:bookmarkEnd w:id="350"/>
      <w:bookmarkStart w:id="351" w:name="_Toc184308070"/>
      <w:bookmarkEnd w:id="351"/>
      <w:bookmarkStart w:id="352" w:name="_Toc184313310"/>
      <w:bookmarkEnd w:id="352"/>
      <w:bookmarkStart w:id="353" w:name="_Toc184314469"/>
      <w:bookmarkEnd w:id="353"/>
      <w:bookmarkStart w:id="354" w:name="_Toc184313277"/>
      <w:bookmarkEnd w:id="354"/>
      <w:bookmarkStart w:id="355" w:name="_Toc184310274"/>
      <w:bookmarkEnd w:id="355"/>
      <w:bookmarkStart w:id="356" w:name="_Toc184308089"/>
      <w:bookmarkEnd w:id="356"/>
      <w:bookmarkStart w:id="357" w:name="_Toc184312136"/>
      <w:bookmarkEnd w:id="357"/>
      <w:bookmarkStart w:id="358" w:name="_Toc184308086"/>
      <w:bookmarkEnd w:id="358"/>
      <w:bookmarkStart w:id="359" w:name="_Toc184310312"/>
      <w:bookmarkEnd w:id="359"/>
      <w:bookmarkStart w:id="360" w:name="_Toc184312121"/>
      <w:bookmarkEnd w:id="360"/>
      <w:bookmarkStart w:id="361" w:name="_Toc184310307"/>
      <w:bookmarkEnd w:id="361"/>
      <w:bookmarkStart w:id="362" w:name="_Toc184314426"/>
      <w:bookmarkEnd w:id="362"/>
      <w:bookmarkStart w:id="363" w:name="_Toc184313299"/>
      <w:bookmarkEnd w:id="363"/>
      <w:bookmarkStart w:id="364" w:name="_Toc184314461"/>
      <w:bookmarkEnd w:id="364"/>
      <w:bookmarkStart w:id="365" w:name="_Toc184314433"/>
      <w:bookmarkEnd w:id="365"/>
      <w:bookmarkStart w:id="366" w:name="_Toc184313279"/>
      <w:bookmarkEnd w:id="366"/>
      <w:bookmarkStart w:id="367" w:name="_Toc184312080"/>
      <w:bookmarkEnd w:id="367"/>
      <w:bookmarkStart w:id="368" w:name="_Toc184310322"/>
      <w:bookmarkEnd w:id="368"/>
      <w:bookmarkStart w:id="369" w:name="_Toc184308069"/>
      <w:bookmarkEnd w:id="369"/>
      <w:bookmarkStart w:id="370" w:name="_Toc184312076"/>
      <w:bookmarkEnd w:id="370"/>
      <w:bookmarkStart w:id="371" w:name="_Toc184310284"/>
      <w:bookmarkEnd w:id="371"/>
      <w:bookmarkStart w:id="372" w:name="_Toc184314436"/>
      <w:bookmarkEnd w:id="372"/>
      <w:bookmarkStart w:id="373" w:name="_Toc184314466"/>
      <w:bookmarkEnd w:id="373"/>
      <w:bookmarkStart w:id="374" w:name="_Toc184308056"/>
      <w:bookmarkEnd w:id="374"/>
      <w:bookmarkStart w:id="375" w:name="_Toc184314478"/>
      <w:bookmarkEnd w:id="375"/>
      <w:bookmarkStart w:id="376" w:name="_Toc184313257"/>
      <w:bookmarkEnd w:id="376"/>
      <w:bookmarkStart w:id="377" w:name="_Toc184314443"/>
      <w:bookmarkEnd w:id="377"/>
      <w:bookmarkStart w:id="378" w:name="_Toc184310332"/>
      <w:bookmarkEnd w:id="378"/>
      <w:bookmarkStart w:id="379" w:name="_Toc184314454"/>
      <w:bookmarkEnd w:id="379"/>
      <w:bookmarkStart w:id="380" w:name="_Toc184312124"/>
      <w:bookmarkEnd w:id="380"/>
      <w:bookmarkStart w:id="381" w:name="_Toc184312108"/>
      <w:bookmarkEnd w:id="381"/>
      <w:bookmarkStart w:id="382" w:name="_Toc184314422"/>
      <w:bookmarkEnd w:id="382"/>
      <w:bookmarkStart w:id="383" w:name="_Toc184308044"/>
      <w:bookmarkEnd w:id="383"/>
      <w:bookmarkStart w:id="384" w:name="_Toc184312077"/>
      <w:bookmarkEnd w:id="384"/>
      <w:r>
        <w:rPr>
          <w:rFonts w:hint="eastAsia" w:ascii="宋体" w:hAnsi="宋体" w:eastAsia="宋体" w:cs="宋体"/>
          <w:color w:val="auto"/>
          <w:sz w:val="44"/>
          <w:szCs w:val="44"/>
          <w:highlight w:val="none"/>
        </w:rPr>
        <w:br w:type="page"/>
      </w:r>
    </w:p>
    <w:p w14:paraId="7EC31A45">
      <w:pPr>
        <w:pStyle w:val="2"/>
        <w:numPr>
          <w:ilvl w:val="0"/>
          <w:numId w:val="7"/>
        </w:numPr>
        <w:ind w:firstLine="0" w:firstLineChars="0"/>
        <w:rPr>
          <w:rFonts w:hint="eastAsia" w:ascii="宋体" w:hAnsi="宋体" w:eastAsia="宋体" w:cs="宋体"/>
          <w:color w:val="auto"/>
          <w:sz w:val="36"/>
          <w:szCs w:val="20"/>
          <w:highlight w:val="none"/>
        </w:rPr>
      </w:pPr>
      <w:r>
        <w:rPr>
          <w:rFonts w:hint="eastAsia" w:ascii="宋体" w:hAnsi="宋体" w:eastAsia="宋体" w:cs="宋体"/>
          <w:color w:val="auto"/>
          <w:sz w:val="36"/>
          <w:szCs w:val="20"/>
          <w:highlight w:val="none"/>
        </w:rPr>
        <w:t>评标办法</w:t>
      </w:r>
    </w:p>
    <w:p w14:paraId="1CA9AE7C">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386739A5">
      <w:pPr>
        <w:numPr>
          <w:ilvl w:val="0"/>
          <w:numId w:val="0"/>
        </w:numPr>
        <w:rPr>
          <w:rFonts w:hint="eastAsia"/>
        </w:rPr>
      </w:pPr>
    </w:p>
    <w:tbl>
      <w:tblPr>
        <w:tblStyle w:val="64"/>
        <w:tblW w:w="93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
        <w:gridCol w:w="5087"/>
        <w:gridCol w:w="817"/>
        <w:gridCol w:w="1000"/>
        <w:gridCol w:w="1456"/>
      </w:tblGrid>
      <w:tr w14:paraId="6FE5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2736A41A">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序号</w:t>
            </w:r>
          </w:p>
        </w:tc>
        <w:tc>
          <w:tcPr>
            <w:tcW w:w="5087" w:type="dxa"/>
            <w:vAlign w:val="center"/>
          </w:tcPr>
          <w:p w14:paraId="078FBE37">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评标标准</w:t>
            </w:r>
          </w:p>
        </w:tc>
        <w:tc>
          <w:tcPr>
            <w:tcW w:w="817" w:type="dxa"/>
            <w:vAlign w:val="center"/>
          </w:tcPr>
          <w:p w14:paraId="7976E830">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color w:val="auto"/>
                <w:sz w:val="24"/>
                <w:szCs w:val="24"/>
              </w:rPr>
              <w:t>权重</w:t>
            </w:r>
          </w:p>
        </w:tc>
        <w:tc>
          <w:tcPr>
            <w:tcW w:w="1000" w:type="dxa"/>
            <w:vAlign w:val="center"/>
          </w:tcPr>
          <w:p w14:paraId="38EACDE6">
            <w:pPr>
              <w:snapToGrid w:val="0"/>
              <w:spacing w:before="0" w:beforeAutospacing="0" w:after="0" w:afterAutospacing="0" w:line="360" w:lineRule="auto"/>
              <w:ind w:left="0" w:right="0"/>
              <w:jc w:val="center"/>
              <w:rPr>
                <w:rFonts w:hint="default"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456" w:type="dxa"/>
            <w:vAlign w:val="top"/>
          </w:tcPr>
          <w:p w14:paraId="7BE71E87">
            <w:pPr>
              <w:snapToGrid w:val="0"/>
              <w:spacing w:before="0" w:beforeAutospacing="0" w:after="0" w:afterAutospacing="0" w:line="360" w:lineRule="auto"/>
              <w:ind w:left="0" w:right="0"/>
              <w:jc w:val="center"/>
              <w:rPr>
                <w:rFonts w:hint="default" w:ascii="宋体" w:hAnsi="宋体" w:eastAsia="宋体" w:cs="宋体"/>
                <w:color w:val="auto"/>
                <w:sz w:val="24"/>
                <w:szCs w:val="24"/>
              </w:rPr>
            </w:pPr>
            <w:r>
              <w:rPr>
                <w:rFonts w:hint="eastAsia" w:ascii="宋体" w:hAnsi="宋体" w:eastAsia="宋体" w:cs="宋体"/>
                <w:bCs/>
                <w:color w:val="auto"/>
                <w:sz w:val="24"/>
                <w:szCs w:val="24"/>
              </w:rPr>
              <w:t>投标文件中评标标准相应的商务技术资料目录*</w:t>
            </w:r>
          </w:p>
        </w:tc>
      </w:tr>
      <w:tr w14:paraId="53AC7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595F013E">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1</w:t>
            </w:r>
          </w:p>
        </w:tc>
        <w:tc>
          <w:tcPr>
            <w:tcW w:w="5087" w:type="dxa"/>
            <w:vAlign w:val="top"/>
          </w:tcPr>
          <w:p w14:paraId="7F5DB5E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提供 20</w:t>
            </w:r>
            <w:r>
              <w:rPr>
                <w:rFonts w:hint="eastAsia" w:ascii="宋体" w:hAnsi="宋体" w:cs="宋体"/>
                <w:color w:val="auto"/>
                <w:sz w:val="24"/>
                <w:szCs w:val="24"/>
                <w:lang w:val="en-US" w:eastAsia="zh-CN"/>
              </w:rPr>
              <w:t>22</w:t>
            </w:r>
            <w:r>
              <w:rPr>
                <w:rFonts w:hint="eastAsia" w:ascii="宋体" w:hAnsi="宋体" w:eastAsia="宋体" w:cs="宋体"/>
                <w:color w:val="auto"/>
                <w:sz w:val="24"/>
                <w:szCs w:val="24"/>
                <w:lang w:eastAsia="zh-CN"/>
              </w:rPr>
              <w:t>年</w:t>
            </w:r>
            <w:r>
              <w:rPr>
                <w:rFonts w:hint="eastAsia" w:ascii="宋体" w:hAnsi="宋体" w:cs="宋体"/>
                <w:color w:val="auto"/>
                <w:sz w:val="24"/>
                <w:szCs w:val="24"/>
                <w:lang w:val="en-US" w:eastAsia="zh-CN"/>
              </w:rPr>
              <w:t>1月1日（以合同签订时间为准）</w:t>
            </w:r>
            <w:r>
              <w:rPr>
                <w:rFonts w:hint="eastAsia" w:ascii="宋体" w:hAnsi="宋体" w:eastAsia="宋体" w:cs="宋体"/>
                <w:color w:val="auto"/>
                <w:sz w:val="24"/>
                <w:szCs w:val="24"/>
                <w:lang w:eastAsia="zh-CN"/>
              </w:rPr>
              <w:t>至今，</w:t>
            </w:r>
            <w:r>
              <w:rPr>
                <w:rFonts w:hint="eastAsia" w:ascii="宋体" w:hAnsi="宋体" w:cs="宋体"/>
                <w:color w:val="auto"/>
                <w:sz w:val="24"/>
                <w:szCs w:val="24"/>
                <w:lang w:val="en-US" w:eastAsia="zh-CN"/>
              </w:rPr>
              <w:t>承接过</w:t>
            </w:r>
            <w:r>
              <w:rPr>
                <w:rFonts w:hint="eastAsia" w:ascii="宋体" w:hAnsi="宋体" w:eastAsia="宋体" w:cs="宋体"/>
                <w:color w:val="auto"/>
                <w:sz w:val="24"/>
                <w:szCs w:val="24"/>
                <w:lang w:eastAsia="zh-CN"/>
              </w:rPr>
              <w:t>同类业绩的每个0.5 分,累计不超过</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 xml:space="preserve"> 分。</w:t>
            </w:r>
          </w:p>
          <w:p w14:paraId="7EF65CBD">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监督检验业绩证明材料且证明材料的检测内容与本次招标要求为同类，需提供合同内容或有效证明材料等，否则不得分。</w:t>
            </w:r>
          </w:p>
        </w:tc>
        <w:tc>
          <w:tcPr>
            <w:tcW w:w="817" w:type="dxa"/>
            <w:vAlign w:val="center"/>
          </w:tcPr>
          <w:p w14:paraId="2B66658E">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000" w:type="dxa"/>
            <w:vAlign w:val="center"/>
          </w:tcPr>
          <w:p w14:paraId="4E850910">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13BDA275">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622F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47A4B699">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5087" w:type="dxa"/>
            <w:vAlign w:val="top"/>
          </w:tcPr>
          <w:p w14:paraId="5AA7DF0F">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根据投标人实施方案等方面进行综合评审评分。</w:t>
            </w:r>
          </w:p>
          <w:p w14:paraId="4F57B9A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1 ：工作方案符合要求，内容完整、充实的得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1B58120A">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2 ：工作内容合理性，方案符合要求，内容完整、充实的得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5899D8DC">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3：工作方法多样性，方案符合要求，内容完整、充实的得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23352532">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4：工作进程安排合理性，方案符合要求，内容完整、充实的得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4EDEC75E">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5 ：质量控制合理，方案符合要求，内容完整、充实的得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p w14:paraId="72EBC6E5">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6：售后服务评价，方案符合要求，内容完整、充实的得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w:t>
            </w:r>
          </w:p>
        </w:tc>
        <w:tc>
          <w:tcPr>
            <w:tcW w:w="817" w:type="dxa"/>
            <w:vAlign w:val="center"/>
          </w:tcPr>
          <w:p w14:paraId="40B93816">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30</w:t>
            </w:r>
          </w:p>
        </w:tc>
        <w:tc>
          <w:tcPr>
            <w:tcW w:w="1000" w:type="dxa"/>
            <w:vAlign w:val="center"/>
          </w:tcPr>
          <w:p w14:paraId="3D436AD8">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527DAFC8">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16B1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23BAECC5">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087" w:type="dxa"/>
            <w:vAlign w:val="top"/>
          </w:tcPr>
          <w:p w14:paraId="57A28E04">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根据投标人对重点、难点技术环节有先进、合理的建议；方案符合要求，内容完整、充实的得</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分；方案符合要求，内容完整，但有所欠缺的得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分；方案符合要求，但内容不完整的得</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分，</w:t>
            </w:r>
            <w:r>
              <w:rPr>
                <w:rFonts w:hint="eastAsia" w:ascii="宋体" w:hAnsi="宋体" w:eastAsia="宋体" w:cs="宋体"/>
                <w:color w:val="auto"/>
                <w:sz w:val="24"/>
                <w:szCs w:val="24"/>
                <w:lang w:val="en-US" w:eastAsia="zh-CN"/>
              </w:rPr>
              <w:t>没有不得分</w:t>
            </w:r>
            <w:r>
              <w:rPr>
                <w:rFonts w:hint="eastAsia" w:ascii="宋体" w:hAnsi="宋体" w:eastAsia="宋体" w:cs="宋体"/>
                <w:color w:val="auto"/>
                <w:sz w:val="24"/>
                <w:szCs w:val="24"/>
                <w:lang w:eastAsia="zh-CN"/>
              </w:rPr>
              <w:t xml:space="preserve">。 </w:t>
            </w:r>
          </w:p>
        </w:tc>
        <w:tc>
          <w:tcPr>
            <w:tcW w:w="817" w:type="dxa"/>
            <w:vAlign w:val="center"/>
          </w:tcPr>
          <w:p w14:paraId="64C108A1">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52A7331B">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6482F403">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6E08E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AA6DEF7">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5087" w:type="dxa"/>
            <w:vAlign w:val="top"/>
          </w:tcPr>
          <w:p w14:paraId="5ADD74CE">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投标人对解决方案完整、经济、安全、切实可行，措施得力等综合评审。方案符合要求，内容完整、充实的得</w:t>
            </w:r>
            <w:r>
              <w:rPr>
                <w:rFonts w:hint="eastAsia" w:ascii="宋体" w:hAnsi="宋体" w:eastAsia="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tc>
        <w:tc>
          <w:tcPr>
            <w:tcW w:w="817" w:type="dxa"/>
            <w:vAlign w:val="center"/>
          </w:tcPr>
          <w:p w14:paraId="07115A73">
            <w:pPr>
              <w:snapToGrid w:val="0"/>
              <w:spacing w:before="0" w:beforeAutospacing="0" w:after="0" w:afterAutospacing="0" w:line="360" w:lineRule="auto"/>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5</w:t>
            </w:r>
          </w:p>
        </w:tc>
        <w:tc>
          <w:tcPr>
            <w:tcW w:w="1000" w:type="dxa"/>
            <w:vAlign w:val="center"/>
          </w:tcPr>
          <w:p w14:paraId="7BF6F255">
            <w:pPr>
              <w:snapToGrid w:val="0"/>
              <w:spacing w:before="0" w:beforeAutospacing="0" w:after="0" w:afterAutospacing="0" w:line="360" w:lineRule="auto"/>
              <w:ind w:left="0" w:right="0"/>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主观分</w:t>
            </w:r>
          </w:p>
        </w:tc>
        <w:tc>
          <w:tcPr>
            <w:tcW w:w="1456" w:type="dxa"/>
            <w:vAlign w:val="top"/>
          </w:tcPr>
          <w:p w14:paraId="40206061">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0E69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5" w:hRule="atLeast"/>
        </w:trPr>
        <w:tc>
          <w:tcPr>
            <w:tcW w:w="977" w:type="dxa"/>
            <w:vAlign w:val="center"/>
          </w:tcPr>
          <w:p w14:paraId="1B323A4D">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p>
        </w:tc>
        <w:tc>
          <w:tcPr>
            <w:tcW w:w="5087" w:type="dxa"/>
            <w:vAlign w:val="top"/>
          </w:tcPr>
          <w:p w14:paraId="42F79B44">
            <w:pPr>
              <w:snapToGrid w:val="0"/>
              <w:spacing w:before="0" w:beforeAutospacing="0" w:after="0" w:afterAutospacing="0" w:line="360" w:lineRule="auto"/>
              <w:ind w:left="0" w:right="0"/>
              <w:jc w:val="left"/>
              <w:rPr>
                <w:rFonts w:hint="default" w:ascii="宋体" w:hAnsi="宋体" w:eastAsia="宋体" w:cs="宋体"/>
                <w:color w:val="auto"/>
                <w:spacing w:val="17"/>
                <w:sz w:val="24"/>
                <w:szCs w:val="24"/>
                <w:lang w:eastAsia="zh-CN"/>
              </w:rPr>
            </w:pPr>
            <w:r>
              <w:rPr>
                <w:rFonts w:hint="eastAsia" w:ascii="宋体" w:hAnsi="宋体" w:eastAsia="宋体" w:cs="宋体"/>
                <w:color w:val="auto"/>
                <w:spacing w:val="17"/>
                <w:sz w:val="24"/>
                <w:szCs w:val="24"/>
                <w:lang w:eastAsia="zh-CN"/>
              </w:rPr>
              <w:t>投标人具有</w:t>
            </w:r>
            <w:r>
              <w:rPr>
                <w:rFonts w:hint="eastAsia" w:ascii="宋体" w:hAnsi="宋体" w:eastAsia="宋体" w:cs="宋体"/>
                <w:color w:val="auto"/>
                <w:spacing w:val="17"/>
                <w:sz w:val="24"/>
                <w:szCs w:val="24"/>
                <w:lang w:val="en-US" w:eastAsia="zh-CN"/>
              </w:rPr>
              <w:t>所投标项</w:t>
            </w:r>
            <w:r>
              <w:rPr>
                <w:rFonts w:hint="eastAsia" w:ascii="宋体" w:hAnsi="宋体" w:eastAsia="宋体" w:cs="宋体"/>
                <w:color w:val="auto"/>
                <w:spacing w:val="17"/>
                <w:sz w:val="24"/>
                <w:szCs w:val="24"/>
                <w:lang w:eastAsia="zh-CN"/>
              </w:rPr>
              <w:t>全部产品和对应检测项目</w:t>
            </w:r>
            <w:r>
              <w:rPr>
                <w:rFonts w:hint="eastAsia" w:ascii="宋体" w:hAnsi="宋体" w:eastAsia="宋体" w:cs="宋体"/>
                <w:color w:val="auto"/>
                <w:spacing w:val="17"/>
                <w:sz w:val="24"/>
                <w:szCs w:val="24"/>
                <w:lang w:val="en-US" w:eastAsia="zh-CN"/>
              </w:rPr>
              <w:t>检测</w:t>
            </w:r>
            <w:r>
              <w:rPr>
                <w:rFonts w:hint="eastAsia" w:ascii="宋体" w:hAnsi="宋体" w:eastAsia="宋体" w:cs="宋体"/>
                <w:color w:val="auto"/>
                <w:spacing w:val="17"/>
                <w:sz w:val="24"/>
                <w:szCs w:val="24"/>
                <w:lang w:eastAsia="zh-CN"/>
              </w:rPr>
              <w:t>能力</w:t>
            </w:r>
            <w:r>
              <w:rPr>
                <w:rFonts w:hint="eastAsia" w:ascii="宋体" w:hAnsi="宋体" w:eastAsia="宋体" w:cs="宋体"/>
                <w:color w:val="auto"/>
                <w:spacing w:val="17"/>
                <w:sz w:val="24"/>
                <w:szCs w:val="24"/>
                <w:lang w:val="en-US" w:eastAsia="zh-CN"/>
              </w:rPr>
              <w:t>的</w:t>
            </w:r>
            <w:r>
              <w:rPr>
                <w:rFonts w:hint="eastAsia" w:ascii="宋体" w:hAnsi="宋体" w:eastAsia="宋体" w:cs="宋体"/>
                <w:color w:val="auto"/>
                <w:spacing w:val="17"/>
                <w:sz w:val="24"/>
                <w:szCs w:val="24"/>
                <w:lang w:eastAsia="zh-CN"/>
              </w:rPr>
              <w:t>得</w:t>
            </w:r>
            <w:r>
              <w:rPr>
                <w:rFonts w:hint="eastAsia" w:ascii="宋体" w:hAnsi="宋体" w:cs="宋体"/>
                <w:color w:val="auto"/>
                <w:spacing w:val="17"/>
                <w:sz w:val="24"/>
                <w:szCs w:val="24"/>
                <w:lang w:val="en-US" w:eastAsia="zh-CN"/>
              </w:rPr>
              <w:t>1</w:t>
            </w:r>
            <w:r>
              <w:rPr>
                <w:rFonts w:hint="eastAsia" w:ascii="宋体" w:hAnsi="宋体" w:eastAsia="宋体" w:cs="宋体"/>
                <w:color w:val="auto"/>
                <w:spacing w:val="17"/>
                <w:sz w:val="24"/>
                <w:szCs w:val="24"/>
                <w:lang w:val="en-US" w:eastAsia="zh-CN"/>
              </w:rPr>
              <w:t>0</w:t>
            </w:r>
            <w:r>
              <w:rPr>
                <w:rFonts w:hint="eastAsia" w:ascii="宋体" w:hAnsi="宋体" w:eastAsia="宋体" w:cs="宋体"/>
                <w:color w:val="auto"/>
                <w:spacing w:val="17"/>
                <w:sz w:val="24"/>
                <w:szCs w:val="24"/>
                <w:lang w:eastAsia="zh-CN"/>
              </w:rPr>
              <w:t>分，</w:t>
            </w:r>
            <w:r>
              <w:rPr>
                <w:rFonts w:hint="eastAsia" w:ascii="宋体" w:hAnsi="宋体" w:eastAsia="宋体" w:cs="宋体"/>
                <w:color w:val="auto"/>
                <w:spacing w:val="17"/>
                <w:sz w:val="24"/>
                <w:szCs w:val="24"/>
                <w:lang w:val="en-US" w:eastAsia="zh-CN"/>
              </w:rPr>
              <w:t>每缺少</w:t>
            </w:r>
            <w:r>
              <w:rPr>
                <w:rFonts w:hint="eastAsia" w:ascii="宋体" w:hAnsi="宋体" w:eastAsia="宋体" w:cs="宋体"/>
                <w:color w:val="auto"/>
                <w:spacing w:val="17"/>
                <w:sz w:val="24"/>
                <w:szCs w:val="24"/>
                <w:lang w:eastAsia="zh-CN"/>
              </w:rPr>
              <w:t>1个产品和对应检测项目检测能力的</w:t>
            </w:r>
            <w:r>
              <w:rPr>
                <w:rFonts w:hint="eastAsia" w:ascii="宋体" w:hAnsi="宋体" w:eastAsia="宋体" w:cs="宋体"/>
                <w:color w:val="auto"/>
                <w:spacing w:val="17"/>
                <w:sz w:val="24"/>
                <w:szCs w:val="24"/>
                <w:lang w:val="en-US" w:eastAsia="zh-CN"/>
              </w:rPr>
              <w:t>扣</w:t>
            </w:r>
            <w:r>
              <w:rPr>
                <w:rFonts w:hint="eastAsia" w:ascii="宋体" w:hAnsi="宋体" w:cs="宋体"/>
                <w:color w:val="auto"/>
                <w:spacing w:val="17"/>
                <w:sz w:val="24"/>
                <w:szCs w:val="24"/>
                <w:lang w:val="en-US" w:eastAsia="zh-CN"/>
              </w:rPr>
              <w:t>1</w:t>
            </w:r>
            <w:r>
              <w:rPr>
                <w:rFonts w:hint="eastAsia" w:ascii="宋体" w:hAnsi="宋体" w:eastAsia="宋体" w:cs="宋体"/>
                <w:color w:val="auto"/>
                <w:spacing w:val="17"/>
                <w:sz w:val="24"/>
                <w:szCs w:val="24"/>
                <w:lang w:eastAsia="zh-CN"/>
              </w:rPr>
              <w:t>分，</w:t>
            </w:r>
            <w:r>
              <w:rPr>
                <w:rFonts w:hint="eastAsia" w:ascii="宋体" w:hAnsi="宋体" w:eastAsia="宋体" w:cs="宋体"/>
                <w:color w:val="auto"/>
                <w:spacing w:val="17"/>
                <w:sz w:val="24"/>
                <w:szCs w:val="24"/>
                <w:lang w:val="en-US" w:eastAsia="zh-CN"/>
              </w:rPr>
              <w:t>扣完为止</w:t>
            </w:r>
            <w:r>
              <w:rPr>
                <w:rFonts w:hint="eastAsia" w:ascii="宋体" w:hAnsi="宋体" w:eastAsia="宋体" w:cs="宋体"/>
                <w:color w:val="auto"/>
                <w:spacing w:val="17"/>
                <w:sz w:val="24"/>
                <w:szCs w:val="24"/>
                <w:lang w:eastAsia="zh-CN"/>
              </w:rPr>
              <w:t>。</w:t>
            </w:r>
          </w:p>
          <w:p w14:paraId="08D6B657">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color w:val="auto"/>
                <w:spacing w:val="17"/>
                <w:sz w:val="24"/>
                <w:szCs w:val="24"/>
                <w:lang w:val="en-US" w:eastAsia="zh-CN"/>
              </w:rPr>
              <w:t>注：提供</w:t>
            </w:r>
            <w:r>
              <w:rPr>
                <w:rFonts w:hint="eastAsia" w:ascii="宋体" w:hAnsi="宋体" w:eastAsia="宋体" w:cs="宋体"/>
                <w:color w:val="auto"/>
                <w:spacing w:val="17"/>
                <w:sz w:val="24"/>
                <w:szCs w:val="24"/>
                <w:lang w:eastAsia="zh-CN"/>
              </w:rPr>
              <w:t>中国计量认证（CMA）证书及</w:t>
            </w:r>
            <w:r>
              <w:rPr>
                <w:rFonts w:hint="eastAsia" w:ascii="宋体" w:hAnsi="宋体" w:eastAsia="宋体" w:cs="宋体"/>
                <w:color w:val="auto"/>
                <w:spacing w:val="17"/>
                <w:sz w:val="24"/>
                <w:szCs w:val="24"/>
                <w:lang w:val="en-US" w:eastAsia="zh-CN"/>
              </w:rPr>
              <w:t>所投标项</w:t>
            </w:r>
            <w:r>
              <w:rPr>
                <w:rFonts w:hint="eastAsia" w:ascii="宋体" w:hAnsi="宋体" w:eastAsia="宋体" w:cs="宋体"/>
                <w:color w:val="auto"/>
                <w:spacing w:val="17"/>
                <w:sz w:val="24"/>
                <w:szCs w:val="24"/>
                <w:lang w:eastAsia="zh-CN"/>
              </w:rPr>
              <w:t>有效的实验室能力附表。</w:t>
            </w:r>
          </w:p>
        </w:tc>
        <w:tc>
          <w:tcPr>
            <w:tcW w:w="817" w:type="dxa"/>
            <w:vAlign w:val="center"/>
          </w:tcPr>
          <w:p w14:paraId="24E1B50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000" w:type="dxa"/>
            <w:vAlign w:val="center"/>
          </w:tcPr>
          <w:p w14:paraId="430086BA">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40D72793">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2572C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67418F59">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6</w:t>
            </w:r>
          </w:p>
        </w:tc>
        <w:tc>
          <w:tcPr>
            <w:tcW w:w="5087" w:type="dxa"/>
            <w:vAlign w:val="top"/>
          </w:tcPr>
          <w:p w14:paraId="408B92A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项目实施过程中的安全保障措施以及质量控制管理制度的优劣性 (0-</w:t>
            </w:r>
            <w:r>
              <w:rPr>
                <w:rFonts w:hint="eastAsia" w:ascii="宋体" w:hAnsi="宋体" w:cs="宋体"/>
                <w:b w:val="0"/>
                <w:bCs w:val="0"/>
                <w:color w:val="auto"/>
                <w:spacing w:val="17"/>
                <w:sz w:val="24"/>
                <w:szCs w:val="24"/>
                <w:lang w:val="en-US" w:eastAsia="zh-CN"/>
              </w:rPr>
              <w:t>10</w:t>
            </w:r>
            <w:r>
              <w:rPr>
                <w:rFonts w:hint="eastAsia" w:ascii="宋体" w:hAnsi="宋体" w:eastAsia="宋体" w:cs="宋体"/>
                <w:b w:val="0"/>
                <w:bCs w:val="0"/>
                <w:color w:val="auto"/>
                <w:spacing w:val="17"/>
                <w:sz w:val="24"/>
                <w:szCs w:val="24"/>
              </w:rPr>
              <w:t>分) ：</w:t>
            </w:r>
          </w:p>
          <w:p w14:paraId="05C5771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1 、安全保障措施</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方案符合要求，内容完整、充实的得</w:t>
            </w:r>
            <w:r>
              <w:rPr>
                <w:rFonts w:hint="eastAsia" w:ascii="宋体" w:hAnsi="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p w14:paraId="739527EB">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2 、质量控制管理制度</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方案符合要求，内容完整、充实的得</w:t>
            </w:r>
            <w:r>
              <w:rPr>
                <w:rFonts w:hint="eastAsia" w:ascii="宋体" w:hAnsi="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分；方案符合要求，内容完整，但有所欠缺的得</w:t>
            </w:r>
            <w:r>
              <w:rPr>
                <w:rFonts w:hint="eastAsia" w:ascii="宋体" w:hAnsi="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分；方案符合要求，但内容不完整的得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w:t>
            </w:r>
          </w:p>
        </w:tc>
        <w:tc>
          <w:tcPr>
            <w:tcW w:w="817" w:type="dxa"/>
            <w:vAlign w:val="center"/>
          </w:tcPr>
          <w:p w14:paraId="31A5FB12">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1000" w:type="dxa"/>
            <w:vAlign w:val="center"/>
          </w:tcPr>
          <w:p w14:paraId="6F1B1862">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1935552C">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3F67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4F43BFA">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7</w:t>
            </w:r>
          </w:p>
        </w:tc>
        <w:tc>
          <w:tcPr>
            <w:tcW w:w="5087" w:type="dxa"/>
            <w:vAlign w:val="top"/>
          </w:tcPr>
          <w:p w14:paraId="0D743E93">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(1) 项目负责人5分：</w:t>
            </w:r>
          </w:p>
          <w:p w14:paraId="58DF7755">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具有正高级职称得2分，其他不得分；(2分)</w:t>
            </w:r>
          </w:p>
          <w:p w14:paraId="6EFEE0E7">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近三年，项目负责人为省级及以上抽检监测核查处置专家库成员得3分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其他不得分。(需提供近一个月社保证明)</w:t>
            </w:r>
          </w:p>
          <w:p w14:paraId="40F1DCFB">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(2) 检测人员8分：</w:t>
            </w:r>
          </w:p>
          <w:p w14:paraId="422DF81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具有中级 (含) 以上职称检验人员人员数量≥25人，6  分；数量 介于 20 (含) 人-24(含)人之间的</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rPr>
              <w:t>3分；不足 20  人的，0分。(需提供近一个月社保证明)</w:t>
            </w:r>
          </w:p>
          <w:p w14:paraId="68712E90">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检测人员中有制定国家级检测标准，且标准起草人排名位于前三名 的，得2分。</w:t>
            </w:r>
          </w:p>
          <w:p w14:paraId="39B7C881">
            <w:pPr>
              <w:spacing w:before="65" w:beforeAutospacing="0" w:after="0" w:afterAutospacing="0" w:line="265" w:lineRule="auto"/>
              <w:ind w:left="20" w:right="12"/>
              <w:rPr>
                <w:rFonts w:hint="default" w:ascii="宋体" w:hAnsi="宋体" w:eastAsia="宋体" w:cs="宋体"/>
                <w:b w:val="0"/>
                <w:bCs w:val="0"/>
                <w:color w:val="auto"/>
                <w:spacing w:val="17"/>
                <w:sz w:val="24"/>
                <w:szCs w:val="24"/>
              </w:rPr>
            </w:pPr>
            <w:r>
              <w:rPr>
                <w:rFonts w:hint="eastAsia" w:ascii="宋体" w:hAnsi="宋体" w:eastAsia="宋体" w:cs="宋体"/>
                <w:b w:val="0"/>
                <w:bCs w:val="0"/>
                <w:color w:val="auto"/>
                <w:spacing w:val="17"/>
                <w:sz w:val="24"/>
                <w:szCs w:val="24"/>
              </w:rPr>
              <w:t>(3) 采样人员2分：(需提供近一个月社保证明)</w:t>
            </w:r>
          </w:p>
          <w:p w14:paraId="38854742">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采样人员数量10人及以上的得 2分，其他情况不得分。(2分)</w:t>
            </w:r>
          </w:p>
        </w:tc>
        <w:tc>
          <w:tcPr>
            <w:tcW w:w="817" w:type="dxa"/>
            <w:vAlign w:val="center"/>
          </w:tcPr>
          <w:p w14:paraId="1B9589F4">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w:t>
            </w:r>
          </w:p>
        </w:tc>
        <w:tc>
          <w:tcPr>
            <w:tcW w:w="1000" w:type="dxa"/>
            <w:vAlign w:val="center"/>
          </w:tcPr>
          <w:p w14:paraId="2B1ABBB6">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5B8B4BCF">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A5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02BA0DD4">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087" w:type="dxa"/>
            <w:vAlign w:val="top"/>
          </w:tcPr>
          <w:p w14:paraId="0BD41409">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供应商具有满足检测项目的仪器设备，由评委综合评分(提供 设备清单、购置发票或检定证书或校准证书等相关证明文件)</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符合要求，内容完整、充实的得</w:t>
            </w:r>
            <w:r>
              <w:rPr>
                <w:rFonts w:hint="eastAsia" w:ascii="宋体" w:hAnsi="宋体" w:eastAsia="宋体" w:cs="宋体"/>
                <w:b w:val="0"/>
                <w:bCs w:val="0"/>
                <w:color w:val="auto"/>
                <w:spacing w:val="17"/>
                <w:sz w:val="24"/>
                <w:szCs w:val="24"/>
                <w:lang w:val="en-US" w:eastAsia="zh-CN"/>
              </w:rPr>
              <w:t>5</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符合要求，内容完整，但有所欠缺的得</w:t>
            </w:r>
            <w:r>
              <w:rPr>
                <w:rFonts w:hint="eastAsia" w:ascii="宋体" w:hAnsi="宋体" w:eastAsia="宋体" w:cs="宋体"/>
                <w:b w:val="0"/>
                <w:bCs w:val="0"/>
                <w:color w:val="auto"/>
                <w:spacing w:val="17"/>
                <w:sz w:val="24"/>
                <w:szCs w:val="24"/>
                <w:lang w:val="en-US" w:eastAsia="zh-CN"/>
              </w:rPr>
              <w:t>3</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val="en-US" w:eastAsia="zh-CN"/>
              </w:rPr>
              <w:t>设备</w:t>
            </w:r>
            <w:r>
              <w:rPr>
                <w:rFonts w:hint="eastAsia" w:ascii="宋体" w:hAnsi="宋体" w:eastAsia="宋体" w:cs="宋体"/>
                <w:b w:val="0"/>
                <w:bCs w:val="0"/>
                <w:color w:val="auto"/>
                <w:spacing w:val="17"/>
                <w:sz w:val="24"/>
                <w:szCs w:val="24"/>
              </w:rPr>
              <w:t>符合要求，但内容不完整的得</w:t>
            </w:r>
            <w:r>
              <w:rPr>
                <w:rFonts w:hint="eastAsia" w:ascii="宋体" w:hAnsi="宋体" w:eastAsia="宋体" w:cs="宋体"/>
                <w:b w:val="0"/>
                <w:bCs w:val="0"/>
                <w:color w:val="auto"/>
                <w:spacing w:val="17"/>
                <w:sz w:val="24"/>
                <w:szCs w:val="24"/>
                <w:lang w:val="en-US" w:eastAsia="zh-CN"/>
              </w:rPr>
              <w:t>1</w:t>
            </w:r>
            <w:r>
              <w:rPr>
                <w:rFonts w:hint="eastAsia" w:ascii="宋体" w:hAnsi="宋体" w:eastAsia="宋体" w:cs="宋体"/>
                <w:b w:val="0"/>
                <w:bCs w:val="0"/>
                <w:color w:val="auto"/>
                <w:spacing w:val="17"/>
                <w:sz w:val="24"/>
                <w:szCs w:val="24"/>
              </w:rPr>
              <w:t>分</w:t>
            </w:r>
            <w:r>
              <w:rPr>
                <w:rFonts w:hint="eastAsia" w:ascii="宋体" w:hAnsi="宋体" w:eastAsia="宋体" w:cs="宋体"/>
                <w:b w:val="0"/>
                <w:bCs w:val="0"/>
                <w:color w:val="auto"/>
                <w:spacing w:val="17"/>
                <w:sz w:val="24"/>
                <w:szCs w:val="24"/>
                <w:lang w:eastAsia="zh-CN"/>
              </w:rPr>
              <w:t>，</w:t>
            </w:r>
            <w:r>
              <w:rPr>
                <w:rFonts w:hint="eastAsia" w:ascii="宋体" w:hAnsi="宋体" w:eastAsia="宋体" w:cs="宋体"/>
                <w:b w:val="0"/>
                <w:bCs w:val="0"/>
                <w:color w:val="auto"/>
                <w:spacing w:val="17"/>
                <w:sz w:val="24"/>
                <w:szCs w:val="24"/>
                <w:lang w:val="en-US" w:eastAsia="zh-CN"/>
              </w:rPr>
              <w:t>没有不得分</w:t>
            </w:r>
            <w:r>
              <w:rPr>
                <w:rFonts w:hint="eastAsia" w:ascii="宋体" w:hAnsi="宋体" w:eastAsia="宋体" w:cs="宋体"/>
                <w:b w:val="0"/>
                <w:bCs w:val="0"/>
                <w:color w:val="auto"/>
                <w:spacing w:val="17"/>
                <w:sz w:val="24"/>
                <w:szCs w:val="24"/>
              </w:rPr>
              <w:t xml:space="preserve">。 </w:t>
            </w:r>
          </w:p>
        </w:tc>
        <w:tc>
          <w:tcPr>
            <w:tcW w:w="817" w:type="dxa"/>
            <w:vAlign w:val="center"/>
          </w:tcPr>
          <w:p w14:paraId="4CA4A9EC">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39890D4A">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5CE5A266">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18E7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1BEC7E2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5087" w:type="dxa"/>
            <w:vAlign w:val="top"/>
          </w:tcPr>
          <w:p w14:paraId="231855F0">
            <w:pPr>
              <w:snapToGrid w:val="0"/>
              <w:spacing w:before="0" w:beforeAutospacing="0" w:after="0" w:afterAutospacing="0" w:line="360" w:lineRule="auto"/>
              <w:ind w:left="0" w:right="0"/>
              <w:jc w:val="left"/>
              <w:rPr>
                <w:rFonts w:hint="default" w:ascii="宋体" w:hAnsi="宋体" w:eastAsia="宋体" w:cs="宋体"/>
                <w:color w:val="auto"/>
                <w:sz w:val="24"/>
                <w:szCs w:val="24"/>
                <w:lang w:eastAsia="zh-CN"/>
              </w:rPr>
            </w:pPr>
            <w:r>
              <w:rPr>
                <w:rFonts w:hint="eastAsia" w:ascii="宋体" w:hAnsi="宋体" w:eastAsia="宋体" w:cs="宋体"/>
                <w:b w:val="0"/>
                <w:bCs w:val="0"/>
                <w:color w:val="auto"/>
                <w:spacing w:val="17"/>
                <w:sz w:val="24"/>
                <w:szCs w:val="24"/>
              </w:rPr>
              <w:t>投标人提供 20</w:t>
            </w:r>
            <w:r>
              <w:rPr>
                <w:rFonts w:hint="eastAsia" w:ascii="宋体" w:hAnsi="宋体" w:cs="宋体"/>
                <w:b w:val="0"/>
                <w:bCs w:val="0"/>
                <w:color w:val="auto"/>
                <w:spacing w:val="17"/>
                <w:sz w:val="24"/>
                <w:szCs w:val="24"/>
                <w:lang w:val="en-US" w:eastAsia="zh-CN"/>
              </w:rPr>
              <w:t>22</w:t>
            </w:r>
            <w:r>
              <w:rPr>
                <w:rFonts w:hint="eastAsia" w:ascii="宋体" w:hAnsi="宋体" w:eastAsia="宋体" w:cs="宋体"/>
                <w:b w:val="0"/>
                <w:bCs w:val="0"/>
                <w:color w:val="auto"/>
                <w:spacing w:val="17"/>
                <w:sz w:val="24"/>
                <w:szCs w:val="24"/>
              </w:rPr>
              <w:t xml:space="preserve"> 年 1 月 1 日至今有参加国内、外能力验证或测量审核且结果满意的 (提供证明材料) ，提供一个得 1 分。未提供相关材料不得分。</w:t>
            </w:r>
          </w:p>
        </w:tc>
        <w:tc>
          <w:tcPr>
            <w:tcW w:w="817" w:type="dxa"/>
            <w:vAlign w:val="center"/>
          </w:tcPr>
          <w:p w14:paraId="160FF938">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000" w:type="dxa"/>
            <w:vAlign w:val="center"/>
          </w:tcPr>
          <w:p w14:paraId="6AEADAB1">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客观分</w:t>
            </w:r>
          </w:p>
        </w:tc>
        <w:tc>
          <w:tcPr>
            <w:tcW w:w="1456" w:type="dxa"/>
            <w:vAlign w:val="top"/>
          </w:tcPr>
          <w:p w14:paraId="5BEEAE18">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2C4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4D5268F7">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0</w:t>
            </w:r>
          </w:p>
        </w:tc>
        <w:tc>
          <w:tcPr>
            <w:tcW w:w="5087" w:type="dxa"/>
            <w:vAlign w:val="top"/>
          </w:tcPr>
          <w:p w14:paraId="450E3930">
            <w:pPr>
              <w:snapToGrid w:val="0"/>
              <w:spacing w:before="0" w:beforeAutospacing="0" w:after="0" w:afterAutospacing="0" w:line="360" w:lineRule="auto"/>
              <w:ind w:left="0" w:right="0"/>
              <w:jc w:val="left"/>
              <w:rPr>
                <w:rFonts w:hint="default" w:ascii="宋体" w:hAnsi="宋体" w:eastAsia="宋体" w:cs="宋体"/>
                <w:b w:val="0"/>
                <w:bCs w:val="0"/>
                <w:color w:val="auto"/>
                <w:spacing w:val="17"/>
                <w:sz w:val="24"/>
                <w:szCs w:val="24"/>
              </w:rPr>
            </w:pPr>
            <w:bookmarkStart w:id="514" w:name="_GoBack"/>
            <w:r>
              <w:rPr>
                <w:rFonts w:hint="eastAsia" w:ascii="宋体" w:hAnsi="宋体" w:eastAsia="宋体" w:cs="宋体"/>
                <w:i w:val="0"/>
                <w:caps w:val="0"/>
                <w:color w:val="auto"/>
                <w:spacing w:val="17"/>
                <w:sz w:val="24"/>
                <w:szCs w:val="24"/>
                <w:shd w:val="clear"/>
              </w:rPr>
              <w:t>综合比较投标人的服务能力，根据投标人售后服务能力及相关证明进行评分。服务能力符合要求，应急响应速度最快得4分；服务能力符合要求，应急响应速度中等得3分；服务能力符合要求，应急响应速度最慢得2分；服务能力不符合要求不得分。</w:t>
            </w:r>
            <w:bookmarkEnd w:id="514"/>
            <w:r>
              <w:rPr>
                <w:rFonts w:hint="eastAsia" w:ascii="宋体" w:hAnsi="宋体" w:eastAsia="宋体" w:cs="宋体"/>
                <w:b w:val="0"/>
                <w:bCs w:val="0"/>
                <w:color w:val="auto"/>
                <w:spacing w:val="17"/>
                <w:sz w:val="24"/>
                <w:szCs w:val="24"/>
              </w:rPr>
              <w:t xml:space="preserve"> </w:t>
            </w:r>
          </w:p>
        </w:tc>
        <w:tc>
          <w:tcPr>
            <w:tcW w:w="817" w:type="dxa"/>
            <w:vAlign w:val="center"/>
          </w:tcPr>
          <w:p w14:paraId="2F0CC0AB">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1000" w:type="dxa"/>
            <w:vAlign w:val="center"/>
          </w:tcPr>
          <w:p w14:paraId="34A364C2">
            <w:pPr>
              <w:snapToGrid w:val="0"/>
              <w:spacing w:before="0" w:beforeAutospacing="0" w:after="0" w:afterAutospacing="0" w:line="360" w:lineRule="auto"/>
              <w:ind w:left="0" w:right="0"/>
              <w:jc w:val="center"/>
              <w:rPr>
                <w:rFonts w:hint="default" w:ascii="宋体" w:hAnsi="宋体" w:eastAsia="宋体" w:cs="宋体"/>
                <w:color w:val="auto"/>
                <w:sz w:val="24"/>
                <w:szCs w:val="24"/>
                <w:lang w:eastAsia="zh-CN"/>
              </w:rPr>
            </w:pPr>
            <w:r>
              <w:rPr>
                <w:rFonts w:hint="eastAsia" w:ascii="宋体" w:hAnsi="宋体" w:eastAsia="宋体" w:cs="宋体"/>
                <w:color w:val="auto"/>
                <w:sz w:val="24"/>
                <w:szCs w:val="24"/>
                <w:lang w:eastAsia="zh-CN"/>
              </w:rPr>
              <w:t>主观分</w:t>
            </w:r>
          </w:p>
        </w:tc>
        <w:tc>
          <w:tcPr>
            <w:tcW w:w="1456" w:type="dxa"/>
            <w:vAlign w:val="top"/>
          </w:tcPr>
          <w:p w14:paraId="1168535F">
            <w:pPr>
              <w:snapToGrid w:val="0"/>
              <w:spacing w:before="0" w:beforeAutospacing="0" w:after="0" w:afterAutospacing="0" w:line="360" w:lineRule="auto"/>
              <w:ind w:left="0" w:right="0"/>
              <w:jc w:val="center"/>
              <w:rPr>
                <w:rFonts w:hint="default" w:ascii="宋体" w:hAnsi="宋体" w:eastAsia="宋体" w:cs="宋体"/>
                <w:color w:val="auto"/>
                <w:sz w:val="24"/>
                <w:szCs w:val="24"/>
              </w:rPr>
            </w:pPr>
          </w:p>
        </w:tc>
      </w:tr>
      <w:tr w14:paraId="57CD0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7" w:type="dxa"/>
            <w:vAlign w:val="center"/>
          </w:tcPr>
          <w:p w14:paraId="33170648">
            <w:pPr>
              <w:snapToGrid w:val="0"/>
              <w:spacing w:before="0" w:beforeAutospacing="0" w:after="0" w:afterAutospacing="0" w:line="360" w:lineRule="auto"/>
              <w:ind w:left="0" w:right="0"/>
              <w:jc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5087" w:type="dxa"/>
            <w:vAlign w:val="top"/>
          </w:tcPr>
          <w:p w14:paraId="11844DEF">
            <w:pPr>
              <w:snapToGrid w:val="0"/>
              <w:spacing w:before="0" w:beforeAutospacing="0" w:after="0" w:afterAutospacing="0" w:line="360" w:lineRule="auto"/>
              <w:ind w:left="0" w:right="0"/>
              <w:jc w:val="left"/>
              <w:outlineLvl w:val="9"/>
              <w:rPr>
                <w:rFonts w:hint="default" w:ascii="宋体" w:hAnsi="宋体" w:eastAsia="宋体" w:cs="宋体"/>
                <w:color w:val="auto"/>
                <w:spacing w:val="17"/>
                <w:sz w:val="24"/>
                <w:szCs w:val="24"/>
              </w:rPr>
            </w:pPr>
            <w:r>
              <w:rPr>
                <w:rFonts w:hint="eastAsia" w:ascii="宋体" w:hAnsi="宋体" w:eastAsia="宋体" w:cs="宋体"/>
                <w:color w:val="auto"/>
                <w:spacing w:val="17"/>
                <w:sz w:val="24"/>
                <w:szCs w:val="24"/>
              </w:rPr>
              <w:t>有效投标报价的最低价作为评标基准价，其最低报价为满分；按［投标报价得分=（评标基准价/投标报价）*</w:t>
            </w:r>
            <w:r>
              <w:rPr>
                <w:rFonts w:hint="eastAsia" w:ascii="宋体" w:hAnsi="宋体" w:eastAsia="宋体" w:cs="宋体"/>
                <w:color w:val="auto"/>
                <w:spacing w:val="17"/>
                <w:sz w:val="24"/>
                <w:szCs w:val="24"/>
                <w:lang w:val="en-US" w:eastAsia="zh-CN"/>
              </w:rPr>
              <w:t>10</w:t>
            </w:r>
            <w:r>
              <w:rPr>
                <w:rFonts w:hint="eastAsia" w:ascii="宋体" w:hAnsi="宋体" w:eastAsia="宋体" w:cs="宋体"/>
                <w:color w:val="auto"/>
                <w:spacing w:val="17"/>
                <w:sz w:val="24"/>
                <w:szCs w:val="24"/>
              </w:rPr>
              <w:t>］的计算公式计算。</w:t>
            </w:r>
          </w:p>
          <w:p w14:paraId="6C73771B">
            <w:pPr>
              <w:widowControl/>
              <w:shd w:val="clear" w:color="auto" w:fill="auto"/>
              <w:adjustRightInd/>
              <w:snapToGrid w:val="0"/>
              <w:spacing w:before="0" w:beforeAutospacing="0" w:after="0" w:afterAutospacing="0" w:line="360" w:lineRule="auto"/>
              <w:ind w:left="0" w:right="0" w:firstLine="0"/>
              <w:jc w:val="left"/>
              <w:rPr>
                <w:rFonts w:hint="default" w:ascii="宋体" w:hAnsi="宋体" w:eastAsia="宋体" w:cs="宋体"/>
                <w:color w:val="auto"/>
                <w:spacing w:val="17"/>
                <w:sz w:val="24"/>
                <w:szCs w:val="24"/>
              </w:rPr>
            </w:pPr>
            <w:r>
              <w:rPr>
                <w:rFonts w:hint="eastAsia" w:ascii="宋体" w:hAnsi="宋体" w:eastAsia="宋体" w:cs="宋体"/>
                <w:color w:val="auto"/>
                <w:spacing w:val="17"/>
                <w:sz w:val="24"/>
                <w:szCs w:val="24"/>
              </w:rPr>
              <w:t>评标过程中，不得去掉报价中的最高报价和最低报价。</w:t>
            </w:r>
          </w:p>
          <w:p w14:paraId="79803525">
            <w:pPr>
              <w:widowControl/>
              <w:shd w:val="clear" w:color="auto" w:fill="auto"/>
              <w:adjustRightInd/>
              <w:snapToGrid w:val="0"/>
              <w:spacing w:before="0" w:beforeAutospacing="0" w:after="0" w:afterAutospacing="0" w:line="360" w:lineRule="auto"/>
              <w:ind w:left="0" w:right="0" w:firstLine="0"/>
              <w:jc w:val="left"/>
              <w:rPr>
                <w:rFonts w:hint="default" w:ascii="宋体" w:hAnsi="宋体" w:eastAsia="宋体" w:cs="宋体"/>
                <w:color w:val="auto"/>
                <w:sz w:val="24"/>
                <w:szCs w:val="24"/>
              </w:rPr>
            </w:pPr>
            <w:r>
              <w:rPr>
                <w:rFonts w:hint="eastAsia" w:ascii="宋体" w:hAnsi="宋体" w:eastAsia="宋体" w:cs="宋体"/>
                <w:color w:val="auto"/>
                <w:spacing w:val="17"/>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pacing w:val="17"/>
                <w:sz w:val="24"/>
                <w:szCs w:val="24"/>
                <w:lang w:val="en-US" w:eastAsia="zh-CN"/>
              </w:rPr>
              <w:t>20</w:t>
            </w:r>
            <w:r>
              <w:rPr>
                <w:rFonts w:hint="eastAsia" w:ascii="宋体" w:hAnsi="宋体" w:eastAsia="宋体" w:cs="宋体"/>
                <w:color w:val="auto"/>
                <w:spacing w:val="17"/>
                <w:sz w:val="24"/>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pacing w:val="17"/>
                <w:sz w:val="24"/>
                <w:szCs w:val="24"/>
                <w:lang w:val="en-US" w:eastAsia="zh-CN"/>
              </w:rPr>
              <w:t>6</w:t>
            </w:r>
            <w:r>
              <w:rPr>
                <w:rFonts w:hint="eastAsia" w:ascii="宋体" w:hAnsi="宋体" w:eastAsia="宋体" w:cs="宋体"/>
                <w:color w:val="auto"/>
                <w:spacing w:val="17"/>
                <w:sz w:val="24"/>
                <w:szCs w:val="24"/>
              </w:rPr>
              <w:t>%的扣除，用扣除后的价格参加评审。</w:t>
            </w:r>
          </w:p>
        </w:tc>
        <w:tc>
          <w:tcPr>
            <w:tcW w:w="817" w:type="dxa"/>
            <w:vAlign w:val="center"/>
          </w:tcPr>
          <w:p w14:paraId="2CB18575">
            <w:pPr>
              <w:spacing w:before="0" w:beforeAutospacing="0" w:after="0" w:afterAutospacing="0" w:line="360" w:lineRule="auto"/>
              <w:ind w:left="0" w:right="0"/>
              <w:jc w:val="center"/>
              <w:outlineLvl w:val="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w:t>
            </w:r>
          </w:p>
        </w:tc>
        <w:tc>
          <w:tcPr>
            <w:tcW w:w="1000" w:type="dxa"/>
            <w:vAlign w:val="center"/>
          </w:tcPr>
          <w:p w14:paraId="04E1B2EB">
            <w:pPr>
              <w:spacing w:before="0" w:beforeAutospacing="0" w:after="0" w:afterAutospacing="0" w:line="360" w:lineRule="auto"/>
              <w:ind w:left="0" w:right="0"/>
              <w:jc w:val="center"/>
              <w:outlineLvl w:val="0"/>
              <w:rPr>
                <w:rFonts w:hint="default" w:ascii="宋体" w:hAnsi="宋体" w:eastAsia="宋体" w:cs="宋体"/>
                <w:color w:val="auto"/>
                <w:sz w:val="24"/>
                <w:szCs w:val="24"/>
              </w:rPr>
            </w:pPr>
          </w:p>
        </w:tc>
        <w:tc>
          <w:tcPr>
            <w:tcW w:w="1456" w:type="dxa"/>
            <w:vAlign w:val="center"/>
          </w:tcPr>
          <w:p w14:paraId="13F7C061">
            <w:pPr>
              <w:spacing w:before="0" w:beforeAutospacing="0" w:after="0" w:afterAutospacing="0" w:line="360" w:lineRule="auto"/>
              <w:ind w:left="0" w:right="0"/>
              <w:jc w:val="center"/>
              <w:outlineLvl w:val="0"/>
              <w:rPr>
                <w:rFonts w:hint="default" w:ascii="宋体" w:hAnsi="宋体" w:eastAsia="宋体" w:cs="宋体"/>
                <w:color w:val="auto"/>
                <w:sz w:val="24"/>
                <w:szCs w:val="24"/>
              </w:rPr>
            </w:pPr>
          </w:p>
        </w:tc>
      </w:tr>
    </w:tbl>
    <w:p w14:paraId="4AEF1C94"/>
    <w:p w14:paraId="25C2B1D7">
      <w:pPr>
        <w:pStyle w:val="84"/>
        <w:rPr>
          <w:rFonts w:hint="eastAsia"/>
          <w:highlight w:val="none"/>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w:t>
      </w:r>
    </w:p>
    <w:bookmarkEnd w:id="16"/>
    <w:p w14:paraId="60C8983A">
      <w:pPr>
        <w:pStyle w:val="17"/>
        <w:rPr>
          <w:highlight w:val="none"/>
        </w:rPr>
      </w:pPr>
    </w:p>
    <w:p w14:paraId="64199EDE">
      <w:pPr>
        <w:snapToGrid w:val="0"/>
        <w:spacing w:line="360" w:lineRule="auto"/>
        <w:rPr>
          <w:rFonts w:ascii="宋体" w:hAnsi="宋体" w:cs="宋体"/>
          <w:b/>
          <w:sz w:val="28"/>
          <w:szCs w:val="28"/>
        </w:rPr>
      </w:pPr>
      <w:r>
        <w:rPr>
          <w:rFonts w:hint="eastAsia" w:ascii="宋体" w:hAnsi="宋体" w:cs="宋体"/>
          <w:b/>
          <w:sz w:val="32"/>
        </w:rPr>
        <w:t>一、评标方法</w:t>
      </w:r>
    </w:p>
    <w:p w14:paraId="26B120D3">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258AB580">
      <w:pPr>
        <w:adjustRightInd/>
        <w:spacing w:line="360" w:lineRule="auto"/>
        <w:rPr>
          <w:rFonts w:ascii="宋体" w:hAnsi="宋体" w:cs="宋体"/>
          <w:kern w:val="0"/>
          <w:sz w:val="24"/>
        </w:rPr>
      </w:pPr>
      <w:r>
        <w:rPr>
          <w:rFonts w:hint="eastAsia" w:ascii="宋体" w:hAnsi="宋体" w:cs="宋体"/>
          <w:b/>
          <w:sz w:val="32"/>
        </w:rPr>
        <w:t>二、评标标准</w:t>
      </w:r>
    </w:p>
    <w:p w14:paraId="3ABC5FB5">
      <w:pPr>
        <w:snapToGrid w:val="0"/>
        <w:spacing w:line="360" w:lineRule="auto"/>
        <w:ind w:firstLine="482" w:firstLineChars="200"/>
        <w:rPr>
          <w:rFonts w:hint="eastAsia" w:ascii="宋体" w:hAnsi="宋体" w:eastAsia="宋体" w:cs="宋体"/>
          <w:b/>
          <w:color w:val="auto"/>
          <w:sz w:val="32"/>
          <w:highlight w:val="none"/>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5A3FC9CF">
      <w:pPr>
        <w:snapToGrid w:val="0"/>
        <w:spacing w:line="360" w:lineRule="auto"/>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三、评标程序</w:t>
      </w:r>
    </w:p>
    <w:p w14:paraId="5A3B000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A9F426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3111B40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0E83BC20">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692C8F4B">
      <w:pPr>
        <w:pStyle w:val="98"/>
        <w:spacing w:before="0"/>
        <w:ind w:firstLine="511"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1F7F6E5">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73FC2E7B">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307E82DB">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301B0FCD">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54FFF73">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2C3BF16">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6A01BF09">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1B6BB5DF">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399BCC92">
      <w:pPr>
        <w:pStyle w:val="98"/>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766A631C">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按投标报价由低到高顺序排列。得分且投标报价相同的并列。投标文件满足招标文件全部实质性要求，且按照评审因素的量化指标评审得分最高的投标人为排名第一的中标候选人。</w:t>
      </w:r>
    </w:p>
    <w:p w14:paraId="02EB1DF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7594D3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955B82A">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32B58776">
      <w:pPr>
        <w:pStyle w:val="98"/>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CE20B70">
      <w:pPr>
        <w:pStyle w:val="16"/>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11FFDE3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62EC5923">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7CFE984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091DFC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2D3835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7EE7BDA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B1A1AB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3AE697E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1925AB9F">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716500F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32092E8E">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34D2336">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0BA26595">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《中小企业声明函》填写企业类型错误或者未填写企业类型的，投标无效。</w:t>
      </w:r>
    </w:p>
    <w:p w14:paraId="1F6F7274">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4</w:t>
      </w:r>
      <w:r>
        <w:rPr>
          <w:rFonts w:hint="eastAsia" w:ascii="宋体" w:hAnsi="宋体" w:eastAsia="宋体" w:cs="宋体"/>
          <w:color w:val="auto"/>
          <w:kern w:val="0"/>
          <w:sz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29D08D8C">
      <w:pPr>
        <w:spacing w:line="360" w:lineRule="auto"/>
        <w:ind w:firstLine="240" w:firstLineChars="100"/>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5</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5666B62F">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w:t>
      </w:r>
      <w:r>
        <w:rPr>
          <w:rFonts w:hint="eastAsia" w:ascii="宋体" w:hAnsi="宋体" w:eastAsia="宋体" w:cs="宋体"/>
          <w:color w:val="auto"/>
          <w:kern w:val="0"/>
          <w:sz w:val="24"/>
          <w:highlight w:val="none"/>
          <w:lang w:val="en-US" w:eastAsia="zh-CN"/>
        </w:rPr>
        <w:t>6</w:t>
      </w:r>
      <w:r>
        <w:rPr>
          <w:rFonts w:hint="eastAsia" w:ascii="宋体" w:hAnsi="宋体" w:eastAsia="宋体" w:cs="宋体"/>
          <w:color w:val="auto"/>
          <w:kern w:val="0"/>
          <w:sz w:val="24"/>
          <w:highlight w:val="none"/>
        </w:rPr>
        <w:t>法律、法规、规章（适用本市的）及省级以上规范性文件（适用本市的）规定的其他无效情形。</w:t>
      </w:r>
    </w:p>
    <w:p w14:paraId="3FF0ABAD">
      <w:pPr>
        <w:pStyle w:val="16"/>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78E8B1CA">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24BD8B0">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72BC093B">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6C2DE6B">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863500E">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废标后，采购机构应当将废标理由通知所有投标人。</w:t>
      </w:r>
    </w:p>
    <w:p w14:paraId="1BE3269E">
      <w:pPr>
        <w:pStyle w:val="16"/>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35120DB7">
      <w:pPr>
        <w:pStyle w:val="16"/>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1253D16">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DE9272C">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6DB56EDF">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38E8EBE3">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1EE0E3DC">
      <w:pPr>
        <w:pStyle w:val="16"/>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833ADE7">
      <w:pPr>
        <w:spacing w:line="240" w:lineRule="auto"/>
        <w:ind w:left="0" w:leftChars="0" w:firstLine="0" w:firstLineChars="0"/>
        <w:outlineLvl w:val="9"/>
        <w:rPr>
          <w:rFonts w:hint="eastAsia" w:ascii="宋体" w:hAnsi="宋体" w:eastAsia="宋体" w:cs="宋体"/>
          <w:b/>
          <w:color w:val="auto"/>
          <w:sz w:val="36"/>
          <w:szCs w:val="36"/>
          <w:highlight w:val="none"/>
        </w:rPr>
      </w:pPr>
      <w:bookmarkStart w:id="385" w:name="第五部分"/>
      <w:bookmarkStart w:id="386" w:name="_Toc86217003"/>
      <w:r>
        <w:rPr>
          <w:rFonts w:hint="eastAsia" w:ascii="宋体" w:hAnsi="宋体" w:eastAsia="宋体" w:cs="宋体"/>
          <w:b/>
          <w:color w:val="auto"/>
          <w:sz w:val="36"/>
          <w:szCs w:val="36"/>
          <w:highlight w:val="none"/>
        </w:rPr>
        <w:br w:type="page"/>
      </w:r>
    </w:p>
    <w:p w14:paraId="082703A3">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272D579C">
      <w:pPr>
        <w:spacing w:line="360" w:lineRule="auto"/>
        <w:ind w:left="720" w:leftChars="343" w:firstLine="1084" w:firstLineChars="300"/>
        <w:outlineLvl w:val="9"/>
        <w:rPr>
          <w:rFonts w:hint="eastAsia" w:ascii="宋体" w:hAnsi="宋体" w:eastAsia="宋体" w:cs="宋体"/>
          <w:b/>
          <w:color w:val="auto"/>
          <w:sz w:val="36"/>
          <w:szCs w:val="36"/>
          <w:highlight w:val="none"/>
        </w:rPr>
      </w:pPr>
    </w:p>
    <w:p w14:paraId="62597865">
      <w:pPr>
        <w:pStyle w:val="2"/>
        <w:spacing w:line="360" w:lineRule="auto"/>
        <w:ind w:left="0" w:leftChars="0" w:firstLine="0" w:firstLineChars="0"/>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第五部分 拟签订的合同文本</w:t>
      </w:r>
    </w:p>
    <w:p w14:paraId="44922F9A">
      <w:pPr>
        <w:spacing w:line="480" w:lineRule="auto"/>
        <w:jc w:val="center"/>
        <w:rPr>
          <w:rFonts w:hint="eastAsia" w:ascii="宋体" w:hAnsi="宋体" w:eastAsia="宋体" w:cs="宋体"/>
          <w:b/>
          <w:color w:val="auto"/>
          <w:sz w:val="28"/>
          <w:szCs w:val="28"/>
          <w:highlight w:val="none"/>
        </w:rPr>
      </w:pPr>
    </w:p>
    <w:p w14:paraId="4704B733">
      <w:pPr>
        <w:spacing w:line="480" w:lineRule="auto"/>
        <w:jc w:val="center"/>
        <w:rPr>
          <w:rFonts w:hint="eastAsia" w:ascii="宋体" w:hAnsi="宋体" w:eastAsia="宋体" w:cs="宋体"/>
          <w:b/>
          <w:color w:val="auto"/>
          <w:sz w:val="24"/>
          <w:highlight w:val="none"/>
        </w:rPr>
      </w:pPr>
    </w:p>
    <w:p w14:paraId="5C3C5088">
      <w:pPr>
        <w:rPr>
          <w:rFonts w:ascii="宋体" w:hAnsi="宋体" w:cs="宋体"/>
          <w:sz w:val="24"/>
          <w:highlight w:val="none"/>
          <w:u w:val="single"/>
        </w:rPr>
      </w:pPr>
      <w:r>
        <w:rPr>
          <w:rFonts w:hint="eastAsia" w:ascii="宋体" w:hAnsi="宋体" w:cs="宋体"/>
          <w:sz w:val="24"/>
          <w:highlight w:val="none"/>
        </w:rPr>
        <w:t>合同编号：</w:t>
      </w:r>
      <w:r>
        <w:rPr>
          <w:rFonts w:hint="eastAsia" w:ascii="宋体" w:hAnsi="宋体" w:cs="宋体"/>
          <w:sz w:val="24"/>
          <w:highlight w:val="none"/>
          <w:u w:val="single"/>
        </w:rPr>
        <w:t xml:space="preserve">           </w:t>
      </w:r>
    </w:p>
    <w:p w14:paraId="3287F8F9">
      <w:pPr>
        <w:spacing w:line="480" w:lineRule="auto"/>
        <w:jc w:val="center"/>
        <w:rPr>
          <w:rFonts w:ascii="宋体" w:hAnsi="宋体" w:cs="宋体"/>
          <w:b/>
          <w:sz w:val="28"/>
          <w:szCs w:val="28"/>
          <w:highlight w:val="none"/>
        </w:rPr>
      </w:pPr>
    </w:p>
    <w:p w14:paraId="7D50051A">
      <w:pPr>
        <w:spacing w:line="480" w:lineRule="auto"/>
        <w:jc w:val="center"/>
        <w:rPr>
          <w:rFonts w:ascii="宋体" w:hAnsi="宋体" w:cs="宋体"/>
          <w:b/>
          <w:sz w:val="24"/>
          <w:highlight w:val="none"/>
        </w:rPr>
      </w:pPr>
    </w:p>
    <w:p w14:paraId="1BA0AC69">
      <w:pPr>
        <w:spacing w:line="480" w:lineRule="auto"/>
        <w:jc w:val="center"/>
        <w:rPr>
          <w:rFonts w:ascii="宋体" w:hAnsi="宋体" w:cs="宋体"/>
          <w:b/>
          <w:sz w:val="24"/>
          <w:highlight w:val="none"/>
        </w:rPr>
      </w:pPr>
    </w:p>
    <w:p w14:paraId="03FBEF0C">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政府采购合同参考范本</w:t>
      </w:r>
    </w:p>
    <w:p w14:paraId="49C579D3">
      <w:pPr>
        <w:spacing w:line="480" w:lineRule="auto"/>
        <w:jc w:val="center"/>
        <w:rPr>
          <w:rFonts w:ascii="宋体" w:hAnsi="宋体" w:cs="宋体"/>
          <w:b/>
          <w:sz w:val="36"/>
          <w:szCs w:val="36"/>
          <w:highlight w:val="none"/>
        </w:rPr>
      </w:pPr>
      <w:r>
        <w:rPr>
          <w:rFonts w:hint="eastAsia" w:ascii="宋体" w:hAnsi="宋体" w:cs="宋体"/>
          <w:b/>
          <w:sz w:val="36"/>
          <w:szCs w:val="36"/>
          <w:highlight w:val="none"/>
        </w:rPr>
        <w:t>（服务类）</w:t>
      </w:r>
    </w:p>
    <w:p w14:paraId="48F24411">
      <w:pPr>
        <w:pStyle w:val="89"/>
        <w:ind w:firstLine="2843" w:firstLineChars="1180"/>
        <w:rPr>
          <w:rFonts w:ascii="宋体" w:hAnsi="宋体" w:cs="宋体"/>
          <w:b/>
          <w:szCs w:val="24"/>
          <w:highlight w:val="none"/>
        </w:rPr>
      </w:pPr>
      <w:r>
        <w:rPr>
          <w:rFonts w:hint="eastAsia" w:ascii="宋体" w:hAnsi="宋体" w:cs="宋体"/>
          <w:b/>
          <w:szCs w:val="24"/>
          <w:highlight w:val="none"/>
        </w:rPr>
        <w:t>第一部分 合同书</w:t>
      </w:r>
    </w:p>
    <w:p w14:paraId="52F27831">
      <w:pPr>
        <w:spacing w:before="120" w:line="22" w:lineRule="atLeast"/>
        <w:rPr>
          <w:rFonts w:ascii="宋体" w:hAnsi="宋体" w:cs="宋体"/>
          <w:sz w:val="24"/>
          <w:highlight w:val="none"/>
        </w:rPr>
      </w:pPr>
    </w:p>
    <w:p w14:paraId="41978162">
      <w:pPr>
        <w:numPr>
          <w:ilvl w:val="0"/>
          <w:numId w:val="0"/>
        </w:numPr>
        <w:ind w:left="0" w:firstLine="0"/>
        <w:outlineLvl w:val="9"/>
        <w:rPr>
          <w:highlight w:val="none"/>
        </w:rPr>
      </w:pPr>
    </w:p>
    <w:p w14:paraId="192C2FBC">
      <w:pPr>
        <w:spacing w:before="120" w:line="22" w:lineRule="atLeast"/>
        <w:ind w:left="960"/>
        <w:rPr>
          <w:rFonts w:ascii="宋体" w:hAnsi="宋体" w:cs="宋体"/>
          <w:sz w:val="24"/>
          <w:highlight w:val="none"/>
        </w:rPr>
      </w:pPr>
      <w:r>
        <w:rPr>
          <w:rFonts w:hint="eastAsia" w:ascii="宋体" w:hAnsi="宋体" w:cs="宋体"/>
          <w:sz w:val="24"/>
          <w:highlight w:val="none"/>
        </w:rPr>
        <w:t>项目名称：</w:t>
      </w:r>
      <w:r>
        <w:rPr>
          <w:rFonts w:hint="eastAsia" w:ascii="宋体" w:hAnsi="宋体" w:cs="宋体"/>
          <w:sz w:val="24"/>
          <w:highlight w:val="none"/>
          <w:u w:val="single"/>
        </w:rPr>
        <w:t xml:space="preserve">                                   </w:t>
      </w:r>
    </w:p>
    <w:p w14:paraId="0B9F8063">
      <w:pPr>
        <w:pStyle w:val="293"/>
        <w:spacing w:before="120" w:line="22" w:lineRule="atLeast"/>
        <w:rPr>
          <w:rFonts w:ascii="宋体" w:hAnsi="宋体" w:eastAsia="宋体" w:cs="宋体"/>
          <w:szCs w:val="24"/>
          <w:highlight w:val="none"/>
        </w:rPr>
      </w:pPr>
    </w:p>
    <w:p w14:paraId="17B1C85C">
      <w:pPr>
        <w:pStyle w:val="293"/>
        <w:spacing w:before="120" w:line="22" w:lineRule="atLeast"/>
        <w:rPr>
          <w:rFonts w:ascii="宋体" w:hAnsi="宋体" w:eastAsia="宋体" w:cs="宋体"/>
          <w:szCs w:val="24"/>
          <w:highlight w:val="none"/>
        </w:rPr>
      </w:pPr>
    </w:p>
    <w:p w14:paraId="41169D14">
      <w:pPr>
        <w:rPr>
          <w:rFonts w:ascii="宋体" w:hAnsi="宋体" w:cs="宋体"/>
          <w:sz w:val="24"/>
          <w:highlight w:val="none"/>
        </w:rPr>
      </w:pPr>
    </w:p>
    <w:p w14:paraId="4AFCA63C">
      <w:pPr>
        <w:spacing w:before="120" w:line="22" w:lineRule="atLeast"/>
        <w:ind w:left="960"/>
        <w:rPr>
          <w:rFonts w:ascii="宋体" w:hAnsi="宋体" w:cs="宋体"/>
          <w:sz w:val="24"/>
          <w:highlight w:val="none"/>
          <w:u w:val="single"/>
        </w:rPr>
      </w:pPr>
      <w:r>
        <w:rPr>
          <w:rFonts w:hint="eastAsia" w:ascii="宋体" w:hAnsi="宋体" w:cs="宋体"/>
          <w:sz w:val="24"/>
          <w:highlight w:val="none"/>
        </w:rPr>
        <w:t>甲方：</w:t>
      </w:r>
      <w:r>
        <w:rPr>
          <w:rFonts w:hint="eastAsia" w:ascii="宋体" w:hAnsi="宋体" w:cs="宋体"/>
          <w:sz w:val="24"/>
          <w:highlight w:val="none"/>
          <w:u w:val="single"/>
        </w:rPr>
        <w:t xml:space="preserve">                                       </w:t>
      </w:r>
    </w:p>
    <w:p w14:paraId="6B312399">
      <w:pPr>
        <w:spacing w:before="120" w:line="22" w:lineRule="atLeast"/>
        <w:rPr>
          <w:rFonts w:ascii="宋体" w:hAnsi="宋体" w:cs="宋体"/>
          <w:sz w:val="24"/>
          <w:highlight w:val="none"/>
        </w:rPr>
      </w:pPr>
    </w:p>
    <w:p w14:paraId="0BAEA5B8">
      <w:pPr>
        <w:spacing w:before="120" w:line="22" w:lineRule="atLeast"/>
        <w:ind w:left="960"/>
        <w:rPr>
          <w:rFonts w:ascii="宋体" w:hAnsi="宋体" w:cs="宋体"/>
          <w:sz w:val="24"/>
          <w:highlight w:val="none"/>
          <w:u w:val="single"/>
        </w:rPr>
      </w:pPr>
      <w:r>
        <w:rPr>
          <w:rFonts w:hint="eastAsia" w:ascii="宋体" w:hAnsi="宋体" w:cs="宋体"/>
          <w:sz w:val="24"/>
          <w:highlight w:val="none"/>
        </w:rPr>
        <w:t>乙方：</w:t>
      </w:r>
      <w:r>
        <w:rPr>
          <w:rFonts w:hint="eastAsia" w:ascii="宋体" w:hAnsi="宋体" w:cs="宋体"/>
          <w:sz w:val="24"/>
          <w:highlight w:val="none"/>
          <w:u w:val="single"/>
        </w:rPr>
        <w:t xml:space="preserve">                                       </w:t>
      </w:r>
    </w:p>
    <w:p w14:paraId="15A1F04A">
      <w:pPr>
        <w:spacing w:before="120" w:line="22" w:lineRule="atLeast"/>
        <w:rPr>
          <w:rFonts w:ascii="宋体" w:hAnsi="宋体" w:cs="宋体"/>
          <w:sz w:val="24"/>
          <w:highlight w:val="none"/>
        </w:rPr>
      </w:pPr>
    </w:p>
    <w:p w14:paraId="08D80F1D">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签订地：</w:t>
      </w:r>
      <w:r>
        <w:rPr>
          <w:rFonts w:hint="eastAsia" w:ascii="宋体" w:hAnsi="宋体" w:cs="宋体"/>
          <w:sz w:val="24"/>
          <w:highlight w:val="none"/>
          <w:u w:val="single"/>
        </w:rPr>
        <w:t xml:space="preserve">                                     </w:t>
      </w:r>
    </w:p>
    <w:p w14:paraId="11A9E5C7">
      <w:pPr>
        <w:spacing w:before="120" w:line="22" w:lineRule="atLeast"/>
        <w:rPr>
          <w:rFonts w:ascii="宋体" w:hAnsi="宋体" w:cs="宋体"/>
          <w:sz w:val="24"/>
          <w:highlight w:val="none"/>
        </w:rPr>
      </w:pPr>
    </w:p>
    <w:p w14:paraId="5153E997">
      <w:pPr>
        <w:spacing w:before="120" w:line="22" w:lineRule="atLeast"/>
        <w:ind w:firstLine="960" w:firstLineChars="400"/>
        <w:rPr>
          <w:rFonts w:ascii="宋体" w:hAnsi="宋体" w:cs="宋体"/>
          <w:sz w:val="24"/>
          <w:highlight w:val="none"/>
          <w:u w:val="single"/>
        </w:rPr>
      </w:pPr>
      <w:r>
        <w:rPr>
          <w:rFonts w:hint="eastAsia" w:ascii="宋体" w:hAnsi="宋体" w:cs="宋体"/>
          <w:sz w:val="24"/>
          <w:highlight w:val="none"/>
        </w:rPr>
        <w:t>签订日期：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65DF2EEE">
      <w:pPr>
        <w:widowControl/>
        <w:jc w:val="left"/>
        <w:rPr>
          <w:rFonts w:ascii="宋体" w:hAnsi="宋体" w:cs="宋体"/>
          <w:kern w:val="0"/>
          <w:sz w:val="24"/>
          <w:highlight w:val="none"/>
        </w:rPr>
        <w:sectPr>
          <w:footerReference r:id="rId12" w:type="default"/>
          <w:pgSz w:w="11907" w:h="16840"/>
          <w:pgMar w:top="1474" w:right="1814" w:bottom="1474" w:left="1814" w:header="851" w:footer="851" w:gutter="0"/>
          <w:pgNumType w:fmt="decimal"/>
          <w:cols w:space="720" w:num="1"/>
        </w:sectPr>
      </w:pPr>
    </w:p>
    <w:p w14:paraId="602A72F0">
      <w:pPr>
        <w:spacing w:line="560" w:lineRule="exact"/>
        <w:ind w:firstLine="480" w:firstLineChars="200"/>
        <w:rPr>
          <w:rFonts w:ascii="宋体" w:hAnsi="宋体" w:eastAsia="宋体"/>
          <w:sz w:val="24"/>
          <w:highlight w:val="none"/>
        </w:rPr>
      </w:pPr>
      <w:r>
        <w:rPr>
          <w:rFonts w:ascii="宋体" w:hAnsi="宋体" w:eastAsia="宋体"/>
          <w:sz w:val="24"/>
          <w:highlight w:val="none"/>
          <w:u w:val="single"/>
          <w:lang w:val="zh-CN"/>
        </w:rPr>
        <w:t xml:space="preserve">        </w:t>
      </w:r>
      <w:r>
        <w:rPr>
          <w:rFonts w:hint="eastAsia" w:ascii="宋体" w:hAnsi="宋体" w:eastAsia="宋体"/>
          <w:sz w:val="24"/>
          <w:highlight w:val="none"/>
          <w:lang w:val="zh-CN"/>
        </w:rPr>
        <w:t>年</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月</w:t>
      </w:r>
      <w:r>
        <w:rPr>
          <w:rFonts w:ascii="宋体" w:hAnsi="宋体" w:eastAsia="宋体"/>
          <w:sz w:val="24"/>
          <w:highlight w:val="none"/>
          <w:u w:val="single"/>
          <w:lang w:val="zh-CN"/>
        </w:rPr>
        <w:t xml:space="preserve">    </w:t>
      </w:r>
      <w:r>
        <w:rPr>
          <w:rFonts w:hint="eastAsia" w:ascii="宋体" w:hAnsi="宋体" w:eastAsia="宋体"/>
          <w:sz w:val="24"/>
          <w:highlight w:val="none"/>
          <w:lang w:val="zh-CN"/>
        </w:rPr>
        <w:t>日</w:t>
      </w:r>
      <w:r>
        <w:rPr>
          <w:rFonts w:hint="eastAsia" w:ascii="宋体" w:hAnsi="宋体" w:eastAsia="宋体"/>
          <w:sz w:val="24"/>
          <w:highlight w:val="none"/>
        </w:rPr>
        <w:t>，</w:t>
      </w:r>
      <w:r>
        <w:rPr>
          <w:rFonts w:ascii="宋体" w:hAnsi="宋体" w:eastAsia="宋体"/>
          <w:sz w:val="24"/>
          <w:highlight w:val="none"/>
          <w:u w:val="single"/>
        </w:rPr>
        <w:t xml:space="preserve">   </w:t>
      </w:r>
      <w:r>
        <w:rPr>
          <w:rFonts w:hint="eastAsia" w:ascii="宋体" w:hAnsi="宋体" w:cs="宋体"/>
          <w:color w:val="0000FF"/>
          <w:sz w:val="24"/>
          <w:highlight w:val="none"/>
          <w:u w:val="single"/>
        </w:rPr>
        <w:t>（采购人）</w:t>
      </w:r>
      <w:r>
        <w:rPr>
          <w:rFonts w:ascii="宋体" w:hAnsi="宋体" w:eastAsia="宋体"/>
          <w:sz w:val="24"/>
          <w:highlight w:val="none"/>
          <w:u w:val="single"/>
        </w:rPr>
        <w:t xml:space="preserve">   </w:t>
      </w:r>
      <w:r>
        <w:rPr>
          <w:rFonts w:hint="eastAsia" w:ascii="宋体" w:hAnsi="宋体" w:eastAsia="宋体"/>
          <w:sz w:val="24"/>
          <w:highlight w:val="none"/>
        </w:rPr>
        <w:t>以</w:t>
      </w:r>
      <w:r>
        <w:rPr>
          <w:rFonts w:ascii="宋体" w:hAnsi="宋体" w:eastAsia="宋体"/>
          <w:sz w:val="24"/>
          <w:highlight w:val="none"/>
          <w:u w:val="single"/>
        </w:rPr>
        <w:t xml:space="preserve">   （政府采购方式）  </w:t>
      </w:r>
      <w:r>
        <w:rPr>
          <w:rFonts w:hint="eastAsia" w:ascii="宋体" w:hAnsi="宋体" w:eastAsia="宋体"/>
          <w:sz w:val="24"/>
          <w:highlight w:val="none"/>
        </w:rPr>
        <w:t>对</w:t>
      </w:r>
      <w:r>
        <w:rPr>
          <w:rFonts w:ascii="宋体" w:hAnsi="宋体" w:eastAsia="宋体"/>
          <w:sz w:val="24"/>
          <w:highlight w:val="none"/>
          <w:u w:val="single"/>
        </w:rPr>
        <w:t xml:space="preserve">  </w:t>
      </w:r>
      <w:r>
        <w:rPr>
          <w:rFonts w:hint="eastAsia" w:ascii="宋体" w:hAnsi="宋体" w:cs="宋体"/>
          <w:color w:val="0000FF"/>
          <w:sz w:val="24"/>
          <w:highlight w:val="none"/>
          <w:u w:val="single"/>
        </w:rPr>
        <w:t xml:space="preserve">（项目名称）  </w:t>
      </w:r>
      <w:r>
        <w:rPr>
          <w:rFonts w:ascii="宋体" w:hAnsi="宋体" w:eastAsia="宋体"/>
          <w:sz w:val="24"/>
          <w:highlight w:val="none"/>
          <w:u w:val="single"/>
        </w:rPr>
        <w:t xml:space="preserve">  </w:t>
      </w:r>
      <w:r>
        <w:rPr>
          <w:rFonts w:hint="eastAsia" w:ascii="宋体" w:hAnsi="宋体" w:eastAsia="宋体"/>
          <w:sz w:val="24"/>
          <w:highlight w:val="none"/>
        </w:rPr>
        <w:t>项目进行了采购。经</w:t>
      </w:r>
      <w:r>
        <w:rPr>
          <w:rFonts w:ascii="宋体" w:hAnsi="宋体" w:eastAsia="宋体"/>
          <w:sz w:val="24"/>
          <w:highlight w:val="none"/>
          <w:u w:val="single"/>
        </w:rPr>
        <w:t xml:space="preserve">   （相关评定主体名称）   </w:t>
      </w:r>
      <w:r>
        <w:rPr>
          <w:rFonts w:hint="eastAsia" w:ascii="宋体" w:hAnsi="宋体" w:eastAsia="宋体"/>
          <w:sz w:val="24"/>
          <w:highlight w:val="none"/>
        </w:rPr>
        <w:t>评定，</w:t>
      </w:r>
      <w:r>
        <w:rPr>
          <w:rFonts w:ascii="宋体" w:hAnsi="宋体" w:eastAsia="宋体"/>
          <w:sz w:val="24"/>
          <w:highlight w:val="none"/>
          <w:u w:val="single"/>
        </w:rPr>
        <w:t xml:space="preserve">   （中标供应商名称） </w:t>
      </w:r>
      <w:r>
        <w:rPr>
          <w:rFonts w:hint="eastAsia" w:ascii="宋体" w:hAnsi="宋体" w:eastAsia="宋体"/>
          <w:sz w:val="24"/>
          <w:highlight w:val="none"/>
        </w:rPr>
        <w:t>为该项目中标供应商。现于中标通知书发出之日起10个工作日内，按照采购文件确定的事项签订本合同。</w:t>
      </w:r>
    </w:p>
    <w:p w14:paraId="2B3B4FF2">
      <w:pPr>
        <w:spacing w:line="560" w:lineRule="exact"/>
        <w:ind w:firstLine="480" w:firstLineChars="200"/>
        <w:rPr>
          <w:rFonts w:ascii="宋体" w:hAnsi="宋体" w:eastAsia="宋体"/>
          <w:sz w:val="24"/>
          <w:highlight w:val="none"/>
        </w:rPr>
      </w:pPr>
      <w:r>
        <w:rPr>
          <w:rFonts w:hint="eastAsia" w:ascii="宋体" w:hAnsi="宋体" w:eastAsia="宋体"/>
          <w:sz w:val="24"/>
          <w:highlight w:val="none"/>
          <w:lang w:val="zh-CN"/>
        </w:rPr>
        <w:t>根据《中华人民共和国民法典》《中华人民共和国政府采购法》等相关法律法规之规定，按照平等、自愿、公平和诚实信用的原则，经</w:t>
      </w:r>
      <w:r>
        <w:rPr>
          <w:rFonts w:ascii="宋体" w:hAnsi="宋体" w:eastAsia="宋体"/>
          <w:sz w:val="24"/>
          <w:highlight w:val="none"/>
          <w:u w:val="single"/>
        </w:rPr>
        <w:t xml:space="preserve">   </w:t>
      </w:r>
      <w:r>
        <w:rPr>
          <w:rFonts w:ascii="宋体" w:hAnsi="宋体" w:eastAsia="宋体"/>
          <w:color w:val="0000FF"/>
          <w:sz w:val="24"/>
          <w:highlight w:val="none"/>
          <w:u w:val="single"/>
        </w:rPr>
        <w:t xml:space="preserve">（采购人） </w:t>
      </w:r>
      <w:r>
        <w:rPr>
          <w:rFonts w:ascii="宋体" w:hAnsi="宋体" w:eastAsia="宋体"/>
          <w:sz w:val="24"/>
          <w:highlight w:val="none"/>
          <w:u w:val="single"/>
        </w:rPr>
        <w:t xml:space="preserve">  </w:t>
      </w:r>
      <w:r>
        <w:rPr>
          <w:rFonts w:ascii="宋体" w:hAnsi="宋体" w:eastAsia="宋体"/>
          <w:sz w:val="24"/>
          <w:highlight w:val="none"/>
          <w:lang w:val="zh-CN"/>
        </w:rPr>
        <w:t>(以下简称：甲方)和</w:t>
      </w:r>
      <w:r>
        <w:rPr>
          <w:rFonts w:ascii="宋体" w:hAnsi="宋体" w:eastAsia="宋体"/>
          <w:sz w:val="24"/>
          <w:highlight w:val="none"/>
          <w:u w:val="single"/>
        </w:rPr>
        <w:t xml:space="preserve">   （中标供应商名称）   </w:t>
      </w:r>
      <w:r>
        <w:rPr>
          <w:rFonts w:ascii="宋体" w:hAnsi="宋体" w:eastAsia="宋体"/>
          <w:sz w:val="24"/>
          <w:highlight w:val="none"/>
          <w:lang w:val="zh-CN"/>
        </w:rPr>
        <w:t>(以下简称：乙方)协商一致，约定以下合同</w:t>
      </w:r>
      <w:r>
        <w:rPr>
          <w:rFonts w:hint="eastAsia" w:ascii="宋体" w:hAnsi="宋体" w:eastAsia="宋体"/>
          <w:sz w:val="24"/>
          <w:highlight w:val="none"/>
        </w:rPr>
        <w:t>条款，以兹共同遵守、全面履行。</w:t>
      </w:r>
    </w:p>
    <w:p w14:paraId="07A69CDD">
      <w:pPr>
        <w:spacing w:line="560" w:lineRule="exact"/>
        <w:ind w:firstLine="482" w:firstLineChars="200"/>
        <w:outlineLvl w:val="1"/>
        <w:rPr>
          <w:rFonts w:ascii="宋体" w:hAnsi="宋体" w:eastAsia="宋体"/>
          <w:sz w:val="24"/>
          <w:highlight w:val="none"/>
        </w:rPr>
      </w:pPr>
      <w:bookmarkStart w:id="387" w:name="_Toc28855"/>
      <w:bookmarkStart w:id="388" w:name="_Toc19273"/>
      <w:bookmarkStart w:id="389" w:name="_Toc20421"/>
      <w:bookmarkStart w:id="390" w:name="_Toc22967"/>
      <w:bookmarkStart w:id="391" w:name="_Toc15367"/>
      <w:r>
        <w:rPr>
          <w:rFonts w:ascii="宋体" w:hAnsi="宋体" w:eastAsia="宋体"/>
          <w:b/>
          <w:sz w:val="24"/>
          <w:highlight w:val="none"/>
        </w:rPr>
        <w:t xml:space="preserve">1.1 </w:t>
      </w:r>
      <w:r>
        <w:rPr>
          <w:rFonts w:hint="eastAsia" w:ascii="宋体" w:hAnsi="宋体" w:eastAsia="宋体"/>
          <w:b/>
          <w:sz w:val="24"/>
          <w:highlight w:val="none"/>
        </w:rPr>
        <w:t>合同组成部分</w:t>
      </w:r>
      <w:bookmarkEnd w:id="387"/>
      <w:bookmarkEnd w:id="388"/>
      <w:bookmarkEnd w:id="389"/>
      <w:bookmarkEnd w:id="390"/>
      <w:bookmarkEnd w:id="391"/>
    </w:p>
    <w:p w14:paraId="3514442D">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B700C2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1.1.1 </w:t>
      </w:r>
      <w:r>
        <w:rPr>
          <w:rFonts w:hint="eastAsia" w:ascii="宋体" w:hAnsi="宋体" w:eastAsia="宋体"/>
          <w:sz w:val="24"/>
          <w:highlight w:val="none"/>
        </w:rPr>
        <w:t>本合同及其补充合同、变更协议；</w:t>
      </w:r>
    </w:p>
    <w:p w14:paraId="2F4F5A8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1.1.2 </w:t>
      </w:r>
      <w:r>
        <w:rPr>
          <w:rFonts w:hint="eastAsia" w:ascii="宋体" w:hAnsi="宋体" w:eastAsia="宋体"/>
          <w:sz w:val="24"/>
          <w:highlight w:val="none"/>
        </w:rPr>
        <w:t>中标通知书；</w:t>
      </w:r>
    </w:p>
    <w:p w14:paraId="6112162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1.1.3 </w:t>
      </w:r>
      <w:r>
        <w:rPr>
          <w:rFonts w:hint="eastAsia" w:ascii="宋体" w:hAnsi="宋体" w:eastAsia="宋体"/>
          <w:sz w:val="24"/>
          <w:highlight w:val="none"/>
        </w:rPr>
        <w:t>投标文件（含澄清或者说明文件）；</w:t>
      </w:r>
    </w:p>
    <w:p w14:paraId="22D9D97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1.1.4 </w:t>
      </w:r>
      <w:r>
        <w:rPr>
          <w:rFonts w:hint="eastAsia" w:ascii="宋体" w:hAnsi="宋体" w:eastAsia="宋体"/>
          <w:sz w:val="24"/>
          <w:highlight w:val="none"/>
        </w:rPr>
        <w:t>招标文件（含澄清或者修改文件）；</w:t>
      </w:r>
    </w:p>
    <w:p w14:paraId="1F87D94F">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1.1.5 </w:t>
      </w:r>
      <w:r>
        <w:rPr>
          <w:rFonts w:hint="eastAsia" w:ascii="宋体" w:hAnsi="宋体" w:eastAsia="宋体"/>
          <w:sz w:val="24"/>
          <w:highlight w:val="none"/>
        </w:rPr>
        <w:t>其他相关采购文件。</w:t>
      </w:r>
    </w:p>
    <w:p w14:paraId="604759F5">
      <w:pPr>
        <w:spacing w:line="560" w:lineRule="exact"/>
        <w:ind w:firstLine="482" w:firstLineChars="200"/>
        <w:outlineLvl w:val="1"/>
        <w:rPr>
          <w:rFonts w:ascii="宋体" w:hAnsi="宋体" w:eastAsia="宋体"/>
          <w:b/>
          <w:sz w:val="24"/>
          <w:highlight w:val="none"/>
        </w:rPr>
      </w:pPr>
      <w:bookmarkStart w:id="392" w:name="_Toc6311"/>
      <w:bookmarkStart w:id="393" w:name="_Toc6773"/>
      <w:bookmarkStart w:id="394" w:name="_Toc18585"/>
      <w:bookmarkStart w:id="395" w:name="_Toc2918"/>
      <w:bookmarkStart w:id="396" w:name="_Toc22185"/>
      <w:r>
        <w:rPr>
          <w:rFonts w:ascii="宋体" w:hAnsi="宋体" w:eastAsia="宋体"/>
          <w:b/>
          <w:sz w:val="24"/>
          <w:highlight w:val="none"/>
        </w:rPr>
        <w:t xml:space="preserve">1.2 </w:t>
      </w:r>
      <w:r>
        <w:rPr>
          <w:rFonts w:hint="eastAsia" w:ascii="宋体" w:hAnsi="宋体" w:eastAsia="宋体"/>
          <w:b/>
          <w:sz w:val="24"/>
          <w:highlight w:val="none"/>
        </w:rPr>
        <w:t>标的</w:t>
      </w:r>
      <w:bookmarkEnd w:id="392"/>
      <w:bookmarkEnd w:id="393"/>
      <w:bookmarkEnd w:id="394"/>
      <w:bookmarkEnd w:id="395"/>
      <w:bookmarkEnd w:id="396"/>
    </w:p>
    <w:p w14:paraId="10932149">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1.2.1 </w:t>
      </w:r>
      <w:r>
        <w:rPr>
          <w:rFonts w:hint="eastAsia" w:ascii="宋体" w:hAnsi="宋体" w:eastAsia="宋体"/>
          <w:sz w:val="24"/>
          <w:highlight w:val="none"/>
        </w:rPr>
        <w:t>标的</w:t>
      </w:r>
      <w:r>
        <w:rPr>
          <w:rFonts w:ascii="宋体" w:hAnsi="宋体" w:eastAsia="宋体"/>
          <w:sz w:val="24"/>
          <w:highlight w:val="none"/>
        </w:rPr>
        <w:t>名称：</w:t>
      </w:r>
      <w:r>
        <w:rPr>
          <w:rFonts w:ascii="宋体" w:hAnsi="宋体" w:eastAsia="宋体"/>
          <w:sz w:val="24"/>
          <w:highlight w:val="none"/>
          <w:u w:val="single"/>
        </w:rPr>
        <w:t xml:space="preserve">                                                </w:t>
      </w:r>
      <w:r>
        <w:rPr>
          <w:rFonts w:hint="eastAsia" w:ascii="宋体" w:hAnsi="宋体" w:eastAsia="宋体"/>
          <w:sz w:val="24"/>
          <w:highlight w:val="none"/>
        </w:rPr>
        <w:t>；</w:t>
      </w:r>
    </w:p>
    <w:p w14:paraId="5DBADF2D">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1.2.2 </w:t>
      </w:r>
      <w:r>
        <w:rPr>
          <w:rFonts w:hint="eastAsia" w:ascii="宋体" w:hAnsi="宋体" w:eastAsia="宋体"/>
          <w:sz w:val="24"/>
          <w:highlight w:val="none"/>
        </w:rPr>
        <w:t>标的</w:t>
      </w:r>
      <w:r>
        <w:rPr>
          <w:rFonts w:ascii="宋体" w:hAnsi="宋体" w:eastAsia="宋体"/>
          <w:sz w:val="24"/>
          <w:highlight w:val="none"/>
        </w:rPr>
        <w:t>数量：</w:t>
      </w:r>
      <w:r>
        <w:rPr>
          <w:rFonts w:ascii="宋体" w:hAnsi="宋体" w:eastAsia="宋体"/>
          <w:sz w:val="24"/>
          <w:highlight w:val="none"/>
          <w:u w:val="single"/>
        </w:rPr>
        <w:t xml:space="preserve">                                                </w:t>
      </w:r>
      <w:r>
        <w:rPr>
          <w:rFonts w:hint="eastAsia" w:ascii="宋体" w:hAnsi="宋体" w:eastAsia="宋体"/>
          <w:sz w:val="24"/>
          <w:highlight w:val="none"/>
        </w:rPr>
        <w:t>；</w:t>
      </w:r>
    </w:p>
    <w:p w14:paraId="4A9E486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1.2.3 </w:t>
      </w:r>
      <w:r>
        <w:rPr>
          <w:rFonts w:hint="eastAsia" w:ascii="宋体" w:hAnsi="宋体" w:eastAsia="宋体"/>
          <w:sz w:val="24"/>
          <w:highlight w:val="none"/>
        </w:rPr>
        <w:t>标的质量：</w:t>
      </w:r>
      <w:r>
        <w:rPr>
          <w:rFonts w:ascii="宋体" w:hAnsi="宋体" w:eastAsia="宋体"/>
          <w:sz w:val="24"/>
          <w:highlight w:val="none"/>
          <w:u w:val="single"/>
        </w:rPr>
        <w:t xml:space="preserve">　　　　　　　　　                      　      </w:t>
      </w:r>
      <w:r>
        <w:rPr>
          <w:rFonts w:hint="eastAsia" w:ascii="宋体" w:hAnsi="宋体" w:eastAsia="宋体"/>
          <w:sz w:val="24"/>
          <w:highlight w:val="none"/>
        </w:rPr>
        <w:t>。</w:t>
      </w:r>
    </w:p>
    <w:p w14:paraId="4D6768CB">
      <w:pPr>
        <w:spacing w:line="560" w:lineRule="exact"/>
        <w:ind w:firstLine="482" w:firstLineChars="200"/>
        <w:outlineLvl w:val="1"/>
        <w:rPr>
          <w:rFonts w:ascii="宋体" w:hAnsi="宋体" w:eastAsia="宋体"/>
          <w:b/>
          <w:sz w:val="24"/>
          <w:highlight w:val="none"/>
        </w:rPr>
      </w:pPr>
      <w:bookmarkStart w:id="397" w:name="_Toc1386"/>
      <w:bookmarkStart w:id="398" w:name="_Toc5635"/>
      <w:bookmarkStart w:id="399" w:name="_Toc4929"/>
      <w:bookmarkStart w:id="400" w:name="_Toc21124"/>
      <w:bookmarkStart w:id="401" w:name="_Toc13918"/>
      <w:r>
        <w:rPr>
          <w:rFonts w:ascii="宋体" w:hAnsi="宋体" w:eastAsia="宋体"/>
          <w:b/>
          <w:sz w:val="24"/>
          <w:highlight w:val="none"/>
        </w:rPr>
        <w:t>1.3 价款</w:t>
      </w:r>
      <w:bookmarkEnd w:id="397"/>
      <w:bookmarkEnd w:id="398"/>
      <w:bookmarkEnd w:id="399"/>
      <w:bookmarkEnd w:id="400"/>
      <w:bookmarkEnd w:id="401"/>
    </w:p>
    <w:p w14:paraId="1195EBE1">
      <w:pPr>
        <w:spacing w:line="560" w:lineRule="exact"/>
        <w:ind w:firstLine="480" w:firstLineChars="200"/>
        <w:rPr>
          <w:rFonts w:ascii="宋体" w:hAnsi="宋体" w:eastAsia="宋体"/>
          <w:sz w:val="24"/>
          <w:highlight w:val="none"/>
        </w:rPr>
      </w:pPr>
      <w:r>
        <w:rPr>
          <w:rFonts w:ascii="宋体" w:hAnsi="宋体" w:eastAsia="宋体"/>
          <w:sz w:val="24"/>
          <w:highlight w:val="none"/>
        </w:rPr>
        <w:t>本合同总价为</w:t>
      </w:r>
      <w:r>
        <w:rPr>
          <w:rFonts w:hint="eastAsia" w:ascii="宋体" w:hAnsi="宋体" w:eastAsia="宋体"/>
          <w:sz w:val="24"/>
          <w:highlight w:val="none"/>
        </w:rPr>
        <w:t>：￥</w:t>
      </w:r>
      <w:r>
        <w:rPr>
          <w:rFonts w:ascii="宋体" w:hAnsi="宋体" w:eastAsia="宋体"/>
          <w:sz w:val="24"/>
          <w:highlight w:val="none"/>
          <w:u w:val="single"/>
        </w:rPr>
        <w:t xml:space="preserve">           </w:t>
      </w:r>
      <w:r>
        <w:rPr>
          <w:rFonts w:ascii="宋体" w:hAnsi="宋体" w:eastAsia="宋体"/>
          <w:sz w:val="24"/>
          <w:highlight w:val="none"/>
        </w:rPr>
        <w:t>元</w:t>
      </w:r>
      <w:r>
        <w:rPr>
          <w:rFonts w:hint="eastAsia" w:ascii="宋体" w:hAnsi="宋体" w:eastAsia="宋体"/>
          <w:sz w:val="24"/>
          <w:highlight w:val="none"/>
        </w:rPr>
        <w:t>（大写：</w:t>
      </w:r>
      <w:r>
        <w:rPr>
          <w:rFonts w:ascii="宋体" w:hAnsi="宋体" w:eastAsia="宋体"/>
          <w:sz w:val="24"/>
          <w:highlight w:val="none"/>
          <w:u w:val="single"/>
        </w:rPr>
        <w:t xml:space="preserve">                 </w:t>
      </w:r>
      <w:r>
        <w:rPr>
          <w:rFonts w:hint="eastAsia" w:ascii="宋体" w:hAnsi="宋体" w:eastAsia="宋体"/>
          <w:sz w:val="24"/>
          <w:highlight w:val="none"/>
        </w:rPr>
        <w:t>元人民币）</w:t>
      </w:r>
      <w:r>
        <w:rPr>
          <w:rFonts w:ascii="宋体" w:hAnsi="宋体" w:eastAsia="宋体"/>
          <w:sz w:val="24"/>
          <w:highlight w:val="none"/>
        </w:rPr>
        <w:t>。</w:t>
      </w:r>
    </w:p>
    <w:p w14:paraId="3CC46D5E">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40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E521C9C">
            <w:pPr>
              <w:pStyle w:val="118"/>
              <w:spacing w:before="0" w:beforeAutospacing="0" w:after="0" w:afterAutospacing="0" w:line="560" w:lineRule="exact"/>
              <w:ind w:left="0" w:right="0"/>
              <w:jc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序号</w:t>
            </w:r>
          </w:p>
        </w:tc>
        <w:tc>
          <w:tcPr>
            <w:tcW w:w="3402" w:type="dxa"/>
            <w:vAlign w:val="center"/>
          </w:tcPr>
          <w:p w14:paraId="51F2F711">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分项名称</w:t>
            </w:r>
          </w:p>
        </w:tc>
        <w:tc>
          <w:tcPr>
            <w:tcW w:w="2552" w:type="dxa"/>
            <w:vAlign w:val="center"/>
          </w:tcPr>
          <w:p w14:paraId="03A7C803">
            <w:pPr>
              <w:pStyle w:val="118"/>
              <w:spacing w:before="0" w:beforeAutospacing="0" w:after="0" w:afterAutospacing="0" w:line="560" w:lineRule="exact"/>
              <w:ind w:left="0" w:right="0"/>
              <w:jc w:val="center"/>
              <w:rPr>
                <w:rFonts w:hint="default" w:ascii="宋体" w:hAnsi="宋体" w:eastAsia="宋体" w:cs="Times New Roman"/>
                <w:sz w:val="24"/>
                <w:szCs w:val="24"/>
                <w:highlight w:val="none"/>
              </w:rPr>
            </w:pPr>
            <w:r>
              <w:rPr>
                <w:rFonts w:hint="default" w:ascii="宋体" w:hAnsi="宋体" w:eastAsia="宋体" w:cs="Times New Roman"/>
                <w:sz w:val="24"/>
                <w:szCs w:val="24"/>
                <w:highlight w:val="none"/>
              </w:rPr>
              <w:t>分项价格</w:t>
            </w:r>
          </w:p>
        </w:tc>
      </w:tr>
    </w:tbl>
    <w:p w14:paraId="2076E668">
      <w:pPr>
        <w:rPr>
          <w:highlight w:val="none"/>
        </w:rPr>
        <w:sectPr>
          <w:headerReference r:id="rId14" w:type="first"/>
          <w:footerReference r:id="rId16" w:type="first"/>
          <w:headerReference r:id="rId13" w:type="default"/>
          <w:footerReference r:id="rId15" w:type="default"/>
          <w:pgSz w:w="11905" w:h="16838"/>
          <w:pgMar w:top="1247" w:right="1417" w:bottom="1276" w:left="1417" w:header="851" w:footer="992" w:gutter="0"/>
          <w:pgNumType w:fmt="decimal" w:start="36"/>
          <w:cols w:space="720" w:num="1"/>
          <w:titlePg/>
          <w:rtlGutter w:val="0"/>
          <w:docGrid w:linePitch="312" w:charSpace="0"/>
        </w:sectPr>
      </w:pP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00B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2B68FD">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33EBBCA6">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3E573F2C">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3D50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E93B693">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0E87EFC8">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579B2163">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7F1A2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69A5EE5">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2D35B3C6">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3396E227">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3CE26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0226D0C">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3402" w:type="dxa"/>
            <w:vAlign w:val="center"/>
          </w:tcPr>
          <w:p w14:paraId="285FD84B">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c>
          <w:tcPr>
            <w:tcW w:w="2552" w:type="dxa"/>
            <w:vAlign w:val="center"/>
          </w:tcPr>
          <w:p w14:paraId="4B08F180">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r w14:paraId="1CD00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75611E5D">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r>
              <w:rPr>
                <w:rFonts w:hint="eastAsia" w:ascii="宋体" w:hAnsi="宋体" w:eastAsia="宋体" w:cs="Times New Roman"/>
                <w:sz w:val="24"/>
                <w:szCs w:val="24"/>
                <w:highlight w:val="none"/>
              </w:rPr>
              <w:t>总价</w:t>
            </w:r>
          </w:p>
        </w:tc>
        <w:tc>
          <w:tcPr>
            <w:tcW w:w="2552" w:type="dxa"/>
            <w:vAlign w:val="center"/>
          </w:tcPr>
          <w:p w14:paraId="303F39B7">
            <w:pPr>
              <w:pStyle w:val="118"/>
              <w:spacing w:before="0" w:beforeAutospacing="0" w:after="0" w:afterAutospacing="0" w:line="560" w:lineRule="exact"/>
              <w:ind w:left="0" w:right="0" w:firstLine="200"/>
              <w:jc w:val="center"/>
              <w:rPr>
                <w:rFonts w:hint="default" w:ascii="宋体" w:hAnsi="宋体" w:eastAsia="宋体" w:cs="Times New Roman"/>
                <w:sz w:val="24"/>
                <w:szCs w:val="24"/>
                <w:highlight w:val="none"/>
              </w:rPr>
            </w:pPr>
          </w:p>
        </w:tc>
      </w:tr>
    </w:tbl>
    <w:p w14:paraId="6434C815">
      <w:pPr>
        <w:spacing w:line="560" w:lineRule="exact"/>
        <w:ind w:firstLine="482" w:firstLineChars="200"/>
        <w:outlineLvl w:val="1"/>
        <w:rPr>
          <w:rFonts w:ascii="宋体" w:hAnsi="宋体" w:eastAsia="宋体"/>
          <w:b/>
          <w:sz w:val="24"/>
          <w:highlight w:val="none"/>
        </w:rPr>
      </w:pPr>
      <w:bookmarkStart w:id="402" w:name="_Toc14993"/>
      <w:bookmarkStart w:id="403" w:name="_Toc30158"/>
      <w:bookmarkStart w:id="404" w:name="_Toc30506"/>
      <w:bookmarkStart w:id="405" w:name="_Toc3654"/>
      <w:bookmarkStart w:id="406" w:name="_Toc26916"/>
      <w:r>
        <w:rPr>
          <w:rFonts w:ascii="宋体" w:hAnsi="宋体" w:eastAsia="宋体"/>
          <w:b/>
          <w:sz w:val="24"/>
          <w:highlight w:val="none"/>
        </w:rPr>
        <w:t>1.4 付款方式</w:t>
      </w:r>
      <w:bookmarkEnd w:id="402"/>
      <w:bookmarkEnd w:id="403"/>
      <w:bookmarkEnd w:id="404"/>
      <w:bookmarkEnd w:id="405"/>
      <w:bookmarkEnd w:id="406"/>
    </w:p>
    <w:p w14:paraId="161B4CD2">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（1）合同签订后，甲方收到乙方支付凭证7个工作日内、且财政资金具备支付条件前提下，向乙方支付合同总额的50%。</w:t>
      </w:r>
    </w:p>
    <w:p w14:paraId="2B0FD2C2">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（2）项目初验后，甲方收到乙方支付凭证7个工作日内、且财政资金具备支付条件前提下，向乙方支付合同总额的30%。</w:t>
      </w:r>
    </w:p>
    <w:p w14:paraId="6BDBB86D">
      <w:pPr>
        <w:widowControl/>
        <w:wordWrap/>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（3）项目终验后，甲方收到乙方支付凭证7个工作日内、且财政资金具备支付条件前提下，向乙方支付合同总额的15%。</w:t>
      </w:r>
    </w:p>
    <w:p w14:paraId="59D1D358">
      <w:pPr>
        <w:widowControl/>
        <w:spacing w:before="0" w:beforeAutospacing="0" w:after="0" w:afterAutospacing="0" w:line="360" w:lineRule="auto"/>
        <w:ind w:firstLine="480" w:firstLineChars="200"/>
        <w:rPr>
          <w:rFonts w:ascii="宋体" w:hAnsi="宋体" w:eastAsia="宋体" w:cs="Times New Roman"/>
          <w:highlight w:val="none"/>
        </w:rPr>
      </w:pPr>
      <w:r>
        <w:rPr>
          <w:rFonts w:hint="eastAsia" w:ascii="宋体" w:hAnsi="宋体" w:eastAsia="宋体" w:cs="宋体"/>
          <w:sz w:val="24"/>
          <w:szCs w:val="24"/>
          <w:highlight w:val="none"/>
        </w:rPr>
        <w:t>（4）项目质保期后，甲方收到乙方支付凭证7个工作日内、且财政资金具备支付条件前提下，向乙方支付合同总额的5%。</w:t>
      </w:r>
    </w:p>
    <w:p w14:paraId="06154198">
      <w:pPr>
        <w:spacing w:line="560" w:lineRule="exact"/>
        <w:ind w:firstLine="482" w:firstLineChars="200"/>
        <w:outlineLvl w:val="1"/>
        <w:rPr>
          <w:rFonts w:ascii="宋体" w:hAnsi="宋体" w:eastAsia="宋体"/>
          <w:b/>
          <w:sz w:val="24"/>
          <w:highlight w:val="none"/>
        </w:rPr>
      </w:pPr>
      <w:bookmarkStart w:id="407" w:name="_Toc3625"/>
      <w:bookmarkStart w:id="408" w:name="_Toc4760"/>
      <w:bookmarkStart w:id="409" w:name="_Toc8772"/>
      <w:bookmarkStart w:id="410" w:name="_Toc11108"/>
      <w:bookmarkStart w:id="411" w:name="_Toc31421"/>
      <w:r>
        <w:rPr>
          <w:rFonts w:ascii="宋体" w:hAnsi="宋体" w:eastAsia="宋体"/>
          <w:b/>
          <w:sz w:val="24"/>
          <w:highlight w:val="none"/>
        </w:rPr>
        <w:t>1.5 履行期限</w:t>
      </w:r>
      <w:r>
        <w:rPr>
          <w:rFonts w:hint="eastAsia" w:ascii="宋体" w:hAnsi="宋体" w:eastAsia="宋体"/>
          <w:b/>
          <w:sz w:val="24"/>
          <w:highlight w:val="none"/>
        </w:rPr>
        <w:t>、地点和方式</w:t>
      </w:r>
      <w:bookmarkEnd w:id="407"/>
      <w:bookmarkEnd w:id="408"/>
      <w:bookmarkEnd w:id="409"/>
      <w:bookmarkEnd w:id="410"/>
      <w:bookmarkEnd w:id="411"/>
    </w:p>
    <w:p w14:paraId="0C695AFD">
      <w:pPr>
        <w:spacing w:line="560" w:lineRule="exact"/>
        <w:ind w:firstLine="480" w:firstLineChars="200"/>
        <w:rPr>
          <w:rFonts w:ascii="宋体" w:hAnsi="宋体" w:eastAsia="宋体"/>
          <w:sz w:val="24"/>
          <w:highlight w:val="none"/>
          <w:u w:val="single"/>
        </w:rPr>
      </w:pPr>
      <w:r>
        <w:rPr>
          <w:rFonts w:ascii="宋体" w:hAnsi="宋体" w:eastAsia="宋体"/>
          <w:sz w:val="24"/>
          <w:highlight w:val="none"/>
        </w:rPr>
        <w:t xml:space="preserve">1.5.1 </w:t>
      </w:r>
      <w:r>
        <w:rPr>
          <w:rFonts w:hint="eastAsia" w:ascii="宋体" w:hAnsi="宋体" w:eastAsia="宋体"/>
          <w:sz w:val="24"/>
          <w:highlight w:val="none"/>
        </w:rPr>
        <w:t>履行期限</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2809C2E1">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1.5.2 </w:t>
      </w:r>
      <w:r>
        <w:rPr>
          <w:rFonts w:hint="eastAsia" w:ascii="宋体" w:hAnsi="宋体" w:eastAsia="宋体"/>
          <w:sz w:val="24"/>
          <w:highlight w:val="none"/>
        </w:rPr>
        <w:t>履行地点</w:t>
      </w:r>
      <w:r>
        <w:rPr>
          <w:rFonts w:ascii="宋体" w:hAnsi="宋体" w:eastAsia="宋体"/>
          <w:sz w:val="24"/>
          <w:highlight w:val="none"/>
        </w:rPr>
        <w:t>：</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0320FC0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1.5.3 </w:t>
      </w:r>
      <w:r>
        <w:rPr>
          <w:rFonts w:hint="eastAsia" w:ascii="宋体" w:hAnsi="宋体" w:eastAsia="宋体"/>
          <w:sz w:val="24"/>
          <w:highlight w:val="none"/>
        </w:rPr>
        <w:t>履行方式：</w:t>
      </w:r>
      <w:r>
        <w:rPr>
          <w:rFonts w:hint="eastAsia" w:ascii="宋体" w:hAnsi="宋体" w:eastAsia="宋体"/>
          <w:b/>
          <w:i/>
          <w:sz w:val="24"/>
          <w:highlight w:val="none"/>
          <w:u w:val="single"/>
        </w:rPr>
        <w:t>合同专用条款</w:t>
      </w:r>
      <w:r>
        <w:rPr>
          <w:rFonts w:hint="eastAsia" w:ascii="宋体" w:hAnsi="宋体" w:eastAsia="宋体"/>
          <w:sz w:val="24"/>
          <w:highlight w:val="none"/>
        </w:rPr>
        <w:t>。</w:t>
      </w:r>
    </w:p>
    <w:p w14:paraId="217E89D4">
      <w:pPr>
        <w:spacing w:line="560" w:lineRule="exact"/>
        <w:ind w:firstLine="482" w:firstLineChars="200"/>
        <w:outlineLvl w:val="1"/>
        <w:rPr>
          <w:rFonts w:ascii="宋体" w:hAnsi="宋体" w:eastAsia="宋体"/>
          <w:sz w:val="24"/>
          <w:highlight w:val="none"/>
          <w:u w:val="single"/>
        </w:rPr>
      </w:pPr>
      <w:bookmarkStart w:id="412" w:name="_Toc3079"/>
      <w:bookmarkStart w:id="413" w:name="_Toc2375"/>
      <w:bookmarkStart w:id="414" w:name="_Toc5698"/>
      <w:bookmarkStart w:id="415" w:name="_Toc8586"/>
      <w:bookmarkStart w:id="416" w:name="_Toc24662"/>
      <w:r>
        <w:rPr>
          <w:rFonts w:ascii="宋体" w:hAnsi="宋体" w:eastAsia="宋体"/>
          <w:b/>
          <w:sz w:val="24"/>
          <w:highlight w:val="none"/>
        </w:rPr>
        <w:t xml:space="preserve">1.6 </w:t>
      </w:r>
      <w:r>
        <w:rPr>
          <w:rFonts w:hint="eastAsia" w:ascii="宋体" w:hAnsi="宋体" w:eastAsia="宋体"/>
          <w:b/>
          <w:sz w:val="24"/>
          <w:highlight w:val="none"/>
        </w:rPr>
        <w:t>违约责任</w:t>
      </w:r>
      <w:bookmarkEnd w:id="412"/>
      <w:bookmarkEnd w:id="413"/>
      <w:bookmarkEnd w:id="414"/>
      <w:bookmarkEnd w:id="415"/>
      <w:bookmarkEnd w:id="416"/>
    </w:p>
    <w:p w14:paraId="284A97D6">
      <w:pPr>
        <w:spacing w:line="560" w:lineRule="exact"/>
        <w:ind w:firstLine="480" w:firstLineChars="200"/>
        <w:rPr>
          <w:rFonts w:ascii="宋体" w:hAnsi="宋体" w:eastAsia="宋体"/>
          <w:sz w:val="24"/>
          <w:highlight w:val="none"/>
        </w:rPr>
      </w:pPr>
      <w:r>
        <w:rPr>
          <w:rFonts w:ascii="宋体" w:hAnsi="宋体" w:eastAsia="宋体"/>
          <w:sz w:val="24"/>
          <w:highlight w:val="none"/>
        </w:rPr>
        <w:t>1.6.1 除不可抗力外，如果乙方没有按照本合同约定的期限</w:t>
      </w:r>
      <w:r>
        <w:rPr>
          <w:rFonts w:hint="eastAsia" w:ascii="宋体" w:hAnsi="宋体" w:eastAsia="宋体"/>
          <w:sz w:val="24"/>
          <w:highlight w:val="none"/>
        </w:rPr>
        <w:t>、</w:t>
      </w:r>
      <w:r>
        <w:rPr>
          <w:rFonts w:ascii="宋体" w:hAnsi="宋体" w:eastAsia="宋体"/>
          <w:sz w:val="24"/>
          <w:highlight w:val="none"/>
        </w:rPr>
        <w:t>地点和方式</w:t>
      </w:r>
      <w:r>
        <w:rPr>
          <w:rFonts w:hint="eastAsia" w:ascii="宋体" w:hAnsi="宋体" w:eastAsia="宋体"/>
          <w:sz w:val="24"/>
          <w:highlight w:val="none"/>
        </w:rPr>
        <w:t>履行</w:t>
      </w:r>
      <w:r>
        <w:rPr>
          <w:rFonts w:ascii="宋体" w:hAnsi="宋体" w:eastAsia="宋体"/>
          <w:sz w:val="24"/>
          <w:highlight w:val="none"/>
        </w:rPr>
        <w:t>，那么甲方可要求乙方支付违约金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履行</w:t>
      </w:r>
      <w:r>
        <w:rPr>
          <w:rFonts w:ascii="宋体" w:hAnsi="宋体" w:eastAsia="宋体"/>
          <w:sz w:val="24"/>
          <w:highlight w:val="none"/>
        </w:rPr>
        <w:t>一日的应提供而未</w:t>
      </w:r>
      <w:r>
        <w:rPr>
          <w:rFonts w:hint="eastAsia" w:ascii="宋体" w:hAnsi="宋体" w:eastAsia="宋体"/>
          <w:sz w:val="24"/>
          <w:highlight w:val="none"/>
        </w:rPr>
        <w:t>提供</w:t>
      </w:r>
      <w:r>
        <w:rPr>
          <w:rFonts w:ascii="宋体" w:hAnsi="宋体" w:eastAsia="宋体"/>
          <w:sz w:val="24"/>
          <w:highlight w:val="none"/>
        </w:rPr>
        <w:t>服务价格的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履行</w:t>
      </w:r>
      <w:r>
        <w:rPr>
          <w:rFonts w:ascii="宋体" w:hAnsi="宋体" w:eastAsia="宋体"/>
          <w:sz w:val="24"/>
          <w:highlight w:val="none"/>
        </w:rPr>
        <w:t>的违约金计算数额达到前述最高限额之日起</w:t>
      </w:r>
      <w:r>
        <w:rPr>
          <w:rFonts w:hint="eastAsia" w:ascii="宋体" w:hAnsi="宋体" w:eastAsia="宋体"/>
          <w:sz w:val="24"/>
          <w:highlight w:val="none"/>
        </w:rPr>
        <w:t>，</w:t>
      </w:r>
      <w:r>
        <w:rPr>
          <w:rFonts w:ascii="宋体" w:hAnsi="宋体" w:eastAsia="宋体"/>
          <w:sz w:val="24"/>
          <w:highlight w:val="none"/>
        </w:rPr>
        <w:t>甲方有权在要求乙方支付违约金的同时</w:t>
      </w:r>
      <w:r>
        <w:rPr>
          <w:rFonts w:hint="eastAsia" w:ascii="宋体" w:hAnsi="宋体" w:eastAsia="宋体"/>
          <w:sz w:val="24"/>
          <w:highlight w:val="none"/>
        </w:rPr>
        <w:t>，书面通知乙方</w:t>
      </w:r>
      <w:r>
        <w:rPr>
          <w:rFonts w:ascii="宋体" w:hAnsi="宋体" w:eastAsia="宋体"/>
          <w:sz w:val="24"/>
          <w:highlight w:val="none"/>
        </w:rPr>
        <w:t>解除本合同</w:t>
      </w:r>
      <w:r>
        <w:rPr>
          <w:rFonts w:hint="eastAsia" w:ascii="宋体" w:hAnsi="宋体" w:eastAsia="宋体"/>
          <w:sz w:val="24"/>
          <w:highlight w:val="none"/>
        </w:rPr>
        <w:t>；</w:t>
      </w:r>
    </w:p>
    <w:p w14:paraId="49D4C477">
      <w:pPr>
        <w:spacing w:line="560" w:lineRule="exact"/>
        <w:ind w:firstLine="480" w:firstLineChars="200"/>
        <w:rPr>
          <w:rFonts w:ascii="宋体" w:hAnsi="宋体" w:eastAsia="宋体"/>
          <w:sz w:val="24"/>
          <w:highlight w:val="none"/>
        </w:rPr>
      </w:pPr>
      <w:r>
        <w:rPr>
          <w:rFonts w:ascii="宋体" w:hAnsi="宋体" w:eastAsia="宋体"/>
          <w:sz w:val="24"/>
          <w:highlight w:val="none"/>
        </w:rPr>
        <w:t>1.6.2 除不可抗力外，如果甲方没有按照本合同约定的付款方式付款，那么乙方可要求甲方支付违约金</w:t>
      </w:r>
      <w:r>
        <w:rPr>
          <w:rFonts w:hint="eastAsia" w:ascii="宋体" w:hAnsi="宋体" w:eastAsia="宋体"/>
          <w:sz w:val="24"/>
          <w:highlight w:val="none"/>
        </w:rPr>
        <w:t>，</w:t>
      </w:r>
      <w:r>
        <w:rPr>
          <w:rFonts w:ascii="宋体" w:hAnsi="宋体" w:eastAsia="宋体"/>
          <w:sz w:val="24"/>
          <w:highlight w:val="none"/>
        </w:rPr>
        <w:t>违约金按每迟延</w:t>
      </w:r>
      <w:r>
        <w:rPr>
          <w:rFonts w:hint="eastAsia" w:ascii="宋体" w:hAnsi="宋体" w:eastAsia="宋体"/>
          <w:sz w:val="24"/>
          <w:highlight w:val="none"/>
        </w:rPr>
        <w:t>付款</w:t>
      </w:r>
      <w:r>
        <w:rPr>
          <w:rFonts w:ascii="宋体" w:hAnsi="宋体" w:eastAsia="宋体"/>
          <w:sz w:val="24"/>
          <w:highlight w:val="none"/>
        </w:rPr>
        <w:t>一日的应付而未付款的</w:t>
      </w:r>
      <w:r>
        <w:rPr>
          <w:rFonts w:ascii="宋体" w:hAnsi="宋体" w:eastAsia="宋体"/>
          <w:sz w:val="24"/>
          <w:highlight w:val="none"/>
          <w:u w:val="single"/>
        </w:rPr>
        <w:t xml:space="preserve"> 0.05   </w:t>
      </w:r>
      <w:r>
        <w:rPr>
          <w:rFonts w:ascii="宋体" w:hAnsi="宋体" w:eastAsia="宋体"/>
          <w:sz w:val="24"/>
          <w:highlight w:val="none"/>
        </w:rPr>
        <w:t>%计算</w:t>
      </w:r>
      <w:r>
        <w:rPr>
          <w:rFonts w:hint="eastAsia" w:ascii="宋体" w:hAnsi="宋体" w:eastAsia="宋体"/>
          <w:sz w:val="24"/>
          <w:highlight w:val="none"/>
        </w:rPr>
        <w:t>，</w:t>
      </w:r>
      <w:r>
        <w:rPr>
          <w:rFonts w:ascii="宋体" w:hAnsi="宋体" w:eastAsia="宋体"/>
          <w:sz w:val="24"/>
          <w:highlight w:val="none"/>
        </w:rPr>
        <w:t>最高限额为</w:t>
      </w:r>
      <w:r>
        <w:rPr>
          <w:rFonts w:hint="eastAsia" w:ascii="宋体" w:hAnsi="宋体" w:eastAsia="宋体"/>
          <w:sz w:val="24"/>
          <w:highlight w:val="none"/>
        </w:rPr>
        <w:t>本</w:t>
      </w:r>
      <w:r>
        <w:rPr>
          <w:rFonts w:ascii="宋体" w:hAnsi="宋体" w:eastAsia="宋体"/>
          <w:sz w:val="24"/>
          <w:highlight w:val="none"/>
        </w:rPr>
        <w:t>合同总价的</w:t>
      </w:r>
      <w:r>
        <w:rPr>
          <w:rFonts w:ascii="宋体" w:hAnsi="宋体" w:eastAsia="宋体"/>
          <w:sz w:val="24"/>
          <w:highlight w:val="none"/>
          <w:u w:val="single"/>
        </w:rPr>
        <w:t xml:space="preserve">  20   </w:t>
      </w:r>
      <w:r>
        <w:rPr>
          <w:rFonts w:ascii="宋体" w:hAnsi="宋体" w:eastAsia="宋体"/>
          <w:sz w:val="24"/>
          <w:highlight w:val="none"/>
        </w:rPr>
        <w:t>%</w:t>
      </w:r>
      <w:r>
        <w:rPr>
          <w:rFonts w:hint="eastAsia" w:ascii="宋体" w:hAnsi="宋体" w:eastAsia="宋体"/>
          <w:sz w:val="24"/>
          <w:highlight w:val="none"/>
        </w:rPr>
        <w:t>；</w:t>
      </w:r>
      <w:r>
        <w:rPr>
          <w:rFonts w:ascii="宋体" w:hAnsi="宋体" w:eastAsia="宋体"/>
          <w:sz w:val="24"/>
          <w:highlight w:val="none"/>
        </w:rPr>
        <w:t>迟延</w:t>
      </w:r>
      <w:r>
        <w:rPr>
          <w:rFonts w:hint="eastAsia" w:ascii="宋体" w:hAnsi="宋体" w:eastAsia="宋体"/>
          <w:sz w:val="24"/>
          <w:highlight w:val="none"/>
        </w:rPr>
        <w:t>付款</w:t>
      </w:r>
      <w:r>
        <w:rPr>
          <w:rFonts w:ascii="宋体" w:hAnsi="宋体" w:eastAsia="宋体"/>
          <w:sz w:val="24"/>
          <w:highlight w:val="none"/>
        </w:rPr>
        <w:t>的违约金计算数额达到前述最高限额之日起</w:t>
      </w:r>
      <w:r>
        <w:rPr>
          <w:rFonts w:hint="eastAsia" w:ascii="宋体" w:hAnsi="宋体" w:eastAsia="宋体"/>
          <w:sz w:val="24"/>
          <w:highlight w:val="none"/>
        </w:rPr>
        <w:t>，乙</w:t>
      </w:r>
      <w:r>
        <w:rPr>
          <w:rFonts w:ascii="宋体" w:hAnsi="宋体" w:eastAsia="宋体"/>
          <w:sz w:val="24"/>
          <w:highlight w:val="none"/>
        </w:rPr>
        <w:t>方有权在要求甲方支付违约金的同时</w:t>
      </w:r>
      <w:r>
        <w:rPr>
          <w:rFonts w:hint="eastAsia" w:ascii="宋体" w:hAnsi="宋体" w:eastAsia="宋体"/>
          <w:sz w:val="24"/>
          <w:highlight w:val="none"/>
        </w:rPr>
        <w:t>，书面通知甲方</w:t>
      </w:r>
      <w:r>
        <w:rPr>
          <w:rFonts w:ascii="宋体" w:hAnsi="宋体" w:eastAsia="宋体"/>
          <w:sz w:val="24"/>
          <w:highlight w:val="none"/>
        </w:rPr>
        <w:t>解除本合同</w:t>
      </w:r>
      <w:r>
        <w:rPr>
          <w:rFonts w:hint="eastAsia" w:ascii="宋体" w:hAnsi="宋体" w:eastAsia="宋体"/>
          <w:sz w:val="24"/>
          <w:highlight w:val="none"/>
        </w:rPr>
        <w:t>；</w:t>
      </w:r>
    </w:p>
    <w:p w14:paraId="1B9E31E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1.6.3 </w:t>
      </w:r>
      <w:r>
        <w:rPr>
          <w:rFonts w:hint="eastAsia" w:ascii="宋体" w:hAnsi="宋体" w:eastAsia="宋体"/>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908B304">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1.6.4 </w:t>
      </w:r>
      <w:r>
        <w:rPr>
          <w:rFonts w:hint="eastAsia" w:ascii="宋体" w:hAnsi="宋体" w:eastAsia="宋体"/>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0D88E18">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1.6.5 </w:t>
      </w:r>
      <w:r>
        <w:rPr>
          <w:rFonts w:hint="eastAsia" w:ascii="宋体" w:hAnsi="宋体" w:eastAsia="宋体"/>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A599CEC">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1.6.6 </w:t>
      </w:r>
      <w:r>
        <w:rPr>
          <w:rFonts w:hint="eastAsia" w:ascii="宋体" w:hAnsi="宋体" w:eastAsia="宋体"/>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070AEB4D">
      <w:pPr>
        <w:spacing w:line="560" w:lineRule="exact"/>
        <w:ind w:left="-420" w:leftChars="-200" w:right="-420" w:rightChars="-200" w:firstLine="720" w:firstLineChars="300"/>
        <w:rPr>
          <w:rFonts w:ascii="宋体" w:hAnsi="宋体" w:eastAsia="宋体"/>
          <w:highlight w:val="none"/>
        </w:rPr>
      </w:pPr>
      <w:r>
        <w:rPr>
          <w:rFonts w:ascii="宋体" w:hAnsi="宋体" w:eastAsia="宋体"/>
          <w:sz w:val="24"/>
          <w:highlight w:val="none"/>
        </w:rPr>
        <w:t>1.6.7违约责任</w:t>
      </w:r>
      <w:r>
        <w:rPr>
          <w:rFonts w:hint="eastAsia" w:ascii="宋体" w:hAnsi="宋体" w:eastAsia="宋体"/>
          <w:b/>
          <w:i/>
          <w:sz w:val="24"/>
          <w:highlight w:val="none"/>
          <w:u w:val="single"/>
        </w:rPr>
        <w:t>合同专用条款</w:t>
      </w:r>
      <w:r>
        <w:rPr>
          <w:rFonts w:hint="eastAsia" w:ascii="宋体" w:hAnsi="宋体" w:eastAsia="宋体"/>
          <w:sz w:val="24"/>
          <w:highlight w:val="none"/>
        </w:rPr>
        <w:t>另有约定的，从其约定。</w:t>
      </w:r>
    </w:p>
    <w:p w14:paraId="7B0647E2">
      <w:pPr>
        <w:spacing w:line="560" w:lineRule="exact"/>
        <w:ind w:firstLine="482" w:firstLineChars="200"/>
        <w:outlineLvl w:val="1"/>
        <w:rPr>
          <w:rFonts w:ascii="宋体" w:hAnsi="宋体" w:eastAsia="宋体"/>
          <w:b/>
          <w:sz w:val="24"/>
          <w:highlight w:val="none"/>
        </w:rPr>
      </w:pPr>
      <w:bookmarkStart w:id="417" w:name="_Toc32454"/>
      <w:bookmarkStart w:id="418" w:name="_Toc9497"/>
      <w:bookmarkStart w:id="419" w:name="_Toc18683"/>
      <w:bookmarkStart w:id="420" w:name="_Toc30329"/>
      <w:bookmarkStart w:id="421" w:name="_Toc26807"/>
      <w:r>
        <w:rPr>
          <w:rFonts w:ascii="宋体" w:hAnsi="宋体" w:eastAsia="宋体"/>
          <w:b/>
          <w:sz w:val="24"/>
          <w:highlight w:val="none"/>
        </w:rPr>
        <w:t xml:space="preserve">1.7 </w:t>
      </w:r>
      <w:r>
        <w:rPr>
          <w:rFonts w:hint="eastAsia" w:ascii="宋体" w:hAnsi="宋体" w:eastAsia="宋体"/>
          <w:b/>
          <w:sz w:val="24"/>
          <w:highlight w:val="none"/>
        </w:rPr>
        <w:t>合同</w:t>
      </w:r>
      <w:r>
        <w:rPr>
          <w:rFonts w:ascii="宋体" w:hAnsi="宋体" w:eastAsia="宋体"/>
          <w:b/>
          <w:sz w:val="24"/>
          <w:highlight w:val="none"/>
        </w:rPr>
        <w:t>争议的解决</w:t>
      </w:r>
      <w:bookmarkEnd w:id="417"/>
      <w:bookmarkEnd w:id="418"/>
      <w:bookmarkEnd w:id="419"/>
      <w:bookmarkEnd w:id="420"/>
      <w:bookmarkEnd w:id="421"/>
    </w:p>
    <w:p w14:paraId="63B01A85">
      <w:pPr>
        <w:spacing w:line="560" w:lineRule="exact"/>
        <w:ind w:left="-61" w:leftChars="-29" w:right="-420" w:rightChars="-200" w:firstLine="240" w:firstLineChars="100"/>
        <w:rPr>
          <w:rFonts w:ascii="宋体" w:hAnsi="宋体" w:eastAsia="宋体"/>
          <w:sz w:val="24"/>
          <w:highlight w:val="none"/>
        </w:rPr>
      </w:pPr>
      <w:r>
        <w:rPr>
          <w:rFonts w:hint="eastAsia" w:ascii="宋体" w:hAnsi="宋体" w:eastAsia="宋体"/>
          <w:sz w:val="24"/>
          <w:highlight w:val="none"/>
        </w:rPr>
        <w:t>本合同履行过程中发生的任何争议，双方当事人均可通过和解或者调解解决；不愿和解、调解或者和解、调解不成的，可以选择以下第</w:t>
      </w:r>
      <w:r>
        <w:rPr>
          <w:rFonts w:ascii="宋体" w:hAnsi="宋体" w:eastAsia="宋体"/>
          <w:b/>
          <w:i/>
          <w:sz w:val="24"/>
          <w:highlight w:val="none"/>
          <w:u w:val="single"/>
        </w:rPr>
        <w:t xml:space="preserve"> 合同专用条款  </w:t>
      </w:r>
      <w:r>
        <w:rPr>
          <w:rFonts w:hint="eastAsia" w:ascii="宋体" w:hAnsi="宋体" w:eastAsia="宋体"/>
          <w:sz w:val="24"/>
          <w:highlight w:val="none"/>
        </w:rPr>
        <w:t>条款规定的方式解决：</w:t>
      </w:r>
    </w:p>
    <w:p w14:paraId="5BC627EB">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1.7.1 </w:t>
      </w:r>
      <w:r>
        <w:rPr>
          <w:rFonts w:hint="eastAsia" w:ascii="宋体" w:hAnsi="宋体" w:eastAsia="宋体"/>
          <w:sz w:val="24"/>
          <w:highlight w:val="none"/>
        </w:rPr>
        <w:t>将争议提交</w:t>
      </w:r>
      <w:r>
        <w:rPr>
          <w:rFonts w:hint="eastAsia" w:ascii="宋体" w:hAnsi="宋体" w:eastAsia="宋体"/>
          <w:b/>
          <w:i/>
          <w:sz w:val="24"/>
          <w:highlight w:val="none"/>
          <w:u w:val="single"/>
        </w:rPr>
        <w:t>合同专用条款</w:t>
      </w:r>
      <w:r>
        <w:rPr>
          <w:rFonts w:hint="eastAsia" w:ascii="宋体" w:hAnsi="宋体" w:eastAsia="宋体"/>
          <w:sz w:val="24"/>
          <w:highlight w:val="none"/>
        </w:rPr>
        <w:t>仲裁委员会依申请仲裁时其现行有效的仲裁规则裁决；</w:t>
      </w:r>
    </w:p>
    <w:p w14:paraId="3759984D">
      <w:pPr>
        <w:spacing w:line="560" w:lineRule="exact"/>
        <w:ind w:left="-420" w:leftChars="-200" w:right="-420" w:rightChars="-200" w:firstLine="600" w:firstLineChars="250"/>
        <w:rPr>
          <w:rFonts w:ascii="宋体" w:hAnsi="宋体" w:eastAsia="宋体"/>
          <w:sz w:val="24"/>
          <w:highlight w:val="none"/>
        </w:rPr>
      </w:pPr>
      <w:r>
        <w:rPr>
          <w:rFonts w:ascii="宋体" w:hAnsi="宋体" w:eastAsia="宋体"/>
          <w:sz w:val="24"/>
          <w:highlight w:val="none"/>
        </w:rPr>
        <w:t xml:space="preserve">1.7.2 </w:t>
      </w:r>
      <w:r>
        <w:rPr>
          <w:rFonts w:hint="eastAsia" w:ascii="宋体" w:hAnsi="宋体" w:eastAsia="宋体"/>
          <w:sz w:val="24"/>
          <w:highlight w:val="none"/>
        </w:rPr>
        <w:t>向</w:t>
      </w:r>
      <w:r>
        <w:rPr>
          <w:rFonts w:hint="eastAsia" w:ascii="宋体" w:hAnsi="宋体" w:eastAsia="宋体"/>
          <w:b/>
          <w:i/>
          <w:sz w:val="24"/>
          <w:highlight w:val="none"/>
          <w:u w:val="single"/>
        </w:rPr>
        <w:t>合同专用条款</w:t>
      </w:r>
      <w:r>
        <w:rPr>
          <w:rFonts w:hint="eastAsia" w:ascii="宋体" w:hAnsi="宋体" w:eastAsia="宋体"/>
          <w:sz w:val="24"/>
          <w:highlight w:val="none"/>
        </w:rPr>
        <w:t>人民法院起诉。</w:t>
      </w:r>
    </w:p>
    <w:p w14:paraId="39F967BE">
      <w:pPr>
        <w:spacing w:line="560" w:lineRule="exact"/>
        <w:ind w:firstLine="241" w:firstLineChars="100"/>
        <w:outlineLvl w:val="1"/>
        <w:rPr>
          <w:rFonts w:ascii="宋体" w:hAnsi="宋体" w:eastAsia="宋体"/>
          <w:b/>
          <w:sz w:val="24"/>
          <w:highlight w:val="none"/>
        </w:rPr>
      </w:pPr>
      <w:bookmarkStart w:id="422" w:name="_Toc26227"/>
      <w:bookmarkStart w:id="423" w:name="_Toc15827"/>
      <w:bookmarkStart w:id="424" w:name="_Toc16417"/>
      <w:bookmarkStart w:id="425" w:name="_Toc12273"/>
      <w:bookmarkStart w:id="426" w:name="_Toc23784"/>
      <w:r>
        <w:rPr>
          <w:rFonts w:ascii="宋体" w:hAnsi="宋体" w:eastAsia="宋体"/>
          <w:b/>
          <w:sz w:val="24"/>
          <w:highlight w:val="none"/>
        </w:rPr>
        <w:t>1.8 合同生效</w:t>
      </w:r>
      <w:bookmarkEnd w:id="422"/>
      <w:bookmarkEnd w:id="423"/>
      <w:bookmarkEnd w:id="424"/>
      <w:bookmarkEnd w:id="425"/>
      <w:bookmarkEnd w:id="426"/>
    </w:p>
    <w:p w14:paraId="5500B03F">
      <w:pPr>
        <w:spacing w:line="560" w:lineRule="exact"/>
        <w:ind w:firstLine="480" w:firstLineChars="200"/>
        <w:rPr>
          <w:rFonts w:ascii="宋体" w:hAnsi="宋体" w:eastAsia="宋体"/>
          <w:b/>
          <w:sz w:val="24"/>
          <w:highlight w:val="none"/>
        </w:rPr>
      </w:pPr>
      <w:r>
        <w:rPr>
          <w:rFonts w:ascii="宋体" w:hAnsi="宋体" w:eastAsia="宋体"/>
          <w:sz w:val="24"/>
          <w:highlight w:val="none"/>
        </w:rPr>
        <w:t>本合同自</w:t>
      </w:r>
      <w:r>
        <w:rPr>
          <w:rFonts w:hint="eastAsia" w:ascii="宋体" w:hAnsi="宋体" w:eastAsia="宋体"/>
          <w:sz w:val="24"/>
          <w:highlight w:val="none"/>
        </w:rPr>
        <w:t>双方当事人盖章或者签字时</w:t>
      </w:r>
      <w:r>
        <w:rPr>
          <w:rFonts w:ascii="宋体" w:hAnsi="宋体" w:eastAsia="宋体"/>
          <w:sz w:val="24"/>
          <w:highlight w:val="none"/>
        </w:rPr>
        <w:t>生效。</w:t>
      </w:r>
    </w:p>
    <w:p w14:paraId="716C7EBB">
      <w:pPr>
        <w:autoSpaceDE w:val="0"/>
        <w:autoSpaceDN w:val="0"/>
        <w:spacing w:line="560" w:lineRule="exact"/>
        <w:rPr>
          <w:rFonts w:ascii="宋体" w:hAnsi="宋体" w:eastAsia="宋体"/>
          <w:sz w:val="24"/>
          <w:highlight w:val="none"/>
          <w:lang w:val="zh-CN"/>
        </w:rPr>
      </w:pPr>
    </w:p>
    <w:p w14:paraId="4806840E">
      <w:pPr>
        <w:autoSpaceDE w:val="0"/>
        <w:autoSpaceDN w:val="0"/>
        <w:spacing w:line="560" w:lineRule="exact"/>
        <w:rPr>
          <w:rFonts w:ascii="宋体" w:hAnsi="宋体" w:eastAsia="宋体"/>
          <w:sz w:val="24"/>
          <w:highlight w:val="none"/>
          <w:lang w:val="zh-CN"/>
        </w:rPr>
      </w:pPr>
      <w:r>
        <w:rPr>
          <w:rFonts w:hint="eastAsia" w:ascii="宋体" w:hAnsi="宋体" w:eastAsia="宋体"/>
          <w:b/>
          <w:sz w:val="24"/>
          <w:highlight w:val="none"/>
          <w:lang w:val="zh-CN"/>
        </w:rPr>
        <w:t>甲方</w:t>
      </w:r>
      <w:r>
        <w:rPr>
          <w:rFonts w:hint="eastAsia" w:ascii="宋体" w:hAnsi="宋体" w:eastAsia="宋体"/>
          <w:sz w:val="24"/>
          <w:highlight w:val="none"/>
          <w:lang w:val="zh-CN"/>
        </w:rPr>
        <w:t>：</w:t>
      </w:r>
      <w:r>
        <w:rPr>
          <w:rFonts w:ascii="宋体" w:hAnsi="宋体" w:eastAsia="宋体"/>
          <w:sz w:val="24"/>
          <w:highlight w:val="none"/>
          <w:lang w:val="zh-CN"/>
        </w:rPr>
        <w:t xml:space="preserve">                             </w:t>
      </w:r>
      <w:r>
        <w:rPr>
          <w:rFonts w:ascii="宋体" w:hAnsi="宋体" w:eastAsia="宋体"/>
          <w:b/>
          <w:sz w:val="24"/>
          <w:highlight w:val="none"/>
          <w:lang w:val="zh-CN"/>
        </w:rPr>
        <w:t xml:space="preserve">      乙方</w:t>
      </w:r>
      <w:r>
        <w:rPr>
          <w:rFonts w:hint="eastAsia" w:ascii="宋体" w:hAnsi="宋体" w:eastAsia="宋体"/>
          <w:sz w:val="24"/>
          <w:highlight w:val="none"/>
          <w:lang w:val="zh-CN"/>
        </w:rPr>
        <w:t>：</w:t>
      </w:r>
    </w:p>
    <w:p w14:paraId="6CF92DD9">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统一社会信用代码：</w:t>
      </w:r>
      <w:r>
        <w:rPr>
          <w:rFonts w:ascii="宋体" w:hAnsi="宋体" w:eastAsia="宋体"/>
          <w:sz w:val="24"/>
          <w:highlight w:val="none"/>
          <w:lang w:val="zh-CN"/>
        </w:rPr>
        <w:t xml:space="preserve">                        </w:t>
      </w:r>
      <w:r>
        <w:rPr>
          <w:rFonts w:hint="eastAsia" w:ascii="宋体" w:hAnsi="宋体" w:eastAsia="宋体"/>
          <w:sz w:val="24"/>
          <w:highlight w:val="none"/>
          <w:lang w:val="zh-CN"/>
        </w:rPr>
        <w:t>统一社会信用代码或身份证号码：</w:t>
      </w:r>
    </w:p>
    <w:p w14:paraId="1958CC58">
      <w:pPr>
        <w:autoSpaceDE w:val="0"/>
        <w:autoSpaceDN w:val="0"/>
        <w:spacing w:line="560" w:lineRule="exact"/>
        <w:rPr>
          <w:rFonts w:ascii="宋体" w:hAnsi="宋体" w:eastAsia="宋体"/>
          <w:sz w:val="24"/>
          <w:highlight w:val="none"/>
          <w:lang w:val="zh-CN"/>
        </w:rPr>
      </w:pPr>
    </w:p>
    <w:p w14:paraId="1BF92997">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住所：</w:t>
      </w:r>
      <w:r>
        <w:rPr>
          <w:rFonts w:ascii="宋体" w:hAnsi="宋体" w:eastAsia="宋体"/>
          <w:sz w:val="24"/>
          <w:highlight w:val="none"/>
          <w:lang w:val="zh-CN"/>
        </w:rPr>
        <w:t xml:space="preserve">                                   </w:t>
      </w:r>
      <w:r>
        <w:rPr>
          <w:rFonts w:hint="eastAsia" w:ascii="宋体" w:hAnsi="宋体" w:eastAsia="宋体"/>
          <w:sz w:val="24"/>
          <w:highlight w:val="none"/>
          <w:lang w:val="zh-CN"/>
        </w:rPr>
        <w:t>住所：</w:t>
      </w:r>
    </w:p>
    <w:p w14:paraId="12011F4B">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法定代表人或</w:t>
      </w:r>
      <w:r>
        <w:rPr>
          <w:rFonts w:ascii="宋体" w:hAnsi="宋体" w:eastAsia="宋体"/>
          <w:sz w:val="24"/>
          <w:highlight w:val="none"/>
          <w:lang w:val="zh-CN"/>
        </w:rPr>
        <w:t xml:space="preserve">                             </w:t>
      </w:r>
      <w:r>
        <w:rPr>
          <w:rFonts w:hint="eastAsia" w:ascii="宋体" w:hAnsi="宋体" w:eastAsia="宋体"/>
          <w:sz w:val="24"/>
          <w:highlight w:val="none"/>
          <w:lang w:val="zh-CN"/>
        </w:rPr>
        <w:t>法定代表人或</w:t>
      </w:r>
    </w:p>
    <w:p w14:paraId="3F8DB8DE">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授权代表（签字）：</w:t>
      </w:r>
      <w:r>
        <w:rPr>
          <w:rFonts w:ascii="宋体" w:hAnsi="宋体" w:eastAsia="宋体"/>
          <w:sz w:val="24"/>
          <w:highlight w:val="none"/>
          <w:lang w:val="zh-CN"/>
        </w:rPr>
        <w:t xml:space="preserve">                       授权代表（签字）: </w:t>
      </w:r>
    </w:p>
    <w:p w14:paraId="6A5FD786">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联系人：</w:t>
      </w:r>
      <w:r>
        <w:rPr>
          <w:rFonts w:ascii="宋体" w:hAnsi="宋体" w:eastAsia="宋体"/>
          <w:sz w:val="24"/>
          <w:highlight w:val="none"/>
          <w:lang w:val="zh-CN"/>
        </w:rPr>
        <w:t xml:space="preserve">                                 </w:t>
      </w:r>
      <w:r>
        <w:rPr>
          <w:rFonts w:hint="eastAsia" w:ascii="宋体" w:hAnsi="宋体" w:eastAsia="宋体"/>
          <w:sz w:val="24"/>
          <w:highlight w:val="none"/>
          <w:lang w:val="zh-CN"/>
        </w:rPr>
        <w:t>联系人：</w:t>
      </w:r>
    </w:p>
    <w:p w14:paraId="52B3A939">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约定送达地址：</w:t>
      </w:r>
      <w:r>
        <w:rPr>
          <w:rFonts w:ascii="宋体" w:hAnsi="宋体" w:eastAsia="宋体"/>
          <w:sz w:val="24"/>
          <w:highlight w:val="none"/>
          <w:lang w:val="zh-CN"/>
        </w:rPr>
        <w:t xml:space="preserve">                           </w:t>
      </w:r>
      <w:r>
        <w:rPr>
          <w:rFonts w:hint="eastAsia" w:ascii="宋体" w:hAnsi="宋体" w:eastAsia="宋体"/>
          <w:sz w:val="24"/>
          <w:highlight w:val="none"/>
          <w:lang w:val="zh-CN"/>
        </w:rPr>
        <w:t>约定送达地址：</w:t>
      </w:r>
    </w:p>
    <w:p w14:paraId="6916430D">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邮政编码：</w:t>
      </w:r>
      <w:r>
        <w:rPr>
          <w:rFonts w:ascii="宋体" w:hAnsi="宋体" w:eastAsia="宋体"/>
          <w:sz w:val="24"/>
          <w:highlight w:val="none"/>
          <w:lang w:val="zh-CN"/>
        </w:rPr>
        <w:t xml:space="preserve">                               </w:t>
      </w:r>
      <w:r>
        <w:rPr>
          <w:rFonts w:hint="eastAsia" w:ascii="宋体" w:hAnsi="宋体" w:eastAsia="宋体"/>
          <w:sz w:val="24"/>
          <w:highlight w:val="none"/>
          <w:lang w:val="zh-CN"/>
        </w:rPr>
        <w:t>邮政编码：</w:t>
      </w:r>
    </w:p>
    <w:p w14:paraId="7EFE2CB2">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电话</w:t>
      </w:r>
      <w:r>
        <w:rPr>
          <w:rFonts w:ascii="宋体" w:hAnsi="宋体" w:eastAsia="宋体"/>
          <w:sz w:val="24"/>
          <w:highlight w:val="none"/>
          <w:lang w:val="zh-CN"/>
        </w:rPr>
        <w:t xml:space="preserve">:                                    电话: </w:t>
      </w:r>
    </w:p>
    <w:p w14:paraId="03A938D1">
      <w:pPr>
        <w:autoSpaceDE w:val="0"/>
        <w:autoSpaceDN w:val="0"/>
        <w:spacing w:line="560" w:lineRule="exact"/>
        <w:rPr>
          <w:rFonts w:ascii="宋体" w:hAnsi="宋体" w:eastAsia="宋体"/>
          <w:sz w:val="24"/>
          <w:highlight w:val="none"/>
          <w:lang w:val="zh-CN"/>
        </w:rPr>
      </w:pPr>
      <w:r>
        <w:rPr>
          <w:rFonts w:hint="eastAsia" w:ascii="宋体" w:hAnsi="宋体" w:eastAsia="宋体"/>
          <w:sz w:val="24"/>
          <w:highlight w:val="none"/>
          <w:lang w:val="zh-CN"/>
        </w:rPr>
        <w:t>传真</w:t>
      </w:r>
      <w:r>
        <w:rPr>
          <w:rFonts w:ascii="宋体" w:hAnsi="宋体" w:eastAsia="宋体"/>
          <w:sz w:val="24"/>
          <w:highlight w:val="none"/>
          <w:lang w:val="zh-CN"/>
        </w:rPr>
        <w:t xml:space="preserve">:                                    </w:t>
      </w:r>
      <w:r>
        <w:rPr>
          <w:rFonts w:hint="eastAsia" w:ascii="宋体" w:hAnsi="宋体" w:eastAsia="宋体"/>
          <w:sz w:val="24"/>
          <w:highlight w:val="none"/>
          <w:lang w:val="zh-CN"/>
        </w:rPr>
        <w:t>传真</w:t>
      </w:r>
      <w:r>
        <w:rPr>
          <w:rFonts w:ascii="宋体" w:hAnsi="宋体" w:eastAsia="宋体"/>
          <w:sz w:val="24"/>
          <w:highlight w:val="none"/>
          <w:lang w:val="zh-CN"/>
        </w:rPr>
        <w:t>:</w:t>
      </w:r>
    </w:p>
    <w:p w14:paraId="66F32C47">
      <w:pPr>
        <w:autoSpaceDE w:val="0"/>
        <w:autoSpaceDN w:val="0"/>
        <w:spacing w:line="560" w:lineRule="exact"/>
        <w:rPr>
          <w:rFonts w:ascii="宋体" w:hAnsi="宋体" w:eastAsia="宋体"/>
          <w:sz w:val="24"/>
          <w:highlight w:val="none"/>
        </w:rPr>
      </w:pPr>
      <w:r>
        <w:rPr>
          <w:rFonts w:hint="eastAsia" w:ascii="宋体" w:hAnsi="宋体" w:eastAsia="宋体"/>
          <w:sz w:val="24"/>
          <w:highlight w:val="none"/>
          <w:lang w:val="zh-CN"/>
        </w:rPr>
        <w:t>电子邮箱：</w:t>
      </w:r>
      <w:r>
        <w:rPr>
          <w:rFonts w:ascii="宋体" w:hAnsi="宋体" w:eastAsia="宋体"/>
          <w:sz w:val="24"/>
          <w:highlight w:val="none"/>
          <w:lang w:val="zh-CN"/>
        </w:rPr>
        <w:t xml:space="preserve">                               </w:t>
      </w:r>
      <w:r>
        <w:rPr>
          <w:rFonts w:hint="eastAsia" w:ascii="宋体" w:hAnsi="宋体" w:eastAsia="宋体"/>
          <w:sz w:val="24"/>
          <w:highlight w:val="none"/>
          <w:lang w:val="zh-CN"/>
        </w:rPr>
        <w:t>电子邮箱：</w:t>
      </w:r>
    </w:p>
    <w:p w14:paraId="09AFA3B0">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开户银行：</w:t>
      </w:r>
      <w:r>
        <w:rPr>
          <w:rFonts w:ascii="宋体" w:hAnsi="宋体" w:eastAsia="宋体"/>
          <w:sz w:val="24"/>
          <w:highlight w:val="none"/>
        </w:rPr>
        <w:t xml:space="preserve">                               开户银行： </w:t>
      </w:r>
    </w:p>
    <w:p w14:paraId="4CC9ACA8">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开户名称：</w:t>
      </w:r>
      <w:r>
        <w:rPr>
          <w:rFonts w:ascii="宋体" w:hAnsi="宋体" w:eastAsia="宋体"/>
          <w:sz w:val="24"/>
          <w:highlight w:val="none"/>
        </w:rPr>
        <w:t xml:space="preserve">                               开户名称： </w:t>
      </w:r>
    </w:p>
    <w:p w14:paraId="62636F48">
      <w:pPr>
        <w:autoSpaceDE w:val="0"/>
        <w:autoSpaceDN w:val="0"/>
        <w:spacing w:line="560" w:lineRule="exact"/>
        <w:rPr>
          <w:rFonts w:ascii="宋体" w:hAnsi="宋体" w:eastAsia="宋体"/>
          <w:sz w:val="24"/>
          <w:highlight w:val="none"/>
        </w:rPr>
      </w:pPr>
      <w:r>
        <w:rPr>
          <w:rFonts w:hint="eastAsia" w:ascii="宋体" w:hAnsi="宋体" w:eastAsia="宋体"/>
          <w:sz w:val="24"/>
          <w:highlight w:val="none"/>
        </w:rPr>
        <w:t>开户账号：</w:t>
      </w:r>
      <w:r>
        <w:rPr>
          <w:rFonts w:ascii="宋体" w:hAnsi="宋体" w:eastAsia="宋体"/>
          <w:sz w:val="24"/>
          <w:highlight w:val="none"/>
          <w:lang w:val="zh-CN"/>
        </w:rPr>
        <w:t xml:space="preserve">                               </w:t>
      </w:r>
      <w:r>
        <w:rPr>
          <w:rFonts w:hint="eastAsia" w:ascii="宋体" w:hAnsi="宋体" w:eastAsia="宋体"/>
          <w:sz w:val="24"/>
          <w:highlight w:val="none"/>
        </w:rPr>
        <w:t>开户账号：</w:t>
      </w:r>
    </w:p>
    <w:p w14:paraId="71D61421">
      <w:pPr>
        <w:widowControl/>
        <w:spacing w:line="560" w:lineRule="exact"/>
        <w:jc w:val="left"/>
        <w:rPr>
          <w:rFonts w:ascii="宋体" w:hAnsi="宋体" w:eastAsia="宋体"/>
          <w:b/>
          <w:sz w:val="24"/>
          <w:highlight w:val="none"/>
        </w:rPr>
      </w:pPr>
    </w:p>
    <w:p w14:paraId="722881D3">
      <w:pPr>
        <w:widowControl/>
        <w:adjustRightInd/>
        <w:jc w:val="left"/>
        <w:rPr>
          <w:rFonts w:ascii="宋体" w:hAnsi="宋体" w:eastAsia="宋体"/>
          <w:b/>
          <w:sz w:val="24"/>
          <w:highlight w:val="none"/>
        </w:rPr>
      </w:pPr>
      <w:r>
        <w:rPr>
          <w:rFonts w:ascii="宋体" w:hAnsi="宋体" w:eastAsia="宋体"/>
          <w:b/>
          <w:highlight w:val="none"/>
        </w:rPr>
        <w:br w:type="page"/>
      </w:r>
    </w:p>
    <w:p w14:paraId="7872A32C">
      <w:pPr>
        <w:pStyle w:val="89"/>
        <w:spacing w:line="560" w:lineRule="exact"/>
        <w:ind w:firstLine="482"/>
        <w:jc w:val="center"/>
        <w:rPr>
          <w:rFonts w:ascii="宋体" w:hAnsi="宋体" w:eastAsia="宋体"/>
          <w:b/>
          <w:szCs w:val="24"/>
          <w:highlight w:val="none"/>
        </w:rPr>
      </w:pPr>
      <w:r>
        <w:rPr>
          <w:rFonts w:hint="eastAsia" w:ascii="宋体" w:hAnsi="宋体" w:eastAsia="宋体"/>
          <w:b/>
          <w:szCs w:val="24"/>
          <w:highlight w:val="none"/>
        </w:rPr>
        <w:t>第二部分</w:t>
      </w:r>
      <w:r>
        <w:rPr>
          <w:rFonts w:ascii="宋体" w:hAnsi="宋体" w:eastAsia="宋体"/>
          <w:b/>
          <w:szCs w:val="24"/>
          <w:highlight w:val="none"/>
        </w:rPr>
        <w:t xml:space="preserve"> </w:t>
      </w:r>
      <w:r>
        <w:rPr>
          <w:rFonts w:hint="eastAsia" w:ascii="宋体" w:hAnsi="宋体" w:eastAsia="宋体"/>
          <w:b/>
          <w:szCs w:val="24"/>
          <w:highlight w:val="none"/>
        </w:rPr>
        <w:t>合同一般条款</w:t>
      </w:r>
    </w:p>
    <w:p w14:paraId="4717D727">
      <w:pPr>
        <w:spacing w:line="560" w:lineRule="exact"/>
        <w:ind w:firstLine="482" w:firstLineChars="200"/>
        <w:outlineLvl w:val="1"/>
        <w:rPr>
          <w:rFonts w:ascii="宋体" w:hAnsi="宋体" w:eastAsia="宋体"/>
          <w:b/>
          <w:sz w:val="24"/>
          <w:highlight w:val="none"/>
        </w:rPr>
      </w:pPr>
      <w:bookmarkStart w:id="427" w:name="_Toc19680"/>
      <w:bookmarkStart w:id="428" w:name="_Toc14021"/>
      <w:bookmarkStart w:id="429" w:name="_Toc31297"/>
      <w:bookmarkStart w:id="430" w:name="_Toc25079"/>
      <w:bookmarkStart w:id="431" w:name="_Toc5228"/>
      <w:r>
        <w:rPr>
          <w:rFonts w:ascii="宋体" w:hAnsi="宋体" w:eastAsia="宋体"/>
          <w:b/>
          <w:sz w:val="24"/>
          <w:highlight w:val="none"/>
        </w:rPr>
        <w:t>2.1 定义</w:t>
      </w:r>
      <w:bookmarkEnd w:id="427"/>
      <w:bookmarkEnd w:id="428"/>
      <w:bookmarkEnd w:id="429"/>
      <w:bookmarkEnd w:id="430"/>
      <w:bookmarkEnd w:id="431"/>
    </w:p>
    <w:p w14:paraId="45BCFBF1">
      <w:pPr>
        <w:spacing w:line="560" w:lineRule="exact"/>
        <w:ind w:firstLine="480" w:firstLineChars="200"/>
        <w:rPr>
          <w:rFonts w:ascii="宋体" w:hAnsi="宋体" w:eastAsia="宋体"/>
          <w:sz w:val="24"/>
          <w:highlight w:val="none"/>
        </w:rPr>
      </w:pPr>
      <w:r>
        <w:rPr>
          <w:rFonts w:ascii="宋体" w:hAnsi="宋体" w:eastAsia="宋体"/>
          <w:sz w:val="24"/>
          <w:highlight w:val="none"/>
        </w:rPr>
        <w:t>本合同中的下列</w:t>
      </w:r>
      <w:r>
        <w:rPr>
          <w:rFonts w:hint="eastAsia" w:ascii="宋体" w:hAnsi="宋体" w:eastAsia="宋体"/>
          <w:sz w:val="24"/>
          <w:highlight w:val="none"/>
        </w:rPr>
        <w:t>词</w:t>
      </w:r>
      <w:r>
        <w:rPr>
          <w:rFonts w:ascii="宋体" w:hAnsi="宋体" w:eastAsia="宋体"/>
          <w:sz w:val="24"/>
          <w:highlight w:val="none"/>
        </w:rPr>
        <w:t>语应</w:t>
      </w:r>
      <w:r>
        <w:rPr>
          <w:rFonts w:hint="eastAsia" w:ascii="宋体" w:hAnsi="宋体" w:eastAsia="宋体"/>
          <w:sz w:val="24"/>
          <w:highlight w:val="none"/>
        </w:rPr>
        <w:t>按以下内容进行</w:t>
      </w:r>
      <w:r>
        <w:rPr>
          <w:rFonts w:ascii="宋体" w:hAnsi="宋体" w:eastAsia="宋体"/>
          <w:sz w:val="24"/>
          <w:highlight w:val="none"/>
        </w:rPr>
        <w:t>解释：</w:t>
      </w:r>
    </w:p>
    <w:p w14:paraId="7BB4C9AC">
      <w:pPr>
        <w:spacing w:line="560" w:lineRule="exact"/>
        <w:ind w:firstLine="480" w:firstLineChars="200"/>
        <w:rPr>
          <w:rFonts w:ascii="宋体" w:hAnsi="宋体" w:eastAsia="宋体"/>
          <w:sz w:val="24"/>
          <w:highlight w:val="none"/>
        </w:rPr>
      </w:pPr>
      <w:r>
        <w:rPr>
          <w:rFonts w:ascii="宋体" w:hAnsi="宋体" w:eastAsia="宋体"/>
          <w:sz w:val="24"/>
          <w:highlight w:val="none"/>
        </w:rPr>
        <w:t>2.1.1 “合同”系指采购人和中标供应商签订的载明双方当事人所达成的协议，并包括所有的附件、附录和构成合同的其他文件。</w:t>
      </w:r>
    </w:p>
    <w:p w14:paraId="0FC99CB4">
      <w:pPr>
        <w:spacing w:line="560" w:lineRule="exact"/>
        <w:ind w:firstLine="480" w:firstLineChars="200"/>
        <w:rPr>
          <w:rFonts w:ascii="宋体" w:hAnsi="宋体" w:eastAsia="宋体"/>
          <w:sz w:val="24"/>
          <w:highlight w:val="none"/>
        </w:rPr>
      </w:pPr>
      <w:r>
        <w:rPr>
          <w:rFonts w:ascii="宋体" w:hAnsi="宋体" w:eastAsia="宋体"/>
          <w:sz w:val="24"/>
          <w:highlight w:val="none"/>
        </w:rPr>
        <w:t>2.1.2 “合同价”系指根据合同约定，中标供应商在完全履行合同义务后</w:t>
      </w:r>
      <w:r>
        <w:rPr>
          <w:rFonts w:hint="eastAsia" w:ascii="宋体" w:hAnsi="宋体" w:eastAsia="宋体"/>
          <w:sz w:val="24"/>
          <w:highlight w:val="none"/>
        </w:rPr>
        <w:t>，</w:t>
      </w:r>
      <w:r>
        <w:rPr>
          <w:rFonts w:ascii="宋体" w:hAnsi="宋体" w:eastAsia="宋体"/>
          <w:sz w:val="24"/>
          <w:highlight w:val="none"/>
        </w:rPr>
        <w:t>采购人应支付给中标供应商的价格。</w:t>
      </w:r>
    </w:p>
    <w:p w14:paraId="399E2E51">
      <w:pPr>
        <w:spacing w:line="560" w:lineRule="exact"/>
        <w:ind w:firstLine="480" w:firstLineChars="200"/>
        <w:rPr>
          <w:rFonts w:ascii="宋体" w:hAnsi="宋体" w:eastAsia="宋体"/>
          <w:sz w:val="24"/>
          <w:highlight w:val="none"/>
        </w:rPr>
      </w:pPr>
      <w:r>
        <w:rPr>
          <w:rFonts w:ascii="宋体" w:hAnsi="宋体" w:eastAsia="宋体"/>
          <w:sz w:val="24"/>
          <w:highlight w:val="none"/>
        </w:rPr>
        <w:t>2.1.3 “</w:t>
      </w:r>
      <w:r>
        <w:rPr>
          <w:rFonts w:hint="eastAsia" w:ascii="宋体" w:hAnsi="宋体" w:eastAsia="宋体"/>
          <w:sz w:val="24"/>
          <w:highlight w:val="none"/>
        </w:rPr>
        <w:t>服务</w:t>
      </w:r>
      <w:r>
        <w:rPr>
          <w:rFonts w:ascii="宋体" w:hAnsi="宋体" w:eastAsia="宋体"/>
          <w:sz w:val="24"/>
          <w:highlight w:val="none"/>
        </w:rPr>
        <w:t>”系指</w:t>
      </w:r>
      <w:r>
        <w:rPr>
          <w:rFonts w:hint="eastAsia" w:ascii="宋体" w:hAnsi="宋体" w:eastAsia="宋体"/>
          <w:sz w:val="24"/>
          <w:highlight w:val="none"/>
        </w:rPr>
        <w:t>中标供应商</w:t>
      </w:r>
      <w:r>
        <w:rPr>
          <w:rFonts w:ascii="宋体" w:hAnsi="宋体" w:eastAsia="宋体"/>
          <w:sz w:val="24"/>
          <w:highlight w:val="none"/>
        </w:rPr>
        <w:t>根据合同约定应向采购人</w:t>
      </w:r>
      <w:r>
        <w:rPr>
          <w:rFonts w:hint="eastAsia" w:ascii="宋体" w:hAnsi="宋体" w:eastAsia="宋体"/>
          <w:sz w:val="24"/>
          <w:highlight w:val="none"/>
        </w:rPr>
        <w:t>履行</w:t>
      </w:r>
      <w:r>
        <w:rPr>
          <w:rFonts w:ascii="宋体" w:hAnsi="宋体" w:eastAsia="宋体"/>
          <w:sz w:val="24"/>
          <w:highlight w:val="none"/>
        </w:rPr>
        <w:t>的</w:t>
      </w:r>
      <w:r>
        <w:rPr>
          <w:rFonts w:hint="eastAsia" w:ascii="宋体" w:hAnsi="宋体" w:eastAsia="宋体"/>
          <w:sz w:val="24"/>
          <w:highlight w:val="none"/>
        </w:rPr>
        <w:t>除货物和工程以外的其他政府采购对象，包括采购人自身需要的服务和向社会公众提供的公共服务。</w:t>
      </w:r>
    </w:p>
    <w:p w14:paraId="23A7CBEB">
      <w:pPr>
        <w:spacing w:line="560" w:lineRule="exact"/>
        <w:ind w:firstLine="480" w:firstLineChars="200"/>
        <w:rPr>
          <w:rFonts w:ascii="宋体" w:hAnsi="宋体" w:eastAsia="宋体"/>
          <w:sz w:val="24"/>
          <w:highlight w:val="none"/>
        </w:rPr>
      </w:pPr>
      <w:r>
        <w:rPr>
          <w:rFonts w:ascii="宋体" w:hAnsi="宋体" w:eastAsia="宋体"/>
          <w:sz w:val="24"/>
          <w:highlight w:val="none"/>
        </w:rPr>
        <w:t>2.1.4 “</w:t>
      </w:r>
      <w:r>
        <w:rPr>
          <w:rFonts w:hint="eastAsia" w:ascii="宋体" w:hAnsi="宋体" w:eastAsia="宋体"/>
          <w:sz w:val="24"/>
          <w:highlight w:val="none"/>
        </w:rPr>
        <w:t>甲方</w:t>
      </w:r>
      <w:r>
        <w:rPr>
          <w:rFonts w:ascii="宋体" w:hAnsi="宋体" w:eastAsia="宋体"/>
          <w:sz w:val="24"/>
          <w:highlight w:val="none"/>
        </w:rPr>
        <w:t>”系指与</w:t>
      </w:r>
      <w:r>
        <w:rPr>
          <w:rFonts w:hint="eastAsia" w:ascii="宋体" w:hAnsi="宋体" w:eastAsia="宋体"/>
          <w:sz w:val="24"/>
          <w:highlight w:val="none"/>
        </w:rPr>
        <w:t>中标供应商</w:t>
      </w:r>
      <w:r>
        <w:rPr>
          <w:rFonts w:ascii="宋体" w:hAnsi="宋体" w:eastAsia="宋体"/>
          <w:sz w:val="24"/>
          <w:highlight w:val="none"/>
        </w:rPr>
        <w:t>签署合同的采购人</w:t>
      </w:r>
      <w:r>
        <w:rPr>
          <w:rFonts w:hint="eastAsia" w:ascii="宋体" w:hAnsi="宋体" w:eastAsia="宋体"/>
          <w:sz w:val="24"/>
          <w:highlight w:val="none"/>
        </w:rPr>
        <w:t>；采购人委托采购代理机构代表其与乙方签订合同的，采购人的授权委托书作为合同附件。</w:t>
      </w:r>
    </w:p>
    <w:p w14:paraId="60EE253C">
      <w:pPr>
        <w:spacing w:line="560" w:lineRule="exact"/>
        <w:ind w:firstLine="480" w:firstLineChars="200"/>
        <w:rPr>
          <w:rFonts w:ascii="宋体" w:hAnsi="宋体" w:eastAsia="宋体"/>
          <w:sz w:val="24"/>
          <w:highlight w:val="none"/>
        </w:rPr>
      </w:pPr>
      <w:r>
        <w:rPr>
          <w:rFonts w:ascii="宋体" w:hAnsi="宋体" w:eastAsia="宋体"/>
          <w:sz w:val="24"/>
          <w:highlight w:val="none"/>
        </w:rPr>
        <w:t>2.1.5 “乙方”系指根据合同约定提供服务的中标供应商</w:t>
      </w:r>
      <w:r>
        <w:rPr>
          <w:rFonts w:hint="eastAsia" w:ascii="宋体" w:hAnsi="宋体" w:eastAsia="宋体"/>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F1F3BCE">
      <w:pPr>
        <w:spacing w:line="560" w:lineRule="exact"/>
        <w:ind w:firstLine="480" w:firstLineChars="200"/>
        <w:rPr>
          <w:rFonts w:ascii="宋体" w:hAnsi="宋体" w:eastAsia="宋体"/>
          <w:sz w:val="24"/>
          <w:highlight w:val="none"/>
        </w:rPr>
      </w:pPr>
      <w:r>
        <w:rPr>
          <w:rFonts w:ascii="宋体" w:hAnsi="宋体" w:eastAsia="宋体"/>
          <w:sz w:val="24"/>
          <w:highlight w:val="none"/>
        </w:rPr>
        <w:t>2.1.6 “现场”系指合同约定提供服务的地点。</w:t>
      </w:r>
    </w:p>
    <w:p w14:paraId="0AE41A94">
      <w:pPr>
        <w:spacing w:line="560" w:lineRule="exact"/>
        <w:ind w:firstLine="482" w:firstLineChars="200"/>
        <w:outlineLvl w:val="1"/>
        <w:rPr>
          <w:rFonts w:ascii="宋体" w:hAnsi="宋体" w:eastAsia="宋体"/>
          <w:b/>
          <w:sz w:val="24"/>
          <w:highlight w:val="none"/>
        </w:rPr>
      </w:pPr>
      <w:bookmarkStart w:id="432" w:name="_Toc31402"/>
      <w:bookmarkStart w:id="433" w:name="_Toc3769"/>
      <w:bookmarkStart w:id="434" w:name="_Toc23289"/>
      <w:bookmarkStart w:id="435" w:name="_Toc16752"/>
      <w:bookmarkStart w:id="436" w:name="_Toc19539"/>
      <w:r>
        <w:rPr>
          <w:rFonts w:ascii="宋体" w:hAnsi="宋体" w:eastAsia="宋体"/>
          <w:b/>
          <w:sz w:val="24"/>
          <w:highlight w:val="none"/>
        </w:rPr>
        <w:t>2.2 技术规范</w:t>
      </w:r>
      <w:bookmarkEnd w:id="432"/>
      <w:bookmarkEnd w:id="433"/>
      <w:bookmarkEnd w:id="434"/>
      <w:bookmarkEnd w:id="435"/>
      <w:bookmarkEnd w:id="436"/>
    </w:p>
    <w:p w14:paraId="5E0E550A">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服务</w:t>
      </w:r>
      <w:r>
        <w:rPr>
          <w:rFonts w:ascii="宋体" w:hAnsi="宋体" w:eastAsia="宋体"/>
          <w:sz w:val="24"/>
          <w:highlight w:val="none"/>
        </w:rPr>
        <w:t>所应遵守的技术规范应与采购文件规定的技术规范和技术规范附件(如果有的话)及其技术规范偏差表(如果被甲方接受的话)相一致</w:t>
      </w:r>
      <w:r>
        <w:rPr>
          <w:rFonts w:hint="eastAsia" w:ascii="宋体" w:hAnsi="宋体" w:eastAsia="宋体"/>
          <w:sz w:val="24"/>
          <w:highlight w:val="none"/>
        </w:rPr>
        <w:t>；</w:t>
      </w:r>
      <w:r>
        <w:rPr>
          <w:rFonts w:ascii="宋体" w:hAnsi="宋体" w:eastAsia="宋体"/>
          <w:sz w:val="24"/>
          <w:highlight w:val="none"/>
        </w:rPr>
        <w:t>如果采购文件中没有技术规范的相应说明，那么应以国家有关部门最新颁布的相应标准</w:t>
      </w:r>
      <w:r>
        <w:rPr>
          <w:rFonts w:hint="eastAsia" w:ascii="宋体" w:hAnsi="宋体" w:eastAsia="宋体"/>
          <w:sz w:val="24"/>
          <w:highlight w:val="none"/>
        </w:rPr>
        <w:t>和</w:t>
      </w:r>
      <w:r>
        <w:rPr>
          <w:rFonts w:ascii="宋体" w:hAnsi="宋体" w:eastAsia="宋体"/>
          <w:sz w:val="24"/>
          <w:highlight w:val="none"/>
        </w:rPr>
        <w:t>规范为准。</w:t>
      </w:r>
    </w:p>
    <w:p w14:paraId="76D3AC10">
      <w:pPr>
        <w:spacing w:line="560" w:lineRule="exact"/>
        <w:ind w:firstLine="482" w:firstLineChars="200"/>
        <w:outlineLvl w:val="1"/>
        <w:rPr>
          <w:rFonts w:ascii="宋体" w:hAnsi="宋体" w:eastAsia="宋体"/>
          <w:b/>
          <w:sz w:val="24"/>
          <w:highlight w:val="none"/>
        </w:rPr>
      </w:pPr>
      <w:bookmarkStart w:id="437" w:name="_Toc4133"/>
      <w:bookmarkStart w:id="438" w:name="_Toc9161"/>
      <w:bookmarkStart w:id="439" w:name="_Toc27945"/>
      <w:bookmarkStart w:id="440" w:name="_Toc12412"/>
      <w:bookmarkStart w:id="441" w:name="_Toc13673"/>
      <w:r>
        <w:rPr>
          <w:rFonts w:ascii="宋体" w:hAnsi="宋体" w:eastAsia="宋体"/>
          <w:b/>
          <w:sz w:val="24"/>
          <w:highlight w:val="none"/>
        </w:rPr>
        <w:t>2.3 知识产权</w:t>
      </w:r>
      <w:bookmarkEnd w:id="437"/>
      <w:bookmarkEnd w:id="438"/>
      <w:bookmarkEnd w:id="439"/>
      <w:bookmarkEnd w:id="440"/>
      <w:bookmarkEnd w:id="441"/>
    </w:p>
    <w:p w14:paraId="3E374174">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2.3.1 </w:t>
      </w:r>
      <w:r>
        <w:rPr>
          <w:rFonts w:hint="eastAsia" w:ascii="宋体" w:hAnsi="宋体" w:eastAsia="宋体"/>
          <w:sz w:val="24"/>
          <w:highlight w:val="none"/>
        </w:rPr>
        <w:t>乙</w:t>
      </w:r>
      <w:r>
        <w:rPr>
          <w:rFonts w:ascii="宋体" w:hAnsi="宋体" w:eastAsia="宋体"/>
          <w:sz w:val="24"/>
          <w:highlight w:val="none"/>
        </w:rPr>
        <w:t>方应保证</w:t>
      </w:r>
      <w:r>
        <w:rPr>
          <w:rFonts w:hint="eastAsia" w:ascii="宋体" w:hAnsi="宋体" w:eastAsia="宋体"/>
          <w:sz w:val="24"/>
          <w:highlight w:val="none"/>
        </w:rPr>
        <w:t>其提供的服务</w:t>
      </w:r>
      <w:r>
        <w:rPr>
          <w:rFonts w:ascii="宋体" w:hAnsi="宋体" w:eastAsia="宋体"/>
          <w:sz w:val="24"/>
          <w:highlight w:val="none"/>
        </w:rPr>
        <w:t>不受任何第三方提出的侵犯其著作权、商标权、专利权等知识产权方面的起诉</w:t>
      </w:r>
      <w:r>
        <w:rPr>
          <w:rFonts w:hint="eastAsia" w:ascii="宋体" w:hAnsi="宋体" w:eastAsia="宋体"/>
          <w:sz w:val="24"/>
          <w:highlight w:val="none"/>
        </w:rPr>
        <w:t>；</w:t>
      </w:r>
      <w:r>
        <w:rPr>
          <w:rFonts w:ascii="宋体" w:hAnsi="宋体" w:eastAsia="宋体"/>
          <w:sz w:val="24"/>
          <w:highlight w:val="none"/>
        </w:rPr>
        <w:t>如果任何第三方提出侵权</w:t>
      </w:r>
      <w:r>
        <w:rPr>
          <w:rFonts w:hint="eastAsia" w:ascii="宋体" w:hAnsi="宋体" w:eastAsia="宋体"/>
          <w:sz w:val="24"/>
          <w:highlight w:val="none"/>
        </w:rPr>
        <w:t>指控</w:t>
      </w:r>
      <w:r>
        <w:rPr>
          <w:rFonts w:ascii="宋体" w:hAnsi="宋体" w:eastAsia="宋体"/>
          <w:sz w:val="24"/>
          <w:highlight w:val="none"/>
        </w:rPr>
        <w:t>，那么乙方须与该第三方交涉并承担由此发生的一切责任、费用和赔偿</w:t>
      </w:r>
      <w:r>
        <w:rPr>
          <w:rFonts w:hint="eastAsia" w:ascii="宋体" w:hAnsi="宋体" w:eastAsia="宋体"/>
          <w:sz w:val="24"/>
          <w:highlight w:val="none"/>
        </w:rPr>
        <w:t>；</w:t>
      </w:r>
    </w:p>
    <w:p w14:paraId="1A97BF68">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2.3.2 </w:t>
      </w:r>
      <w:r>
        <w:rPr>
          <w:rFonts w:hint="eastAsia" w:ascii="宋体" w:hAnsi="宋体" w:eastAsia="宋体"/>
          <w:sz w:val="24"/>
          <w:highlight w:val="none"/>
        </w:rPr>
        <w:t>合同涉及技术成果的归属和收益的分成办法的，</w:t>
      </w: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6DFE4D9C">
      <w:pPr>
        <w:spacing w:line="560" w:lineRule="exact"/>
        <w:ind w:firstLine="482" w:firstLineChars="200"/>
        <w:rPr>
          <w:rFonts w:ascii="宋体" w:hAnsi="宋体" w:eastAsia="宋体"/>
          <w:b/>
          <w:sz w:val="24"/>
          <w:highlight w:val="none"/>
        </w:rPr>
      </w:pPr>
      <w:r>
        <w:rPr>
          <w:rFonts w:ascii="宋体" w:hAnsi="宋体" w:eastAsia="宋体"/>
          <w:b/>
          <w:sz w:val="24"/>
          <w:highlight w:val="none"/>
        </w:rPr>
        <w:t xml:space="preserve">2.4 </w:t>
      </w:r>
      <w:r>
        <w:rPr>
          <w:rFonts w:hint="eastAsia" w:ascii="宋体" w:hAnsi="宋体" w:eastAsia="宋体"/>
          <w:b/>
          <w:sz w:val="24"/>
          <w:highlight w:val="none"/>
        </w:rPr>
        <w:t>履约检查和问题反馈</w:t>
      </w:r>
    </w:p>
    <w:p w14:paraId="405580B8">
      <w:pPr>
        <w:spacing w:line="560" w:lineRule="exact"/>
        <w:ind w:firstLine="480" w:firstLineChars="200"/>
        <w:rPr>
          <w:rFonts w:ascii="宋体" w:hAnsi="宋体" w:eastAsia="宋体"/>
          <w:sz w:val="24"/>
          <w:highlight w:val="none"/>
        </w:rPr>
      </w:pPr>
      <w:r>
        <w:rPr>
          <w:rFonts w:ascii="宋体" w:hAnsi="宋体" w:eastAsia="宋体"/>
          <w:sz w:val="24"/>
          <w:highlight w:val="none"/>
        </w:rPr>
        <w:t>2.4.1甲方</w:t>
      </w:r>
      <w:r>
        <w:rPr>
          <w:rFonts w:hint="eastAsia" w:ascii="宋体" w:hAnsi="宋体" w:eastAsia="宋体"/>
          <w:sz w:val="24"/>
          <w:highlight w:val="none"/>
        </w:rPr>
        <w:t>有权</w:t>
      </w:r>
      <w:r>
        <w:rPr>
          <w:rFonts w:ascii="宋体" w:hAnsi="宋体" w:eastAsia="宋体"/>
          <w:sz w:val="24"/>
          <w:highlight w:val="none"/>
        </w:rPr>
        <w:t>在其认为必要时</w:t>
      </w:r>
      <w:r>
        <w:rPr>
          <w:rFonts w:hint="eastAsia" w:ascii="宋体" w:hAnsi="宋体" w:eastAsia="宋体"/>
          <w:sz w:val="24"/>
          <w:highlight w:val="none"/>
        </w:rPr>
        <w:t>，对乙方是否能够按照合同约定提供服务进行履约检查，以确保乙方所提供的服务能够依约满足甲方之项目需求，但不得因履约检查妨碍乙方的正常工作，乙方应予积极配合；</w:t>
      </w:r>
    </w:p>
    <w:p w14:paraId="1AEF726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2.4.2 </w:t>
      </w:r>
      <w:r>
        <w:rPr>
          <w:rFonts w:hint="eastAsia" w:ascii="宋体" w:hAnsi="宋体" w:eastAsia="宋体"/>
          <w:sz w:val="24"/>
          <w:highlight w:val="none"/>
        </w:rPr>
        <w:t>合同履行期间，甲方有权将履行过程中出现的问题反馈给乙方，双方当事人应以书面形式约定需要完善和改进的内容。</w:t>
      </w:r>
    </w:p>
    <w:p w14:paraId="428325D1">
      <w:pPr>
        <w:spacing w:line="560" w:lineRule="exact"/>
        <w:ind w:firstLine="482" w:firstLineChars="200"/>
        <w:outlineLvl w:val="1"/>
        <w:rPr>
          <w:rFonts w:ascii="宋体" w:hAnsi="宋体" w:eastAsia="宋体"/>
          <w:b/>
          <w:sz w:val="24"/>
          <w:highlight w:val="none"/>
        </w:rPr>
      </w:pPr>
      <w:bookmarkStart w:id="442" w:name="_Toc22011"/>
      <w:bookmarkStart w:id="443" w:name="_Toc32670"/>
      <w:bookmarkStart w:id="444" w:name="_Toc26555"/>
      <w:bookmarkStart w:id="445" w:name="_Toc31233"/>
      <w:bookmarkStart w:id="446" w:name="_Toc15447"/>
      <w:r>
        <w:rPr>
          <w:rFonts w:ascii="宋体" w:hAnsi="宋体" w:eastAsia="宋体"/>
          <w:b/>
          <w:sz w:val="24"/>
          <w:highlight w:val="none"/>
        </w:rPr>
        <w:t>2.5 结算方式和付款条件</w:t>
      </w:r>
      <w:bookmarkEnd w:id="442"/>
      <w:bookmarkEnd w:id="443"/>
      <w:bookmarkEnd w:id="444"/>
      <w:bookmarkEnd w:id="445"/>
      <w:bookmarkEnd w:id="446"/>
    </w:p>
    <w:p w14:paraId="6F96A2AB">
      <w:pPr>
        <w:spacing w:line="560" w:lineRule="exact"/>
        <w:ind w:firstLine="480" w:firstLineChars="200"/>
        <w:rPr>
          <w:rFonts w:ascii="宋体" w:hAnsi="宋体" w:eastAsia="宋体"/>
          <w:sz w:val="24"/>
          <w:highlight w:val="none"/>
        </w:rPr>
      </w:pPr>
      <w:r>
        <w:rPr>
          <w:rFonts w:ascii="宋体" w:hAnsi="宋体" w:eastAsia="宋体"/>
          <w:sz w:val="24"/>
          <w:highlight w:val="none"/>
        </w:rPr>
        <w:t>详见</w:t>
      </w:r>
      <w:r>
        <w:rPr>
          <w:rFonts w:ascii="宋体" w:hAnsi="宋体" w:eastAsia="宋体"/>
          <w:b/>
          <w:i/>
          <w:sz w:val="24"/>
          <w:highlight w:val="none"/>
          <w:u w:val="single"/>
        </w:rPr>
        <w:t>合同专用条款</w:t>
      </w:r>
      <w:r>
        <w:rPr>
          <w:rFonts w:ascii="宋体" w:hAnsi="宋体" w:eastAsia="宋体"/>
          <w:sz w:val="24"/>
          <w:highlight w:val="none"/>
        </w:rPr>
        <w:t>。</w:t>
      </w:r>
    </w:p>
    <w:p w14:paraId="58861266">
      <w:pPr>
        <w:spacing w:line="560" w:lineRule="exact"/>
        <w:ind w:firstLine="482" w:firstLineChars="200"/>
        <w:outlineLvl w:val="1"/>
        <w:rPr>
          <w:rFonts w:ascii="宋体" w:hAnsi="宋体" w:eastAsia="宋体"/>
          <w:b/>
          <w:sz w:val="24"/>
          <w:highlight w:val="none"/>
        </w:rPr>
      </w:pPr>
      <w:bookmarkStart w:id="447" w:name="_Toc18990"/>
      <w:bookmarkStart w:id="448" w:name="_Toc30507"/>
      <w:bookmarkStart w:id="449" w:name="_Toc13154"/>
      <w:bookmarkStart w:id="450" w:name="_Toc16163"/>
      <w:bookmarkStart w:id="451" w:name="_Toc13467"/>
      <w:r>
        <w:rPr>
          <w:rFonts w:ascii="宋体" w:hAnsi="宋体" w:eastAsia="宋体"/>
          <w:b/>
          <w:sz w:val="24"/>
          <w:highlight w:val="none"/>
        </w:rPr>
        <w:t>2.6 技术资料和保密义务</w:t>
      </w:r>
      <w:bookmarkEnd w:id="447"/>
      <w:bookmarkEnd w:id="448"/>
      <w:bookmarkEnd w:id="449"/>
      <w:bookmarkEnd w:id="450"/>
      <w:bookmarkEnd w:id="451"/>
    </w:p>
    <w:p w14:paraId="47050743">
      <w:pPr>
        <w:spacing w:line="560" w:lineRule="exact"/>
        <w:ind w:firstLine="480" w:firstLineChars="200"/>
        <w:rPr>
          <w:rFonts w:ascii="宋体" w:hAnsi="宋体" w:eastAsia="宋体"/>
          <w:sz w:val="24"/>
          <w:highlight w:val="none"/>
        </w:rPr>
      </w:pPr>
      <w:r>
        <w:rPr>
          <w:rFonts w:ascii="宋体" w:hAnsi="宋体" w:eastAsia="宋体"/>
          <w:sz w:val="24"/>
          <w:highlight w:val="none"/>
        </w:rPr>
        <w:t>2.6.1 乙方有权依据合同约定和项目需要，向甲方了解有关情况，调阅有关资料等，甲方应予积极配合；</w:t>
      </w:r>
    </w:p>
    <w:p w14:paraId="09B9674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2.6.2 </w:t>
      </w:r>
      <w:r>
        <w:rPr>
          <w:rFonts w:hint="eastAsia" w:ascii="宋体" w:hAnsi="宋体" w:eastAsia="宋体"/>
          <w:sz w:val="24"/>
          <w:highlight w:val="none"/>
        </w:rPr>
        <w:t>乙方有义务妥善保管和保护由甲方提供的前款信息和资料等；</w:t>
      </w:r>
    </w:p>
    <w:p w14:paraId="7801806B">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2.6.3 </w:t>
      </w:r>
      <w:r>
        <w:rPr>
          <w:rFonts w:hint="eastAsia" w:ascii="宋体" w:hAnsi="宋体" w:eastAsia="宋体"/>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highlight w:val="none"/>
        </w:rPr>
        <w:t>技术情报</w:t>
      </w:r>
      <w:r>
        <w:rPr>
          <w:rFonts w:hint="eastAsia" w:ascii="宋体" w:hAnsi="宋体" w:eastAsia="宋体"/>
          <w:sz w:val="24"/>
          <w:highlight w:val="none"/>
        </w:rPr>
        <w:t>、</w:t>
      </w:r>
      <w:r>
        <w:rPr>
          <w:rFonts w:ascii="宋体" w:hAnsi="宋体" w:eastAsia="宋体"/>
          <w:sz w:val="24"/>
          <w:highlight w:val="none"/>
        </w:rPr>
        <w:t>技术资料</w:t>
      </w:r>
      <w:r>
        <w:rPr>
          <w:rFonts w:hint="eastAsia" w:ascii="宋体" w:hAnsi="宋体" w:eastAsia="宋体"/>
          <w:sz w:val="24"/>
          <w:highlight w:val="none"/>
        </w:rPr>
        <w:t>、商业秘密和商业信息等，并采取一切合理和必要措施和方式防止任何第三方接触到对方当事人的上述保密信息和资料。</w:t>
      </w:r>
    </w:p>
    <w:p w14:paraId="64A13467">
      <w:pPr>
        <w:spacing w:line="560" w:lineRule="exact"/>
        <w:ind w:firstLine="482" w:firstLineChars="200"/>
        <w:outlineLvl w:val="1"/>
        <w:rPr>
          <w:rFonts w:ascii="宋体" w:hAnsi="宋体" w:eastAsia="宋体"/>
          <w:b/>
          <w:sz w:val="24"/>
          <w:highlight w:val="none"/>
        </w:rPr>
      </w:pPr>
      <w:bookmarkStart w:id="452" w:name="_Toc19069"/>
      <w:r>
        <w:rPr>
          <w:rFonts w:ascii="宋体" w:hAnsi="宋体" w:eastAsia="宋体"/>
          <w:b/>
          <w:sz w:val="24"/>
          <w:highlight w:val="none"/>
        </w:rPr>
        <w:t xml:space="preserve">2.7 </w:t>
      </w:r>
      <w:r>
        <w:rPr>
          <w:rFonts w:hint="eastAsia" w:ascii="宋体" w:hAnsi="宋体" w:eastAsia="宋体"/>
          <w:b/>
          <w:sz w:val="24"/>
          <w:highlight w:val="none"/>
        </w:rPr>
        <w:t>质量保证</w:t>
      </w:r>
      <w:bookmarkEnd w:id="452"/>
    </w:p>
    <w:p w14:paraId="168EDA46">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2.7.1 </w:t>
      </w:r>
      <w:r>
        <w:rPr>
          <w:rFonts w:hint="eastAsia" w:ascii="宋体" w:hAnsi="宋体" w:eastAsia="宋体"/>
          <w:sz w:val="24"/>
          <w:highlight w:val="none"/>
        </w:rPr>
        <w:t>乙方应建立和完善履行合同的内部质量保证体系，并提供相关内部规章制度给甲方，以便甲方进行监督检查；</w:t>
      </w:r>
    </w:p>
    <w:p w14:paraId="184B091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2.7.2 </w:t>
      </w:r>
      <w:r>
        <w:rPr>
          <w:rFonts w:hint="eastAsia" w:ascii="宋体" w:hAnsi="宋体" w:eastAsia="宋体"/>
          <w:sz w:val="24"/>
          <w:highlight w:val="none"/>
        </w:rPr>
        <w:t>乙方应保证履行合同的人员数量和素质、软件和硬件设备的配置、场地、环境和设施等满足全面履行合同的要求，并应接受甲方的监督检查。</w:t>
      </w:r>
    </w:p>
    <w:p w14:paraId="7CEC6C8D">
      <w:pPr>
        <w:spacing w:line="560" w:lineRule="exact"/>
        <w:ind w:firstLine="482" w:firstLineChars="200"/>
        <w:outlineLvl w:val="1"/>
        <w:rPr>
          <w:rFonts w:ascii="宋体" w:hAnsi="宋体" w:eastAsia="宋体"/>
          <w:b/>
          <w:sz w:val="24"/>
          <w:highlight w:val="none"/>
        </w:rPr>
      </w:pPr>
      <w:bookmarkStart w:id="453" w:name="_Toc22267"/>
      <w:r>
        <w:rPr>
          <w:rFonts w:ascii="宋体" w:hAnsi="宋体" w:eastAsia="宋体"/>
          <w:b/>
          <w:sz w:val="24"/>
          <w:highlight w:val="none"/>
        </w:rPr>
        <w:t xml:space="preserve">2.8 </w:t>
      </w:r>
      <w:r>
        <w:rPr>
          <w:rFonts w:hint="eastAsia" w:ascii="宋体" w:hAnsi="宋体" w:eastAsia="宋体"/>
          <w:b/>
          <w:sz w:val="24"/>
          <w:highlight w:val="none"/>
        </w:rPr>
        <w:t>延迟履行</w:t>
      </w:r>
      <w:bookmarkEnd w:id="453"/>
    </w:p>
    <w:p w14:paraId="2941F406">
      <w:pPr>
        <w:spacing w:line="560" w:lineRule="exact"/>
        <w:ind w:firstLine="480" w:firstLineChars="200"/>
        <w:rPr>
          <w:rFonts w:ascii="宋体" w:hAnsi="宋体" w:eastAsia="宋体"/>
          <w:sz w:val="24"/>
          <w:highlight w:val="none"/>
        </w:rPr>
      </w:pPr>
      <w:r>
        <w:rPr>
          <w:rFonts w:ascii="宋体" w:hAnsi="宋体" w:eastAsia="宋体"/>
          <w:sz w:val="24"/>
          <w:highlight w:val="none"/>
        </w:rPr>
        <w:t>在合同履行过程中，如果乙方遇到不能按时</w:t>
      </w:r>
      <w:r>
        <w:rPr>
          <w:rFonts w:hint="eastAsia" w:ascii="宋体" w:hAnsi="宋体" w:eastAsia="宋体"/>
          <w:sz w:val="24"/>
          <w:highlight w:val="none"/>
        </w:rPr>
        <w:t>提供服务</w:t>
      </w:r>
      <w:r>
        <w:rPr>
          <w:rFonts w:ascii="宋体" w:hAnsi="宋体" w:eastAsia="宋体"/>
          <w:sz w:val="24"/>
          <w:highlight w:val="none"/>
        </w:rPr>
        <w:t>的情况，应及时以书面形式将不能按时</w:t>
      </w:r>
      <w:r>
        <w:rPr>
          <w:rFonts w:hint="eastAsia" w:ascii="宋体" w:hAnsi="宋体" w:eastAsia="宋体"/>
          <w:sz w:val="24"/>
          <w:highlight w:val="none"/>
        </w:rPr>
        <w:t>提供服务</w:t>
      </w:r>
      <w:r>
        <w:rPr>
          <w:rFonts w:ascii="宋体" w:hAnsi="宋体" w:eastAsia="宋体"/>
          <w:sz w:val="24"/>
          <w:highlight w:val="none"/>
        </w:rPr>
        <w:t>的理由、预期延误时间通知甲方</w:t>
      </w:r>
      <w:r>
        <w:rPr>
          <w:rFonts w:hint="eastAsia" w:ascii="宋体" w:hAnsi="宋体" w:eastAsia="宋体"/>
          <w:sz w:val="24"/>
          <w:highlight w:val="none"/>
        </w:rPr>
        <w:t>；甲</w:t>
      </w:r>
      <w:r>
        <w:rPr>
          <w:rFonts w:ascii="宋体" w:hAnsi="宋体" w:eastAsia="宋体"/>
          <w:sz w:val="24"/>
          <w:highlight w:val="none"/>
        </w:rPr>
        <w:t>方收到乙方通知后，认为其理由正当的，可以书面形式酌情同意乙方可以延长</w:t>
      </w:r>
      <w:r>
        <w:rPr>
          <w:rFonts w:hint="eastAsia" w:ascii="宋体" w:hAnsi="宋体" w:eastAsia="宋体"/>
          <w:sz w:val="24"/>
          <w:highlight w:val="none"/>
        </w:rPr>
        <w:t>履行</w:t>
      </w:r>
      <w:r>
        <w:rPr>
          <w:rFonts w:ascii="宋体" w:hAnsi="宋体" w:eastAsia="宋体"/>
          <w:sz w:val="24"/>
          <w:highlight w:val="none"/>
        </w:rPr>
        <w:t>的具体时间。</w:t>
      </w:r>
    </w:p>
    <w:p w14:paraId="21E5B871">
      <w:pPr>
        <w:spacing w:line="560" w:lineRule="exact"/>
        <w:ind w:firstLine="482" w:firstLineChars="200"/>
        <w:outlineLvl w:val="1"/>
        <w:rPr>
          <w:rFonts w:ascii="宋体" w:hAnsi="宋体" w:eastAsia="宋体"/>
          <w:b/>
          <w:sz w:val="24"/>
          <w:highlight w:val="none"/>
        </w:rPr>
      </w:pPr>
      <w:bookmarkStart w:id="454" w:name="_Toc10611"/>
      <w:r>
        <w:rPr>
          <w:rFonts w:ascii="宋体" w:hAnsi="宋体" w:eastAsia="宋体"/>
          <w:b/>
          <w:sz w:val="24"/>
          <w:highlight w:val="none"/>
        </w:rPr>
        <w:t xml:space="preserve">2.9 </w:t>
      </w:r>
      <w:r>
        <w:rPr>
          <w:rFonts w:hint="eastAsia" w:ascii="宋体" w:hAnsi="宋体" w:eastAsia="宋体"/>
          <w:b/>
          <w:sz w:val="24"/>
          <w:highlight w:val="none"/>
        </w:rPr>
        <w:t>合同变更</w:t>
      </w:r>
      <w:bookmarkEnd w:id="454"/>
    </w:p>
    <w:p w14:paraId="7ADFF774">
      <w:pPr>
        <w:spacing w:line="560" w:lineRule="exact"/>
        <w:ind w:firstLine="480" w:firstLineChars="200"/>
        <w:rPr>
          <w:rFonts w:ascii="宋体" w:hAnsi="宋体" w:eastAsia="宋体"/>
          <w:sz w:val="24"/>
          <w:highlight w:val="none"/>
        </w:rPr>
      </w:pPr>
      <w:r>
        <w:rPr>
          <w:rFonts w:hint="eastAsia" w:ascii="宋体" w:hAnsi="宋体" w:eastAsia="宋体"/>
          <w:sz w:val="24"/>
          <w:highlight w:val="none"/>
        </w:rPr>
        <w:t>合同继续履行将损害国家利益和社会公共利益的，双方当事人应当以书面形式变更合同。有过错的一方应当承担赔偿责任，双方当事人都有过错的，各自承担相应的责任。</w:t>
      </w:r>
    </w:p>
    <w:p w14:paraId="637C8C3B">
      <w:pPr>
        <w:spacing w:line="560" w:lineRule="exact"/>
        <w:ind w:firstLine="482" w:firstLineChars="200"/>
        <w:outlineLvl w:val="1"/>
        <w:rPr>
          <w:rFonts w:ascii="宋体" w:hAnsi="宋体" w:eastAsia="宋体"/>
          <w:b/>
          <w:sz w:val="24"/>
          <w:highlight w:val="none"/>
        </w:rPr>
      </w:pPr>
      <w:bookmarkStart w:id="455" w:name="_Toc21830"/>
      <w:bookmarkStart w:id="456" w:name="_Toc10663"/>
      <w:bookmarkStart w:id="457" w:name="_Toc42"/>
      <w:bookmarkStart w:id="458" w:name="_Toc23368"/>
      <w:bookmarkStart w:id="459" w:name="_Toc26689"/>
      <w:r>
        <w:rPr>
          <w:rFonts w:ascii="宋体" w:hAnsi="宋体" w:eastAsia="宋体"/>
          <w:b/>
          <w:sz w:val="24"/>
          <w:highlight w:val="none"/>
        </w:rPr>
        <w:t>2.10 合同转让和分包</w:t>
      </w:r>
      <w:bookmarkEnd w:id="455"/>
      <w:bookmarkEnd w:id="456"/>
      <w:bookmarkEnd w:id="457"/>
      <w:bookmarkEnd w:id="458"/>
      <w:bookmarkEnd w:id="459"/>
    </w:p>
    <w:p w14:paraId="1A9024DA">
      <w:pPr>
        <w:spacing w:line="560" w:lineRule="exact"/>
        <w:ind w:firstLine="480" w:firstLineChars="200"/>
        <w:rPr>
          <w:rFonts w:ascii="宋体" w:hAnsi="宋体" w:eastAsia="宋体"/>
          <w:sz w:val="24"/>
          <w:highlight w:val="none"/>
        </w:rPr>
      </w:pPr>
      <w:r>
        <w:rPr>
          <w:rFonts w:ascii="宋体" w:hAnsi="宋体" w:eastAsia="宋体"/>
          <w:sz w:val="24"/>
          <w:highlight w:val="none"/>
        </w:rPr>
        <w:t>合同的权利义务依法不</w:t>
      </w:r>
      <w:r>
        <w:rPr>
          <w:rFonts w:hint="eastAsia" w:ascii="宋体" w:hAnsi="宋体" w:eastAsia="宋体"/>
          <w:sz w:val="24"/>
          <w:highlight w:val="none"/>
        </w:rPr>
        <w:t>得</w:t>
      </w:r>
      <w:r>
        <w:rPr>
          <w:rFonts w:ascii="宋体" w:hAnsi="宋体" w:eastAsia="宋体"/>
          <w:sz w:val="24"/>
          <w:highlight w:val="none"/>
        </w:rPr>
        <w:t>转让</w:t>
      </w:r>
      <w:r>
        <w:rPr>
          <w:rFonts w:hint="eastAsia" w:ascii="宋体" w:hAnsi="宋体" w:eastAsia="宋体"/>
          <w:sz w:val="24"/>
          <w:highlight w:val="none"/>
        </w:rPr>
        <w:t>，</w:t>
      </w:r>
      <w:r>
        <w:rPr>
          <w:rFonts w:ascii="宋体" w:hAnsi="宋体" w:eastAsia="宋体"/>
          <w:sz w:val="24"/>
          <w:highlight w:val="none"/>
        </w:rPr>
        <w:t>但经甲方</w:t>
      </w:r>
      <w:r>
        <w:rPr>
          <w:rFonts w:hint="eastAsia" w:ascii="宋体" w:hAnsi="宋体" w:eastAsia="宋体"/>
          <w:sz w:val="24"/>
          <w:highlight w:val="none"/>
        </w:rPr>
        <w:t>同意，乙方可以依法采取分包方式履行合同，即：依法可以</w:t>
      </w:r>
      <w:r>
        <w:rPr>
          <w:rFonts w:ascii="宋体" w:hAnsi="宋体" w:eastAsia="宋体"/>
          <w:sz w:val="24"/>
          <w:highlight w:val="none"/>
        </w:rPr>
        <w:t>将合同项下的部分非主体、非关键性工作分包给他人完成</w:t>
      </w:r>
      <w:r>
        <w:rPr>
          <w:rFonts w:hint="eastAsia" w:ascii="宋体" w:hAnsi="宋体" w:eastAsia="宋体"/>
          <w:sz w:val="24"/>
          <w:highlight w:val="none"/>
        </w:rPr>
        <w:t>，</w:t>
      </w:r>
      <w:r>
        <w:rPr>
          <w:rFonts w:ascii="宋体" w:hAnsi="宋体" w:eastAsia="宋体"/>
          <w:sz w:val="24"/>
          <w:highlight w:val="none"/>
        </w:rPr>
        <w:t>接受分包的人应当具备相应的资格条件，并不得再次分包</w:t>
      </w:r>
      <w:r>
        <w:rPr>
          <w:rFonts w:hint="eastAsia" w:ascii="宋体" w:hAnsi="宋体" w:eastAsia="宋体"/>
          <w:sz w:val="24"/>
          <w:highlight w:val="none"/>
        </w:rPr>
        <w:t>，</w:t>
      </w:r>
      <w:r>
        <w:rPr>
          <w:rFonts w:ascii="宋体" w:hAnsi="宋体" w:eastAsia="宋体"/>
          <w:sz w:val="24"/>
          <w:highlight w:val="none"/>
        </w:rPr>
        <w:t>且乙方应就分包项目向甲方负责</w:t>
      </w:r>
      <w:r>
        <w:rPr>
          <w:rFonts w:hint="eastAsia" w:ascii="宋体" w:hAnsi="宋体" w:eastAsia="宋体"/>
          <w:sz w:val="24"/>
          <w:highlight w:val="none"/>
        </w:rPr>
        <w:t>，</w:t>
      </w:r>
      <w:r>
        <w:rPr>
          <w:rFonts w:ascii="宋体" w:hAnsi="宋体" w:eastAsia="宋体"/>
          <w:sz w:val="24"/>
          <w:highlight w:val="none"/>
        </w:rPr>
        <w:t>并</w:t>
      </w:r>
      <w:r>
        <w:rPr>
          <w:rFonts w:hint="eastAsia" w:ascii="宋体" w:hAnsi="宋体" w:eastAsia="宋体"/>
          <w:sz w:val="24"/>
          <w:highlight w:val="none"/>
        </w:rPr>
        <w:t>与分包供应商就分包项目向甲方承担连带责任。</w:t>
      </w:r>
    </w:p>
    <w:p w14:paraId="07228A06">
      <w:pPr>
        <w:spacing w:line="560" w:lineRule="exact"/>
        <w:ind w:firstLine="482" w:firstLineChars="200"/>
        <w:outlineLvl w:val="1"/>
        <w:rPr>
          <w:rFonts w:ascii="宋体" w:hAnsi="宋体" w:eastAsia="宋体"/>
          <w:b/>
          <w:sz w:val="24"/>
          <w:highlight w:val="none"/>
        </w:rPr>
      </w:pPr>
      <w:bookmarkStart w:id="460" w:name="_Toc26633"/>
      <w:bookmarkStart w:id="461" w:name="_Toc25571"/>
      <w:bookmarkStart w:id="462" w:name="_Toc4720"/>
      <w:bookmarkStart w:id="463" w:name="_Toc32494"/>
      <w:bookmarkStart w:id="464" w:name="_Toc14371"/>
      <w:r>
        <w:rPr>
          <w:rFonts w:ascii="宋体" w:hAnsi="宋体" w:eastAsia="宋体"/>
          <w:b/>
          <w:sz w:val="24"/>
          <w:highlight w:val="none"/>
        </w:rPr>
        <w:t>2.11 不可抗力</w:t>
      </w:r>
      <w:bookmarkEnd w:id="460"/>
      <w:bookmarkEnd w:id="461"/>
      <w:bookmarkEnd w:id="462"/>
      <w:bookmarkEnd w:id="463"/>
      <w:bookmarkEnd w:id="464"/>
    </w:p>
    <w:p w14:paraId="0D5EA785">
      <w:pPr>
        <w:spacing w:line="560" w:lineRule="exact"/>
        <w:ind w:firstLine="480" w:firstLineChars="200"/>
        <w:rPr>
          <w:rFonts w:ascii="宋体" w:hAnsi="宋体" w:eastAsia="宋体"/>
          <w:sz w:val="24"/>
          <w:highlight w:val="none"/>
        </w:rPr>
      </w:pPr>
      <w:r>
        <w:rPr>
          <w:rFonts w:ascii="宋体" w:hAnsi="宋体" w:eastAsia="宋体"/>
          <w:sz w:val="24"/>
          <w:highlight w:val="none"/>
        </w:rPr>
        <w:t>2.11.1如果任何一方遭遇法律规定的不可抗力，致使合同履行受阻时，履行合同的期限应予延长，延长的期限应相当于不可抗力所影响的时间</w:t>
      </w:r>
      <w:r>
        <w:rPr>
          <w:rFonts w:hint="eastAsia" w:ascii="宋体" w:hAnsi="宋体" w:eastAsia="宋体"/>
          <w:sz w:val="24"/>
          <w:highlight w:val="none"/>
        </w:rPr>
        <w:t>；</w:t>
      </w:r>
    </w:p>
    <w:p w14:paraId="0860A92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2.11.2 </w:t>
      </w:r>
      <w:r>
        <w:rPr>
          <w:rFonts w:hint="eastAsia" w:ascii="宋体" w:hAnsi="宋体" w:eastAsia="宋体"/>
          <w:sz w:val="24"/>
          <w:highlight w:val="none"/>
        </w:rPr>
        <w:t>因不可抗力致使不能实现合同目的的，当事人可以解除合同；</w:t>
      </w:r>
    </w:p>
    <w:p w14:paraId="5EBE939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2.11.3 </w:t>
      </w:r>
      <w:r>
        <w:rPr>
          <w:rFonts w:hint="eastAsia" w:ascii="宋体" w:hAnsi="宋体" w:eastAsia="宋体"/>
          <w:sz w:val="24"/>
          <w:highlight w:val="none"/>
        </w:rPr>
        <w:t>因</w:t>
      </w:r>
      <w:r>
        <w:rPr>
          <w:rFonts w:ascii="宋体" w:hAnsi="宋体" w:eastAsia="宋体"/>
          <w:sz w:val="24"/>
          <w:highlight w:val="none"/>
        </w:rPr>
        <w:t>不可抗力致使合同有变更必要的，双方当事人应在</w:t>
      </w:r>
      <w:r>
        <w:rPr>
          <w:rFonts w:ascii="宋体" w:hAnsi="宋体" w:eastAsia="宋体"/>
          <w:b/>
          <w:i/>
          <w:sz w:val="24"/>
          <w:highlight w:val="none"/>
          <w:u w:val="single"/>
        </w:rPr>
        <w:t>合同专用条款</w:t>
      </w:r>
      <w:r>
        <w:rPr>
          <w:rFonts w:ascii="宋体" w:hAnsi="宋体" w:eastAsia="宋体"/>
          <w:sz w:val="24"/>
          <w:highlight w:val="none"/>
        </w:rPr>
        <w:t>约定时间内以书面形式变更合同</w:t>
      </w:r>
      <w:r>
        <w:rPr>
          <w:rFonts w:hint="eastAsia" w:ascii="宋体" w:hAnsi="宋体" w:eastAsia="宋体"/>
          <w:sz w:val="24"/>
          <w:highlight w:val="none"/>
        </w:rPr>
        <w:t>；</w:t>
      </w:r>
    </w:p>
    <w:p w14:paraId="64826657">
      <w:pPr>
        <w:spacing w:line="560" w:lineRule="exact"/>
        <w:ind w:firstLine="480" w:firstLineChars="200"/>
        <w:rPr>
          <w:rFonts w:ascii="宋体" w:hAnsi="宋体" w:eastAsia="宋体"/>
          <w:sz w:val="24"/>
          <w:highlight w:val="none"/>
        </w:rPr>
      </w:pPr>
      <w:r>
        <w:rPr>
          <w:rFonts w:ascii="宋体" w:hAnsi="宋体" w:eastAsia="宋体"/>
          <w:sz w:val="24"/>
          <w:highlight w:val="none"/>
        </w:rPr>
        <w:t>2.11.4受</w:t>
      </w:r>
      <w:r>
        <w:rPr>
          <w:rFonts w:hint="eastAsia" w:ascii="宋体" w:hAnsi="宋体" w:eastAsia="宋体"/>
          <w:sz w:val="24"/>
          <w:highlight w:val="none"/>
        </w:rPr>
        <w:t>不可抗力</w:t>
      </w:r>
      <w:r>
        <w:rPr>
          <w:rFonts w:ascii="宋体" w:hAnsi="宋体" w:eastAsia="宋体"/>
          <w:sz w:val="24"/>
          <w:highlight w:val="none"/>
        </w:rPr>
        <w:t>影响的一方在不可抗力发生后</w:t>
      </w:r>
      <w:r>
        <w:rPr>
          <w:rFonts w:hint="eastAsia" w:ascii="宋体" w:hAnsi="宋体" w:eastAsia="宋体"/>
          <w:sz w:val="24"/>
          <w:highlight w:val="none"/>
        </w:rPr>
        <w:t>，</w:t>
      </w:r>
      <w:r>
        <w:rPr>
          <w:rFonts w:ascii="宋体" w:hAnsi="宋体" w:eastAsia="宋体"/>
          <w:sz w:val="24"/>
          <w:highlight w:val="none"/>
        </w:rPr>
        <w:t>应在</w:t>
      </w:r>
      <w:r>
        <w:rPr>
          <w:rFonts w:ascii="宋体" w:hAnsi="宋体" w:eastAsia="宋体"/>
          <w:b/>
          <w:i/>
          <w:sz w:val="24"/>
          <w:highlight w:val="none"/>
          <w:u w:val="single"/>
        </w:rPr>
        <w:t>合同专用条款</w:t>
      </w:r>
      <w:r>
        <w:rPr>
          <w:rFonts w:ascii="宋体" w:hAnsi="宋体" w:eastAsia="宋体"/>
          <w:sz w:val="24"/>
          <w:highlight w:val="none"/>
        </w:rPr>
        <w:t>约定时间内以书面形式通知</w:t>
      </w:r>
      <w:r>
        <w:rPr>
          <w:rFonts w:hint="eastAsia" w:ascii="宋体" w:hAnsi="宋体" w:eastAsia="宋体"/>
          <w:sz w:val="24"/>
          <w:highlight w:val="none"/>
        </w:rPr>
        <w:t>对</w:t>
      </w:r>
      <w:r>
        <w:rPr>
          <w:rFonts w:ascii="宋体" w:hAnsi="宋体" w:eastAsia="宋体"/>
          <w:sz w:val="24"/>
          <w:highlight w:val="none"/>
        </w:rPr>
        <w:t>方当事人，并在</w:t>
      </w:r>
      <w:r>
        <w:rPr>
          <w:rFonts w:ascii="宋体" w:hAnsi="宋体" w:eastAsia="宋体"/>
          <w:b/>
          <w:i/>
          <w:sz w:val="24"/>
          <w:highlight w:val="none"/>
          <w:u w:val="single"/>
        </w:rPr>
        <w:t>合同专用条款</w:t>
      </w:r>
      <w:r>
        <w:rPr>
          <w:rFonts w:ascii="宋体" w:hAnsi="宋体" w:eastAsia="宋体"/>
          <w:sz w:val="24"/>
          <w:highlight w:val="none"/>
        </w:rPr>
        <w:t>约定时间内，将有关部门出具的证明文件送达</w:t>
      </w:r>
      <w:r>
        <w:rPr>
          <w:rFonts w:hint="eastAsia" w:ascii="宋体" w:hAnsi="宋体" w:eastAsia="宋体"/>
          <w:sz w:val="24"/>
          <w:highlight w:val="none"/>
        </w:rPr>
        <w:t>对方当事人</w:t>
      </w:r>
      <w:r>
        <w:rPr>
          <w:rFonts w:ascii="宋体" w:hAnsi="宋体" w:eastAsia="宋体"/>
          <w:sz w:val="24"/>
          <w:highlight w:val="none"/>
        </w:rPr>
        <w:t>。</w:t>
      </w:r>
    </w:p>
    <w:p w14:paraId="6E10868C">
      <w:pPr>
        <w:spacing w:line="560" w:lineRule="exact"/>
        <w:ind w:firstLine="482" w:firstLineChars="200"/>
        <w:outlineLvl w:val="1"/>
        <w:rPr>
          <w:rFonts w:ascii="宋体" w:hAnsi="宋体" w:eastAsia="宋体"/>
          <w:b/>
          <w:sz w:val="24"/>
          <w:highlight w:val="none"/>
        </w:rPr>
      </w:pPr>
      <w:bookmarkStart w:id="465" w:name="_Toc3638"/>
      <w:bookmarkStart w:id="466" w:name="_Toc25783"/>
      <w:bookmarkStart w:id="467" w:name="_Toc14115"/>
      <w:bookmarkStart w:id="468" w:name="_Toc24465"/>
      <w:bookmarkStart w:id="469" w:name="_Toc23854"/>
      <w:r>
        <w:rPr>
          <w:rFonts w:ascii="宋体" w:hAnsi="宋体" w:eastAsia="宋体"/>
          <w:b/>
          <w:sz w:val="24"/>
          <w:highlight w:val="none"/>
        </w:rPr>
        <w:t>2.12 税费</w:t>
      </w:r>
      <w:bookmarkEnd w:id="465"/>
      <w:bookmarkEnd w:id="466"/>
      <w:bookmarkEnd w:id="467"/>
      <w:bookmarkEnd w:id="468"/>
      <w:bookmarkEnd w:id="469"/>
    </w:p>
    <w:p w14:paraId="62FB1BE8">
      <w:pPr>
        <w:spacing w:line="560" w:lineRule="exact"/>
        <w:ind w:firstLine="480" w:firstLineChars="200"/>
        <w:rPr>
          <w:rFonts w:ascii="宋体" w:hAnsi="宋体" w:eastAsia="宋体"/>
          <w:sz w:val="24"/>
          <w:highlight w:val="none"/>
        </w:rPr>
      </w:pPr>
      <w:r>
        <w:rPr>
          <w:rFonts w:ascii="宋体" w:hAnsi="宋体" w:eastAsia="宋体"/>
          <w:sz w:val="24"/>
          <w:highlight w:val="none"/>
        </w:rPr>
        <w:t>与合同有关的一切税费</w:t>
      </w:r>
      <w:r>
        <w:rPr>
          <w:rFonts w:hint="eastAsia" w:ascii="宋体" w:hAnsi="宋体" w:eastAsia="宋体"/>
          <w:sz w:val="24"/>
          <w:highlight w:val="none"/>
        </w:rPr>
        <w:t>，</w:t>
      </w:r>
      <w:r>
        <w:rPr>
          <w:rFonts w:ascii="宋体" w:hAnsi="宋体" w:eastAsia="宋体"/>
          <w:sz w:val="24"/>
          <w:highlight w:val="none"/>
        </w:rPr>
        <w:t>均按照中华人民共和国法律的相关规定缴纳。</w:t>
      </w:r>
    </w:p>
    <w:p w14:paraId="43D878B0">
      <w:pPr>
        <w:spacing w:line="560" w:lineRule="exact"/>
        <w:ind w:firstLine="482" w:firstLineChars="200"/>
        <w:outlineLvl w:val="1"/>
        <w:rPr>
          <w:rFonts w:ascii="宋体" w:hAnsi="宋体" w:eastAsia="宋体"/>
          <w:b/>
          <w:sz w:val="24"/>
          <w:highlight w:val="none"/>
        </w:rPr>
      </w:pPr>
      <w:bookmarkStart w:id="470" w:name="_Toc25525"/>
      <w:bookmarkStart w:id="471" w:name="_Toc14814"/>
      <w:bookmarkStart w:id="472" w:name="_Toc30105"/>
      <w:bookmarkStart w:id="473" w:name="_Toc26883"/>
      <w:bookmarkStart w:id="474" w:name="_Toc7315"/>
      <w:r>
        <w:rPr>
          <w:rFonts w:ascii="宋体" w:hAnsi="宋体" w:eastAsia="宋体"/>
          <w:b/>
          <w:sz w:val="24"/>
          <w:highlight w:val="none"/>
        </w:rPr>
        <w:t>2.13 乙方破产</w:t>
      </w:r>
      <w:bookmarkEnd w:id="470"/>
      <w:bookmarkEnd w:id="471"/>
      <w:bookmarkEnd w:id="472"/>
      <w:bookmarkEnd w:id="473"/>
      <w:bookmarkEnd w:id="474"/>
    </w:p>
    <w:p w14:paraId="53ACD8C7">
      <w:pPr>
        <w:spacing w:line="560" w:lineRule="exact"/>
        <w:ind w:firstLine="480" w:firstLineChars="200"/>
        <w:rPr>
          <w:rFonts w:ascii="宋体" w:hAnsi="宋体" w:eastAsia="宋体"/>
          <w:sz w:val="24"/>
          <w:highlight w:val="none"/>
        </w:rPr>
      </w:pPr>
      <w:r>
        <w:rPr>
          <w:rFonts w:ascii="宋体" w:hAnsi="宋体" w:eastAsia="宋体"/>
          <w:sz w:val="24"/>
          <w:highlight w:val="none"/>
        </w:rPr>
        <w:t>如果乙方破产导致合同无法履行时，甲方可以书面形式通知乙方终止合同且不给予乙方任何补偿和赔偿</w:t>
      </w:r>
      <w:r>
        <w:rPr>
          <w:rFonts w:hint="eastAsia" w:ascii="宋体" w:hAnsi="宋体" w:eastAsia="宋体"/>
          <w:sz w:val="24"/>
          <w:highlight w:val="none"/>
        </w:rPr>
        <w:t>，但合同的</w:t>
      </w:r>
      <w:r>
        <w:rPr>
          <w:rFonts w:ascii="宋体" w:hAnsi="宋体" w:eastAsia="宋体"/>
          <w:sz w:val="24"/>
          <w:highlight w:val="none"/>
        </w:rPr>
        <w:t>终止不损害或不影响甲方已经采取或将要采取的任何要求乙方支付违约金</w:t>
      </w:r>
      <w:r>
        <w:rPr>
          <w:rFonts w:hint="eastAsia" w:ascii="宋体" w:hAnsi="宋体" w:eastAsia="宋体"/>
          <w:sz w:val="24"/>
          <w:highlight w:val="none"/>
        </w:rPr>
        <w:t>、</w:t>
      </w:r>
      <w:r>
        <w:rPr>
          <w:rFonts w:ascii="宋体" w:hAnsi="宋体" w:eastAsia="宋体"/>
          <w:sz w:val="24"/>
          <w:highlight w:val="none"/>
        </w:rPr>
        <w:t>赔偿损失等的行动或补救措施的权利</w:t>
      </w:r>
      <w:r>
        <w:rPr>
          <w:rFonts w:hint="eastAsia" w:ascii="宋体" w:hAnsi="宋体" w:eastAsia="宋体"/>
          <w:sz w:val="24"/>
          <w:highlight w:val="none"/>
        </w:rPr>
        <w:t>。</w:t>
      </w:r>
    </w:p>
    <w:p w14:paraId="658FE60D">
      <w:pPr>
        <w:spacing w:line="560" w:lineRule="exact"/>
        <w:ind w:firstLine="482" w:firstLineChars="200"/>
        <w:outlineLvl w:val="1"/>
        <w:rPr>
          <w:rFonts w:ascii="宋体" w:hAnsi="宋体" w:eastAsia="宋体"/>
          <w:b/>
          <w:sz w:val="24"/>
          <w:highlight w:val="none"/>
        </w:rPr>
      </w:pPr>
      <w:bookmarkStart w:id="475" w:name="_Toc1123"/>
      <w:bookmarkStart w:id="476" w:name="_Toc2016"/>
      <w:bookmarkStart w:id="477" w:name="_Toc23323"/>
      <w:r>
        <w:rPr>
          <w:rFonts w:ascii="宋体" w:hAnsi="宋体" w:eastAsia="宋体"/>
          <w:b/>
          <w:sz w:val="24"/>
          <w:highlight w:val="none"/>
        </w:rPr>
        <w:t>2.14 合同中止、终止</w:t>
      </w:r>
      <w:bookmarkEnd w:id="475"/>
      <w:bookmarkEnd w:id="476"/>
      <w:bookmarkEnd w:id="477"/>
    </w:p>
    <w:p w14:paraId="5A0AC4A2">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2.14.1 </w:t>
      </w:r>
      <w:r>
        <w:rPr>
          <w:rFonts w:hint="eastAsia" w:ascii="宋体" w:hAnsi="宋体" w:eastAsia="宋体"/>
          <w:sz w:val="24"/>
          <w:highlight w:val="none"/>
        </w:rPr>
        <w:t>双方当事人不得擅自中止或者终止合同；</w:t>
      </w:r>
    </w:p>
    <w:p w14:paraId="1777EF58">
      <w:pPr>
        <w:spacing w:line="560" w:lineRule="exact"/>
        <w:ind w:firstLine="480" w:firstLineChars="200"/>
        <w:rPr>
          <w:rFonts w:ascii="宋体" w:hAnsi="宋体" w:eastAsia="宋体"/>
          <w:sz w:val="24"/>
          <w:highlight w:val="none"/>
        </w:rPr>
      </w:pPr>
      <w:r>
        <w:rPr>
          <w:rFonts w:ascii="宋体" w:hAnsi="宋体" w:eastAsia="宋体"/>
          <w:sz w:val="24"/>
          <w:highlight w:val="none"/>
        </w:rPr>
        <w:t>2.14.2合同继续履行将损害国家利益和社会公共利益的，双方当事人应当中止或者终止合同。有过错的一方应当承担赔偿责任，双方当事人都有过错的，各自承担相应的责任。</w:t>
      </w:r>
    </w:p>
    <w:p w14:paraId="26172291">
      <w:pPr>
        <w:spacing w:line="560" w:lineRule="exact"/>
        <w:ind w:firstLine="482" w:firstLineChars="200"/>
        <w:outlineLvl w:val="1"/>
        <w:rPr>
          <w:rFonts w:ascii="宋体" w:hAnsi="宋体" w:eastAsia="宋体"/>
          <w:b/>
          <w:sz w:val="24"/>
          <w:highlight w:val="none"/>
        </w:rPr>
      </w:pPr>
      <w:bookmarkStart w:id="478" w:name="_Toc1969"/>
      <w:bookmarkStart w:id="479" w:name="_Toc14525"/>
      <w:bookmarkStart w:id="480" w:name="_Toc17363"/>
      <w:r>
        <w:rPr>
          <w:rFonts w:ascii="宋体" w:hAnsi="宋体" w:eastAsia="宋体"/>
          <w:b/>
          <w:sz w:val="24"/>
          <w:highlight w:val="none"/>
        </w:rPr>
        <w:t>2.15 检验和验收</w:t>
      </w:r>
      <w:bookmarkEnd w:id="478"/>
      <w:bookmarkEnd w:id="479"/>
      <w:bookmarkEnd w:id="480"/>
    </w:p>
    <w:p w14:paraId="3377470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2.15.1 </w:t>
      </w:r>
      <w:r>
        <w:rPr>
          <w:rFonts w:hint="eastAsia" w:ascii="宋体" w:hAnsi="宋体" w:eastAsia="宋体"/>
          <w:sz w:val="24"/>
          <w:highlight w:val="none"/>
        </w:rPr>
        <w:t>乙方按照</w:t>
      </w:r>
      <w:r>
        <w:rPr>
          <w:rFonts w:ascii="宋体" w:hAnsi="宋体" w:eastAsia="宋体"/>
          <w:b/>
          <w:i/>
          <w:sz w:val="24"/>
          <w:highlight w:val="none"/>
          <w:u w:val="single"/>
        </w:rPr>
        <w:t>合同专用条款</w:t>
      </w:r>
      <w:r>
        <w:rPr>
          <w:rFonts w:ascii="宋体" w:hAnsi="宋体" w:eastAsia="宋体"/>
          <w:sz w:val="24"/>
          <w:highlight w:val="none"/>
        </w:rPr>
        <w:t>的约定</w:t>
      </w:r>
      <w:r>
        <w:rPr>
          <w:rFonts w:hint="eastAsia" w:ascii="宋体" w:hAnsi="宋体" w:eastAsia="宋体"/>
          <w:sz w:val="24"/>
          <w:highlight w:val="none"/>
        </w:rPr>
        <w:t>，</w:t>
      </w:r>
      <w:r>
        <w:rPr>
          <w:rFonts w:ascii="宋体" w:hAnsi="宋体" w:eastAsia="宋体"/>
          <w:sz w:val="24"/>
          <w:highlight w:val="none"/>
        </w:rPr>
        <w:t>定期提交服务报告</w:t>
      </w:r>
      <w:r>
        <w:rPr>
          <w:rFonts w:hint="eastAsia" w:ascii="宋体" w:hAnsi="宋体" w:eastAsia="宋体"/>
          <w:sz w:val="24"/>
          <w:highlight w:val="none"/>
        </w:rPr>
        <w:t>，甲方按照</w:t>
      </w:r>
      <w:r>
        <w:rPr>
          <w:rFonts w:ascii="宋体" w:hAnsi="宋体" w:eastAsia="宋体"/>
          <w:b/>
          <w:i/>
          <w:sz w:val="24"/>
          <w:highlight w:val="none"/>
          <w:u w:val="single"/>
        </w:rPr>
        <w:t>合同专用条款</w:t>
      </w:r>
      <w:r>
        <w:rPr>
          <w:rFonts w:ascii="宋体" w:hAnsi="宋体" w:eastAsia="宋体"/>
          <w:sz w:val="24"/>
          <w:highlight w:val="none"/>
        </w:rPr>
        <w:t>的约定进行定期验收</w:t>
      </w:r>
      <w:r>
        <w:rPr>
          <w:rFonts w:hint="eastAsia" w:ascii="宋体" w:hAnsi="宋体" w:eastAsia="宋体"/>
          <w:sz w:val="24"/>
          <w:highlight w:val="none"/>
        </w:rPr>
        <w:t>；</w:t>
      </w:r>
    </w:p>
    <w:p w14:paraId="78CCC27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2.15.2 </w:t>
      </w:r>
      <w:r>
        <w:rPr>
          <w:rFonts w:hint="eastAsia" w:ascii="宋体" w:hAnsi="宋体" w:eastAsia="宋体"/>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4F7FF5D">
      <w:pPr>
        <w:tabs>
          <w:tab w:val="left" w:pos="360"/>
          <w:tab w:val="left" w:pos="540"/>
          <w:tab w:val="left" w:pos="1080"/>
        </w:tabs>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2.15.3 </w:t>
      </w:r>
      <w:r>
        <w:rPr>
          <w:rFonts w:hint="eastAsia" w:ascii="宋体" w:hAnsi="宋体" w:eastAsia="宋体"/>
          <w:sz w:val="24"/>
          <w:highlight w:val="none"/>
        </w:rPr>
        <w:t>检验和验收标准、程序等具体内容以及前述验收书的效力详见</w:t>
      </w:r>
      <w:r>
        <w:rPr>
          <w:rFonts w:ascii="宋体" w:hAnsi="宋体" w:eastAsia="宋体"/>
          <w:b/>
          <w:i/>
          <w:sz w:val="24"/>
          <w:highlight w:val="none"/>
          <w:u w:val="single"/>
        </w:rPr>
        <w:t>合同专用条款</w:t>
      </w:r>
      <w:r>
        <w:rPr>
          <w:rFonts w:hint="eastAsia" w:ascii="宋体" w:hAnsi="宋体" w:eastAsia="宋体"/>
          <w:i/>
          <w:sz w:val="24"/>
          <w:highlight w:val="none"/>
        </w:rPr>
        <w:t>。</w:t>
      </w:r>
    </w:p>
    <w:p w14:paraId="6B7593EC">
      <w:pPr>
        <w:spacing w:line="560" w:lineRule="exact"/>
        <w:ind w:firstLine="482" w:firstLineChars="200"/>
        <w:outlineLvl w:val="1"/>
        <w:rPr>
          <w:rFonts w:ascii="宋体" w:hAnsi="宋体" w:eastAsia="宋体"/>
          <w:b/>
          <w:sz w:val="24"/>
          <w:highlight w:val="none"/>
        </w:rPr>
      </w:pPr>
      <w:bookmarkStart w:id="481" w:name="_Toc31892"/>
      <w:bookmarkStart w:id="482" w:name="_Toc12666"/>
      <w:bookmarkStart w:id="483" w:name="_Toc9808"/>
      <w:bookmarkStart w:id="484" w:name="_Toc2308"/>
      <w:bookmarkStart w:id="485" w:name="_Toc25198"/>
      <w:r>
        <w:rPr>
          <w:rFonts w:ascii="宋体" w:hAnsi="宋体" w:eastAsia="宋体"/>
          <w:b/>
          <w:sz w:val="24"/>
          <w:highlight w:val="none"/>
        </w:rPr>
        <w:t>2.16 通知和送达</w:t>
      </w:r>
      <w:bookmarkEnd w:id="481"/>
      <w:bookmarkEnd w:id="482"/>
      <w:bookmarkEnd w:id="483"/>
      <w:bookmarkEnd w:id="484"/>
      <w:bookmarkEnd w:id="485"/>
    </w:p>
    <w:p w14:paraId="7543F940">
      <w:pPr>
        <w:spacing w:line="560" w:lineRule="exact"/>
        <w:ind w:firstLine="480" w:firstLineChars="200"/>
        <w:rPr>
          <w:rFonts w:ascii="宋体" w:hAnsi="宋体" w:eastAsia="宋体"/>
          <w:sz w:val="24"/>
          <w:highlight w:val="none"/>
        </w:rPr>
      </w:pPr>
      <w:bookmarkStart w:id="486" w:name="_Toc18401"/>
      <w:bookmarkStart w:id="487" w:name="_Toc27674"/>
      <w:r>
        <w:rPr>
          <w:rFonts w:ascii="宋体" w:hAnsi="宋体" w:eastAsia="宋体"/>
          <w:sz w:val="24"/>
          <w:highlight w:val="none"/>
        </w:rPr>
        <w:t>2.17.1</w:t>
      </w:r>
      <w:r>
        <w:rPr>
          <w:rFonts w:hint="eastAsia" w:ascii="宋体" w:hAnsi="宋体" w:eastAsia="宋体"/>
          <w:sz w:val="24"/>
          <w:highlight w:val="none"/>
        </w:rPr>
        <w:t>任何一方因履行合同而以合同第一部分尾部所列明的传真或电子邮件</w:t>
      </w:r>
      <w:r>
        <w:rPr>
          <w:rFonts w:ascii="宋体" w:hAnsi="宋体" w:eastAsia="宋体"/>
          <w:sz w:val="24"/>
          <w:highlight w:val="none"/>
        </w:rPr>
        <w:t xml:space="preserve"> </w:t>
      </w:r>
      <w:r>
        <w:rPr>
          <w:rFonts w:ascii="宋体" w:hAnsi="宋体" w:eastAsia="宋体"/>
          <w:sz w:val="24"/>
          <w:highlight w:val="none"/>
          <w:u w:val="single"/>
        </w:rPr>
        <w:t xml:space="preserve">       </w:t>
      </w:r>
      <w:r>
        <w:rPr>
          <w:rFonts w:hint="eastAsia" w:ascii="宋体" w:hAnsi="宋体" w:eastAsia="宋体"/>
          <w:sz w:val="24"/>
          <w:highlight w:val="none"/>
        </w:rPr>
        <w:t>发出的所有通知、文件、材料，均视为已向对方当事人送达；任何一方变更上述送达方式或者地址的，应于</w:t>
      </w:r>
      <w:r>
        <w:rPr>
          <w:rFonts w:ascii="宋体" w:hAnsi="宋体" w:eastAsia="宋体"/>
          <w:sz w:val="24"/>
          <w:highlight w:val="none"/>
          <w:u w:val="single"/>
        </w:rPr>
        <w:t>3</w:t>
      </w:r>
      <w:r>
        <w:rPr>
          <w:rFonts w:hint="eastAsia" w:ascii="宋体" w:hAnsi="宋体" w:eastAsia="宋体"/>
          <w:sz w:val="24"/>
          <w:highlight w:val="none"/>
        </w:rPr>
        <w:t>个工作日内书面通知对方当事人，在对方当事人收到有关变更通知之前，变更前的约定送达方式或者地址仍视为有效。</w:t>
      </w:r>
    </w:p>
    <w:p w14:paraId="59C72D6C">
      <w:pPr>
        <w:spacing w:line="560" w:lineRule="exact"/>
        <w:ind w:firstLine="480" w:firstLineChars="200"/>
        <w:rPr>
          <w:rFonts w:ascii="宋体" w:hAnsi="宋体" w:eastAsia="宋体"/>
          <w:sz w:val="24"/>
          <w:highlight w:val="none"/>
        </w:rPr>
      </w:pPr>
      <w:r>
        <w:rPr>
          <w:rFonts w:ascii="宋体" w:hAnsi="宋体" w:eastAsia="宋体"/>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sz w:val="24"/>
          <w:highlight w:val="none"/>
        </w:rPr>
        <w:t>的，邮件挂号寄出或者交邮之日之次日视为送达。</w:t>
      </w:r>
      <w:bookmarkEnd w:id="486"/>
      <w:bookmarkEnd w:id="487"/>
    </w:p>
    <w:p w14:paraId="0AECD2A6">
      <w:pPr>
        <w:spacing w:line="560" w:lineRule="exact"/>
        <w:ind w:firstLine="482" w:firstLineChars="200"/>
        <w:outlineLvl w:val="1"/>
        <w:rPr>
          <w:rFonts w:ascii="宋体" w:hAnsi="宋体" w:eastAsia="宋体"/>
          <w:b/>
          <w:sz w:val="24"/>
          <w:highlight w:val="none"/>
        </w:rPr>
      </w:pPr>
      <w:bookmarkStart w:id="488" w:name="_Toc27644"/>
      <w:bookmarkStart w:id="489" w:name="_Toc5063"/>
      <w:bookmarkStart w:id="490" w:name="_Toc12254"/>
      <w:bookmarkStart w:id="491" w:name="_Toc20808"/>
      <w:bookmarkStart w:id="492" w:name="_Toc28906"/>
      <w:r>
        <w:rPr>
          <w:rFonts w:ascii="宋体" w:hAnsi="宋体" w:eastAsia="宋体"/>
          <w:b/>
          <w:sz w:val="24"/>
          <w:highlight w:val="none"/>
        </w:rPr>
        <w:t xml:space="preserve">2.17 </w:t>
      </w:r>
      <w:r>
        <w:rPr>
          <w:rFonts w:hint="eastAsia" w:ascii="宋体" w:hAnsi="宋体" w:eastAsia="宋体"/>
          <w:b/>
          <w:sz w:val="24"/>
          <w:highlight w:val="none"/>
        </w:rPr>
        <w:t>合同使用的文字和</w:t>
      </w:r>
      <w:r>
        <w:rPr>
          <w:rFonts w:ascii="宋体" w:hAnsi="宋体" w:eastAsia="宋体"/>
          <w:b/>
          <w:sz w:val="24"/>
          <w:highlight w:val="none"/>
        </w:rPr>
        <w:t>适用的法律</w:t>
      </w:r>
      <w:bookmarkEnd w:id="488"/>
      <w:bookmarkEnd w:id="489"/>
      <w:bookmarkEnd w:id="490"/>
      <w:bookmarkEnd w:id="491"/>
      <w:bookmarkEnd w:id="492"/>
    </w:p>
    <w:p w14:paraId="074C7A0B">
      <w:pPr>
        <w:spacing w:line="560" w:lineRule="exact"/>
        <w:ind w:firstLine="480" w:firstLineChars="200"/>
        <w:rPr>
          <w:rFonts w:ascii="宋体" w:hAnsi="宋体" w:eastAsia="宋体"/>
          <w:sz w:val="24"/>
          <w:highlight w:val="none"/>
        </w:rPr>
      </w:pPr>
      <w:r>
        <w:rPr>
          <w:rFonts w:ascii="宋体" w:hAnsi="宋体" w:eastAsia="宋体"/>
          <w:sz w:val="24"/>
          <w:highlight w:val="none"/>
        </w:rPr>
        <w:t>2.17.1 合同使用汉语</w:t>
      </w:r>
      <w:r>
        <w:rPr>
          <w:rFonts w:hint="eastAsia" w:ascii="宋体" w:hAnsi="宋体" w:eastAsia="宋体"/>
          <w:sz w:val="24"/>
          <w:highlight w:val="none"/>
          <w:lang w:eastAsia="zh-CN"/>
        </w:rPr>
        <w:t>书写</w:t>
      </w:r>
      <w:r>
        <w:rPr>
          <w:rFonts w:hint="eastAsia" w:ascii="宋体" w:hAnsi="宋体" w:eastAsia="宋体"/>
          <w:sz w:val="24"/>
          <w:highlight w:val="none"/>
        </w:rPr>
        <w:t>、</w:t>
      </w:r>
      <w:r>
        <w:rPr>
          <w:rFonts w:ascii="宋体" w:hAnsi="宋体" w:eastAsia="宋体"/>
          <w:sz w:val="24"/>
          <w:highlight w:val="none"/>
        </w:rPr>
        <w:t>变更和解释</w:t>
      </w:r>
      <w:r>
        <w:rPr>
          <w:rFonts w:hint="eastAsia" w:ascii="宋体" w:hAnsi="宋体" w:eastAsia="宋体"/>
          <w:sz w:val="24"/>
          <w:highlight w:val="none"/>
        </w:rPr>
        <w:t>；</w:t>
      </w:r>
    </w:p>
    <w:p w14:paraId="4493EB4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2.17.2 </w:t>
      </w:r>
      <w:r>
        <w:rPr>
          <w:rFonts w:hint="eastAsia" w:ascii="宋体" w:hAnsi="宋体" w:eastAsia="宋体"/>
          <w:sz w:val="24"/>
          <w:highlight w:val="none"/>
        </w:rPr>
        <w:t>合同适用</w:t>
      </w:r>
      <w:r>
        <w:rPr>
          <w:rFonts w:ascii="宋体" w:hAnsi="宋体" w:eastAsia="宋体"/>
          <w:sz w:val="24"/>
          <w:highlight w:val="none"/>
        </w:rPr>
        <w:t>中华人民共和国法律。</w:t>
      </w:r>
    </w:p>
    <w:p w14:paraId="1FD7859B">
      <w:pPr>
        <w:spacing w:line="560" w:lineRule="exact"/>
        <w:ind w:firstLine="482" w:firstLineChars="200"/>
        <w:outlineLvl w:val="1"/>
        <w:rPr>
          <w:rFonts w:ascii="宋体" w:hAnsi="宋体" w:eastAsia="宋体"/>
          <w:b/>
          <w:sz w:val="24"/>
          <w:highlight w:val="none"/>
        </w:rPr>
      </w:pPr>
      <w:bookmarkStart w:id="493" w:name="_Toc22266"/>
      <w:bookmarkStart w:id="494" w:name="_Toc27127"/>
      <w:bookmarkStart w:id="495" w:name="_Toc27403"/>
      <w:bookmarkStart w:id="496" w:name="_Toc1492"/>
      <w:bookmarkStart w:id="497" w:name="_Toc30096"/>
      <w:r>
        <w:rPr>
          <w:rFonts w:ascii="宋体" w:hAnsi="宋体" w:eastAsia="宋体"/>
          <w:b/>
          <w:sz w:val="24"/>
          <w:highlight w:val="none"/>
        </w:rPr>
        <w:t>2.18 履约保证金</w:t>
      </w:r>
      <w:bookmarkEnd w:id="493"/>
      <w:bookmarkEnd w:id="494"/>
      <w:bookmarkEnd w:id="495"/>
      <w:bookmarkEnd w:id="496"/>
      <w:bookmarkEnd w:id="497"/>
    </w:p>
    <w:p w14:paraId="45D4324E">
      <w:pPr>
        <w:pStyle w:val="626"/>
        <w:spacing w:before="0" w:beforeAutospacing="0" w:after="0" w:afterAutospacing="0" w:line="360" w:lineRule="auto"/>
        <w:ind w:firstLine="420"/>
        <w:rPr>
          <w:rFonts w:ascii="宋体" w:hAnsi="宋体" w:eastAsia="宋体"/>
          <w:highlight w:val="none"/>
        </w:rPr>
      </w:pPr>
      <w:r>
        <w:rPr>
          <w:rFonts w:ascii="宋体" w:hAnsi="宋体" w:eastAsia="宋体"/>
          <w:highlight w:val="none"/>
        </w:rPr>
        <w:t xml:space="preserve">2.18.1 </w:t>
      </w:r>
      <w:r>
        <w:rPr>
          <w:rFonts w:hint="eastAsia" w:ascii="宋体" w:hAnsi="宋体" w:eastAsia="宋体"/>
          <w:highlight w:val="none"/>
        </w:rPr>
        <w:t>采购文件要求乙方提交履约保证金的，乙方应按</w:t>
      </w:r>
      <w:r>
        <w:rPr>
          <w:rFonts w:hint="eastAsia" w:ascii="宋体" w:hAnsi="宋体" w:eastAsia="宋体"/>
          <w:b/>
          <w:i/>
          <w:highlight w:val="none"/>
          <w:u w:val="single"/>
        </w:rPr>
        <w:t>合同专用条款</w:t>
      </w:r>
      <w:r>
        <w:rPr>
          <w:rFonts w:hint="eastAsia" w:ascii="宋体" w:hAnsi="宋体" w:eastAsia="宋体"/>
          <w:highlight w:val="none"/>
        </w:rPr>
        <w:t>约定的方式，以支票、汇票、本票或者金融机构、担保机构出具的保函等非现金形式或者现金形式，提交不超过合同金额</w:t>
      </w:r>
      <w:r>
        <w:rPr>
          <w:rFonts w:ascii="宋体" w:hAnsi="宋体" w:eastAsia="宋体"/>
          <w:highlight w:val="none"/>
        </w:rPr>
        <w:t>1%的履约保证金；鼓励和支持乙方以银行、保险公司出具的保函形式提供履约保证</w:t>
      </w:r>
      <w:r>
        <w:rPr>
          <w:rFonts w:hint="eastAsia" w:ascii="宋体" w:hAnsi="宋体" w:eastAsia="宋体"/>
          <w:highlight w:val="none"/>
        </w:rPr>
        <w:t>，乙方以银行、保险公司出具保函形式提交履约保证金的，甲方不得拒收。</w:t>
      </w:r>
    </w:p>
    <w:p w14:paraId="4CE94CBD">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2.18.2  </w:t>
      </w:r>
      <w:r>
        <w:rPr>
          <w:rFonts w:hint="eastAsia" w:ascii="宋体" w:hAnsi="宋体" w:eastAsia="宋体"/>
          <w:sz w:val="24"/>
          <w:highlight w:val="none"/>
        </w:rPr>
        <w:t>甲方在项目验收结束后及时退还履约保证金。</w:t>
      </w:r>
      <w:r>
        <w:rPr>
          <w:rFonts w:hint="eastAsia" w:ascii="宋体" w:hAnsi="宋体" w:cs="宋体"/>
          <w:sz w:val="24"/>
          <w:highlight w:val="none"/>
        </w:rPr>
        <w:t>甲方在项目通过验收之日起</w:t>
      </w:r>
      <w:r>
        <w:rPr>
          <w:rFonts w:hint="eastAsia" w:ascii="宋体" w:hAnsi="宋体" w:cs="宋体"/>
          <w:sz w:val="24"/>
          <w:highlight w:val="none"/>
          <w:u w:val="single"/>
        </w:rPr>
        <w:t xml:space="preserve"> </w:t>
      </w:r>
      <w:r>
        <w:rPr>
          <w:rFonts w:hint="eastAsia" w:ascii="宋体" w:hAnsi="宋体" w:cs="宋体"/>
          <w:b/>
          <w:i/>
          <w:sz w:val="24"/>
          <w:highlight w:val="none"/>
          <w:u w:val="single"/>
        </w:rPr>
        <w:t>合同专用条款</w:t>
      </w:r>
      <w:r>
        <w:rPr>
          <w:rFonts w:hint="eastAsia" w:ascii="宋体" w:hAnsi="宋体" w:cs="宋体"/>
          <w:sz w:val="24"/>
          <w:highlight w:val="none"/>
          <w:u w:val="single"/>
        </w:rPr>
        <w:t xml:space="preserve"> </w:t>
      </w:r>
      <w:r>
        <w:rPr>
          <w:rFonts w:hint="eastAsia" w:ascii="宋体" w:hAnsi="宋体" w:cs="宋体"/>
          <w:sz w:val="24"/>
          <w:highlight w:val="none"/>
        </w:rPr>
        <w:t>个工作日内将履约保证金退还乙方，逾期退还的，</w:t>
      </w:r>
      <w:r>
        <w:rPr>
          <w:rFonts w:hint="eastAsia" w:ascii="宋体" w:hAnsi="宋体" w:eastAsia="宋体"/>
          <w:sz w:val="24"/>
          <w:highlight w:val="none"/>
        </w:rPr>
        <w:t>乙方可要求甲方支付违约金，违约金按每迟延退还一日的应退还而未退还金额的</w:t>
      </w:r>
      <w:r>
        <w:rPr>
          <w:rFonts w:ascii="宋体" w:hAnsi="宋体" w:eastAsia="宋体"/>
          <w:sz w:val="24"/>
          <w:highlight w:val="none"/>
          <w:u w:val="single"/>
        </w:rPr>
        <w:t xml:space="preserve">  0.05  </w:t>
      </w:r>
      <w:r>
        <w:rPr>
          <w:rFonts w:ascii="宋体" w:hAnsi="宋体" w:eastAsia="宋体"/>
          <w:sz w:val="24"/>
          <w:highlight w:val="none"/>
        </w:rPr>
        <w:t>%计算，最高限额为本合同履约保证金的</w:t>
      </w:r>
      <w:r>
        <w:rPr>
          <w:rFonts w:ascii="宋体" w:hAnsi="宋体" w:eastAsia="宋体"/>
          <w:sz w:val="24"/>
          <w:highlight w:val="none"/>
          <w:u w:val="single"/>
        </w:rPr>
        <w:t xml:space="preserve">  20   </w:t>
      </w:r>
      <w:r>
        <w:rPr>
          <w:rFonts w:ascii="宋体" w:hAnsi="宋体" w:eastAsia="宋体"/>
          <w:sz w:val="24"/>
          <w:highlight w:val="none"/>
        </w:rPr>
        <w:t xml:space="preserve">%； </w:t>
      </w:r>
    </w:p>
    <w:p w14:paraId="699DF61E">
      <w:pPr>
        <w:spacing w:line="560" w:lineRule="exact"/>
        <w:ind w:firstLine="480" w:firstLineChars="200"/>
        <w:rPr>
          <w:rFonts w:ascii="宋体" w:hAnsi="宋体" w:eastAsia="宋体"/>
          <w:sz w:val="24"/>
          <w:highlight w:val="none"/>
        </w:rPr>
      </w:pPr>
      <w:r>
        <w:rPr>
          <w:rFonts w:ascii="宋体" w:hAnsi="宋体" w:eastAsia="宋体"/>
          <w:sz w:val="24"/>
          <w:highlight w:val="none"/>
        </w:rPr>
        <w:t xml:space="preserve">2.18.3 </w:t>
      </w:r>
      <w:r>
        <w:rPr>
          <w:rFonts w:hint="eastAsia" w:ascii="宋体" w:hAnsi="宋体" w:eastAsia="宋体"/>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D750E21">
      <w:pPr>
        <w:spacing w:line="560" w:lineRule="exact"/>
        <w:ind w:firstLine="480" w:firstLineChars="200"/>
        <w:rPr>
          <w:rFonts w:ascii="宋体" w:hAnsi="宋体" w:eastAsia="宋体"/>
          <w:highlight w:val="none"/>
        </w:rPr>
      </w:pPr>
      <w:r>
        <w:rPr>
          <w:rFonts w:ascii="宋体" w:hAnsi="宋体" w:eastAsia="宋体"/>
          <w:sz w:val="24"/>
          <w:highlight w:val="none"/>
        </w:rPr>
        <w:t>2.18.4</w:t>
      </w:r>
      <w:r>
        <w:rPr>
          <w:rFonts w:hint="eastAsia" w:ascii="宋体" w:hAnsi="宋体" w:eastAsia="宋体"/>
          <w:sz w:val="24"/>
          <w:highlight w:val="none"/>
        </w:rPr>
        <w:t> 甲方</w:t>
      </w:r>
      <w:r>
        <w:rPr>
          <w:rFonts w:ascii="宋体" w:hAnsi="宋体" w:eastAsia="宋体"/>
          <w:sz w:val="24"/>
          <w:highlight w:val="none"/>
        </w:rPr>
        <w:t>在</w:t>
      </w:r>
      <w:r>
        <w:rPr>
          <w:rFonts w:hint="eastAsia" w:ascii="宋体" w:hAnsi="宋体" w:eastAsia="宋体"/>
          <w:sz w:val="24"/>
          <w:highlight w:val="none"/>
        </w:rPr>
        <w:t>乙方</w:t>
      </w:r>
      <w:r>
        <w:rPr>
          <w:rFonts w:ascii="宋体" w:hAnsi="宋体" w:eastAsia="宋体"/>
          <w:sz w:val="24"/>
          <w:highlight w:val="none"/>
        </w:rPr>
        <w:t>履行完合同约定义务事项后及时退还，延迟退还的，应当按照合同约定和法律规定承担相应的赔偿责任。</w:t>
      </w:r>
    </w:p>
    <w:p w14:paraId="49AA367D">
      <w:pPr>
        <w:spacing w:line="560" w:lineRule="exact"/>
        <w:ind w:firstLine="482" w:firstLineChars="200"/>
        <w:rPr>
          <w:rFonts w:ascii="宋体" w:hAnsi="宋体" w:eastAsia="宋体"/>
          <w:sz w:val="24"/>
          <w:highlight w:val="none"/>
        </w:rPr>
      </w:pPr>
      <w:r>
        <w:rPr>
          <w:rFonts w:ascii="宋体" w:hAnsi="宋体" w:eastAsia="宋体"/>
          <w:b/>
          <w:bCs/>
          <w:sz w:val="24"/>
          <w:highlight w:val="none"/>
        </w:rPr>
        <w:t>2.19</w:t>
      </w:r>
      <w:r>
        <w:rPr>
          <w:rFonts w:ascii="宋体" w:hAnsi="宋体" w:eastAsia="宋体"/>
          <w:sz w:val="24"/>
          <w:highlight w:val="none"/>
        </w:rPr>
        <w:t>对于因甲方原因导致变更、中止或者终止政府采购合同的，甲方应当依照合同约定对供应商受到的损失予以赔偿或者补偿</w:t>
      </w:r>
      <w:r>
        <w:rPr>
          <w:rFonts w:hint="eastAsia" w:ascii="宋体" w:hAnsi="宋体" w:eastAsia="宋体"/>
          <w:sz w:val="24"/>
          <w:highlight w:val="none"/>
        </w:rPr>
        <w:t>。</w:t>
      </w:r>
    </w:p>
    <w:p w14:paraId="5D998853">
      <w:pPr>
        <w:spacing w:line="560" w:lineRule="exact"/>
        <w:ind w:firstLine="482" w:firstLineChars="200"/>
        <w:rPr>
          <w:rFonts w:ascii="宋体" w:hAnsi="宋体" w:eastAsia="宋体"/>
          <w:b/>
          <w:sz w:val="24"/>
          <w:highlight w:val="none"/>
        </w:rPr>
      </w:pPr>
      <w:r>
        <w:rPr>
          <w:rFonts w:ascii="宋体" w:hAnsi="宋体" w:eastAsia="宋体"/>
          <w:b/>
          <w:sz w:val="24"/>
          <w:highlight w:val="none"/>
        </w:rPr>
        <w:t>2.20合同份数</w:t>
      </w:r>
    </w:p>
    <w:p w14:paraId="5F27306A">
      <w:pPr>
        <w:spacing w:line="560" w:lineRule="exact"/>
        <w:ind w:firstLine="480" w:firstLineChars="200"/>
        <w:rPr>
          <w:rFonts w:ascii="宋体" w:hAnsi="宋体" w:eastAsia="宋体"/>
          <w:sz w:val="24"/>
          <w:highlight w:val="none"/>
        </w:rPr>
      </w:pPr>
      <w:r>
        <w:rPr>
          <w:rFonts w:ascii="宋体" w:hAnsi="宋体" w:eastAsia="宋体"/>
          <w:sz w:val="24"/>
          <w:highlight w:val="none"/>
        </w:rPr>
        <w:t>合同份数按</w:t>
      </w:r>
      <w:r>
        <w:rPr>
          <w:rFonts w:ascii="宋体" w:hAnsi="宋体" w:eastAsia="宋体"/>
          <w:b/>
          <w:i/>
          <w:sz w:val="24"/>
          <w:highlight w:val="none"/>
          <w:u w:val="single"/>
        </w:rPr>
        <w:t>合同专用条款</w:t>
      </w:r>
      <w:r>
        <w:rPr>
          <w:rFonts w:ascii="宋体" w:hAnsi="宋体" w:eastAsia="宋体"/>
          <w:sz w:val="24"/>
          <w:highlight w:val="none"/>
        </w:rPr>
        <w:t>规定</w:t>
      </w:r>
      <w:r>
        <w:rPr>
          <w:rFonts w:hint="eastAsia" w:ascii="宋体" w:hAnsi="宋体" w:eastAsia="宋体"/>
          <w:sz w:val="24"/>
          <w:highlight w:val="none"/>
        </w:rPr>
        <w:t>，</w:t>
      </w:r>
      <w:r>
        <w:rPr>
          <w:rFonts w:ascii="宋体" w:hAnsi="宋体" w:eastAsia="宋体"/>
          <w:sz w:val="24"/>
          <w:highlight w:val="none"/>
        </w:rPr>
        <w:t>每份均具有同等法律效力</w:t>
      </w:r>
      <w:r>
        <w:rPr>
          <w:rFonts w:hint="eastAsia" w:ascii="宋体" w:hAnsi="宋体" w:eastAsia="宋体"/>
          <w:sz w:val="24"/>
          <w:highlight w:val="none"/>
        </w:rPr>
        <w:t>。</w:t>
      </w:r>
    </w:p>
    <w:p w14:paraId="075AA104">
      <w:pPr>
        <w:spacing w:line="240" w:lineRule="auto"/>
        <w:jc w:val="center"/>
        <w:outlineLvl w:val="9"/>
        <w:rPr>
          <w:rFonts w:ascii="宋体" w:hAnsi="宋体" w:cs="宋体"/>
          <w:b/>
          <w:sz w:val="24"/>
          <w:highlight w:val="none"/>
        </w:rPr>
      </w:pPr>
      <w:r>
        <w:rPr>
          <w:rFonts w:hint="eastAsia" w:ascii="宋体" w:hAnsi="宋体" w:cs="宋体"/>
          <w:kern w:val="0"/>
          <w:highlight w:val="none"/>
        </w:rPr>
        <w:br w:type="page"/>
      </w:r>
      <w:r>
        <w:rPr>
          <w:rFonts w:hint="eastAsia" w:ascii="宋体" w:hAnsi="宋体" w:cs="宋体"/>
          <w:b/>
          <w:sz w:val="24"/>
          <w:highlight w:val="none"/>
        </w:rPr>
        <w:t xml:space="preserve"> 第三部分  合同专用条款</w:t>
      </w:r>
    </w:p>
    <w:p w14:paraId="73FFC1EF">
      <w:pPr>
        <w:spacing w:line="560" w:lineRule="exact"/>
        <w:ind w:left="-420" w:leftChars="-200" w:right="-420" w:rightChars="-200" w:firstLine="480" w:firstLineChars="200"/>
        <w:rPr>
          <w:rFonts w:ascii="宋体" w:hAnsi="宋体" w:cs="宋体"/>
          <w:highlight w:val="none"/>
        </w:rPr>
      </w:pPr>
      <w:r>
        <w:rPr>
          <w:rFonts w:hint="eastAsia" w:ascii="宋体" w:hAnsi="宋体" w:cs="宋体"/>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4763D2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2E6BAD07">
            <w:pPr>
              <w:spacing w:before="0" w:beforeAutospacing="0" w:after="0" w:afterAutospacing="0" w:line="360" w:lineRule="auto"/>
              <w:ind w:left="0" w:right="0"/>
              <w:jc w:val="center"/>
              <w:rPr>
                <w:rFonts w:hint="default" w:ascii="宋体" w:hAnsi="宋体" w:cs="宋体"/>
                <w:b/>
                <w:sz w:val="24"/>
                <w:szCs w:val="20"/>
                <w:highlight w:val="none"/>
              </w:rPr>
            </w:pPr>
            <w:r>
              <w:rPr>
                <w:rFonts w:hint="eastAsia" w:ascii="宋体" w:hAnsi="宋体" w:cs="宋体"/>
                <w:b/>
                <w:sz w:val="24"/>
                <w:szCs w:val="20"/>
                <w:highlight w:val="none"/>
              </w:rPr>
              <w:t>条款号</w:t>
            </w:r>
          </w:p>
        </w:tc>
        <w:tc>
          <w:tcPr>
            <w:tcW w:w="8275" w:type="dxa"/>
            <w:vAlign w:val="center"/>
          </w:tcPr>
          <w:p w14:paraId="649651FF">
            <w:pPr>
              <w:spacing w:before="0" w:beforeAutospacing="0" w:after="0" w:afterAutospacing="0" w:line="360" w:lineRule="auto"/>
              <w:ind w:left="0" w:right="0"/>
              <w:jc w:val="center"/>
              <w:rPr>
                <w:rFonts w:hint="default" w:ascii="宋体" w:hAnsi="宋体" w:cs="宋体"/>
                <w:b/>
                <w:sz w:val="24"/>
                <w:szCs w:val="20"/>
                <w:highlight w:val="none"/>
              </w:rPr>
            </w:pPr>
            <w:r>
              <w:rPr>
                <w:rFonts w:hint="eastAsia" w:ascii="宋体" w:hAnsi="宋体" w:cs="宋体"/>
                <w:b/>
                <w:sz w:val="24"/>
                <w:szCs w:val="20"/>
                <w:highlight w:val="none"/>
              </w:rPr>
              <w:t>约定内容</w:t>
            </w:r>
          </w:p>
        </w:tc>
      </w:tr>
      <w:tr w14:paraId="59457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7426F7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 xml:space="preserve">1.5.1 </w:t>
            </w:r>
          </w:p>
        </w:tc>
        <w:tc>
          <w:tcPr>
            <w:tcW w:w="8275" w:type="dxa"/>
            <w:vAlign w:val="center"/>
          </w:tcPr>
          <w:p w14:paraId="21B3EE8B">
            <w:pPr>
              <w:spacing w:before="0" w:beforeAutospacing="0" w:after="0" w:afterAutospacing="0" w:line="360" w:lineRule="auto"/>
              <w:ind w:left="0" w:right="0"/>
              <w:rPr>
                <w:rFonts w:hint="default" w:ascii="宋体" w:hAnsi="宋体" w:cs="宋体"/>
                <w:sz w:val="24"/>
                <w:szCs w:val="20"/>
                <w:highlight w:val="none"/>
              </w:rPr>
            </w:pPr>
          </w:p>
        </w:tc>
      </w:tr>
      <w:tr w14:paraId="3471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8E6C8FE">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1.5.2</w:t>
            </w:r>
          </w:p>
        </w:tc>
        <w:tc>
          <w:tcPr>
            <w:tcW w:w="8275" w:type="dxa"/>
            <w:vAlign w:val="center"/>
          </w:tcPr>
          <w:p w14:paraId="704347D1">
            <w:pPr>
              <w:spacing w:before="0" w:beforeAutospacing="0" w:after="0" w:afterAutospacing="0" w:line="360" w:lineRule="auto"/>
              <w:ind w:left="0" w:right="0"/>
              <w:rPr>
                <w:rFonts w:hint="default" w:ascii="宋体" w:hAnsi="宋体" w:cs="宋体"/>
                <w:sz w:val="24"/>
                <w:szCs w:val="20"/>
                <w:highlight w:val="none"/>
              </w:rPr>
            </w:pPr>
          </w:p>
        </w:tc>
      </w:tr>
      <w:tr w14:paraId="2F7C1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3D29467">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 xml:space="preserve">1.5.3 </w:t>
            </w:r>
          </w:p>
        </w:tc>
        <w:tc>
          <w:tcPr>
            <w:tcW w:w="8275" w:type="dxa"/>
            <w:vAlign w:val="center"/>
          </w:tcPr>
          <w:p w14:paraId="784DF319">
            <w:pPr>
              <w:spacing w:before="0" w:beforeAutospacing="0" w:after="0" w:afterAutospacing="0" w:line="360" w:lineRule="auto"/>
              <w:ind w:left="0" w:right="0"/>
              <w:rPr>
                <w:rFonts w:hint="default" w:ascii="宋体" w:hAnsi="宋体" w:cs="宋体"/>
                <w:sz w:val="24"/>
                <w:szCs w:val="20"/>
                <w:highlight w:val="none"/>
              </w:rPr>
            </w:pPr>
          </w:p>
        </w:tc>
      </w:tr>
      <w:tr w14:paraId="21DAF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7411FCB6">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1.6.7</w:t>
            </w:r>
          </w:p>
        </w:tc>
        <w:tc>
          <w:tcPr>
            <w:tcW w:w="8275" w:type="dxa"/>
            <w:vAlign w:val="center"/>
          </w:tcPr>
          <w:p w14:paraId="60861D4E">
            <w:pPr>
              <w:spacing w:before="0" w:beforeAutospacing="0" w:after="0" w:afterAutospacing="0" w:line="360" w:lineRule="auto"/>
              <w:ind w:left="0" w:right="0"/>
              <w:rPr>
                <w:rFonts w:hint="default" w:ascii="宋体" w:hAnsi="宋体" w:cs="宋体"/>
                <w:sz w:val="24"/>
                <w:szCs w:val="20"/>
                <w:highlight w:val="none"/>
              </w:rPr>
            </w:pPr>
          </w:p>
        </w:tc>
      </w:tr>
      <w:tr w14:paraId="6C30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F127F2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w:t>
            </w:r>
          </w:p>
        </w:tc>
        <w:tc>
          <w:tcPr>
            <w:tcW w:w="8275" w:type="dxa"/>
            <w:vAlign w:val="center"/>
          </w:tcPr>
          <w:p w14:paraId="45371EA5">
            <w:pPr>
              <w:spacing w:before="0" w:beforeAutospacing="0" w:after="0" w:afterAutospacing="0" w:line="360" w:lineRule="auto"/>
              <w:ind w:left="0" w:right="0"/>
              <w:rPr>
                <w:rFonts w:hint="default" w:ascii="宋体" w:hAnsi="宋体" w:cs="宋体"/>
                <w:sz w:val="24"/>
                <w:szCs w:val="20"/>
                <w:highlight w:val="none"/>
              </w:rPr>
            </w:pPr>
          </w:p>
        </w:tc>
      </w:tr>
      <w:tr w14:paraId="787577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8DEB987">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1.7.1</w:t>
            </w:r>
          </w:p>
        </w:tc>
        <w:tc>
          <w:tcPr>
            <w:tcW w:w="8275" w:type="dxa"/>
            <w:vAlign w:val="center"/>
          </w:tcPr>
          <w:p w14:paraId="59B8507F">
            <w:pPr>
              <w:spacing w:before="0" w:beforeAutospacing="0" w:after="0" w:afterAutospacing="0" w:line="360" w:lineRule="auto"/>
              <w:ind w:left="0" w:right="0"/>
              <w:rPr>
                <w:rFonts w:hint="default" w:ascii="宋体" w:hAnsi="宋体" w:cs="宋体"/>
                <w:sz w:val="24"/>
                <w:szCs w:val="20"/>
                <w:highlight w:val="none"/>
              </w:rPr>
            </w:pPr>
          </w:p>
        </w:tc>
      </w:tr>
      <w:tr w14:paraId="4D90CD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A0FBDE4">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1.7.2</w:t>
            </w:r>
          </w:p>
        </w:tc>
        <w:tc>
          <w:tcPr>
            <w:tcW w:w="8275" w:type="dxa"/>
            <w:vAlign w:val="center"/>
          </w:tcPr>
          <w:p w14:paraId="6B77D7D8">
            <w:pPr>
              <w:spacing w:before="0" w:beforeAutospacing="0" w:after="0" w:afterAutospacing="0" w:line="360" w:lineRule="auto"/>
              <w:ind w:left="0" w:right="0"/>
              <w:rPr>
                <w:rFonts w:hint="default" w:ascii="宋体" w:hAnsi="宋体" w:cs="宋体"/>
                <w:sz w:val="24"/>
                <w:szCs w:val="20"/>
                <w:highlight w:val="none"/>
              </w:rPr>
            </w:pPr>
          </w:p>
        </w:tc>
      </w:tr>
      <w:tr w14:paraId="56F8F2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2197F0A">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2.3.2</w:t>
            </w:r>
          </w:p>
        </w:tc>
        <w:tc>
          <w:tcPr>
            <w:tcW w:w="8275" w:type="dxa"/>
            <w:vAlign w:val="center"/>
          </w:tcPr>
          <w:p w14:paraId="58AC8807">
            <w:pPr>
              <w:spacing w:before="0" w:beforeAutospacing="0" w:after="0" w:afterAutospacing="0" w:line="360" w:lineRule="auto"/>
              <w:ind w:left="-420" w:leftChars="-200" w:right="-420" w:rightChars="-200" w:firstLine="480" w:firstLineChars="200"/>
              <w:rPr>
                <w:rFonts w:hint="default" w:ascii="宋体" w:hAnsi="宋体" w:cs="宋体"/>
                <w:sz w:val="24"/>
                <w:szCs w:val="20"/>
                <w:highlight w:val="none"/>
              </w:rPr>
            </w:pPr>
          </w:p>
        </w:tc>
      </w:tr>
      <w:tr w14:paraId="2F38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925D702">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5</w:t>
            </w:r>
          </w:p>
        </w:tc>
        <w:tc>
          <w:tcPr>
            <w:tcW w:w="8275" w:type="dxa"/>
            <w:vAlign w:val="center"/>
          </w:tcPr>
          <w:p w14:paraId="16EFADE4">
            <w:pPr>
              <w:spacing w:before="0" w:beforeAutospacing="0" w:after="0" w:afterAutospacing="0" w:line="360" w:lineRule="auto"/>
              <w:ind w:left="-420" w:leftChars="-200" w:right="-420" w:rightChars="-200" w:firstLine="480" w:firstLineChars="200"/>
              <w:rPr>
                <w:rFonts w:hint="default" w:ascii="宋体" w:hAnsi="宋体" w:cs="宋体"/>
                <w:sz w:val="24"/>
                <w:szCs w:val="20"/>
                <w:highlight w:val="none"/>
              </w:rPr>
            </w:pPr>
          </w:p>
        </w:tc>
      </w:tr>
      <w:tr w14:paraId="64A9B1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F6539A6">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11</w:t>
            </w:r>
            <w:r>
              <w:rPr>
                <w:rFonts w:hint="eastAsia" w:ascii="宋体" w:hAnsi="宋体" w:cs="宋体"/>
                <w:sz w:val="24"/>
                <w:szCs w:val="20"/>
                <w:highlight w:val="none"/>
              </w:rPr>
              <w:t>.</w:t>
            </w:r>
            <w:r>
              <w:rPr>
                <w:rFonts w:hint="default" w:ascii="宋体" w:hAnsi="宋体" w:cs="宋体"/>
                <w:sz w:val="24"/>
                <w:szCs w:val="20"/>
                <w:highlight w:val="none"/>
              </w:rPr>
              <w:t>3</w:t>
            </w:r>
          </w:p>
        </w:tc>
        <w:tc>
          <w:tcPr>
            <w:tcW w:w="8275" w:type="dxa"/>
            <w:vAlign w:val="center"/>
          </w:tcPr>
          <w:p w14:paraId="20E6193C">
            <w:pPr>
              <w:spacing w:before="0" w:beforeAutospacing="0" w:after="0" w:afterAutospacing="0" w:line="360" w:lineRule="auto"/>
              <w:ind w:left="0" w:right="0"/>
              <w:rPr>
                <w:rFonts w:hint="default" w:ascii="宋体" w:hAnsi="宋体" w:cs="宋体"/>
                <w:sz w:val="24"/>
                <w:szCs w:val="20"/>
                <w:highlight w:val="none"/>
              </w:rPr>
            </w:pPr>
          </w:p>
        </w:tc>
      </w:tr>
      <w:tr w14:paraId="56F67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47A7752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11.4</w:t>
            </w:r>
            <w:r>
              <w:rPr>
                <w:rFonts w:hint="eastAsia" w:ascii="宋体" w:hAnsi="宋体" w:cs="宋体"/>
                <w:sz w:val="24"/>
                <w:szCs w:val="20"/>
                <w:highlight w:val="none"/>
              </w:rPr>
              <w:t xml:space="preserve"> </w:t>
            </w:r>
          </w:p>
        </w:tc>
        <w:tc>
          <w:tcPr>
            <w:tcW w:w="8275" w:type="dxa"/>
            <w:vAlign w:val="top"/>
          </w:tcPr>
          <w:p w14:paraId="6B765EA9">
            <w:pPr>
              <w:spacing w:before="0" w:beforeAutospacing="0" w:after="0" w:afterAutospacing="0" w:line="360" w:lineRule="auto"/>
              <w:ind w:left="0" w:right="0"/>
              <w:rPr>
                <w:rFonts w:hint="default" w:ascii="宋体" w:hAnsi="宋体" w:cs="宋体"/>
                <w:sz w:val="24"/>
                <w:szCs w:val="20"/>
                <w:highlight w:val="none"/>
              </w:rPr>
            </w:pPr>
          </w:p>
        </w:tc>
      </w:tr>
      <w:tr w14:paraId="30C9D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BF8DC5">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15</w:t>
            </w:r>
            <w:r>
              <w:rPr>
                <w:rFonts w:hint="eastAsia" w:ascii="宋体" w:hAnsi="宋体" w:cs="宋体"/>
                <w:sz w:val="24"/>
                <w:szCs w:val="20"/>
                <w:highlight w:val="none"/>
              </w:rPr>
              <w:t>.</w:t>
            </w:r>
            <w:r>
              <w:rPr>
                <w:rFonts w:hint="default" w:ascii="宋体" w:hAnsi="宋体" w:cs="宋体"/>
                <w:sz w:val="24"/>
                <w:szCs w:val="20"/>
                <w:highlight w:val="none"/>
              </w:rPr>
              <w:t>1</w:t>
            </w:r>
          </w:p>
        </w:tc>
        <w:tc>
          <w:tcPr>
            <w:tcW w:w="8275" w:type="dxa"/>
            <w:vAlign w:val="center"/>
          </w:tcPr>
          <w:p w14:paraId="77970367">
            <w:pPr>
              <w:spacing w:before="0" w:beforeAutospacing="0" w:after="0" w:afterAutospacing="0" w:line="360" w:lineRule="auto"/>
              <w:ind w:left="0" w:right="0"/>
              <w:rPr>
                <w:rFonts w:hint="default" w:ascii="宋体" w:hAnsi="宋体" w:cs="宋体"/>
                <w:sz w:val="24"/>
                <w:szCs w:val="20"/>
                <w:highlight w:val="none"/>
              </w:rPr>
            </w:pPr>
          </w:p>
        </w:tc>
      </w:tr>
      <w:tr w14:paraId="3A965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F86825C">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w:t>
            </w:r>
            <w:r>
              <w:rPr>
                <w:rFonts w:hint="default" w:ascii="宋体" w:hAnsi="宋体" w:cs="宋体"/>
                <w:sz w:val="24"/>
                <w:szCs w:val="20"/>
                <w:highlight w:val="none"/>
              </w:rPr>
              <w:t>15</w:t>
            </w:r>
            <w:r>
              <w:rPr>
                <w:rFonts w:hint="eastAsia" w:ascii="宋体" w:hAnsi="宋体" w:cs="宋体"/>
                <w:sz w:val="24"/>
                <w:szCs w:val="20"/>
                <w:highlight w:val="none"/>
              </w:rPr>
              <w:t>.</w:t>
            </w:r>
            <w:r>
              <w:rPr>
                <w:rFonts w:hint="default" w:ascii="宋体" w:hAnsi="宋体" w:cs="宋体"/>
                <w:sz w:val="24"/>
                <w:szCs w:val="20"/>
                <w:highlight w:val="none"/>
              </w:rPr>
              <w:t>3</w:t>
            </w:r>
          </w:p>
        </w:tc>
        <w:tc>
          <w:tcPr>
            <w:tcW w:w="8275" w:type="dxa"/>
            <w:vAlign w:val="center"/>
          </w:tcPr>
          <w:p w14:paraId="5FEB4A34">
            <w:pPr>
              <w:spacing w:before="0" w:beforeAutospacing="0" w:after="0" w:afterAutospacing="0" w:line="360" w:lineRule="auto"/>
              <w:ind w:left="0" w:right="0"/>
              <w:rPr>
                <w:rFonts w:hint="default" w:ascii="宋体" w:hAnsi="宋体" w:cs="宋体"/>
                <w:sz w:val="24"/>
                <w:szCs w:val="20"/>
                <w:highlight w:val="none"/>
              </w:rPr>
            </w:pPr>
          </w:p>
        </w:tc>
      </w:tr>
      <w:tr w14:paraId="68C9E8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55081A2">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2.1</w:t>
            </w:r>
            <w:r>
              <w:rPr>
                <w:rFonts w:hint="default" w:ascii="宋体" w:hAnsi="宋体" w:cs="宋体"/>
                <w:sz w:val="24"/>
                <w:szCs w:val="20"/>
                <w:highlight w:val="none"/>
              </w:rPr>
              <w:t>8</w:t>
            </w:r>
            <w:r>
              <w:rPr>
                <w:rFonts w:hint="eastAsia" w:ascii="宋体" w:hAnsi="宋体" w:cs="宋体"/>
                <w:sz w:val="24"/>
                <w:szCs w:val="20"/>
                <w:highlight w:val="none"/>
              </w:rPr>
              <w:t>.1</w:t>
            </w:r>
          </w:p>
        </w:tc>
        <w:tc>
          <w:tcPr>
            <w:tcW w:w="8275" w:type="dxa"/>
            <w:vAlign w:val="center"/>
          </w:tcPr>
          <w:p w14:paraId="65CBF5F8">
            <w:pPr>
              <w:spacing w:before="0" w:beforeAutospacing="0" w:after="0" w:afterAutospacing="0" w:line="360" w:lineRule="auto"/>
              <w:ind w:left="0" w:right="0"/>
              <w:rPr>
                <w:rFonts w:hint="default" w:ascii="宋体" w:hAnsi="宋体" w:cs="宋体"/>
                <w:sz w:val="24"/>
                <w:szCs w:val="20"/>
                <w:highlight w:val="none"/>
              </w:rPr>
            </w:pPr>
          </w:p>
        </w:tc>
      </w:tr>
      <w:tr w14:paraId="243A6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FB32961">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2.1</w:t>
            </w:r>
            <w:r>
              <w:rPr>
                <w:rFonts w:hint="default" w:ascii="宋体" w:hAnsi="宋体" w:cs="宋体"/>
                <w:sz w:val="24"/>
                <w:szCs w:val="20"/>
                <w:highlight w:val="none"/>
              </w:rPr>
              <w:t>8</w:t>
            </w:r>
            <w:r>
              <w:rPr>
                <w:rFonts w:hint="eastAsia" w:ascii="宋体" w:hAnsi="宋体" w:cs="宋体"/>
                <w:sz w:val="24"/>
                <w:szCs w:val="20"/>
                <w:highlight w:val="none"/>
              </w:rPr>
              <w:t>.</w:t>
            </w:r>
            <w:r>
              <w:rPr>
                <w:rFonts w:hint="default" w:ascii="宋体" w:hAnsi="宋体" w:cs="宋体"/>
                <w:sz w:val="24"/>
                <w:szCs w:val="20"/>
                <w:highlight w:val="none"/>
              </w:rPr>
              <w:t>2</w:t>
            </w:r>
          </w:p>
        </w:tc>
        <w:tc>
          <w:tcPr>
            <w:tcW w:w="8275" w:type="dxa"/>
            <w:vAlign w:val="center"/>
          </w:tcPr>
          <w:p w14:paraId="1F805716">
            <w:pPr>
              <w:spacing w:before="0" w:beforeAutospacing="0" w:after="0" w:afterAutospacing="0" w:line="360" w:lineRule="auto"/>
              <w:ind w:left="0" w:right="0"/>
              <w:rPr>
                <w:rFonts w:hint="default" w:ascii="宋体" w:hAnsi="宋体" w:cs="宋体"/>
                <w:sz w:val="24"/>
                <w:szCs w:val="20"/>
                <w:highlight w:val="none"/>
              </w:rPr>
            </w:pPr>
          </w:p>
        </w:tc>
      </w:tr>
      <w:tr w14:paraId="0A7E48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D321EF4">
            <w:pPr>
              <w:spacing w:before="0" w:beforeAutospacing="0" w:after="0" w:afterAutospacing="0" w:line="360" w:lineRule="auto"/>
              <w:ind w:left="0" w:right="0"/>
              <w:rPr>
                <w:rFonts w:hint="default" w:ascii="宋体" w:hAnsi="宋体" w:cs="宋体"/>
                <w:sz w:val="24"/>
                <w:szCs w:val="20"/>
                <w:highlight w:val="none"/>
              </w:rPr>
            </w:pPr>
            <w:r>
              <w:rPr>
                <w:rFonts w:hint="eastAsia" w:ascii="宋体" w:hAnsi="宋体" w:cs="宋体"/>
                <w:sz w:val="24"/>
                <w:szCs w:val="20"/>
                <w:highlight w:val="none"/>
              </w:rPr>
              <w:t>2.20</w:t>
            </w:r>
          </w:p>
        </w:tc>
        <w:tc>
          <w:tcPr>
            <w:tcW w:w="8275" w:type="dxa"/>
            <w:vAlign w:val="top"/>
          </w:tcPr>
          <w:p w14:paraId="6E197FF6">
            <w:pPr>
              <w:spacing w:before="0" w:beforeAutospacing="0" w:after="0" w:afterAutospacing="0" w:line="360" w:lineRule="auto"/>
              <w:ind w:left="0" w:right="0"/>
              <w:rPr>
                <w:rFonts w:hint="default" w:ascii="宋体" w:hAnsi="宋体" w:cs="宋体"/>
                <w:sz w:val="24"/>
                <w:szCs w:val="20"/>
                <w:highlight w:val="none"/>
              </w:rPr>
            </w:pPr>
          </w:p>
        </w:tc>
      </w:tr>
    </w:tbl>
    <w:p w14:paraId="466AC0AA">
      <w:pPr>
        <w:spacing w:line="360" w:lineRule="auto"/>
        <w:ind w:left="-420" w:leftChars="-200" w:right="-420" w:rightChars="-200" w:firstLine="480" w:firstLineChars="200"/>
        <w:rPr>
          <w:rFonts w:ascii="宋体" w:hAnsi="宋体" w:cs="宋体"/>
          <w:sz w:val="24"/>
          <w:highlight w:val="none"/>
        </w:rPr>
      </w:pPr>
    </w:p>
    <w:p w14:paraId="5E89B9CF">
      <w:pPr>
        <w:spacing w:line="360" w:lineRule="auto"/>
        <w:ind w:left="-420" w:leftChars="-200" w:right="-420" w:rightChars="-200"/>
        <w:rPr>
          <w:rFonts w:ascii="宋体" w:hAnsi="宋体" w:cs="宋体"/>
          <w:sz w:val="24"/>
          <w:highlight w:val="none"/>
        </w:rPr>
      </w:pPr>
    </w:p>
    <w:p w14:paraId="5B676C80">
      <w:pPr>
        <w:spacing w:line="360" w:lineRule="auto"/>
        <w:ind w:left="-420" w:leftChars="-200" w:right="-420" w:rightChars="-200" w:firstLine="480" w:firstLineChars="200"/>
        <w:jc w:val="center"/>
        <w:outlineLvl w:val="9"/>
        <w:rPr>
          <w:rFonts w:ascii="宋体" w:hAnsi="宋体" w:cs="宋体"/>
          <w:sz w:val="24"/>
          <w:highlight w:val="none"/>
        </w:rPr>
      </w:pPr>
    </w:p>
    <w:p w14:paraId="0BAB1A90">
      <w:pPr>
        <w:spacing w:line="240" w:lineRule="auto"/>
        <w:ind w:left="0" w:leftChars="0" w:right="0" w:firstLine="0" w:firstLineChars="0"/>
        <w:jc w:val="left"/>
        <w:outlineLvl w:val="9"/>
        <w:rPr>
          <w:rFonts w:ascii="宋体" w:hAnsi="宋体" w:cs="宋体"/>
          <w:sz w:val="24"/>
          <w:highlight w:val="none"/>
        </w:rPr>
      </w:pPr>
      <w:r>
        <w:rPr>
          <w:rFonts w:ascii="宋体" w:hAnsi="宋体" w:cs="宋体"/>
          <w:sz w:val="24"/>
          <w:highlight w:val="none"/>
        </w:rPr>
        <w:br w:type="page"/>
      </w:r>
    </w:p>
    <w:p w14:paraId="5E3226E5">
      <w:pPr>
        <w:pStyle w:val="2"/>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85"/>
      <w:r>
        <w:rPr>
          <w:rFonts w:hint="eastAsia" w:ascii="宋体" w:hAnsi="宋体" w:eastAsia="宋体" w:cs="宋体"/>
          <w:b/>
          <w:color w:val="auto"/>
          <w:sz w:val="36"/>
          <w:szCs w:val="20"/>
          <w:highlight w:val="none"/>
        </w:rPr>
        <w:t xml:space="preserve"> </w:t>
      </w:r>
      <w:bookmarkEnd w:id="386"/>
      <w:r>
        <w:rPr>
          <w:rFonts w:hint="eastAsia" w:ascii="宋体" w:hAnsi="宋体" w:eastAsia="宋体" w:cs="宋体"/>
          <w:b/>
          <w:color w:val="auto"/>
          <w:sz w:val="36"/>
          <w:szCs w:val="20"/>
          <w:highlight w:val="none"/>
        </w:rPr>
        <w:t>应提交的有关格式范例</w:t>
      </w:r>
    </w:p>
    <w:p w14:paraId="748DEF96">
      <w:pPr>
        <w:snapToGrid w:val="0"/>
        <w:spacing w:line="360" w:lineRule="auto"/>
        <w:rPr>
          <w:rFonts w:hint="eastAsia" w:ascii="宋体" w:hAnsi="宋体" w:eastAsia="宋体" w:cs="宋体"/>
          <w:b/>
          <w:color w:val="000000"/>
          <w:sz w:val="24"/>
          <w:highlight w:val="none"/>
        </w:rPr>
      </w:pPr>
    </w:p>
    <w:p w14:paraId="25522953">
      <w:pPr>
        <w:snapToGrid w:val="0"/>
        <w:spacing w:line="360" w:lineRule="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一、投标人提交投标文件须知：</w:t>
      </w:r>
    </w:p>
    <w:p w14:paraId="7ADA577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1、投标人应严格按照以下顺序填写和提交下述规定的全部格式文件以及其他有关资料，混乱的编排导致投标文件被误读或评标委员会查找不到有效文件是投标人的风险。</w:t>
      </w:r>
    </w:p>
    <w:p w14:paraId="762C3AAB">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2、所附表格中要求回答的全部问题和/或信息都必须正面回答。</w:t>
      </w:r>
    </w:p>
    <w:p w14:paraId="6BE7E14A">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3、本声明书的签字人应保证全部声明和问题的回答是真实的和准确的。</w:t>
      </w:r>
    </w:p>
    <w:p w14:paraId="79646558">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4、评标委员会将应用投标人提交的资料作出自己的判断。</w:t>
      </w:r>
    </w:p>
    <w:p w14:paraId="4EE8FEE1">
      <w:pPr>
        <w:snapToGrid w:val="0"/>
        <w:spacing w:line="360" w:lineRule="auto"/>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5、投标人提交的材料将在一定期限内被保密保存，但不退还。</w:t>
      </w:r>
    </w:p>
    <w:p w14:paraId="233FC846">
      <w:pPr>
        <w:spacing w:line="360" w:lineRule="auto"/>
        <w:ind w:firstLine="480" w:firstLineChars="200"/>
        <w:jc w:val="left"/>
        <w:rPr>
          <w:rFonts w:hint="eastAsia" w:ascii="宋体" w:hAnsi="宋体" w:eastAsia="宋体" w:cs="宋体"/>
          <w:b/>
          <w:color w:val="000000"/>
          <w:sz w:val="24"/>
          <w:highlight w:val="none"/>
        </w:rPr>
      </w:pPr>
      <w:r>
        <w:rPr>
          <w:rFonts w:hint="eastAsia" w:ascii="宋体" w:hAnsi="宋体" w:eastAsia="宋体" w:cs="宋体"/>
          <w:color w:val="000000"/>
          <w:sz w:val="24"/>
          <w:highlight w:val="none"/>
        </w:rPr>
        <w:t>6、全部文件应按投标人须知中规定的语言和份数提交。投标文件组成漏项或未按规定的格式编制，内容不全或内容字迹模糊辨认不清的情况，</w:t>
      </w:r>
      <w:r>
        <w:rPr>
          <w:rFonts w:hint="eastAsia" w:ascii="宋体" w:hAnsi="宋体" w:eastAsia="宋体" w:cs="宋体"/>
          <w:b/>
          <w:color w:val="000000"/>
          <w:sz w:val="24"/>
          <w:highlight w:val="none"/>
        </w:rPr>
        <w:t>将有可能被评标委员会认定为投标无效。</w:t>
      </w:r>
    </w:p>
    <w:p w14:paraId="1DE9DA7F">
      <w:pPr>
        <w:spacing w:line="360" w:lineRule="auto"/>
        <w:jc w:val="center"/>
        <w:outlineLvl w:val="9"/>
        <w:rPr>
          <w:rFonts w:hint="eastAsia" w:ascii="宋体" w:hAnsi="宋体" w:eastAsia="宋体" w:cs="宋体"/>
          <w:b/>
          <w:color w:val="FF0000"/>
          <w:sz w:val="36"/>
          <w:szCs w:val="36"/>
          <w:highlight w:val="none"/>
          <w:lang w:val="en-US" w:eastAsia="zh-CN"/>
        </w:rPr>
      </w:pPr>
    </w:p>
    <w:p w14:paraId="160EB09E">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1A34F4FF">
      <w:pPr>
        <w:spacing w:line="240" w:lineRule="auto"/>
        <w:jc w:val="center"/>
        <w:rPr>
          <w:rFonts w:hint="eastAsia" w:ascii="宋体" w:hAnsi="宋体" w:eastAsia="宋体" w:cs="宋体"/>
          <w:sz w:val="36"/>
          <w:szCs w:val="36"/>
          <w:highlight w:val="none"/>
        </w:rPr>
      </w:pPr>
    </w:p>
    <w:p w14:paraId="4257BE0E">
      <w:pPr>
        <w:spacing w:line="240" w:lineRule="auto"/>
        <w:jc w:val="center"/>
        <w:rPr>
          <w:rFonts w:hint="eastAsia" w:ascii="宋体" w:hAnsi="宋体" w:eastAsia="宋体" w:cs="宋体"/>
          <w:sz w:val="36"/>
          <w:szCs w:val="36"/>
          <w:highlight w:val="none"/>
        </w:rPr>
      </w:pPr>
    </w:p>
    <w:p w14:paraId="1E50FF6D">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电子备份投标文件的外包装封面格式</w:t>
      </w:r>
    </w:p>
    <w:p w14:paraId="74D3C20D">
      <w:pPr>
        <w:rPr>
          <w:rFonts w:hint="eastAsia" w:ascii="宋体" w:hAnsi="宋体" w:eastAsia="宋体" w:cs="宋体"/>
          <w:highlight w:val="none"/>
        </w:rPr>
      </w:pPr>
    </w:p>
    <w:p w14:paraId="347A129F">
      <w:pPr>
        <w:spacing w:line="240" w:lineRule="auto"/>
        <w:jc w:val="center"/>
        <w:rPr>
          <w:rFonts w:hint="eastAsia" w:ascii="宋体" w:hAnsi="宋体" w:eastAsia="宋体" w:cs="宋体"/>
          <w:sz w:val="36"/>
          <w:szCs w:val="36"/>
          <w:highlight w:val="none"/>
        </w:rPr>
      </w:pPr>
      <w:bookmarkStart w:id="498" w:name="_Toc13184"/>
      <w:r>
        <w:rPr>
          <w:rFonts w:hint="eastAsia" w:ascii="宋体" w:hAnsi="宋体" w:eastAsia="宋体" w:cs="宋体"/>
          <w:sz w:val="36"/>
          <w:szCs w:val="36"/>
          <w:highlight w:val="none"/>
        </w:rPr>
        <w:t>电子备份投标文件</w:t>
      </w:r>
      <w:bookmarkEnd w:id="498"/>
    </w:p>
    <w:p w14:paraId="27857895">
      <w:pPr>
        <w:spacing w:line="240" w:lineRule="auto"/>
        <w:jc w:val="center"/>
        <w:rPr>
          <w:rFonts w:hint="eastAsia" w:ascii="宋体" w:hAnsi="宋体" w:eastAsia="宋体" w:cs="宋体"/>
          <w:sz w:val="36"/>
          <w:szCs w:val="36"/>
          <w:highlight w:val="none"/>
        </w:rPr>
      </w:pPr>
    </w:p>
    <w:p w14:paraId="296290A2">
      <w:pPr>
        <w:spacing w:line="240" w:lineRule="auto"/>
        <w:jc w:val="center"/>
        <w:rPr>
          <w:rFonts w:hint="eastAsia" w:ascii="宋体" w:hAnsi="宋体" w:eastAsia="宋体" w:cs="宋体"/>
          <w:sz w:val="36"/>
          <w:szCs w:val="36"/>
          <w:highlight w:val="none"/>
        </w:rPr>
      </w:pPr>
      <w:bookmarkStart w:id="499" w:name="_Toc18701"/>
      <w:r>
        <w:rPr>
          <w:rFonts w:hint="eastAsia" w:ascii="宋体" w:hAnsi="宋体" w:eastAsia="宋体" w:cs="宋体"/>
          <w:sz w:val="36"/>
          <w:szCs w:val="36"/>
          <w:highlight w:val="none"/>
        </w:rPr>
        <w:t>项目名称：</w:t>
      </w:r>
      <w:bookmarkEnd w:id="499"/>
    </w:p>
    <w:p w14:paraId="60A96922">
      <w:pPr>
        <w:spacing w:line="240" w:lineRule="auto"/>
        <w:jc w:val="center"/>
        <w:rPr>
          <w:rFonts w:hint="eastAsia" w:ascii="宋体" w:hAnsi="宋体" w:eastAsia="宋体" w:cs="宋体"/>
          <w:sz w:val="36"/>
          <w:szCs w:val="36"/>
          <w:highlight w:val="none"/>
        </w:rPr>
      </w:pPr>
    </w:p>
    <w:p w14:paraId="37E2E464">
      <w:pPr>
        <w:spacing w:line="240" w:lineRule="auto"/>
        <w:jc w:val="center"/>
        <w:rPr>
          <w:rFonts w:hint="eastAsia" w:ascii="宋体" w:hAnsi="宋体" w:eastAsia="宋体" w:cs="宋体"/>
          <w:sz w:val="36"/>
          <w:szCs w:val="36"/>
          <w:highlight w:val="none"/>
        </w:rPr>
      </w:pPr>
      <w:bookmarkStart w:id="500" w:name="_Toc20693"/>
      <w:r>
        <w:rPr>
          <w:rFonts w:hint="eastAsia" w:ascii="宋体" w:hAnsi="宋体" w:eastAsia="宋体" w:cs="宋体"/>
          <w:sz w:val="36"/>
          <w:szCs w:val="36"/>
          <w:highlight w:val="none"/>
        </w:rPr>
        <w:t>项目编号：</w:t>
      </w:r>
      <w:bookmarkEnd w:id="500"/>
    </w:p>
    <w:p w14:paraId="4AFA24C3">
      <w:pPr>
        <w:spacing w:line="240" w:lineRule="auto"/>
        <w:jc w:val="both"/>
        <w:rPr>
          <w:rFonts w:hint="eastAsia" w:ascii="宋体" w:hAnsi="宋体" w:eastAsia="宋体" w:cs="宋体"/>
          <w:sz w:val="36"/>
          <w:szCs w:val="36"/>
          <w:highlight w:val="none"/>
        </w:rPr>
      </w:pPr>
    </w:p>
    <w:p w14:paraId="173B5B30">
      <w:pPr>
        <w:spacing w:line="240" w:lineRule="auto"/>
        <w:jc w:val="center"/>
        <w:rPr>
          <w:rFonts w:hint="eastAsia" w:ascii="宋体" w:hAnsi="宋体" w:eastAsia="宋体" w:cs="宋体"/>
          <w:sz w:val="36"/>
          <w:szCs w:val="36"/>
          <w:highlight w:val="none"/>
        </w:rPr>
      </w:pPr>
    </w:p>
    <w:p w14:paraId="17A41F30">
      <w:pPr>
        <w:spacing w:line="240" w:lineRule="auto"/>
        <w:jc w:val="center"/>
        <w:rPr>
          <w:rFonts w:hint="eastAsia" w:ascii="宋体" w:hAnsi="宋体" w:eastAsia="宋体" w:cs="宋体"/>
          <w:sz w:val="36"/>
          <w:szCs w:val="36"/>
          <w:highlight w:val="none"/>
        </w:rPr>
      </w:pPr>
      <w:bookmarkStart w:id="501" w:name="_Toc27616"/>
    </w:p>
    <w:p w14:paraId="6D9E6570">
      <w:pPr>
        <w:spacing w:line="240" w:lineRule="auto"/>
        <w:jc w:val="center"/>
        <w:rPr>
          <w:rFonts w:hint="eastAsia" w:ascii="宋体" w:hAnsi="宋体" w:eastAsia="宋体" w:cs="宋体"/>
          <w:sz w:val="36"/>
          <w:szCs w:val="36"/>
          <w:highlight w:val="none"/>
        </w:rPr>
      </w:pPr>
    </w:p>
    <w:p w14:paraId="5DBA2A05">
      <w:pPr>
        <w:spacing w:line="240" w:lineRule="auto"/>
        <w:jc w:val="center"/>
        <w:rPr>
          <w:rFonts w:hint="eastAsia" w:ascii="宋体" w:hAnsi="宋体" w:eastAsia="宋体" w:cs="宋体"/>
          <w:sz w:val="36"/>
          <w:szCs w:val="36"/>
          <w:highlight w:val="none"/>
        </w:rPr>
      </w:pPr>
    </w:p>
    <w:p w14:paraId="654A635E">
      <w:pPr>
        <w:spacing w:line="240" w:lineRule="auto"/>
        <w:jc w:val="center"/>
        <w:rPr>
          <w:rFonts w:hint="eastAsia" w:ascii="宋体" w:hAnsi="宋体" w:eastAsia="宋体" w:cs="宋体"/>
          <w:sz w:val="36"/>
          <w:szCs w:val="36"/>
          <w:highlight w:val="none"/>
        </w:rPr>
      </w:pPr>
    </w:p>
    <w:p w14:paraId="1DDBE57A">
      <w:pPr>
        <w:spacing w:line="240" w:lineRule="auto"/>
        <w:jc w:val="center"/>
        <w:rPr>
          <w:rFonts w:hint="eastAsia" w:ascii="宋体" w:hAnsi="宋体" w:eastAsia="宋体" w:cs="宋体"/>
          <w:sz w:val="36"/>
          <w:szCs w:val="36"/>
          <w:highlight w:val="none"/>
        </w:rPr>
      </w:pPr>
    </w:p>
    <w:p w14:paraId="348842FA">
      <w:pPr>
        <w:spacing w:line="240" w:lineRule="auto"/>
        <w:jc w:val="center"/>
        <w:rPr>
          <w:rFonts w:hint="eastAsia" w:ascii="宋体" w:hAnsi="宋体" w:eastAsia="宋体" w:cs="宋体"/>
          <w:sz w:val="36"/>
          <w:szCs w:val="36"/>
          <w:highlight w:val="none"/>
        </w:rPr>
      </w:pPr>
    </w:p>
    <w:p w14:paraId="33BE96B7">
      <w:pPr>
        <w:spacing w:line="240" w:lineRule="auto"/>
        <w:jc w:val="center"/>
        <w:rPr>
          <w:rFonts w:hint="eastAsia" w:ascii="宋体" w:hAnsi="宋体" w:eastAsia="宋体" w:cs="宋体"/>
          <w:sz w:val="36"/>
          <w:szCs w:val="36"/>
          <w:highlight w:val="none"/>
        </w:rPr>
      </w:pPr>
    </w:p>
    <w:p w14:paraId="02074184">
      <w:pPr>
        <w:spacing w:line="240" w:lineRule="auto"/>
        <w:jc w:val="center"/>
        <w:rPr>
          <w:rFonts w:hint="eastAsia" w:ascii="宋体" w:hAnsi="宋体" w:eastAsia="宋体" w:cs="宋体"/>
          <w:sz w:val="36"/>
          <w:szCs w:val="36"/>
          <w:highlight w:val="none"/>
        </w:rPr>
      </w:pPr>
    </w:p>
    <w:p w14:paraId="4E95D8A9">
      <w:pPr>
        <w:spacing w:line="240" w:lineRule="auto"/>
        <w:jc w:val="center"/>
        <w:rPr>
          <w:rFonts w:hint="eastAsia" w:ascii="宋体" w:hAnsi="宋体" w:eastAsia="宋体" w:cs="宋体"/>
          <w:sz w:val="36"/>
          <w:szCs w:val="36"/>
          <w:highlight w:val="none"/>
        </w:rPr>
      </w:pPr>
      <w:r>
        <w:rPr>
          <w:rFonts w:hint="eastAsia" w:ascii="宋体" w:hAnsi="宋体" w:eastAsia="宋体" w:cs="宋体"/>
          <w:sz w:val="36"/>
          <w:szCs w:val="36"/>
          <w:highlight w:val="none"/>
        </w:rPr>
        <w:t>投标人名称：（盖章）</w:t>
      </w:r>
      <w:bookmarkEnd w:id="501"/>
    </w:p>
    <w:p w14:paraId="4C1DDCE8">
      <w:pPr>
        <w:spacing w:line="240" w:lineRule="auto"/>
        <w:jc w:val="center"/>
        <w:rPr>
          <w:rFonts w:hint="eastAsia" w:ascii="宋体" w:hAnsi="宋体" w:eastAsia="宋体" w:cs="宋体"/>
          <w:sz w:val="36"/>
          <w:szCs w:val="36"/>
          <w:highlight w:val="none"/>
        </w:rPr>
      </w:pPr>
    </w:p>
    <w:p w14:paraId="40B5DDEE">
      <w:pPr>
        <w:spacing w:line="240" w:lineRule="auto"/>
        <w:jc w:val="center"/>
        <w:rPr>
          <w:rFonts w:hint="eastAsia" w:ascii="宋体" w:hAnsi="宋体" w:eastAsia="宋体" w:cs="宋体"/>
          <w:sz w:val="36"/>
          <w:szCs w:val="36"/>
          <w:highlight w:val="none"/>
        </w:rPr>
      </w:pPr>
      <w:bookmarkStart w:id="502" w:name="_Toc8328"/>
      <w:r>
        <w:rPr>
          <w:rFonts w:hint="eastAsia" w:ascii="宋体" w:hAnsi="宋体" w:eastAsia="宋体" w:cs="宋体"/>
          <w:sz w:val="36"/>
          <w:szCs w:val="36"/>
          <w:highlight w:val="none"/>
        </w:rPr>
        <w:t>投标人地址：</w:t>
      </w:r>
      <w:bookmarkEnd w:id="502"/>
    </w:p>
    <w:p w14:paraId="14E9A0B8">
      <w:pPr>
        <w:spacing w:line="240" w:lineRule="auto"/>
        <w:jc w:val="center"/>
        <w:rPr>
          <w:rFonts w:hint="eastAsia" w:ascii="宋体" w:hAnsi="宋体" w:eastAsia="宋体" w:cs="宋体"/>
          <w:sz w:val="36"/>
          <w:szCs w:val="36"/>
          <w:highlight w:val="none"/>
        </w:rPr>
      </w:pPr>
    </w:p>
    <w:p w14:paraId="14816BD0">
      <w:pPr>
        <w:spacing w:line="240" w:lineRule="auto"/>
        <w:jc w:val="center"/>
        <w:rPr>
          <w:rFonts w:hint="eastAsia" w:ascii="宋体" w:hAnsi="宋体" w:eastAsia="宋体" w:cs="宋体"/>
          <w:sz w:val="36"/>
          <w:szCs w:val="36"/>
          <w:highlight w:val="none"/>
        </w:rPr>
      </w:pPr>
      <w:bookmarkStart w:id="503" w:name="_Toc23143"/>
      <w:r>
        <w:rPr>
          <w:rFonts w:hint="eastAsia" w:ascii="宋体" w:hAnsi="宋体" w:eastAsia="宋体" w:cs="宋体"/>
          <w:sz w:val="36"/>
          <w:szCs w:val="36"/>
          <w:highlight w:val="none"/>
        </w:rPr>
        <w:t>在</w:t>
      </w:r>
      <w:r>
        <w:rPr>
          <w:rFonts w:hint="eastAsia" w:ascii="宋体" w:hAnsi="宋体" w:eastAsia="宋体" w:cs="宋体"/>
          <w:sz w:val="36"/>
          <w:szCs w:val="36"/>
          <w:highlight w:val="none"/>
          <w:lang w:val="en-US" w:eastAsia="zh-CN"/>
        </w:rPr>
        <w:t xml:space="preserve">   </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年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月</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日</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时</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分之前不得启封。</w:t>
      </w:r>
      <w:bookmarkEnd w:id="503"/>
    </w:p>
    <w:p w14:paraId="72458F3F">
      <w:pPr>
        <w:spacing w:line="240" w:lineRule="auto"/>
        <w:jc w:val="center"/>
        <w:rPr>
          <w:rFonts w:hint="eastAsia" w:ascii="宋体" w:hAnsi="宋体" w:eastAsia="宋体" w:cs="宋体"/>
          <w:sz w:val="36"/>
          <w:szCs w:val="36"/>
          <w:highlight w:val="none"/>
        </w:rPr>
      </w:pPr>
    </w:p>
    <w:p w14:paraId="78A4E1B2">
      <w:pPr>
        <w:spacing w:line="240" w:lineRule="auto"/>
        <w:jc w:val="center"/>
        <w:rPr>
          <w:rFonts w:hint="eastAsia" w:ascii="宋体" w:hAnsi="宋体" w:eastAsia="宋体" w:cs="宋体"/>
          <w:b/>
          <w:bCs/>
          <w:color w:val="auto"/>
          <w:szCs w:val="48"/>
          <w:highlight w:val="none"/>
        </w:rPr>
      </w:pPr>
      <w:bookmarkStart w:id="504" w:name="_Toc10680"/>
      <w:r>
        <w:rPr>
          <w:rFonts w:hint="eastAsia" w:ascii="宋体" w:hAnsi="宋体" w:eastAsia="宋体" w:cs="宋体"/>
          <w:sz w:val="36"/>
          <w:szCs w:val="36"/>
          <w:highlight w:val="none"/>
        </w:rPr>
        <w:t>年</w:t>
      </w:r>
      <w:r>
        <w:rPr>
          <w:rFonts w:hint="eastAsia" w:ascii="宋体" w:hAnsi="宋体" w:eastAsia="宋体" w:cs="宋体"/>
          <w:sz w:val="36"/>
          <w:szCs w:val="36"/>
          <w:highlight w:val="none"/>
        </w:rPr>
        <w:tab/>
      </w:r>
      <w:r>
        <w:rPr>
          <w:rFonts w:hint="eastAsia" w:ascii="宋体" w:hAnsi="宋体" w:eastAsia="宋体" w:cs="宋体"/>
          <w:sz w:val="36"/>
          <w:szCs w:val="36"/>
          <w:highlight w:val="none"/>
        </w:rPr>
        <w:t xml:space="preserve">  月   </w:t>
      </w:r>
      <w:r>
        <w:rPr>
          <w:rFonts w:hint="eastAsia" w:ascii="宋体" w:hAnsi="宋体" w:eastAsia="宋体" w:cs="宋体"/>
          <w:sz w:val="36"/>
          <w:szCs w:val="36"/>
          <w:highlight w:val="none"/>
        </w:rPr>
        <w:tab/>
      </w:r>
      <w:r>
        <w:rPr>
          <w:rFonts w:hint="eastAsia" w:ascii="宋体" w:hAnsi="宋体" w:eastAsia="宋体" w:cs="宋体"/>
          <w:sz w:val="36"/>
          <w:szCs w:val="36"/>
          <w:highlight w:val="none"/>
        </w:rPr>
        <w:t>日</w:t>
      </w:r>
      <w:bookmarkEnd w:id="504"/>
    </w:p>
    <w:p w14:paraId="1806CFD9">
      <w:pPr>
        <w:jc w:val="left"/>
        <w:rPr>
          <w:rFonts w:hint="eastAsia" w:ascii="宋体" w:hAnsi="宋体" w:eastAsia="宋体" w:cs="宋体"/>
          <w:highlight w:val="none"/>
        </w:rPr>
      </w:pPr>
    </w:p>
    <w:p w14:paraId="6EE4F2A2">
      <w:pPr>
        <w:spacing w:line="240" w:lineRule="auto"/>
        <w:jc w:val="left"/>
        <w:outlineLvl w:val="9"/>
        <w:rPr>
          <w:rFonts w:hint="eastAsia" w:ascii="宋体" w:hAnsi="宋体" w:eastAsia="宋体" w:cs="宋体"/>
          <w:highlight w:val="none"/>
        </w:rPr>
      </w:pPr>
    </w:p>
    <w:p w14:paraId="30F4BB46">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42D13DE9">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321C21AB">
      <w:pPr>
        <w:spacing w:line="360" w:lineRule="auto"/>
        <w:jc w:val="left"/>
        <w:outlineLvl w:val="9"/>
        <w:rPr>
          <w:rFonts w:hint="eastAsia" w:ascii="宋体" w:hAnsi="宋体" w:eastAsia="宋体" w:cs="宋体"/>
          <w:highlight w:val="none"/>
        </w:rPr>
      </w:pPr>
    </w:p>
    <w:p w14:paraId="4297C82C">
      <w:pPr>
        <w:shd w:val="clear" w:color="000000" w:fill="auto"/>
        <w:snapToGrid/>
        <w:spacing w:line="360" w:lineRule="auto"/>
        <w:jc w:val="center"/>
        <w:outlineLvl w:val="9"/>
        <w:rPr>
          <w:rFonts w:hint="eastAsia" w:ascii="宋体" w:hAnsi="宋体" w:eastAsia="宋体" w:cs="宋体"/>
          <w:b/>
          <w:bCs/>
          <w:sz w:val="36"/>
          <w:szCs w:val="44"/>
          <w:highlight w:val="none"/>
        </w:rPr>
      </w:pPr>
      <w:r>
        <w:rPr>
          <w:rFonts w:hint="eastAsia" w:ascii="宋体" w:hAnsi="宋体" w:eastAsia="宋体" w:cs="宋体"/>
          <w:b/>
          <w:bCs/>
          <w:sz w:val="36"/>
          <w:szCs w:val="44"/>
          <w:highlight w:val="none"/>
        </w:rPr>
        <w:t>（项目名称）</w:t>
      </w:r>
    </w:p>
    <w:p w14:paraId="3854A30A">
      <w:pPr>
        <w:shd w:val="clear" w:color="000000" w:fill="auto"/>
        <w:snapToGrid/>
        <w:spacing w:line="360" w:lineRule="auto"/>
        <w:jc w:val="left"/>
        <w:outlineLvl w:val="9"/>
        <w:rPr>
          <w:rFonts w:hint="eastAsia" w:ascii="宋体" w:hAnsi="宋体" w:eastAsia="宋体" w:cs="宋体"/>
          <w:highlight w:val="none"/>
        </w:rPr>
      </w:pPr>
    </w:p>
    <w:p w14:paraId="2F016D54">
      <w:pPr>
        <w:shd w:val="clear" w:color="000000" w:fill="auto"/>
        <w:snapToGrid/>
        <w:spacing w:line="360" w:lineRule="auto"/>
        <w:jc w:val="center"/>
        <w:outlineLvl w:val="9"/>
        <w:rPr>
          <w:rFonts w:hint="eastAsia" w:ascii="宋体" w:hAnsi="宋体" w:eastAsia="宋体" w:cs="宋体"/>
          <w:b/>
          <w:bCs/>
          <w:sz w:val="52"/>
          <w:szCs w:val="52"/>
          <w:highlight w:val="none"/>
        </w:rPr>
      </w:pPr>
      <w:r>
        <w:rPr>
          <w:rFonts w:hint="eastAsia" w:ascii="宋体" w:hAnsi="宋体" w:eastAsia="宋体" w:cs="宋体"/>
          <w:b/>
          <w:bCs/>
          <w:sz w:val="52"/>
          <w:szCs w:val="52"/>
          <w:highlight w:val="none"/>
        </w:rPr>
        <w:t>资  格  文  件</w:t>
      </w:r>
    </w:p>
    <w:p w14:paraId="55090568">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001636CE">
      <w:pPr>
        <w:spacing w:line="360" w:lineRule="auto"/>
        <w:jc w:val="center"/>
        <w:rPr>
          <w:rFonts w:hint="eastAsia" w:ascii="宋体" w:hAnsi="宋体" w:eastAsia="宋体" w:cs="宋体"/>
          <w:b/>
          <w:bCs/>
          <w:sz w:val="32"/>
          <w:szCs w:val="32"/>
          <w:highlight w:val="none"/>
        </w:rPr>
      </w:pPr>
    </w:p>
    <w:p w14:paraId="2D3941C2">
      <w:pPr>
        <w:shd w:val="clear" w:color="000000" w:fill="auto"/>
        <w:snapToGrid/>
        <w:spacing w:line="360" w:lineRule="auto"/>
        <w:jc w:val="center"/>
        <w:outlineLvl w:val="9"/>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rPr>
        <w:t>招标编号：</w:t>
      </w:r>
      <w:r>
        <w:rPr>
          <w:rFonts w:hint="eastAsia" w:ascii="宋体" w:hAnsi="宋体" w:cs="宋体"/>
          <w:b/>
          <w:bCs/>
          <w:sz w:val="32"/>
          <w:szCs w:val="32"/>
          <w:highlight w:val="none"/>
          <w:lang w:eastAsia="zh-CN"/>
        </w:rPr>
        <w:t>HZZHCG2025-012</w:t>
      </w:r>
    </w:p>
    <w:p w14:paraId="5B9809F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0F7EF7B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8A13DB0">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2335B6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4C3B89A5">
      <w:pPr>
        <w:snapToGrid w:val="0"/>
        <w:spacing w:line="360" w:lineRule="auto"/>
        <w:rPr>
          <w:rFonts w:hint="eastAsia" w:ascii="宋体" w:hAnsi="宋体" w:eastAsia="宋体" w:cs="宋体"/>
          <w:color w:val="auto"/>
          <w:sz w:val="32"/>
          <w:szCs w:val="32"/>
          <w:highlight w:val="none"/>
        </w:rPr>
      </w:pPr>
    </w:p>
    <w:p w14:paraId="68EEA3F6">
      <w:pPr>
        <w:snapToGrid w:val="0"/>
        <w:spacing w:line="360" w:lineRule="auto"/>
        <w:ind w:firstLine="1920" w:firstLineChars="600"/>
        <w:rPr>
          <w:rFonts w:hint="eastAsia" w:ascii="宋体" w:hAnsi="宋体" w:eastAsia="宋体" w:cs="宋体"/>
          <w:color w:val="auto"/>
          <w:sz w:val="32"/>
          <w:szCs w:val="32"/>
          <w:highlight w:val="none"/>
        </w:rPr>
      </w:pPr>
    </w:p>
    <w:p w14:paraId="2DA5C4DD">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110832F5">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20F83D2C">
      <w:pPr>
        <w:spacing w:line="240" w:lineRule="auto"/>
        <w:jc w:val="center"/>
        <w:outlineLvl w:val="9"/>
        <w:rPr>
          <w:rFonts w:hint="eastAsia" w:ascii="宋体" w:hAnsi="宋体" w:eastAsia="宋体" w:cs="宋体"/>
          <w:highlight w:val="none"/>
        </w:rPr>
      </w:pPr>
      <w:r>
        <w:rPr>
          <w:rFonts w:hint="eastAsia" w:ascii="宋体" w:hAnsi="宋体" w:eastAsia="宋体" w:cs="宋体"/>
          <w:color w:val="auto"/>
          <w:sz w:val="32"/>
          <w:szCs w:val="32"/>
          <w:highlight w:val="none"/>
        </w:rPr>
        <w:t>年   月   日</w:t>
      </w:r>
    </w:p>
    <w:p w14:paraId="0139FD72">
      <w:pPr>
        <w:spacing w:line="240" w:lineRule="auto"/>
        <w:jc w:val="left"/>
        <w:outlineLvl w:val="9"/>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75EBE1F">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C632AFC">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27ACD476">
      <w:pPr>
        <w:spacing w:line="360" w:lineRule="auto"/>
        <w:jc w:val="center"/>
        <w:outlineLvl w:val="9"/>
        <w:rPr>
          <w:rFonts w:hint="eastAsia" w:ascii="宋体" w:hAnsi="宋体" w:eastAsia="宋体" w:cs="宋体"/>
          <w:b/>
          <w:color w:val="auto"/>
          <w:kern w:val="0"/>
          <w:sz w:val="36"/>
          <w:szCs w:val="36"/>
          <w:highlight w:val="none"/>
        </w:rPr>
      </w:pPr>
    </w:p>
    <w:p w14:paraId="3D0EA7B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22161A9A">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A40FDB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4183942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1B9E26C5">
      <w:pPr>
        <w:snapToGrid w:val="0"/>
        <w:spacing w:line="360" w:lineRule="auto"/>
        <w:ind w:firstLine="480" w:firstLineChars="200"/>
        <w:rPr>
          <w:rFonts w:hint="eastAsia" w:ascii="宋体" w:hAnsi="宋体" w:eastAsia="宋体" w:cs="宋体"/>
          <w:color w:val="auto"/>
          <w:sz w:val="24"/>
          <w:highlight w:val="none"/>
        </w:rPr>
      </w:pPr>
    </w:p>
    <w:p w14:paraId="2565EF5F">
      <w:pPr>
        <w:spacing w:line="360" w:lineRule="auto"/>
        <w:ind w:firstLine="480" w:firstLineChars="200"/>
        <w:rPr>
          <w:rFonts w:hint="eastAsia" w:ascii="宋体" w:hAnsi="宋体" w:eastAsia="宋体" w:cs="宋体"/>
          <w:color w:val="auto"/>
          <w:sz w:val="24"/>
          <w:highlight w:val="none"/>
        </w:rPr>
      </w:pPr>
    </w:p>
    <w:p w14:paraId="62596116">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一、符合参加政府采购活动应当具备的一般条件的承诺函</w:t>
      </w:r>
    </w:p>
    <w:p w14:paraId="3E2D045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0678DF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349D593F">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1219D23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5FA3E30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2F946FD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84A2B7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6DFF416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73A138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1752951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37D8D65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5C9975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105CE40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29F180D1">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3FB32A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6FE951">
      <w:pPr>
        <w:snapToGrid w:val="0"/>
        <w:spacing w:line="360" w:lineRule="auto"/>
        <w:ind w:right="480"/>
        <w:jc w:val="both"/>
        <w:rPr>
          <w:rFonts w:hint="eastAsia" w:ascii="宋体" w:hAnsi="宋体" w:eastAsia="宋体" w:cs="宋体"/>
          <w:b/>
          <w:color w:val="auto"/>
          <w:kern w:val="0"/>
          <w:sz w:val="32"/>
          <w:szCs w:val="32"/>
          <w:highlight w:val="none"/>
        </w:rPr>
      </w:pPr>
    </w:p>
    <w:p w14:paraId="27282776">
      <w:pPr>
        <w:snapToGrid w:val="0"/>
        <w:spacing w:line="360" w:lineRule="auto"/>
        <w:ind w:right="480" w:firstLine="480" w:firstLineChars="200"/>
        <w:jc w:val="left"/>
        <w:rPr>
          <w:rFonts w:hint="eastAsia" w:ascii="宋体" w:hAnsi="宋体" w:eastAsia="宋体" w:cs="宋体"/>
          <w:b/>
          <w:color w:val="auto"/>
          <w:kern w:val="0"/>
          <w:sz w:val="32"/>
          <w:szCs w:val="32"/>
          <w:highlight w:val="none"/>
        </w:rPr>
      </w:pPr>
      <w:bookmarkStart w:id="505" w:name="OLE_LINK9"/>
      <w:r>
        <w:rPr>
          <w:rFonts w:hint="eastAsia" w:ascii="宋体" w:hAnsi="宋体" w:eastAsia="宋体" w:cs="宋体"/>
          <w:color w:val="auto"/>
          <w:sz w:val="24"/>
          <w:highlight w:val="none"/>
        </w:rPr>
        <w:t>注：根据《关于规范政府采购供应商资格设定及资格审查的通知》（浙财采监[2013]24号）的相关规定，金融、保险、通讯等特定行业的全国性企业所设立的</w:t>
      </w:r>
      <w:r>
        <w:rPr>
          <w:rFonts w:hint="eastAsia" w:ascii="宋体" w:hAnsi="宋体" w:eastAsia="宋体" w:cs="宋体"/>
          <w:b/>
          <w:bCs/>
          <w:color w:val="auto"/>
          <w:sz w:val="24"/>
          <w:highlight w:val="none"/>
        </w:rPr>
        <w:t>区域性分支机构，以及个体工商户、个人独资企业、合伙企业，参与政府采购活动，</w:t>
      </w:r>
      <w:r>
        <w:rPr>
          <w:rFonts w:hint="eastAsia" w:ascii="宋体" w:hAnsi="宋体" w:eastAsia="宋体" w:cs="宋体"/>
          <w:color w:val="auto"/>
          <w:sz w:val="24"/>
          <w:highlight w:val="none"/>
        </w:rPr>
        <w:t>如果已经依法办理了工商、税务和社保登记手续，</w:t>
      </w:r>
      <w:r>
        <w:rPr>
          <w:rFonts w:hint="eastAsia" w:ascii="宋体" w:hAnsi="宋体" w:eastAsia="宋体" w:cs="宋体"/>
          <w:b/>
          <w:color w:val="auto"/>
          <w:sz w:val="24"/>
          <w:highlight w:val="none"/>
          <w:u w:val="single"/>
        </w:rPr>
        <w:t>除提供上述《符合参加政府采购活动应当具备的一般条件的承诺函》外，</w:t>
      </w:r>
      <w:bookmarkStart w:id="506" w:name="OLE_LINK6"/>
      <w:r>
        <w:rPr>
          <w:rFonts w:hint="eastAsia" w:ascii="宋体" w:hAnsi="宋体" w:eastAsia="宋体" w:cs="宋体"/>
          <w:b/>
          <w:color w:val="auto"/>
          <w:sz w:val="24"/>
          <w:highlight w:val="none"/>
          <w:u w:val="single"/>
        </w:rPr>
        <w:t>还需提供下列材料：</w:t>
      </w:r>
      <w:bookmarkStart w:id="507" w:name="OLE_LINK10"/>
      <w:r>
        <w:rPr>
          <w:rFonts w:hint="eastAsia" w:ascii="宋体" w:hAnsi="宋体" w:eastAsia="宋体" w:cs="宋体"/>
          <w:b/>
          <w:color w:val="auto"/>
          <w:sz w:val="24"/>
          <w:highlight w:val="none"/>
          <w:u w:val="single"/>
        </w:rPr>
        <w:t>总公司（总机构）的授权书或提供房产权证或其他有效财产证明材料</w:t>
      </w:r>
      <w:bookmarkEnd w:id="507"/>
      <w:r>
        <w:rPr>
          <w:rFonts w:hint="eastAsia" w:ascii="宋体" w:hAnsi="宋体" w:eastAsia="宋体" w:cs="宋体"/>
          <w:b/>
          <w:color w:val="auto"/>
          <w:sz w:val="24"/>
          <w:highlight w:val="none"/>
          <w:u w:val="single"/>
        </w:rPr>
        <w:t>，证明其具备实际承担责任的能力和法定的缔结合同能力，可以独立参加政府采购活动，由单位负责人签署相关文件材料。</w:t>
      </w:r>
      <w:bookmarkEnd w:id="505"/>
      <w:bookmarkEnd w:id="506"/>
    </w:p>
    <w:p w14:paraId="28CB3A00">
      <w:pPr>
        <w:widowControl/>
        <w:spacing w:line="360" w:lineRule="auto"/>
        <w:ind w:firstLine="643" w:firstLineChars="20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F2A7143">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1C00709D">
      <w:pPr>
        <w:snapToGrid w:val="0"/>
        <w:spacing w:line="360" w:lineRule="auto"/>
        <w:ind w:right="480"/>
        <w:jc w:val="center"/>
        <w:rPr>
          <w:rFonts w:hint="eastAsia" w:ascii="宋体" w:hAnsi="宋体" w:eastAsia="宋体" w:cs="宋体"/>
          <w:b/>
          <w:color w:val="auto"/>
          <w:kern w:val="0"/>
          <w:sz w:val="32"/>
          <w:szCs w:val="32"/>
          <w:highlight w:val="none"/>
        </w:rPr>
      </w:pPr>
    </w:p>
    <w:p w14:paraId="048EB01D">
      <w:pPr>
        <w:snapToGrid w:val="0"/>
        <w:spacing w:line="360" w:lineRule="auto"/>
        <w:ind w:right="480"/>
        <w:jc w:val="center"/>
        <w:rPr>
          <w:rFonts w:hint="eastAsia" w:ascii="宋体" w:hAnsi="宋体" w:eastAsia="宋体" w:cs="宋体"/>
          <w:b/>
          <w:color w:val="auto"/>
          <w:kern w:val="0"/>
          <w:sz w:val="32"/>
          <w:szCs w:val="32"/>
          <w:highlight w:val="none"/>
        </w:rPr>
      </w:pPr>
    </w:p>
    <w:p w14:paraId="72F7D2D3">
      <w:pPr>
        <w:snapToGrid w:val="0"/>
        <w:spacing w:line="360" w:lineRule="auto"/>
        <w:ind w:right="48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3D66406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C86105E">
      <w:pPr>
        <w:snapToGrid w:val="0"/>
        <w:spacing w:before="50" w:after="50" w:line="360" w:lineRule="auto"/>
        <w:ind w:firstLine="472" w:firstLineChars="196"/>
        <w:jc w:val="left"/>
        <w:rPr>
          <w:rFonts w:hint="eastAsia" w:ascii="宋体" w:hAnsi="宋体" w:eastAsia="宋体" w:cs="宋体"/>
          <w:sz w:val="24"/>
          <w:highlight w:val="none"/>
        </w:rPr>
      </w:pPr>
      <w:r>
        <w:rPr>
          <w:rFonts w:hint="eastAsia" w:ascii="宋体" w:hAnsi="宋体" w:eastAsia="宋体" w:cs="宋体"/>
          <w:b/>
          <w:sz w:val="24"/>
          <w:highlight w:val="none"/>
        </w:rPr>
        <w:t>A</w:t>
      </w:r>
      <w:r>
        <w:rPr>
          <w:rFonts w:hint="eastAsia" w:ascii="宋体" w:hAnsi="宋体" w:eastAsia="宋体" w:cs="宋体"/>
          <w:sz w:val="24"/>
          <w:highlight w:val="none"/>
        </w:rPr>
        <w:t>.专门面向</w:t>
      </w:r>
      <w:r>
        <w:rPr>
          <w:rFonts w:hint="eastAsia" w:ascii="宋体" w:hAnsi="宋体" w:cs="宋体"/>
          <w:sz w:val="24"/>
          <w:highlight w:val="none"/>
          <w:lang w:val="en-US" w:eastAsia="zh-CN"/>
        </w:rPr>
        <w:t>中小</w:t>
      </w:r>
      <w:r>
        <w:rPr>
          <w:rFonts w:hint="eastAsia" w:ascii="宋体" w:hAnsi="宋体" w:eastAsia="宋体" w:cs="宋体"/>
          <w:sz w:val="24"/>
          <w:highlight w:val="none"/>
        </w:rPr>
        <w:t>企业，服务全部由符合政策要求的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企业承接的，提供相应的</w:t>
      </w:r>
      <w:r>
        <w:rPr>
          <w:rFonts w:hint="eastAsia" w:ascii="宋体" w:hAnsi="宋体" w:cs="宋体"/>
          <w:sz w:val="24"/>
          <w:highlight w:val="none"/>
          <w:lang w:val="en-US" w:eastAsia="zh-CN"/>
        </w:rPr>
        <w:t>中小</w:t>
      </w:r>
      <w:r>
        <w:rPr>
          <w:rFonts w:hint="eastAsia" w:ascii="宋体" w:hAnsi="宋体" w:eastAsia="宋体" w:cs="宋体"/>
          <w:sz w:val="24"/>
          <w:highlight w:val="none"/>
        </w:rPr>
        <w:t>企业声明函</w:t>
      </w:r>
      <w:r>
        <w:rPr>
          <w:rFonts w:hint="eastAsia" w:ascii="宋体" w:hAnsi="宋体" w:eastAsia="宋体" w:cs="宋体"/>
          <w:color w:val="000000"/>
          <w:sz w:val="24"/>
          <w:highlight w:val="none"/>
        </w:rPr>
        <w:t>（附件7）。</w:t>
      </w:r>
      <w:r>
        <w:rPr>
          <w:rFonts w:hint="eastAsia" w:ascii="宋体" w:hAnsi="宋体" w:eastAsia="宋体" w:cs="宋体"/>
          <w:sz w:val="24"/>
          <w:highlight w:val="none"/>
        </w:rPr>
        <w:t xml:space="preserve"> </w:t>
      </w:r>
    </w:p>
    <w:p w14:paraId="7F7BD0EC">
      <w:pPr>
        <w:widowControl/>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中小微</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中型、</w:t>
      </w:r>
      <w:r>
        <w:rPr>
          <w:rFonts w:hint="eastAsia" w:ascii="宋体" w:hAnsi="宋体" w:eastAsia="宋体" w:cs="宋体"/>
          <w:b/>
          <w:bCs/>
          <w:color w:val="auto"/>
          <w:sz w:val="24"/>
          <w:highlight w:val="none"/>
          <w:lang w:eastAsia="zh-CN"/>
        </w:rPr>
        <w:t>小型企业或微型企业或监狱企业和残疾人福利性单位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投标时提供</w:t>
      </w:r>
      <w:r>
        <w:rPr>
          <w:rFonts w:hint="eastAsia" w:ascii="宋体" w:hAnsi="宋体" w:cs="宋体"/>
          <w:b/>
          <w:bCs/>
          <w:color w:val="auto"/>
          <w:sz w:val="24"/>
          <w:highlight w:val="none"/>
          <w:lang w:val="en-US" w:eastAsia="zh-CN"/>
        </w:rPr>
        <w:t>中小</w:t>
      </w:r>
      <w:r>
        <w:rPr>
          <w:rFonts w:hint="eastAsia" w:ascii="宋体" w:hAnsi="宋体" w:eastAsia="宋体" w:cs="宋体"/>
          <w:b/>
          <w:bCs/>
          <w:color w:val="auto"/>
          <w:sz w:val="24"/>
          <w:highlight w:val="none"/>
          <w:lang w:eastAsia="zh-CN"/>
        </w:rPr>
        <w:t>企业声明函（格式后附），否则其投标文件作无效投标处理。</w:t>
      </w:r>
    </w:p>
    <w:p w14:paraId="3E9A600D">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CDF3641">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6E65B0C2">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58471B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9FD42D5">
      <w:pPr>
        <w:spacing w:line="360" w:lineRule="auto"/>
        <w:jc w:val="center"/>
        <w:rPr>
          <w:rFonts w:hint="eastAsia" w:ascii="宋体" w:hAnsi="宋体" w:eastAsia="宋体" w:cs="宋体"/>
          <w:b/>
          <w:color w:val="auto"/>
          <w:sz w:val="32"/>
          <w:szCs w:val="32"/>
          <w:highlight w:val="none"/>
        </w:rPr>
      </w:pPr>
      <w:r>
        <w:rPr>
          <w:rFonts w:hint="eastAsia" w:ascii="宋体" w:hAnsi="宋体" w:cs="宋体"/>
          <w:b/>
          <w:color w:val="auto"/>
          <w:sz w:val="32"/>
          <w:szCs w:val="32"/>
          <w:highlight w:val="none"/>
          <w:lang w:val="en-US" w:eastAsia="zh-CN"/>
        </w:rPr>
        <w:t>中小</w:t>
      </w:r>
      <w:r>
        <w:rPr>
          <w:rFonts w:hint="eastAsia" w:ascii="宋体" w:hAnsi="宋体" w:eastAsia="宋体" w:cs="宋体"/>
          <w:b/>
          <w:color w:val="auto"/>
          <w:sz w:val="32"/>
          <w:szCs w:val="32"/>
          <w:highlight w:val="none"/>
        </w:rPr>
        <w:t>企业声明函（服务）</w:t>
      </w:r>
    </w:p>
    <w:p w14:paraId="1E84B4A9">
      <w:pPr>
        <w:spacing w:line="360" w:lineRule="auto"/>
        <w:ind w:firstLine="360" w:firstLineChars="150"/>
        <w:jc w:val="left"/>
        <w:rPr>
          <w:rFonts w:ascii="宋体" w:hAnsi="宋体" w:cs="宋体"/>
          <w:sz w:val="24"/>
          <w:highlight w:val="none"/>
        </w:rPr>
      </w:pPr>
      <w:r>
        <w:rPr>
          <w:rFonts w:hint="eastAsia" w:ascii="宋体" w:hAnsi="宋体" w:cs="宋体"/>
          <w:sz w:val="24"/>
          <w:highlight w:val="none"/>
        </w:rPr>
        <w:t xml:space="preserve">本公司（联合体）郑重声明，根据《政府采购促进中小企业发展管理办法》（财库﹝2020﹞46 号）的规定，本公司（联合体）参加 </w:t>
      </w:r>
      <w:r>
        <w:rPr>
          <w:rFonts w:hint="eastAsia" w:ascii="宋体" w:hAnsi="宋体" w:cs="宋体"/>
          <w:sz w:val="24"/>
          <w:highlight w:val="none"/>
          <w:u w:val="single"/>
        </w:rPr>
        <w:t xml:space="preserve">（采购人） </w:t>
      </w:r>
      <w:r>
        <w:rPr>
          <w:rFonts w:hint="eastAsia" w:ascii="宋体" w:hAnsi="宋体" w:cs="宋体"/>
          <w:sz w:val="24"/>
          <w:highlight w:val="none"/>
        </w:rPr>
        <w:t>的</w:t>
      </w:r>
      <w:r>
        <w:rPr>
          <w:rFonts w:hint="eastAsia" w:ascii="宋体" w:hAnsi="宋体" w:cs="宋体"/>
          <w:sz w:val="24"/>
          <w:highlight w:val="none"/>
          <w:u w:val="single"/>
        </w:rPr>
        <w:t xml:space="preserve"> （项目名称） </w:t>
      </w:r>
      <w:r>
        <w:rPr>
          <w:rFonts w:hint="eastAsia" w:ascii="宋体" w:hAnsi="宋体" w:cs="宋体"/>
          <w:sz w:val="24"/>
          <w:highlight w:val="none"/>
        </w:rPr>
        <w:t>采购活动，服务全部由符合政策要求的中小企业承接。相关企业（含联合体中的中小企业、签订分包意向协议的中小企业）的具体情况如下：</w:t>
      </w:r>
    </w:p>
    <w:p w14:paraId="310119A3">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1.</w:t>
      </w:r>
      <w:r>
        <w:rPr>
          <w:rFonts w:hint="eastAsia" w:ascii="宋体" w:hAnsi="宋体" w:cs="宋体"/>
          <w:highlight w:val="none"/>
        </w:rPr>
        <w:t xml:space="preserve"> </w:t>
      </w:r>
      <w:r>
        <w:rPr>
          <w:rFonts w:hint="eastAsia" w:ascii="宋体" w:hAnsi="宋体" w:cs="宋体"/>
          <w:sz w:val="24"/>
          <w:highlight w:val="none"/>
          <w:u w:val="single"/>
          <w:lang w:val="en-US" w:eastAsia="zh-CN"/>
        </w:rPr>
        <w:t xml:space="preserve"> </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u w:val="single"/>
        </w:rPr>
        <w:t>（采购文件中明确的所属行业）</w:t>
      </w:r>
      <w:r>
        <w:rPr>
          <w:rFonts w:hint="eastAsia" w:ascii="宋体" w:hAnsi="宋体" w:cs="宋体"/>
          <w:sz w:val="24"/>
          <w:highlight w:val="none"/>
        </w:rPr>
        <w:t xml:space="preserve"> ；承建（承接）企业为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221D245C">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 xml:space="preserve"> （标的名称），</w:t>
      </w:r>
      <w:r>
        <w:rPr>
          <w:rFonts w:hint="eastAsia" w:ascii="宋体" w:hAnsi="宋体" w:cs="宋体"/>
          <w:sz w:val="24"/>
          <w:highlight w:val="none"/>
        </w:rPr>
        <w:t>属于</w:t>
      </w:r>
      <w:r>
        <w:rPr>
          <w:rFonts w:hint="eastAsia" w:ascii="仿宋_GB2312" w:hAnsi="仿宋_GB2312" w:eastAsia="仿宋_GB2312" w:cs="仿宋_GB2312"/>
          <w:b/>
          <w:bCs/>
          <w:spacing w:val="-7"/>
          <w:sz w:val="24"/>
          <w:szCs w:val="24"/>
          <w:highlight w:val="none"/>
          <w:u w:val="single"/>
          <w:lang w:val="en-US" w:eastAsia="zh-CN"/>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（采购文件中明确的所属行业） </w:t>
      </w:r>
      <w:r>
        <w:rPr>
          <w:rFonts w:hint="eastAsia" w:ascii="宋体" w:hAnsi="宋体" w:cs="宋体"/>
          <w:sz w:val="24"/>
          <w:highlight w:val="none"/>
        </w:rPr>
        <w:t xml:space="preserve">；承建（承接）企业为 </w:t>
      </w:r>
      <w:r>
        <w:rPr>
          <w:rFonts w:hint="eastAsia" w:ascii="宋体" w:hAnsi="宋体" w:cs="宋体"/>
          <w:sz w:val="24"/>
          <w:highlight w:val="none"/>
          <w:u w:val="single"/>
        </w:rPr>
        <w:t>（企业名称）</w:t>
      </w:r>
      <w:r>
        <w:rPr>
          <w:rFonts w:hint="eastAsia" w:ascii="宋体" w:hAnsi="宋体" w:cs="宋体"/>
          <w:sz w:val="24"/>
          <w:highlight w:val="none"/>
        </w:rPr>
        <w:t xml:space="preserve"> ，从业人员</w:t>
      </w:r>
      <w:r>
        <w:rPr>
          <w:rFonts w:hint="eastAsia" w:ascii="宋体" w:hAnsi="宋体" w:cs="宋体"/>
          <w:sz w:val="24"/>
          <w:highlight w:val="none"/>
          <w:u w:val="single"/>
        </w:rPr>
        <w:t xml:space="preserve">   </w:t>
      </w:r>
      <w:r>
        <w:rPr>
          <w:rFonts w:hint="eastAsia" w:ascii="宋体" w:hAnsi="宋体" w:cs="宋体"/>
          <w:sz w:val="24"/>
          <w:highlight w:val="none"/>
        </w:rPr>
        <w:t>人，营业收入为</w:t>
      </w:r>
      <w:r>
        <w:rPr>
          <w:rFonts w:hint="eastAsia" w:ascii="宋体" w:hAnsi="宋体" w:cs="宋体"/>
          <w:sz w:val="24"/>
          <w:highlight w:val="none"/>
          <w:u w:val="single"/>
        </w:rPr>
        <w:t xml:space="preserve">  </w:t>
      </w:r>
      <w:r>
        <w:rPr>
          <w:rFonts w:hint="eastAsia" w:ascii="宋体" w:hAnsi="宋体" w:cs="宋体"/>
          <w:sz w:val="24"/>
          <w:highlight w:val="none"/>
        </w:rPr>
        <w:t>万元，资产总额为</w:t>
      </w:r>
      <w:r>
        <w:rPr>
          <w:rFonts w:hint="eastAsia" w:ascii="宋体" w:hAnsi="宋体" w:cs="宋体"/>
          <w:sz w:val="24"/>
          <w:highlight w:val="none"/>
          <w:u w:val="single"/>
        </w:rPr>
        <w:t xml:space="preserve">   </w:t>
      </w:r>
      <w:r>
        <w:rPr>
          <w:rFonts w:hint="eastAsia" w:ascii="宋体" w:hAnsi="宋体" w:cs="宋体"/>
          <w:sz w:val="24"/>
          <w:highlight w:val="none"/>
        </w:rPr>
        <w:t>万元属于</w:t>
      </w:r>
      <w:r>
        <w:rPr>
          <w:rFonts w:hint="eastAsia" w:ascii="宋体" w:hAnsi="宋体" w:cs="宋体"/>
          <w:sz w:val="24"/>
          <w:highlight w:val="none"/>
          <w:u w:val="single"/>
        </w:rPr>
        <w:t xml:space="preserve"> （</w:t>
      </w:r>
      <w:r>
        <w:rPr>
          <w:rFonts w:hint="eastAsia" w:ascii="宋体" w:hAnsi="宋体" w:cs="宋体"/>
          <w:sz w:val="24"/>
          <w:highlight w:val="none"/>
          <w:u w:val="single"/>
        </w:rPr>
        <w:sym w:font="Wingdings" w:char="00A8"/>
      </w:r>
      <w:r>
        <w:rPr>
          <w:rFonts w:hint="eastAsia" w:ascii="宋体" w:hAnsi="宋体" w:cs="宋体"/>
          <w:sz w:val="24"/>
          <w:highlight w:val="none"/>
          <w:u w:val="single"/>
        </w:rPr>
        <w:t>中型企业、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小型企业、</w:t>
      </w:r>
      <w:r>
        <w:rPr>
          <w:rFonts w:hint="eastAsia" w:ascii="宋体" w:hAnsi="宋体" w:cs="宋体"/>
          <w:sz w:val="24"/>
          <w:highlight w:val="none"/>
          <w:u w:val="single"/>
        </w:rPr>
        <w:sym w:font="Wingdings" w:char="00A8"/>
      </w:r>
      <w:r>
        <w:rPr>
          <w:rFonts w:hint="eastAsia" w:ascii="宋体" w:hAnsi="宋体" w:cs="宋体"/>
          <w:sz w:val="24"/>
          <w:highlight w:val="none"/>
          <w:u w:val="single"/>
        </w:rPr>
        <w:t xml:space="preserve">微型企业） </w:t>
      </w:r>
      <w:r>
        <w:rPr>
          <w:rFonts w:hint="eastAsia" w:ascii="宋体" w:hAnsi="宋体" w:cs="宋体"/>
          <w:sz w:val="24"/>
          <w:highlight w:val="none"/>
        </w:rPr>
        <w:t>；</w:t>
      </w:r>
    </w:p>
    <w:p w14:paraId="33F9A609">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14:paraId="0FA9FB47">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14:paraId="51382F71">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14:paraId="784BFC96">
      <w:pPr>
        <w:spacing w:line="360" w:lineRule="auto"/>
        <w:ind w:right="1760"/>
        <w:jc w:val="right"/>
        <w:rPr>
          <w:rFonts w:ascii="宋体" w:hAnsi="宋体" w:cs="宋体"/>
          <w:sz w:val="24"/>
          <w:highlight w:val="none"/>
        </w:rPr>
      </w:pPr>
      <w:r>
        <w:rPr>
          <w:rFonts w:hint="eastAsia" w:ascii="宋体" w:hAnsi="宋体" w:cs="宋体"/>
          <w:sz w:val="24"/>
          <w:highlight w:val="none"/>
        </w:rPr>
        <w:t>投标人名称（电子签名）：</w:t>
      </w:r>
    </w:p>
    <w:p w14:paraId="59A9BA96">
      <w:pPr>
        <w:spacing w:line="360" w:lineRule="auto"/>
        <w:ind w:right="1120" w:firstLine="4680" w:firstLineChars="1950"/>
        <w:rPr>
          <w:rFonts w:ascii="宋体" w:hAnsi="宋体" w:cs="宋体"/>
          <w:sz w:val="24"/>
          <w:highlight w:val="none"/>
        </w:rPr>
      </w:pPr>
      <w:r>
        <w:rPr>
          <w:rFonts w:hint="eastAsia" w:ascii="宋体" w:hAnsi="宋体" w:cs="宋体"/>
          <w:sz w:val="24"/>
          <w:highlight w:val="none"/>
        </w:rPr>
        <w:t>日 期：</w:t>
      </w:r>
    </w:p>
    <w:p w14:paraId="485B4CCA">
      <w:pPr>
        <w:spacing w:line="360" w:lineRule="auto"/>
        <w:ind w:firstLine="310" w:firstLineChars="147"/>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从业人员、营业收入、资产总额填报上一年度数据，无上一年度数据的新成立企业可不填报。</w:t>
      </w:r>
    </w:p>
    <w:p w14:paraId="4C93D52B">
      <w:pPr>
        <w:spacing w:line="360" w:lineRule="auto"/>
        <w:ind w:right="420"/>
        <w:rPr>
          <w:rFonts w:hint="eastAsia" w:ascii="宋体" w:hAnsi="宋体" w:eastAsia="宋体" w:cs="宋体"/>
          <w:color w:val="auto"/>
          <w:sz w:val="24"/>
          <w:highlight w:val="none"/>
        </w:rPr>
      </w:pPr>
    </w:p>
    <w:p w14:paraId="0FB9F12E">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注：</w:t>
      </w:r>
    </w:p>
    <w:p w14:paraId="2F1D05C6">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9E7F3F6">
      <w:pPr>
        <w:spacing w:line="360" w:lineRule="auto"/>
        <w:ind w:right="420" w:firstLine="720" w:firstLineChars="300"/>
        <w:rPr>
          <w:rFonts w:hint="eastAsia" w:ascii="宋体" w:hAnsi="宋体" w:eastAsia="宋体" w:cs="宋体"/>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DD46A62">
      <w:pPr>
        <w:rPr>
          <w:rFonts w:hint="eastAsia" w:ascii="宋体" w:hAnsi="宋体" w:eastAsia="宋体" w:cs="宋体"/>
          <w:color w:val="auto"/>
          <w:highlight w:val="none"/>
        </w:rPr>
      </w:pPr>
    </w:p>
    <w:p w14:paraId="7CAAD395">
      <w:pPr>
        <w:widowControl/>
        <w:spacing w:line="360" w:lineRule="auto"/>
        <w:ind w:left="150"/>
        <w:jc w:val="center"/>
        <w:rPr>
          <w:rFonts w:hint="eastAsia" w:ascii="宋体" w:hAnsi="宋体" w:eastAsia="宋体" w:cs="宋体"/>
          <w:b/>
          <w:color w:val="auto"/>
          <w:kern w:val="0"/>
          <w:sz w:val="32"/>
          <w:szCs w:val="32"/>
          <w:highlight w:val="none"/>
        </w:rPr>
      </w:pPr>
    </w:p>
    <w:p w14:paraId="73E5B541">
      <w:pPr>
        <w:outlineLvl w:val="9"/>
        <w:rPr>
          <w:rFonts w:hint="eastAsia" w:ascii="宋体" w:hAnsi="宋体" w:eastAsia="宋体" w:cs="宋体"/>
          <w:b/>
          <w:color w:val="auto"/>
          <w:kern w:val="0"/>
          <w:sz w:val="32"/>
          <w:szCs w:val="32"/>
          <w:highlight w:val="none"/>
        </w:rPr>
      </w:pPr>
    </w:p>
    <w:p w14:paraId="095FF4C2">
      <w:pPr>
        <w:rPr>
          <w:rFonts w:hint="eastAsia" w:ascii="宋体" w:hAnsi="宋体" w:eastAsia="宋体" w:cs="宋体"/>
          <w:b/>
          <w:color w:val="auto"/>
          <w:kern w:val="0"/>
          <w:sz w:val="32"/>
          <w:szCs w:val="32"/>
          <w:highlight w:val="none"/>
        </w:rPr>
      </w:pPr>
    </w:p>
    <w:p w14:paraId="02C7672E">
      <w:pPr>
        <w:outlineLvl w:val="9"/>
        <w:rPr>
          <w:rFonts w:hint="eastAsia" w:ascii="宋体" w:hAnsi="宋体" w:eastAsia="宋体" w:cs="宋体"/>
          <w:b/>
          <w:color w:val="auto"/>
          <w:kern w:val="0"/>
          <w:sz w:val="32"/>
          <w:szCs w:val="32"/>
          <w:highlight w:val="none"/>
        </w:rPr>
      </w:pPr>
    </w:p>
    <w:p w14:paraId="077723F5">
      <w:pPr>
        <w:rPr>
          <w:rFonts w:hint="eastAsia" w:ascii="宋体" w:hAnsi="宋体" w:eastAsia="宋体" w:cs="宋体"/>
          <w:color w:val="auto"/>
          <w:highlight w:val="none"/>
        </w:rPr>
      </w:pPr>
    </w:p>
    <w:p w14:paraId="2486D2F8">
      <w:pPr>
        <w:widowControl/>
        <w:spacing w:line="360" w:lineRule="auto"/>
        <w:ind w:left="150"/>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65E262C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071644BE">
      <w:pPr>
        <w:rPr>
          <w:rFonts w:hint="eastAsia" w:ascii="宋体" w:hAnsi="宋体" w:eastAsia="宋体" w:cs="宋体"/>
          <w:color w:val="auto"/>
          <w:sz w:val="24"/>
          <w:szCs w:val="32"/>
          <w:highlight w:val="none"/>
        </w:rPr>
      </w:pPr>
    </w:p>
    <w:p w14:paraId="45AC9F74">
      <w:pP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635D2D9B">
      <w:pPr>
        <w:spacing w:line="360" w:lineRule="auto"/>
        <w:ind w:right="420" w:firstLine="3614" w:firstLineChars="1000"/>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66B4E89E">
      <w:pPr>
        <w:spacing w:line="360" w:lineRule="auto"/>
        <w:jc w:val="center"/>
        <w:outlineLvl w:val="9"/>
        <w:rPr>
          <w:rFonts w:hint="eastAsia" w:ascii="宋体" w:hAnsi="宋体" w:eastAsia="宋体" w:cs="宋体"/>
          <w:b/>
          <w:color w:val="auto"/>
          <w:kern w:val="0"/>
          <w:sz w:val="24"/>
          <w:highlight w:val="none"/>
        </w:rPr>
      </w:pPr>
    </w:p>
    <w:p w14:paraId="094489F8">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D7D993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07693212">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47953C2">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38DA5417">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55B868F8">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47F2106">
      <w:pPr>
        <w:snapToGrid w:val="0"/>
        <w:spacing w:line="360" w:lineRule="auto"/>
        <w:jc w:val="center"/>
        <w:rPr>
          <w:rFonts w:hint="eastAsia" w:ascii="宋体" w:hAnsi="宋体" w:eastAsia="宋体" w:cs="宋体"/>
          <w:b/>
          <w:color w:val="auto"/>
          <w:kern w:val="0"/>
          <w:sz w:val="32"/>
          <w:szCs w:val="32"/>
          <w:highlight w:val="none"/>
          <w:lang w:val="zh-CN"/>
        </w:rPr>
      </w:pPr>
    </w:p>
    <w:p w14:paraId="5777A9DC">
      <w:pPr>
        <w:snapToGrid w:val="0"/>
        <w:spacing w:line="360" w:lineRule="auto"/>
        <w:jc w:val="center"/>
        <w:rPr>
          <w:rFonts w:hint="eastAsia" w:ascii="宋体" w:hAnsi="宋体" w:eastAsia="宋体" w:cs="宋体"/>
          <w:b/>
          <w:color w:val="auto"/>
          <w:kern w:val="0"/>
          <w:sz w:val="32"/>
          <w:szCs w:val="32"/>
          <w:highlight w:val="none"/>
          <w:lang w:val="zh-CN"/>
        </w:rPr>
      </w:pPr>
    </w:p>
    <w:p w14:paraId="06307CBA">
      <w:pPr>
        <w:snapToGrid w:val="0"/>
        <w:spacing w:line="360" w:lineRule="auto"/>
        <w:jc w:val="center"/>
        <w:rPr>
          <w:rFonts w:hint="eastAsia" w:ascii="宋体" w:hAnsi="宋体" w:eastAsia="宋体" w:cs="宋体"/>
          <w:b/>
          <w:color w:val="auto"/>
          <w:kern w:val="0"/>
          <w:sz w:val="32"/>
          <w:szCs w:val="32"/>
          <w:highlight w:val="none"/>
          <w:lang w:val="zh-CN"/>
        </w:rPr>
      </w:pPr>
    </w:p>
    <w:p w14:paraId="238AFA48">
      <w:pPr>
        <w:snapToGrid w:val="0"/>
        <w:spacing w:line="360" w:lineRule="auto"/>
        <w:jc w:val="center"/>
        <w:rPr>
          <w:rFonts w:hint="eastAsia" w:ascii="宋体" w:hAnsi="宋体" w:eastAsia="宋体" w:cs="宋体"/>
          <w:b/>
          <w:color w:val="auto"/>
          <w:kern w:val="0"/>
          <w:sz w:val="32"/>
          <w:szCs w:val="32"/>
          <w:highlight w:val="none"/>
          <w:lang w:val="zh-CN"/>
        </w:rPr>
      </w:pPr>
    </w:p>
    <w:p w14:paraId="61A6AAE5">
      <w:pPr>
        <w:snapToGrid w:val="0"/>
        <w:spacing w:line="360" w:lineRule="auto"/>
        <w:jc w:val="center"/>
        <w:rPr>
          <w:rFonts w:hint="eastAsia" w:ascii="宋体" w:hAnsi="宋体" w:eastAsia="宋体" w:cs="宋体"/>
          <w:b/>
          <w:color w:val="auto"/>
          <w:kern w:val="0"/>
          <w:sz w:val="32"/>
          <w:szCs w:val="32"/>
          <w:highlight w:val="none"/>
          <w:lang w:val="zh-CN"/>
        </w:rPr>
      </w:pPr>
    </w:p>
    <w:p w14:paraId="6DFA5E7B">
      <w:pPr>
        <w:snapToGrid w:val="0"/>
        <w:spacing w:line="360" w:lineRule="auto"/>
        <w:jc w:val="center"/>
        <w:rPr>
          <w:rFonts w:hint="eastAsia" w:ascii="宋体" w:hAnsi="宋体" w:eastAsia="宋体" w:cs="宋体"/>
          <w:b/>
          <w:color w:val="auto"/>
          <w:kern w:val="0"/>
          <w:sz w:val="32"/>
          <w:szCs w:val="32"/>
          <w:highlight w:val="none"/>
          <w:lang w:val="zh-CN"/>
        </w:rPr>
      </w:pPr>
    </w:p>
    <w:p w14:paraId="3EB5DD67">
      <w:pPr>
        <w:snapToGrid w:val="0"/>
        <w:spacing w:line="360" w:lineRule="auto"/>
        <w:jc w:val="center"/>
        <w:rPr>
          <w:rFonts w:hint="eastAsia" w:ascii="宋体" w:hAnsi="宋体" w:eastAsia="宋体" w:cs="宋体"/>
          <w:b/>
          <w:color w:val="auto"/>
          <w:kern w:val="0"/>
          <w:sz w:val="32"/>
          <w:szCs w:val="32"/>
          <w:highlight w:val="none"/>
          <w:lang w:val="zh-CN"/>
        </w:rPr>
      </w:pPr>
    </w:p>
    <w:p w14:paraId="31F66BF6">
      <w:pPr>
        <w:snapToGrid w:val="0"/>
        <w:spacing w:line="360" w:lineRule="auto"/>
        <w:jc w:val="center"/>
        <w:rPr>
          <w:rFonts w:hint="eastAsia" w:ascii="宋体" w:hAnsi="宋体" w:eastAsia="宋体" w:cs="宋体"/>
          <w:b/>
          <w:color w:val="auto"/>
          <w:kern w:val="0"/>
          <w:sz w:val="32"/>
          <w:szCs w:val="32"/>
          <w:highlight w:val="none"/>
          <w:lang w:val="zh-CN"/>
        </w:rPr>
      </w:pPr>
    </w:p>
    <w:p w14:paraId="0E81ADD1">
      <w:pPr>
        <w:snapToGrid w:val="0"/>
        <w:spacing w:line="360" w:lineRule="auto"/>
        <w:jc w:val="center"/>
        <w:rPr>
          <w:rFonts w:hint="eastAsia" w:ascii="宋体" w:hAnsi="宋体" w:eastAsia="宋体" w:cs="宋体"/>
          <w:b/>
          <w:color w:val="auto"/>
          <w:kern w:val="0"/>
          <w:sz w:val="32"/>
          <w:szCs w:val="32"/>
          <w:highlight w:val="none"/>
          <w:lang w:val="zh-CN"/>
        </w:rPr>
      </w:pPr>
    </w:p>
    <w:p w14:paraId="1AFC3ECF">
      <w:pPr>
        <w:snapToGrid w:val="0"/>
        <w:spacing w:line="360" w:lineRule="auto"/>
        <w:jc w:val="center"/>
        <w:rPr>
          <w:rFonts w:hint="eastAsia" w:ascii="宋体" w:hAnsi="宋体" w:eastAsia="宋体" w:cs="宋体"/>
          <w:b/>
          <w:color w:val="auto"/>
          <w:kern w:val="0"/>
          <w:sz w:val="32"/>
          <w:szCs w:val="32"/>
          <w:highlight w:val="none"/>
          <w:lang w:val="zh-CN"/>
        </w:rPr>
      </w:pPr>
    </w:p>
    <w:p w14:paraId="06B3900D">
      <w:pPr>
        <w:snapToGrid w:val="0"/>
        <w:spacing w:line="360" w:lineRule="auto"/>
        <w:jc w:val="center"/>
        <w:rPr>
          <w:rFonts w:hint="eastAsia" w:ascii="宋体" w:hAnsi="宋体" w:eastAsia="宋体" w:cs="宋体"/>
          <w:b/>
          <w:color w:val="auto"/>
          <w:kern w:val="0"/>
          <w:sz w:val="32"/>
          <w:szCs w:val="32"/>
          <w:highlight w:val="none"/>
          <w:lang w:val="zh-CN"/>
        </w:rPr>
      </w:pPr>
    </w:p>
    <w:p w14:paraId="048F1B86">
      <w:pPr>
        <w:snapToGrid w:val="0"/>
        <w:spacing w:line="360" w:lineRule="auto"/>
        <w:jc w:val="center"/>
        <w:rPr>
          <w:rFonts w:hint="eastAsia" w:ascii="宋体" w:hAnsi="宋体" w:eastAsia="宋体" w:cs="宋体"/>
          <w:b/>
          <w:color w:val="auto"/>
          <w:kern w:val="0"/>
          <w:sz w:val="32"/>
          <w:szCs w:val="32"/>
          <w:highlight w:val="none"/>
          <w:lang w:val="zh-CN"/>
        </w:rPr>
      </w:pPr>
    </w:p>
    <w:p w14:paraId="1E106B9A">
      <w:pPr>
        <w:rPr>
          <w:rFonts w:hint="eastAsia" w:ascii="宋体" w:hAnsi="宋体" w:eastAsia="宋体" w:cs="宋体"/>
          <w:b/>
          <w:color w:val="auto"/>
          <w:kern w:val="0"/>
          <w:sz w:val="32"/>
          <w:szCs w:val="32"/>
          <w:highlight w:val="none"/>
          <w:lang w:val="zh-CN"/>
        </w:rPr>
      </w:pPr>
    </w:p>
    <w:p w14:paraId="518E4739">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9B4C6D9">
      <w:pPr>
        <w:snapToGrid w:val="0"/>
        <w:spacing w:line="360" w:lineRule="auto"/>
        <w:jc w:val="center"/>
        <w:outlineLvl w:val="1"/>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9962283">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CD95D7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31D960B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1632235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1E46C18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029269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2E51FC3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508" w:name="_Hlk101257010"/>
      <w:r>
        <w:rPr>
          <w:rFonts w:hint="eastAsia" w:ascii="宋体" w:hAnsi="宋体" w:eastAsia="宋体" w:cs="宋体"/>
          <w:color w:val="auto"/>
          <w:sz w:val="24"/>
          <w:highlight w:val="none"/>
        </w:rPr>
        <w:t>（如果有)</w:t>
      </w:r>
      <w:bookmarkEnd w:id="508"/>
      <w:r>
        <w:rPr>
          <w:rFonts w:hint="eastAsia" w:ascii="宋体" w:hAnsi="宋体" w:eastAsia="宋体" w:cs="宋体"/>
          <w:snapToGrid w:val="0"/>
          <w:color w:val="auto"/>
          <w:kern w:val="28"/>
          <w:sz w:val="24"/>
          <w:szCs w:val="20"/>
          <w:highlight w:val="none"/>
        </w:rPr>
        <w:t>；</w:t>
      </w:r>
    </w:p>
    <w:p w14:paraId="05838A7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1EBB0D9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53FDD865">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1BA6885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1AC537F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58BD94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14677D9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41245CA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718E99D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9A186B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15FA8884">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5E53C741">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694F6E0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0786F46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2660C9A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3、我方承诺除商务技术偏离表列出的偏离外，我方响应招标文件的全部要求。对投标文件中材料的真实性、合法性负责。</w:t>
      </w:r>
    </w:p>
    <w:p w14:paraId="147E708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3142A6CD">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A3AA11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2E9DDA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3A683C4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32D5F854">
      <w:pPr>
        <w:snapToGrid w:val="0"/>
        <w:spacing w:line="360" w:lineRule="auto"/>
        <w:ind w:left="210" w:leftChars="100" w:firstLine="480"/>
        <w:rPr>
          <w:rFonts w:hint="eastAsia"/>
          <w:highlight w:val="none"/>
        </w:rPr>
      </w:pPr>
      <w:r>
        <w:rPr>
          <w:rFonts w:hint="eastAsia" w:ascii="宋体" w:hAnsi="宋体" w:cs="宋体"/>
          <w:color w:val="auto"/>
          <w:sz w:val="24"/>
          <w:highlight w:val="none"/>
          <w:lang w:val="en-US" w:eastAsia="zh-CN"/>
        </w:rPr>
        <w:t>4.5</w:t>
      </w:r>
      <w:r>
        <w:rPr>
          <w:rFonts w:hint="eastAsia" w:ascii="宋体" w:hAnsi="宋体" w:eastAsia="宋体" w:cs="宋体"/>
          <w:color w:val="auto"/>
          <w:sz w:val="24"/>
          <w:highlight w:val="none"/>
        </w:rPr>
        <w:t>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4C68E570">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3DB77E11">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04F998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2B839A2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7BE4C79">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685DA69">
      <w:pPr>
        <w:snapToGrid w:val="0"/>
        <w:spacing w:line="360" w:lineRule="auto"/>
        <w:jc w:val="center"/>
        <w:rPr>
          <w:rFonts w:hint="eastAsia" w:ascii="宋体" w:hAnsi="宋体" w:eastAsia="宋体" w:cs="宋体"/>
          <w:b/>
          <w:color w:val="auto"/>
          <w:kern w:val="0"/>
          <w:sz w:val="32"/>
          <w:szCs w:val="32"/>
          <w:highlight w:val="none"/>
        </w:rPr>
      </w:pPr>
    </w:p>
    <w:p w14:paraId="4868C318">
      <w:pPr>
        <w:snapToGrid w:val="0"/>
        <w:spacing w:line="360" w:lineRule="auto"/>
        <w:rPr>
          <w:rFonts w:hint="eastAsia" w:ascii="宋体" w:hAnsi="宋体" w:eastAsia="宋体" w:cs="宋体"/>
          <w:color w:val="auto"/>
          <w:sz w:val="24"/>
          <w:highlight w:val="none"/>
        </w:rPr>
      </w:pPr>
    </w:p>
    <w:p w14:paraId="40432498">
      <w:pPr>
        <w:jc w:val="center"/>
        <w:rPr>
          <w:rFonts w:hint="eastAsia" w:ascii="宋体" w:hAnsi="宋体" w:eastAsia="宋体" w:cs="宋体"/>
          <w:b/>
          <w:color w:val="auto"/>
          <w:kern w:val="0"/>
          <w:sz w:val="32"/>
          <w:szCs w:val="32"/>
          <w:highlight w:val="none"/>
        </w:rPr>
      </w:pPr>
    </w:p>
    <w:p w14:paraId="66FCDD7C">
      <w:pPr>
        <w:jc w:val="center"/>
        <w:rPr>
          <w:rFonts w:hint="eastAsia" w:ascii="宋体" w:hAnsi="宋体" w:eastAsia="宋体" w:cs="宋体"/>
          <w:b/>
          <w:color w:val="auto"/>
          <w:kern w:val="0"/>
          <w:sz w:val="32"/>
          <w:szCs w:val="32"/>
          <w:highlight w:val="none"/>
        </w:rPr>
      </w:pPr>
    </w:p>
    <w:p w14:paraId="4445AACA">
      <w:pPr>
        <w:jc w:val="center"/>
        <w:rPr>
          <w:rFonts w:hint="eastAsia" w:ascii="宋体" w:hAnsi="宋体" w:eastAsia="宋体" w:cs="宋体"/>
          <w:b/>
          <w:color w:val="auto"/>
          <w:kern w:val="0"/>
          <w:sz w:val="32"/>
          <w:szCs w:val="32"/>
          <w:highlight w:val="none"/>
        </w:rPr>
      </w:pPr>
    </w:p>
    <w:p w14:paraId="0C4CC742">
      <w:pPr>
        <w:jc w:val="center"/>
        <w:rPr>
          <w:rFonts w:hint="eastAsia" w:ascii="宋体" w:hAnsi="宋体" w:eastAsia="宋体" w:cs="宋体"/>
          <w:b/>
          <w:color w:val="auto"/>
          <w:kern w:val="0"/>
          <w:sz w:val="32"/>
          <w:szCs w:val="32"/>
          <w:highlight w:val="none"/>
        </w:rPr>
      </w:pPr>
    </w:p>
    <w:p w14:paraId="44A7EB28">
      <w:pPr>
        <w:jc w:val="center"/>
        <w:rPr>
          <w:rFonts w:hint="eastAsia" w:ascii="宋体" w:hAnsi="宋体" w:eastAsia="宋体" w:cs="宋体"/>
          <w:b/>
          <w:color w:val="auto"/>
          <w:kern w:val="0"/>
          <w:sz w:val="32"/>
          <w:szCs w:val="32"/>
          <w:highlight w:val="none"/>
        </w:rPr>
      </w:pPr>
    </w:p>
    <w:p w14:paraId="343866BA">
      <w:pPr>
        <w:jc w:val="center"/>
        <w:rPr>
          <w:rFonts w:hint="eastAsia" w:ascii="宋体" w:hAnsi="宋体" w:eastAsia="宋体" w:cs="宋体"/>
          <w:b/>
          <w:color w:val="auto"/>
          <w:kern w:val="0"/>
          <w:sz w:val="32"/>
          <w:szCs w:val="32"/>
          <w:highlight w:val="none"/>
        </w:rPr>
      </w:pPr>
    </w:p>
    <w:p w14:paraId="60A61EC6">
      <w:pPr>
        <w:jc w:val="center"/>
        <w:rPr>
          <w:rFonts w:hint="eastAsia" w:ascii="宋体" w:hAnsi="宋体" w:eastAsia="宋体" w:cs="宋体"/>
          <w:b/>
          <w:color w:val="auto"/>
          <w:kern w:val="0"/>
          <w:sz w:val="32"/>
          <w:szCs w:val="32"/>
          <w:highlight w:val="none"/>
        </w:rPr>
      </w:pPr>
    </w:p>
    <w:p w14:paraId="30958CE9">
      <w:pPr>
        <w:jc w:val="center"/>
        <w:rPr>
          <w:rFonts w:hint="eastAsia" w:ascii="宋体" w:hAnsi="宋体" w:eastAsia="宋体" w:cs="宋体"/>
          <w:b/>
          <w:color w:val="auto"/>
          <w:kern w:val="0"/>
          <w:sz w:val="32"/>
          <w:szCs w:val="32"/>
          <w:highlight w:val="none"/>
        </w:rPr>
      </w:pPr>
    </w:p>
    <w:p w14:paraId="56B1E965">
      <w:pPr>
        <w:jc w:val="center"/>
        <w:rPr>
          <w:rFonts w:hint="eastAsia" w:ascii="宋体" w:hAnsi="宋体" w:eastAsia="宋体" w:cs="宋体"/>
          <w:b/>
          <w:color w:val="auto"/>
          <w:kern w:val="0"/>
          <w:sz w:val="32"/>
          <w:szCs w:val="32"/>
          <w:highlight w:val="none"/>
        </w:rPr>
      </w:pPr>
    </w:p>
    <w:p w14:paraId="2CBD58FB">
      <w:pPr>
        <w:jc w:val="center"/>
        <w:rPr>
          <w:rFonts w:hint="eastAsia" w:ascii="宋体" w:hAnsi="宋体" w:eastAsia="宋体" w:cs="宋体"/>
          <w:b/>
          <w:color w:val="auto"/>
          <w:kern w:val="0"/>
          <w:sz w:val="32"/>
          <w:szCs w:val="32"/>
          <w:highlight w:val="none"/>
        </w:rPr>
      </w:pPr>
    </w:p>
    <w:p w14:paraId="43CA3966">
      <w:pPr>
        <w:jc w:val="center"/>
        <w:rPr>
          <w:rFonts w:hint="eastAsia" w:ascii="宋体" w:hAnsi="宋体" w:eastAsia="宋体" w:cs="宋体"/>
          <w:b/>
          <w:color w:val="auto"/>
          <w:kern w:val="0"/>
          <w:sz w:val="32"/>
          <w:szCs w:val="32"/>
          <w:highlight w:val="none"/>
        </w:rPr>
      </w:pPr>
    </w:p>
    <w:p w14:paraId="06313CA5">
      <w:pPr>
        <w:jc w:val="center"/>
        <w:rPr>
          <w:rFonts w:hint="eastAsia" w:ascii="宋体" w:hAnsi="宋体" w:eastAsia="宋体" w:cs="宋体"/>
          <w:b/>
          <w:color w:val="auto"/>
          <w:kern w:val="0"/>
          <w:sz w:val="32"/>
          <w:szCs w:val="32"/>
          <w:highlight w:val="none"/>
        </w:rPr>
      </w:pPr>
    </w:p>
    <w:p w14:paraId="2E603BD5">
      <w:pPr>
        <w:jc w:val="center"/>
        <w:rPr>
          <w:rFonts w:hint="eastAsia" w:ascii="宋体" w:hAnsi="宋体" w:eastAsia="宋体" w:cs="宋体"/>
          <w:b/>
          <w:color w:val="auto"/>
          <w:kern w:val="0"/>
          <w:sz w:val="32"/>
          <w:szCs w:val="32"/>
          <w:highlight w:val="none"/>
        </w:rPr>
      </w:pPr>
    </w:p>
    <w:p w14:paraId="7394DFE4">
      <w:pPr>
        <w:jc w:val="center"/>
        <w:rPr>
          <w:rFonts w:hint="eastAsia" w:ascii="宋体" w:hAnsi="宋体" w:eastAsia="宋体" w:cs="宋体"/>
          <w:b/>
          <w:color w:val="auto"/>
          <w:kern w:val="0"/>
          <w:sz w:val="32"/>
          <w:szCs w:val="32"/>
          <w:highlight w:val="none"/>
        </w:rPr>
      </w:pPr>
    </w:p>
    <w:p w14:paraId="21BEB014">
      <w:pPr>
        <w:jc w:val="center"/>
        <w:rPr>
          <w:rFonts w:hint="eastAsia" w:ascii="宋体" w:hAnsi="宋体" w:eastAsia="宋体" w:cs="宋体"/>
          <w:b/>
          <w:color w:val="auto"/>
          <w:kern w:val="0"/>
          <w:sz w:val="32"/>
          <w:szCs w:val="32"/>
          <w:highlight w:val="none"/>
        </w:rPr>
      </w:pPr>
    </w:p>
    <w:p w14:paraId="78A03C21">
      <w:pPr>
        <w:jc w:val="center"/>
        <w:rPr>
          <w:rFonts w:hint="eastAsia" w:ascii="宋体" w:hAnsi="宋体" w:eastAsia="宋体" w:cs="宋体"/>
          <w:b/>
          <w:color w:val="auto"/>
          <w:kern w:val="0"/>
          <w:sz w:val="32"/>
          <w:szCs w:val="32"/>
          <w:highlight w:val="none"/>
        </w:rPr>
      </w:pPr>
    </w:p>
    <w:p w14:paraId="13DD3572">
      <w:pPr>
        <w:jc w:val="center"/>
        <w:rPr>
          <w:rFonts w:hint="eastAsia" w:ascii="宋体" w:hAnsi="宋体" w:eastAsia="宋体" w:cs="宋体"/>
          <w:b/>
          <w:color w:val="auto"/>
          <w:kern w:val="0"/>
          <w:sz w:val="32"/>
          <w:szCs w:val="32"/>
          <w:highlight w:val="none"/>
        </w:rPr>
      </w:pPr>
    </w:p>
    <w:p w14:paraId="734A78F5">
      <w:pPr>
        <w:jc w:val="center"/>
        <w:rPr>
          <w:rFonts w:hint="eastAsia" w:ascii="宋体" w:hAnsi="宋体" w:eastAsia="宋体" w:cs="宋体"/>
          <w:b/>
          <w:color w:val="auto"/>
          <w:kern w:val="0"/>
          <w:sz w:val="32"/>
          <w:szCs w:val="32"/>
          <w:highlight w:val="none"/>
        </w:rPr>
      </w:pPr>
    </w:p>
    <w:p w14:paraId="5DC534BE">
      <w:pPr>
        <w:jc w:val="center"/>
        <w:rPr>
          <w:rFonts w:hint="eastAsia" w:ascii="宋体" w:hAnsi="宋体" w:eastAsia="宋体" w:cs="宋体"/>
          <w:b/>
          <w:color w:val="auto"/>
          <w:kern w:val="0"/>
          <w:sz w:val="32"/>
          <w:szCs w:val="32"/>
          <w:highlight w:val="none"/>
        </w:rPr>
      </w:pPr>
    </w:p>
    <w:p w14:paraId="6C27D9A8">
      <w:pPr>
        <w:jc w:val="center"/>
        <w:rPr>
          <w:rFonts w:hint="eastAsia" w:ascii="宋体" w:hAnsi="宋体" w:eastAsia="宋体" w:cs="宋体"/>
          <w:b/>
          <w:color w:val="auto"/>
          <w:kern w:val="0"/>
          <w:sz w:val="32"/>
          <w:szCs w:val="32"/>
          <w:highlight w:val="none"/>
        </w:rPr>
      </w:pPr>
    </w:p>
    <w:p w14:paraId="09D838E3">
      <w:pPr>
        <w:outlineLvl w:val="9"/>
        <w:rPr>
          <w:rFonts w:hint="eastAsia" w:ascii="宋体" w:hAnsi="宋体" w:eastAsia="宋体" w:cs="宋体"/>
          <w:color w:val="auto"/>
          <w:highlight w:val="none"/>
          <w:lang w:val="en-US"/>
        </w:rPr>
      </w:pPr>
    </w:p>
    <w:p w14:paraId="5C640E01">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B0210D5">
      <w:pPr>
        <w:jc w:val="center"/>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7430B2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EBB9D51">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6701F0D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5CE6F786">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C3DF1D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01D3A1F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9D62CFD">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4956CF04">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06E2F52A">
      <w:pPr>
        <w:snapToGrid w:val="0"/>
        <w:spacing w:line="360" w:lineRule="auto"/>
        <w:rPr>
          <w:rFonts w:hint="eastAsia" w:ascii="宋体" w:hAnsi="宋体" w:eastAsia="宋体" w:cs="宋体"/>
          <w:color w:val="auto"/>
          <w:sz w:val="24"/>
          <w:highlight w:val="none"/>
        </w:rPr>
      </w:pPr>
    </w:p>
    <w:p w14:paraId="6D47CBC4">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3D62782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F39F2F8">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5D83727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DF805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280BE033">
      <w:pPr>
        <w:jc w:val="center"/>
        <w:rPr>
          <w:rFonts w:hint="eastAsia" w:ascii="宋体" w:hAnsi="宋体" w:eastAsia="宋体" w:cs="宋体"/>
          <w:b/>
          <w:color w:val="auto"/>
          <w:kern w:val="0"/>
          <w:sz w:val="32"/>
          <w:szCs w:val="32"/>
          <w:highlight w:val="none"/>
        </w:rPr>
      </w:pPr>
    </w:p>
    <w:p w14:paraId="244416DE">
      <w:pPr>
        <w:rPr>
          <w:rFonts w:hint="eastAsia" w:ascii="宋体" w:hAnsi="宋体" w:eastAsia="宋体" w:cs="宋体"/>
          <w:color w:val="auto"/>
          <w:highlight w:val="none"/>
        </w:rPr>
      </w:pPr>
    </w:p>
    <w:p w14:paraId="2F97480F">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3E70CB2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2BCE76E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45AC73B9">
      <w:pPr>
        <w:snapToGrid w:val="0"/>
        <w:spacing w:line="360" w:lineRule="auto"/>
        <w:jc w:val="left"/>
        <w:rPr>
          <w:rFonts w:hint="eastAsia" w:ascii="宋体" w:hAnsi="宋体" w:eastAsia="宋体" w:cs="宋体"/>
          <w:b/>
          <w:color w:val="auto"/>
          <w:kern w:val="0"/>
          <w:sz w:val="32"/>
          <w:szCs w:val="32"/>
          <w:highlight w:val="none"/>
          <w:lang w:val="zh-CN"/>
        </w:rPr>
      </w:pPr>
      <w:r>
        <w:rPr>
          <w:rFonts w:hint="eastAsia" w:ascii="宋体" w:hAnsi="宋体" w:eastAsia="宋体" w:cs="宋体"/>
          <w:color w:val="auto"/>
          <w:kern w:val="0"/>
          <w:sz w:val="24"/>
          <w:highlight w:val="none"/>
          <w:lang w:val="zh-CN"/>
        </w:rPr>
        <w:t xml:space="preserve">                                               日期：  年  月   日</w:t>
      </w:r>
    </w:p>
    <w:p w14:paraId="3ADCC1DE">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39D7E827">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4D807C2E">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70C9023D">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EDE83AD">
      <w:pPr>
        <w:pStyle w:val="101"/>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656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497E7C35">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正面：                                 反面：</w:t>
            </w:r>
          </w:p>
          <w:p w14:paraId="5819E70F">
            <w:pPr>
              <w:pStyle w:val="101"/>
              <w:adjustRightInd w:val="0"/>
              <w:spacing w:before="0" w:beforeAutospacing="0" w:after="0" w:afterAutospacing="0" w:line="360" w:lineRule="auto"/>
              <w:ind w:left="0" w:right="0"/>
              <w:rPr>
                <w:rFonts w:hint="eastAsia" w:ascii="宋体" w:hAnsi="宋体" w:eastAsia="宋体" w:cs="宋体"/>
                <w:bCs/>
                <w:color w:val="auto"/>
                <w:sz w:val="24"/>
                <w:szCs w:val="20"/>
                <w:highlight w:val="none"/>
              </w:rPr>
            </w:pPr>
          </w:p>
        </w:tc>
      </w:tr>
    </w:tbl>
    <w:p w14:paraId="334C91A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73B34839">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4F9D06E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16914E90">
      <w:pPr>
        <w:jc w:val="center"/>
        <w:rPr>
          <w:rFonts w:hint="eastAsia" w:ascii="宋体" w:hAnsi="宋体" w:eastAsia="宋体" w:cs="宋体"/>
          <w:b/>
          <w:color w:val="auto"/>
          <w:kern w:val="0"/>
          <w:sz w:val="32"/>
          <w:szCs w:val="32"/>
          <w:highlight w:val="none"/>
        </w:rPr>
      </w:pPr>
    </w:p>
    <w:p w14:paraId="3069AED7">
      <w:pPr>
        <w:jc w:val="center"/>
        <w:rPr>
          <w:rFonts w:hint="eastAsia" w:ascii="宋体" w:hAnsi="宋体" w:eastAsia="宋体" w:cs="宋体"/>
          <w:b/>
          <w:color w:val="auto"/>
          <w:kern w:val="0"/>
          <w:sz w:val="32"/>
          <w:szCs w:val="32"/>
          <w:highlight w:val="none"/>
        </w:rPr>
      </w:pPr>
    </w:p>
    <w:p w14:paraId="32C333B5">
      <w:pPr>
        <w:jc w:val="center"/>
        <w:rPr>
          <w:rFonts w:hint="eastAsia" w:ascii="宋体" w:hAnsi="宋体" w:eastAsia="宋体" w:cs="宋体"/>
          <w:b/>
          <w:color w:val="auto"/>
          <w:kern w:val="0"/>
          <w:sz w:val="32"/>
          <w:szCs w:val="32"/>
          <w:highlight w:val="none"/>
        </w:rPr>
      </w:pPr>
    </w:p>
    <w:p w14:paraId="0264B0FB">
      <w:pPr>
        <w:jc w:val="center"/>
        <w:rPr>
          <w:rFonts w:hint="eastAsia" w:ascii="宋体" w:hAnsi="宋体" w:eastAsia="宋体" w:cs="宋体"/>
          <w:b/>
          <w:color w:val="auto"/>
          <w:kern w:val="0"/>
          <w:sz w:val="32"/>
          <w:szCs w:val="32"/>
          <w:highlight w:val="none"/>
        </w:rPr>
      </w:pPr>
    </w:p>
    <w:p w14:paraId="248671CB">
      <w:pPr>
        <w:jc w:val="center"/>
        <w:rPr>
          <w:rFonts w:hint="eastAsia" w:ascii="宋体" w:hAnsi="宋体" w:eastAsia="宋体" w:cs="宋体"/>
          <w:b/>
          <w:color w:val="auto"/>
          <w:kern w:val="0"/>
          <w:sz w:val="32"/>
          <w:szCs w:val="32"/>
          <w:highlight w:val="none"/>
        </w:rPr>
      </w:pPr>
    </w:p>
    <w:p w14:paraId="12106DBE">
      <w:pPr>
        <w:jc w:val="center"/>
        <w:rPr>
          <w:rFonts w:hint="eastAsia" w:ascii="宋体" w:hAnsi="宋体" w:eastAsia="宋体" w:cs="宋体"/>
          <w:b/>
          <w:color w:val="auto"/>
          <w:kern w:val="0"/>
          <w:sz w:val="32"/>
          <w:szCs w:val="32"/>
          <w:highlight w:val="none"/>
        </w:rPr>
      </w:pPr>
    </w:p>
    <w:p w14:paraId="7DE83D2D">
      <w:pPr>
        <w:jc w:val="center"/>
        <w:rPr>
          <w:rFonts w:hint="eastAsia" w:ascii="宋体" w:hAnsi="宋体" w:eastAsia="宋体" w:cs="宋体"/>
          <w:b/>
          <w:color w:val="auto"/>
          <w:kern w:val="0"/>
          <w:sz w:val="32"/>
          <w:szCs w:val="32"/>
          <w:highlight w:val="none"/>
        </w:rPr>
      </w:pPr>
    </w:p>
    <w:p w14:paraId="0906C8AA">
      <w:pPr>
        <w:jc w:val="center"/>
        <w:rPr>
          <w:rFonts w:hint="eastAsia" w:ascii="宋体" w:hAnsi="宋体" w:eastAsia="宋体" w:cs="宋体"/>
          <w:b/>
          <w:color w:val="auto"/>
          <w:kern w:val="0"/>
          <w:sz w:val="32"/>
          <w:szCs w:val="32"/>
          <w:highlight w:val="none"/>
        </w:rPr>
      </w:pPr>
    </w:p>
    <w:p w14:paraId="211046E9">
      <w:pPr>
        <w:jc w:val="center"/>
        <w:rPr>
          <w:rFonts w:hint="eastAsia" w:ascii="宋体" w:hAnsi="宋体" w:eastAsia="宋体" w:cs="宋体"/>
          <w:b/>
          <w:color w:val="auto"/>
          <w:kern w:val="0"/>
          <w:sz w:val="32"/>
          <w:szCs w:val="32"/>
          <w:highlight w:val="none"/>
        </w:rPr>
      </w:pPr>
    </w:p>
    <w:p w14:paraId="1D27F333">
      <w:pPr>
        <w:jc w:val="center"/>
        <w:rPr>
          <w:rFonts w:hint="eastAsia" w:ascii="宋体" w:hAnsi="宋体" w:eastAsia="宋体" w:cs="宋体"/>
          <w:b/>
          <w:color w:val="auto"/>
          <w:kern w:val="0"/>
          <w:sz w:val="32"/>
          <w:szCs w:val="32"/>
          <w:highlight w:val="none"/>
        </w:rPr>
      </w:pPr>
    </w:p>
    <w:p w14:paraId="0AE02623">
      <w:pPr>
        <w:snapToGrid w:val="0"/>
        <w:spacing w:line="360" w:lineRule="auto"/>
        <w:ind w:right="480"/>
        <w:rPr>
          <w:rFonts w:hint="eastAsia" w:ascii="宋体" w:hAnsi="宋体" w:eastAsia="宋体" w:cs="宋体"/>
          <w:b/>
          <w:color w:val="auto"/>
          <w:kern w:val="0"/>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pgNumType w:fmt="decimal"/>
          <w:cols w:space="720" w:num="1"/>
          <w:titlePg/>
          <w:docGrid w:linePitch="312" w:charSpace="0"/>
        </w:sectPr>
      </w:pPr>
    </w:p>
    <w:p w14:paraId="5139440C">
      <w:pPr>
        <w:snapToGrid w:val="0"/>
        <w:spacing w:line="360" w:lineRule="auto"/>
        <w:ind w:firstLine="3534" w:firstLineChars="1100"/>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547B2FCC">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445D29C8">
      <w:pPr>
        <w:snapToGrid w:val="0"/>
        <w:spacing w:line="360" w:lineRule="auto"/>
        <w:rPr>
          <w:rFonts w:hint="eastAsia" w:ascii="宋体" w:hAnsi="宋体" w:eastAsia="宋体" w:cs="宋体"/>
          <w:color w:val="auto"/>
          <w:kern w:val="0"/>
          <w:sz w:val="24"/>
          <w:highlight w:val="none"/>
        </w:rPr>
      </w:pPr>
    </w:p>
    <w:p w14:paraId="0FA1BA1B">
      <w:pPr>
        <w:jc w:val="center"/>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38DEE2E1">
      <w:pPr>
        <w:jc w:val="center"/>
        <w:rPr>
          <w:rFonts w:hint="eastAsia" w:ascii="宋体" w:hAnsi="宋体" w:eastAsia="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7905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AEEE933">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4991" w:type="dxa"/>
            <w:vAlign w:val="center"/>
          </w:tcPr>
          <w:p w14:paraId="5F3B6237">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实质性要求</w:t>
            </w:r>
          </w:p>
        </w:tc>
        <w:tc>
          <w:tcPr>
            <w:tcW w:w="2551" w:type="dxa"/>
            <w:vAlign w:val="center"/>
          </w:tcPr>
          <w:p w14:paraId="14FBFF98">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需要提供的符合性审查资料</w:t>
            </w:r>
          </w:p>
        </w:tc>
        <w:tc>
          <w:tcPr>
            <w:tcW w:w="1418" w:type="dxa"/>
            <w:vAlign w:val="center"/>
          </w:tcPr>
          <w:p w14:paraId="2438C069">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投标文件中的</w:t>
            </w:r>
          </w:p>
          <w:p w14:paraId="7C463E09">
            <w:pPr>
              <w:snapToGrid w:val="0"/>
              <w:spacing w:before="0" w:beforeAutospacing="0" w:after="0" w:afterAutospacing="0" w:line="240" w:lineRule="atLeast"/>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页码位置</w:t>
            </w:r>
          </w:p>
        </w:tc>
      </w:tr>
      <w:tr w14:paraId="3630F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50960FA">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4991" w:type="dxa"/>
            <w:vAlign w:val="top"/>
          </w:tcPr>
          <w:p w14:paraId="18D8CF87">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投标文件按照招标文件要求签署、盖章。</w:t>
            </w:r>
          </w:p>
        </w:tc>
        <w:tc>
          <w:tcPr>
            <w:tcW w:w="2551" w:type="dxa"/>
            <w:vAlign w:val="center"/>
          </w:tcPr>
          <w:p w14:paraId="0A1028C7">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需要使用电子签名或者签字盖章的投标文件的组成部分</w:t>
            </w:r>
          </w:p>
        </w:tc>
        <w:tc>
          <w:tcPr>
            <w:tcW w:w="1418" w:type="dxa"/>
            <w:vAlign w:val="top"/>
          </w:tcPr>
          <w:p w14:paraId="561A1EAD">
            <w:pPr>
              <w:spacing w:before="0" w:beforeAutospacing="0" w:after="0" w:afterAutospacing="0"/>
              <w:ind w:left="0" w:right="0"/>
              <w:rPr>
                <w:rFonts w:hint="eastAsia" w:ascii="宋体" w:hAnsi="宋体" w:eastAsia="宋体" w:cs="宋体"/>
                <w:color w:val="auto"/>
                <w:sz w:val="24"/>
                <w:szCs w:val="20"/>
                <w:highlight w:val="none"/>
              </w:rPr>
            </w:pPr>
          </w:p>
          <w:p w14:paraId="4FAA3DE8">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见投标文件</w:t>
            </w:r>
          </w:p>
          <w:p w14:paraId="25AED02F">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4ABE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6738A3">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4991" w:type="dxa"/>
            <w:vAlign w:val="top"/>
          </w:tcPr>
          <w:p w14:paraId="5CD93324">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投标文件中承诺的投标有效期不少于招标文件中载明的投标有效期。</w:t>
            </w:r>
          </w:p>
        </w:tc>
        <w:tc>
          <w:tcPr>
            <w:tcW w:w="2551" w:type="dxa"/>
            <w:vAlign w:val="center"/>
          </w:tcPr>
          <w:p w14:paraId="1FB9CF1A">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投标函</w:t>
            </w:r>
          </w:p>
        </w:tc>
        <w:tc>
          <w:tcPr>
            <w:tcW w:w="1418" w:type="dxa"/>
            <w:vAlign w:val="top"/>
          </w:tcPr>
          <w:p w14:paraId="025DF442">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r w14:paraId="638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F8F0B0">
            <w:pPr>
              <w:spacing w:before="0" w:beforeAutospacing="0" w:after="0" w:afterAutospacing="0"/>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4991" w:type="dxa"/>
            <w:vAlign w:val="top"/>
          </w:tcPr>
          <w:p w14:paraId="6EABB9F2">
            <w:pPr>
              <w:spacing w:before="0" w:beforeAutospacing="0" w:after="0" w:afterAutospacing="0" w:line="360" w:lineRule="auto"/>
              <w:ind w:left="0" w:right="0"/>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投标文件满足招标文件的其它实质性要求。</w:t>
            </w:r>
          </w:p>
        </w:tc>
        <w:tc>
          <w:tcPr>
            <w:tcW w:w="2551" w:type="dxa"/>
            <w:vAlign w:val="center"/>
          </w:tcPr>
          <w:p w14:paraId="588D628F">
            <w:pPr>
              <w:spacing w:before="0" w:beforeAutospacing="0" w:after="0" w:afterAutospacing="0"/>
              <w:ind w:left="0" w:right="0"/>
              <w:rPr>
                <w:rFonts w:hint="eastAsia" w:ascii="宋体" w:hAnsi="宋体" w:eastAsia="宋体" w:cs="宋体"/>
                <w:color w:val="auto"/>
                <w:sz w:val="24"/>
                <w:szCs w:val="20"/>
                <w:highlight w:val="none"/>
              </w:rPr>
            </w:pPr>
            <w:r>
              <w:rPr>
                <w:rFonts w:hint="eastAsia" w:ascii="宋体" w:hAnsi="宋体" w:eastAsia="宋体" w:cs="宋体"/>
                <w:color w:val="auto"/>
                <w:kern w:val="0"/>
                <w:sz w:val="24"/>
                <w:szCs w:val="20"/>
                <w:highlight w:val="none"/>
              </w:rPr>
              <w:t>招标文件其它实质性要求相应的材料（“▲” 系指实质性要求条款，招标文件无其它实质性要求的，无需提供）</w:t>
            </w:r>
          </w:p>
        </w:tc>
        <w:tc>
          <w:tcPr>
            <w:tcW w:w="1418" w:type="dxa"/>
            <w:vAlign w:val="top"/>
          </w:tcPr>
          <w:p w14:paraId="2EC82D2F">
            <w:pPr>
              <w:spacing w:before="0" w:beforeAutospacing="0" w:after="0" w:afterAutospacing="0"/>
              <w:ind w:left="0" w:right="0"/>
              <w:rPr>
                <w:rFonts w:hint="eastAsia" w:ascii="宋体" w:hAnsi="宋体" w:eastAsia="宋体" w:cs="宋体"/>
                <w:color w:val="auto"/>
                <w:sz w:val="20"/>
                <w:szCs w:val="20"/>
                <w:highlight w:val="none"/>
              </w:rPr>
            </w:pPr>
            <w:r>
              <w:rPr>
                <w:rFonts w:hint="eastAsia" w:ascii="宋体" w:hAnsi="宋体" w:eastAsia="宋体" w:cs="宋体"/>
                <w:color w:val="auto"/>
                <w:sz w:val="24"/>
                <w:szCs w:val="20"/>
                <w:highlight w:val="none"/>
              </w:rPr>
              <w:t>见投标文件第</w:t>
            </w:r>
            <w:r>
              <w:rPr>
                <w:rFonts w:hint="eastAsia" w:ascii="宋体" w:hAnsi="宋体" w:eastAsia="宋体" w:cs="宋体"/>
                <w:color w:val="auto"/>
                <w:sz w:val="24"/>
                <w:szCs w:val="20"/>
                <w:highlight w:val="none"/>
                <w:u w:val="single"/>
              </w:rPr>
              <w:t xml:space="preserve">  </w:t>
            </w:r>
            <w:r>
              <w:rPr>
                <w:rFonts w:hint="eastAsia" w:ascii="宋体" w:hAnsi="宋体" w:eastAsia="宋体" w:cs="宋体"/>
                <w:color w:val="auto"/>
                <w:sz w:val="24"/>
                <w:szCs w:val="20"/>
                <w:highlight w:val="none"/>
              </w:rPr>
              <w:t>页</w:t>
            </w:r>
          </w:p>
        </w:tc>
      </w:tr>
    </w:tbl>
    <w:p w14:paraId="60FC697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按本格式和要求提供。2、招标文件中实质性要求必须明确响应。</w:t>
      </w:r>
    </w:p>
    <w:p w14:paraId="6FE58A44">
      <w:pPr>
        <w:jc w:val="center"/>
        <w:rPr>
          <w:rFonts w:hint="eastAsia" w:ascii="宋体" w:hAnsi="宋体" w:eastAsia="宋体" w:cs="宋体"/>
          <w:b/>
          <w:color w:val="auto"/>
          <w:kern w:val="0"/>
          <w:sz w:val="32"/>
          <w:szCs w:val="32"/>
          <w:highlight w:val="none"/>
        </w:rPr>
      </w:pPr>
    </w:p>
    <w:p w14:paraId="2CE88D1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5F75DD9">
      <w:pPr>
        <w:jc w:val="center"/>
        <w:rPr>
          <w:rFonts w:hint="eastAsia" w:ascii="宋体" w:hAnsi="宋体" w:eastAsia="宋体" w:cs="宋体"/>
          <w:b/>
          <w:color w:val="auto"/>
          <w:kern w:val="0"/>
          <w:sz w:val="32"/>
          <w:szCs w:val="32"/>
          <w:highlight w:val="none"/>
        </w:rPr>
      </w:pPr>
    </w:p>
    <w:p w14:paraId="2FB64EC5">
      <w:pPr>
        <w:jc w:val="center"/>
        <w:rPr>
          <w:rFonts w:hint="eastAsia" w:ascii="宋体" w:hAnsi="宋体" w:eastAsia="宋体" w:cs="宋体"/>
          <w:b/>
          <w:color w:val="auto"/>
          <w:kern w:val="0"/>
          <w:sz w:val="32"/>
          <w:szCs w:val="32"/>
          <w:highlight w:val="none"/>
        </w:rPr>
      </w:pPr>
    </w:p>
    <w:p w14:paraId="41BA87C0">
      <w:pPr>
        <w:jc w:val="center"/>
        <w:rPr>
          <w:rFonts w:hint="eastAsia" w:ascii="宋体" w:hAnsi="宋体" w:eastAsia="宋体" w:cs="宋体"/>
          <w:b/>
          <w:color w:val="auto"/>
          <w:kern w:val="0"/>
          <w:sz w:val="32"/>
          <w:szCs w:val="32"/>
          <w:highlight w:val="none"/>
        </w:rPr>
      </w:pPr>
    </w:p>
    <w:p w14:paraId="230FBF4D">
      <w:pPr>
        <w:jc w:val="center"/>
        <w:rPr>
          <w:rFonts w:hint="eastAsia" w:ascii="宋体" w:hAnsi="宋体" w:eastAsia="宋体" w:cs="宋体"/>
          <w:b/>
          <w:color w:val="auto"/>
          <w:kern w:val="0"/>
          <w:sz w:val="32"/>
          <w:szCs w:val="32"/>
          <w:highlight w:val="none"/>
        </w:rPr>
      </w:pPr>
    </w:p>
    <w:p w14:paraId="4810D6BD">
      <w:pPr>
        <w:jc w:val="center"/>
        <w:rPr>
          <w:rFonts w:hint="eastAsia" w:ascii="宋体" w:hAnsi="宋体" w:eastAsia="宋体" w:cs="宋体"/>
          <w:b/>
          <w:color w:val="auto"/>
          <w:kern w:val="0"/>
          <w:sz w:val="32"/>
          <w:szCs w:val="32"/>
          <w:highlight w:val="none"/>
        </w:rPr>
      </w:pPr>
    </w:p>
    <w:p w14:paraId="322681A1">
      <w:pPr>
        <w:jc w:val="center"/>
        <w:rPr>
          <w:rFonts w:hint="eastAsia" w:ascii="宋体" w:hAnsi="宋体" w:eastAsia="宋体" w:cs="宋体"/>
          <w:b/>
          <w:color w:val="auto"/>
          <w:kern w:val="0"/>
          <w:sz w:val="32"/>
          <w:szCs w:val="32"/>
          <w:highlight w:val="none"/>
        </w:rPr>
      </w:pPr>
    </w:p>
    <w:p w14:paraId="1770D648">
      <w:pPr>
        <w:jc w:val="center"/>
        <w:rPr>
          <w:rFonts w:hint="eastAsia" w:ascii="宋体" w:hAnsi="宋体" w:eastAsia="宋体" w:cs="宋体"/>
          <w:b/>
          <w:color w:val="auto"/>
          <w:kern w:val="0"/>
          <w:sz w:val="32"/>
          <w:szCs w:val="32"/>
          <w:highlight w:val="none"/>
        </w:rPr>
      </w:pPr>
    </w:p>
    <w:p w14:paraId="7C573849">
      <w:pPr>
        <w:jc w:val="center"/>
        <w:rPr>
          <w:rFonts w:hint="eastAsia" w:ascii="宋体" w:hAnsi="宋体" w:eastAsia="宋体" w:cs="宋体"/>
          <w:b/>
          <w:color w:val="auto"/>
          <w:kern w:val="0"/>
          <w:sz w:val="32"/>
          <w:szCs w:val="32"/>
          <w:highlight w:val="none"/>
        </w:rPr>
      </w:pPr>
    </w:p>
    <w:p w14:paraId="55D420E3">
      <w:pPr>
        <w:jc w:val="center"/>
        <w:rPr>
          <w:rFonts w:hint="eastAsia" w:ascii="宋体" w:hAnsi="宋体" w:eastAsia="宋体" w:cs="宋体"/>
          <w:b/>
          <w:color w:val="auto"/>
          <w:kern w:val="0"/>
          <w:sz w:val="32"/>
          <w:szCs w:val="32"/>
          <w:highlight w:val="none"/>
        </w:rPr>
      </w:pPr>
    </w:p>
    <w:p w14:paraId="757B2D93">
      <w:pPr>
        <w:jc w:val="center"/>
        <w:rPr>
          <w:rFonts w:hint="eastAsia" w:ascii="宋体" w:hAnsi="宋体" w:eastAsia="宋体" w:cs="宋体"/>
          <w:b/>
          <w:color w:val="auto"/>
          <w:kern w:val="0"/>
          <w:sz w:val="32"/>
          <w:szCs w:val="32"/>
          <w:highlight w:val="none"/>
        </w:rPr>
      </w:pPr>
    </w:p>
    <w:p w14:paraId="06439F22">
      <w:pPr>
        <w:jc w:val="center"/>
        <w:rPr>
          <w:rFonts w:hint="eastAsia" w:ascii="宋体" w:hAnsi="宋体" w:eastAsia="宋体" w:cs="宋体"/>
          <w:b/>
          <w:color w:val="auto"/>
          <w:kern w:val="0"/>
          <w:sz w:val="32"/>
          <w:szCs w:val="32"/>
          <w:highlight w:val="none"/>
        </w:rPr>
      </w:pPr>
    </w:p>
    <w:p w14:paraId="518DD350">
      <w:pPr>
        <w:jc w:val="center"/>
        <w:rPr>
          <w:rFonts w:hint="eastAsia" w:ascii="宋体" w:hAnsi="宋体" w:eastAsia="宋体" w:cs="宋体"/>
          <w:b/>
          <w:color w:val="auto"/>
          <w:kern w:val="0"/>
          <w:sz w:val="32"/>
          <w:szCs w:val="32"/>
          <w:highlight w:val="none"/>
        </w:rPr>
      </w:pPr>
    </w:p>
    <w:p w14:paraId="03A80ADF">
      <w:pPr>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DBF5022">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583C082D">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16386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3A8B495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序号</w:t>
            </w:r>
          </w:p>
        </w:tc>
        <w:tc>
          <w:tcPr>
            <w:tcW w:w="5465" w:type="dxa"/>
            <w:tcBorders>
              <w:top w:val="single" w:color="auto" w:sz="4" w:space="0"/>
              <w:left w:val="nil"/>
              <w:bottom w:val="single" w:color="auto" w:sz="4" w:space="0"/>
              <w:right w:val="single" w:color="auto" w:sz="4" w:space="0"/>
            </w:tcBorders>
            <w:vAlign w:val="top"/>
          </w:tcPr>
          <w:p w14:paraId="475D542B">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投标文件中评标标准相应的商务技术资料目录*</w:t>
            </w:r>
          </w:p>
        </w:tc>
        <w:tc>
          <w:tcPr>
            <w:tcW w:w="3046" w:type="dxa"/>
            <w:tcBorders>
              <w:top w:val="single" w:color="auto" w:sz="4" w:space="0"/>
              <w:left w:val="nil"/>
              <w:bottom w:val="single" w:color="auto" w:sz="4" w:space="0"/>
              <w:right w:val="single" w:color="auto" w:sz="4" w:space="0"/>
            </w:tcBorders>
            <w:vAlign w:val="top"/>
          </w:tcPr>
          <w:p w14:paraId="41C7C5A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投标文件中的页码位置</w:t>
            </w:r>
          </w:p>
        </w:tc>
      </w:tr>
      <w:tr w14:paraId="30E64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3D5FEA3E">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1</w:t>
            </w:r>
          </w:p>
        </w:tc>
        <w:tc>
          <w:tcPr>
            <w:tcW w:w="5465" w:type="dxa"/>
            <w:tcBorders>
              <w:top w:val="single" w:color="auto" w:sz="4" w:space="0"/>
              <w:left w:val="nil"/>
              <w:bottom w:val="single" w:color="auto" w:sz="4" w:space="0"/>
              <w:right w:val="single" w:color="auto" w:sz="4" w:space="0"/>
            </w:tcBorders>
            <w:vAlign w:val="top"/>
          </w:tcPr>
          <w:p w14:paraId="2FB2A540">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XXX（预先填写）</w:t>
            </w:r>
          </w:p>
        </w:tc>
        <w:tc>
          <w:tcPr>
            <w:tcW w:w="3046" w:type="dxa"/>
            <w:tcBorders>
              <w:top w:val="single" w:color="auto" w:sz="4" w:space="0"/>
              <w:left w:val="nil"/>
              <w:bottom w:val="single" w:color="auto" w:sz="4" w:space="0"/>
              <w:right w:val="single" w:color="auto" w:sz="4" w:space="0"/>
            </w:tcBorders>
            <w:vAlign w:val="top"/>
          </w:tcPr>
          <w:p w14:paraId="77AEEE6C">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7A507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5481384B">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2</w:t>
            </w:r>
          </w:p>
        </w:tc>
        <w:tc>
          <w:tcPr>
            <w:tcW w:w="5465" w:type="dxa"/>
            <w:tcBorders>
              <w:top w:val="single" w:color="auto" w:sz="4" w:space="0"/>
              <w:left w:val="nil"/>
              <w:bottom w:val="single" w:color="auto" w:sz="4" w:space="0"/>
              <w:right w:val="single" w:color="auto" w:sz="4" w:space="0"/>
            </w:tcBorders>
            <w:vAlign w:val="top"/>
          </w:tcPr>
          <w:p w14:paraId="3F852D84">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XXX</w:t>
            </w:r>
          </w:p>
        </w:tc>
        <w:tc>
          <w:tcPr>
            <w:tcW w:w="3046" w:type="dxa"/>
            <w:tcBorders>
              <w:top w:val="single" w:color="auto" w:sz="4" w:space="0"/>
              <w:left w:val="nil"/>
              <w:bottom w:val="single" w:color="auto" w:sz="4" w:space="0"/>
              <w:right w:val="single" w:color="auto" w:sz="4" w:space="0"/>
            </w:tcBorders>
            <w:vAlign w:val="top"/>
          </w:tcPr>
          <w:p w14:paraId="0A558CBE">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r w14:paraId="4E99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vAlign w:val="top"/>
          </w:tcPr>
          <w:p w14:paraId="58F660CA">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color w:val="000000"/>
                <w:kern w:val="2"/>
                <w:sz w:val="24"/>
                <w:szCs w:val="24"/>
                <w:highlight w:val="none"/>
                <w:lang w:val="en-US" w:eastAsia="zh-CN"/>
              </w:rPr>
              <w:t>……</w:t>
            </w:r>
          </w:p>
        </w:tc>
        <w:tc>
          <w:tcPr>
            <w:tcW w:w="5465" w:type="dxa"/>
            <w:tcBorders>
              <w:top w:val="single" w:color="auto" w:sz="4" w:space="0"/>
              <w:left w:val="nil"/>
              <w:bottom w:val="single" w:color="auto" w:sz="4" w:space="0"/>
              <w:right w:val="single" w:color="auto" w:sz="4" w:space="0"/>
            </w:tcBorders>
            <w:vAlign w:val="top"/>
          </w:tcPr>
          <w:p w14:paraId="36A704A6">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p>
        </w:tc>
        <w:tc>
          <w:tcPr>
            <w:tcW w:w="3046" w:type="dxa"/>
            <w:tcBorders>
              <w:top w:val="single" w:color="auto" w:sz="4" w:space="0"/>
              <w:left w:val="nil"/>
              <w:bottom w:val="single" w:color="auto" w:sz="4" w:space="0"/>
              <w:right w:val="single" w:color="auto" w:sz="4" w:space="0"/>
            </w:tcBorders>
            <w:vAlign w:val="top"/>
          </w:tcPr>
          <w:p w14:paraId="798057BF">
            <w:pPr>
              <w:widowControl w:val="0"/>
              <w:wordWrap/>
              <w:adjustRightInd w:val="0"/>
              <w:snapToGrid w:val="0"/>
              <w:spacing w:before="0" w:beforeAutospacing="0" w:after="0" w:afterAutospacing="0" w:line="600" w:lineRule="exact"/>
              <w:ind w:left="0" w:leftChars="0" w:right="0" w:firstLine="0" w:firstLineChars="0"/>
              <w:jc w:val="center"/>
              <w:textAlignment w:val="auto"/>
              <w:outlineLvl w:val="9"/>
              <w:rPr>
                <w:rFonts w:hint="eastAsia" w:ascii="宋体" w:hAnsi="宋体" w:eastAsia="宋体" w:cs="仿宋_GB2312"/>
                <w:b w:val="0"/>
                <w:color w:val="000000"/>
                <w:kern w:val="2"/>
                <w:sz w:val="24"/>
                <w:szCs w:val="24"/>
                <w:highlight w:val="none"/>
              </w:rPr>
            </w:pPr>
            <w:r>
              <w:rPr>
                <w:rFonts w:hint="eastAsia" w:ascii="宋体" w:hAnsi="宋体" w:eastAsia="宋体" w:cs="仿宋_GB2312"/>
                <w:b w:val="0"/>
                <w:color w:val="000000"/>
                <w:kern w:val="2"/>
                <w:sz w:val="24"/>
                <w:szCs w:val="24"/>
                <w:highlight w:val="none"/>
                <w:lang w:val="en-US" w:eastAsia="zh-CN"/>
              </w:rPr>
              <w:t>见投标文件第</w:t>
            </w:r>
            <w:r>
              <w:rPr>
                <w:rFonts w:hint="eastAsia" w:ascii="宋体" w:hAnsi="宋体" w:eastAsia="宋体" w:cs="仿宋_GB2312"/>
                <w:b w:val="0"/>
                <w:color w:val="000000"/>
                <w:kern w:val="2"/>
                <w:sz w:val="24"/>
                <w:szCs w:val="24"/>
                <w:highlight w:val="none"/>
                <w:u w:val="none"/>
                <w:lang w:val="en-US" w:eastAsia="zh-CN"/>
              </w:rPr>
              <w:t xml:space="preserve">  </w:t>
            </w:r>
            <w:r>
              <w:rPr>
                <w:rFonts w:hint="eastAsia" w:ascii="宋体" w:hAnsi="宋体" w:eastAsia="宋体" w:cs="仿宋_GB2312"/>
                <w:b w:val="0"/>
                <w:color w:val="000000"/>
                <w:kern w:val="2"/>
                <w:sz w:val="24"/>
                <w:szCs w:val="24"/>
                <w:highlight w:val="none"/>
                <w:lang w:val="en-US" w:eastAsia="zh-CN"/>
              </w:rPr>
              <w:t>页</w:t>
            </w:r>
          </w:p>
        </w:tc>
      </w:tr>
    </w:tbl>
    <w:p w14:paraId="38477B64">
      <w:pPr>
        <w:jc w:val="center"/>
        <w:rPr>
          <w:rFonts w:hint="eastAsia" w:ascii="宋体" w:hAnsi="宋体" w:eastAsia="宋体" w:cs="宋体"/>
          <w:b/>
          <w:color w:val="auto"/>
          <w:kern w:val="0"/>
          <w:sz w:val="32"/>
          <w:szCs w:val="32"/>
          <w:highlight w:val="none"/>
        </w:rPr>
      </w:pPr>
    </w:p>
    <w:p w14:paraId="5BE96E07">
      <w:pPr>
        <w:jc w:val="center"/>
        <w:rPr>
          <w:rFonts w:hint="eastAsia" w:ascii="宋体" w:hAnsi="宋体" w:eastAsia="宋体" w:cs="宋体"/>
          <w:b/>
          <w:color w:val="auto"/>
          <w:kern w:val="0"/>
          <w:sz w:val="32"/>
          <w:szCs w:val="32"/>
          <w:highlight w:val="none"/>
        </w:rPr>
      </w:pPr>
    </w:p>
    <w:p w14:paraId="5565BB30">
      <w:pPr>
        <w:jc w:val="center"/>
        <w:rPr>
          <w:rFonts w:hint="eastAsia" w:ascii="宋体" w:hAnsi="宋体" w:eastAsia="宋体" w:cs="宋体"/>
          <w:b/>
          <w:color w:val="auto"/>
          <w:kern w:val="0"/>
          <w:sz w:val="32"/>
          <w:szCs w:val="32"/>
          <w:highlight w:val="none"/>
        </w:rPr>
      </w:pPr>
    </w:p>
    <w:p w14:paraId="49DA46B7">
      <w:pPr>
        <w:jc w:val="center"/>
        <w:rPr>
          <w:rFonts w:hint="eastAsia" w:ascii="宋体" w:hAnsi="宋体" w:eastAsia="宋体" w:cs="宋体"/>
          <w:b/>
          <w:color w:val="auto"/>
          <w:kern w:val="0"/>
          <w:sz w:val="32"/>
          <w:szCs w:val="32"/>
          <w:highlight w:val="none"/>
        </w:rPr>
      </w:pPr>
    </w:p>
    <w:p w14:paraId="279EABA6">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45FD28A">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79A7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C4A0AE">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D08C226">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B9BFE5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7BB4A1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4BB2EA">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2AFD5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2DA477A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8AC61D">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7EB4DB3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备注（如果有）</w:t>
            </w:r>
          </w:p>
          <w:p w14:paraId="2D5586EB">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08DC4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A894E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68D2316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1A98A5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F30D3D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B6490A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50F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45168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C3C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C751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ED0C24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17877C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9AAA87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35040F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4B6894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DE527A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E65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6582E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567D08D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DC0EB4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5FEE6D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B8E343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FC380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7A649308">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3536499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FFEED66">
      <w:pPr>
        <w:jc w:val="center"/>
        <w:rPr>
          <w:rFonts w:hint="eastAsia" w:ascii="宋体" w:hAnsi="宋体" w:eastAsia="宋体" w:cs="宋体"/>
          <w:b/>
          <w:color w:val="auto"/>
          <w:kern w:val="0"/>
          <w:sz w:val="32"/>
          <w:szCs w:val="32"/>
          <w:highlight w:val="none"/>
        </w:rPr>
      </w:pPr>
    </w:p>
    <w:p w14:paraId="18F14E25">
      <w:pPr>
        <w:jc w:val="center"/>
        <w:rPr>
          <w:rFonts w:hint="eastAsia" w:ascii="宋体" w:hAnsi="宋体" w:eastAsia="宋体" w:cs="宋体"/>
          <w:b/>
          <w:color w:val="auto"/>
          <w:kern w:val="0"/>
          <w:sz w:val="32"/>
          <w:szCs w:val="32"/>
          <w:highlight w:val="none"/>
        </w:rPr>
      </w:pPr>
    </w:p>
    <w:p w14:paraId="16CAE2D5">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588"/>
        <w:gridCol w:w="3454"/>
        <w:gridCol w:w="1243"/>
      </w:tblGrid>
      <w:tr w14:paraId="630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34" w:type="dxa"/>
            <w:vAlign w:val="top"/>
          </w:tcPr>
          <w:p w14:paraId="1BC89A43">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588" w:type="dxa"/>
            <w:vAlign w:val="top"/>
          </w:tcPr>
          <w:p w14:paraId="15BBDBF4">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454" w:type="dxa"/>
            <w:vAlign w:val="top"/>
          </w:tcPr>
          <w:p w14:paraId="453C026D">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243" w:type="dxa"/>
            <w:vAlign w:val="top"/>
          </w:tcPr>
          <w:p w14:paraId="51A51C97">
            <w:pPr>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A3BC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3B10766B">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588" w:type="dxa"/>
            <w:vAlign w:val="top"/>
          </w:tcPr>
          <w:p w14:paraId="43EAE325">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165D2FD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5970BE94">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E2F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934" w:type="dxa"/>
            <w:vAlign w:val="top"/>
          </w:tcPr>
          <w:p w14:paraId="64BB989A">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588" w:type="dxa"/>
            <w:vAlign w:val="top"/>
          </w:tcPr>
          <w:p w14:paraId="135C96FF">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03E2E4BA">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78F5DE81">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2AEA2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34" w:type="dxa"/>
            <w:vAlign w:val="top"/>
          </w:tcPr>
          <w:p w14:paraId="5FED9485">
            <w:pPr>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588" w:type="dxa"/>
            <w:vAlign w:val="top"/>
          </w:tcPr>
          <w:p w14:paraId="576A5312">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3454" w:type="dxa"/>
            <w:vAlign w:val="top"/>
          </w:tcPr>
          <w:p w14:paraId="1B6FE896">
            <w:pPr>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243" w:type="dxa"/>
            <w:vAlign w:val="top"/>
          </w:tcPr>
          <w:p w14:paraId="12DAE433">
            <w:pPr>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32F2EAAB">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w:t>
      </w:r>
      <w:r>
        <w:rPr>
          <w:rFonts w:hint="eastAsia" w:ascii="宋体" w:hAnsi="宋体" w:eastAsia="宋体" w:cs="宋体"/>
          <w:color w:val="auto"/>
          <w:kern w:val="2"/>
          <w:sz w:val="24"/>
          <w:highlight w:val="none"/>
        </w:rPr>
        <w:t>本表格所反映的偏离情况与“符合性审查资料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评标标准相应的商务技术资料”不一致的，以“符合性审查资料</w:t>
      </w:r>
      <w:r>
        <w:rPr>
          <w:rFonts w:hint="eastAsia" w:ascii="宋体" w:hAnsi="宋体" w:cs="宋体"/>
          <w:color w:val="auto"/>
          <w:kern w:val="2"/>
          <w:sz w:val="24"/>
          <w:highlight w:val="none"/>
          <w:lang w:eastAsia="zh-CN"/>
        </w:rPr>
        <w:t>”“</w:t>
      </w:r>
      <w:r>
        <w:rPr>
          <w:rFonts w:hint="eastAsia" w:ascii="宋体" w:hAnsi="宋体" w:eastAsia="宋体" w:cs="宋体"/>
          <w:color w:val="auto"/>
          <w:kern w:val="2"/>
          <w:sz w:val="24"/>
          <w:highlight w:val="none"/>
        </w:rPr>
        <w:t>评标标准相应的商务技术资料”为准。</w:t>
      </w:r>
    </w:p>
    <w:p w14:paraId="64C425CE">
      <w:pPr>
        <w:spacing w:line="360" w:lineRule="auto"/>
        <w:ind w:right="420" w:firstLine="480" w:firstLineChars="200"/>
        <w:jc w:val="left"/>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2</w:t>
      </w:r>
      <w:r>
        <w:rPr>
          <w:rFonts w:hint="eastAsia" w:ascii="宋体" w:hAnsi="宋体" w:eastAsia="宋体" w:cs="宋体"/>
          <w:color w:val="auto"/>
          <w:kern w:val="2"/>
          <w:sz w:val="24"/>
          <w:highlight w:val="none"/>
        </w:rPr>
        <w:t>.投标人须保证：除商务技术偏离表列出的偏离外，投标人响应招标文件的全部非实质性要求。</w:t>
      </w:r>
    </w:p>
    <w:p w14:paraId="28244C35">
      <w:pPr>
        <w:spacing w:line="360" w:lineRule="auto"/>
        <w:ind w:right="420" w:firstLine="480" w:firstLineChars="200"/>
        <w:jc w:val="left"/>
        <w:rPr>
          <w:rFonts w:hint="eastAsia" w:ascii="宋体" w:hAnsi="宋体" w:eastAsia="宋体" w:cs="宋体"/>
          <w:b w:val="0"/>
          <w:color w:val="auto"/>
          <w:kern w:val="2"/>
          <w:sz w:val="24"/>
          <w:szCs w:val="24"/>
          <w:highlight w:val="none"/>
        </w:rPr>
      </w:pPr>
    </w:p>
    <w:p w14:paraId="63EF3BE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CFCA350">
      <w:pPr>
        <w:rPr>
          <w:highlight w:val="none"/>
        </w:rPr>
      </w:pPr>
    </w:p>
    <w:p w14:paraId="646B32B8">
      <w:pPr>
        <w:ind w:firstLine="1911" w:firstLineChars="595"/>
        <w:rPr>
          <w:rFonts w:hint="eastAsia" w:ascii="宋体" w:hAnsi="宋体" w:eastAsia="宋体" w:cs="宋体"/>
          <w:b/>
          <w:bCs/>
          <w:color w:val="auto"/>
          <w:sz w:val="32"/>
          <w:szCs w:val="32"/>
          <w:highlight w:val="none"/>
        </w:rPr>
      </w:pPr>
    </w:p>
    <w:p w14:paraId="28BC5582">
      <w:pPr>
        <w:ind w:firstLine="1911" w:firstLineChars="595"/>
        <w:rPr>
          <w:rFonts w:hint="eastAsia" w:ascii="宋体" w:hAnsi="宋体" w:eastAsia="宋体" w:cs="宋体"/>
          <w:b/>
          <w:bCs/>
          <w:color w:val="auto"/>
          <w:sz w:val="32"/>
          <w:szCs w:val="32"/>
          <w:highlight w:val="none"/>
        </w:rPr>
      </w:pPr>
    </w:p>
    <w:p w14:paraId="6D3C2AAF">
      <w:pPr>
        <w:ind w:firstLine="1911" w:firstLineChars="595"/>
        <w:rPr>
          <w:rFonts w:hint="eastAsia" w:ascii="宋体" w:hAnsi="宋体" w:eastAsia="宋体" w:cs="宋体"/>
          <w:b/>
          <w:bCs/>
          <w:color w:val="auto"/>
          <w:sz w:val="32"/>
          <w:szCs w:val="32"/>
          <w:highlight w:val="none"/>
        </w:rPr>
      </w:pPr>
    </w:p>
    <w:p w14:paraId="50AEE7BC">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6CAEAB86">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421100C6">
      <w:pPr>
        <w:snapToGrid w:val="0"/>
        <w:spacing w:line="360" w:lineRule="auto"/>
        <w:rPr>
          <w:rFonts w:hint="eastAsia" w:ascii="宋体" w:hAnsi="宋体" w:eastAsia="宋体" w:cs="宋体"/>
          <w:color w:val="auto"/>
          <w:sz w:val="24"/>
          <w:highlight w:val="none"/>
        </w:rPr>
      </w:pPr>
    </w:p>
    <w:p w14:paraId="6A23B0E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6D8CB03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ACCA1C6">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30B9F77E">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6520803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B29B0D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3D127B16">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47021D7D">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F6749CD">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33B34445">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0A4318B">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8022113">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BA27DA">
      <w:pPr>
        <w:autoSpaceDE w:val="0"/>
        <w:autoSpaceDN w:val="0"/>
        <w:spacing w:line="360" w:lineRule="auto"/>
        <w:ind w:left="2"/>
        <w:jc w:val="left"/>
        <w:rPr>
          <w:rFonts w:hint="eastAsia" w:ascii="宋体" w:hAnsi="宋体" w:eastAsia="宋体" w:cs="宋体"/>
          <w:color w:val="auto"/>
          <w:kern w:val="0"/>
          <w:sz w:val="24"/>
          <w:highlight w:val="none"/>
          <w:lang w:val="zh-CN"/>
        </w:rPr>
      </w:pPr>
    </w:p>
    <w:p w14:paraId="0ED35EF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51B6D6A">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0446482F">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45DFF00">
      <w:pPr>
        <w:spacing w:line="360" w:lineRule="auto"/>
        <w:jc w:val="center"/>
        <w:rPr>
          <w:rFonts w:hint="eastAsia" w:ascii="宋体" w:hAnsi="宋体" w:eastAsia="宋体" w:cs="宋体"/>
          <w:b/>
          <w:bCs/>
          <w:color w:val="auto"/>
          <w:sz w:val="24"/>
          <w:highlight w:val="none"/>
        </w:rPr>
      </w:pPr>
    </w:p>
    <w:p w14:paraId="7C3041D3">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5233F28">
      <w:pPr>
        <w:spacing w:line="360" w:lineRule="auto"/>
        <w:jc w:val="center"/>
        <w:rPr>
          <w:rFonts w:hint="eastAsia" w:ascii="宋体" w:hAnsi="宋体" w:eastAsia="宋体" w:cs="宋体"/>
          <w:b/>
          <w:bCs/>
          <w:color w:val="auto"/>
          <w:sz w:val="24"/>
          <w:highlight w:val="none"/>
        </w:rPr>
        <w:sectPr>
          <w:headerReference r:id="rId22" w:type="first"/>
          <w:footerReference r:id="rId24" w:type="first"/>
          <w:headerReference r:id="rId21" w:type="default"/>
          <w:footerReference r:id="rId23" w:type="default"/>
          <w:pgSz w:w="11906" w:h="16838"/>
          <w:pgMar w:top="1276" w:right="1418" w:bottom="1247" w:left="1418" w:header="851" w:footer="992" w:gutter="0"/>
          <w:pgNumType w:fmt="decimal"/>
          <w:cols w:space="720" w:num="1"/>
          <w:titlePg/>
          <w:docGrid w:linePitch="312" w:charSpace="0"/>
        </w:sectPr>
      </w:pPr>
    </w:p>
    <w:p w14:paraId="4AED1923">
      <w:pPr>
        <w:spacing w:line="360" w:lineRule="auto"/>
        <w:jc w:val="center"/>
        <w:outlineLvl w:val="9"/>
        <w:rPr>
          <w:rFonts w:hint="eastAsia" w:ascii="宋体" w:hAnsi="宋体" w:eastAsia="宋体" w:cs="宋体"/>
          <w:b/>
          <w:color w:val="auto"/>
          <w:kern w:val="0"/>
          <w:sz w:val="36"/>
          <w:szCs w:val="36"/>
          <w:highlight w:val="none"/>
        </w:rPr>
      </w:pPr>
    </w:p>
    <w:p w14:paraId="0125678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0FDC4E6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w:t>
      </w:r>
      <w:r>
        <w:rPr>
          <w:rFonts w:hint="eastAsia" w:ascii="宋体" w:hAnsi="宋体" w:eastAsia="宋体" w:cs="宋体"/>
          <w:b/>
          <w:color w:val="auto"/>
          <w:kern w:val="0"/>
          <w:sz w:val="36"/>
          <w:szCs w:val="36"/>
          <w:highlight w:val="none"/>
          <w:lang w:val="en-US" w:eastAsia="zh-CN"/>
        </w:rPr>
        <w:t xml:space="preserve"> </w:t>
      </w:r>
      <w:r>
        <w:rPr>
          <w:rFonts w:hint="eastAsia" w:ascii="宋体" w:hAnsi="宋体" w:eastAsia="宋体" w:cs="宋体"/>
          <w:b/>
          <w:color w:val="auto"/>
          <w:kern w:val="0"/>
          <w:sz w:val="36"/>
          <w:szCs w:val="36"/>
          <w:highlight w:val="none"/>
        </w:rPr>
        <w:t>录</w:t>
      </w:r>
    </w:p>
    <w:p w14:paraId="6566F6A5">
      <w:pPr>
        <w:spacing w:line="360" w:lineRule="auto"/>
        <w:jc w:val="center"/>
        <w:outlineLvl w:val="9"/>
        <w:rPr>
          <w:rFonts w:hint="eastAsia" w:ascii="宋体" w:hAnsi="宋体" w:eastAsia="宋体" w:cs="宋体"/>
          <w:b/>
          <w:color w:val="auto"/>
          <w:kern w:val="0"/>
          <w:sz w:val="36"/>
          <w:szCs w:val="36"/>
          <w:highlight w:val="none"/>
        </w:rPr>
      </w:pPr>
    </w:p>
    <w:p w14:paraId="01AB2D4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（1）开标一览表（报价表）………………………………………………………（页码）</w:t>
      </w:r>
    </w:p>
    <w:p w14:paraId="0AC6B8D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）报价情况说明</w:t>
      </w:r>
      <w:r>
        <w:rPr>
          <w:rFonts w:hint="eastAsia" w:ascii="宋体" w:hAnsi="宋体" w:eastAsia="宋体" w:cs="宋体"/>
          <w:color w:val="auto"/>
          <w:sz w:val="24"/>
          <w:highlight w:val="none"/>
          <w:lang w:eastAsia="zh-CN"/>
        </w:rPr>
        <w:t>（如有）</w:t>
      </w:r>
      <w:r>
        <w:rPr>
          <w:rFonts w:hint="eastAsia" w:ascii="宋体" w:hAnsi="宋体" w:eastAsia="宋体" w:cs="宋体"/>
          <w:color w:val="auto"/>
          <w:sz w:val="24"/>
          <w:highlight w:val="none"/>
        </w:rPr>
        <w:t>………………………………………………………（页码）</w:t>
      </w:r>
    </w:p>
    <w:p w14:paraId="562BA71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）中小企业声明函</w:t>
      </w:r>
      <w:r>
        <w:rPr>
          <w:rFonts w:hint="eastAsia" w:ascii="宋体" w:hAnsi="宋体" w:eastAsia="宋体" w:cs="宋体"/>
          <w:color w:val="auto"/>
          <w:sz w:val="24"/>
          <w:highlight w:val="none"/>
          <w:lang w:eastAsia="zh-CN"/>
        </w:rPr>
        <w:t>（如需）</w:t>
      </w:r>
      <w:r>
        <w:rPr>
          <w:rFonts w:hint="eastAsia" w:ascii="宋体" w:hAnsi="宋体" w:eastAsia="宋体" w:cs="宋体"/>
          <w:color w:val="auto"/>
          <w:sz w:val="24"/>
          <w:highlight w:val="none"/>
        </w:rPr>
        <w:t>……………………………………………………（页码）</w:t>
      </w:r>
    </w:p>
    <w:p w14:paraId="7D5D0F8E">
      <w:pPr>
        <w:snapToGrid w:val="0"/>
        <w:spacing w:line="360" w:lineRule="auto"/>
        <w:ind w:right="480"/>
        <w:jc w:val="center"/>
        <w:rPr>
          <w:rFonts w:hint="eastAsia" w:ascii="宋体" w:hAnsi="宋体" w:eastAsia="宋体" w:cs="宋体"/>
          <w:b/>
          <w:color w:val="auto"/>
          <w:kern w:val="0"/>
          <w:sz w:val="32"/>
          <w:szCs w:val="32"/>
          <w:highlight w:val="none"/>
        </w:rPr>
      </w:pPr>
    </w:p>
    <w:p w14:paraId="60314668">
      <w:pPr>
        <w:snapToGrid w:val="0"/>
        <w:spacing w:line="360" w:lineRule="auto"/>
        <w:ind w:right="480"/>
        <w:jc w:val="center"/>
        <w:rPr>
          <w:rFonts w:hint="eastAsia" w:ascii="宋体" w:hAnsi="宋体" w:eastAsia="宋体" w:cs="宋体"/>
          <w:b/>
          <w:color w:val="auto"/>
          <w:kern w:val="0"/>
          <w:sz w:val="32"/>
          <w:szCs w:val="32"/>
          <w:highlight w:val="none"/>
        </w:rPr>
      </w:pPr>
    </w:p>
    <w:p w14:paraId="4E782B48">
      <w:pPr>
        <w:snapToGrid w:val="0"/>
        <w:spacing w:line="360" w:lineRule="auto"/>
        <w:ind w:right="480"/>
        <w:jc w:val="center"/>
        <w:rPr>
          <w:rFonts w:hint="eastAsia" w:ascii="宋体" w:hAnsi="宋体" w:eastAsia="宋体" w:cs="宋体"/>
          <w:b/>
          <w:color w:val="auto"/>
          <w:kern w:val="0"/>
          <w:sz w:val="32"/>
          <w:szCs w:val="32"/>
          <w:highlight w:val="none"/>
        </w:rPr>
      </w:pPr>
    </w:p>
    <w:p w14:paraId="04E4D65D">
      <w:pPr>
        <w:snapToGrid w:val="0"/>
        <w:spacing w:line="360" w:lineRule="auto"/>
        <w:ind w:right="480"/>
        <w:jc w:val="center"/>
        <w:rPr>
          <w:rFonts w:hint="eastAsia" w:ascii="宋体" w:hAnsi="宋体" w:eastAsia="宋体" w:cs="宋体"/>
          <w:b/>
          <w:color w:val="auto"/>
          <w:kern w:val="0"/>
          <w:sz w:val="32"/>
          <w:szCs w:val="32"/>
          <w:highlight w:val="none"/>
        </w:rPr>
      </w:pPr>
    </w:p>
    <w:p w14:paraId="1B2AF1C7">
      <w:pPr>
        <w:snapToGrid w:val="0"/>
        <w:spacing w:line="360" w:lineRule="auto"/>
        <w:ind w:right="480"/>
        <w:jc w:val="center"/>
        <w:rPr>
          <w:rFonts w:hint="eastAsia" w:ascii="宋体" w:hAnsi="宋体" w:eastAsia="宋体" w:cs="宋体"/>
          <w:b/>
          <w:color w:val="auto"/>
          <w:kern w:val="0"/>
          <w:sz w:val="32"/>
          <w:szCs w:val="32"/>
          <w:highlight w:val="none"/>
        </w:rPr>
      </w:pPr>
    </w:p>
    <w:p w14:paraId="12010204">
      <w:pPr>
        <w:snapToGrid w:val="0"/>
        <w:spacing w:line="360" w:lineRule="auto"/>
        <w:ind w:right="480"/>
        <w:jc w:val="center"/>
        <w:rPr>
          <w:rFonts w:hint="eastAsia" w:ascii="宋体" w:hAnsi="宋体" w:eastAsia="宋体" w:cs="宋体"/>
          <w:b/>
          <w:color w:val="auto"/>
          <w:kern w:val="0"/>
          <w:sz w:val="32"/>
          <w:szCs w:val="32"/>
          <w:highlight w:val="none"/>
        </w:rPr>
      </w:pPr>
    </w:p>
    <w:p w14:paraId="10CB5806">
      <w:pPr>
        <w:snapToGrid w:val="0"/>
        <w:spacing w:line="360" w:lineRule="auto"/>
        <w:ind w:right="480"/>
        <w:jc w:val="center"/>
        <w:rPr>
          <w:rFonts w:hint="eastAsia" w:ascii="宋体" w:hAnsi="宋体" w:eastAsia="宋体" w:cs="宋体"/>
          <w:b/>
          <w:color w:val="auto"/>
          <w:kern w:val="0"/>
          <w:sz w:val="32"/>
          <w:szCs w:val="32"/>
          <w:highlight w:val="none"/>
        </w:rPr>
      </w:pPr>
    </w:p>
    <w:p w14:paraId="1C82C045">
      <w:pPr>
        <w:snapToGrid w:val="0"/>
        <w:spacing w:line="360" w:lineRule="auto"/>
        <w:ind w:right="480"/>
        <w:jc w:val="center"/>
        <w:rPr>
          <w:rFonts w:hint="eastAsia" w:ascii="宋体" w:hAnsi="宋体" w:eastAsia="宋体" w:cs="宋体"/>
          <w:b/>
          <w:color w:val="auto"/>
          <w:kern w:val="0"/>
          <w:sz w:val="32"/>
          <w:szCs w:val="32"/>
          <w:highlight w:val="none"/>
        </w:rPr>
      </w:pPr>
    </w:p>
    <w:p w14:paraId="55E6EBAF">
      <w:pPr>
        <w:snapToGrid w:val="0"/>
        <w:spacing w:line="360" w:lineRule="auto"/>
        <w:ind w:right="480"/>
        <w:jc w:val="center"/>
        <w:rPr>
          <w:rFonts w:hint="eastAsia" w:ascii="宋体" w:hAnsi="宋体" w:eastAsia="宋体" w:cs="宋体"/>
          <w:b/>
          <w:color w:val="auto"/>
          <w:kern w:val="0"/>
          <w:sz w:val="32"/>
          <w:szCs w:val="32"/>
          <w:highlight w:val="none"/>
        </w:rPr>
      </w:pPr>
    </w:p>
    <w:p w14:paraId="119FA51F">
      <w:pPr>
        <w:snapToGrid w:val="0"/>
        <w:spacing w:line="360" w:lineRule="auto"/>
        <w:ind w:right="480"/>
        <w:jc w:val="center"/>
        <w:rPr>
          <w:rFonts w:hint="eastAsia" w:ascii="宋体" w:hAnsi="宋体" w:eastAsia="宋体" w:cs="宋体"/>
          <w:b/>
          <w:color w:val="auto"/>
          <w:kern w:val="0"/>
          <w:sz w:val="32"/>
          <w:szCs w:val="32"/>
          <w:highlight w:val="none"/>
        </w:rPr>
      </w:pPr>
    </w:p>
    <w:p w14:paraId="6FFB0246">
      <w:pPr>
        <w:snapToGrid w:val="0"/>
        <w:spacing w:line="360" w:lineRule="auto"/>
        <w:ind w:right="480"/>
        <w:jc w:val="center"/>
        <w:rPr>
          <w:rFonts w:hint="eastAsia" w:ascii="宋体" w:hAnsi="宋体" w:eastAsia="宋体" w:cs="宋体"/>
          <w:b/>
          <w:color w:val="auto"/>
          <w:kern w:val="0"/>
          <w:sz w:val="32"/>
          <w:szCs w:val="32"/>
          <w:highlight w:val="none"/>
        </w:rPr>
      </w:pPr>
    </w:p>
    <w:p w14:paraId="7ED94DB3">
      <w:pPr>
        <w:snapToGrid w:val="0"/>
        <w:spacing w:line="360" w:lineRule="auto"/>
        <w:ind w:right="480"/>
        <w:jc w:val="center"/>
        <w:rPr>
          <w:rFonts w:hint="eastAsia" w:ascii="宋体" w:hAnsi="宋体" w:eastAsia="宋体" w:cs="宋体"/>
          <w:b/>
          <w:color w:val="auto"/>
          <w:kern w:val="0"/>
          <w:sz w:val="32"/>
          <w:szCs w:val="32"/>
          <w:highlight w:val="none"/>
        </w:rPr>
      </w:pPr>
    </w:p>
    <w:p w14:paraId="056CA656">
      <w:pPr>
        <w:snapToGrid w:val="0"/>
        <w:spacing w:line="360" w:lineRule="auto"/>
        <w:ind w:right="480"/>
        <w:jc w:val="center"/>
        <w:rPr>
          <w:rFonts w:hint="eastAsia" w:ascii="宋体" w:hAnsi="宋体" w:eastAsia="宋体" w:cs="宋体"/>
          <w:b/>
          <w:color w:val="auto"/>
          <w:kern w:val="0"/>
          <w:sz w:val="32"/>
          <w:szCs w:val="32"/>
          <w:highlight w:val="none"/>
        </w:rPr>
      </w:pPr>
    </w:p>
    <w:p w14:paraId="2D1530A1">
      <w:pPr>
        <w:snapToGrid w:val="0"/>
        <w:spacing w:line="360" w:lineRule="auto"/>
        <w:ind w:right="480"/>
        <w:jc w:val="center"/>
        <w:rPr>
          <w:rFonts w:hint="eastAsia" w:ascii="宋体" w:hAnsi="宋体" w:eastAsia="宋体" w:cs="宋体"/>
          <w:b/>
          <w:color w:val="auto"/>
          <w:kern w:val="0"/>
          <w:sz w:val="32"/>
          <w:szCs w:val="32"/>
          <w:highlight w:val="none"/>
        </w:rPr>
      </w:pPr>
    </w:p>
    <w:p w14:paraId="660DF0EC">
      <w:pPr>
        <w:snapToGrid w:val="0"/>
        <w:spacing w:line="360" w:lineRule="auto"/>
        <w:ind w:right="480"/>
        <w:jc w:val="center"/>
        <w:rPr>
          <w:rFonts w:hint="eastAsia" w:ascii="宋体" w:hAnsi="宋体" w:eastAsia="宋体" w:cs="宋体"/>
          <w:b/>
          <w:color w:val="auto"/>
          <w:kern w:val="0"/>
          <w:sz w:val="32"/>
          <w:szCs w:val="32"/>
          <w:highlight w:val="none"/>
        </w:rPr>
      </w:pPr>
    </w:p>
    <w:p w14:paraId="21B714F1">
      <w:pPr>
        <w:pStyle w:val="387"/>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26" w:type="first"/>
          <w:footerReference r:id="rId28" w:type="first"/>
          <w:headerReference r:id="rId25" w:type="default"/>
          <w:footerReference r:id="rId27" w:type="default"/>
          <w:pgSz w:w="11906" w:h="16838"/>
          <w:pgMar w:top="1276" w:right="1418" w:bottom="1247" w:left="1418" w:header="851" w:footer="992" w:gutter="0"/>
          <w:pgNumType w:fmt="decimal"/>
          <w:cols w:space="720" w:num="1"/>
          <w:titlePg/>
          <w:docGrid w:linePitch="312" w:charSpace="0"/>
        </w:sectPr>
      </w:pPr>
    </w:p>
    <w:p w14:paraId="75E01429">
      <w:pPr>
        <w:pStyle w:val="387"/>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F67D8B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1748C8C7">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u w:val="single"/>
        </w:rPr>
        <w:t>（项目名称）</w:t>
      </w:r>
      <w:r>
        <w:rPr>
          <w:rFonts w:hint="eastAsia" w:ascii="宋体" w:hAnsi="宋体" w:eastAsia="宋体" w:cs="宋体"/>
          <w:color w:val="auto"/>
          <w:kern w:val="0"/>
          <w:sz w:val="24"/>
          <w:highlight w:val="none"/>
          <w:u w:val="single"/>
          <w:lang w:val="zh-CN"/>
        </w:rPr>
        <w:t>【招标编号：</w:t>
      </w:r>
      <w:r>
        <w:rPr>
          <w:rFonts w:hint="eastAsia" w:ascii="宋体" w:hAnsi="宋体" w:eastAsia="宋体" w:cs="宋体"/>
          <w:color w:val="auto"/>
          <w:sz w:val="24"/>
          <w:highlight w:val="none"/>
          <w:u w:val="single"/>
        </w:rPr>
        <w:t>（采购编号）】</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4C31DE06">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p w14:paraId="31FC579B">
      <w:pPr>
        <w:snapToGrid w:val="0"/>
        <w:spacing w:line="288" w:lineRule="auto"/>
        <w:ind w:left="480"/>
        <w:rPr>
          <w:rFonts w:hint="eastAsia" w:ascii="宋体" w:hAnsi="宋体" w:eastAsia="宋体" w:cs="宋体"/>
          <w:b/>
          <w:color w:val="auto"/>
          <w:kern w:val="0"/>
          <w:sz w:val="24"/>
          <w:highlight w:val="none"/>
          <w:lang w:val="zh-CN"/>
        </w:rPr>
      </w:pPr>
    </w:p>
    <w:tbl>
      <w:tblPr>
        <w:tblStyle w:val="63"/>
        <w:tblW w:w="9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1941"/>
        <w:gridCol w:w="783"/>
        <w:gridCol w:w="1100"/>
        <w:gridCol w:w="1567"/>
      </w:tblGrid>
      <w:tr w14:paraId="5F891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3F4F2E56">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序号</w:t>
            </w:r>
          </w:p>
        </w:tc>
        <w:tc>
          <w:tcPr>
            <w:tcW w:w="1417" w:type="dxa"/>
            <w:vAlign w:val="center"/>
          </w:tcPr>
          <w:p w14:paraId="1F03B95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项目名称</w:t>
            </w:r>
          </w:p>
        </w:tc>
        <w:tc>
          <w:tcPr>
            <w:tcW w:w="1843" w:type="dxa"/>
            <w:vAlign w:val="top"/>
          </w:tcPr>
          <w:p w14:paraId="409C37C1">
            <w:pPr>
              <w:spacing w:before="0" w:beforeAutospacing="0" w:after="0" w:afterAutospacing="0" w:line="360" w:lineRule="auto"/>
              <w:ind w:left="0" w:right="0"/>
              <w:jc w:val="center"/>
              <w:rPr>
                <w:rFonts w:hint="default" w:ascii="仿宋_GB2312" w:hAnsi="仿宋" w:eastAsia="仿宋_GB2312" w:cs="Times New Roman"/>
                <w:b/>
                <w:sz w:val="24"/>
                <w:szCs w:val="20"/>
              </w:rPr>
            </w:pPr>
          </w:p>
          <w:p w14:paraId="66918ECD">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项目特征描述</w:t>
            </w:r>
          </w:p>
        </w:tc>
        <w:tc>
          <w:tcPr>
            <w:tcW w:w="1941" w:type="dxa"/>
            <w:vAlign w:val="center"/>
          </w:tcPr>
          <w:p w14:paraId="331431A2">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default" w:ascii="仿宋_GB2312" w:hAnsi="仿宋" w:eastAsia="仿宋_GB2312" w:cs="仿宋_GB2312"/>
                <w:b/>
                <w:sz w:val="24"/>
                <w:szCs w:val="20"/>
              </w:rPr>
              <w:t>计量单位</w:t>
            </w:r>
          </w:p>
        </w:tc>
        <w:tc>
          <w:tcPr>
            <w:tcW w:w="783" w:type="dxa"/>
            <w:vAlign w:val="center"/>
          </w:tcPr>
          <w:p w14:paraId="626390A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数量</w:t>
            </w:r>
          </w:p>
        </w:tc>
        <w:tc>
          <w:tcPr>
            <w:tcW w:w="1100" w:type="dxa"/>
            <w:vAlign w:val="center"/>
          </w:tcPr>
          <w:p w14:paraId="4C4AED8D">
            <w:pPr>
              <w:spacing w:before="0" w:beforeAutospacing="0" w:after="0" w:afterAutospacing="0" w:line="360" w:lineRule="auto"/>
              <w:ind w:left="0" w:right="0"/>
              <w:jc w:val="center"/>
              <w:rPr>
                <w:rFonts w:hint="default" w:ascii="仿宋_GB2312" w:hAnsi="仿宋" w:eastAsia="仿宋_GB2312" w:cs="Times New Roman"/>
                <w:b/>
                <w:sz w:val="24"/>
                <w:szCs w:val="20"/>
              </w:rPr>
            </w:pPr>
            <w:r>
              <w:rPr>
                <w:rFonts w:hint="eastAsia" w:ascii="仿宋_GB2312" w:hAnsi="仿宋" w:eastAsia="仿宋_GB2312" w:cs="Times New Roman"/>
                <w:b/>
                <w:sz w:val="24"/>
                <w:szCs w:val="20"/>
              </w:rPr>
              <w:t>综合单价</w:t>
            </w:r>
          </w:p>
          <w:p w14:paraId="680A20DC">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（含税）</w:t>
            </w:r>
          </w:p>
        </w:tc>
        <w:tc>
          <w:tcPr>
            <w:tcW w:w="1567" w:type="dxa"/>
            <w:vAlign w:val="center"/>
          </w:tcPr>
          <w:p w14:paraId="6E6D5F39">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Times New Roman"/>
                <w:b/>
                <w:sz w:val="24"/>
                <w:szCs w:val="20"/>
              </w:rPr>
              <w:t>备注</w:t>
            </w:r>
          </w:p>
          <w:p w14:paraId="466F051E">
            <w:pPr>
              <w:spacing w:before="0" w:beforeAutospacing="0" w:after="0" w:afterAutospacing="0" w:line="360" w:lineRule="auto"/>
              <w:ind w:left="0" w:right="0"/>
              <w:jc w:val="center"/>
              <w:rPr>
                <w:rFonts w:hint="default" w:ascii="仿宋_GB2312" w:hAnsi="仿宋" w:eastAsia="仿宋_GB2312" w:cs="Times New Roman"/>
                <w:b/>
                <w:sz w:val="24"/>
                <w:szCs w:val="20"/>
              </w:rPr>
            </w:pPr>
          </w:p>
        </w:tc>
      </w:tr>
      <w:tr w14:paraId="5AD5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C048A54">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default" w:ascii="仿宋_GB2312" w:hAnsi="仿宋" w:eastAsia="仿宋_GB2312" w:cs="仿宋_GB2312"/>
                <w:sz w:val="24"/>
                <w:szCs w:val="20"/>
              </w:rPr>
              <w:t>1</w:t>
            </w:r>
          </w:p>
        </w:tc>
        <w:tc>
          <w:tcPr>
            <w:tcW w:w="1417" w:type="dxa"/>
            <w:vAlign w:val="center"/>
          </w:tcPr>
          <w:p w14:paraId="1563D33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2C7ACFE5">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470483A4">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39AD3DE4">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7DD1E7CB">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490BCD10">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7287D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1D35816">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default" w:ascii="仿宋_GB2312" w:hAnsi="仿宋" w:eastAsia="仿宋_GB2312" w:cs="仿宋_GB2312"/>
                <w:sz w:val="24"/>
                <w:szCs w:val="20"/>
              </w:rPr>
              <w:t>2</w:t>
            </w:r>
          </w:p>
        </w:tc>
        <w:tc>
          <w:tcPr>
            <w:tcW w:w="1417" w:type="dxa"/>
            <w:vAlign w:val="center"/>
          </w:tcPr>
          <w:p w14:paraId="13C04782">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167CA815">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30279D20">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4253C811">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09DB8FF8">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7AD65051">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A05E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725631">
            <w:pPr>
              <w:spacing w:before="0" w:beforeAutospacing="0" w:after="0" w:afterAutospacing="0" w:line="360" w:lineRule="auto"/>
              <w:ind w:left="0" w:right="0"/>
              <w:jc w:val="center"/>
              <w:rPr>
                <w:rFonts w:hint="default" w:ascii="仿宋_GB2312" w:hAnsi="仿宋" w:eastAsia="仿宋_GB2312" w:cs="仿宋_GB2312"/>
                <w:sz w:val="24"/>
                <w:szCs w:val="20"/>
              </w:rPr>
            </w:pPr>
            <w:r>
              <w:rPr>
                <w:rFonts w:hint="eastAsia" w:ascii="仿宋_GB2312" w:hAnsi="仿宋" w:eastAsia="仿宋_GB2312" w:cs="仿宋_GB2312"/>
                <w:sz w:val="24"/>
                <w:szCs w:val="20"/>
              </w:rPr>
              <w:t>…</w:t>
            </w:r>
          </w:p>
        </w:tc>
        <w:tc>
          <w:tcPr>
            <w:tcW w:w="1417" w:type="dxa"/>
            <w:vAlign w:val="center"/>
          </w:tcPr>
          <w:p w14:paraId="25710B0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0E7BB5DD">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04C75A9E">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1D05FEBD">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449B827E">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04757F74">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CE1A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9192223">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417" w:type="dxa"/>
            <w:vAlign w:val="center"/>
          </w:tcPr>
          <w:p w14:paraId="55C14A9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1543B3FC">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01DF34D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6548A928">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51A0CEBF">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2607172C">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041C2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7128A4E">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417" w:type="dxa"/>
            <w:vAlign w:val="center"/>
          </w:tcPr>
          <w:p w14:paraId="631AE713">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843" w:type="dxa"/>
            <w:vAlign w:val="center"/>
          </w:tcPr>
          <w:p w14:paraId="01EE3A51">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941" w:type="dxa"/>
            <w:vAlign w:val="center"/>
          </w:tcPr>
          <w:p w14:paraId="7116C240">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783" w:type="dxa"/>
            <w:vAlign w:val="center"/>
          </w:tcPr>
          <w:p w14:paraId="5F57C332">
            <w:pPr>
              <w:snapToGrid w:val="0"/>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100" w:type="dxa"/>
            <w:vAlign w:val="center"/>
          </w:tcPr>
          <w:p w14:paraId="6C3EE271">
            <w:pPr>
              <w:spacing w:before="0" w:beforeAutospacing="0" w:after="0" w:afterAutospacing="0" w:line="360" w:lineRule="auto"/>
              <w:ind w:left="0" w:right="0"/>
              <w:jc w:val="center"/>
              <w:rPr>
                <w:rFonts w:hint="default" w:ascii="仿宋_GB2312" w:hAnsi="仿宋" w:eastAsia="仿宋_GB2312" w:cs="仿宋_GB2312"/>
                <w:sz w:val="24"/>
                <w:szCs w:val="20"/>
              </w:rPr>
            </w:pPr>
          </w:p>
        </w:tc>
        <w:tc>
          <w:tcPr>
            <w:tcW w:w="1567" w:type="dxa"/>
            <w:vAlign w:val="center"/>
          </w:tcPr>
          <w:p w14:paraId="415DE3B4">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586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5735" w:type="dxa"/>
            <w:gridSpan w:val="4"/>
            <w:vAlign w:val="center"/>
          </w:tcPr>
          <w:p w14:paraId="7DD30500">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投标单价合计报价（小写）</w:t>
            </w:r>
          </w:p>
        </w:tc>
        <w:tc>
          <w:tcPr>
            <w:tcW w:w="3450" w:type="dxa"/>
            <w:gridSpan w:val="3"/>
            <w:vAlign w:val="center"/>
          </w:tcPr>
          <w:p w14:paraId="20A8065A">
            <w:pPr>
              <w:spacing w:before="0" w:beforeAutospacing="0" w:after="0" w:afterAutospacing="0" w:line="360" w:lineRule="auto"/>
              <w:ind w:left="0" w:right="0"/>
              <w:jc w:val="center"/>
              <w:rPr>
                <w:rFonts w:hint="default" w:ascii="仿宋_GB2312" w:hAnsi="仿宋" w:eastAsia="仿宋_GB2312" w:cs="仿宋_GB2312"/>
                <w:sz w:val="24"/>
                <w:szCs w:val="20"/>
              </w:rPr>
            </w:pPr>
          </w:p>
        </w:tc>
      </w:tr>
      <w:tr w14:paraId="707C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735" w:type="dxa"/>
            <w:gridSpan w:val="4"/>
            <w:vAlign w:val="center"/>
          </w:tcPr>
          <w:p w14:paraId="3D88B284">
            <w:pPr>
              <w:spacing w:before="0" w:beforeAutospacing="0" w:after="0" w:afterAutospacing="0" w:line="360" w:lineRule="auto"/>
              <w:ind w:left="0" w:right="0"/>
              <w:jc w:val="center"/>
              <w:rPr>
                <w:rFonts w:hint="default" w:ascii="仿宋_GB2312" w:hAnsi="仿宋" w:eastAsia="仿宋_GB2312" w:cs="仿宋_GB2312"/>
                <w:b/>
                <w:sz w:val="24"/>
                <w:szCs w:val="20"/>
              </w:rPr>
            </w:pPr>
            <w:r>
              <w:rPr>
                <w:rFonts w:hint="eastAsia" w:ascii="仿宋_GB2312" w:hAnsi="仿宋" w:eastAsia="仿宋_GB2312" w:cs="仿宋_GB2312"/>
                <w:b/>
                <w:sz w:val="24"/>
                <w:szCs w:val="20"/>
              </w:rPr>
              <w:t>投标单价合计报价（大写）</w:t>
            </w:r>
          </w:p>
        </w:tc>
        <w:tc>
          <w:tcPr>
            <w:tcW w:w="3450" w:type="dxa"/>
            <w:gridSpan w:val="3"/>
            <w:vAlign w:val="center"/>
          </w:tcPr>
          <w:p w14:paraId="1A4CA5E4">
            <w:pPr>
              <w:spacing w:before="0" w:beforeAutospacing="0" w:after="0" w:afterAutospacing="0" w:line="360" w:lineRule="auto"/>
              <w:ind w:left="0" w:right="0"/>
              <w:jc w:val="center"/>
              <w:rPr>
                <w:rFonts w:hint="default" w:ascii="仿宋_GB2312" w:hAnsi="仿宋" w:eastAsia="仿宋_GB2312" w:cs="仿宋_GB2312"/>
                <w:sz w:val="24"/>
                <w:szCs w:val="20"/>
              </w:rPr>
            </w:pPr>
          </w:p>
        </w:tc>
      </w:tr>
    </w:tbl>
    <w:p w14:paraId="45B6FE29">
      <w:pPr>
        <w:snapToGrid w:val="0"/>
        <w:spacing w:line="288" w:lineRule="auto"/>
        <w:ind w:left="0"/>
        <w:rPr>
          <w:rFonts w:hint="eastAsia" w:ascii="宋体" w:hAnsi="宋体" w:eastAsia="宋体" w:cs="宋体"/>
          <w:b/>
          <w:color w:val="auto"/>
          <w:kern w:val="0"/>
          <w:sz w:val="24"/>
          <w:highlight w:val="none"/>
          <w:lang w:val="zh-CN"/>
        </w:rPr>
      </w:pPr>
    </w:p>
    <w:p w14:paraId="7F10E292">
      <w:pPr>
        <w:snapToGrid w:val="0"/>
        <w:spacing w:line="288"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7169C974">
      <w:pPr>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729AC6BC">
      <w:pPr>
        <w:adjustRightInd w:val="0"/>
        <w:snapToGrid w:val="0"/>
        <w:spacing w:line="360" w:lineRule="auto"/>
        <w:ind w:left="-2"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w:t>
      </w:r>
      <w:r>
        <w:rPr>
          <w:rFonts w:hint="eastAsia" w:ascii="宋体" w:hAnsi="宋体" w:eastAsia="宋体" w:cs="宋体"/>
          <w:color w:val="auto"/>
          <w:spacing w:val="0"/>
          <w:kern w:val="0"/>
          <w:sz w:val="24"/>
          <w:szCs w:val="24"/>
          <w:highlight w:val="none"/>
          <w:lang w:val="en-US" w:eastAsia="zh-CN"/>
        </w:rPr>
        <w:t>无效投标</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color w:val="auto"/>
          <w:kern w:val="0"/>
          <w:sz w:val="24"/>
          <w:highlight w:val="none"/>
          <w:lang w:val="zh-CN"/>
        </w:rPr>
        <w:t>采购内容未包含在《开标一览表（报价表）》名称栏中，投标人不能作出合理解释的，视为投标文件含有采购人不能接受的附加条件的，投标无效。</w:t>
      </w:r>
    </w:p>
    <w:p w14:paraId="5D1B0E5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3、特别提示：采购机构将对项目名称和项目编号，中标供应商名称、地址和中标金额，主要中标标的名称、服务范围、服务要求、服务标准等予以公示。</w:t>
      </w:r>
    </w:p>
    <w:p w14:paraId="19D7775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zh-CN"/>
        </w:rPr>
        <w:t>4、</w:t>
      </w:r>
      <w:r>
        <w:rPr>
          <w:rFonts w:hint="eastAsia" w:ascii="宋体" w:hAnsi="宋体" w:eastAsia="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6A1961B">
      <w:pPr>
        <w:spacing w:line="360" w:lineRule="auto"/>
        <w:outlineLvl w:val="9"/>
        <w:rPr>
          <w:rFonts w:hint="eastAsia" w:ascii="宋体" w:hAnsi="宋体" w:eastAsia="宋体" w:cs="宋体"/>
          <w:color w:val="auto"/>
          <w:kern w:val="0"/>
          <w:sz w:val="24"/>
          <w:highlight w:val="none"/>
          <w:lang w:val="zh-CN"/>
        </w:rPr>
      </w:pPr>
    </w:p>
    <w:p w14:paraId="41D84815">
      <w:pPr>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45BBE189">
      <w:pPr>
        <w:spacing w:line="360" w:lineRule="auto"/>
        <w:ind w:left="4620" w:left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0BD8DD96">
      <w:pPr>
        <w:rPr>
          <w:rFonts w:hint="eastAsia" w:ascii="宋体" w:hAnsi="宋体" w:cs="宋体"/>
          <w:b/>
          <w:bCs/>
          <w:color w:val="auto"/>
          <w:sz w:val="44"/>
          <w:szCs w:val="44"/>
          <w:highlight w:val="none"/>
        </w:rPr>
      </w:pPr>
    </w:p>
    <w:p w14:paraId="248DAF3A">
      <w:pPr>
        <w:pStyle w:val="493"/>
        <w:rPr>
          <w:rFonts w:hint="eastAsia"/>
          <w:highlight w:val="none"/>
        </w:rPr>
      </w:pPr>
    </w:p>
    <w:p w14:paraId="2EBCCAAA">
      <w:pPr>
        <w:rPr>
          <w:rFonts w:hint="eastAsia" w:ascii="宋体" w:hAnsi="宋体" w:eastAsia="宋体" w:cs="宋体"/>
          <w:highlight w:val="none"/>
          <w:lang w:val="zh-CN"/>
        </w:rPr>
      </w:pPr>
    </w:p>
    <w:p w14:paraId="3FA6D72E">
      <w:pPr>
        <w:rPr>
          <w:rFonts w:hint="eastAsia" w:ascii="宋体" w:hAnsi="宋体" w:eastAsia="宋体" w:cs="宋体"/>
          <w:b/>
          <w:bCs w:val="0"/>
          <w:color w:val="auto"/>
          <w:kern w:val="44"/>
          <w:sz w:val="32"/>
          <w:szCs w:val="32"/>
          <w:highlight w:val="none"/>
          <w:lang w:val="en-US" w:eastAsia="zh-CN" w:bidi="ar-SA"/>
        </w:rPr>
      </w:pPr>
      <w:r>
        <w:rPr>
          <w:rFonts w:hint="eastAsia" w:ascii="宋体" w:hAnsi="宋体" w:eastAsia="宋体" w:cs="宋体"/>
          <w:b/>
          <w:bCs w:val="0"/>
          <w:color w:val="auto"/>
          <w:kern w:val="44"/>
          <w:sz w:val="32"/>
          <w:szCs w:val="32"/>
          <w:highlight w:val="none"/>
          <w:lang w:val="en-US" w:eastAsia="zh-CN" w:bidi="ar-SA"/>
        </w:rPr>
        <w:br w:type="page"/>
      </w:r>
    </w:p>
    <w:p w14:paraId="190A3A2A">
      <w:pPr>
        <w:pStyle w:val="387"/>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38A5921B">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1BD6043">
      <w:pPr>
        <w:pStyle w:val="2"/>
        <w:pageBreakBefore/>
        <w:widowControl/>
        <w:spacing w:before="100" w:beforeAutospacing="1" w:after="100" w:afterAutospacing="1" w:line="360" w:lineRule="auto"/>
        <w:ind w:left="0" w:firstLine="0" w:firstLineChars="0"/>
        <w:jc w:val="both"/>
        <w:rPr>
          <w:rFonts w:hint="eastAsia" w:ascii="宋体" w:hAnsi="宋体" w:eastAsia="宋体" w:cs="宋体"/>
          <w:color w:val="auto"/>
          <w:highlight w:val="none"/>
        </w:rPr>
      </w:pPr>
      <w:r>
        <w:rPr>
          <w:rFonts w:hint="eastAsia" w:ascii="宋体" w:hAnsi="宋体" w:eastAsia="宋体" w:cs="宋体"/>
          <w:color w:val="auto"/>
          <w:highlight w:val="none"/>
        </w:rPr>
        <w:t>附件</w:t>
      </w:r>
    </w:p>
    <w:p w14:paraId="70692005">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548A6315">
      <w:pPr>
        <w:spacing w:line="360" w:lineRule="auto"/>
        <w:jc w:val="center"/>
        <w:rPr>
          <w:rFonts w:hint="eastAsia" w:ascii="宋体" w:hAnsi="宋体" w:eastAsia="宋体" w:cs="宋体"/>
          <w:b/>
          <w:color w:val="auto"/>
          <w:spacing w:val="6"/>
          <w:sz w:val="32"/>
          <w:szCs w:val="32"/>
          <w:highlight w:val="none"/>
        </w:rPr>
      </w:pPr>
      <w:bookmarkStart w:id="509" w:name="OLE_LINK14"/>
      <w:bookmarkStart w:id="510" w:name="OLE_LINK13"/>
      <w:r>
        <w:rPr>
          <w:rFonts w:hint="eastAsia" w:ascii="宋体" w:hAnsi="宋体" w:eastAsia="宋体" w:cs="宋体"/>
          <w:b/>
          <w:color w:val="auto"/>
          <w:spacing w:val="6"/>
          <w:sz w:val="32"/>
          <w:szCs w:val="32"/>
          <w:highlight w:val="none"/>
        </w:rPr>
        <w:t>残疾人福利性单位声明函</w:t>
      </w:r>
    </w:p>
    <w:bookmarkEnd w:id="509"/>
    <w:bookmarkEnd w:id="510"/>
    <w:p w14:paraId="77088891">
      <w:pPr>
        <w:spacing w:line="360" w:lineRule="auto"/>
        <w:rPr>
          <w:rFonts w:hint="eastAsia" w:ascii="宋体" w:hAnsi="宋体" w:eastAsia="宋体" w:cs="宋体"/>
          <w:b/>
          <w:color w:val="auto"/>
          <w:spacing w:val="6"/>
          <w:sz w:val="30"/>
          <w:szCs w:val="30"/>
          <w:highlight w:val="none"/>
        </w:rPr>
      </w:pPr>
    </w:p>
    <w:p w14:paraId="5D4F1C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4CEC7C1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4FC1236">
      <w:pPr>
        <w:spacing w:line="360" w:lineRule="auto"/>
        <w:ind w:firstLine="480" w:firstLineChars="200"/>
        <w:rPr>
          <w:rFonts w:hint="eastAsia" w:ascii="宋体" w:hAnsi="宋体" w:eastAsia="宋体" w:cs="宋体"/>
          <w:color w:val="auto"/>
          <w:sz w:val="24"/>
          <w:highlight w:val="none"/>
        </w:rPr>
      </w:pPr>
    </w:p>
    <w:p w14:paraId="1F2E2CEE">
      <w:pPr>
        <w:spacing w:line="360" w:lineRule="auto"/>
        <w:ind w:firstLine="480" w:firstLineChars="200"/>
        <w:rPr>
          <w:rFonts w:hint="eastAsia" w:ascii="宋体" w:hAnsi="宋体" w:eastAsia="宋体" w:cs="宋体"/>
          <w:color w:val="auto"/>
          <w:sz w:val="24"/>
          <w:highlight w:val="none"/>
        </w:rPr>
      </w:pPr>
    </w:p>
    <w:p w14:paraId="3F13407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970CBFC">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28A2D384">
      <w:pPr>
        <w:spacing w:line="360" w:lineRule="auto"/>
        <w:ind w:firstLine="480" w:firstLineChars="200"/>
        <w:rPr>
          <w:rFonts w:hint="eastAsia" w:ascii="宋体" w:hAnsi="宋体" w:eastAsia="宋体" w:cs="宋体"/>
          <w:color w:val="auto"/>
          <w:sz w:val="24"/>
          <w:highlight w:val="none"/>
        </w:rPr>
      </w:pPr>
    </w:p>
    <w:p w14:paraId="7E57B263">
      <w:pPr>
        <w:spacing w:line="360" w:lineRule="auto"/>
        <w:ind w:firstLine="420" w:firstLineChars="200"/>
        <w:rPr>
          <w:rFonts w:hint="eastAsia" w:ascii="宋体" w:hAnsi="宋体" w:eastAsia="宋体" w:cs="宋体"/>
          <w:color w:val="auto"/>
          <w:highlight w:val="none"/>
        </w:rPr>
      </w:pPr>
    </w:p>
    <w:p w14:paraId="05461EC3">
      <w:pPr>
        <w:spacing w:line="360" w:lineRule="auto"/>
        <w:ind w:firstLine="420" w:firstLineChars="200"/>
        <w:rPr>
          <w:rFonts w:hint="eastAsia" w:ascii="宋体" w:hAnsi="宋体" w:eastAsia="宋体" w:cs="宋体"/>
          <w:color w:val="auto"/>
          <w:highlight w:val="none"/>
        </w:rPr>
      </w:pPr>
    </w:p>
    <w:p w14:paraId="7232D583">
      <w:pPr>
        <w:spacing w:line="360" w:lineRule="auto"/>
        <w:ind w:firstLine="420" w:firstLineChars="200"/>
        <w:rPr>
          <w:rFonts w:hint="eastAsia" w:ascii="宋体" w:hAnsi="宋体" w:eastAsia="宋体" w:cs="宋体"/>
          <w:color w:val="auto"/>
          <w:highlight w:val="none"/>
        </w:rPr>
      </w:pPr>
    </w:p>
    <w:p w14:paraId="78C59FE2">
      <w:pPr>
        <w:spacing w:line="360" w:lineRule="auto"/>
        <w:ind w:firstLine="420" w:firstLineChars="200"/>
        <w:rPr>
          <w:rFonts w:hint="eastAsia" w:ascii="宋体" w:hAnsi="宋体" w:eastAsia="宋体" w:cs="宋体"/>
          <w:color w:val="auto"/>
          <w:highlight w:val="none"/>
        </w:rPr>
      </w:pPr>
    </w:p>
    <w:p w14:paraId="3082419F">
      <w:pPr>
        <w:spacing w:line="360" w:lineRule="auto"/>
        <w:rPr>
          <w:rFonts w:hint="eastAsia" w:ascii="宋体" w:hAnsi="宋体" w:eastAsia="宋体" w:cs="宋体"/>
          <w:b/>
          <w:color w:val="auto"/>
          <w:sz w:val="24"/>
          <w:highlight w:val="none"/>
        </w:rPr>
      </w:pPr>
    </w:p>
    <w:p w14:paraId="2E4AA90C">
      <w:pPr>
        <w:spacing w:line="360" w:lineRule="auto"/>
        <w:rPr>
          <w:rFonts w:hint="eastAsia" w:ascii="宋体" w:hAnsi="宋体" w:eastAsia="宋体" w:cs="宋体"/>
          <w:b/>
          <w:color w:val="auto"/>
          <w:sz w:val="24"/>
          <w:highlight w:val="none"/>
        </w:rPr>
      </w:pPr>
    </w:p>
    <w:p w14:paraId="0D410283">
      <w:pPr>
        <w:spacing w:line="360" w:lineRule="auto"/>
        <w:rPr>
          <w:rFonts w:hint="eastAsia" w:ascii="宋体" w:hAnsi="宋体" w:eastAsia="宋体" w:cs="宋体"/>
          <w:b/>
          <w:color w:val="auto"/>
          <w:sz w:val="24"/>
          <w:highlight w:val="none"/>
        </w:rPr>
      </w:pPr>
    </w:p>
    <w:p w14:paraId="71A58DD3">
      <w:pPr>
        <w:spacing w:line="360" w:lineRule="auto"/>
        <w:rPr>
          <w:rFonts w:hint="eastAsia" w:ascii="宋体" w:hAnsi="宋体" w:eastAsia="宋体" w:cs="宋体"/>
          <w:b/>
          <w:color w:val="auto"/>
          <w:sz w:val="24"/>
          <w:highlight w:val="none"/>
        </w:rPr>
      </w:pPr>
    </w:p>
    <w:p w14:paraId="51263BB9">
      <w:pPr>
        <w:spacing w:line="360" w:lineRule="auto"/>
        <w:rPr>
          <w:rFonts w:hint="eastAsia" w:ascii="宋体" w:hAnsi="宋体" w:eastAsia="宋体" w:cs="宋体"/>
          <w:b/>
          <w:color w:val="auto"/>
          <w:sz w:val="24"/>
          <w:highlight w:val="none"/>
        </w:rPr>
      </w:pPr>
    </w:p>
    <w:p w14:paraId="530A055C">
      <w:pPr>
        <w:spacing w:line="360" w:lineRule="auto"/>
        <w:rPr>
          <w:rFonts w:hint="eastAsia" w:ascii="宋体" w:hAnsi="宋体" w:eastAsia="宋体" w:cs="宋体"/>
          <w:b/>
          <w:color w:val="auto"/>
          <w:sz w:val="24"/>
          <w:highlight w:val="none"/>
        </w:rPr>
      </w:pPr>
    </w:p>
    <w:p w14:paraId="19F68ADE">
      <w:pPr>
        <w:spacing w:line="360" w:lineRule="auto"/>
        <w:rPr>
          <w:rFonts w:hint="eastAsia" w:ascii="宋体" w:hAnsi="宋体" w:eastAsia="宋体" w:cs="宋体"/>
          <w:b/>
          <w:color w:val="auto"/>
          <w:sz w:val="24"/>
          <w:highlight w:val="none"/>
        </w:rPr>
      </w:pPr>
    </w:p>
    <w:p w14:paraId="6B9D612F">
      <w:pPr>
        <w:spacing w:line="360" w:lineRule="auto"/>
        <w:rPr>
          <w:rFonts w:hint="eastAsia" w:ascii="宋体" w:hAnsi="宋体" w:eastAsia="宋体" w:cs="宋体"/>
          <w:b/>
          <w:color w:val="auto"/>
          <w:sz w:val="24"/>
          <w:highlight w:val="none"/>
        </w:rPr>
      </w:pPr>
    </w:p>
    <w:p w14:paraId="3E7BD32A">
      <w:pPr>
        <w:spacing w:line="360" w:lineRule="auto"/>
        <w:rPr>
          <w:rFonts w:hint="eastAsia" w:ascii="宋体" w:hAnsi="宋体" w:eastAsia="宋体" w:cs="宋体"/>
          <w:b/>
          <w:color w:val="auto"/>
          <w:sz w:val="24"/>
          <w:highlight w:val="none"/>
        </w:rPr>
      </w:pPr>
    </w:p>
    <w:p w14:paraId="4B2BCAD7">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5021F137">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26EFB246">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1CE9E40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7408113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64F6604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8B8AB5A">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49D51D0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7E6141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76B4C75F">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2945628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20FFACA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E474AB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F4FE1E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7C4E81C8">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3FE51514">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20B7652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DFECA4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21AD0D2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62BE58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612F412">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5B7F1CE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11D0A67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2D6DDA1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7B0872D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34B834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2E020319">
      <w:pPr>
        <w:spacing w:line="360" w:lineRule="auto"/>
        <w:jc w:val="center"/>
        <w:rPr>
          <w:rFonts w:hint="eastAsia" w:ascii="宋体" w:hAnsi="宋体" w:eastAsia="宋体" w:cs="宋体"/>
          <w:b/>
          <w:bCs/>
          <w:color w:val="auto"/>
          <w:sz w:val="24"/>
          <w:highlight w:val="none"/>
        </w:rPr>
      </w:pPr>
    </w:p>
    <w:p w14:paraId="0883CED0">
      <w:pPr>
        <w:spacing w:line="360" w:lineRule="auto"/>
        <w:rPr>
          <w:rFonts w:hint="eastAsia" w:ascii="宋体" w:hAnsi="宋体" w:eastAsia="宋体" w:cs="宋体"/>
          <w:b/>
          <w:color w:val="auto"/>
          <w:sz w:val="24"/>
          <w:highlight w:val="none"/>
        </w:rPr>
      </w:pPr>
    </w:p>
    <w:p w14:paraId="6CBD26EC">
      <w:pPr>
        <w:spacing w:line="360" w:lineRule="auto"/>
        <w:rPr>
          <w:rFonts w:hint="eastAsia" w:ascii="宋体" w:hAnsi="宋体" w:eastAsia="宋体" w:cs="宋体"/>
          <w:b/>
          <w:color w:val="auto"/>
          <w:sz w:val="24"/>
          <w:highlight w:val="none"/>
        </w:rPr>
      </w:pPr>
    </w:p>
    <w:p w14:paraId="114656B7">
      <w:pPr>
        <w:spacing w:line="360" w:lineRule="auto"/>
        <w:rPr>
          <w:rFonts w:hint="eastAsia" w:ascii="宋体" w:hAnsi="宋体" w:eastAsia="宋体" w:cs="宋体"/>
          <w:b/>
          <w:color w:val="auto"/>
          <w:sz w:val="24"/>
          <w:highlight w:val="none"/>
        </w:rPr>
      </w:pPr>
    </w:p>
    <w:p w14:paraId="1383115A">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7EA9BCB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31FFB38E">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2BFEF60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166505D6">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56F7256A">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040D843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AD3FDD7">
      <w:pPr>
        <w:widowControl/>
        <w:spacing w:line="360" w:lineRule="auto"/>
        <w:ind w:firstLine="600" w:firstLineChars="200"/>
        <w:jc w:val="left"/>
        <w:rPr>
          <w:rFonts w:hint="eastAsia" w:ascii="宋体" w:hAnsi="宋体" w:eastAsia="宋体" w:cs="宋体"/>
          <w:color w:val="auto"/>
          <w:sz w:val="30"/>
          <w:szCs w:val="30"/>
          <w:highlight w:val="none"/>
        </w:rPr>
      </w:pPr>
    </w:p>
    <w:p w14:paraId="3729F919">
      <w:pPr>
        <w:spacing w:line="360" w:lineRule="auto"/>
        <w:jc w:val="center"/>
        <w:rPr>
          <w:rFonts w:hint="eastAsia" w:ascii="宋体" w:hAnsi="宋体" w:eastAsia="宋体" w:cs="宋体"/>
          <w:b/>
          <w:color w:val="auto"/>
          <w:spacing w:val="6"/>
          <w:sz w:val="32"/>
          <w:szCs w:val="32"/>
          <w:highlight w:val="none"/>
        </w:rPr>
      </w:pPr>
    </w:p>
    <w:p w14:paraId="67B03156">
      <w:pPr>
        <w:spacing w:line="360" w:lineRule="auto"/>
        <w:jc w:val="center"/>
        <w:rPr>
          <w:rFonts w:hint="eastAsia" w:ascii="宋体" w:hAnsi="宋体" w:eastAsia="宋体" w:cs="宋体"/>
          <w:b/>
          <w:color w:val="auto"/>
          <w:spacing w:val="6"/>
          <w:sz w:val="32"/>
          <w:szCs w:val="32"/>
          <w:highlight w:val="none"/>
        </w:rPr>
      </w:pPr>
    </w:p>
    <w:p w14:paraId="08A9DDA1">
      <w:pPr>
        <w:spacing w:line="360" w:lineRule="auto"/>
        <w:jc w:val="center"/>
        <w:rPr>
          <w:rFonts w:hint="eastAsia" w:ascii="宋体" w:hAnsi="宋体" w:eastAsia="宋体" w:cs="宋体"/>
          <w:b/>
          <w:color w:val="auto"/>
          <w:spacing w:val="6"/>
          <w:sz w:val="32"/>
          <w:szCs w:val="32"/>
          <w:highlight w:val="none"/>
        </w:rPr>
      </w:pPr>
    </w:p>
    <w:p w14:paraId="29E6C74A">
      <w:pPr>
        <w:spacing w:line="360" w:lineRule="auto"/>
        <w:jc w:val="center"/>
        <w:rPr>
          <w:rFonts w:hint="eastAsia" w:ascii="宋体" w:hAnsi="宋体" w:eastAsia="宋体" w:cs="宋体"/>
          <w:b/>
          <w:color w:val="auto"/>
          <w:spacing w:val="6"/>
          <w:sz w:val="32"/>
          <w:szCs w:val="32"/>
          <w:highlight w:val="none"/>
        </w:rPr>
      </w:pPr>
    </w:p>
    <w:p w14:paraId="6DED915D">
      <w:pPr>
        <w:spacing w:line="360" w:lineRule="auto"/>
        <w:jc w:val="center"/>
        <w:rPr>
          <w:rFonts w:hint="eastAsia" w:ascii="宋体" w:hAnsi="宋体" w:eastAsia="宋体" w:cs="宋体"/>
          <w:b/>
          <w:color w:val="auto"/>
          <w:spacing w:val="6"/>
          <w:sz w:val="32"/>
          <w:szCs w:val="32"/>
          <w:highlight w:val="none"/>
        </w:rPr>
      </w:pPr>
    </w:p>
    <w:p w14:paraId="51C1654E">
      <w:pPr>
        <w:spacing w:line="360" w:lineRule="auto"/>
        <w:jc w:val="center"/>
        <w:rPr>
          <w:rFonts w:hint="eastAsia" w:ascii="宋体" w:hAnsi="宋体" w:eastAsia="宋体" w:cs="宋体"/>
          <w:b/>
          <w:color w:val="auto"/>
          <w:spacing w:val="6"/>
          <w:sz w:val="32"/>
          <w:szCs w:val="32"/>
          <w:highlight w:val="none"/>
        </w:rPr>
      </w:pPr>
    </w:p>
    <w:p w14:paraId="4705B220">
      <w:pPr>
        <w:spacing w:line="360" w:lineRule="auto"/>
        <w:jc w:val="center"/>
        <w:rPr>
          <w:rFonts w:hint="eastAsia" w:ascii="宋体" w:hAnsi="宋体" w:eastAsia="宋体" w:cs="宋体"/>
          <w:b/>
          <w:color w:val="auto"/>
          <w:spacing w:val="6"/>
          <w:sz w:val="32"/>
          <w:szCs w:val="32"/>
          <w:highlight w:val="none"/>
        </w:rPr>
      </w:pPr>
    </w:p>
    <w:p w14:paraId="3AE46C9E">
      <w:pPr>
        <w:spacing w:line="360" w:lineRule="auto"/>
        <w:jc w:val="center"/>
        <w:rPr>
          <w:rFonts w:hint="eastAsia" w:ascii="宋体" w:hAnsi="宋体" w:eastAsia="宋体" w:cs="宋体"/>
          <w:b/>
          <w:color w:val="auto"/>
          <w:spacing w:val="6"/>
          <w:sz w:val="32"/>
          <w:szCs w:val="32"/>
          <w:highlight w:val="none"/>
        </w:rPr>
      </w:pPr>
    </w:p>
    <w:p w14:paraId="7A0904FE">
      <w:pPr>
        <w:spacing w:line="360" w:lineRule="auto"/>
        <w:jc w:val="center"/>
        <w:rPr>
          <w:rFonts w:hint="eastAsia" w:ascii="宋体" w:hAnsi="宋体" w:eastAsia="宋体" w:cs="宋体"/>
          <w:b/>
          <w:color w:val="auto"/>
          <w:spacing w:val="6"/>
          <w:sz w:val="32"/>
          <w:szCs w:val="32"/>
          <w:highlight w:val="none"/>
        </w:rPr>
      </w:pPr>
    </w:p>
    <w:p w14:paraId="58B6B2ED">
      <w:pPr>
        <w:spacing w:line="360" w:lineRule="auto"/>
        <w:jc w:val="center"/>
        <w:rPr>
          <w:rFonts w:hint="eastAsia" w:ascii="宋体" w:hAnsi="宋体" w:eastAsia="宋体" w:cs="宋体"/>
          <w:b/>
          <w:color w:val="auto"/>
          <w:spacing w:val="6"/>
          <w:sz w:val="32"/>
          <w:szCs w:val="32"/>
          <w:highlight w:val="none"/>
        </w:rPr>
      </w:pPr>
    </w:p>
    <w:p w14:paraId="5CBC75D0">
      <w:pPr>
        <w:spacing w:line="360" w:lineRule="auto"/>
        <w:jc w:val="center"/>
        <w:rPr>
          <w:rFonts w:hint="eastAsia" w:ascii="宋体" w:hAnsi="宋体" w:eastAsia="宋体" w:cs="宋体"/>
          <w:b/>
          <w:color w:val="auto"/>
          <w:spacing w:val="6"/>
          <w:sz w:val="32"/>
          <w:szCs w:val="32"/>
          <w:highlight w:val="none"/>
        </w:rPr>
      </w:pPr>
    </w:p>
    <w:p w14:paraId="5C719C49">
      <w:pPr>
        <w:spacing w:line="360" w:lineRule="auto"/>
        <w:jc w:val="center"/>
        <w:rPr>
          <w:rFonts w:hint="eastAsia" w:ascii="宋体" w:hAnsi="宋体" w:eastAsia="宋体" w:cs="宋体"/>
          <w:b/>
          <w:color w:val="auto"/>
          <w:spacing w:val="6"/>
          <w:sz w:val="32"/>
          <w:szCs w:val="32"/>
          <w:highlight w:val="none"/>
        </w:rPr>
      </w:pPr>
    </w:p>
    <w:p w14:paraId="7EBC6049">
      <w:pPr>
        <w:spacing w:line="360" w:lineRule="auto"/>
        <w:jc w:val="left"/>
        <w:rPr>
          <w:rFonts w:hint="eastAsia" w:ascii="宋体" w:hAnsi="宋体" w:eastAsia="宋体" w:cs="宋体"/>
          <w:b/>
          <w:color w:val="auto"/>
          <w:spacing w:val="6"/>
          <w:sz w:val="32"/>
          <w:szCs w:val="32"/>
          <w:highlight w:val="none"/>
        </w:rPr>
      </w:pPr>
    </w:p>
    <w:p w14:paraId="7CB5A4B3">
      <w:pPr>
        <w:spacing w:line="360" w:lineRule="auto"/>
        <w:jc w:val="left"/>
        <w:rPr>
          <w:rFonts w:hint="eastAsia" w:ascii="宋体" w:hAnsi="宋体" w:eastAsia="宋体" w:cs="宋体"/>
          <w:b/>
          <w:color w:val="auto"/>
          <w:spacing w:val="6"/>
          <w:sz w:val="32"/>
          <w:szCs w:val="32"/>
          <w:highlight w:val="none"/>
        </w:rPr>
      </w:pPr>
    </w:p>
    <w:p w14:paraId="66E1CD94">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44DAC687">
      <w:pPr>
        <w:spacing w:line="360" w:lineRule="auto"/>
        <w:jc w:val="center"/>
        <w:rPr>
          <w:rFonts w:hint="eastAsia" w:ascii="宋体" w:hAnsi="宋体" w:eastAsia="宋体" w:cs="宋体"/>
          <w:b/>
          <w:color w:val="auto"/>
          <w:sz w:val="24"/>
          <w:highlight w:val="none"/>
        </w:rPr>
      </w:pPr>
    </w:p>
    <w:p w14:paraId="7E5CE68C">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4E1BA06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5A64BC1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5A9E2D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0EAB9C">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78D6ECA">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6BA43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0F42C3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5318449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CAFF187">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C90CD0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312E8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2F61D67C">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4BDA7B9">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F5384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1C0294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615F8C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37DDDA2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33E1D5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3A5E728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DCCE75B">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6F894AE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CFDCB3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7BE6DF2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A031EA4">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9B56AC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E50C475">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0513C04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F66E79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19CCA1E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1450A7D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EF3E53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7D81017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224A3A1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6CAC2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04EC3D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306F3E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720014F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770E547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2F6CB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40DD50EA">
      <w:pPr>
        <w:spacing w:line="360" w:lineRule="auto"/>
        <w:rPr>
          <w:rFonts w:hint="eastAsia" w:ascii="宋体" w:hAnsi="宋体" w:eastAsia="宋体" w:cs="宋体"/>
          <w:b/>
          <w:color w:val="auto"/>
          <w:sz w:val="24"/>
          <w:highlight w:val="none"/>
        </w:rPr>
      </w:pPr>
    </w:p>
    <w:p w14:paraId="46E415AD">
      <w:pPr>
        <w:spacing w:line="360" w:lineRule="auto"/>
        <w:rPr>
          <w:rFonts w:hint="eastAsia" w:ascii="宋体" w:hAnsi="宋体" w:eastAsia="宋体" w:cs="宋体"/>
          <w:b/>
          <w:color w:val="auto"/>
          <w:sz w:val="24"/>
          <w:highlight w:val="none"/>
        </w:rPr>
      </w:pPr>
    </w:p>
    <w:p w14:paraId="6EB82BE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74B58D6C">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2468063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EAD4F4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5E497E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431D127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2592FD9">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78406F0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68371793">
      <w:pPr>
        <w:spacing w:line="360" w:lineRule="auto"/>
        <w:rPr>
          <w:rFonts w:hint="eastAsia" w:ascii="宋体" w:hAnsi="宋体" w:eastAsia="宋体" w:cs="宋体"/>
          <w:b/>
          <w:color w:val="auto"/>
          <w:sz w:val="24"/>
          <w:highlight w:val="none"/>
        </w:rPr>
      </w:pPr>
    </w:p>
    <w:p w14:paraId="58A58A8F">
      <w:pPr>
        <w:autoSpaceDE w:val="0"/>
        <w:autoSpaceDN w:val="0"/>
        <w:jc w:val="center"/>
        <w:rPr>
          <w:rFonts w:hint="eastAsia" w:ascii="宋体" w:hAnsi="宋体" w:eastAsia="宋体" w:cs="宋体"/>
          <w:b/>
          <w:color w:val="auto"/>
          <w:spacing w:val="6"/>
          <w:sz w:val="32"/>
          <w:szCs w:val="32"/>
          <w:highlight w:val="none"/>
        </w:rPr>
      </w:pPr>
    </w:p>
    <w:p w14:paraId="77821828">
      <w:pPr>
        <w:autoSpaceDE w:val="0"/>
        <w:autoSpaceDN w:val="0"/>
        <w:jc w:val="center"/>
        <w:rPr>
          <w:rFonts w:hint="eastAsia" w:ascii="宋体" w:hAnsi="宋体" w:eastAsia="宋体" w:cs="宋体"/>
          <w:b/>
          <w:color w:val="auto"/>
          <w:spacing w:val="6"/>
          <w:sz w:val="32"/>
          <w:szCs w:val="32"/>
          <w:highlight w:val="none"/>
        </w:rPr>
      </w:pPr>
    </w:p>
    <w:p w14:paraId="505736C8">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BFF83CA">
      <w:pPr>
        <w:spacing w:line="360" w:lineRule="auto"/>
        <w:rPr>
          <w:rFonts w:hint="eastAsia" w:ascii="宋体" w:hAnsi="宋体" w:eastAsia="宋体" w:cs="宋体"/>
          <w:color w:val="auto"/>
          <w:sz w:val="24"/>
          <w:highlight w:val="none"/>
          <w:u w:val="single"/>
        </w:rPr>
      </w:pPr>
    </w:p>
    <w:p w14:paraId="7533F80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4A89F4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5DAAE83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02EA1DF0">
      <w:pPr>
        <w:spacing w:line="360" w:lineRule="auto"/>
        <w:ind w:firstLine="494"/>
        <w:rPr>
          <w:rFonts w:hint="eastAsia" w:ascii="宋体" w:hAnsi="宋体" w:eastAsia="宋体" w:cs="宋体"/>
          <w:color w:val="auto"/>
          <w:sz w:val="24"/>
          <w:highlight w:val="none"/>
        </w:rPr>
      </w:pPr>
    </w:p>
    <w:p w14:paraId="65E8E43A">
      <w:pPr>
        <w:spacing w:line="360" w:lineRule="auto"/>
        <w:ind w:firstLine="494"/>
        <w:rPr>
          <w:rFonts w:hint="eastAsia" w:ascii="宋体" w:hAnsi="宋体" w:eastAsia="宋体" w:cs="宋体"/>
          <w:color w:val="auto"/>
          <w:sz w:val="24"/>
          <w:highlight w:val="none"/>
        </w:rPr>
      </w:pPr>
    </w:p>
    <w:p w14:paraId="0EAC68A5">
      <w:pPr>
        <w:spacing w:line="360" w:lineRule="auto"/>
        <w:ind w:firstLine="494"/>
        <w:rPr>
          <w:rFonts w:hint="eastAsia" w:ascii="宋体" w:hAnsi="宋体" w:eastAsia="宋体" w:cs="宋体"/>
          <w:color w:val="auto"/>
          <w:sz w:val="24"/>
          <w:highlight w:val="none"/>
        </w:rPr>
      </w:pPr>
    </w:p>
    <w:p w14:paraId="77DEFD48">
      <w:pPr>
        <w:spacing w:line="360" w:lineRule="auto"/>
        <w:ind w:firstLine="494"/>
        <w:rPr>
          <w:rFonts w:hint="eastAsia" w:ascii="宋体" w:hAnsi="宋体" w:eastAsia="宋体" w:cs="宋体"/>
          <w:color w:val="auto"/>
          <w:sz w:val="24"/>
          <w:highlight w:val="none"/>
        </w:rPr>
      </w:pPr>
    </w:p>
    <w:p w14:paraId="10FE43BA">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7FA1AFC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3CF517AA">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58163F17">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A2B3AD">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3DA2B3AD">
                      <w:pPr>
                        <w:jc w:val="center"/>
                      </w:pPr>
                    </w:p>
                  </w:txbxContent>
                </v:textbox>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184B75">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57184B75">
                      <w:pPr>
                        <w:jc w:val="center"/>
                      </w:pPr>
                    </w:p>
                  </w:txbxContent>
                </v:textbox>
              </v:rect>
            </w:pict>
          </mc:Fallback>
        </mc:AlternateContent>
      </w:r>
      <w:r>
        <w:rPr>
          <w:rFonts w:hint="eastAsia" w:ascii="宋体" w:hAnsi="宋体" w:eastAsia="宋体" w:cs="宋体"/>
          <w:color w:val="auto"/>
          <w:sz w:val="24"/>
          <w:highlight w:val="none"/>
        </w:rPr>
        <w:t>投标单位法定名称章（印模）                投标单位“XX专用章”（印模）</w:t>
      </w:r>
    </w:p>
    <w:p w14:paraId="671EB6C2">
      <w:pPr>
        <w:autoSpaceDE w:val="0"/>
        <w:autoSpaceDN w:val="0"/>
        <w:jc w:val="center"/>
        <w:rPr>
          <w:rFonts w:hint="eastAsia" w:ascii="宋体" w:hAnsi="宋体" w:eastAsia="宋体" w:cs="宋体"/>
          <w:b/>
          <w:color w:val="auto"/>
          <w:spacing w:val="6"/>
          <w:sz w:val="32"/>
          <w:szCs w:val="32"/>
          <w:highlight w:val="none"/>
        </w:rPr>
      </w:pPr>
    </w:p>
    <w:p w14:paraId="0E730B19">
      <w:pPr>
        <w:autoSpaceDE w:val="0"/>
        <w:autoSpaceDN w:val="0"/>
        <w:jc w:val="center"/>
        <w:rPr>
          <w:rFonts w:hint="eastAsia" w:ascii="宋体" w:hAnsi="宋体" w:eastAsia="宋体" w:cs="宋体"/>
          <w:b/>
          <w:color w:val="auto"/>
          <w:spacing w:val="6"/>
          <w:sz w:val="32"/>
          <w:szCs w:val="32"/>
          <w:highlight w:val="none"/>
        </w:rPr>
      </w:pPr>
    </w:p>
    <w:p w14:paraId="46B1700E">
      <w:pPr>
        <w:autoSpaceDE w:val="0"/>
        <w:autoSpaceDN w:val="0"/>
        <w:jc w:val="center"/>
        <w:rPr>
          <w:rFonts w:hint="eastAsia" w:ascii="宋体" w:hAnsi="宋体" w:eastAsia="宋体" w:cs="宋体"/>
          <w:b/>
          <w:color w:val="auto"/>
          <w:spacing w:val="6"/>
          <w:sz w:val="32"/>
          <w:szCs w:val="32"/>
          <w:highlight w:val="none"/>
        </w:rPr>
      </w:pPr>
    </w:p>
    <w:p w14:paraId="7AAF8BC4">
      <w:pPr>
        <w:autoSpaceDE w:val="0"/>
        <w:autoSpaceDN w:val="0"/>
        <w:jc w:val="center"/>
        <w:rPr>
          <w:rFonts w:hint="eastAsia" w:ascii="宋体" w:hAnsi="宋体" w:eastAsia="宋体" w:cs="宋体"/>
          <w:b/>
          <w:color w:val="auto"/>
          <w:spacing w:val="6"/>
          <w:sz w:val="32"/>
          <w:szCs w:val="32"/>
          <w:highlight w:val="none"/>
        </w:rPr>
      </w:pPr>
    </w:p>
    <w:p w14:paraId="39FCE61B">
      <w:pPr>
        <w:autoSpaceDE w:val="0"/>
        <w:autoSpaceDN w:val="0"/>
        <w:jc w:val="center"/>
        <w:rPr>
          <w:rFonts w:hint="eastAsia" w:ascii="宋体" w:hAnsi="宋体" w:eastAsia="宋体" w:cs="宋体"/>
          <w:b/>
          <w:color w:val="auto"/>
          <w:spacing w:val="6"/>
          <w:sz w:val="32"/>
          <w:szCs w:val="32"/>
          <w:highlight w:val="none"/>
        </w:rPr>
      </w:pPr>
    </w:p>
    <w:p w14:paraId="63D475D0">
      <w:pPr>
        <w:autoSpaceDE w:val="0"/>
        <w:autoSpaceDN w:val="0"/>
        <w:jc w:val="center"/>
        <w:rPr>
          <w:rFonts w:hint="eastAsia" w:ascii="宋体" w:hAnsi="宋体" w:eastAsia="宋体" w:cs="宋体"/>
          <w:b/>
          <w:color w:val="auto"/>
          <w:spacing w:val="6"/>
          <w:sz w:val="32"/>
          <w:szCs w:val="32"/>
          <w:highlight w:val="none"/>
        </w:rPr>
      </w:pPr>
    </w:p>
    <w:p w14:paraId="7A62ACA3">
      <w:pPr>
        <w:autoSpaceDE w:val="0"/>
        <w:autoSpaceDN w:val="0"/>
        <w:jc w:val="center"/>
        <w:rPr>
          <w:rFonts w:hint="eastAsia" w:ascii="宋体" w:hAnsi="宋体" w:eastAsia="宋体" w:cs="宋体"/>
          <w:b/>
          <w:color w:val="auto"/>
          <w:spacing w:val="6"/>
          <w:sz w:val="32"/>
          <w:szCs w:val="32"/>
          <w:highlight w:val="none"/>
        </w:rPr>
      </w:pPr>
    </w:p>
    <w:p w14:paraId="098F2C7C">
      <w:pPr>
        <w:autoSpaceDE w:val="0"/>
        <w:autoSpaceDN w:val="0"/>
        <w:jc w:val="center"/>
        <w:rPr>
          <w:rFonts w:hint="eastAsia" w:ascii="宋体" w:hAnsi="宋体" w:eastAsia="宋体" w:cs="宋体"/>
          <w:b/>
          <w:color w:val="auto"/>
          <w:spacing w:val="6"/>
          <w:sz w:val="32"/>
          <w:szCs w:val="32"/>
          <w:highlight w:val="none"/>
        </w:rPr>
      </w:pPr>
    </w:p>
    <w:p w14:paraId="7750C523">
      <w:pPr>
        <w:autoSpaceDE w:val="0"/>
        <w:autoSpaceDN w:val="0"/>
        <w:jc w:val="center"/>
        <w:rPr>
          <w:rFonts w:hint="eastAsia" w:ascii="宋体" w:hAnsi="宋体" w:eastAsia="宋体" w:cs="宋体"/>
          <w:b/>
          <w:color w:val="auto"/>
          <w:spacing w:val="6"/>
          <w:sz w:val="32"/>
          <w:szCs w:val="32"/>
          <w:highlight w:val="none"/>
        </w:rPr>
      </w:pPr>
    </w:p>
    <w:p w14:paraId="34F78486">
      <w:pPr>
        <w:autoSpaceDE w:val="0"/>
        <w:autoSpaceDN w:val="0"/>
        <w:jc w:val="center"/>
        <w:rPr>
          <w:rFonts w:hint="eastAsia" w:ascii="宋体" w:hAnsi="宋体" w:eastAsia="宋体" w:cs="宋体"/>
          <w:b/>
          <w:color w:val="auto"/>
          <w:spacing w:val="6"/>
          <w:sz w:val="32"/>
          <w:szCs w:val="32"/>
          <w:highlight w:val="none"/>
        </w:rPr>
      </w:pPr>
    </w:p>
    <w:p w14:paraId="4D35A5CF">
      <w:pPr>
        <w:autoSpaceDE w:val="0"/>
        <w:autoSpaceDN w:val="0"/>
        <w:jc w:val="center"/>
        <w:rPr>
          <w:rFonts w:hint="eastAsia" w:ascii="宋体" w:hAnsi="宋体" w:eastAsia="宋体" w:cs="宋体"/>
          <w:b/>
          <w:color w:val="auto"/>
          <w:spacing w:val="6"/>
          <w:sz w:val="32"/>
          <w:szCs w:val="32"/>
          <w:highlight w:val="none"/>
        </w:rPr>
      </w:pPr>
    </w:p>
    <w:p w14:paraId="7F3553E9">
      <w:pPr>
        <w:autoSpaceDE w:val="0"/>
        <w:autoSpaceDN w:val="0"/>
        <w:jc w:val="center"/>
        <w:rPr>
          <w:rFonts w:hint="eastAsia" w:ascii="宋体" w:hAnsi="宋体" w:eastAsia="宋体" w:cs="宋体"/>
          <w:b/>
          <w:color w:val="auto"/>
          <w:spacing w:val="6"/>
          <w:sz w:val="32"/>
          <w:szCs w:val="32"/>
          <w:highlight w:val="none"/>
        </w:rPr>
      </w:pPr>
    </w:p>
    <w:p w14:paraId="2A969C51">
      <w:pPr>
        <w:autoSpaceDE w:val="0"/>
        <w:autoSpaceDN w:val="0"/>
        <w:jc w:val="center"/>
        <w:rPr>
          <w:rFonts w:hint="eastAsia" w:ascii="宋体" w:hAnsi="宋体" w:eastAsia="宋体" w:cs="宋体"/>
          <w:b/>
          <w:color w:val="auto"/>
          <w:spacing w:val="6"/>
          <w:sz w:val="32"/>
          <w:szCs w:val="32"/>
          <w:highlight w:val="none"/>
        </w:rPr>
      </w:pPr>
    </w:p>
    <w:p w14:paraId="2BC20A05">
      <w:pPr>
        <w:autoSpaceDE w:val="0"/>
        <w:autoSpaceDN w:val="0"/>
        <w:jc w:val="center"/>
        <w:rPr>
          <w:rFonts w:hint="eastAsia" w:ascii="宋体" w:hAnsi="宋体" w:eastAsia="宋体" w:cs="宋体"/>
          <w:b/>
          <w:color w:val="auto"/>
          <w:spacing w:val="6"/>
          <w:sz w:val="32"/>
          <w:szCs w:val="32"/>
          <w:highlight w:val="none"/>
        </w:rPr>
      </w:pPr>
    </w:p>
    <w:p w14:paraId="7BFA56D8">
      <w:pPr>
        <w:autoSpaceDE w:val="0"/>
        <w:autoSpaceDN w:val="0"/>
        <w:jc w:val="center"/>
        <w:rPr>
          <w:rFonts w:hint="eastAsia" w:ascii="宋体" w:hAnsi="宋体" w:eastAsia="宋体" w:cs="宋体"/>
          <w:b/>
          <w:color w:val="auto"/>
          <w:spacing w:val="6"/>
          <w:sz w:val="32"/>
          <w:szCs w:val="32"/>
          <w:highlight w:val="none"/>
        </w:rPr>
      </w:pPr>
    </w:p>
    <w:p w14:paraId="35A18766">
      <w:pPr>
        <w:autoSpaceDE w:val="0"/>
        <w:autoSpaceDN w:val="0"/>
        <w:jc w:val="center"/>
        <w:rPr>
          <w:rFonts w:hint="eastAsia" w:ascii="宋体" w:hAnsi="宋体" w:eastAsia="宋体" w:cs="宋体"/>
          <w:b/>
          <w:color w:val="auto"/>
          <w:spacing w:val="6"/>
          <w:sz w:val="32"/>
          <w:szCs w:val="32"/>
          <w:highlight w:val="none"/>
        </w:rPr>
      </w:pPr>
    </w:p>
    <w:p w14:paraId="3CFC269D">
      <w:pPr>
        <w:autoSpaceDE w:val="0"/>
        <w:autoSpaceDN w:val="0"/>
        <w:jc w:val="center"/>
        <w:rPr>
          <w:rFonts w:hint="eastAsia" w:ascii="宋体" w:hAnsi="宋体" w:eastAsia="宋体" w:cs="宋体"/>
          <w:b/>
          <w:color w:val="auto"/>
          <w:spacing w:val="6"/>
          <w:sz w:val="32"/>
          <w:szCs w:val="32"/>
          <w:highlight w:val="none"/>
        </w:rPr>
      </w:pPr>
    </w:p>
    <w:p w14:paraId="51362E6C">
      <w:pPr>
        <w:autoSpaceDE w:val="0"/>
        <w:autoSpaceDN w:val="0"/>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769F937F">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0851B2D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46182C6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27A05C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138537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3A4591E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9AD8E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7B6A6D1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5DBC8C8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7D21536E">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511" w:name="_Hlk101131882"/>
      <w:r>
        <w:rPr>
          <w:rFonts w:hint="eastAsia" w:ascii="宋体" w:hAnsi="宋体" w:eastAsia="宋体" w:cs="宋体"/>
          <w:color w:val="auto"/>
          <w:kern w:val="0"/>
          <w:sz w:val="24"/>
          <w:highlight w:val="none"/>
          <w:u w:val="single"/>
        </w:rPr>
        <w:t>联合体成员X,……</w:t>
      </w:r>
      <w:bookmarkEnd w:id="511"/>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512" w:name="_Hlk101133598"/>
      <w:r>
        <w:rPr>
          <w:rFonts w:hint="eastAsia" w:ascii="宋体" w:hAnsi="宋体" w:eastAsia="宋体" w:cs="宋体"/>
          <w:b/>
          <w:color w:val="auto"/>
          <w:kern w:val="0"/>
          <w:sz w:val="24"/>
          <w:highlight w:val="none"/>
          <w:lang w:val="zh-CN"/>
        </w:rPr>
        <w:t>未预留份额专门面向中小企业采购</w:t>
      </w:r>
      <w:r>
        <w:rPr>
          <w:rFonts w:hint="default" w:ascii="宋体" w:hAnsi="宋体" w:cs="宋体"/>
          <w:b/>
          <w:color w:val="auto"/>
          <w:kern w:val="0"/>
          <w:sz w:val="24"/>
          <w:highlight w:val="none"/>
        </w:rPr>
        <w:t>的采购</w:t>
      </w:r>
      <w:r>
        <w:rPr>
          <w:rFonts w:hint="eastAsia" w:ascii="宋体" w:hAnsi="宋体" w:eastAsia="宋体" w:cs="宋体"/>
          <w:b/>
          <w:color w:val="auto"/>
          <w:kern w:val="0"/>
          <w:sz w:val="24"/>
          <w:highlight w:val="none"/>
          <w:lang w:val="zh-CN"/>
        </w:rPr>
        <w:t>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512"/>
      <w:r>
        <w:rPr>
          <w:rFonts w:hint="eastAsia" w:ascii="宋体" w:hAnsi="宋体" w:eastAsia="宋体" w:cs="宋体"/>
          <w:b/>
          <w:color w:val="auto"/>
          <w:kern w:val="0"/>
          <w:sz w:val="24"/>
          <w:highlight w:val="none"/>
          <w:lang w:val="zh-CN"/>
        </w:rPr>
        <w:t>）</w:t>
      </w:r>
    </w:p>
    <w:p w14:paraId="4BC3F53E">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513"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513"/>
    </w:p>
    <w:p w14:paraId="55D3DAC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4868B3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47F9BB9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6DB70D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70B818D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3、本协议提交采购人、采购机构后，联合体各方不得以任何形式对上述内容进行修改或撤销。</w:t>
      </w:r>
    </w:p>
    <w:p w14:paraId="1544930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D518BBC">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563B8884">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39E48B3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D09080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1197451">
      <w:pPr>
        <w:autoSpaceDE w:val="0"/>
        <w:autoSpaceDN w:val="0"/>
        <w:jc w:val="center"/>
        <w:rPr>
          <w:rFonts w:hint="eastAsia" w:ascii="宋体" w:hAnsi="宋体" w:eastAsia="宋体" w:cs="宋体"/>
          <w:b/>
          <w:color w:val="auto"/>
          <w:spacing w:val="6"/>
          <w:sz w:val="32"/>
          <w:szCs w:val="32"/>
          <w:highlight w:val="none"/>
        </w:rPr>
      </w:pPr>
    </w:p>
    <w:p w14:paraId="7E52E1AC">
      <w:pPr>
        <w:autoSpaceDE w:val="0"/>
        <w:autoSpaceDN w:val="0"/>
        <w:jc w:val="center"/>
        <w:rPr>
          <w:rFonts w:hint="eastAsia" w:ascii="宋体" w:hAnsi="宋体" w:eastAsia="宋体" w:cs="宋体"/>
          <w:b/>
          <w:color w:val="auto"/>
          <w:spacing w:val="6"/>
          <w:sz w:val="32"/>
          <w:szCs w:val="32"/>
          <w:highlight w:val="none"/>
        </w:rPr>
      </w:pPr>
    </w:p>
    <w:p w14:paraId="35D4B146">
      <w:pPr>
        <w:autoSpaceDE w:val="0"/>
        <w:autoSpaceDN w:val="0"/>
        <w:jc w:val="center"/>
        <w:rPr>
          <w:rFonts w:hint="eastAsia" w:ascii="宋体" w:hAnsi="宋体" w:eastAsia="宋体" w:cs="宋体"/>
          <w:b/>
          <w:color w:val="auto"/>
          <w:spacing w:val="6"/>
          <w:sz w:val="32"/>
          <w:szCs w:val="32"/>
          <w:highlight w:val="none"/>
        </w:rPr>
      </w:pPr>
    </w:p>
    <w:p w14:paraId="66C9D385">
      <w:pPr>
        <w:autoSpaceDE w:val="0"/>
        <w:autoSpaceDN w:val="0"/>
        <w:jc w:val="center"/>
        <w:rPr>
          <w:rFonts w:hint="eastAsia" w:ascii="宋体" w:hAnsi="宋体" w:eastAsia="宋体" w:cs="宋体"/>
          <w:b/>
          <w:color w:val="auto"/>
          <w:spacing w:val="6"/>
          <w:sz w:val="32"/>
          <w:szCs w:val="32"/>
          <w:highlight w:val="none"/>
        </w:rPr>
      </w:pPr>
    </w:p>
    <w:p w14:paraId="47060530">
      <w:pPr>
        <w:autoSpaceDE w:val="0"/>
        <w:autoSpaceDN w:val="0"/>
        <w:jc w:val="center"/>
        <w:rPr>
          <w:rFonts w:hint="eastAsia" w:ascii="宋体" w:hAnsi="宋体" w:eastAsia="宋体" w:cs="宋体"/>
          <w:b/>
          <w:color w:val="auto"/>
          <w:spacing w:val="6"/>
          <w:sz w:val="32"/>
          <w:szCs w:val="32"/>
          <w:highlight w:val="none"/>
        </w:rPr>
      </w:pPr>
    </w:p>
    <w:p w14:paraId="67FE7DE4">
      <w:pPr>
        <w:autoSpaceDE w:val="0"/>
        <w:autoSpaceDN w:val="0"/>
        <w:jc w:val="center"/>
        <w:rPr>
          <w:rFonts w:hint="eastAsia" w:ascii="宋体" w:hAnsi="宋体" w:eastAsia="宋体" w:cs="宋体"/>
          <w:b/>
          <w:color w:val="auto"/>
          <w:spacing w:val="6"/>
          <w:sz w:val="32"/>
          <w:szCs w:val="32"/>
          <w:highlight w:val="none"/>
        </w:rPr>
      </w:pPr>
    </w:p>
    <w:p w14:paraId="044DD2C2">
      <w:pPr>
        <w:autoSpaceDE w:val="0"/>
        <w:autoSpaceDN w:val="0"/>
        <w:jc w:val="center"/>
        <w:rPr>
          <w:rFonts w:hint="eastAsia" w:ascii="宋体" w:hAnsi="宋体" w:eastAsia="宋体" w:cs="宋体"/>
          <w:b/>
          <w:color w:val="auto"/>
          <w:spacing w:val="6"/>
          <w:sz w:val="32"/>
          <w:szCs w:val="32"/>
          <w:highlight w:val="none"/>
        </w:rPr>
      </w:pPr>
    </w:p>
    <w:p w14:paraId="4F6152A1">
      <w:pPr>
        <w:autoSpaceDE w:val="0"/>
        <w:autoSpaceDN w:val="0"/>
        <w:jc w:val="center"/>
        <w:rPr>
          <w:rFonts w:hint="eastAsia" w:ascii="宋体" w:hAnsi="宋体" w:eastAsia="宋体" w:cs="宋体"/>
          <w:b/>
          <w:color w:val="auto"/>
          <w:spacing w:val="6"/>
          <w:sz w:val="32"/>
          <w:szCs w:val="32"/>
          <w:highlight w:val="none"/>
        </w:rPr>
      </w:pPr>
    </w:p>
    <w:p w14:paraId="21CE155C">
      <w:pPr>
        <w:autoSpaceDE w:val="0"/>
        <w:autoSpaceDN w:val="0"/>
        <w:jc w:val="center"/>
        <w:rPr>
          <w:rFonts w:hint="eastAsia" w:ascii="宋体" w:hAnsi="宋体" w:eastAsia="宋体" w:cs="宋体"/>
          <w:b/>
          <w:color w:val="auto"/>
          <w:spacing w:val="6"/>
          <w:sz w:val="32"/>
          <w:szCs w:val="32"/>
          <w:highlight w:val="none"/>
        </w:rPr>
      </w:pPr>
    </w:p>
    <w:p w14:paraId="506AA028">
      <w:pPr>
        <w:autoSpaceDE w:val="0"/>
        <w:autoSpaceDN w:val="0"/>
        <w:jc w:val="center"/>
        <w:rPr>
          <w:rFonts w:hint="eastAsia" w:ascii="宋体" w:hAnsi="宋体" w:eastAsia="宋体" w:cs="宋体"/>
          <w:b/>
          <w:color w:val="auto"/>
          <w:spacing w:val="6"/>
          <w:sz w:val="32"/>
          <w:szCs w:val="32"/>
          <w:highlight w:val="none"/>
        </w:rPr>
      </w:pPr>
    </w:p>
    <w:p w14:paraId="3F1DFCCF">
      <w:pPr>
        <w:autoSpaceDE w:val="0"/>
        <w:autoSpaceDN w:val="0"/>
        <w:jc w:val="center"/>
        <w:rPr>
          <w:rFonts w:hint="eastAsia" w:ascii="宋体" w:hAnsi="宋体" w:eastAsia="宋体" w:cs="宋体"/>
          <w:b/>
          <w:color w:val="auto"/>
          <w:spacing w:val="6"/>
          <w:sz w:val="32"/>
          <w:szCs w:val="32"/>
          <w:highlight w:val="none"/>
        </w:rPr>
      </w:pPr>
    </w:p>
    <w:p w14:paraId="0CBE6F93">
      <w:pPr>
        <w:autoSpaceDE w:val="0"/>
        <w:autoSpaceDN w:val="0"/>
        <w:jc w:val="center"/>
        <w:rPr>
          <w:rFonts w:hint="eastAsia" w:ascii="宋体" w:hAnsi="宋体" w:eastAsia="宋体" w:cs="宋体"/>
          <w:b/>
          <w:color w:val="auto"/>
          <w:spacing w:val="6"/>
          <w:sz w:val="32"/>
          <w:szCs w:val="32"/>
          <w:highlight w:val="none"/>
        </w:rPr>
      </w:pPr>
    </w:p>
    <w:p w14:paraId="7A084FCA">
      <w:pPr>
        <w:autoSpaceDE w:val="0"/>
        <w:autoSpaceDN w:val="0"/>
        <w:jc w:val="center"/>
        <w:rPr>
          <w:rFonts w:hint="eastAsia" w:ascii="宋体" w:hAnsi="宋体" w:eastAsia="宋体" w:cs="宋体"/>
          <w:b/>
          <w:color w:val="auto"/>
          <w:spacing w:val="6"/>
          <w:sz w:val="32"/>
          <w:szCs w:val="32"/>
          <w:highlight w:val="none"/>
        </w:rPr>
      </w:pPr>
    </w:p>
    <w:p w14:paraId="1D6ADEF9">
      <w:pPr>
        <w:autoSpaceDE w:val="0"/>
        <w:autoSpaceDN w:val="0"/>
        <w:jc w:val="center"/>
        <w:rPr>
          <w:rFonts w:hint="eastAsia" w:ascii="宋体" w:hAnsi="宋体" w:eastAsia="宋体" w:cs="宋体"/>
          <w:b/>
          <w:color w:val="auto"/>
          <w:spacing w:val="6"/>
          <w:sz w:val="32"/>
          <w:szCs w:val="32"/>
          <w:highlight w:val="none"/>
        </w:rPr>
      </w:pPr>
    </w:p>
    <w:p w14:paraId="2715C075">
      <w:pPr>
        <w:autoSpaceDE w:val="0"/>
        <w:autoSpaceDN w:val="0"/>
        <w:jc w:val="center"/>
        <w:rPr>
          <w:rFonts w:hint="eastAsia" w:ascii="宋体" w:hAnsi="宋体" w:eastAsia="宋体" w:cs="宋体"/>
          <w:b/>
          <w:color w:val="auto"/>
          <w:spacing w:val="6"/>
          <w:sz w:val="32"/>
          <w:szCs w:val="32"/>
          <w:highlight w:val="none"/>
        </w:rPr>
      </w:pPr>
    </w:p>
    <w:p w14:paraId="17D43202">
      <w:pPr>
        <w:autoSpaceDE w:val="0"/>
        <w:autoSpaceDN w:val="0"/>
        <w:jc w:val="center"/>
        <w:rPr>
          <w:rFonts w:hint="eastAsia" w:ascii="宋体" w:hAnsi="宋体" w:eastAsia="宋体" w:cs="宋体"/>
          <w:b/>
          <w:color w:val="auto"/>
          <w:spacing w:val="6"/>
          <w:sz w:val="32"/>
          <w:szCs w:val="32"/>
          <w:highlight w:val="none"/>
        </w:rPr>
      </w:pPr>
    </w:p>
    <w:p w14:paraId="7681BC2B">
      <w:pPr>
        <w:autoSpaceDE w:val="0"/>
        <w:autoSpaceDN w:val="0"/>
        <w:jc w:val="center"/>
        <w:rPr>
          <w:rFonts w:hint="eastAsia" w:ascii="宋体" w:hAnsi="宋体" w:eastAsia="宋体" w:cs="宋体"/>
          <w:b/>
          <w:color w:val="auto"/>
          <w:spacing w:val="6"/>
          <w:sz w:val="32"/>
          <w:szCs w:val="32"/>
          <w:highlight w:val="none"/>
        </w:rPr>
      </w:pPr>
    </w:p>
    <w:p w14:paraId="05DBCAB8">
      <w:pPr>
        <w:autoSpaceDE w:val="0"/>
        <w:autoSpaceDN w:val="0"/>
        <w:jc w:val="center"/>
        <w:rPr>
          <w:rFonts w:hint="eastAsia" w:ascii="宋体" w:hAnsi="宋体" w:eastAsia="宋体" w:cs="宋体"/>
          <w:b/>
          <w:color w:val="auto"/>
          <w:spacing w:val="6"/>
          <w:sz w:val="32"/>
          <w:szCs w:val="32"/>
          <w:highlight w:val="none"/>
        </w:rPr>
      </w:pPr>
    </w:p>
    <w:p w14:paraId="73AF6F12">
      <w:pPr>
        <w:autoSpaceDE w:val="0"/>
        <w:autoSpaceDN w:val="0"/>
        <w:jc w:val="center"/>
        <w:rPr>
          <w:rFonts w:hint="eastAsia" w:ascii="宋体" w:hAnsi="宋体" w:eastAsia="宋体" w:cs="宋体"/>
          <w:b/>
          <w:color w:val="auto"/>
          <w:spacing w:val="6"/>
          <w:sz w:val="32"/>
          <w:szCs w:val="32"/>
          <w:highlight w:val="none"/>
        </w:rPr>
      </w:pPr>
    </w:p>
    <w:p w14:paraId="43657683">
      <w:pPr>
        <w:autoSpaceDE w:val="0"/>
        <w:autoSpaceDN w:val="0"/>
        <w:jc w:val="center"/>
        <w:rPr>
          <w:rFonts w:hint="eastAsia" w:ascii="宋体" w:hAnsi="宋体" w:eastAsia="宋体" w:cs="宋体"/>
          <w:b/>
          <w:color w:val="auto"/>
          <w:spacing w:val="6"/>
          <w:sz w:val="32"/>
          <w:szCs w:val="32"/>
          <w:highlight w:val="none"/>
        </w:rPr>
      </w:pPr>
    </w:p>
    <w:p w14:paraId="3D3476AE">
      <w:pPr>
        <w:widowControl/>
        <w:adjustRightInd/>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93BCC5C">
      <w:pPr>
        <w:snapToGrid w:val="0"/>
        <w:spacing w:line="360" w:lineRule="auto"/>
        <w:ind w:firstLine="3666" w:firstLineChars="1100"/>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2E637371">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DC859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607BFC5">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4C707C3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（分包供应商2名称），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305209CD">
      <w:pPr>
        <w:pStyle w:val="3"/>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485687B">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321ECDB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58177B54">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77245A82">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035869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22422B71">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629E80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B23060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B0392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3526B28">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7C0C8B43">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37F2B0B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9968CA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540F19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F2115B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25273CA2">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738D793B">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7D67E095">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6813E959">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54EE337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FE4FE7C">
      <w:pPr>
        <w:autoSpaceDE w:val="0"/>
        <w:autoSpaceDN w:val="0"/>
        <w:jc w:val="center"/>
        <w:rPr>
          <w:rFonts w:hint="eastAsia" w:ascii="宋体" w:hAnsi="宋体" w:eastAsia="宋体" w:cs="宋体"/>
          <w:b/>
          <w:color w:val="auto"/>
          <w:spacing w:val="6"/>
          <w:sz w:val="32"/>
          <w:szCs w:val="32"/>
          <w:highlight w:val="none"/>
        </w:rPr>
      </w:pPr>
    </w:p>
    <w:p w14:paraId="32FCB39B">
      <w:pPr>
        <w:autoSpaceDE w:val="0"/>
        <w:autoSpaceDN w:val="0"/>
        <w:jc w:val="center"/>
        <w:rPr>
          <w:rFonts w:hint="eastAsia" w:ascii="宋体" w:hAnsi="宋体" w:eastAsia="宋体" w:cs="宋体"/>
          <w:b/>
          <w:color w:val="auto"/>
          <w:spacing w:val="6"/>
          <w:sz w:val="32"/>
          <w:szCs w:val="32"/>
          <w:highlight w:val="none"/>
        </w:rPr>
      </w:pPr>
    </w:p>
    <w:p w14:paraId="65FEB3D3">
      <w:pPr>
        <w:autoSpaceDE w:val="0"/>
        <w:autoSpaceDN w:val="0"/>
        <w:jc w:val="center"/>
        <w:rPr>
          <w:rFonts w:hint="eastAsia" w:ascii="宋体" w:hAnsi="宋体" w:eastAsia="宋体" w:cs="宋体"/>
          <w:b/>
          <w:color w:val="auto"/>
          <w:spacing w:val="6"/>
          <w:sz w:val="32"/>
          <w:szCs w:val="32"/>
          <w:highlight w:val="none"/>
        </w:rPr>
      </w:pPr>
    </w:p>
    <w:p w14:paraId="0CE4A381">
      <w:pPr>
        <w:autoSpaceDE w:val="0"/>
        <w:autoSpaceDN w:val="0"/>
        <w:jc w:val="center"/>
        <w:rPr>
          <w:rFonts w:hint="eastAsia" w:ascii="宋体" w:hAnsi="宋体" w:eastAsia="宋体" w:cs="宋体"/>
          <w:b/>
          <w:color w:val="auto"/>
          <w:spacing w:val="6"/>
          <w:sz w:val="32"/>
          <w:szCs w:val="32"/>
          <w:highlight w:val="none"/>
        </w:rPr>
      </w:pPr>
    </w:p>
    <w:p w14:paraId="4EB84C9D">
      <w:pPr>
        <w:autoSpaceDE w:val="0"/>
        <w:autoSpaceDN w:val="0"/>
        <w:jc w:val="center"/>
        <w:rPr>
          <w:rFonts w:hint="eastAsia" w:ascii="宋体" w:hAnsi="宋体" w:eastAsia="宋体" w:cs="宋体"/>
          <w:b/>
          <w:color w:val="auto"/>
          <w:spacing w:val="6"/>
          <w:sz w:val="32"/>
          <w:szCs w:val="32"/>
          <w:highlight w:val="none"/>
        </w:rPr>
      </w:pPr>
    </w:p>
    <w:p w14:paraId="358EA327">
      <w:pPr>
        <w:autoSpaceDE w:val="0"/>
        <w:autoSpaceDN w:val="0"/>
        <w:jc w:val="center"/>
        <w:rPr>
          <w:rFonts w:hint="eastAsia" w:ascii="宋体" w:hAnsi="宋体" w:eastAsia="宋体" w:cs="宋体"/>
          <w:b/>
          <w:color w:val="auto"/>
          <w:spacing w:val="6"/>
          <w:sz w:val="32"/>
          <w:szCs w:val="32"/>
          <w:highlight w:val="none"/>
        </w:rPr>
      </w:pPr>
    </w:p>
    <w:p w14:paraId="7532B8B7">
      <w:pPr>
        <w:autoSpaceDE w:val="0"/>
        <w:autoSpaceDN w:val="0"/>
        <w:jc w:val="center"/>
        <w:rPr>
          <w:rFonts w:hint="eastAsia" w:ascii="宋体" w:hAnsi="宋体" w:eastAsia="宋体" w:cs="宋体"/>
          <w:b/>
          <w:color w:val="auto"/>
          <w:spacing w:val="6"/>
          <w:sz w:val="32"/>
          <w:szCs w:val="32"/>
          <w:highlight w:val="none"/>
        </w:rPr>
      </w:pPr>
    </w:p>
    <w:p w14:paraId="48C86FB6">
      <w:pPr>
        <w:autoSpaceDE w:val="0"/>
        <w:autoSpaceDN w:val="0"/>
        <w:jc w:val="center"/>
        <w:rPr>
          <w:rFonts w:hint="eastAsia" w:ascii="宋体" w:hAnsi="宋体" w:eastAsia="宋体" w:cs="宋体"/>
          <w:b/>
          <w:color w:val="auto"/>
          <w:spacing w:val="6"/>
          <w:sz w:val="32"/>
          <w:szCs w:val="32"/>
          <w:highlight w:val="none"/>
        </w:rPr>
      </w:pPr>
    </w:p>
    <w:p w14:paraId="3F777886">
      <w:pPr>
        <w:autoSpaceDE w:val="0"/>
        <w:autoSpaceDN w:val="0"/>
        <w:jc w:val="center"/>
        <w:rPr>
          <w:rFonts w:hint="eastAsia" w:ascii="宋体" w:hAnsi="宋体" w:eastAsia="宋体" w:cs="宋体"/>
          <w:b/>
          <w:color w:val="auto"/>
          <w:spacing w:val="6"/>
          <w:sz w:val="32"/>
          <w:szCs w:val="32"/>
          <w:highlight w:val="none"/>
        </w:rPr>
      </w:pPr>
    </w:p>
    <w:p w14:paraId="301EB9D1">
      <w:pPr>
        <w:autoSpaceDE w:val="0"/>
        <w:autoSpaceDN w:val="0"/>
        <w:jc w:val="center"/>
        <w:rPr>
          <w:rFonts w:hint="eastAsia" w:ascii="宋体" w:hAnsi="宋体" w:eastAsia="宋体" w:cs="宋体"/>
          <w:b/>
          <w:color w:val="auto"/>
          <w:spacing w:val="6"/>
          <w:sz w:val="32"/>
          <w:szCs w:val="32"/>
          <w:highlight w:val="none"/>
        </w:rPr>
      </w:pPr>
    </w:p>
    <w:p w14:paraId="61E56E74">
      <w:pPr>
        <w:autoSpaceDE w:val="0"/>
        <w:autoSpaceDN w:val="0"/>
        <w:jc w:val="center"/>
        <w:rPr>
          <w:rFonts w:hint="eastAsia" w:ascii="宋体" w:hAnsi="宋体" w:eastAsia="宋体" w:cs="宋体"/>
          <w:b/>
          <w:color w:val="auto"/>
          <w:spacing w:val="6"/>
          <w:sz w:val="32"/>
          <w:szCs w:val="32"/>
          <w:highlight w:val="none"/>
        </w:rPr>
      </w:pPr>
    </w:p>
    <w:p w14:paraId="5101D719">
      <w:pPr>
        <w:autoSpaceDE w:val="0"/>
        <w:autoSpaceDN w:val="0"/>
        <w:jc w:val="center"/>
        <w:rPr>
          <w:rFonts w:hint="eastAsia" w:ascii="宋体" w:hAnsi="宋体" w:eastAsia="宋体" w:cs="宋体"/>
          <w:b/>
          <w:color w:val="auto"/>
          <w:spacing w:val="6"/>
          <w:sz w:val="32"/>
          <w:szCs w:val="32"/>
          <w:highlight w:val="none"/>
        </w:rPr>
      </w:pPr>
    </w:p>
    <w:p w14:paraId="76795842">
      <w:pPr>
        <w:autoSpaceDE w:val="0"/>
        <w:autoSpaceDN w:val="0"/>
        <w:jc w:val="center"/>
        <w:rPr>
          <w:rFonts w:hint="eastAsia" w:ascii="宋体" w:hAnsi="宋体" w:eastAsia="宋体" w:cs="宋体"/>
          <w:b/>
          <w:color w:val="auto"/>
          <w:spacing w:val="6"/>
          <w:sz w:val="32"/>
          <w:szCs w:val="32"/>
          <w:highlight w:val="none"/>
        </w:rPr>
      </w:pPr>
    </w:p>
    <w:p w14:paraId="33807FFB">
      <w:pPr>
        <w:autoSpaceDE w:val="0"/>
        <w:autoSpaceDN w:val="0"/>
        <w:jc w:val="center"/>
        <w:rPr>
          <w:rFonts w:hint="eastAsia" w:ascii="宋体" w:hAnsi="宋体" w:eastAsia="宋体" w:cs="宋体"/>
          <w:b/>
          <w:color w:val="auto"/>
          <w:spacing w:val="6"/>
          <w:sz w:val="32"/>
          <w:szCs w:val="32"/>
          <w:highlight w:val="none"/>
        </w:rPr>
      </w:pPr>
    </w:p>
    <w:p w14:paraId="0C314286">
      <w:pPr>
        <w:autoSpaceDE w:val="0"/>
        <w:autoSpaceDN w:val="0"/>
        <w:jc w:val="center"/>
        <w:rPr>
          <w:rFonts w:hint="eastAsia" w:ascii="宋体" w:hAnsi="宋体" w:eastAsia="宋体" w:cs="宋体"/>
          <w:b/>
          <w:color w:val="auto"/>
          <w:spacing w:val="6"/>
          <w:sz w:val="32"/>
          <w:szCs w:val="32"/>
          <w:highlight w:val="none"/>
        </w:rPr>
      </w:pPr>
    </w:p>
    <w:p w14:paraId="3C7E0A37">
      <w:pPr>
        <w:autoSpaceDE w:val="0"/>
        <w:autoSpaceDN w:val="0"/>
        <w:jc w:val="center"/>
        <w:rPr>
          <w:rFonts w:hint="eastAsia" w:ascii="宋体" w:hAnsi="宋体" w:eastAsia="宋体" w:cs="宋体"/>
          <w:b/>
          <w:color w:val="auto"/>
          <w:spacing w:val="6"/>
          <w:sz w:val="32"/>
          <w:szCs w:val="32"/>
          <w:highlight w:val="none"/>
        </w:rPr>
      </w:pPr>
    </w:p>
    <w:p w14:paraId="5484D7F0">
      <w:pPr>
        <w:autoSpaceDE w:val="0"/>
        <w:autoSpaceDN w:val="0"/>
        <w:jc w:val="center"/>
        <w:rPr>
          <w:rFonts w:hint="eastAsia" w:ascii="宋体" w:hAnsi="宋体" w:eastAsia="宋体" w:cs="宋体"/>
          <w:b/>
          <w:color w:val="auto"/>
          <w:spacing w:val="6"/>
          <w:sz w:val="32"/>
          <w:szCs w:val="32"/>
          <w:highlight w:val="none"/>
        </w:rPr>
      </w:pPr>
    </w:p>
    <w:p w14:paraId="0B5B8D4B">
      <w:pPr>
        <w:autoSpaceDE w:val="0"/>
        <w:autoSpaceDN w:val="0"/>
        <w:jc w:val="center"/>
        <w:rPr>
          <w:rFonts w:hint="eastAsia" w:ascii="宋体" w:hAnsi="宋体" w:eastAsia="宋体" w:cs="宋体"/>
          <w:b/>
          <w:color w:val="auto"/>
          <w:spacing w:val="6"/>
          <w:sz w:val="32"/>
          <w:szCs w:val="32"/>
          <w:highlight w:val="none"/>
        </w:rPr>
      </w:pPr>
    </w:p>
    <w:p w14:paraId="74B6A387">
      <w:pPr>
        <w:autoSpaceDE w:val="0"/>
        <w:autoSpaceDN w:val="0"/>
        <w:jc w:val="center"/>
        <w:rPr>
          <w:rFonts w:hint="eastAsia" w:ascii="宋体" w:hAnsi="宋体" w:eastAsia="宋体" w:cs="宋体"/>
          <w:b/>
          <w:color w:val="auto"/>
          <w:spacing w:val="6"/>
          <w:sz w:val="32"/>
          <w:szCs w:val="32"/>
          <w:highlight w:val="none"/>
        </w:rPr>
      </w:pPr>
    </w:p>
    <w:p w14:paraId="3EDAA10D">
      <w:pPr>
        <w:autoSpaceDE w:val="0"/>
        <w:autoSpaceDN w:val="0"/>
        <w:jc w:val="center"/>
        <w:rPr>
          <w:rFonts w:hint="eastAsia" w:ascii="宋体" w:hAnsi="宋体" w:eastAsia="宋体" w:cs="宋体"/>
          <w:b/>
          <w:color w:val="auto"/>
          <w:spacing w:val="6"/>
          <w:sz w:val="32"/>
          <w:szCs w:val="32"/>
          <w:highlight w:val="none"/>
        </w:rPr>
      </w:pPr>
    </w:p>
    <w:p w14:paraId="513F6217">
      <w:pPr>
        <w:autoSpaceDE w:val="0"/>
        <w:autoSpaceDN w:val="0"/>
        <w:jc w:val="center"/>
        <w:rPr>
          <w:rFonts w:hint="eastAsia" w:ascii="宋体" w:hAnsi="宋体" w:eastAsia="宋体" w:cs="宋体"/>
          <w:b/>
          <w:color w:val="auto"/>
          <w:spacing w:val="6"/>
          <w:sz w:val="32"/>
          <w:szCs w:val="32"/>
          <w:highlight w:val="none"/>
        </w:rPr>
      </w:pPr>
    </w:p>
    <w:p w14:paraId="04444DB9">
      <w:pPr>
        <w:autoSpaceDE w:val="0"/>
        <w:autoSpaceDN w:val="0"/>
        <w:jc w:val="center"/>
        <w:rPr>
          <w:rFonts w:hint="eastAsia" w:ascii="宋体" w:hAnsi="宋体" w:eastAsia="宋体" w:cs="宋体"/>
          <w:b/>
          <w:color w:val="auto"/>
          <w:spacing w:val="6"/>
          <w:sz w:val="32"/>
          <w:szCs w:val="32"/>
          <w:highlight w:val="none"/>
        </w:rPr>
      </w:pPr>
    </w:p>
    <w:p w14:paraId="7E76C9C3">
      <w:pPr>
        <w:autoSpaceDE w:val="0"/>
        <w:autoSpaceDN w:val="0"/>
        <w:jc w:val="center"/>
        <w:rPr>
          <w:rFonts w:hint="eastAsia" w:ascii="宋体" w:hAnsi="宋体" w:eastAsia="宋体" w:cs="宋体"/>
          <w:b/>
          <w:color w:val="auto"/>
          <w:spacing w:val="6"/>
          <w:sz w:val="32"/>
          <w:szCs w:val="32"/>
          <w:highlight w:val="none"/>
        </w:rPr>
      </w:pPr>
    </w:p>
    <w:p w14:paraId="33E26C8D">
      <w:pPr>
        <w:autoSpaceDE w:val="0"/>
        <w:autoSpaceDN w:val="0"/>
        <w:jc w:val="center"/>
        <w:rPr>
          <w:rFonts w:hint="eastAsia" w:ascii="宋体" w:hAnsi="宋体" w:eastAsia="宋体" w:cs="宋体"/>
          <w:b/>
          <w:color w:val="auto"/>
          <w:spacing w:val="6"/>
          <w:sz w:val="32"/>
          <w:szCs w:val="32"/>
          <w:highlight w:val="none"/>
        </w:rPr>
      </w:pPr>
    </w:p>
    <w:p w14:paraId="7CAA950B">
      <w:pPr>
        <w:autoSpaceDE w:val="0"/>
        <w:autoSpaceDN w:val="0"/>
        <w:jc w:val="center"/>
        <w:rPr>
          <w:rFonts w:hint="eastAsia" w:ascii="宋体" w:hAnsi="宋体" w:eastAsia="宋体" w:cs="宋体"/>
          <w:b/>
          <w:color w:val="auto"/>
          <w:spacing w:val="6"/>
          <w:sz w:val="32"/>
          <w:szCs w:val="32"/>
          <w:highlight w:val="none"/>
        </w:rPr>
      </w:pPr>
    </w:p>
    <w:p w14:paraId="3388E1BF">
      <w:pPr>
        <w:autoSpaceDE w:val="0"/>
        <w:autoSpaceDN w:val="0"/>
        <w:jc w:val="center"/>
        <w:rPr>
          <w:rFonts w:hint="eastAsia" w:ascii="宋体" w:hAnsi="宋体" w:eastAsia="宋体" w:cs="宋体"/>
          <w:b/>
          <w:color w:val="auto"/>
          <w:spacing w:val="6"/>
          <w:sz w:val="32"/>
          <w:szCs w:val="32"/>
          <w:highlight w:val="none"/>
        </w:rPr>
      </w:pPr>
    </w:p>
    <w:p w14:paraId="658B6C13">
      <w:pPr>
        <w:autoSpaceDE w:val="0"/>
        <w:autoSpaceDN w:val="0"/>
        <w:jc w:val="center"/>
        <w:rPr>
          <w:rFonts w:hint="eastAsia" w:ascii="宋体" w:hAnsi="宋体" w:eastAsia="宋体" w:cs="宋体"/>
          <w:b/>
          <w:color w:val="auto"/>
          <w:spacing w:val="6"/>
          <w:sz w:val="32"/>
          <w:szCs w:val="32"/>
          <w:highlight w:val="none"/>
        </w:rPr>
      </w:pPr>
    </w:p>
    <w:p w14:paraId="0455716C">
      <w:pPr>
        <w:spacing w:line="360" w:lineRule="auto"/>
        <w:jc w:val="left"/>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附件7：</w:t>
      </w:r>
      <w:r>
        <w:rPr>
          <w:rFonts w:hint="eastAsia" w:ascii="宋体" w:hAnsi="宋体" w:cs="宋体"/>
          <w:b/>
          <w:color w:val="auto"/>
          <w:sz w:val="36"/>
          <w:szCs w:val="20"/>
          <w:highlight w:val="none"/>
          <w:lang w:val="en-US" w:eastAsia="zh-CN"/>
        </w:rPr>
        <w:t>中小</w:t>
      </w:r>
      <w:r>
        <w:rPr>
          <w:rFonts w:hint="eastAsia" w:ascii="宋体" w:hAnsi="宋体" w:eastAsia="宋体" w:cs="宋体"/>
          <w:b/>
          <w:color w:val="auto"/>
          <w:sz w:val="36"/>
          <w:szCs w:val="20"/>
          <w:highlight w:val="none"/>
        </w:rPr>
        <w:t>企业声明函</w:t>
      </w:r>
    </w:p>
    <w:p w14:paraId="57F760F8">
      <w:pPr>
        <w:spacing w:line="360" w:lineRule="auto"/>
        <w:jc w:val="center"/>
        <w:rPr>
          <w:rFonts w:hint="eastAsia" w:ascii="宋体" w:hAnsi="宋体" w:eastAsia="宋体" w:cs="宋体"/>
          <w:color w:val="auto"/>
          <w:sz w:val="24"/>
          <w:highlight w:val="none"/>
          <w:u w:val="single"/>
        </w:rPr>
      </w:pPr>
    </w:p>
    <w:p w14:paraId="36F756E4">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0BD8BA6C">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6515A4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66A6979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FC72692">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1A47B03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3EFAC9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9DE4CA4">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23E6DC6">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658EB345">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1BC6D924">
      <w:pPr>
        <w:rPr>
          <w:rFonts w:hint="eastAsia" w:ascii="宋体" w:hAnsi="宋体" w:eastAsia="宋体" w:cs="宋体"/>
          <w:highlight w:val="none"/>
        </w:rPr>
      </w:pPr>
    </w:p>
    <w:p w14:paraId="2EFA0C4A">
      <w:pPr>
        <w:spacing w:line="360" w:lineRule="auto"/>
        <w:rPr>
          <w:rFonts w:hint="eastAsia" w:ascii="宋体" w:hAnsi="宋体" w:eastAsia="宋体" w:cs="宋体"/>
          <w:bCs/>
          <w:sz w:val="24"/>
          <w:highlight w:val="none"/>
        </w:rPr>
      </w:pPr>
    </w:p>
    <w:p w14:paraId="2EF7F031">
      <w:pPr>
        <w:rPr>
          <w:rFonts w:hint="eastAsia" w:ascii="宋体" w:hAnsi="宋体" w:eastAsia="宋体" w:cs="宋体"/>
          <w:highlight w:val="none"/>
        </w:rPr>
      </w:pPr>
    </w:p>
    <w:p w14:paraId="6E839C5F">
      <w:pPr>
        <w:rPr>
          <w:rFonts w:hint="eastAsia" w:ascii="宋体" w:hAnsi="宋体" w:eastAsia="宋体" w:cs="宋体"/>
          <w:highlight w:val="none"/>
        </w:rPr>
      </w:pPr>
    </w:p>
    <w:p w14:paraId="79945E19">
      <w:pPr>
        <w:rPr>
          <w:highlight w:val="none"/>
        </w:rPr>
      </w:pPr>
    </w:p>
    <w:p w14:paraId="2B3FF0EA"/>
    <w:p w14:paraId="33D55600"/>
    <w:sectPr>
      <w:headerReference r:id="rId30" w:type="first"/>
      <w:footerReference r:id="rId32" w:type="first"/>
      <w:headerReference r:id="rId29" w:type="default"/>
      <w:footerReference r:id="rId31" w:type="default"/>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CF3C52" w:usb2="00000016" w:usb3="00000000" w:csb0="0004001F" w:csb1="00000000"/>
  </w:font>
  <w:font w:name="隶书">
    <w:altName w:val="微软雅黑"/>
    <w:panose1 w:val="020105090600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00" w:usb3="00000000" w:csb0="0004009F" w:csb1="DFD70000"/>
  </w:font>
  <w:font w:name="??">
    <w:altName w:val="微软雅黑"/>
    <w:panose1 w:val="00000000000000000000"/>
    <w:charset w:val="00"/>
    <w:family w:val="auto"/>
    <w:pitch w:val="default"/>
    <w:sig w:usb0="00000000" w:usb1="00000000" w:usb2="00000000" w:usb3="00000000" w:csb0="00040001" w:csb1="00000000"/>
  </w:font>
  <w:font w:name="Futura Bk">
    <w:altName w:val="Arial"/>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005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10006FF" w:usb1="4000205B" w:usb2="00000010" w:usb3="00000000" w:csb0="2000019F" w:csb1="00000000"/>
  </w:font>
  <w:font w:name="幼圆">
    <w:altName w:val="宋体"/>
    <w:panose1 w:val="02010509060001010101"/>
    <w:charset w:val="86"/>
    <w:family w:val="auto"/>
    <w:pitch w:val="default"/>
    <w:sig w:usb0="00000000" w:usb1="00000000" w:usb2="00000000" w:usb3="00000000" w:csb0="00040000" w:csb1="00000000"/>
  </w:font>
  <w:font w:name="Arial Narrow">
    <w:altName w:val="Arial"/>
    <w:panose1 w:val="020B06060200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002020204"/>
    <w:charset w:val="86"/>
    <w:family w:val="auto"/>
    <w:pitch w:val="default"/>
    <w:sig w:usb0="00000000" w:usb1="00000000" w:usb2="0000003F" w:usb3="00000000" w:csb0="603F01FF" w:csb1="FFFF0000"/>
  </w:font>
  <w:font w:name="Helvetica">
    <w:altName w:val="Arial"/>
    <w:panose1 w:val="020B06040200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003" w:usb1="288F0000" w:usb2="00000006" w:usb3="00000000" w:csb0="00040001" w:csb1="00000000"/>
  </w:font>
  <w:font w:name="Century Gothic">
    <w:altName w:val="Segoe Print"/>
    <w:panose1 w:val="020B0502020002020204"/>
    <w:charset w:val="00"/>
    <w:family w:val="auto"/>
    <w:pitch w:val="default"/>
    <w:sig w:usb0="00000000" w:usb1="00000000" w:usb2="00000000" w:usb3="00000000" w:csb0="2000009F" w:csb1="DFD70000"/>
  </w:font>
  <w:font w:name="Aldine401 BT">
    <w:altName w:val="Arial"/>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0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94750">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FF303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1W6i3EAQAAjwMAAA4AAABkcnMvZTJvRG9jLnhtbK1TzY7TMBC+I/EO&#10;lu80aYV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r+ljMnLF345fu3y49fl59f&#10;2SrZ0wesqOsxPMCUIYVJ69CCTW9SwYZs6flqqRoik1RcrlfrdUluSzqbE8Ipnj4PgPFeectSUHOg&#10;O8tWitMHjGPr3JKmOX+njaG6qIz7q0CYqVIkxiPHFMVhP0zE9745k9qerrvmjrabM/PekZtpM+YA&#10;5mA/B8cA+tARtWXmheH2GIlE5pYmjLDTYLqnrG7aqbQIf+a56+k/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1W6i3EAQAAjwMAAA4AAAAAAAAAAQAgAAAAHwEAAGRycy9lMm9Eb2MueG1s&#10;UEsFBgAAAAAGAAYAWQEAAFUFAAAAAA==&#10;">
              <v:fill on="f" focussize="0,0"/>
              <v:stroke on="f"/>
              <v:imagedata o:title=""/>
              <o:lock v:ext="edit" aspectratio="f"/>
              <v:textbox inset="0mm,0mm,0mm,0mm" style="mso-fit-shape-to-text:t;">
                <w:txbxContent>
                  <w:p w14:paraId="21FF303E">
                    <w:pPr>
                      <w:pStyle w:val="42"/>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79288">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46925C">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e9Z6PFAQAAkQ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AmlJw5YenGL9+/XX78uvz8&#10;ysqbZFAfsKK+p/AIU4YUJrVDCza9SQcbsqnnq6lqiExSsVyv1usl+S3pbE4Ip3j+PADGB+UtS0HN&#10;gW4tmylOHzCOrXNLmub8vTaG6qIy7q8CYaZKkRiPHFMUh/0wEd/75kx6e7rwmjvab87Me0d+pt2Y&#10;A5iD/RwcA+hDR9TKzAvD3TESicwtTRhhp8F0U1ndtFVpFf7Mc9fzn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HvWejxQEAAJEDAAAOAAAAAAAAAAEAIAAAAB8BAABkcnMvZTJvRG9jLnht&#10;bFBLBQYAAAAABgAGAFkBAABWBQAAAAA=&#10;">
              <v:fill on="f" focussize="0,0"/>
              <v:stroke on="f"/>
              <v:imagedata o:title=""/>
              <o:lock v:ext="edit" aspectratio="f"/>
              <v:textbox inset="0mm,0mm,0mm,0mm" style="mso-fit-shape-to-text:t;">
                <w:txbxContent>
                  <w:p w14:paraId="1146925C">
                    <w:pPr>
                      <w:pStyle w:val="42"/>
                    </w:pPr>
                    <w:r>
                      <w:t xml:space="preserve">第 </w:t>
                    </w:r>
                    <w:r>
                      <w:fldChar w:fldCharType="begin"/>
                    </w:r>
                    <w:r>
                      <w:instrText xml:space="preserve"> PAGE  \* MERGEFORMAT </w:instrText>
                    </w:r>
                    <w:r>
                      <w:fldChar w:fldCharType="separate"/>
                    </w:r>
                    <w:r>
                      <w:t>36</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29FB6A0">
                          <w:pPr>
                            <w:pStyle w:val="42"/>
                          </w:pPr>
                        </w:p>
                      </w:txbxContent>
                    </wps:txbx>
                    <wps:bodyPr wrap="none" lIns="0" tIns="0" rIns="0" bIns="0" upright="1">
                      <a:spAutoFit/>
                    </wps:bodyPr>
                  </wps:wsp>
                </a:graphicData>
              </a:graphic>
            </wp:anchor>
          </w:drawing>
        </mc:Choice>
        <mc:Fallback>
          <w:pict>
            <v:rect id="文本框 36" o:spid="_x0000_s1026" o:spt="1"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ujgcXFAQAAkQ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7QJK86csHTjlx/fLz9/X359&#10;Y29vkkF9wIr6HsI9TBlSmNQOLdj0Jh1syKaer6aqITJJxeV6tV6X5LekszkhnOLx8wAY3ytvWQpq&#10;DnRr2Uxx+ohxbJ1b0jTn77QxVBeVcX8VCDNVisR45JiiOOyHifjeN2fS29OF19zRfnNmPjjyM+3G&#10;HMAc7OfgGEAfOqK2zLwwvDtGIpG5pQkj7DSYbiqrm7YqrcLTPHc9/knb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bo4HFxQEAAJEDAAAOAAAAAAAAAAEAIAAAAB8BAABkcnMvZTJvRG9jLnht&#10;bFBLBQYAAAAABgAGAFkBAABWBQAAAAA=&#10;">
              <v:fill on="f" focussize="0,0"/>
              <v:stroke on="f"/>
              <v:imagedata o:title=""/>
              <o:lock v:ext="edit" aspectratio="f"/>
              <v:textbox inset="0mm,0mm,0mm,0mm" style="mso-fit-shape-to-text:t;">
                <w:txbxContent>
                  <w:p w14:paraId="029FB6A0">
                    <w:pPr>
                      <w:pStyle w:val="42"/>
                    </w:pP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4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81E5D43">
                          <w:pPr>
                            <w:pStyle w:val="42"/>
                          </w:pPr>
                        </w:p>
                      </w:txbxContent>
                    </wps:txbx>
                    <wps:bodyPr wrap="none" lIns="0" tIns="0" rIns="0" bIns="0" upright="1">
                      <a:spAutoFit/>
                    </wps:bodyPr>
                  </wps:wsp>
                </a:graphicData>
              </a:graphic>
            </wp:anchor>
          </w:drawing>
        </mc:Choice>
        <mc:Fallback>
          <w:pict>
            <v:rect id="文本框 40" o:spid="_x0000_s1026" o:spt="1"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zfrHXEAQAAkQMAAA4AAABkcnMvZTJvRG9jLnhtbK1TzY7TMBC+I/EO&#10;lu80aU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E2b8JYzJyxN/Pzzx/nXn/Pv&#10;7+xdNqgLuKJ7D+EeyK6UIYVJbd+ATW/Swfps6uliquojk1ScLxfLZUl+SzqbEsIprp8HwPhBectS&#10;UHGgqWUzxfETxuHqdCV1c/5OG5MnZ9w/BcJMleLKMUWx3/Uj8Z2vT6S3o4FX3NF+c2Y+OvIz7cYU&#10;wBTspuAQQO9bojbPvDDcHiKRyNxShwF2bEyTyurGrUqr8DjPt65/0u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zfrHXEAQAAkQMAAA4AAAAAAAAAAQAgAAAAHwEAAGRycy9lMm9Eb2MueG1s&#10;UEsFBgAAAAAGAAYAWQEAAFUFAAAAAA==&#10;">
              <v:fill on="f" focussize="0,0"/>
              <v:stroke on="f"/>
              <v:imagedata o:title=""/>
              <o:lock v:ext="edit" aspectratio="f"/>
              <v:textbox inset="0mm,0mm,0mm,0mm" style="mso-fit-shape-to-text:t;">
                <w:txbxContent>
                  <w:p w14:paraId="481E5D43">
                    <w:pPr>
                      <w:pStyle w:val="42"/>
                    </w:pP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3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79581BD">
                          <w:pPr>
                            <w:pStyle w:val="42"/>
                            <w:rPr>
                              <w:rFonts w:hint="default" w:eastAsia="宋体"/>
                              <w:lang w:val="en-US" w:eastAsia="zh-CN"/>
                            </w:rPr>
                          </w:pPr>
                          <w:r>
                            <w:rPr>
                              <w:rFonts w:hint="eastAsia"/>
                              <w:lang w:val="en-US" w:eastAsia="zh-CN"/>
                            </w:rPr>
                            <w:t>46</w:t>
                          </w:r>
                        </w:p>
                      </w:txbxContent>
                    </wps:txbx>
                    <wps:bodyPr wrap="none" lIns="0" tIns="0" rIns="0" bIns="0" upright="1">
                      <a:spAutoFit/>
                    </wps:bodyPr>
                  </wps:wsp>
                </a:graphicData>
              </a:graphic>
            </wp:anchor>
          </w:drawing>
        </mc:Choice>
        <mc:Fallback>
          <w:pict>
            <v:rect id="文本框 35" o:spid="_x0000_s1026" o:spt="1"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EUxXucYBAACRAwAADgAAAAAAAAABACAAAAAfAQAAZHJzL2Uyb0RvYy54&#10;bWxQSwUGAAAAAAYABgBZAQAAVwUAAAAA&#10;">
              <v:fill on="f" focussize="0,0"/>
              <v:stroke on="f"/>
              <v:imagedata o:title=""/>
              <o:lock v:ext="edit" aspectratio="f"/>
              <v:textbox inset="0mm,0mm,0mm,0mm" style="mso-fit-shape-to-text:t;">
                <w:txbxContent>
                  <w:p w14:paraId="679581BD">
                    <w:pPr>
                      <w:pStyle w:val="42"/>
                      <w:rPr>
                        <w:rFonts w:hint="default" w:eastAsia="宋体"/>
                        <w:lang w:val="en-US" w:eastAsia="zh-CN"/>
                      </w:rPr>
                    </w:pPr>
                    <w:r>
                      <w:rPr>
                        <w:rFonts w:hint="eastAsia"/>
                        <w:lang w:val="en-US" w:eastAsia="zh-CN"/>
                      </w:rPr>
                      <w:t>46</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3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9498336">
                          <w:pPr>
                            <w:pStyle w:val="42"/>
                          </w:pPr>
                        </w:p>
                      </w:txbxContent>
                    </wps:txbx>
                    <wps:bodyPr wrap="none" lIns="0" tIns="0" rIns="0" bIns="0" upright="1">
                      <a:spAutoFit/>
                    </wps:bodyPr>
                  </wps:wsp>
                </a:graphicData>
              </a:graphic>
            </wp:anchor>
          </w:drawing>
        </mc:Choice>
        <mc:Fallback>
          <w:pict>
            <v:rect id="文本框 30" o:spid="_x0000_s1026" o:spt="1"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rdiTLEAQAAkQMAAA4AAAAAAAAAAQAgAAAAHwEAAGRycy9lMm9Eb2MueG1s&#10;UEsFBgAAAAAGAAYAWQEAAFUFAAAAAA==&#10;">
              <v:fill on="f" focussize="0,0"/>
              <v:stroke on="f"/>
              <v:imagedata o:title=""/>
              <o:lock v:ext="edit" aspectratio="f"/>
              <v:textbox inset="0mm,0mm,0mm,0mm" style="mso-fit-shape-to-text:t;">
                <w:txbxContent>
                  <w:p w14:paraId="09498336">
                    <w:pPr>
                      <w:pStyle w:val="42"/>
                    </w:pP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3CA88">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747EBB0">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uFH1/EAQAAkA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DW3CDWdOWLrxy4/vl5+/L7++&#10;sbfJnz5gRW0P4R6mDClMYocWbHqTDDZkT89XT9UQmaTicr1ar0uyW9LZnBBO8fh5AIzvlbcsBTUH&#10;urTspTh9xDi2zi1pmvN32hiqi8q4vwqEmSpFYjxyTFEc9sNEfO+bM8nt6b5r7mi9OTMfHNmZVmMO&#10;YA72c3AMoA8dUVtmXhjeHSORyNzShBF2GkwXldVNS5U24Wmeux5/p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uFH1/EAQAAkAMAAA4AAAAAAAAAAQAgAAAAHwEAAGRycy9lMm9Eb2MueG1s&#10;UEsFBgAAAAAGAAYAWQEAAFUFAAAAAA==&#10;">
              <v:fill on="f" focussize="0,0"/>
              <v:stroke on="f"/>
              <v:imagedata o:title=""/>
              <o:lock v:ext="edit" aspectratio="f"/>
              <v:textbox inset="0mm,0mm,0mm,0mm" style="mso-fit-shape-to-text:t;">
                <w:txbxContent>
                  <w:p w14:paraId="2747EBB0">
                    <w:pPr>
                      <w:pStyle w:val="42"/>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66AF6">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9618A2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fcj4DEAQAAkAMAAA4AAAAAAAAAAQAgAAAAHwEAAGRycy9lMm9Eb2MueG1s&#10;UEsFBgAAAAAGAAYAWQEAAFUFAAAAAA==&#10;">
              <v:fill on="f" focussize="0,0"/>
              <v:stroke on="f"/>
              <v:imagedata o:title=""/>
              <o:lock v:ext="edit" aspectratio="f"/>
              <v:textbox inset="0mm,0mm,0mm,0mm" style="mso-fit-shape-to-text:t;">
                <w:txbxContent>
                  <w:p w14:paraId="69618A26">
                    <w:pPr>
                      <w:pStyle w:val="42"/>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0F66C">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D1318E">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ZjoLHEAQAAkAMAAA4AAAAAAAAAAQAgAAAAHwEAAGRycy9lMm9Eb2MueG1s&#10;UEsFBgAAAAAGAAYAWQEAAFUFAAAAAA==&#10;">
              <v:fill on="f" focussize="0,0"/>
              <v:stroke on="f"/>
              <v:imagedata o:title=""/>
              <o:lock v:ext="edit" aspectratio="f"/>
              <v:textbox inset="0mm,0mm,0mm,0mm" style="mso-fit-shape-to-text:t;">
                <w:txbxContent>
                  <w:p w14:paraId="74D1318E">
                    <w:pPr>
                      <w:pStyle w:val="42"/>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0CAB0">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389D1E0">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zSv0+sMBAACRAwAADgAAAAAAAAABACAAAAAfAQAAZHJzL2Uyb0RvYy54bWxQ&#10;SwUGAAAAAAYABgBZAQAAVAUAAAAA&#10;">
              <v:fill on="f" focussize="0,0"/>
              <v:stroke on="f"/>
              <v:imagedata o:title=""/>
              <o:lock v:ext="edit" aspectratio="f"/>
              <v:textbox inset="0mm,0mm,0mm,0mm" style="mso-fit-shape-to-text:t;">
                <w:txbxContent>
                  <w:p w14:paraId="5389D1E0">
                    <w:pPr>
                      <w:pStyle w:val="42"/>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CF78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BF89D2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ESp3HEAQAAkQMAAA4AAAAAAAAAAQAgAAAAHwEAAGRycy9lMm9Eb2MueG1s&#10;UEsFBgAAAAAGAAYAWQEAAFUFAAAAAA==&#10;">
              <v:fill on="f" focussize="0,0"/>
              <v:stroke on="f"/>
              <v:imagedata o:title=""/>
              <o:lock v:ext="edit" aspectratio="f"/>
              <v:textbox inset="0mm,0mm,0mm,0mm" style="mso-fit-shape-to-text:t;">
                <w:txbxContent>
                  <w:p w14:paraId="5BF89D23">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2F523">
    <w:pPr>
      <w:rPr>
        <w:rFonts w:ascii="仿宋_GB2312" w:eastAsia="仿宋_GB2312"/>
      </w:rPr>
    </w:pPr>
    <w:r>
      <w:rPr>
        <w:rFonts w:ascii="Times New Roman" w:hAnsi="Times New Roman" w:eastAsia="宋体" w:cs="Times New Roman"/>
        <w:kern w:val="2"/>
        <w:sz w:val="21"/>
        <w:szCs w:val="24"/>
        <w:lang w:val="en-US" w:eastAsia="zh-CN" w:bidi="ar-SA"/>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4C31E9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dgec4xQEAAJEDAAAOAAAAAAAAAAEAIAAAAB8BAABkcnMvZTJvRG9jLnht&#10;bFBLBQYAAAAABgAGAFkBAABWBQAAAAA=&#10;">
              <v:fill on="f" focussize="0,0"/>
              <v:stroke on="f"/>
              <v:imagedata o:title=""/>
              <o:lock v:ext="edit" aspectratio="f"/>
              <v:textbox inset="0mm,0mm,0mm,0mm" style="mso-fit-shape-to-text:t;">
                <w:txbxContent>
                  <w:p w14:paraId="74C31E99">
                    <w:pPr>
                      <w:pStyle w:val="42"/>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DC132">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F696D80">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8yuLWxQEAAJEDAAAOAAAAAAAAAAEAIAAAAB8BAABkcnMvZTJvRG9jLnht&#10;bFBLBQYAAAAABgAGAFkBAABWBQAAAAA=&#10;">
              <v:fill on="f" focussize="0,0"/>
              <v:stroke on="f"/>
              <v:imagedata o:title=""/>
              <o:lock v:ext="edit" aspectratio="f"/>
              <v:textbox inset="0mm,0mm,0mm,0mm" style="mso-fit-shape-to-text:t;">
                <w:txbxContent>
                  <w:p w14:paraId="4F696D80">
                    <w:pPr>
                      <w:pStyle w:val="42"/>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29FB">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F0E4BF2">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WnZqrGAQAAkQMAAA4AAABkcnMvZTJvRG9jLnhtbK1TzY7TMBC+I/EO&#10;lu80SUG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Dla86csHTj5x/fzz9/n399&#10;Y9WbZNAQsKa++3AHc4YUJrVjBza9SQcbs6mnq6lqjExSsVotV6uS/JZ0dkkIp3j4PADG98pbloKG&#10;A91aNlMcP2KcWi8taZrzt9oYqovauL8KhJkqRWI8cUxRHHfjTHzn2xPpHejCG+5ovzkzHxz5mXbj&#10;EsAl2F2CQwC974lalXlheHeIRCJzSxMm2Hkw3VRWN29VWoXHee56+JM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JadmqsYBAACRAwAADgAAAAAAAAABACAAAAAfAQAAZHJzL2Uyb0RvYy54&#10;bWxQSwUGAAAAAAYABgBZAQAAVwUAAAAA&#10;">
              <v:fill on="f" focussize="0,0"/>
              <v:stroke on="f"/>
              <v:imagedata o:title=""/>
              <o:lock v:ext="edit" aspectratio="f"/>
              <v:textbox inset="0mm,0mm,0mm,0mm" style="mso-fit-shape-to-text:t;">
                <w:txbxContent>
                  <w:p w14:paraId="1F0E4BF2">
                    <w:pPr>
                      <w:pStyle w:val="42"/>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19A24">
    <w:pPr>
      <w:pStyle w:val="42"/>
      <w:framePr w:wrap="around" w:vAnchor="text" w:hAnchor="margin" w:xAlign="right" w:y="1"/>
      <w:rPr>
        <w:rStyle w:val="73"/>
      </w:rPr>
    </w:pPr>
    <w:r>
      <w:fldChar w:fldCharType="begin"/>
    </w:r>
    <w:r>
      <w:rPr>
        <w:rStyle w:val="73"/>
      </w:rPr>
      <w:instrText xml:space="preserve">PAGE  </w:instrText>
    </w:r>
    <w:r>
      <w:fldChar w:fldCharType="end"/>
    </w:r>
  </w:p>
  <w:p w14:paraId="2ECCBD8A">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AC86">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B5FB54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KNXuLEAQAAjwMAAA4AAABkcnMvZTJvRG9jLnhtbK1TzY7TMBC+I/EO&#10;lu80aQW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3fcO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KNXuLEAQAAjwMAAA4AAAAAAAAAAQAgAAAAHwEAAGRycy9lMm9Eb2MueG1s&#10;UEsFBgAAAAAGAAYAWQEAAFUFAAAAAA==&#10;">
              <v:fill on="f" focussize="0,0"/>
              <v:stroke on="f"/>
              <v:imagedata o:title=""/>
              <o:lock v:ext="edit" aspectratio="f"/>
              <v:textbox inset="0mm,0mm,0mm,0mm" style="mso-fit-shape-to-text:t;">
                <w:txbxContent>
                  <w:p w14:paraId="1B5FB54C">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12E3E">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9DE1D08">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OZjI7EAQAAjwMAAA4AAABkcnMvZTJvRG9jLnhtbK1TzY7TMBC+I/EO&#10;lu80aSV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W/4cwJSxd++fH98vP35dc3&#10;9j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OZjI7EAQAAjwMAAA4AAAAAAAAAAQAgAAAAHwEAAGRycy9lMm9Eb2MueG1s&#10;UEsFBgAAAAAGAAYAWQEAAFUFAAAAAA==&#10;">
              <v:fill on="f" focussize="0,0"/>
              <v:stroke on="f"/>
              <v:imagedata o:title=""/>
              <o:lock v:ext="edit" aspectratio="f"/>
              <v:textbox inset="0mm,0mm,0mm,0mm" style="mso-fit-shape-to-text:t;">
                <w:txbxContent>
                  <w:p w14:paraId="79DE1D08">
                    <w:pPr>
                      <w:pStyle w:val="42"/>
                    </w:pPr>
                    <w:r>
                      <w:t xml:space="preserve">第 </w:t>
                    </w:r>
                    <w:r>
                      <w:fldChar w:fldCharType="begin"/>
                    </w:r>
                    <w:r>
                      <w:instrText xml:space="preserve"> PAGE  \* MERGEFORMAT </w:instrText>
                    </w:r>
                    <w:r>
                      <w:fldChar w:fldCharType="separate"/>
                    </w:r>
                    <w:r>
                      <w:t>4</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51491">
    <w:pPr>
      <w:pStyle w:val="42"/>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FC8A73">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JDCUQ/EAQAAjwMAAA4AAAAAAAAAAQAgAAAAHwEAAGRycy9lMm9Eb2MueG1s&#10;UEsFBgAAAAAGAAYAWQEAAFUFAAAAAA==&#10;">
              <v:fill on="f" focussize="0,0"/>
              <v:stroke on="f"/>
              <v:imagedata o:title=""/>
              <o:lock v:ext="edit" aspectratio="f"/>
              <v:textbox inset="0mm,0mm,0mm,0mm" style="mso-fit-shape-to-text:t;">
                <w:txbxContent>
                  <w:p w14:paraId="44FC8A73">
                    <w:pPr>
                      <w:pStyle w:val="42"/>
                    </w:pPr>
                    <w:r>
                      <w:t xml:space="preserve">第 </w:t>
                    </w:r>
                    <w:r>
                      <w:fldChar w:fldCharType="begin"/>
                    </w:r>
                    <w:r>
                      <w:instrText xml:space="preserve"> PAGE  \* MERGEFORMAT </w:instrText>
                    </w:r>
                    <w:r>
                      <w:fldChar w:fldCharType="separate"/>
                    </w:r>
                    <w:r>
                      <w:t>3</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4D3BA">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C4B8334">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vbTqIcYBAACRAwAADgAAAAAAAAABACAAAAAfAQAAZHJzL2Uyb0RvYy54&#10;bWxQSwUGAAAAAAYABgBZAQAAVwUAAAAA&#10;">
              <v:fill on="f" focussize="0,0"/>
              <v:stroke on="f"/>
              <v:imagedata o:title=""/>
              <o:lock v:ext="edit" aspectratio="f"/>
              <v:textbox inset="0mm,0mm,0mm,0mm" style="mso-fit-shape-to-text:t;">
                <w:txbxContent>
                  <w:p w14:paraId="3C4B8334">
                    <w:pPr>
                      <w:pStyle w:val="42"/>
                    </w:pPr>
                    <w:r>
                      <w:t xml:space="preserve">第 </w:t>
                    </w:r>
                    <w:r>
                      <w:fldChar w:fldCharType="begin"/>
                    </w:r>
                    <w:r>
                      <w:instrText xml:space="preserve"> PAGE  \* MERGEFORMAT </w:instrText>
                    </w:r>
                    <w:r>
                      <w:fldChar w:fldCharType="separate"/>
                    </w:r>
                    <w:r>
                      <w:t>25</w:t>
                    </w:r>
                    <w:r>
                      <w:fldChar w:fldCharType="end"/>
                    </w:r>
                    <w:r>
                      <w:t xml:space="preserve"> 页</w:t>
                    </w:r>
                  </w:p>
                </w:txbxContent>
              </v:textbox>
            </v:rect>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59DB9">
    <w:pPr>
      <w:tabs>
        <w:tab w:val="left" w:pos="8775"/>
      </w:tabs>
      <w:spacing w:line="196" w:lineRule="auto"/>
      <w:ind w:left="2062"/>
      <w:rPr>
        <w:rFonts w:ascii="Times New Roman" w:hAnsi="Times New Roman" w:eastAsia="Times New Roman" w:cs="Times New Roman"/>
        <w:sz w:val="17"/>
        <w:szCs w:val="17"/>
      </w:rPr>
    </w:pPr>
    <w:r>
      <w:rPr>
        <w:rFonts w:ascii="Times New Roman" w:hAnsi="Times New Roman" w:eastAsia="宋体" w:cs="Times New Roman"/>
        <w:kern w:val="2"/>
        <w:sz w:val="17"/>
        <w:szCs w:val="24"/>
        <w:lang w:val="en-US" w:eastAsia="zh-CN" w:bidi="ar-SA"/>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Rectangle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0563E6C">
                          <w:pPr>
                            <w:pStyle w:val="42"/>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wrap="none" lIns="0" tIns="0" rIns="0" bIns="0" upright="1">
                      <a:spAutoFit/>
                    </wps:bodyPr>
                  </wps:wsp>
                </a:graphicData>
              </a:graphic>
            </wp:anchor>
          </w:drawing>
        </mc:Choice>
        <mc:Fallback>
          <w:pict>
            <v:rect id="Rectangle 6" o:spid="_x0000_s1026" o:spt="1"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5dblS&#10;0AAAAAUBAAAPAAAAAAAAAAEAIAAAACIAAABkcnMvZG93bnJldi54bWxQSwECFAAUAAAACACHTuJA&#10;5G93lbcBAACQAwAADgAAAAAAAAABACAAAAAfAQAAZHJzL2Uyb0RvYy54bWxQSwUGAAAAAAYABgBZ&#10;AQAASAUAAAAA&#10;">
              <v:fill on="f" focussize="0,0"/>
              <v:stroke on="f"/>
              <v:imagedata o:title=""/>
              <o:lock v:ext="edit" aspectratio="f"/>
              <v:textbox inset="0mm,0mm,0mm,0mm" style="mso-fit-shape-to-text:t;">
                <w:txbxContent>
                  <w:p w14:paraId="10563E6C">
                    <w:pPr>
                      <w:pStyle w:val="42"/>
                    </w:pPr>
                    <w:r>
                      <w:t xml:space="preserve">第 </w:t>
                    </w:r>
                    <w:r>
                      <w:fldChar w:fldCharType="begin"/>
                    </w:r>
                    <w:r>
                      <w:instrText xml:space="preserve"> PAGE  \* MERGEFORMAT </w:instrText>
                    </w:r>
                    <w:r>
                      <w:fldChar w:fldCharType="separate"/>
                    </w:r>
                    <w:r>
                      <w:t>26</w:t>
                    </w:r>
                    <w:r>
                      <w:fldChar w:fldCharType="end"/>
                    </w:r>
                    <w:r>
                      <w:t xml:space="preserve"> 页</w:t>
                    </w:r>
                  </w:p>
                </w:txbxContent>
              </v:textbox>
            </v:rect>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2BF81">
    <w:pPr>
      <w:pStyle w:val="42"/>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54C47B5">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33"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fo769xQEAAJADAAAOAAAAAAAAAAEAIAAAAB8BAABkcnMvZTJvRG9jLnht&#10;bFBLBQYAAAAABgAGAFkBAABWBQAAAAA=&#10;">
              <v:fill on="f" focussize="0,0"/>
              <v:stroke on="f"/>
              <v:imagedata o:title=""/>
              <o:lock v:ext="edit" aspectratio="f"/>
              <v:textbox inset="0mm,0mm,0mm,0mm" style="mso-fit-shape-to-text:t;">
                <w:txbxContent>
                  <w:p w14:paraId="154C47B5">
                    <w:pPr>
                      <w:pStyle w:val="42"/>
                    </w:pPr>
                    <w:r>
                      <w:t xml:space="preserve">第 </w:t>
                    </w:r>
                    <w:r>
                      <w:fldChar w:fldCharType="begin"/>
                    </w:r>
                    <w:r>
                      <w:instrText xml:space="preserve"> PAGE  \* MERGEFORMAT </w:instrText>
                    </w:r>
                    <w:r>
                      <w:fldChar w:fldCharType="separate"/>
                    </w:r>
                    <w:r>
                      <w:t>25</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39434">
    <w:pPr>
      <w:pStyle w:val="42"/>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6C47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CGzjrBxQEAAJADAAAOAAAAAAAAAAEAIAAAAB8BAABkcnMvZTJvRG9jLnht&#10;bFBLBQYAAAAABgAGAFkBAABWBQAAAAA=&#10;">
              <v:fill on="f" focussize="0,0"/>
              <v:stroke on="f"/>
              <v:imagedata o:title=""/>
              <o:lock v:ext="edit" aspectratio="f"/>
              <v:textbox inset="0mm,0mm,0mm,0mm" style="mso-fit-shape-to-text:t;">
                <w:txbxContent>
                  <w:p w14:paraId="506C4706">
                    <w:pPr>
                      <w:pStyle w:val="4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77</w:t>
                    </w:r>
                    <w:r>
                      <w:fldChar w:fldCharType="end"/>
                    </w:r>
                    <w:r>
                      <w:t xml:space="preserve"> 页</w:t>
                    </w:r>
                  </w:p>
                </w:txbxContent>
              </v:textbox>
            </v:rect>
          </w:pict>
        </mc:Fallback>
      </mc:AlternateContent>
    </w: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DD8FCD7">
                          <w:pPr>
                            <w:pStyle w:val="42"/>
                          </w:pPr>
                        </w:p>
                      </w:txbxContent>
                    </wps:txbx>
                    <wps:bodyPr wrap="none" lIns="0" tIns="0" rIns="0" bIns="0" upright="1">
                      <a:spAutoFit/>
                    </wps:bodyPr>
                  </wps:wsp>
                </a:graphicData>
              </a:graphic>
            </wp:anchor>
          </w:drawing>
        </mc:Choice>
        <mc:Fallback>
          <w:pict>
            <v:rect id="文本框 29"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oSgz7EAQAAkQMAAA4AAAAAAAAAAQAgAAAAHwEAAGRycy9lMm9Eb2MueG1s&#10;UEsFBgAAAAAGAAYAWQEAAFUFAAAAAA==&#10;">
              <v:fill on="f" focussize="0,0"/>
              <v:stroke on="f"/>
              <v:imagedata o:title=""/>
              <o:lock v:ext="edit" aspectratio="f"/>
              <v:textbox inset="0mm,0mm,0mm,0mm" style="mso-fit-shape-to-text:t;">
                <w:txbxContent>
                  <w:p w14:paraId="4DD8FCD7">
                    <w:pPr>
                      <w:pStyle w:val="42"/>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2A5EA">
    <w:pPr>
      <w:pStyle w:val="43"/>
      <w:pBdr>
        <w:bottom w:val="single" w:color="auto" w:sz="6" w:space="4"/>
      </w:pBdr>
      <w:jc w:val="right"/>
    </w:pPr>
    <w:r>
      <w:t></w:t>
    </w:r>
    <w:r>
      <w:rPr>
        <w:rFonts w:hint="eastAsia"/>
      </w:rPr>
      <w:t xml:space="preserve">             </w:t>
    </w:r>
    <w:r>
      <w:t>杭州市政府采购公开招标文件</w:t>
    </w:r>
  </w:p>
  <w:p w14:paraId="3C1515D3">
    <w:pPr>
      <w:pStyle w:val="61"/>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0A376">
    <w:pPr>
      <w:pStyle w:val="43"/>
      <w:jc w:val="right"/>
    </w:pPr>
    <w:r>
      <w:rPr>
        <w:rFonts w:hint="eastAsia"/>
      </w:rPr>
      <w:t xml:space="preserve">                                                                                                        </w:t>
    </w: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23412">
    <w:pPr>
      <w:pStyle w:val="43"/>
      <w:jc w:val="right"/>
      <w:rPr>
        <w:rFonts w:ascii="仿宋_GB2312" w:eastAsia="仿宋_GB2312"/>
        <w:b/>
        <w:i/>
        <w:iCs/>
        <w:u w:val="single"/>
      </w:rPr>
    </w:pP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E0F88">
    <w:pPr>
      <w:pStyle w:val="43"/>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66446">
    <w:pPr>
      <w:pStyle w:val="43"/>
      <w:pBdr>
        <w:bottom w:val="single" w:color="auto" w:sz="6" w:space="0"/>
      </w:pBdr>
      <w:tabs>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47F57">
    <w:pPr>
      <w:pStyle w:val="43"/>
      <w:jc w:val="right"/>
      <w:rPr>
        <w:rFonts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B237F">
    <w:pPr>
      <w:pStyle w:val="43"/>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56CB1">
    <w:pPr>
      <w:pStyle w:val="43"/>
      <w:rPr>
        <w:rFonts w:ascii="仿宋_GB2312" w:eastAsia="仿宋_GB2312"/>
        <w:b/>
        <w:i/>
        <w:u w:val="single"/>
      </w:rPr>
    </w:pPr>
    <w:r>
      <w:t></w:t>
    </w:r>
    <w:r>
      <w:rPr>
        <w:rFonts w:hint="eastAsia"/>
      </w:rPr>
      <w:t xml:space="preserve">                                                  </w:t>
    </w:r>
    <w:r>
      <w:t xml:space="preserve">             杭州市政府采购公开招标文件</w:t>
    </w:r>
  </w:p>
  <w:p w14:paraId="5314FD17">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BA8AE">
    <w:pPr>
      <w:pStyle w:val="43"/>
    </w:pPr>
    <w:r>
      <w:t></w:t>
    </w:r>
    <w:r>
      <w:rPr>
        <w:rFonts w:hint="eastAsia"/>
      </w:rPr>
      <w:t xml:space="preserve">         </w:t>
    </w:r>
  </w:p>
  <w:p w14:paraId="60DD4895">
    <w:pPr>
      <w:pStyle w:val="43"/>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9683">
    <w:pPr>
      <w:pStyle w:val="43"/>
      <w:rPr>
        <w:rFonts w:ascii="仿宋_GB2312" w:eastAsia="仿宋_GB2312"/>
        <w:b/>
        <w:i/>
        <w:u w:val="single"/>
      </w:rPr>
    </w:pPr>
    <w:r>
      <w:t></w:t>
    </w:r>
    <w:r>
      <w:rPr>
        <w:rFonts w:hint="eastAsia"/>
      </w:rPr>
      <w:t xml:space="preserve">                                                  </w:t>
    </w:r>
    <w:r>
      <w:t>杭州市政府采购公开招标文件</w:t>
    </w:r>
  </w:p>
  <w:p w14:paraId="231B45FD">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A48B4">
    <w:pPr>
      <w:pStyle w:val="43"/>
      <w:jc w:val="right"/>
    </w:pPr>
    <w:r>
      <w:t></w:t>
    </w:r>
    <w:r>
      <w:rPr>
        <w:rFonts w:hint="eastAsia"/>
      </w:rPr>
      <w:t xml:space="preserve">                 </w:t>
    </w:r>
    <w:r>
      <w:t xml:space="preserve">                                </w:t>
    </w: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2B595">
    <w:pPr>
      <w:pStyle w:val="43"/>
      <w:jc w:val="right"/>
      <w:rPr>
        <w:rFonts w:ascii="仿宋_GB2312" w:eastAsia="仿宋_GB2312"/>
        <w:b/>
        <w:i/>
        <w:u w:val="single"/>
      </w:rPr>
    </w:pPr>
    <w:r>
      <w:rPr>
        <w:rFonts w:hint="eastAsia"/>
      </w:rPr>
      <w:t xml:space="preserve">                                  </w:t>
    </w:r>
    <w:r>
      <w:t>杭州市政府采购公开招标文件</w:t>
    </w:r>
  </w:p>
  <w:p w14:paraId="1DB36785">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4"/>
      <w:numFmt w:val="chineseCounting"/>
      <w:suff w:val="space"/>
      <w:lvlText w:val="第%1部分"/>
      <w:lvlJc w:val="left"/>
      <w:rPr>
        <w:rFonts w:hint="eastAsia"/>
      </w:rPr>
    </w:lvl>
  </w:abstractNum>
  <w:abstractNum w:abstractNumId="1">
    <w:nsid w:val="00000001"/>
    <w:multiLevelType w:val="singleLevel"/>
    <w:tmpl w:val="00000001"/>
    <w:lvl w:ilvl="0" w:tentative="0">
      <w:start w:val="2"/>
      <w:numFmt w:val="decimal"/>
      <w:suff w:val="space"/>
      <w:lvlText w:val="%1."/>
      <w:lvlJc w:val="left"/>
      <w:pPr>
        <w:ind w:left="360" w:leftChars="0" w:firstLine="0" w:firstLineChars="0"/>
      </w:pPr>
    </w:lvl>
  </w:abstractNum>
  <w:abstractNum w:abstractNumId="2">
    <w:nsid w:val="17CD5671"/>
    <w:multiLevelType w:val="multilevel"/>
    <w:tmpl w:val="17CD567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C914EB"/>
    <w:multiLevelType w:val="multilevel"/>
    <w:tmpl w:val="32C914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AD55F2A"/>
    <w:multiLevelType w:val="multilevel"/>
    <w:tmpl w:val="5AD55F2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100691"/>
    <w:multiLevelType w:val="multilevel"/>
    <w:tmpl w:val="6F10069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53E2086"/>
    <w:multiLevelType w:val="multilevel"/>
    <w:tmpl w:val="753E20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195B6C"/>
    <w:rsid w:val="06FC5DAA"/>
    <w:rsid w:val="07315502"/>
    <w:rsid w:val="079375D8"/>
    <w:rsid w:val="0D180B0A"/>
    <w:rsid w:val="15FF4C2B"/>
    <w:rsid w:val="20963186"/>
    <w:rsid w:val="225A293F"/>
    <w:rsid w:val="237E2BC9"/>
    <w:rsid w:val="26BA06B6"/>
    <w:rsid w:val="2892026F"/>
    <w:rsid w:val="2A721D30"/>
    <w:rsid w:val="30E43BE6"/>
    <w:rsid w:val="341B154E"/>
    <w:rsid w:val="392B7FCA"/>
    <w:rsid w:val="3BAB67F1"/>
    <w:rsid w:val="3BB77314"/>
    <w:rsid w:val="3F043070"/>
    <w:rsid w:val="3FDA766E"/>
    <w:rsid w:val="418C2A9A"/>
    <w:rsid w:val="41D04DCF"/>
    <w:rsid w:val="47C9329B"/>
    <w:rsid w:val="49B13FCD"/>
    <w:rsid w:val="4A822353"/>
    <w:rsid w:val="4B6B258C"/>
    <w:rsid w:val="4C8D0224"/>
    <w:rsid w:val="4E456012"/>
    <w:rsid w:val="4E6D0ABA"/>
    <w:rsid w:val="54CC667E"/>
    <w:rsid w:val="55E53FFB"/>
    <w:rsid w:val="58E5194D"/>
    <w:rsid w:val="5B4848FC"/>
    <w:rsid w:val="5F8D1FD1"/>
    <w:rsid w:val="642207D6"/>
    <w:rsid w:val="686B61EB"/>
    <w:rsid w:val="690430DB"/>
    <w:rsid w:val="699243C0"/>
    <w:rsid w:val="6D767FA9"/>
    <w:rsid w:val="6FC83F81"/>
    <w:rsid w:val="70566167"/>
    <w:rsid w:val="78A25EF7"/>
    <w:rsid w:val="7EDC79A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16"/>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5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2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9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8"/>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8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26"/>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qFormat/>
    <w:uiPriority w:val="1"/>
  </w:style>
  <w:style w:type="table" w:default="1" w:styleId="63">
    <w:name w:val="Normal Table"/>
    <w:qFormat/>
    <w:uiPriority w:val="99"/>
    <w:pPr>
      <w:widowControl/>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736"/>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799"/>
    <w:qFormat/>
    <w:uiPriority w:val="0"/>
    <w:pPr>
      <w:spacing w:line="480" w:lineRule="exact"/>
      <w:ind w:firstLine="480" w:firstLineChars="200"/>
    </w:pPr>
    <w:rPr>
      <w:rFonts w:ascii="宋体" w:hAnsi="宋体"/>
      <w:sz w:val="24"/>
    </w:rPr>
  </w:style>
  <w:style w:type="paragraph" w:styleId="17">
    <w:name w:val="Body Text First Indent 2"/>
    <w:basedOn w:val="16"/>
    <w:next w:val="1"/>
    <w:link w:val="672"/>
    <w:qFormat/>
    <w:uiPriority w:val="0"/>
    <w:pPr>
      <w:adjustRightInd/>
      <w:spacing w:after="120" w:line="240" w:lineRule="auto"/>
      <w:ind w:left="420" w:leftChars="200" w:firstLine="210"/>
    </w:pPr>
    <w:rPr>
      <w:sz w:val="21"/>
    </w:rPr>
  </w:style>
  <w:style w:type="paragraph" w:styleId="18">
    <w:name w:val="caption"/>
    <w:basedOn w:val="1"/>
    <w:next w:val="1"/>
    <w:link w:val="768"/>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43"/>
    <w:qFormat/>
    <w:uiPriority w:val="0"/>
    <w:pPr>
      <w:shd w:val="clear" w:color="auto" w:fill="000080"/>
    </w:pPr>
  </w:style>
  <w:style w:type="paragraph" w:styleId="21">
    <w:name w:val="toa heading"/>
    <w:basedOn w:val="1"/>
    <w:next w:val="1"/>
    <w:qFormat/>
    <w:uiPriority w:val="99"/>
    <w:pPr>
      <w:spacing w:before="120"/>
    </w:pPr>
    <w:rPr>
      <w:rFonts w:ascii="Arial" w:hAnsi="Arial" w:eastAsia="仿宋_GB2312" w:cs="Arial"/>
      <w:b/>
      <w:bCs/>
      <w:color w:val="000000"/>
      <w:kern w:val="0"/>
      <w:sz w:val="24"/>
      <w:szCs w:val="21"/>
    </w:rPr>
  </w:style>
  <w:style w:type="paragraph" w:styleId="22">
    <w:name w:val="annotation text"/>
    <w:basedOn w:val="1"/>
    <w:link w:val="871"/>
    <w:qFormat/>
    <w:uiPriority w:val="99"/>
    <w:pPr>
      <w:jc w:val="left"/>
    </w:pPr>
  </w:style>
  <w:style w:type="paragraph" w:styleId="23">
    <w:name w:val="Salutation"/>
    <w:basedOn w:val="1"/>
    <w:next w:val="1"/>
    <w:link w:val="831"/>
    <w:qFormat/>
    <w:uiPriority w:val="0"/>
    <w:rPr>
      <w:rFonts w:ascii="仿宋_GB2312" w:eastAsia="仿宋_GB2312"/>
      <w:sz w:val="28"/>
      <w:szCs w:val="20"/>
    </w:rPr>
  </w:style>
  <w:style w:type="paragraph" w:styleId="24">
    <w:name w:val="Body Text 3"/>
    <w:basedOn w:val="1"/>
    <w:link w:val="859"/>
    <w:qFormat/>
    <w:uiPriority w:val="0"/>
    <w:pPr>
      <w:jc w:val="center"/>
    </w:pPr>
    <w:rPr>
      <w:szCs w:val="20"/>
    </w:rPr>
  </w:style>
  <w:style w:type="paragraph" w:styleId="25">
    <w:name w:val="List Bullet 3"/>
    <w:basedOn w:val="1"/>
    <w:qFormat/>
    <w:uiPriority w:val="0"/>
    <w:pPr>
      <w:snapToGrid w:val="0"/>
      <w:spacing w:line="360" w:lineRule="auto"/>
      <w:ind w:left="360" w:right="238" w:hanging="360"/>
      <w:contextualSpacing/>
    </w:pPr>
    <w:rPr>
      <w:sz w:val="24"/>
    </w:rPr>
  </w:style>
  <w:style w:type="paragraph" w:styleId="26">
    <w:name w:val="Body Text"/>
    <w:basedOn w:val="1"/>
    <w:next w:val="27"/>
    <w:link w:val="948"/>
    <w:qFormat/>
    <w:uiPriority w:val="0"/>
    <w:pPr>
      <w:autoSpaceDE w:val="0"/>
      <w:autoSpaceDN w:val="0"/>
      <w:spacing w:line="360" w:lineRule="auto"/>
    </w:pPr>
    <w:rPr>
      <w:rFonts w:ascii="宋体" w:hAnsi="Arial" w:cs="Arial"/>
      <w:snapToGrid w:val="0"/>
      <w:sz w:val="24"/>
      <w:szCs w:val="21"/>
      <w:lang w:val="zh-CN"/>
    </w:rPr>
  </w:style>
  <w:style w:type="paragraph" w:styleId="27">
    <w:name w:val="Body Text First Indent"/>
    <w:basedOn w:val="26"/>
    <w:link w:val="850"/>
    <w:qFormat/>
    <w:uiPriority w:val="0"/>
    <w:pPr>
      <w:ind w:firstLine="420"/>
    </w:pPr>
    <w:rPr>
      <w:rFonts w:hAnsi="Calibri" w:cs="Times New Roman"/>
      <w:szCs w:val="20"/>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60"/>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link w:val="676"/>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25"/>
    <w:qFormat/>
    <w:uiPriority w:val="0"/>
    <w:pPr>
      <w:ind w:left="100" w:leftChars="2500"/>
    </w:pPr>
    <w:rPr>
      <w:rFonts w:ascii="宋体"/>
      <w:sz w:val="24"/>
      <w:szCs w:val="21"/>
      <w:lang w:val="zh-CN"/>
    </w:rPr>
  </w:style>
  <w:style w:type="paragraph" w:styleId="39">
    <w:name w:val="Body Text Indent 2"/>
    <w:basedOn w:val="1"/>
    <w:link w:val="839"/>
    <w:qFormat/>
    <w:uiPriority w:val="0"/>
    <w:pPr>
      <w:spacing w:line="360" w:lineRule="auto"/>
      <w:ind w:firstLine="601"/>
      <w:textAlignment w:val="baseline"/>
    </w:pPr>
    <w:rPr>
      <w:rFonts w:ascii="宋体"/>
      <w:kern w:val="0"/>
      <w:sz w:val="28"/>
      <w:szCs w:val="20"/>
    </w:rPr>
  </w:style>
  <w:style w:type="paragraph" w:styleId="40">
    <w:name w:val="endnote text"/>
    <w:basedOn w:val="1"/>
    <w:link w:val="956"/>
    <w:qFormat/>
    <w:uiPriority w:val="0"/>
    <w:rPr>
      <w:lang w:val="zh-CN"/>
    </w:rPr>
  </w:style>
  <w:style w:type="paragraph" w:styleId="41">
    <w:name w:val="Balloon Text"/>
    <w:basedOn w:val="1"/>
    <w:link w:val="732"/>
    <w:qFormat/>
    <w:uiPriority w:val="0"/>
    <w:rPr>
      <w:sz w:val="18"/>
      <w:szCs w:val="18"/>
    </w:rPr>
  </w:style>
  <w:style w:type="paragraph" w:styleId="42">
    <w:name w:val="footer"/>
    <w:basedOn w:val="1"/>
    <w:link w:val="907"/>
    <w:qFormat/>
    <w:uiPriority w:val="99"/>
    <w:pPr>
      <w:tabs>
        <w:tab w:val="center" w:pos="4153"/>
        <w:tab w:val="right" w:pos="8306"/>
      </w:tabs>
      <w:snapToGrid w:val="0"/>
      <w:jc w:val="left"/>
    </w:pPr>
    <w:rPr>
      <w:sz w:val="18"/>
      <w:szCs w:val="18"/>
    </w:rPr>
  </w:style>
  <w:style w:type="paragraph" w:styleId="43">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72"/>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8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15"/>
    <w:link w:val="841"/>
    <w:qFormat/>
    <w:uiPriority w:val="0"/>
    <w:pPr>
      <w:adjustRightInd/>
      <w:snapToGrid/>
      <w:spacing w:before="60" w:after="60" w:line="300" w:lineRule="exact"/>
      <w:ind w:firstLine="0"/>
    </w:pPr>
    <w:rPr>
      <w:rFonts w:ascii="Calibri"/>
      <w:color w:val="0000FF"/>
      <w:kern w:val="0"/>
      <w:sz w:val="21"/>
    </w:rPr>
  </w:style>
  <w:style w:type="paragraph" w:styleId="53">
    <w:name w:val="toc 6"/>
    <w:basedOn w:val="1"/>
    <w:next w:val="1"/>
    <w:qFormat/>
    <w:uiPriority w:val="0"/>
    <w:pPr>
      <w:ind w:left="2100" w:leftChars="1000"/>
    </w:pPr>
  </w:style>
  <w:style w:type="paragraph" w:styleId="54">
    <w:name w:val="List 5"/>
    <w:basedOn w:val="1"/>
    <w:qFormat/>
    <w:uiPriority w:val="0"/>
    <w:pPr>
      <w:adjustRightInd/>
      <w:ind w:left="100" w:leftChars="800" w:hanging="200" w:hangingChars="200"/>
    </w:pPr>
  </w:style>
  <w:style w:type="paragraph" w:styleId="55">
    <w:name w:val="Body Text Indent 3"/>
    <w:basedOn w:val="1"/>
    <w:link w:val="900"/>
    <w:qFormat/>
    <w:uiPriority w:val="0"/>
    <w:pPr>
      <w:spacing w:line="360" w:lineRule="auto"/>
      <w:ind w:firstLine="420"/>
    </w:pPr>
    <w:rPr>
      <w:sz w:val="24"/>
      <w:szCs w:val="20"/>
    </w:rPr>
  </w:style>
  <w:style w:type="paragraph" w:styleId="56">
    <w:name w:val="toc 2"/>
    <w:basedOn w:val="1"/>
    <w:next w:val="1"/>
    <w:qFormat/>
    <w:uiPriority w:val="0"/>
    <w:pPr>
      <w:ind w:left="420" w:leftChars="200"/>
    </w:pPr>
  </w:style>
  <w:style w:type="paragraph" w:styleId="57">
    <w:name w:val="toc 9"/>
    <w:basedOn w:val="1"/>
    <w:next w:val="1"/>
    <w:qFormat/>
    <w:uiPriority w:val="0"/>
    <w:pPr>
      <w:ind w:left="3360" w:leftChars="1600"/>
    </w:pPr>
  </w:style>
  <w:style w:type="paragraph" w:styleId="58">
    <w:name w:val="Body Text 2"/>
    <w:basedOn w:val="1"/>
    <w:link w:val="835"/>
    <w:qFormat/>
    <w:uiPriority w:val="0"/>
    <w:pPr>
      <w:spacing w:after="120" w:line="480" w:lineRule="auto"/>
    </w:pPr>
  </w:style>
  <w:style w:type="paragraph" w:styleId="59">
    <w:name w:val="HTML Preformatted"/>
    <w:basedOn w:val="1"/>
    <w:link w:val="8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819"/>
    <w:qFormat/>
    <w:uiPriority w:val="10"/>
    <w:pPr>
      <w:widowControl/>
      <w:overflowPunct w:val="0"/>
      <w:autoSpaceDE w:val="0"/>
      <w:autoSpaceDN w:val="0"/>
      <w:jc w:val="center"/>
      <w:textAlignment w:val="baseline"/>
    </w:pPr>
    <w:rPr>
      <w:b/>
      <w:kern w:val="0"/>
      <w:sz w:val="24"/>
      <w:szCs w:val="20"/>
    </w:rPr>
  </w:style>
  <w:style w:type="paragraph" w:styleId="62">
    <w:name w:val="annotation subject"/>
    <w:basedOn w:val="22"/>
    <w:next w:val="22"/>
    <w:link w:val="649"/>
    <w:qFormat/>
    <w:uiPriority w:val="0"/>
    <w:rPr>
      <w:b/>
      <w:bCs/>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xl53"/>
    <w:basedOn w:val="1"/>
    <w:next w:val="1"/>
    <w:qFormat/>
    <w:uiPriority w:val="0"/>
    <w:pPr>
      <w:spacing w:before="280" w:after="280" w:line="100" w:lineRule="exact"/>
      <w:jc w:val="center"/>
    </w:pPr>
    <w:rPr>
      <w:b/>
      <w:sz w:val="20"/>
    </w:rPr>
  </w:style>
  <w:style w:type="paragraph" w:customStyle="1" w:styleId="81">
    <w:name w:val="Quote1"/>
    <w:basedOn w:val="1"/>
    <w:next w:val="1"/>
    <w:qFormat/>
    <w:uiPriority w:val="99"/>
    <w:pPr>
      <w:widowControl/>
      <w:wordWrap w:val="0"/>
      <w:spacing w:before="200" w:after="160"/>
      <w:ind w:left="864" w:right="864"/>
      <w:jc w:val="center"/>
    </w:pPr>
    <w:rPr>
      <w:rFonts w:ascii="宋体"/>
      <w:i/>
      <w:color w:val="404040"/>
    </w:rPr>
  </w:style>
  <w:style w:type="paragraph" w:customStyle="1" w:styleId="82">
    <w:name w:val="_Style 3"/>
    <w:basedOn w:val="1"/>
    <w:qFormat/>
    <w:uiPriority w:val="0"/>
    <w:pPr>
      <w:adjustRightInd/>
      <w:ind w:firstLine="420" w:firstLineChars="200"/>
    </w:pPr>
    <w:rPr>
      <w:rFonts w:eastAsia="仿宋_GB2312"/>
      <w:sz w:val="28"/>
    </w:rPr>
  </w:style>
  <w:style w:type="paragraph" w:customStyle="1" w:styleId="8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4">
    <w:name w:val="表格文字"/>
    <w:basedOn w:val="35"/>
    <w:next w:val="26"/>
    <w:qFormat/>
    <w:uiPriority w:val="0"/>
    <w:pPr>
      <w:adjustRightInd/>
      <w:ind w:firstLine="200" w:firstLineChars="200"/>
    </w:pPr>
    <w:rPr>
      <w:rFonts w:ascii="Arial" w:hAnsi="Arial"/>
      <w:spacing w:val="-5"/>
      <w:kern w:val="0"/>
      <w:sz w:val="24"/>
      <w:szCs w:val="20"/>
    </w:rPr>
  </w:style>
  <w:style w:type="paragraph" w:customStyle="1" w:styleId="85">
    <w:name w:val="[Normal]"/>
    <w:qFormat/>
    <w:uiPriority w:val="0"/>
    <w:rPr>
      <w:rFonts w:ascii="宋体" w:hAnsi="宋体" w:eastAsia="宋体" w:cs="Times New Roman"/>
      <w:sz w:val="24"/>
      <w:szCs w:val="22"/>
      <w:lang w:val="zh-CN" w:eastAsia="zh-CN" w:bidi="ar-SA"/>
    </w:rPr>
  </w:style>
  <w:style w:type="paragraph" w:customStyle="1" w:styleId="86">
    <w:name w:val="正文空2字"/>
    <w:basedOn w:val="87"/>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7">
    <w:name w:val="左对齐正文"/>
    <w:qFormat/>
    <w:uiPriority w:val="99"/>
    <w:rPr>
      <w:rFonts w:ascii="Calibri" w:hAnsi="Calibri" w:eastAsia="仿宋_GB2312" w:cs="Calibri"/>
      <w:kern w:val="2"/>
      <w:sz w:val="32"/>
      <w:szCs w:val="32"/>
      <w:lang w:val="en-US" w:eastAsia="zh-CN" w:bidi="ar-SA"/>
    </w:rPr>
  </w:style>
  <w:style w:type="paragraph" w:customStyle="1" w:styleId="88">
    <w:name w:val="正文文本首行缩进 2"/>
    <w:basedOn w:val="89"/>
    <w:qFormat/>
    <w:uiPriority w:val="99"/>
    <w:pPr>
      <w:tabs>
        <w:tab w:val="right" w:leader="dot" w:pos="8268"/>
      </w:tabs>
      <w:spacing w:line="200" w:lineRule="atLeast"/>
      <w:ind w:firstLine="420"/>
    </w:pPr>
    <w:rPr>
      <w:rFonts w:ascii="宋体" w:hAnsi="Courier New"/>
      <w:spacing w:val="-4"/>
      <w:sz w:val="18"/>
    </w:rPr>
  </w:style>
  <w:style w:type="paragraph" w:customStyle="1" w:styleId="89">
    <w:name w:val="正文缩进1"/>
    <w:basedOn w:val="90"/>
    <w:next w:val="16"/>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90">
    <w:name w:val="正文1"/>
    <w:basedOn w:val="34"/>
    <w:next w:val="91"/>
    <w:qFormat/>
    <w:uiPriority w:val="0"/>
    <w:pPr>
      <w:ind w:left="0" w:leftChars="0" w:firstLine="480" w:firstLineChars="200"/>
    </w:pPr>
    <w:rPr>
      <w:rFonts w:ascii="仿宋_GB2312" w:hAnsi="Courier New" w:eastAsia="仿宋_GB2312"/>
      <w:kern w:val="28"/>
      <w:sz w:val="24"/>
    </w:rPr>
  </w:style>
  <w:style w:type="paragraph" w:customStyle="1" w:styleId="91">
    <w:name w:val="标题 21"/>
    <w:basedOn w:val="90"/>
    <w:next w:val="90"/>
    <w:qFormat/>
    <w:uiPriority w:val="0"/>
    <w:pPr>
      <w:keepNext/>
      <w:keepLines/>
      <w:tabs>
        <w:tab w:val="clear" w:pos="8268"/>
      </w:tabs>
      <w:ind w:left="106" w:firstLine="454"/>
      <w:outlineLvl w:val="1"/>
    </w:pPr>
    <w:rPr>
      <w:rFonts w:ascii="Arial" w:hAnsi="Arial" w:eastAsia="??"/>
      <w:b/>
      <w:bCs/>
      <w:szCs w:val="32"/>
    </w:rPr>
  </w:style>
  <w:style w:type="paragraph" w:customStyle="1" w:styleId="92">
    <w:name w:val="Default"/>
    <w:link w:val="77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3">
    <w:name w:val="表格非标题文字"/>
    <w:link w:val="638"/>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94">
    <w:name w:val="*正文"/>
    <w:basedOn w:val="1"/>
    <w:link w:val="639"/>
    <w:qFormat/>
    <w:uiPriority w:val="0"/>
    <w:pPr>
      <w:snapToGrid w:val="0"/>
      <w:spacing w:line="360" w:lineRule="auto"/>
      <w:ind w:firstLine="482"/>
      <w:jc w:val="left"/>
    </w:pPr>
    <w:rPr>
      <w:rFonts w:ascii="宋体" w:hAnsi="宋体"/>
      <w:kern w:val="0"/>
      <w:sz w:val="24"/>
      <w:szCs w:val="20"/>
    </w:rPr>
  </w:style>
  <w:style w:type="paragraph" w:customStyle="1" w:styleId="95">
    <w:name w:val="U_正文"/>
    <w:basedOn w:val="1"/>
    <w:link w:val="647"/>
    <w:qFormat/>
    <w:uiPriority w:val="0"/>
    <w:pPr>
      <w:adjustRightInd/>
      <w:spacing w:beforeLines="20" w:afterLines="20" w:line="300" w:lineRule="auto"/>
      <w:ind w:firstLine="200" w:firstLineChars="200"/>
    </w:pPr>
    <w:rPr>
      <w:kern w:val="0"/>
      <w:sz w:val="24"/>
    </w:rPr>
  </w:style>
  <w:style w:type="paragraph" w:customStyle="1" w:styleId="96">
    <w:name w:val="哈哈正文"/>
    <w:basedOn w:val="1"/>
    <w:link w:val="654"/>
    <w:qFormat/>
    <w:uiPriority w:val="0"/>
    <w:pPr>
      <w:adjustRightInd/>
      <w:spacing w:line="360" w:lineRule="auto"/>
      <w:ind w:firstLine="200" w:firstLineChars="200"/>
    </w:pPr>
    <w:rPr>
      <w:rFonts w:ascii="宋体" w:hAnsi="宋体"/>
      <w:sz w:val="24"/>
      <w:szCs w:val="20"/>
    </w:rPr>
  </w:style>
  <w:style w:type="paragraph" w:customStyle="1" w:styleId="97">
    <w:name w:val="5正文"/>
    <w:basedOn w:val="1"/>
    <w:link w:val="667"/>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8">
    <w:name w:val="正文2"/>
    <w:basedOn w:val="99"/>
    <w:link w:val="681"/>
    <w:qFormat/>
    <w:uiPriority w:val="0"/>
    <w:pPr>
      <w:spacing w:before="156" w:line="360" w:lineRule="auto"/>
      <w:ind w:firstLine="510" w:firstLineChars="200"/>
    </w:pPr>
    <w:rPr>
      <w:sz w:val="24"/>
      <w:szCs w:val="20"/>
    </w:rPr>
  </w:style>
  <w:style w:type="paragraph" w:customStyle="1" w:styleId="99">
    <w:name w:val="正文11"/>
    <w:next w:val="9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宋体" w:cs="Times New Roman"/>
      <w:b/>
      <w:lang w:val="en-US" w:eastAsia="zh-CN" w:bidi="ar-SA"/>
    </w:rPr>
  </w:style>
  <w:style w:type="paragraph" w:customStyle="1" w:styleId="100">
    <w:name w:val="无间隔1"/>
    <w:link w:val="689"/>
    <w:qFormat/>
    <w:uiPriority w:val="1"/>
    <w:rPr>
      <w:rFonts w:ascii="Times New Roman" w:hAnsi="Times New Roman" w:eastAsia="宋体" w:cs="Times New Roman"/>
      <w:sz w:val="22"/>
      <w:szCs w:val="22"/>
      <w:lang w:val="en-US" w:eastAsia="zh-CN" w:bidi="ar-SA"/>
    </w:rPr>
  </w:style>
  <w:style w:type="paragraph" w:customStyle="1" w:styleId="101">
    <w:name w:val="纯文本_0_0"/>
    <w:basedOn w:val="102"/>
    <w:link w:val="697"/>
    <w:qFormat/>
    <w:uiPriority w:val="0"/>
    <w:rPr>
      <w:rFonts w:ascii="宋体" w:hAnsi="Courier New"/>
      <w:szCs w:val="21"/>
    </w:rPr>
  </w:style>
  <w:style w:type="paragraph" w:customStyle="1" w:styleId="10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绿盟科技）"/>
    <w:link w:val="707"/>
    <w:qFormat/>
    <w:uiPriority w:val="0"/>
    <w:pPr>
      <w:spacing w:line="300" w:lineRule="auto"/>
    </w:pPr>
    <w:rPr>
      <w:rFonts w:ascii="Arial" w:hAnsi="Arial" w:eastAsia="宋体" w:cs="Times New Roman"/>
      <w:sz w:val="21"/>
      <w:szCs w:val="21"/>
      <w:lang w:val="en-US" w:eastAsia="zh-CN" w:bidi="ar-SA"/>
    </w:rPr>
  </w:style>
  <w:style w:type="paragraph" w:customStyle="1" w:styleId="104">
    <w:name w:val="表格名称"/>
    <w:basedOn w:val="3"/>
    <w:link w:val="715"/>
    <w:qFormat/>
    <w:uiPriority w:val="0"/>
    <w:pPr>
      <w:snapToGrid w:val="0"/>
      <w:spacing w:before="240" w:after="240" w:line="240" w:lineRule="auto"/>
      <w:ind w:left="0" w:firstLine="0"/>
    </w:pPr>
    <w:rPr>
      <w:rFonts w:ascii="Calibri" w:hAnsi="Calibri"/>
      <w:b w:val="0"/>
      <w:bCs w:val="0"/>
      <w:kern w:val="0"/>
      <w:szCs w:val="20"/>
    </w:rPr>
  </w:style>
  <w:style w:type="paragraph" w:customStyle="1" w:styleId="105">
    <w:name w:val="my正文"/>
    <w:basedOn w:val="1"/>
    <w:link w:val="735"/>
    <w:qFormat/>
    <w:uiPriority w:val="0"/>
    <w:pPr>
      <w:adjustRightInd/>
      <w:spacing w:line="360" w:lineRule="auto"/>
      <w:ind w:firstLine="480" w:firstLineChars="200"/>
    </w:pPr>
    <w:rPr>
      <w:rFonts w:ascii="Tahoma" w:hAnsi="Tahoma"/>
      <w:kern w:val="0"/>
      <w:sz w:val="24"/>
    </w:rPr>
  </w:style>
  <w:style w:type="paragraph" w:customStyle="1" w:styleId="106">
    <w:name w:val="3级"/>
    <w:basedOn w:val="107"/>
    <w:link w:val="741"/>
    <w:qFormat/>
    <w:uiPriority w:val="0"/>
    <w:pPr>
      <w:ind w:left="0" w:right="466" w:firstLine="288"/>
    </w:pPr>
    <w:rPr>
      <w:rFonts w:hAnsi="宋体"/>
    </w:rPr>
  </w:style>
  <w:style w:type="paragraph" w:customStyle="1" w:styleId="10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8">
    <w:name w:val="标题4-dyf"/>
    <w:basedOn w:val="5"/>
    <w:link w:val="763"/>
    <w:qFormat/>
    <w:uiPriority w:val="0"/>
    <w:pPr>
      <w:tabs>
        <w:tab w:val="clear" w:pos="864"/>
      </w:tabs>
      <w:adjustRightInd/>
      <w:spacing w:line="376" w:lineRule="atLeast"/>
      <w:ind w:left="851" w:hanging="851"/>
    </w:pPr>
    <w:rPr>
      <w:rFonts w:ascii="Cambria" w:hAnsi="Cambria" w:eastAsia="宋体"/>
      <w:color w:val="000000"/>
      <w:sz w:val="21"/>
      <w:szCs w:val="21"/>
    </w:rPr>
  </w:style>
  <w:style w:type="paragraph" w:customStyle="1" w:styleId="109">
    <w:name w:val="冯"/>
    <w:basedOn w:val="1"/>
    <w:link w:val="765"/>
    <w:qFormat/>
    <w:uiPriority w:val="0"/>
    <w:pPr>
      <w:widowControl/>
      <w:adjustRightInd/>
      <w:spacing w:line="360" w:lineRule="auto"/>
      <w:ind w:firstLine="480" w:firstLineChars="200"/>
    </w:pPr>
    <w:rPr>
      <w:rFonts w:ascii="宋体" w:hAnsi="宋体"/>
      <w:color w:val="000000"/>
      <w:kern w:val="0"/>
      <w:sz w:val="24"/>
    </w:rPr>
  </w:style>
  <w:style w:type="paragraph" w:customStyle="1" w:styleId="110">
    <w:name w:val="正文样式"/>
    <w:basedOn w:val="1"/>
    <w:link w:val="783"/>
    <w:qFormat/>
    <w:uiPriority w:val="0"/>
    <w:pPr>
      <w:adjustRightInd/>
      <w:spacing w:line="360" w:lineRule="auto"/>
      <w:ind w:firstLine="480" w:firstLineChars="200"/>
    </w:pPr>
    <w:rPr>
      <w:kern w:val="0"/>
      <w:sz w:val="24"/>
    </w:rPr>
  </w:style>
  <w:style w:type="paragraph" w:customStyle="1" w:styleId="111">
    <w:name w:val="gf正文1"/>
    <w:basedOn w:val="1"/>
    <w:link w:val="789"/>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12">
    <w:name w:val="列表1"/>
    <w:basedOn w:val="1"/>
    <w:next w:val="113"/>
    <w:link w:val="79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13">
    <w:name w:val="List Paragraph_d671f093-5a87-402a-8b2f-c64e57f518a8"/>
    <w:basedOn w:val="1"/>
    <w:qFormat/>
    <w:uiPriority w:val="34"/>
    <w:pPr>
      <w:spacing w:line="360" w:lineRule="auto"/>
      <w:ind w:firstLine="200" w:firstLineChars="200"/>
    </w:pPr>
    <w:rPr>
      <w:rFonts w:eastAsia="楷体_GB2312" w:cs="Lucida Sans"/>
      <w:sz w:val="24"/>
    </w:rPr>
  </w:style>
  <w:style w:type="paragraph" w:customStyle="1" w:styleId="114">
    <w:name w:val="此正文"/>
    <w:basedOn w:val="1"/>
    <w:link w:val="814"/>
    <w:qFormat/>
    <w:uiPriority w:val="0"/>
    <w:pPr>
      <w:adjustRightInd/>
      <w:spacing w:line="360" w:lineRule="auto"/>
      <w:ind w:firstLine="200" w:firstLineChars="200"/>
    </w:pPr>
    <w:rPr>
      <w:sz w:val="24"/>
    </w:rPr>
  </w:style>
  <w:style w:type="paragraph" w:customStyle="1" w:styleId="115">
    <w:name w:val="样式 样式 标题 4h4H4Fab-4T5Ref Heading 1rh1Heading sqlsect 1.2.3.... +..."/>
    <w:basedOn w:val="116"/>
    <w:link w:val="836"/>
    <w:qFormat/>
    <w:uiPriority w:val="0"/>
    <w:pPr>
      <w:tabs>
        <w:tab w:val="left" w:pos="2356"/>
      </w:tabs>
    </w:pPr>
  </w:style>
  <w:style w:type="paragraph" w:customStyle="1" w:styleId="116">
    <w:name w:val="样式 标题 4h4H4Fab-4T5Ref Heading 1rh1Heading sqlsect 1.2.3...."/>
    <w:basedOn w:val="5"/>
    <w:link w:val="933"/>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7">
    <w:name w:val="Item List"/>
    <w:link w:val="847"/>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8">
    <w:name w:val="纯文本1"/>
    <w:basedOn w:val="1"/>
    <w:link w:val="849"/>
    <w:qFormat/>
    <w:uiPriority w:val="0"/>
    <w:pPr>
      <w:adjustRightInd/>
    </w:pPr>
    <w:rPr>
      <w:rFonts w:ascii="宋体" w:hAnsi="Courier New"/>
      <w:kern w:val="0"/>
      <w:sz w:val="20"/>
      <w:szCs w:val="20"/>
    </w:rPr>
  </w:style>
  <w:style w:type="paragraph" w:customStyle="1" w:styleId="119">
    <w:name w:val="正文说明"/>
    <w:basedOn w:val="1"/>
    <w:link w:val="861"/>
    <w:qFormat/>
    <w:uiPriority w:val="0"/>
    <w:pPr>
      <w:adjustRightInd/>
      <w:spacing w:line="360" w:lineRule="auto"/>
    </w:pPr>
    <w:rPr>
      <w:kern w:val="0"/>
      <w:sz w:val="24"/>
    </w:rPr>
  </w:style>
  <w:style w:type="paragraph" w:customStyle="1" w:styleId="120">
    <w:name w:val="Table Text"/>
    <w:basedOn w:val="1"/>
    <w:link w:val="867"/>
    <w:qFormat/>
    <w:uiPriority w:val="0"/>
    <w:pPr>
      <w:widowControl/>
      <w:spacing w:before="60" w:after="60"/>
      <w:jc w:val="left"/>
    </w:pPr>
    <w:rPr>
      <w:kern w:val="0"/>
      <w:sz w:val="24"/>
    </w:rPr>
  </w:style>
  <w:style w:type="paragraph" w:customStyle="1" w:styleId="121">
    <w:name w:val="公文正文"/>
    <w:basedOn w:val="1"/>
    <w:link w:val="879"/>
    <w:qFormat/>
    <w:uiPriority w:val="0"/>
    <w:pPr>
      <w:adjustRightInd/>
      <w:spacing w:before="156" w:line="360" w:lineRule="auto"/>
      <w:ind w:firstLine="360" w:firstLineChars="200"/>
    </w:pPr>
    <w:rPr>
      <w:rFonts w:ascii="仿宋_GB2312" w:eastAsia="仿宋_GB2312"/>
      <w:sz w:val="24"/>
    </w:rPr>
  </w:style>
  <w:style w:type="paragraph" w:customStyle="1" w:styleId="122">
    <w:name w:val="正文（缩进2汉字）"/>
    <w:basedOn w:val="1"/>
    <w:link w:val="88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23">
    <w:name w:val="b11_01b"/>
    <w:basedOn w:val="1"/>
    <w:next w:val="1"/>
    <w:link w:val="90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24">
    <w:name w:val="段落"/>
    <w:basedOn w:val="1"/>
    <w:link w:val="912"/>
    <w:qFormat/>
    <w:uiPriority w:val="0"/>
    <w:pPr>
      <w:adjustRightInd/>
      <w:spacing w:line="360" w:lineRule="auto"/>
      <w:ind w:firstLine="480" w:firstLineChars="200"/>
    </w:pPr>
    <w:rPr>
      <w:rFonts w:ascii="宋体" w:hAnsi="宋体"/>
      <w:kern w:val="0"/>
      <w:sz w:val="24"/>
      <w:szCs w:val="20"/>
    </w:rPr>
  </w:style>
  <w:style w:type="paragraph" w:customStyle="1" w:styleId="125">
    <w:name w:val="正文段"/>
    <w:basedOn w:val="1"/>
    <w:link w:val="919"/>
    <w:qFormat/>
    <w:uiPriority w:val="0"/>
    <w:pPr>
      <w:widowControl/>
      <w:snapToGrid w:val="0"/>
      <w:spacing w:after="156" w:afterLines="50"/>
      <w:ind w:firstLine="200" w:firstLineChars="200"/>
    </w:pPr>
    <w:rPr>
      <w:kern w:val="0"/>
      <w:sz w:val="24"/>
      <w:szCs w:val="20"/>
    </w:rPr>
  </w:style>
  <w:style w:type="paragraph" w:customStyle="1" w:styleId="126">
    <w:name w:val="冯广丽"/>
    <w:basedOn w:val="1"/>
    <w:link w:val="922"/>
    <w:qFormat/>
    <w:uiPriority w:val="0"/>
    <w:pPr>
      <w:adjustRightInd/>
      <w:spacing w:line="360" w:lineRule="auto"/>
      <w:ind w:firstLine="480" w:firstLineChars="200"/>
    </w:pPr>
    <w:rPr>
      <w:rFonts w:ascii="宋体" w:hAnsi="宋体"/>
      <w:sz w:val="24"/>
      <w:szCs w:val="22"/>
    </w:rPr>
  </w:style>
  <w:style w:type="paragraph" w:customStyle="1" w:styleId="127">
    <w:name w:val="编号，小四"/>
    <w:basedOn w:val="1"/>
    <w:link w:val="928"/>
    <w:qFormat/>
    <w:uiPriority w:val="0"/>
    <w:pPr>
      <w:tabs>
        <w:tab w:val="left" w:pos="432"/>
      </w:tabs>
      <w:adjustRightInd/>
      <w:spacing w:line="360" w:lineRule="auto"/>
      <w:ind w:left="432" w:hanging="432"/>
    </w:pPr>
    <w:rPr>
      <w:rFonts w:ascii="Arial" w:hAnsi="Arial"/>
      <w:kern w:val="0"/>
      <w:sz w:val="24"/>
      <w:szCs w:val="20"/>
    </w:rPr>
  </w:style>
  <w:style w:type="paragraph" w:customStyle="1" w:styleId="128">
    <w:name w:val="仿宋正文"/>
    <w:basedOn w:val="1"/>
    <w:link w:val="935"/>
    <w:qFormat/>
    <w:uiPriority w:val="0"/>
    <w:pPr>
      <w:adjustRightInd/>
      <w:spacing w:line="360" w:lineRule="auto"/>
      <w:ind w:firstLine="480" w:firstLineChars="200"/>
    </w:pPr>
    <w:rPr>
      <w:rFonts w:ascii="仿宋_GB2312" w:eastAsia="仿宋_GB2312"/>
      <w:sz w:val="24"/>
      <w:szCs w:val="20"/>
    </w:rPr>
  </w:style>
  <w:style w:type="paragraph" w:customStyle="1" w:styleId="129">
    <w:name w:val="样式 正文缩进 + 首行缩进:  2 字符"/>
    <w:basedOn w:val="15"/>
    <w:link w:val="947"/>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0">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3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3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3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3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3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37">
    <w:name w:val="标题4_自定义"/>
    <w:basedOn w:val="5"/>
    <w:qFormat/>
    <w:uiPriority w:val="0"/>
    <w:pPr>
      <w:adjustRightInd/>
      <w:spacing w:before="0" w:after="0" w:line="360" w:lineRule="auto"/>
    </w:pPr>
    <w:rPr>
      <w:rFonts w:ascii="Verdana" w:eastAsia="Verdana"/>
      <w:sz w:val="21"/>
      <w:lang w:val="en-US"/>
    </w:rPr>
  </w:style>
  <w:style w:type="paragraph" w:customStyle="1" w:styleId="138">
    <w:name w:val="正文 内标 序号标"/>
    <w:basedOn w:val="139"/>
    <w:qFormat/>
    <w:uiPriority w:val="0"/>
    <w:pPr>
      <w:tabs>
        <w:tab w:val="left" w:pos="0"/>
      </w:tabs>
      <w:adjustRightInd/>
      <w:spacing w:before="0"/>
      <w:ind w:firstLine="482"/>
    </w:pPr>
    <w:rPr>
      <w:rFonts w:ascii="微软雅黑" w:hAnsi="微软雅黑"/>
      <w:sz w:val="24"/>
      <w:szCs w:val="24"/>
    </w:rPr>
  </w:style>
  <w:style w:type="paragraph" w:customStyle="1" w:styleId="139">
    <w:name w:val="My正文"/>
    <w:basedOn w:val="1"/>
    <w:qFormat/>
    <w:uiPriority w:val="0"/>
    <w:pPr>
      <w:spacing w:before="120" w:line="360" w:lineRule="auto"/>
      <w:ind w:firstLine="567"/>
    </w:pPr>
    <w:rPr>
      <w:rFonts w:ascii="Arial" w:hAnsi="Arial"/>
      <w:sz w:val="20"/>
      <w:szCs w:val="20"/>
    </w:rPr>
  </w:style>
  <w:style w:type="paragraph" w:customStyle="1" w:styleId="14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4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43">
    <w:name w:val="修订2"/>
    <w:qFormat/>
    <w:uiPriority w:val="0"/>
    <w:rPr>
      <w:rFonts w:ascii="Times New Roman" w:hAnsi="Times New Roman" w:eastAsia="宋体" w:cs="Times New Roman"/>
      <w:kern w:val="2"/>
      <w:sz w:val="21"/>
      <w:lang w:val="en-US" w:eastAsia="zh-CN" w:bidi="ar-SA"/>
    </w:rPr>
  </w:style>
  <w:style w:type="paragraph" w:customStyle="1" w:styleId="14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6">
    <w:name w:val="文章标题"/>
    <w:next w:val="14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7">
    <w:name w:val="封面公司名"/>
    <w:qFormat/>
    <w:uiPriority w:val="0"/>
    <w:pPr>
      <w:jc w:val="center"/>
    </w:pPr>
    <w:rPr>
      <w:rFonts w:ascii="Arial" w:hAnsi="Arial" w:eastAsia="楷体_GB2312" w:cs="宋体"/>
      <w:bCs/>
      <w:kern w:val="2"/>
      <w:sz w:val="28"/>
      <w:lang w:val="en-US" w:eastAsia="zh-CN" w:bidi="ar-SA"/>
    </w:rPr>
  </w:style>
  <w:style w:type="paragraph" w:customStyle="1" w:styleId="148">
    <w:name w:val="Char1 Char Char Char5"/>
    <w:basedOn w:val="1"/>
    <w:qFormat/>
    <w:uiPriority w:val="0"/>
    <w:pPr>
      <w:adjustRightInd/>
      <w:ind w:firstLine="200" w:firstLineChars="200"/>
    </w:pPr>
    <w:rPr>
      <w:rFonts w:ascii="Tahoma" w:hAnsi="Tahoma"/>
      <w:sz w:val="24"/>
      <w:szCs w:val="20"/>
    </w:rPr>
  </w:style>
  <w:style w:type="paragraph" w:customStyle="1" w:styleId="14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1">
    <w:name w:val="Char Char Char Char Char Char Char Char"/>
    <w:basedOn w:val="1"/>
    <w:qFormat/>
    <w:uiPriority w:val="0"/>
    <w:pPr>
      <w:tabs>
        <w:tab w:val="left" w:pos="360"/>
      </w:tabs>
    </w:pPr>
    <w:rPr>
      <w:sz w:val="24"/>
      <w:szCs w:val="20"/>
    </w:rPr>
  </w:style>
  <w:style w:type="paragraph" w:customStyle="1" w:styleId="152">
    <w:name w:val="Char Char11 Char Char Char"/>
    <w:basedOn w:val="1"/>
    <w:qFormat/>
    <w:uiPriority w:val="0"/>
    <w:pPr>
      <w:spacing w:line="360" w:lineRule="auto"/>
    </w:pPr>
    <w:rPr>
      <w:szCs w:val="20"/>
    </w:rPr>
  </w:style>
  <w:style w:type="paragraph" w:customStyle="1" w:styleId="15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5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55">
    <w:name w:val="样式3"/>
    <w:basedOn w:val="156"/>
    <w:qFormat/>
    <w:uiPriority w:val="0"/>
    <w:pPr>
      <w:tabs>
        <w:tab w:val="left" w:pos="2790"/>
        <w:tab w:val="left" w:pos="4230"/>
      </w:tabs>
      <w:spacing w:before="312" w:beforeLines="100"/>
      <w:jc w:val="left"/>
    </w:pPr>
  </w:style>
  <w:style w:type="paragraph" w:customStyle="1" w:styleId="15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7">
    <w:name w:val="Char Char1 Char Char1 Char Char1"/>
    <w:basedOn w:val="1"/>
    <w:qFormat/>
    <w:uiPriority w:val="0"/>
    <w:pPr>
      <w:tabs>
        <w:tab w:val="left" w:pos="840"/>
      </w:tabs>
      <w:ind w:left="840" w:hanging="420"/>
    </w:pPr>
    <w:rPr>
      <w:rFonts w:ascii="Tahoma" w:hAnsi="Tahoma"/>
      <w:sz w:val="24"/>
    </w:rPr>
  </w:style>
  <w:style w:type="paragraph" w:customStyle="1" w:styleId="15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9">
    <w:name w:val="标书标题2"/>
    <w:basedOn w:val="3"/>
    <w:qFormat/>
    <w:uiPriority w:val="0"/>
    <w:pPr>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6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1">
    <w:name w:val="正文21"/>
    <w:basedOn w:val="1"/>
    <w:qFormat/>
    <w:uiPriority w:val="0"/>
    <w:pPr>
      <w:adjustRightInd/>
      <w:spacing w:before="156" w:line="360" w:lineRule="auto"/>
      <w:ind w:firstLine="510" w:firstLineChars="200"/>
    </w:pPr>
    <w:rPr>
      <w:sz w:val="24"/>
      <w:szCs w:val="20"/>
    </w:rPr>
  </w:style>
  <w:style w:type="paragraph" w:customStyle="1" w:styleId="162">
    <w:name w:val="Test2"/>
    <w:basedOn w:val="3"/>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6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0"/>
    <w:rPr>
      <w:rFonts w:ascii="仿宋_GB2312" w:eastAsia="仿宋_GB2312"/>
      <w:b/>
      <w:sz w:val="32"/>
      <w:szCs w:val="32"/>
    </w:rPr>
  </w:style>
  <w:style w:type="paragraph" w:customStyle="1" w:styleId="16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6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9">
    <w:name w:val="6级标题"/>
    <w:basedOn w:val="170"/>
    <w:qFormat/>
    <w:uiPriority w:val="0"/>
    <w:pPr>
      <w:keepNext/>
      <w:tabs>
        <w:tab w:val="left" w:pos="360"/>
      </w:tabs>
      <w:spacing w:before="0" w:after="0"/>
      <w:outlineLvl w:val="5"/>
    </w:pPr>
  </w:style>
  <w:style w:type="paragraph" w:customStyle="1" w:styleId="170">
    <w:name w:val="5级标题"/>
    <w:basedOn w:val="17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71">
    <w:name w:val="4级标题"/>
    <w:basedOn w:val="11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72">
    <w:name w:val="样式 正文文本缩进 + 段前: 2 字符"/>
    <w:basedOn w:val="1"/>
    <w:qFormat/>
    <w:uiPriority w:val="0"/>
    <w:pPr>
      <w:adjustRightInd/>
      <w:ind w:left="420" w:leftChars="200"/>
      <w:jc w:val="left"/>
    </w:pPr>
    <w:rPr>
      <w:sz w:val="28"/>
      <w:szCs w:val="20"/>
      <w:lang w:eastAsia="zh-TW"/>
    </w:rPr>
  </w:style>
  <w:style w:type="paragraph" w:customStyle="1" w:styleId="173">
    <w:name w:val="Char2 Char Char"/>
    <w:basedOn w:val="1"/>
    <w:qFormat/>
    <w:uiPriority w:val="0"/>
    <w:pPr>
      <w:adjustRightInd/>
    </w:pPr>
    <w:rPr>
      <w:rFonts w:ascii="Tahoma" w:hAnsi="Tahoma"/>
      <w:sz w:val="24"/>
      <w:szCs w:val="20"/>
    </w:rPr>
  </w:style>
  <w:style w:type="paragraph" w:customStyle="1" w:styleId="174">
    <w:name w:val="_Style 11"/>
    <w:basedOn w:val="1"/>
    <w:qFormat/>
    <w:uiPriority w:val="34"/>
    <w:pPr>
      <w:adjustRightInd/>
      <w:ind w:firstLine="420" w:firstLineChars="200"/>
    </w:pPr>
    <w:rPr>
      <w:rFonts w:eastAsia="仿宋_GB2312"/>
      <w:sz w:val="28"/>
    </w:rPr>
  </w:style>
  <w:style w:type="paragraph" w:customStyle="1" w:styleId="17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6">
    <w:name w:val="Char Char Char"/>
    <w:basedOn w:val="1"/>
    <w:qFormat/>
    <w:uiPriority w:val="0"/>
    <w:rPr>
      <w:rFonts w:ascii="Tahoma" w:hAnsi="Tahoma"/>
      <w:sz w:val="24"/>
      <w:szCs w:val="20"/>
    </w:rPr>
  </w:style>
  <w:style w:type="paragraph" w:customStyle="1" w:styleId="177">
    <w:name w:val="数字标题6"/>
    <w:basedOn w:val="7"/>
    <w:next w:val="1"/>
    <w:qFormat/>
    <w:uiPriority w:val="0"/>
    <w:pPr>
      <w:tabs>
        <w:tab w:val="clear" w:pos="1152"/>
      </w:tabs>
      <w:ind w:left="1080" w:hanging="1080"/>
    </w:pPr>
    <w:rPr>
      <w:rFonts w:ascii="Times New Roman" w:hAnsi="Times New Roman" w:eastAsia="宋体"/>
      <w:i/>
    </w:rPr>
  </w:style>
  <w:style w:type="paragraph" w:customStyle="1" w:styleId="17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9">
    <w:name w:val="No Spacing_3e6a1524-6dae-40c8-a34e-4c15c470eafc"/>
    <w:basedOn w:val="1"/>
    <w:link w:val="957"/>
    <w:qFormat/>
    <w:uiPriority w:val="99"/>
    <w:rPr>
      <w:szCs w:val="22"/>
    </w:rPr>
  </w:style>
  <w:style w:type="paragraph" w:customStyle="1" w:styleId="18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1">
    <w:name w:val="Char Char Char Char Char Char Char Char Char Char Char Char1 Char1"/>
    <w:basedOn w:val="1"/>
    <w:qFormat/>
    <w:uiPriority w:val="6"/>
    <w:rPr>
      <w:rFonts w:ascii="Tahoma" w:hAnsi="Tahoma" w:cs="仿宋_GB2312"/>
      <w:sz w:val="24"/>
      <w:szCs w:val="20"/>
    </w:rPr>
  </w:style>
  <w:style w:type="paragraph" w:customStyle="1" w:styleId="18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8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8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85">
    <w:name w:val="MM Topic 2"/>
    <w:basedOn w:val="3"/>
    <w:qFormat/>
    <w:uiPriority w:val="0"/>
    <w:pPr>
      <w:tabs>
        <w:tab w:val="clear" w:pos="432"/>
      </w:tabs>
      <w:ind w:left="1260" w:hanging="420"/>
    </w:pPr>
    <w:rPr>
      <w:rFonts w:ascii="Arial" w:hAnsi="Arial" w:eastAsia="黑体"/>
    </w:rPr>
  </w:style>
  <w:style w:type="paragraph" w:customStyle="1" w:styleId="186">
    <w:name w:val="五级无标题条"/>
    <w:basedOn w:val="1"/>
    <w:qFormat/>
    <w:uiPriority w:val="0"/>
    <w:pPr>
      <w:adjustRightInd/>
    </w:pPr>
  </w:style>
  <w:style w:type="paragraph" w:customStyle="1" w:styleId="187">
    <w:name w:val="Char5"/>
    <w:basedOn w:val="1"/>
    <w:qFormat/>
    <w:uiPriority w:val="0"/>
    <w:rPr>
      <w:rFonts w:ascii="仿宋_GB2312" w:eastAsia="仿宋_GB2312"/>
      <w:b/>
      <w:sz w:val="32"/>
      <w:szCs w:val="32"/>
    </w:rPr>
  </w:style>
  <w:style w:type="paragraph" w:customStyle="1" w:styleId="188">
    <w:name w:val="TOC 标题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9">
    <w:name w:val="彩色列表 - 强调文字颜色 12"/>
    <w:basedOn w:val="1"/>
    <w:qFormat/>
    <w:uiPriority w:val="0"/>
    <w:pPr>
      <w:adjustRightInd/>
      <w:ind w:firstLine="420" w:firstLineChars="200"/>
    </w:pPr>
    <w:rPr>
      <w:rFonts w:ascii="Calibri" w:hAnsi="Calibri"/>
      <w:szCs w:val="22"/>
    </w:rPr>
  </w:style>
  <w:style w:type="paragraph" w:customStyle="1" w:styleId="19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2"/>
    <w:basedOn w:val="1"/>
    <w:qFormat/>
    <w:uiPriority w:val="0"/>
    <w:rPr>
      <w:rFonts w:ascii="仿宋_GB2312" w:eastAsia="仿宋_GB2312"/>
      <w:b/>
      <w:sz w:val="32"/>
      <w:szCs w:val="32"/>
    </w:rPr>
  </w:style>
  <w:style w:type="paragraph" w:customStyle="1" w:styleId="192">
    <w:name w:val="数字标题3"/>
    <w:basedOn w:val="4"/>
    <w:next w:val="1"/>
    <w:qFormat/>
    <w:uiPriority w:val="0"/>
    <w:pPr>
      <w:spacing w:line="240" w:lineRule="auto"/>
    </w:pPr>
    <w:rPr>
      <w:sz w:val="28"/>
      <w:szCs w:val="28"/>
    </w:rPr>
  </w:style>
  <w:style w:type="paragraph" w:customStyle="1" w:styleId="193">
    <w:name w:val="FA正文"/>
    <w:basedOn w:val="1"/>
    <w:qFormat/>
    <w:uiPriority w:val="0"/>
    <w:pPr>
      <w:spacing w:line="360" w:lineRule="auto"/>
      <w:ind w:firstLine="480" w:firstLineChars="200"/>
    </w:pPr>
    <w:rPr>
      <w:rFonts w:hAnsi="宋体"/>
      <w:sz w:val="24"/>
      <w:szCs w:val="20"/>
    </w:rPr>
  </w:style>
  <w:style w:type="paragraph" w:customStyle="1" w:styleId="194">
    <w:name w:val="MM Topic 5"/>
    <w:basedOn w:val="6"/>
    <w:qFormat/>
    <w:uiPriority w:val="0"/>
    <w:pPr>
      <w:tabs>
        <w:tab w:val="clear" w:pos="1008"/>
      </w:tabs>
      <w:adjustRightInd/>
      <w:ind w:left="2520" w:hanging="420"/>
    </w:pPr>
  </w:style>
  <w:style w:type="paragraph" w:customStyle="1" w:styleId="195">
    <w:name w:val="Char Char Char Char Char Char Char Char Char Char1"/>
    <w:basedOn w:val="1"/>
    <w:qFormat/>
    <w:uiPriority w:val="0"/>
    <w:rPr>
      <w:rFonts w:ascii="仿宋_GB2312" w:eastAsia="仿宋_GB2312"/>
      <w:b/>
      <w:sz w:val="32"/>
      <w:szCs w:val="32"/>
    </w:rPr>
  </w:style>
  <w:style w:type="paragraph" w:customStyle="1" w:styleId="19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7">
    <w:name w:val="修订1"/>
    <w:qFormat/>
    <w:uiPriority w:val="3"/>
    <w:rPr>
      <w:rFonts w:ascii="Times New Roman" w:hAnsi="Times New Roman" w:eastAsia="宋体" w:cs="Times New Roman"/>
      <w:color w:val="000000"/>
      <w:kern w:val="1"/>
      <w:sz w:val="21"/>
      <w:lang w:val="en-US" w:eastAsia="zh-CN" w:bidi="ar-SA"/>
    </w:rPr>
  </w:style>
  <w:style w:type="paragraph" w:customStyle="1" w:styleId="198">
    <w:name w:val="Char2 Char Char Char"/>
    <w:basedOn w:val="1"/>
    <w:qFormat/>
    <w:uiPriority w:val="0"/>
    <w:rPr>
      <w:rFonts w:ascii="仿宋_GB2312" w:eastAsia="仿宋_GB2312"/>
      <w:b/>
      <w:sz w:val="32"/>
      <w:szCs w:val="32"/>
    </w:rPr>
  </w:style>
  <w:style w:type="paragraph" w:customStyle="1" w:styleId="199">
    <w:name w:val="Char2 Char Char Char1"/>
    <w:basedOn w:val="1"/>
    <w:qFormat/>
    <w:uiPriority w:val="6"/>
    <w:rPr>
      <w:rFonts w:ascii="仿宋_GB2312" w:eastAsia="仿宋_GB2312"/>
      <w:b/>
      <w:sz w:val="32"/>
      <w:szCs w:val="32"/>
    </w:rPr>
  </w:style>
  <w:style w:type="paragraph" w:customStyle="1" w:styleId="200">
    <w:name w:val="默认段落样式"/>
    <w:basedOn w:val="98"/>
    <w:qFormat/>
    <w:uiPriority w:val="0"/>
    <w:pPr>
      <w:spacing w:before="0"/>
      <w:ind w:firstLine="480"/>
      <w:outlineLvl w:val="2"/>
    </w:pPr>
    <w:rPr>
      <w:rFonts w:ascii="仿宋_GB2312" w:hAnsi="宋体" w:eastAsia="仿宋_GB2312"/>
      <w:color w:val="000000"/>
      <w:szCs w:val="24"/>
    </w:rPr>
  </w:style>
  <w:style w:type="paragraph" w:customStyle="1" w:styleId="201">
    <w:name w:val="图中文字"/>
    <w:basedOn w:val="1"/>
    <w:qFormat/>
    <w:uiPriority w:val="0"/>
    <w:pPr>
      <w:snapToGrid w:val="0"/>
      <w:spacing w:line="0" w:lineRule="atLeast"/>
      <w:ind w:firstLine="200" w:firstLineChars="200"/>
      <w:jc w:val="center"/>
    </w:pPr>
    <w:rPr>
      <w:sz w:val="24"/>
      <w:szCs w:val="20"/>
    </w:rPr>
  </w:style>
  <w:style w:type="paragraph" w:customStyle="1" w:styleId="20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3">
    <w:name w:val="MM Topic 3"/>
    <w:basedOn w:val="4"/>
    <w:qFormat/>
    <w:uiPriority w:val="0"/>
    <w:pPr>
      <w:tabs>
        <w:tab w:val="clear" w:pos="900"/>
      </w:tabs>
      <w:adjustRightInd/>
      <w:ind w:left="1680" w:hanging="420"/>
    </w:pPr>
  </w:style>
  <w:style w:type="paragraph" w:customStyle="1" w:styleId="204">
    <w:name w:val="标准小四"/>
    <w:basedOn w:val="1"/>
    <w:qFormat/>
    <w:uiPriority w:val="0"/>
    <w:pPr>
      <w:spacing w:line="360" w:lineRule="auto"/>
      <w:ind w:firstLine="480" w:firstLineChars="200"/>
    </w:pPr>
    <w:rPr>
      <w:rFonts w:ascii="Arial" w:hAnsi="Arial"/>
      <w:sz w:val="24"/>
      <w:szCs w:val="21"/>
    </w:rPr>
  </w:style>
  <w:style w:type="paragraph" w:customStyle="1" w:styleId="205">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rPr>
  </w:style>
  <w:style w:type="paragraph" w:customStyle="1" w:styleId="206">
    <w:name w:val="表格（小）"/>
    <w:basedOn w:val="1"/>
    <w:qFormat/>
    <w:uiPriority w:val="0"/>
    <w:pPr>
      <w:adjustRightInd/>
      <w:snapToGrid w:val="0"/>
      <w:spacing w:line="300" w:lineRule="auto"/>
    </w:pPr>
    <w:rPr>
      <w:rFonts w:eastAsia="仿宋"/>
      <w:szCs w:val="21"/>
    </w:rPr>
  </w:style>
  <w:style w:type="paragraph" w:customStyle="1" w:styleId="20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8">
    <w:name w:val="Char2 Char Char1"/>
    <w:basedOn w:val="1"/>
    <w:qFormat/>
    <w:uiPriority w:val="6"/>
    <w:pPr>
      <w:adjustRightInd/>
    </w:pPr>
    <w:rPr>
      <w:rFonts w:ascii="Tahoma" w:hAnsi="Tahoma"/>
      <w:sz w:val="24"/>
      <w:szCs w:val="20"/>
    </w:rPr>
  </w:style>
  <w:style w:type="paragraph" w:customStyle="1" w:styleId="209">
    <w:name w:val="列出段落5"/>
    <w:basedOn w:val="1"/>
    <w:qFormat/>
    <w:uiPriority w:val="0"/>
    <w:pPr>
      <w:spacing w:line="360" w:lineRule="auto"/>
      <w:ind w:firstLine="200" w:firstLineChars="200"/>
    </w:pPr>
    <w:rPr>
      <w:rFonts w:eastAsia="楷体_GB2312" w:cs="Lucida Sans"/>
      <w:sz w:val="24"/>
    </w:rPr>
  </w:style>
  <w:style w:type="paragraph" w:customStyle="1" w:styleId="21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2"/>
    <w:next w:val="1"/>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1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1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6">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7">
    <w:name w:val="Bulleting First Indent 1"/>
    <w:basedOn w:val="27"/>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8">
    <w:name w:val="左对齐表格文字"/>
    <w:basedOn w:val="1"/>
    <w:qFormat/>
    <w:uiPriority w:val="0"/>
    <w:pPr>
      <w:adjustRightInd/>
      <w:ind w:firstLine="200" w:firstLineChars="200"/>
      <w:jc w:val="right"/>
    </w:pPr>
  </w:style>
  <w:style w:type="paragraph" w:customStyle="1" w:styleId="219">
    <w:name w:val="Char Char11 Char Char Char Char Char Char Char Char Char"/>
    <w:basedOn w:val="1"/>
    <w:qFormat/>
    <w:uiPriority w:val="0"/>
    <w:pPr>
      <w:spacing w:line="360" w:lineRule="auto"/>
    </w:pPr>
    <w:rPr>
      <w:szCs w:val="20"/>
    </w:rPr>
  </w:style>
  <w:style w:type="paragraph" w:customStyle="1" w:styleId="220">
    <w:name w:val="正文1.25"/>
    <w:basedOn w:val="1"/>
    <w:qFormat/>
    <w:uiPriority w:val="0"/>
    <w:pPr>
      <w:adjustRightInd/>
      <w:spacing w:line="300" w:lineRule="auto"/>
      <w:ind w:firstLine="480" w:firstLineChars="200"/>
    </w:pPr>
    <w:rPr>
      <w:sz w:val="24"/>
      <w:szCs w:val="20"/>
    </w:rPr>
  </w:style>
  <w:style w:type="paragraph" w:customStyle="1" w:styleId="22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2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2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4">
    <w:name w:val="Char Char1 Char Char Char1"/>
    <w:basedOn w:val="1"/>
    <w:qFormat/>
    <w:uiPriority w:val="6"/>
    <w:rPr>
      <w:rFonts w:ascii="仿宋_GB2312" w:eastAsia="仿宋_GB2312"/>
      <w:b/>
      <w:sz w:val="32"/>
      <w:szCs w:val="20"/>
    </w:rPr>
  </w:style>
  <w:style w:type="paragraph" w:customStyle="1" w:styleId="225">
    <w:name w:val="列出段落2"/>
    <w:basedOn w:val="1"/>
    <w:qFormat/>
    <w:uiPriority w:val="0"/>
    <w:pPr>
      <w:adjustRightInd/>
      <w:ind w:firstLine="420" w:firstLineChars="200"/>
    </w:pPr>
    <w:rPr>
      <w:rFonts w:ascii="宋体" w:hAnsi="宋体"/>
      <w:sz w:val="24"/>
    </w:rPr>
  </w:style>
  <w:style w:type="paragraph" w:customStyle="1" w:styleId="226">
    <w:name w:val="默认段落字体 Para Char Char Char Char Char Char Char"/>
    <w:basedOn w:val="1"/>
    <w:qFormat/>
    <w:uiPriority w:val="0"/>
    <w:rPr>
      <w:rFonts w:eastAsia="仿宋_GB2312"/>
      <w:sz w:val="28"/>
      <w:szCs w:val="20"/>
    </w:rPr>
  </w:style>
  <w:style w:type="paragraph" w:customStyle="1" w:styleId="22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8">
    <w:name w:val="样式 标题 4PIM 4H4h4bulletblbbH41H42H43H44H45H46H47H48...1"/>
    <w:basedOn w:val="5"/>
    <w:qFormat/>
    <w:uiPriority w:val="0"/>
    <w:pPr>
      <w:widowControl/>
      <w:jc w:val="left"/>
    </w:pPr>
    <w:rPr>
      <w:rFonts w:cs="宋体"/>
      <w:sz w:val="24"/>
      <w:szCs w:val="20"/>
    </w:rPr>
  </w:style>
  <w:style w:type="paragraph" w:customStyle="1" w:styleId="229">
    <w:name w:val="彩色列表 - 强调文字颜色 11"/>
    <w:basedOn w:val="1"/>
    <w:qFormat/>
    <w:uiPriority w:val="0"/>
    <w:pPr>
      <w:adjustRightInd/>
      <w:ind w:firstLine="420" w:firstLineChars="200"/>
    </w:pPr>
    <w:rPr>
      <w:rFonts w:ascii="Calibri" w:hAnsi="Calibri"/>
      <w:szCs w:val="22"/>
    </w:rPr>
  </w:style>
  <w:style w:type="paragraph" w:customStyle="1" w:styleId="23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3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3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33">
    <w:name w:val="Char Char Char1 Char1"/>
    <w:basedOn w:val="1"/>
    <w:qFormat/>
    <w:uiPriority w:val="6"/>
    <w:rPr>
      <w:szCs w:val="20"/>
    </w:rPr>
  </w:style>
  <w:style w:type="paragraph" w:customStyle="1" w:styleId="23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5">
    <w:name w:val="样式 标题 2 + 宋体 左侧:  1.76 厘米 首行缩进:  0 厘米"/>
    <w:basedOn w:val="3"/>
    <w:qFormat/>
    <w:uiPriority w:val="0"/>
    <w:pPr>
      <w:tabs>
        <w:tab w:val="clear" w:pos="432"/>
      </w:tabs>
      <w:spacing w:before="260" w:after="260" w:line="415" w:lineRule="auto"/>
      <w:ind w:left="0" w:firstLine="200" w:firstLineChars="200"/>
      <w:jc w:val="both"/>
    </w:pPr>
    <w:rPr>
      <w:rFonts w:ascii="宋体" w:hAnsi="Cambria" w:cs="宋体"/>
      <w:szCs w:val="20"/>
    </w:rPr>
  </w:style>
  <w:style w:type="paragraph" w:customStyle="1" w:styleId="23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9">
    <w:name w:val="CM14"/>
    <w:basedOn w:val="92"/>
    <w:next w:val="92"/>
    <w:qFormat/>
    <w:uiPriority w:val="0"/>
    <w:pPr>
      <w:spacing w:after="68"/>
    </w:pPr>
    <w:rPr>
      <w:rFonts w:ascii="FHLHE E+ Futura Bk" w:eastAsia="FHLHE E+ Futura Bk" w:cs="Times New Roman"/>
      <w:color w:val="auto"/>
    </w:rPr>
  </w:style>
  <w:style w:type="paragraph" w:customStyle="1" w:styleId="24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4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4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43">
    <w:name w:val="正文文字 2"/>
    <w:basedOn w:val="92"/>
    <w:next w:val="92"/>
    <w:qFormat/>
    <w:uiPriority w:val="0"/>
    <w:rPr>
      <w:rFonts w:ascii="宋体" w:eastAsia="宋体" w:cs="Times New Roman"/>
      <w:color w:val="auto"/>
    </w:rPr>
  </w:style>
  <w:style w:type="paragraph" w:customStyle="1" w:styleId="24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5">
    <w:name w:val="Char Char1 Char"/>
    <w:basedOn w:val="1"/>
    <w:qFormat/>
    <w:uiPriority w:val="0"/>
    <w:rPr>
      <w:rFonts w:ascii="仿宋_GB2312" w:eastAsia="仿宋_GB2312"/>
      <w:b/>
      <w:sz w:val="32"/>
      <w:szCs w:val="32"/>
    </w:rPr>
  </w:style>
  <w:style w:type="paragraph" w:customStyle="1" w:styleId="24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8">
    <w:name w:val="Char Char111"/>
    <w:basedOn w:val="1"/>
    <w:qFormat/>
    <w:uiPriority w:val="0"/>
    <w:pPr>
      <w:spacing w:line="360" w:lineRule="auto"/>
    </w:pPr>
    <w:rPr>
      <w:szCs w:val="20"/>
    </w:rPr>
  </w:style>
  <w:style w:type="paragraph" w:customStyle="1" w:styleId="249">
    <w:name w:val="Char"/>
    <w:basedOn w:val="1"/>
    <w:qFormat/>
    <w:uiPriority w:val="0"/>
    <w:rPr>
      <w:rFonts w:ascii="仿宋_GB2312" w:eastAsia="仿宋_GB2312"/>
      <w:b/>
      <w:sz w:val="32"/>
      <w:szCs w:val="32"/>
    </w:rPr>
  </w:style>
  <w:style w:type="paragraph" w:customStyle="1" w:styleId="25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5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2">
    <w:name w:val="Char Char Char1 Char"/>
    <w:basedOn w:val="1"/>
    <w:qFormat/>
    <w:uiPriority w:val="0"/>
    <w:rPr>
      <w:szCs w:val="20"/>
    </w:rPr>
  </w:style>
  <w:style w:type="paragraph" w:customStyle="1" w:styleId="253">
    <w:name w:val="正文标准"/>
    <w:basedOn w:val="1"/>
    <w:qFormat/>
    <w:uiPriority w:val="0"/>
    <w:pPr>
      <w:adjustRightInd/>
      <w:spacing w:line="360" w:lineRule="auto"/>
      <w:ind w:firstLine="200" w:firstLineChars="200"/>
    </w:pPr>
    <w:rPr>
      <w:rFonts w:ascii="宋体" w:hAnsi="Calibri"/>
      <w:sz w:val="24"/>
    </w:rPr>
  </w:style>
  <w:style w:type="paragraph" w:customStyle="1" w:styleId="25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6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6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5">
    <w:name w:val="标准有序列表（L1）"/>
    <w:basedOn w:val="1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6">
    <w:name w:val="Char Char Char Char Char Char Char Char Char Char"/>
    <w:basedOn w:val="1"/>
    <w:qFormat/>
    <w:uiPriority w:val="0"/>
    <w:rPr>
      <w:rFonts w:ascii="仿宋_GB2312" w:eastAsia="仿宋_GB2312"/>
      <w:b/>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8">
    <w:name w:val="_正文段落"/>
    <w:basedOn w:val="1"/>
    <w:qFormat/>
    <w:uiPriority w:val="0"/>
    <w:pPr>
      <w:adjustRightInd/>
      <w:ind w:firstLine="560"/>
    </w:pPr>
    <w:rPr>
      <w:rFonts w:ascii="仿宋_GB2312" w:hAnsi="仿宋" w:eastAsia="仿宋_GB2312"/>
      <w:kern w:val="0"/>
      <w:sz w:val="28"/>
      <w:szCs w:val="28"/>
    </w:rPr>
  </w:style>
  <w:style w:type="paragraph" w:customStyle="1" w:styleId="26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71">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7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7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0"/>
    <w:rPr>
      <w:szCs w:val="20"/>
    </w:rPr>
  </w:style>
  <w:style w:type="paragraph" w:customStyle="1" w:styleId="27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7">
    <w:name w:val="默认段落字体 Para Char"/>
    <w:basedOn w:val="1"/>
    <w:qFormat/>
    <w:uiPriority w:val="0"/>
    <w:rPr>
      <w:rFonts w:ascii="Tahoma" w:hAnsi="Tahoma"/>
      <w:sz w:val="24"/>
      <w:szCs w:val="20"/>
    </w:rPr>
  </w:style>
  <w:style w:type="paragraph" w:customStyle="1" w:styleId="278">
    <w:name w:val="标题五"/>
    <w:basedOn w:val="1"/>
    <w:qFormat/>
    <w:uiPriority w:val="0"/>
    <w:pPr>
      <w:adjustRightInd/>
      <w:spacing w:before="156" w:beforeLines="50" w:line="360" w:lineRule="auto"/>
    </w:pPr>
    <w:rPr>
      <w:b/>
      <w:sz w:val="24"/>
    </w:rPr>
  </w:style>
  <w:style w:type="paragraph" w:customStyle="1" w:styleId="279">
    <w:name w:val="Char Char1101"/>
    <w:basedOn w:val="1"/>
    <w:qFormat/>
    <w:uiPriority w:val="0"/>
    <w:pPr>
      <w:spacing w:line="360" w:lineRule="auto"/>
    </w:pPr>
    <w:rPr>
      <w:rFonts w:ascii="Tahoma" w:hAnsi="Tahoma"/>
      <w:sz w:val="24"/>
      <w:szCs w:val="20"/>
    </w:rPr>
  </w:style>
  <w:style w:type="paragraph" w:customStyle="1" w:styleId="280">
    <w:name w:val="Char Char Char Char Char Char Char Char1"/>
    <w:basedOn w:val="1"/>
    <w:qFormat/>
    <w:uiPriority w:val="0"/>
    <w:pPr>
      <w:tabs>
        <w:tab w:val="left" w:pos="360"/>
      </w:tabs>
    </w:pPr>
    <w:rPr>
      <w:sz w:val="24"/>
      <w:szCs w:val="20"/>
    </w:rPr>
  </w:style>
  <w:style w:type="paragraph" w:customStyle="1" w:styleId="281">
    <w:name w:val="Char Char Char 字元 字元"/>
    <w:basedOn w:val="1"/>
    <w:qFormat/>
    <w:uiPriority w:val="0"/>
    <w:pPr>
      <w:adjustRightInd/>
      <w:spacing w:line="360" w:lineRule="auto"/>
      <w:ind w:firstLine="200" w:firstLineChars="200"/>
    </w:pPr>
    <w:rPr>
      <w:szCs w:val="20"/>
    </w:rPr>
  </w:style>
  <w:style w:type="paragraph" w:customStyle="1" w:styleId="28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Char Char Char Char Char Char Char"/>
    <w:basedOn w:val="1"/>
    <w:qFormat/>
    <w:uiPriority w:val="0"/>
    <w:rPr>
      <w:rFonts w:ascii="仿宋_GB2312" w:eastAsia="仿宋_GB2312"/>
      <w:b/>
      <w:sz w:val="32"/>
      <w:szCs w:val="32"/>
    </w:rPr>
  </w:style>
  <w:style w:type="paragraph" w:customStyle="1" w:styleId="28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6">
    <w:name w:val="样式 标题 22h2L1 Heading 2H2sect 1.2H21sect 1.21H22sect 1.2..."/>
    <w:basedOn w:val="3"/>
    <w:next w:val="1"/>
    <w:qFormat/>
    <w:uiPriority w:val="0"/>
    <w:pPr>
      <w:tabs>
        <w:tab w:val="clear" w:pos="432"/>
      </w:tabs>
      <w:spacing w:before="260" w:after="260" w:line="415" w:lineRule="auto"/>
      <w:ind w:left="425" w:hanging="425"/>
    </w:pPr>
    <w:rPr>
      <w:rFonts w:ascii="微软雅黑" w:hAnsi="微软雅黑" w:eastAsia="微软雅黑"/>
    </w:rPr>
  </w:style>
  <w:style w:type="paragraph" w:customStyle="1" w:styleId="287">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8">
    <w:name w:val="批注框文本 Char Char"/>
    <w:basedOn w:val="1"/>
    <w:qFormat/>
    <w:uiPriority w:val="0"/>
    <w:pPr>
      <w:adjustRightInd/>
    </w:pPr>
    <w:rPr>
      <w:sz w:val="18"/>
      <w:szCs w:val="20"/>
    </w:rPr>
  </w:style>
  <w:style w:type="paragraph" w:customStyle="1" w:styleId="28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9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仿宋_GB2312" w:eastAsia="仿宋_GB2312"/>
      <w:sz w:val="24"/>
      <w:szCs w:val="20"/>
    </w:rPr>
  </w:style>
  <w:style w:type="paragraph" w:customStyle="1" w:styleId="29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6">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7">
    <w:name w:val="文档正文"/>
    <w:basedOn w:val="1"/>
    <w:qFormat/>
    <w:uiPriority w:val="0"/>
    <w:pPr>
      <w:spacing w:line="480" w:lineRule="atLeast"/>
      <w:ind w:firstLine="567"/>
      <w:textAlignment w:val="baseline"/>
    </w:pPr>
    <w:rPr>
      <w:kern w:val="0"/>
      <w:sz w:val="24"/>
      <w:szCs w:val="20"/>
    </w:rPr>
  </w:style>
  <w:style w:type="paragraph" w:customStyle="1" w:styleId="298">
    <w:name w:val="正文文字表格居中"/>
    <w:basedOn w:val="1"/>
    <w:next w:val="58"/>
    <w:qFormat/>
    <w:uiPriority w:val="0"/>
    <w:pPr>
      <w:snapToGrid w:val="0"/>
      <w:spacing w:line="360" w:lineRule="auto"/>
    </w:pPr>
    <w:rPr>
      <w:rFonts w:ascii="宋体"/>
      <w:b/>
      <w:sz w:val="24"/>
      <w:szCs w:val="20"/>
    </w:rPr>
  </w:style>
  <w:style w:type="paragraph" w:customStyle="1" w:styleId="29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00">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01">
    <w:name w:val="Plain Text1"/>
    <w:basedOn w:val="1"/>
    <w:qFormat/>
    <w:uiPriority w:val="7"/>
    <w:pPr>
      <w:adjustRightInd/>
    </w:pPr>
    <w:rPr>
      <w:rFonts w:ascii="宋体" w:hAnsi="Courier New"/>
    </w:rPr>
  </w:style>
  <w:style w:type="paragraph" w:customStyle="1" w:styleId="302">
    <w:name w:val="Char3"/>
    <w:basedOn w:val="1"/>
    <w:qFormat/>
    <w:uiPriority w:val="0"/>
    <w:pPr>
      <w:adjustRightInd/>
    </w:pPr>
    <w:rPr>
      <w:rFonts w:ascii="仿宋_GB2312" w:eastAsia="仿宋_GB2312"/>
      <w:b/>
      <w:sz w:val="32"/>
      <w:szCs w:val="32"/>
    </w:rPr>
  </w:style>
  <w:style w:type="paragraph" w:customStyle="1" w:styleId="30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5">
    <w:name w:val="标题2"/>
    <w:basedOn w:val="3"/>
    <w:next w:val="1"/>
    <w:qFormat/>
    <w:uiPriority w:val="0"/>
    <w:pPr>
      <w:tabs>
        <w:tab w:val="clear" w:pos="432"/>
      </w:tabs>
      <w:ind w:left="1440" w:hanging="360"/>
    </w:pPr>
    <w:rPr>
      <w:rFonts w:ascii="仿宋" w:eastAsia="仿宋" w:cs="宋体"/>
      <w:bCs w:val="0"/>
      <w:szCs w:val="28"/>
    </w:rPr>
  </w:style>
  <w:style w:type="paragraph" w:customStyle="1" w:styleId="306">
    <w:name w:val="List Paragraph1"/>
    <w:basedOn w:val="1"/>
    <w:qFormat/>
    <w:uiPriority w:val="0"/>
    <w:pPr>
      <w:spacing w:line="360" w:lineRule="auto"/>
      <w:ind w:firstLine="200" w:firstLineChars="200"/>
    </w:pPr>
    <w:rPr>
      <w:rFonts w:eastAsia="楷体_GB2312" w:cs="Lucida Sans"/>
      <w:sz w:val="24"/>
    </w:rPr>
  </w:style>
  <w:style w:type="paragraph" w:customStyle="1" w:styleId="307">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0">
    <w:name w:val="Char3 Char Char Char"/>
    <w:basedOn w:val="1"/>
    <w:qFormat/>
    <w:uiPriority w:val="0"/>
    <w:pPr>
      <w:widowControl/>
      <w:adjustRightInd/>
      <w:spacing w:after="160" w:line="240" w:lineRule="exact"/>
      <w:jc w:val="left"/>
    </w:pPr>
    <w:rPr>
      <w:szCs w:val="20"/>
    </w:rPr>
  </w:style>
  <w:style w:type="paragraph" w:customStyle="1" w:styleId="311">
    <w:name w:val="表格标题2"/>
    <w:basedOn w:val="312"/>
    <w:qFormat/>
    <w:uiPriority w:val="0"/>
    <w:rPr>
      <w:b/>
    </w:rPr>
  </w:style>
  <w:style w:type="paragraph" w:customStyle="1" w:styleId="312">
    <w:name w:val="表格内文"/>
    <w:basedOn w:val="1"/>
    <w:qFormat/>
    <w:uiPriority w:val="0"/>
    <w:pPr>
      <w:adjustRightInd/>
      <w:spacing w:line="360" w:lineRule="auto"/>
    </w:pPr>
    <w:rPr>
      <w:rFonts w:ascii="宋体" w:hAnsi="宋体" w:cs="宋体"/>
      <w:color w:val="000000"/>
      <w:szCs w:val="20"/>
    </w:rPr>
  </w:style>
  <w:style w:type="paragraph" w:customStyle="1" w:styleId="313">
    <w:name w:val="Char Char Char Char Char Char Char Char Char Char2"/>
    <w:basedOn w:val="1"/>
    <w:qFormat/>
    <w:uiPriority w:val="0"/>
    <w:rPr>
      <w:rFonts w:ascii="仿宋_GB2312" w:eastAsia="仿宋_GB2312"/>
      <w:b/>
      <w:sz w:val="32"/>
      <w:szCs w:val="32"/>
    </w:rPr>
  </w:style>
  <w:style w:type="paragraph" w:customStyle="1" w:styleId="31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6">
    <w:name w:val="Char Char11 Char Char Char Char Char Char Char Char Char11"/>
    <w:basedOn w:val="1"/>
    <w:qFormat/>
    <w:uiPriority w:val="0"/>
    <w:pPr>
      <w:spacing w:line="360" w:lineRule="auto"/>
    </w:pPr>
    <w:rPr>
      <w:szCs w:val="20"/>
    </w:rPr>
  </w:style>
  <w:style w:type="paragraph" w:customStyle="1" w:styleId="31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9">
    <w:name w:val="MM Topic 1"/>
    <w:basedOn w:val="2"/>
    <w:qFormat/>
    <w:uiPriority w:val="0"/>
    <w:pPr>
      <w:tabs>
        <w:tab w:val="clear" w:pos="432"/>
      </w:tabs>
      <w:adjustRightInd/>
      <w:ind w:left="840" w:hanging="420"/>
    </w:pPr>
  </w:style>
  <w:style w:type="paragraph" w:customStyle="1" w:styleId="320">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21">
    <w:name w:val="文本正文 Char"/>
    <w:basedOn w:val="1"/>
    <w:qFormat/>
    <w:uiPriority w:val="0"/>
    <w:pPr>
      <w:spacing w:line="360" w:lineRule="auto"/>
      <w:ind w:firstLine="200" w:firstLineChars="200"/>
    </w:pPr>
    <w:rPr>
      <w:kern w:val="0"/>
      <w:sz w:val="24"/>
      <w:szCs w:val="20"/>
    </w:rPr>
  </w:style>
  <w:style w:type="paragraph" w:customStyle="1" w:styleId="322">
    <w:name w:val="表格"/>
    <w:basedOn w:val="1"/>
    <w:qFormat/>
    <w:uiPriority w:val="0"/>
    <w:pPr>
      <w:snapToGrid w:val="0"/>
      <w:ind w:firstLine="42" w:firstLineChars="21"/>
    </w:pPr>
    <w:rPr>
      <w:rFonts w:ascii="宋体" w:hAnsi="宋体"/>
      <w:kern w:val="0"/>
      <w:sz w:val="20"/>
      <w:szCs w:val="20"/>
    </w:rPr>
  </w:style>
  <w:style w:type="paragraph" w:customStyle="1" w:styleId="323">
    <w:name w:val="标书标题4"/>
    <w:basedOn w:val="5"/>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6">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7">
    <w:name w:val="EB_表格"/>
    <w:basedOn w:val="1"/>
    <w:qFormat/>
    <w:uiPriority w:val="0"/>
    <w:pPr>
      <w:adjustRightInd/>
      <w:spacing w:line="300" w:lineRule="auto"/>
      <w:jc w:val="center"/>
    </w:pPr>
  </w:style>
  <w:style w:type="paragraph" w:customStyle="1" w:styleId="328">
    <w:name w:val="_Style 6"/>
    <w:basedOn w:val="1"/>
    <w:qFormat/>
    <w:uiPriority w:val="34"/>
    <w:pPr>
      <w:adjustRightInd/>
      <w:ind w:firstLine="420" w:firstLineChars="200"/>
    </w:pPr>
    <w:rPr>
      <w:rFonts w:eastAsia="仿宋_GB2312"/>
      <w:sz w:val="28"/>
    </w:rPr>
  </w:style>
  <w:style w:type="paragraph" w:customStyle="1" w:styleId="32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31">
    <w:name w:val="!大节"/>
    <w:basedOn w:val="3"/>
    <w:qFormat/>
    <w:uiPriority w:val="0"/>
    <w:pPr>
      <w:spacing w:before="260" w:after="260" w:line="415" w:lineRule="auto"/>
      <w:ind w:left="420" w:hanging="420"/>
    </w:pPr>
    <w:rPr>
      <w:rFonts w:ascii="Arial" w:hAnsi="Arial" w:eastAsia="微软雅黑"/>
    </w:rPr>
  </w:style>
  <w:style w:type="paragraph" w:customStyle="1" w:styleId="332">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33">
    <w:name w:val="正文表标题"/>
    <w:next w:val="33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6">
    <w:name w:val="trademark"/>
    <w:qFormat/>
    <w:uiPriority w:val="0"/>
    <w:pPr>
      <w:spacing w:after="60"/>
    </w:pPr>
    <w:rPr>
      <w:rFonts w:ascii="Futura Bk" w:hAnsi="Futura Bk" w:eastAsia="宋体" w:cs="Times New Roman"/>
      <w:sz w:val="15"/>
      <w:lang w:val="en-US" w:eastAsia="en-US" w:bidi="ar-SA"/>
    </w:rPr>
  </w:style>
  <w:style w:type="paragraph" w:customStyle="1" w:styleId="33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8">
    <w:name w:val="Char Char1 Char Char Char Char Char Char1"/>
    <w:basedOn w:val="1"/>
    <w:qFormat/>
    <w:uiPriority w:val="0"/>
    <w:rPr>
      <w:rFonts w:ascii="仿宋_GB2312" w:eastAsia="仿宋_GB2312"/>
      <w:b/>
      <w:sz w:val="32"/>
      <w:szCs w:val="20"/>
    </w:rPr>
  </w:style>
  <w:style w:type="paragraph" w:customStyle="1" w:styleId="33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0">
    <w:name w:val="Char1 Char Char Char1"/>
    <w:basedOn w:val="1"/>
    <w:qFormat/>
    <w:uiPriority w:val="0"/>
    <w:pPr>
      <w:adjustRightInd/>
      <w:ind w:firstLine="200" w:firstLineChars="200"/>
    </w:pPr>
    <w:rPr>
      <w:rFonts w:ascii="Tahoma" w:hAnsi="Tahoma"/>
      <w:sz w:val="24"/>
      <w:szCs w:val="20"/>
    </w:rPr>
  </w:style>
  <w:style w:type="paragraph" w:customStyle="1" w:styleId="341">
    <w:name w:val="a1"/>
    <w:basedOn w:val="1"/>
    <w:qFormat/>
    <w:uiPriority w:val="0"/>
    <w:pPr>
      <w:widowControl/>
      <w:spacing w:line="300" w:lineRule="atLeast"/>
      <w:jc w:val="left"/>
    </w:pPr>
    <w:rPr>
      <w:rFonts w:ascii="宋体" w:hAnsi="宋体"/>
      <w:kern w:val="0"/>
      <w:sz w:val="18"/>
      <w:szCs w:val="20"/>
    </w:rPr>
  </w:style>
  <w:style w:type="paragraph" w:customStyle="1" w:styleId="342">
    <w:name w:val="样式7"/>
    <w:basedOn w:val="343"/>
    <w:next w:val="1"/>
    <w:qFormat/>
    <w:uiPriority w:val="0"/>
    <w:pPr>
      <w:spacing w:after="156" w:afterLines="50"/>
      <w:jc w:val="left"/>
      <w:outlineLvl w:val="3"/>
    </w:pPr>
    <w:rPr>
      <w:sz w:val="24"/>
      <w:szCs w:val="24"/>
    </w:rPr>
  </w:style>
  <w:style w:type="paragraph" w:customStyle="1" w:styleId="34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4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4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6">
    <w:name w:val="样式 样式2 + 左侧:  1 字符 右侧:  1 字符"/>
    <w:basedOn w:val="15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7">
    <w:name w:val="Char2 Char Char2"/>
    <w:basedOn w:val="1"/>
    <w:qFormat/>
    <w:uiPriority w:val="0"/>
    <w:pPr>
      <w:adjustRightInd/>
    </w:pPr>
    <w:rPr>
      <w:rFonts w:ascii="Tahoma" w:hAnsi="Tahoma"/>
      <w:sz w:val="24"/>
      <w:szCs w:val="20"/>
    </w:rPr>
  </w:style>
  <w:style w:type="paragraph" w:customStyle="1" w:styleId="34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9">
    <w:name w:val="三级条标题"/>
    <w:basedOn w:val="350"/>
    <w:next w:val="334"/>
    <w:qFormat/>
    <w:uiPriority w:val="0"/>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0"/>
    <w:pPr>
      <w:tabs>
        <w:tab w:val="left" w:pos="1260"/>
        <w:tab w:val="left" w:pos="1680"/>
        <w:tab w:val="left" w:pos="2100"/>
      </w:tabs>
      <w:ind w:left="0"/>
      <w:outlineLvl w:val="3"/>
    </w:pPr>
  </w:style>
  <w:style w:type="paragraph" w:customStyle="1" w:styleId="351">
    <w:name w:val="一级条标题"/>
    <w:basedOn w:val="352"/>
    <w:next w:val="334"/>
    <w:qFormat/>
    <w:uiPriority w:val="0"/>
    <w:pPr>
      <w:tabs>
        <w:tab w:val="left" w:pos="1260"/>
        <w:tab w:val="left" w:pos="1680"/>
      </w:tabs>
      <w:spacing w:before="0" w:after="0"/>
      <w:ind w:left="1680"/>
      <w:outlineLvl w:val="2"/>
    </w:pPr>
  </w:style>
  <w:style w:type="paragraph" w:customStyle="1" w:styleId="352">
    <w:name w:val="章标题"/>
    <w:next w:val="33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53">
    <w:name w:val="数字标题2"/>
    <w:basedOn w:val="3"/>
    <w:next w:val="1"/>
    <w:qFormat/>
    <w:uiPriority w:val="0"/>
    <w:pPr>
      <w:tabs>
        <w:tab w:val="clear" w:pos="432"/>
      </w:tabs>
      <w:ind w:left="480" w:hanging="480"/>
    </w:pPr>
    <w:rPr>
      <w:rFonts w:ascii="Times New Roman"/>
      <w:i/>
      <w:sz w:val="36"/>
      <w:szCs w:val="36"/>
    </w:rPr>
  </w:style>
  <w:style w:type="paragraph" w:customStyle="1" w:styleId="35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1Level 1 HeadPIM 1Section Headh1l11Heading 0Datash..."/>
    <w:basedOn w:val="2"/>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7">
    <w:name w:val="样式 标题 1章节第一层h1H"/>
    <w:basedOn w:val="2"/>
    <w:qFormat/>
    <w:uiPriority w:val="0"/>
    <w:pPr>
      <w:autoSpaceDE w:val="0"/>
      <w:autoSpaceDN w:val="0"/>
      <w:spacing w:line="240" w:lineRule="auto"/>
      <w:jc w:val="left"/>
      <w:outlineLvl w:val="9"/>
    </w:pPr>
    <w:rPr>
      <w:kern w:val="0"/>
      <w:sz w:val="52"/>
      <w:szCs w:val="52"/>
      <w:lang w:val="zh-CN"/>
    </w:rPr>
  </w:style>
  <w:style w:type="paragraph" w:customStyle="1" w:styleId="35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9">
    <w:name w:val="正文 项目2"/>
    <w:basedOn w:val="360"/>
    <w:qFormat/>
    <w:uiPriority w:val="0"/>
    <w:pPr>
      <w:tabs>
        <w:tab w:val="left" w:pos="840"/>
      </w:tabs>
      <w:spacing w:after="0"/>
      <w:ind w:left="900"/>
    </w:pPr>
  </w:style>
  <w:style w:type="paragraph" w:customStyle="1" w:styleId="36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61">
    <w:name w:val="Body Text 2*"/>
    <w:basedOn w:val="1"/>
    <w:qFormat/>
    <w:uiPriority w:val="6"/>
    <w:pPr>
      <w:widowControl/>
      <w:adjustRightInd/>
      <w:ind w:left="720" w:hanging="720"/>
    </w:pPr>
    <w:rPr>
      <w:color w:val="000000"/>
      <w:kern w:val="0"/>
      <w:sz w:val="24"/>
      <w:szCs w:val="20"/>
    </w:rPr>
  </w:style>
  <w:style w:type="paragraph" w:customStyle="1" w:styleId="362">
    <w:name w:val="表1"/>
    <w:basedOn w:val="1"/>
    <w:qFormat/>
    <w:uiPriority w:val="0"/>
    <w:pPr>
      <w:tabs>
        <w:tab w:val="left" w:pos="703"/>
      </w:tabs>
      <w:adjustRightInd/>
      <w:spacing w:line="360" w:lineRule="auto"/>
      <w:ind w:left="703"/>
      <w:jc w:val="center"/>
    </w:pPr>
  </w:style>
  <w:style w:type="paragraph" w:customStyle="1" w:styleId="36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6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6">
    <w:name w:val="2级标题"/>
    <w:basedOn w:val="367"/>
    <w:qFormat/>
    <w:uiPriority w:val="0"/>
    <w:pPr>
      <w:jc w:val="left"/>
      <w:outlineLvl w:val="1"/>
    </w:pPr>
    <w:rPr>
      <w:rFonts w:ascii="Times New Roman" w:hAnsi="Times New Roman" w:eastAsia="仿宋"/>
      <w:sz w:val="30"/>
    </w:rPr>
  </w:style>
  <w:style w:type="paragraph" w:customStyle="1" w:styleId="36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72">
    <w:name w:val="bullet"/>
    <w:basedOn w:val="1"/>
    <w:qFormat/>
    <w:uiPriority w:val="0"/>
    <w:pPr>
      <w:tabs>
        <w:tab w:val="left" w:pos="840"/>
      </w:tabs>
      <w:adjustRightInd/>
      <w:ind w:left="840" w:hanging="420"/>
    </w:pPr>
  </w:style>
  <w:style w:type="paragraph" w:customStyle="1" w:styleId="37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0">
    <w:name w:val="MM Topic 4"/>
    <w:basedOn w:val="5"/>
    <w:qFormat/>
    <w:uiPriority w:val="0"/>
    <w:pPr>
      <w:tabs>
        <w:tab w:val="clear" w:pos="864"/>
      </w:tabs>
      <w:adjustRightInd/>
      <w:ind w:left="2100" w:hanging="420"/>
    </w:pPr>
    <w:rPr>
      <w:lang w:val="en-US"/>
    </w:rPr>
  </w:style>
  <w:style w:type="paragraph" w:customStyle="1" w:styleId="38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8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6"/>
    <w:pPr>
      <w:spacing w:line="360" w:lineRule="auto"/>
    </w:pPr>
    <w:rPr>
      <w:szCs w:val="20"/>
    </w:rPr>
  </w:style>
  <w:style w:type="paragraph" w:customStyle="1" w:styleId="38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8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6"/>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9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0"/>
    <w:pPr>
      <w:adjustRightInd/>
      <w:spacing w:line="360" w:lineRule="auto"/>
      <w:jc w:val="center"/>
    </w:pPr>
    <w:rPr>
      <w:sz w:val="24"/>
    </w:rPr>
  </w:style>
  <w:style w:type="paragraph" w:customStyle="1" w:styleId="39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5">
    <w:name w:val="Char Char Char Char Char Char Char1"/>
    <w:basedOn w:val="1"/>
    <w:qFormat/>
    <w:uiPriority w:val="6"/>
    <w:rPr>
      <w:rFonts w:ascii="仿宋_GB2312" w:eastAsia="仿宋_GB2312"/>
      <w:b/>
      <w:sz w:val="32"/>
      <w:szCs w:val="32"/>
    </w:rPr>
  </w:style>
  <w:style w:type="paragraph" w:customStyle="1" w:styleId="39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7">
    <w:name w:val="Char3 Char Char Char11"/>
    <w:basedOn w:val="1"/>
    <w:qFormat/>
    <w:uiPriority w:val="0"/>
    <w:pPr>
      <w:widowControl/>
      <w:adjustRightInd/>
      <w:spacing w:after="160" w:line="240" w:lineRule="exact"/>
      <w:jc w:val="left"/>
    </w:pPr>
    <w:rPr>
      <w:szCs w:val="20"/>
    </w:rPr>
  </w:style>
  <w:style w:type="paragraph" w:customStyle="1" w:styleId="398">
    <w:name w:val="Char Char1121"/>
    <w:basedOn w:val="1"/>
    <w:qFormat/>
    <w:uiPriority w:val="0"/>
    <w:pPr>
      <w:spacing w:line="360" w:lineRule="auto"/>
    </w:pPr>
    <w:rPr>
      <w:szCs w:val="20"/>
    </w:rPr>
  </w:style>
  <w:style w:type="paragraph" w:customStyle="1" w:styleId="39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401">
    <w:name w:val="Normal0"/>
    <w:qFormat/>
    <w:uiPriority w:val="0"/>
    <w:rPr>
      <w:rFonts w:ascii="Times New Roman" w:hAnsi="Times New Roman" w:eastAsia="宋体" w:cs="Times New Roman"/>
      <w:lang w:val="en-US" w:eastAsia="en-US" w:bidi="ar-SA"/>
    </w:rPr>
  </w:style>
  <w:style w:type="paragraph" w:customStyle="1" w:styleId="402">
    <w:name w:val="带编号样式"/>
    <w:basedOn w:val="321"/>
    <w:qFormat/>
    <w:uiPriority w:val="0"/>
    <w:pPr>
      <w:tabs>
        <w:tab w:val="left" w:pos="840"/>
      </w:tabs>
      <w:snapToGrid w:val="0"/>
      <w:ind w:left="840" w:hanging="420" w:firstLineChars="0"/>
    </w:pPr>
    <w:rPr>
      <w:rFonts w:ascii="仿宋_GB2312" w:eastAsia="仿宋_GB2312"/>
      <w:color w:val="000000"/>
    </w:rPr>
  </w:style>
  <w:style w:type="paragraph" w:customStyle="1" w:styleId="40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5">
    <w:name w:val="封面"/>
    <w:basedOn w:val="1"/>
    <w:qFormat/>
    <w:uiPriority w:val="0"/>
    <w:pPr>
      <w:spacing w:line="360" w:lineRule="atLeast"/>
      <w:jc w:val="right"/>
      <w:textAlignment w:val="baseline"/>
    </w:pPr>
    <w:rPr>
      <w:rFonts w:ascii="Symbol" w:hAnsi="Symbol"/>
      <w:kern w:val="0"/>
      <w:szCs w:val="20"/>
    </w:rPr>
  </w:style>
  <w:style w:type="paragraph" w:customStyle="1" w:styleId="40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8">
    <w:name w:val="默认段落字体 Para Char Char Char1 Char"/>
    <w:basedOn w:val="1"/>
    <w:qFormat/>
    <w:uiPriority w:val="0"/>
    <w:pPr>
      <w:spacing w:line="240" w:lineRule="atLeast"/>
      <w:ind w:left="420" w:firstLine="420"/>
    </w:pPr>
    <w:rPr>
      <w:sz w:val="24"/>
    </w:rPr>
  </w:style>
  <w:style w:type="paragraph" w:customStyle="1" w:styleId="409">
    <w:name w:val="WW-正文文字缩进 2"/>
    <w:basedOn w:val="1"/>
    <w:qFormat/>
    <w:uiPriority w:val="0"/>
    <w:pPr>
      <w:suppressAutoHyphens/>
      <w:adjustRightInd/>
      <w:ind w:firstLine="420"/>
    </w:pPr>
    <w:rPr>
      <w:kern w:val="1"/>
      <w:szCs w:val="20"/>
    </w:rPr>
  </w:style>
  <w:style w:type="paragraph" w:customStyle="1" w:styleId="41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1">
    <w:name w:val="样式 标题 2 + 四号"/>
    <w:basedOn w:val="3"/>
    <w:qFormat/>
    <w:uiPriority w:val="0"/>
    <w:pPr>
      <w:spacing w:before="120" w:after="120"/>
      <w:ind w:left="0" w:firstLine="0"/>
      <w:jc w:val="both"/>
    </w:pPr>
    <w:rPr>
      <w:rFonts w:ascii="宋体" w:hAnsi="Arial"/>
      <w:sz w:val="28"/>
    </w:rPr>
  </w:style>
  <w:style w:type="paragraph" w:customStyle="1" w:styleId="412">
    <w:name w:val="有符号正文"/>
    <w:basedOn w:val="1"/>
    <w:qFormat/>
    <w:uiPriority w:val="0"/>
    <w:pPr>
      <w:adjustRightInd/>
      <w:spacing w:line="400" w:lineRule="exact"/>
      <w:ind w:firstLine="200" w:firstLineChars="200"/>
    </w:pPr>
    <w:rPr>
      <w:rFonts w:ascii="Arial" w:hAnsi="Arial"/>
    </w:rPr>
  </w:style>
  <w:style w:type="paragraph" w:customStyle="1" w:styleId="41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5">
    <w:name w:val="4"/>
    <w:basedOn w:val="1"/>
    <w:next w:val="39"/>
    <w:qFormat/>
    <w:uiPriority w:val="0"/>
    <w:pPr>
      <w:spacing w:after="120" w:line="480" w:lineRule="auto"/>
      <w:ind w:left="420" w:leftChars="200"/>
    </w:pPr>
    <w:rPr>
      <w:sz w:val="24"/>
      <w:szCs w:val="20"/>
    </w:rPr>
  </w:style>
  <w:style w:type="paragraph" w:customStyle="1" w:styleId="41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8">
    <w:name w:val="样式 标题 3H3 + 两端对齐"/>
    <w:basedOn w:val="4"/>
    <w:qFormat/>
    <w:uiPriority w:val="0"/>
    <w:pPr>
      <w:spacing w:before="0" w:after="0" w:line="240" w:lineRule="auto"/>
      <w:jc w:val="left"/>
    </w:pPr>
    <w:rPr>
      <w:rFonts w:cs="宋体"/>
      <w:sz w:val="21"/>
      <w:szCs w:val="20"/>
    </w:rPr>
  </w:style>
  <w:style w:type="paragraph" w:customStyle="1" w:styleId="41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2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4">
    <w:name w:val="Char Char1 Char Char Char"/>
    <w:basedOn w:val="1"/>
    <w:qFormat/>
    <w:uiPriority w:val="0"/>
    <w:rPr>
      <w:rFonts w:ascii="仿宋_GB2312" w:eastAsia="仿宋_GB2312"/>
      <w:b/>
      <w:sz w:val="32"/>
      <w:szCs w:val="20"/>
    </w:rPr>
  </w:style>
  <w:style w:type="paragraph" w:customStyle="1" w:styleId="42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8">
    <w:name w:val="Char Char1 Char Char Char2"/>
    <w:basedOn w:val="1"/>
    <w:qFormat/>
    <w:uiPriority w:val="0"/>
    <w:rPr>
      <w:rFonts w:ascii="仿宋_GB2312" w:eastAsia="仿宋_GB2312"/>
      <w:b/>
      <w:sz w:val="32"/>
      <w:szCs w:val="32"/>
    </w:rPr>
  </w:style>
  <w:style w:type="paragraph" w:customStyle="1" w:styleId="429">
    <w:name w:val="Char3 Char Char Char1"/>
    <w:basedOn w:val="1"/>
    <w:qFormat/>
    <w:uiPriority w:val="6"/>
    <w:pPr>
      <w:widowControl/>
      <w:adjustRightInd/>
      <w:spacing w:after="160" w:line="240" w:lineRule="exact"/>
      <w:jc w:val="left"/>
    </w:pPr>
    <w:rPr>
      <w:szCs w:val="20"/>
    </w:rPr>
  </w:style>
  <w:style w:type="paragraph" w:customStyle="1" w:styleId="430">
    <w:name w:val="Char1 Char Char Char21"/>
    <w:basedOn w:val="1"/>
    <w:qFormat/>
    <w:uiPriority w:val="0"/>
    <w:rPr>
      <w:rFonts w:ascii="Tahoma" w:hAnsi="Tahoma"/>
      <w:sz w:val="24"/>
      <w:szCs w:val="20"/>
    </w:rPr>
  </w:style>
  <w:style w:type="paragraph" w:customStyle="1" w:styleId="43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32">
    <w:name w:val="正文（标题三）"/>
    <w:basedOn w:val="1"/>
    <w:qFormat/>
    <w:uiPriority w:val="0"/>
    <w:pPr>
      <w:spacing w:line="360" w:lineRule="auto"/>
      <w:ind w:firstLine="200" w:firstLineChars="200"/>
    </w:pPr>
    <w:rPr>
      <w:sz w:val="24"/>
    </w:rPr>
  </w:style>
  <w:style w:type="paragraph" w:customStyle="1" w:styleId="43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3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8">
    <w:name w:val="Char1 Char Char Char4"/>
    <w:basedOn w:val="1"/>
    <w:qFormat/>
    <w:uiPriority w:val="0"/>
    <w:pPr>
      <w:adjustRightInd/>
      <w:ind w:firstLine="200" w:firstLineChars="200"/>
    </w:pPr>
    <w:rPr>
      <w:rFonts w:ascii="Tahoma" w:hAnsi="Tahoma"/>
      <w:sz w:val="24"/>
      <w:szCs w:val="20"/>
    </w:rPr>
  </w:style>
  <w:style w:type="paragraph" w:customStyle="1" w:styleId="439">
    <w:name w:val="_标题2"/>
    <w:basedOn w:val="406"/>
    <w:next w:val="40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40">
    <w:name w:val="样式1 + (中宋体"/>
    <w:basedOn w:val="41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44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4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4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4">
    <w:name w:val="四号　首行缩进"/>
    <w:basedOn w:val="1"/>
    <w:qFormat/>
    <w:uiPriority w:val="0"/>
    <w:pPr>
      <w:adjustRightInd/>
      <w:spacing w:line="360" w:lineRule="auto"/>
    </w:pPr>
    <w:rPr>
      <w:rFonts w:ascii="宋体" w:hAnsi="宋体"/>
      <w:szCs w:val="20"/>
    </w:rPr>
  </w:style>
  <w:style w:type="paragraph" w:customStyle="1" w:styleId="44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6">
    <w:name w:val="Char Char Char Char Char Char Char Char Char Char Char1 Char"/>
    <w:basedOn w:val="1"/>
    <w:qFormat/>
    <w:uiPriority w:val="0"/>
    <w:pPr>
      <w:adjustRightInd/>
    </w:pPr>
    <w:rPr>
      <w:rFonts w:ascii="Tahoma" w:hAnsi="Tahoma"/>
      <w:sz w:val="24"/>
    </w:rPr>
  </w:style>
  <w:style w:type="paragraph" w:customStyle="1" w:styleId="447">
    <w:name w:val="Char Char Char Char11"/>
    <w:basedOn w:val="1"/>
    <w:qFormat/>
    <w:uiPriority w:val="0"/>
    <w:rPr>
      <w:rFonts w:ascii="Tahoma" w:hAnsi="Tahoma"/>
      <w:sz w:val="24"/>
      <w:szCs w:val="20"/>
    </w:rPr>
  </w:style>
  <w:style w:type="paragraph" w:customStyle="1" w:styleId="44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9">
    <w:name w:val="Char Char Char Char"/>
    <w:basedOn w:val="1"/>
    <w:qFormat/>
    <w:uiPriority w:val="0"/>
    <w:rPr>
      <w:rFonts w:ascii="Tahoma" w:hAnsi="Tahoma"/>
      <w:sz w:val="24"/>
      <w:szCs w:val="20"/>
    </w:rPr>
  </w:style>
  <w:style w:type="paragraph" w:customStyle="1" w:styleId="45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1">
    <w:name w:val="Char19"/>
    <w:basedOn w:val="1"/>
    <w:qFormat/>
    <w:uiPriority w:val="0"/>
    <w:pPr>
      <w:adjustRightInd/>
    </w:pPr>
    <w:rPr>
      <w:szCs w:val="20"/>
    </w:rPr>
  </w:style>
  <w:style w:type="paragraph" w:customStyle="1" w:styleId="45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4">
    <w:name w:val="_Style 5"/>
    <w:basedOn w:val="1"/>
    <w:qFormat/>
    <w:uiPriority w:val="34"/>
    <w:pPr>
      <w:adjustRightInd/>
      <w:ind w:firstLine="420" w:firstLineChars="200"/>
    </w:pPr>
    <w:rPr>
      <w:rFonts w:eastAsia="仿宋_GB2312"/>
      <w:sz w:val="28"/>
    </w:rPr>
  </w:style>
  <w:style w:type="paragraph" w:customStyle="1" w:styleId="45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8">
    <w:name w:val="标书表格字体格式"/>
    <w:next w:val="452"/>
    <w:qFormat/>
    <w:uiPriority w:val="0"/>
    <w:rPr>
      <w:rFonts w:ascii="Times New Roman" w:hAnsi="Times New Roman" w:eastAsia="宋体" w:cs="Times New Roman"/>
      <w:kern w:val="2"/>
      <w:sz w:val="21"/>
      <w:szCs w:val="24"/>
      <w:lang w:val="en-US" w:eastAsia="zh-CN" w:bidi="ar-SA"/>
    </w:rPr>
  </w:style>
  <w:style w:type="paragraph" w:customStyle="1" w:styleId="45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1">
    <w:name w:val="修订3"/>
    <w:qFormat/>
    <w:uiPriority w:val="0"/>
    <w:rPr>
      <w:rFonts w:ascii="Times New Roman" w:hAnsi="Times New Roman" w:eastAsia="宋体" w:cs="Times New Roman"/>
      <w:kern w:val="2"/>
      <w:sz w:val="21"/>
      <w:lang w:val="en-US" w:eastAsia="zh-CN" w:bidi="ar-SA"/>
    </w:rPr>
  </w:style>
  <w:style w:type="paragraph" w:customStyle="1" w:styleId="462">
    <w:name w:val="CSS1级正文 Char"/>
    <w:basedOn w:val="26"/>
    <w:qFormat/>
    <w:uiPriority w:val="0"/>
    <w:pPr>
      <w:snapToGrid w:val="0"/>
      <w:ind w:firstLine="480" w:firstLineChars="200"/>
    </w:pPr>
    <w:rPr>
      <w:rFonts w:ascii="Times New Roman"/>
      <w:szCs w:val="24"/>
      <w:lang w:val="en-US"/>
    </w:rPr>
  </w:style>
  <w:style w:type="paragraph" w:customStyle="1" w:styleId="46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4">
    <w:name w:val="表文字"/>
    <w:qFormat/>
    <w:uiPriority w:val="0"/>
    <w:rPr>
      <w:rFonts w:ascii="宋体" w:hAnsi="Times New Roman" w:eastAsia="宋体" w:cs="Times New Roman"/>
      <w:kern w:val="2"/>
      <w:lang w:val="en-US" w:eastAsia="zh-CN" w:bidi="ar-SA"/>
    </w:rPr>
  </w:style>
  <w:style w:type="paragraph" w:customStyle="1" w:styleId="465">
    <w:name w:val="MM Title"/>
    <w:basedOn w:val="61"/>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8">
    <w:name w:val="Char Char Char Char Char Char Char Char2"/>
    <w:basedOn w:val="1"/>
    <w:qFormat/>
    <w:uiPriority w:val="0"/>
    <w:pPr>
      <w:tabs>
        <w:tab w:val="left" w:pos="360"/>
      </w:tabs>
    </w:pPr>
    <w:rPr>
      <w:sz w:val="24"/>
      <w:szCs w:val="20"/>
    </w:rPr>
  </w:style>
  <w:style w:type="paragraph" w:customStyle="1" w:styleId="46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0">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1">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7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7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4">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7">
    <w:name w:val="p0"/>
    <w:basedOn w:val="1"/>
    <w:qFormat/>
    <w:uiPriority w:val="0"/>
    <w:pPr>
      <w:widowControl/>
      <w:adjustRightInd/>
    </w:pPr>
    <w:rPr>
      <w:kern w:val="0"/>
      <w:szCs w:val="21"/>
    </w:rPr>
  </w:style>
  <w:style w:type="paragraph" w:customStyle="1" w:styleId="478">
    <w:name w:val="Char6"/>
    <w:basedOn w:val="1"/>
    <w:qFormat/>
    <w:uiPriority w:val="0"/>
    <w:rPr>
      <w:rFonts w:ascii="仿宋_GB2312" w:eastAsia="仿宋_GB2312"/>
      <w:b/>
      <w:sz w:val="32"/>
      <w:szCs w:val="32"/>
    </w:rPr>
  </w:style>
  <w:style w:type="paragraph" w:customStyle="1" w:styleId="479">
    <w:name w:val="Char111"/>
    <w:basedOn w:val="1"/>
    <w:qFormat/>
    <w:uiPriority w:val="0"/>
    <w:rPr>
      <w:rFonts w:ascii="仿宋_GB2312" w:eastAsia="仿宋_GB2312"/>
      <w:b/>
      <w:sz w:val="32"/>
      <w:szCs w:val="32"/>
    </w:rPr>
  </w:style>
  <w:style w:type="paragraph" w:customStyle="1" w:styleId="480">
    <w:name w:val="标题3"/>
    <w:basedOn w:val="4"/>
    <w:next w:val="55"/>
    <w:qFormat/>
    <w:uiPriority w:val="0"/>
    <w:pPr>
      <w:tabs>
        <w:tab w:val="clear" w:pos="900"/>
      </w:tabs>
      <w:spacing w:after="0" w:line="360" w:lineRule="auto"/>
    </w:pPr>
    <w:rPr>
      <w:rFonts w:ascii="仿宋" w:hAnsi="仿宋" w:eastAsia="仿宋" w:cs="仿宋"/>
    </w:rPr>
  </w:style>
  <w:style w:type="paragraph" w:customStyle="1" w:styleId="48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8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83">
    <w:name w:val="Char1 Char Char Char2"/>
    <w:basedOn w:val="1"/>
    <w:qFormat/>
    <w:uiPriority w:val="0"/>
    <w:pPr>
      <w:adjustRightInd/>
      <w:ind w:firstLine="200" w:firstLineChars="200"/>
    </w:pPr>
    <w:rPr>
      <w:rFonts w:ascii="Tahoma" w:hAnsi="Tahoma"/>
      <w:sz w:val="24"/>
      <w:szCs w:val="20"/>
    </w:rPr>
  </w:style>
  <w:style w:type="paragraph" w:customStyle="1" w:styleId="48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5">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6">
    <w:name w:val="Char Char Char Char Char Char Char2"/>
    <w:basedOn w:val="1"/>
    <w:qFormat/>
    <w:uiPriority w:val="0"/>
    <w:rPr>
      <w:rFonts w:ascii="仿宋_GB2312" w:eastAsia="仿宋_GB2312"/>
      <w:b/>
      <w:sz w:val="32"/>
      <w:szCs w:val="32"/>
    </w:rPr>
  </w:style>
  <w:style w:type="paragraph" w:customStyle="1" w:styleId="487">
    <w:name w:val="五级条标题"/>
    <w:basedOn w:val="488"/>
    <w:next w:val="334"/>
    <w:qFormat/>
    <w:uiPriority w:val="0"/>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0"/>
    <w:pPr>
      <w:tabs>
        <w:tab w:val="clear" w:pos="1260"/>
        <w:tab w:val="clear" w:pos="1680"/>
        <w:tab w:val="clear" w:pos="2100"/>
        <w:tab w:val="clear" w:pos="2520"/>
      </w:tabs>
      <w:ind w:left="2940"/>
      <w:outlineLvl w:val="5"/>
    </w:pPr>
  </w:style>
  <w:style w:type="paragraph" w:customStyle="1" w:styleId="48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0">
    <w:name w:val="Char23"/>
    <w:basedOn w:val="1"/>
    <w:qFormat/>
    <w:uiPriority w:val="0"/>
    <w:rPr>
      <w:rFonts w:ascii="仿宋_GB2312" w:eastAsia="仿宋_GB2312"/>
      <w:b/>
      <w:sz w:val="32"/>
      <w:szCs w:val="32"/>
    </w:rPr>
  </w:style>
  <w:style w:type="paragraph" w:customStyle="1" w:styleId="49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9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93">
    <w:name w:val="首行缩进"/>
    <w:basedOn w:val="1"/>
    <w:qFormat/>
    <w:uiPriority w:val="0"/>
    <w:pPr>
      <w:spacing w:line="360" w:lineRule="auto"/>
      <w:ind w:firstLine="480" w:firstLineChars="200"/>
    </w:pPr>
    <w:rPr>
      <w:rFonts w:ascii="宋体"/>
      <w:sz w:val="24"/>
      <w:szCs w:val="20"/>
    </w:rPr>
  </w:style>
  <w:style w:type="paragraph" w:customStyle="1" w:styleId="49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5">
    <w:name w:val="单元格左对齐"/>
    <w:basedOn w:val="1"/>
    <w:qFormat/>
    <w:uiPriority w:val="0"/>
    <w:pPr>
      <w:adjustRightInd/>
      <w:spacing w:line="360" w:lineRule="auto"/>
    </w:pPr>
    <w:rPr>
      <w:sz w:val="24"/>
    </w:rPr>
  </w:style>
  <w:style w:type="paragraph" w:customStyle="1" w:styleId="496">
    <w:name w:val="正文主体"/>
    <w:basedOn w:val="318"/>
    <w:qFormat/>
    <w:uiPriority w:val="0"/>
  </w:style>
  <w:style w:type="paragraph" w:customStyle="1" w:styleId="49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0">
    <w:name w:val="正文（首行缩进2字符）"/>
    <w:basedOn w:val="1"/>
    <w:qFormat/>
    <w:uiPriority w:val="0"/>
    <w:pPr>
      <w:adjustRightInd/>
      <w:spacing w:line="360" w:lineRule="auto"/>
      <w:ind w:firstLine="480" w:firstLineChars="200"/>
    </w:pPr>
    <w:rPr>
      <w:sz w:val="24"/>
      <w:szCs w:val="20"/>
    </w:rPr>
  </w:style>
  <w:style w:type="paragraph" w:customStyle="1" w:styleId="501">
    <w:name w:val="P1"/>
    <w:basedOn w:val="1"/>
    <w:qFormat/>
    <w:uiPriority w:val="0"/>
    <w:pPr>
      <w:adjustRightInd/>
      <w:spacing w:line="288" w:lineRule="auto"/>
      <w:ind w:firstLine="425" w:firstLineChars="200"/>
    </w:pPr>
  </w:style>
  <w:style w:type="paragraph" w:customStyle="1" w:styleId="502">
    <w:name w:val="列表内容"/>
    <w:basedOn w:val="1"/>
    <w:next w:val="1"/>
    <w:qFormat/>
    <w:uiPriority w:val="0"/>
    <w:pPr>
      <w:widowControl/>
      <w:tabs>
        <w:tab w:val="left" w:pos="840"/>
      </w:tabs>
      <w:ind w:left="840" w:hanging="420"/>
      <w:jc w:val="left"/>
    </w:pPr>
    <w:rPr>
      <w:kern w:val="0"/>
      <w:sz w:val="18"/>
    </w:rPr>
  </w:style>
  <w:style w:type="paragraph" w:customStyle="1" w:styleId="503">
    <w:name w:val="Char Char11 Char Char Char1"/>
    <w:basedOn w:val="1"/>
    <w:qFormat/>
    <w:uiPriority w:val="6"/>
    <w:pPr>
      <w:spacing w:line="360" w:lineRule="auto"/>
    </w:pPr>
    <w:rPr>
      <w:szCs w:val="20"/>
    </w:rPr>
  </w:style>
  <w:style w:type="paragraph" w:customStyle="1" w:styleId="50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6">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0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8">
    <w:name w:val="正文文字缩进2字"/>
    <w:basedOn w:val="26"/>
    <w:qFormat/>
    <w:uiPriority w:val="0"/>
    <w:pPr>
      <w:adjustRightInd/>
      <w:spacing w:before="60" w:after="60"/>
      <w:ind w:firstLine="200" w:firstLineChars="200"/>
    </w:pPr>
    <w:rPr>
      <w:rFonts w:ascii="Times New Roman"/>
      <w:szCs w:val="20"/>
      <w:lang w:val="en-US"/>
    </w:rPr>
  </w:style>
  <w:style w:type="paragraph" w:customStyle="1" w:styleId="509">
    <w:name w:val="默认段落字体 Para Char Char Char Char"/>
    <w:basedOn w:val="1"/>
    <w:qFormat/>
    <w:uiPriority w:val="0"/>
    <w:pPr>
      <w:spacing w:line="360" w:lineRule="auto"/>
    </w:pPr>
    <w:rPr>
      <w:szCs w:val="20"/>
    </w:rPr>
  </w:style>
  <w:style w:type="paragraph" w:customStyle="1" w:styleId="51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12">
    <w:name w:val="Char2 Char Char Char2"/>
    <w:basedOn w:val="1"/>
    <w:qFormat/>
    <w:uiPriority w:val="0"/>
    <w:rPr>
      <w:rFonts w:ascii="仿宋_GB2312" w:eastAsia="仿宋_GB2312"/>
      <w:b/>
      <w:sz w:val="32"/>
      <w:szCs w:val="32"/>
    </w:rPr>
  </w:style>
  <w:style w:type="paragraph" w:customStyle="1" w:styleId="51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1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5">
    <w:name w:val="正文 首行缩进:  2 字符 Char"/>
    <w:basedOn w:val="1"/>
    <w:qFormat/>
    <w:uiPriority w:val="0"/>
    <w:pPr>
      <w:adjustRightInd/>
      <w:spacing w:line="360" w:lineRule="auto"/>
      <w:ind w:firstLine="480"/>
    </w:pPr>
    <w:rPr>
      <w:rFonts w:cs="宋体"/>
      <w:sz w:val="24"/>
      <w:szCs w:val="20"/>
    </w:rPr>
  </w:style>
  <w:style w:type="paragraph" w:customStyle="1" w:styleId="516">
    <w:name w:val="Char Char4 Char Char"/>
    <w:basedOn w:val="1"/>
    <w:qFormat/>
    <w:uiPriority w:val="0"/>
    <w:pPr>
      <w:widowControl/>
      <w:adjustRightInd/>
      <w:spacing w:after="160" w:line="240" w:lineRule="exact"/>
      <w:jc w:val="left"/>
    </w:pPr>
  </w:style>
  <w:style w:type="paragraph" w:customStyle="1" w:styleId="51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8">
    <w:name w:val="Char Char11 Char Char Char2"/>
    <w:basedOn w:val="1"/>
    <w:qFormat/>
    <w:uiPriority w:val="0"/>
    <w:pPr>
      <w:spacing w:line="360" w:lineRule="auto"/>
    </w:pPr>
    <w:rPr>
      <w:szCs w:val="20"/>
    </w:rPr>
  </w:style>
  <w:style w:type="paragraph" w:customStyle="1" w:styleId="51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数字标题4"/>
    <w:basedOn w:val="5"/>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2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2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2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0"/>
    <w:pPr>
      <w:adjustRightInd/>
      <w:ind w:firstLine="200" w:firstLineChars="200"/>
    </w:pPr>
    <w:rPr>
      <w:rFonts w:ascii="Tahoma" w:hAnsi="Tahoma"/>
      <w:sz w:val="24"/>
      <w:szCs w:val="20"/>
    </w:rPr>
  </w:style>
  <w:style w:type="paragraph" w:customStyle="1" w:styleId="526">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8">
    <w:name w:val="正文 内标"/>
    <w:basedOn w:val="443"/>
    <w:qFormat/>
    <w:uiPriority w:val="0"/>
    <w:pPr>
      <w:tabs>
        <w:tab w:val="left" w:pos="0"/>
      </w:tabs>
      <w:ind w:left="900" w:firstLine="0" w:firstLineChars="0"/>
    </w:pPr>
  </w:style>
  <w:style w:type="paragraph" w:customStyle="1" w:styleId="529">
    <w:name w:val="Bulleted List"/>
    <w:basedOn w:val="1"/>
    <w:qFormat/>
    <w:uiPriority w:val="0"/>
    <w:pPr>
      <w:tabs>
        <w:tab w:val="left" w:pos="1260"/>
      </w:tabs>
      <w:adjustRightInd/>
      <w:ind w:left="1260" w:hanging="420"/>
    </w:pPr>
  </w:style>
  <w:style w:type="paragraph" w:customStyle="1" w:styleId="530">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31">
    <w:name w:val="样式 左侧:  0.85 厘米"/>
    <w:basedOn w:val="1"/>
    <w:qFormat/>
    <w:uiPriority w:val="2"/>
    <w:pPr>
      <w:adjustRightInd/>
      <w:spacing w:line="360" w:lineRule="auto"/>
    </w:pPr>
    <w:rPr>
      <w:rFonts w:cs="宋体"/>
      <w:sz w:val="24"/>
      <w:szCs w:val="20"/>
    </w:rPr>
  </w:style>
  <w:style w:type="paragraph" w:customStyle="1" w:styleId="532">
    <w:name w:val="Char Char Char Char Char Char Char Char Char Char Char Char1 Char"/>
    <w:basedOn w:val="1"/>
    <w:qFormat/>
    <w:uiPriority w:val="0"/>
    <w:rPr>
      <w:rFonts w:ascii="Tahoma" w:hAnsi="Tahoma" w:cs="仿宋_GB2312"/>
      <w:sz w:val="24"/>
      <w:szCs w:val="20"/>
    </w:rPr>
  </w:style>
  <w:style w:type="paragraph" w:customStyle="1" w:styleId="53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3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5">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6">
    <w:name w:val="Char Char1 Char Char Char Char Char Char"/>
    <w:basedOn w:val="1"/>
    <w:qFormat/>
    <w:uiPriority w:val="0"/>
    <w:rPr>
      <w:rFonts w:ascii="仿宋_GB2312" w:eastAsia="仿宋_GB2312"/>
      <w:b/>
      <w:sz w:val="32"/>
      <w:szCs w:val="20"/>
    </w:rPr>
  </w:style>
  <w:style w:type="paragraph" w:customStyle="1" w:styleId="53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0"/>
    <w:rPr>
      <w:rFonts w:ascii="仿宋_GB2312" w:eastAsia="仿宋_GB2312"/>
      <w:b/>
      <w:sz w:val="32"/>
      <w:szCs w:val="20"/>
    </w:rPr>
  </w:style>
  <w:style w:type="paragraph" w:customStyle="1" w:styleId="53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4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4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8">
    <w:name w:val="Char31"/>
    <w:basedOn w:val="1"/>
    <w:qFormat/>
    <w:uiPriority w:val="0"/>
    <w:pPr>
      <w:adjustRightInd/>
    </w:pPr>
    <w:rPr>
      <w:rFonts w:ascii="仿宋_GB2312" w:eastAsia="仿宋_GB2312"/>
      <w:b/>
      <w:sz w:val="32"/>
      <w:szCs w:val="32"/>
    </w:rPr>
  </w:style>
  <w:style w:type="paragraph" w:customStyle="1" w:styleId="54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52">
    <w:name w:val="Char Char1"/>
    <w:basedOn w:val="1"/>
    <w:qFormat/>
    <w:uiPriority w:val="0"/>
    <w:pPr>
      <w:widowControl/>
      <w:spacing w:after="160" w:line="240" w:lineRule="exact"/>
      <w:jc w:val="left"/>
    </w:pPr>
    <w:rPr>
      <w:rFonts w:eastAsia="仿宋_GB2312"/>
      <w:sz w:val="28"/>
    </w:rPr>
  </w:style>
  <w:style w:type="paragraph" w:customStyle="1" w:styleId="553">
    <w:name w:val="Char21"/>
    <w:basedOn w:val="1"/>
    <w:qFormat/>
    <w:uiPriority w:val="0"/>
    <w:pPr>
      <w:adjustRightInd/>
      <w:ind w:firstLine="200" w:firstLineChars="200"/>
    </w:pPr>
    <w:rPr>
      <w:rFonts w:ascii="仿宋_GB2312" w:eastAsia="仿宋_GB2312"/>
      <w:b/>
      <w:sz w:val="32"/>
      <w:szCs w:val="32"/>
    </w:rPr>
  </w:style>
  <w:style w:type="paragraph" w:customStyle="1" w:styleId="554">
    <w:name w:val="列表段落1"/>
    <w:basedOn w:val="1"/>
    <w:qFormat/>
    <w:uiPriority w:val="34"/>
    <w:pPr>
      <w:adjustRightInd/>
      <w:ind w:right="238" w:firstLine="420"/>
    </w:pPr>
    <w:rPr>
      <w:rFonts w:ascii="Calibri" w:hAnsi="Calibri"/>
      <w:sz w:val="24"/>
    </w:rPr>
  </w:style>
  <w:style w:type="paragraph" w:customStyle="1" w:styleId="555">
    <w:name w:val="Char Char110"/>
    <w:basedOn w:val="1"/>
    <w:qFormat/>
    <w:uiPriority w:val="6"/>
    <w:pPr>
      <w:spacing w:line="360" w:lineRule="auto"/>
    </w:pPr>
    <w:rPr>
      <w:rFonts w:ascii="Tahoma" w:hAnsi="Tahoma"/>
      <w:sz w:val="24"/>
      <w:szCs w:val="20"/>
    </w:rPr>
  </w:style>
  <w:style w:type="paragraph" w:customStyle="1" w:styleId="55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0">
    <w:name w:val="Char Char Char Char Char Char Char Char Char Char Char Char1 Char2"/>
    <w:basedOn w:val="1"/>
    <w:qFormat/>
    <w:uiPriority w:val="0"/>
    <w:rPr>
      <w:rFonts w:ascii="Tahoma" w:hAnsi="Tahoma" w:cs="仿宋_GB2312"/>
      <w:sz w:val="24"/>
      <w:szCs w:val="20"/>
    </w:rPr>
  </w:style>
  <w:style w:type="paragraph" w:customStyle="1" w:styleId="56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6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63">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56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5">
    <w:name w:val="_Style 12"/>
    <w:basedOn w:val="20"/>
    <w:qFormat/>
    <w:uiPriority w:val="0"/>
    <w:pPr>
      <w:snapToGrid w:val="0"/>
      <w:spacing w:line="360" w:lineRule="auto"/>
    </w:pPr>
  </w:style>
  <w:style w:type="paragraph" w:customStyle="1" w:styleId="56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8">
    <w:name w:val="_Style 94"/>
    <w:basedOn w:val="1"/>
    <w:next w:val="113"/>
    <w:qFormat/>
    <w:uiPriority w:val="34"/>
    <w:pPr>
      <w:adjustRightInd/>
      <w:spacing w:line="360" w:lineRule="auto"/>
      <w:ind w:firstLine="200" w:firstLineChars="200"/>
    </w:pPr>
    <w:rPr>
      <w:rFonts w:ascii="Calibri" w:hAnsi="Calibri"/>
      <w:sz w:val="28"/>
      <w:szCs w:val="20"/>
    </w:rPr>
  </w:style>
  <w:style w:type="paragraph" w:customStyle="1" w:styleId="56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7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72">
    <w:name w:val="3级标题"/>
    <w:basedOn w:val="366"/>
    <w:qFormat/>
    <w:uiPriority w:val="0"/>
    <w:pPr>
      <w:outlineLvl w:val="2"/>
    </w:pPr>
  </w:style>
  <w:style w:type="paragraph" w:customStyle="1" w:styleId="57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4">
    <w:name w:val="Char1 Char Char Char3"/>
    <w:basedOn w:val="1"/>
    <w:qFormat/>
    <w:uiPriority w:val="0"/>
    <w:pPr>
      <w:adjustRightInd/>
      <w:ind w:firstLine="200" w:firstLineChars="200"/>
    </w:pPr>
    <w:rPr>
      <w:rFonts w:ascii="Tahoma" w:hAnsi="Tahoma"/>
      <w:sz w:val="24"/>
      <w:szCs w:val="20"/>
    </w:rPr>
  </w:style>
  <w:style w:type="paragraph" w:customStyle="1" w:styleId="57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6">
    <w:name w:val="MM Empty"/>
    <w:basedOn w:val="1"/>
    <w:qFormat/>
    <w:uiPriority w:val="0"/>
    <w:pPr>
      <w:adjustRightInd/>
    </w:pPr>
  </w:style>
  <w:style w:type="paragraph" w:customStyle="1" w:styleId="577">
    <w:name w:val="Char24"/>
    <w:basedOn w:val="1"/>
    <w:qFormat/>
    <w:uiPriority w:val="0"/>
    <w:rPr>
      <w:rFonts w:ascii="仿宋_GB2312" w:eastAsia="仿宋_GB2312"/>
      <w:b/>
      <w:sz w:val="32"/>
      <w:szCs w:val="32"/>
    </w:rPr>
  </w:style>
  <w:style w:type="paragraph" w:customStyle="1" w:styleId="578">
    <w:name w:val="正文箭头"/>
    <w:basedOn w:val="232"/>
    <w:qFormat/>
    <w:uiPriority w:val="0"/>
  </w:style>
  <w:style w:type="paragraph" w:customStyle="1" w:styleId="579">
    <w:name w:val="U_编号2"/>
    <w:basedOn w:val="1"/>
    <w:qFormat/>
    <w:uiPriority w:val="0"/>
    <w:pPr>
      <w:tabs>
        <w:tab w:val="left" w:pos="785"/>
      </w:tabs>
      <w:adjustRightInd/>
      <w:spacing w:beforeLines="10" w:afterLines="10" w:line="300" w:lineRule="auto"/>
    </w:pPr>
    <w:rPr>
      <w:sz w:val="24"/>
    </w:rPr>
  </w:style>
  <w:style w:type="paragraph" w:customStyle="1" w:styleId="58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83">
    <w:name w:val="TOC 标题11"/>
    <w:basedOn w:val="2"/>
    <w:next w:val="1"/>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4">
    <w:name w:val="_Style 1"/>
    <w:basedOn w:val="1"/>
    <w:qFormat/>
    <w:uiPriority w:val="34"/>
    <w:pPr>
      <w:adjustRightInd/>
      <w:ind w:firstLine="420" w:firstLineChars="200"/>
    </w:pPr>
    <w:rPr>
      <w:rFonts w:eastAsia="仿宋_GB2312"/>
      <w:sz w:val="28"/>
    </w:rPr>
  </w:style>
  <w:style w:type="paragraph" w:customStyle="1" w:styleId="585">
    <w:name w:val="表格 内容"/>
    <w:basedOn w:val="422"/>
    <w:qFormat/>
    <w:uiPriority w:val="0"/>
    <w:rPr>
      <w:b w:val="0"/>
      <w:sz w:val="20"/>
    </w:rPr>
  </w:style>
  <w:style w:type="paragraph" w:customStyle="1" w:styleId="586">
    <w:name w:val="正文首行缩进1"/>
    <w:basedOn w:val="26"/>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8">
    <w:name w:val="数字标题5"/>
    <w:basedOn w:val="6"/>
    <w:next w:val="1"/>
    <w:qFormat/>
    <w:uiPriority w:val="0"/>
    <w:pPr>
      <w:tabs>
        <w:tab w:val="clear" w:pos="1008"/>
      </w:tabs>
      <w:ind w:left="1080" w:hanging="1080"/>
    </w:pPr>
  </w:style>
  <w:style w:type="paragraph" w:customStyle="1" w:styleId="589">
    <w:name w:val="数字标题1"/>
    <w:basedOn w:val="2"/>
    <w:next w:val="1"/>
    <w:qFormat/>
    <w:uiPriority w:val="0"/>
    <w:pPr>
      <w:tabs>
        <w:tab w:val="clear" w:pos="432"/>
      </w:tabs>
      <w:ind w:left="480" w:hanging="480"/>
    </w:pPr>
  </w:style>
  <w:style w:type="paragraph" w:customStyle="1" w:styleId="59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6">
    <w:name w:val="0"/>
    <w:basedOn w:val="1"/>
    <w:qFormat/>
    <w:uiPriority w:val="0"/>
    <w:pPr>
      <w:widowControl/>
    </w:pPr>
    <w:rPr>
      <w:kern w:val="0"/>
      <w:sz w:val="24"/>
      <w:szCs w:val="20"/>
    </w:rPr>
  </w:style>
  <w:style w:type="paragraph" w:customStyle="1" w:styleId="597">
    <w:name w:val="Char Char113"/>
    <w:basedOn w:val="1"/>
    <w:qFormat/>
    <w:uiPriority w:val="0"/>
    <w:pPr>
      <w:widowControl/>
      <w:spacing w:after="160" w:line="240" w:lineRule="exact"/>
      <w:jc w:val="left"/>
    </w:pPr>
    <w:rPr>
      <w:rFonts w:eastAsia="仿宋_GB2312"/>
      <w:sz w:val="28"/>
    </w:rPr>
  </w:style>
  <w:style w:type="paragraph" w:customStyle="1" w:styleId="59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9">
    <w:name w:val="_Style 8"/>
    <w:basedOn w:val="1"/>
    <w:qFormat/>
    <w:uiPriority w:val="34"/>
    <w:pPr>
      <w:adjustRightInd/>
      <w:ind w:firstLine="420" w:firstLineChars="200"/>
    </w:pPr>
    <w:rPr>
      <w:rFonts w:eastAsia="仿宋_GB2312"/>
      <w:sz w:val="28"/>
    </w:rPr>
  </w:style>
  <w:style w:type="paragraph" w:customStyle="1" w:styleId="60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0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0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5">
    <w:name w:val="Char Char112"/>
    <w:basedOn w:val="1"/>
    <w:qFormat/>
    <w:uiPriority w:val="6"/>
    <w:pPr>
      <w:widowControl/>
      <w:spacing w:after="160" w:line="240" w:lineRule="exact"/>
      <w:jc w:val="left"/>
    </w:pPr>
    <w:rPr>
      <w:rFonts w:eastAsia="仿宋_GB2312"/>
      <w:sz w:val="28"/>
    </w:rPr>
  </w:style>
  <w:style w:type="paragraph" w:customStyle="1" w:styleId="606">
    <w:name w:val="正文 图"/>
    <w:basedOn w:val="139"/>
    <w:qFormat/>
    <w:uiPriority w:val="0"/>
    <w:pPr>
      <w:adjustRightInd/>
      <w:spacing w:before="0"/>
      <w:ind w:firstLine="0"/>
      <w:jc w:val="center"/>
    </w:pPr>
    <w:rPr>
      <w:rFonts w:ascii="微软雅黑" w:hAnsi="微软雅黑"/>
    </w:rPr>
  </w:style>
  <w:style w:type="paragraph" w:customStyle="1" w:styleId="60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9">
    <w:name w:val="Thf"/>
    <w:basedOn w:val="256"/>
    <w:qFormat/>
    <w:uiPriority w:val="0"/>
    <w:pPr>
      <w:ind w:left="0"/>
    </w:pPr>
  </w:style>
  <w:style w:type="paragraph" w:customStyle="1" w:styleId="61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12">
    <w:name w:val="注释"/>
    <w:basedOn w:val="1"/>
    <w:qFormat/>
    <w:uiPriority w:val="0"/>
    <w:pPr>
      <w:adjustRightInd/>
      <w:spacing w:line="360" w:lineRule="auto"/>
      <w:ind w:firstLine="480"/>
    </w:pPr>
    <w:rPr>
      <w:sz w:val="24"/>
    </w:rPr>
  </w:style>
  <w:style w:type="paragraph" w:customStyle="1" w:styleId="613">
    <w:name w:val="列出段落111"/>
    <w:basedOn w:val="1"/>
    <w:qFormat/>
    <w:uiPriority w:val="34"/>
    <w:pPr>
      <w:ind w:firstLine="420" w:firstLineChars="200"/>
    </w:pPr>
  </w:style>
  <w:style w:type="paragraph" w:customStyle="1" w:styleId="614">
    <w:name w:val="标准文本"/>
    <w:basedOn w:val="1"/>
    <w:link w:val="958"/>
    <w:qFormat/>
    <w:uiPriority w:val="0"/>
    <w:pPr>
      <w:adjustRightInd/>
      <w:spacing w:line="360" w:lineRule="auto"/>
      <w:ind w:firstLine="480" w:firstLineChars="200"/>
    </w:pPr>
    <w:rPr>
      <w:rFonts w:cs="宋体"/>
      <w:sz w:val="24"/>
      <w:szCs w:val="20"/>
    </w:rPr>
  </w:style>
  <w:style w:type="paragraph" w:customStyle="1" w:styleId="615">
    <w:name w:val="_Style 947"/>
    <w:basedOn w:val="1"/>
    <w:next w:val="113"/>
    <w:qFormat/>
    <w:uiPriority w:val="34"/>
    <w:pPr>
      <w:adjustRightInd/>
      <w:ind w:firstLine="420" w:firstLineChars="200"/>
    </w:pPr>
  </w:style>
  <w:style w:type="paragraph" w:customStyle="1" w:styleId="61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7">
    <w:name w:val="纯文本2"/>
    <w:basedOn w:val="1"/>
    <w:qFormat/>
    <w:uiPriority w:val="0"/>
    <w:pPr>
      <w:adjustRightInd/>
      <w:snapToGrid w:val="0"/>
      <w:jc w:val="left"/>
    </w:pPr>
    <w:rPr>
      <w:rFonts w:ascii="Century Gothic" w:hAnsi="楷体_GB2312" w:eastAsia="Century Gothic"/>
      <w:szCs w:val="20"/>
    </w:rPr>
  </w:style>
  <w:style w:type="paragraph" w:customStyle="1" w:styleId="61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0">
    <w:name w:val="节"/>
    <w:basedOn w:val="3"/>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21">
    <w:name w:val="Blockquote"/>
    <w:basedOn w:val="1"/>
    <w:qFormat/>
    <w:uiPriority w:val="0"/>
    <w:pPr>
      <w:autoSpaceDE w:val="0"/>
      <w:autoSpaceDN w:val="0"/>
      <w:spacing w:before="100" w:after="100"/>
      <w:ind w:left="360" w:right="360"/>
      <w:jc w:val="left"/>
    </w:pPr>
    <w:rPr>
      <w:kern w:val="0"/>
      <w:sz w:val="24"/>
      <w:szCs w:val="20"/>
    </w:rPr>
  </w:style>
  <w:style w:type="paragraph" w:customStyle="1" w:styleId="622">
    <w:name w:val="p1"/>
    <w:basedOn w:val="1"/>
    <w:qFormat/>
    <w:uiPriority w:val="0"/>
    <w:pPr>
      <w:widowControl/>
      <w:adjustRightInd/>
      <w:jc w:val="left"/>
    </w:pPr>
    <w:rPr>
      <w:rFonts w:ascii=".PingFang SC" w:eastAsia=".PingFang SC"/>
      <w:color w:val="454545"/>
      <w:kern w:val="0"/>
      <w:sz w:val="18"/>
      <w:szCs w:val="18"/>
    </w:rPr>
  </w:style>
  <w:style w:type="paragraph" w:customStyle="1" w:styleId="623">
    <w:name w:val="Table Paragraph"/>
    <w:basedOn w:val="1"/>
    <w:qFormat/>
    <w:uiPriority w:val="0"/>
    <w:pPr>
      <w:adjustRightInd/>
      <w:jc w:val="left"/>
    </w:pPr>
    <w:rPr>
      <w:rFonts w:ascii="Calibri" w:hAnsi="Calibri"/>
      <w:kern w:val="0"/>
      <w:sz w:val="22"/>
      <w:szCs w:val="22"/>
      <w:lang w:eastAsia="en-US"/>
    </w:rPr>
  </w:style>
  <w:style w:type="paragraph" w:customStyle="1" w:styleId="62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6">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7">
    <w:name w:val="修订4"/>
    <w:qFormat/>
    <w:uiPriority w:val="99"/>
    <w:rPr>
      <w:rFonts w:ascii="Times New Roman" w:hAnsi="Times New Roman" w:eastAsia="宋体" w:cs="Times New Roman"/>
      <w:kern w:val="2"/>
      <w:sz w:val="21"/>
      <w:szCs w:val="24"/>
      <w:lang w:val="en-US" w:eastAsia="zh-CN" w:bidi="ar-SA"/>
    </w:rPr>
  </w:style>
  <w:style w:type="paragraph" w:customStyle="1" w:styleId="628">
    <w:name w:val="纯文本3"/>
    <w:basedOn w:val="1"/>
    <w:qFormat/>
    <w:uiPriority w:val="0"/>
    <w:pPr>
      <w:spacing w:beforeLines="50" w:afterLines="50" w:line="400" w:lineRule="exact"/>
    </w:pPr>
    <w:rPr>
      <w:rFonts w:ascii="宋体" w:hAnsi="Courier New"/>
      <w:sz w:val="24"/>
    </w:rPr>
  </w:style>
  <w:style w:type="paragraph" w:customStyle="1" w:styleId="629">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30">
    <w:name w:val="正文文本首行缩进 21"/>
    <w:basedOn w:val="16"/>
    <w:qFormat/>
    <w:uiPriority w:val="99"/>
    <w:pPr>
      <w:tabs>
        <w:tab w:val="right" w:leader="dot" w:pos="8268"/>
      </w:tabs>
      <w:spacing w:line="200" w:lineRule="atLeast"/>
      <w:ind w:firstLine="420"/>
    </w:pPr>
    <w:rPr>
      <w:rFonts w:ascii="宋体"/>
      <w:spacing w:val="-4"/>
      <w:sz w:val="18"/>
    </w:rPr>
  </w:style>
  <w:style w:type="paragraph" w:customStyle="1" w:styleId="631">
    <w:name w:val="图形"/>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32">
    <w:name w:val="No Spacing1"/>
    <w:qFormat/>
    <w:uiPriority w:val="0"/>
    <w:rPr>
      <w:rFonts w:ascii="Times New Roman" w:hAnsi="Times New Roman" w:eastAsia="??" w:cs="宋体"/>
      <w:sz w:val="22"/>
      <w:szCs w:val="22"/>
      <w:lang w:val="en-US" w:eastAsia="en-US" w:bidi="ar-SA"/>
    </w:rPr>
  </w:style>
  <w:style w:type="paragraph" w:customStyle="1" w:styleId="633">
    <w:name w:val="Style1"/>
    <w:basedOn w:val="1"/>
    <w:qFormat/>
    <w:uiPriority w:val="99"/>
    <w:pPr>
      <w:tabs>
        <w:tab w:val="left" w:pos="-720"/>
      </w:tabs>
      <w:spacing w:after="120"/>
    </w:pPr>
    <w:rPr>
      <w:spacing w:val="-3"/>
      <w:sz w:val="24"/>
      <w:szCs w:val="20"/>
      <w:lang w:eastAsia="en-US"/>
    </w:rPr>
  </w:style>
  <w:style w:type="paragraph" w:customStyle="1" w:styleId="634">
    <w:name w:val="表格文字（两侧对齐）"/>
    <w:basedOn w:val="1"/>
    <w:qFormat/>
    <w:uiPriority w:val="0"/>
    <w:pPr>
      <w:snapToGrid w:val="0"/>
    </w:pPr>
    <w:rPr>
      <w:sz w:val="20"/>
      <w:szCs w:val="24"/>
    </w:rPr>
  </w:style>
  <w:style w:type="paragraph" w:customStyle="1" w:styleId="635">
    <w:name w:val="Heading1"/>
    <w:basedOn w:val="1"/>
    <w:next w:val="1"/>
    <w:qFormat/>
    <w:uiPriority w:val="0"/>
    <w:pPr>
      <w:suppressAutoHyphens/>
      <w:spacing w:before="100" w:beforeAutospacing="1" w:after="100" w:afterAutospacing="1"/>
      <w:jc w:val="left"/>
      <w:textAlignment w:val="baseline"/>
    </w:pPr>
    <w:rPr>
      <w:rFonts w:ascii="宋体" w:hAnsi="宋体" w:eastAsia="宋体"/>
      <w:b/>
      <w:color w:val="000000"/>
      <w:kern w:val="44"/>
      <w:sz w:val="48"/>
      <w:szCs w:val="48"/>
      <w:lang w:val="en-US" w:eastAsia="zh-CN"/>
    </w:rPr>
  </w:style>
  <w:style w:type="paragraph" w:customStyle="1" w:styleId="636">
    <w:name w:val="List Paragraph"/>
    <w:basedOn w:val="1"/>
    <w:qFormat/>
    <w:uiPriority w:val="34"/>
    <w:pPr>
      <w:spacing w:line="360" w:lineRule="auto"/>
      <w:ind w:firstLine="200" w:firstLineChars="200"/>
    </w:pPr>
    <w:rPr>
      <w:rFonts w:eastAsia="楷体_GB2312" w:cs="Lucida Sans"/>
      <w:sz w:val="24"/>
    </w:rPr>
  </w:style>
  <w:style w:type="character" w:customStyle="1" w:styleId="637">
    <w:name w:val="标题 2 字符"/>
    <w:qFormat/>
    <w:uiPriority w:val="1"/>
    <w:rPr>
      <w:rFonts w:ascii="仿宋_GB2312" w:hAnsi="Times New Roman" w:eastAsia="仿宋_GB2312" w:cs="Times New Roman"/>
      <w:b/>
      <w:kern w:val="2"/>
      <w:sz w:val="24"/>
      <w:lang w:val="zh-CN"/>
    </w:rPr>
  </w:style>
  <w:style w:type="character" w:customStyle="1" w:styleId="638">
    <w:name w:val="表格非标题文字 Char"/>
    <w:link w:val="93"/>
    <w:qFormat/>
    <w:uiPriority w:val="0"/>
    <w:rPr>
      <w:rFonts w:ascii="Futura Bk" w:hAnsi="Futura Bk"/>
      <w:kern w:val="2"/>
      <w:sz w:val="18"/>
      <w:szCs w:val="21"/>
      <w:lang w:val="en-US" w:eastAsia="zh-CN" w:bidi="ar-SA"/>
    </w:rPr>
  </w:style>
  <w:style w:type="character" w:customStyle="1" w:styleId="639">
    <w:name w:val="*正文 Char"/>
    <w:link w:val="94"/>
    <w:qFormat/>
    <w:uiPriority w:val="0"/>
    <w:rPr>
      <w:rFonts w:ascii="宋体" w:hAnsi="宋体"/>
      <w:sz w:val="24"/>
    </w:rPr>
  </w:style>
  <w:style w:type="character" w:customStyle="1" w:styleId="640">
    <w:name w:val="Char Char71"/>
    <w:qFormat/>
    <w:uiPriority w:val="0"/>
    <w:rPr>
      <w:rFonts w:eastAsia="宋体"/>
      <w:kern w:val="2"/>
      <w:sz w:val="21"/>
      <w:szCs w:val="24"/>
      <w:lang w:val="en-US" w:eastAsia="zh-CN" w:bidi="ar-SA"/>
    </w:rPr>
  </w:style>
  <w:style w:type="character" w:customStyle="1" w:styleId="641">
    <w:name w:val="Char Char6"/>
    <w:qFormat/>
    <w:uiPriority w:val="0"/>
    <w:rPr>
      <w:rFonts w:eastAsia="宋体"/>
      <w:kern w:val="2"/>
      <w:sz w:val="21"/>
      <w:szCs w:val="24"/>
      <w:lang w:val="en-US" w:eastAsia="zh-CN" w:bidi="ar-SA"/>
    </w:rPr>
  </w:style>
  <w:style w:type="character" w:customStyle="1" w:styleId="642">
    <w:name w:val="正文缩进 Char"/>
    <w:qFormat/>
    <w:uiPriority w:val="0"/>
    <w:rPr>
      <w:rFonts w:eastAsia="宋体"/>
      <w:kern w:val="2"/>
      <w:sz w:val="21"/>
      <w:lang w:val="en-US" w:eastAsia="zh-CN"/>
    </w:rPr>
  </w:style>
  <w:style w:type="character" w:customStyle="1" w:styleId="643">
    <w:name w:val="正文首行缩进 Char1"/>
    <w:qFormat/>
    <w:uiPriority w:val="0"/>
    <w:rPr>
      <w:rFonts w:ascii="宋体" w:hAnsi="Times New Roman" w:eastAsia="宋体" w:cs="Times New Roman"/>
      <w:snapToGrid w:val="0"/>
      <w:kern w:val="2"/>
      <w:sz w:val="24"/>
      <w:szCs w:val="21"/>
      <w:lang w:val="zh-CN"/>
    </w:rPr>
  </w:style>
  <w:style w:type="character" w:customStyle="1" w:styleId="644">
    <w:name w:val="Char Char28"/>
    <w:qFormat/>
    <w:uiPriority w:val="6"/>
    <w:rPr>
      <w:rFonts w:ascii="仿宋_GB2312" w:hAnsi="仿宋_GB2312" w:eastAsia="仿宋_GB2312"/>
      <w:kern w:val="1"/>
      <w:sz w:val="28"/>
    </w:rPr>
  </w:style>
  <w:style w:type="character" w:customStyle="1" w:styleId="645">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6">
    <w:name w:val="Heading 1 Char_e2eabb44-eaf4-44ae-a8f5-a6e4f98443a1"/>
    <w:qFormat/>
    <w:uiPriority w:val="6"/>
    <w:rPr>
      <w:rFonts w:ascii="Times New Roman" w:hAnsi="Times New Roman" w:eastAsia="黑体" w:cs="Times New Roman"/>
      <w:b/>
      <w:kern w:val="0"/>
      <w:sz w:val="24"/>
      <w:szCs w:val="24"/>
    </w:rPr>
  </w:style>
  <w:style w:type="character" w:customStyle="1" w:styleId="647">
    <w:name w:val="U_正文 Char"/>
    <w:link w:val="95"/>
    <w:qFormat/>
    <w:uiPriority w:val="0"/>
    <w:rPr>
      <w:sz w:val="24"/>
      <w:szCs w:val="24"/>
    </w:rPr>
  </w:style>
  <w:style w:type="character" w:customStyle="1" w:styleId="648">
    <w:name w:val="HTML 地址 Char1"/>
    <w:qFormat/>
    <w:uiPriority w:val="0"/>
    <w:rPr>
      <w:rFonts w:ascii="Times New Roman" w:hAnsi="Times New Roman" w:eastAsia="宋体" w:cs="Times New Roman"/>
      <w:i/>
      <w:iCs/>
      <w:szCs w:val="24"/>
    </w:rPr>
  </w:style>
  <w:style w:type="character" w:customStyle="1" w:styleId="649">
    <w:name w:val="批注主题 字符"/>
    <w:link w:val="62"/>
    <w:qFormat/>
    <w:uiPriority w:val="0"/>
    <w:rPr>
      <w:b/>
      <w:bCs/>
      <w:kern w:val="2"/>
      <w:sz w:val="21"/>
      <w:szCs w:val="24"/>
    </w:rPr>
  </w:style>
  <w:style w:type="character" w:customStyle="1" w:styleId="650">
    <w:name w:val="Char Char51"/>
    <w:qFormat/>
    <w:uiPriority w:val="0"/>
    <w:rPr>
      <w:rFonts w:ascii="宋体" w:hAnsi="Courier New" w:eastAsia="宋体"/>
      <w:kern w:val="2"/>
      <w:sz w:val="21"/>
      <w:lang w:val="en-US" w:eastAsia="zh-CN"/>
    </w:rPr>
  </w:style>
  <w:style w:type="character" w:customStyle="1" w:styleId="651">
    <w:name w:val="表正文 Char"/>
    <w:qFormat/>
    <w:uiPriority w:val="0"/>
    <w:rPr>
      <w:rFonts w:ascii="宋体" w:eastAsia="宋体"/>
      <w:snapToGrid w:val="0"/>
      <w:color w:val="000000"/>
      <w:kern w:val="28"/>
      <w:sz w:val="28"/>
      <w:lang w:val="en-US" w:eastAsia="zh-CN" w:bidi="ar-SA"/>
    </w:rPr>
  </w:style>
  <w:style w:type="character" w:customStyle="1" w:styleId="652">
    <w:name w:val="Char Char34"/>
    <w:qFormat/>
    <w:uiPriority w:val="6"/>
    <w:rPr>
      <w:b/>
      <w:kern w:val="1"/>
      <w:sz w:val="28"/>
      <w:szCs w:val="28"/>
    </w:rPr>
  </w:style>
  <w:style w:type="character" w:customStyle="1" w:styleId="653">
    <w:name w:val="Normal Indent Char"/>
    <w:qFormat/>
    <w:uiPriority w:val="0"/>
    <w:rPr>
      <w:rFonts w:ascii="Calibri" w:hAnsi="Calibri" w:eastAsia="宋体" w:cs="黑体"/>
      <w:snapToGrid w:val="0"/>
      <w:kern w:val="2"/>
      <w:sz w:val="24"/>
      <w:szCs w:val="22"/>
      <w:lang w:val="en-US" w:eastAsia="zh-CN" w:bidi="ar-SA"/>
    </w:rPr>
  </w:style>
  <w:style w:type="character" w:customStyle="1" w:styleId="654">
    <w:name w:val="哈哈正文 Char"/>
    <w:link w:val="96"/>
    <w:qFormat/>
    <w:uiPriority w:val="0"/>
    <w:rPr>
      <w:rFonts w:ascii="宋体" w:hAnsi="宋体" w:eastAsia="宋体"/>
      <w:kern w:val="2"/>
      <w:sz w:val="24"/>
      <w:lang w:bidi="ar-SA"/>
    </w:rPr>
  </w:style>
  <w:style w:type="character" w:customStyle="1" w:styleId="655">
    <w:name w:val="未处理的提及1"/>
    <w:qFormat/>
    <w:uiPriority w:val="0"/>
    <w:rPr>
      <w:color w:val="808080"/>
      <w:shd w:val="clear" w:color="auto" w:fill="E6E6E6"/>
    </w:rPr>
  </w:style>
  <w:style w:type="character" w:customStyle="1" w:styleId="656">
    <w:name w:val="txt"/>
    <w:qFormat/>
    <w:uiPriority w:val="0"/>
    <w:rPr>
      <w:rFonts w:ascii="仿宋_GB2312" w:eastAsia="微软雅黑"/>
      <w:b/>
      <w:kern w:val="2"/>
      <w:sz w:val="32"/>
      <w:szCs w:val="32"/>
      <w:lang w:val="en-US" w:eastAsia="zh-CN" w:bidi="ar-SA"/>
    </w:rPr>
  </w:style>
  <w:style w:type="character" w:customStyle="1" w:styleId="657">
    <w:name w:val="二级标题 Char Char"/>
    <w:qFormat/>
    <w:uiPriority w:val="0"/>
    <w:rPr>
      <w:rFonts w:ascii="宋体" w:hAnsi="宋体" w:eastAsia="宋体"/>
      <w:b/>
      <w:snapToGrid w:val="0"/>
      <w:kern w:val="2"/>
      <w:sz w:val="24"/>
      <w:szCs w:val="24"/>
      <w:lang w:val="en-US" w:eastAsia="zh-CN" w:bidi="ar-SA"/>
    </w:rPr>
  </w:style>
  <w:style w:type="character" w:customStyle="1" w:styleId="658">
    <w:name w:val="Char Char32"/>
    <w:qFormat/>
    <w:uiPriority w:val="6"/>
    <w:rPr>
      <w:b/>
      <w:kern w:val="1"/>
      <w:sz w:val="24"/>
      <w:szCs w:val="24"/>
    </w:rPr>
  </w:style>
  <w:style w:type="character" w:customStyle="1" w:styleId="659">
    <w:name w:val="PI Char1"/>
    <w:qFormat/>
    <w:uiPriority w:val="0"/>
    <w:rPr>
      <w:rFonts w:ascii="宋体" w:hAnsi="宋体"/>
      <w:kern w:val="2"/>
      <w:sz w:val="24"/>
      <w:szCs w:val="24"/>
    </w:rPr>
  </w:style>
  <w:style w:type="character" w:customStyle="1" w:styleId="660">
    <w:name w:val="tw4winTerm"/>
    <w:qFormat/>
    <w:uiPriority w:val="0"/>
    <w:rPr>
      <w:color w:val="0000FF"/>
    </w:rPr>
  </w:style>
  <w:style w:type="character" w:customStyle="1" w:styleId="661">
    <w:name w:val="Footer Char_93c0497a-00af-4325-bae7-f71d8006a5d4"/>
    <w:qFormat/>
    <w:uiPriority w:val="0"/>
    <w:rPr>
      <w:rFonts w:eastAsia="宋体"/>
      <w:kern w:val="2"/>
      <w:sz w:val="18"/>
      <w:lang w:val="en-US" w:eastAsia="zh-CN" w:bidi="ar-SA"/>
    </w:rPr>
  </w:style>
  <w:style w:type="character" w:customStyle="1" w:styleId="662">
    <w:name w:val="普通文字 Char Char1"/>
    <w:qFormat/>
    <w:uiPriority w:val="0"/>
    <w:rPr>
      <w:rFonts w:ascii="宋体" w:hAnsi="Courier New"/>
      <w:kern w:val="2"/>
      <w:sz w:val="21"/>
    </w:rPr>
  </w:style>
  <w:style w:type="character" w:customStyle="1" w:styleId="663">
    <w:name w:val="Char Char101"/>
    <w:qFormat/>
    <w:uiPriority w:val="6"/>
    <w:rPr>
      <w:rFonts w:ascii="宋体" w:hAnsi="宋体"/>
      <w:kern w:val="2"/>
      <w:sz w:val="21"/>
      <w:szCs w:val="24"/>
      <w:lang w:val="en-US" w:eastAsia="zh-CN"/>
    </w:rPr>
  </w:style>
  <w:style w:type="character" w:customStyle="1" w:styleId="664">
    <w:name w:val="标题 4 Char"/>
    <w:qFormat/>
    <w:uiPriority w:val="0"/>
    <w:rPr>
      <w:rFonts w:ascii="Arial" w:hAnsi="Arial" w:eastAsia="黑体"/>
      <w:b/>
      <w:kern w:val="2"/>
      <w:sz w:val="28"/>
    </w:rPr>
  </w:style>
  <w:style w:type="character" w:customStyle="1" w:styleId="665">
    <w:name w:val="链接"/>
    <w:qFormat/>
    <w:uiPriority w:val="0"/>
    <w:rPr>
      <w:color w:val="0000FF"/>
      <w:sz w:val="21"/>
      <w:szCs w:val="21"/>
      <w:u w:val="single"/>
    </w:rPr>
  </w:style>
  <w:style w:type="character" w:customStyle="1" w:styleId="666">
    <w:name w:val="h4 Char"/>
    <w:qFormat/>
    <w:uiPriority w:val="0"/>
    <w:rPr>
      <w:rFonts w:ascii="Arial" w:hAnsi="Arial" w:eastAsia="黑体"/>
      <w:b/>
      <w:bCs/>
      <w:kern w:val="2"/>
      <w:sz w:val="28"/>
      <w:szCs w:val="28"/>
      <w:lang w:val="zh-CN" w:eastAsia="zh-CN" w:bidi="ar-SA"/>
    </w:rPr>
  </w:style>
  <w:style w:type="character" w:customStyle="1" w:styleId="667">
    <w:name w:val="5正文 Char"/>
    <w:link w:val="97"/>
    <w:qFormat/>
    <w:uiPriority w:val="0"/>
    <w:rPr>
      <w:rFonts w:ascii="仿宋_GB2312" w:hAnsi="微软雅黑" w:eastAsia="仿宋_GB2312"/>
      <w:sz w:val="28"/>
      <w:szCs w:val="21"/>
    </w:rPr>
  </w:style>
  <w:style w:type="character" w:customStyle="1" w:styleId="668">
    <w:name w:val="标题 3 字符"/>
    <w:qFormat/>
    <w:uiPriority w:val="9"/>
    <w:rPr>
      <w:b/>
      <w:bCs/>
      <w:kern w:val="2"/>
      <w:sz w:val="32"/>
      <w:szCs w:val="32"/>
    </w:rPr>
  </w:style>
  <w:style w:type="character" w:customStyle="1" w:styleId="669">
    <w:name w:val="样式6 Char"/>
    <w:qFormat/>
    <w:uiPriority w:val="0"/>
    <w:rPr>
      <w:rFonts w:ascii="仿宋_GB2312" w:hAnsi="宋体" w:eastAsia="仿宋_GB2312"/>
      <w:b/>
      <w:bCs/>
      <w:kern w:val="2"/>
      <w:sz w:val="24"/>
      <w:szCs w:val="24"/>
      <w:lang w:val="en-US" w:eastAsia="zh-CN" w:bidi="ar-SA"/>
    </w:rPr>
  </w:style>
  <w:style w:type="character" w:customStyle="1" w:styleId="670">
    <w:name w:val="Char Char14"/>
    <w:qFormat/>
    <w:uiPriority w:val="6"/>
    <w:rPr>
      <w:rFonts w:ascii="黑体" w:hAnsi="黑体" w:eastAsia="黑体"/>
    </w:rPr>
  </w:style>
  <w:style w:type="character" w:customStyle="1" w:styleId="671">
    <w:name w:val="Heading 2 Hidden Char"/>
    <w:qFormat/>
    <w:uiPriority w:val="0"/>
    <w:rPr>
      <w:rFonts w:ascii="仿宋_GB2312" w:eastAsia="仿宋_GB2312"/>
      <w:b/>
      <w:bCs/>
      <w:kern w:val="2"/>
      <w:sz w:val="24"/>
      <w:szCs w:val="24"/>
      <w:lang w:val="zh-CN" w:eastAsia="zh-CN" w:bidi="ar-SA"/>
    </w:rPr>
  </w:style>
  <w:style w:type="character" w:customStyle="1" w:styleId="672">
    <w:name w:val="正文首行缩进 2 字符"/>
    <w:link w:val="17"/>
    <w:qFormat/>
    <w:uiPriority w:val="0"/>
    <w:rPr>
      <w:rFonts w:ascii="宋体" w:hAnsi="宋体"/>
      <w:kern w:val="2"/>
      <w:sz w:val="21"/>
      <w:szCs w:val="24"/>
    </w:rPr>
  </w:style>
  <w:style w:type="character" w:customStyle="1" w:styleId="673">
    <w:name w:val="font11"/>
    <w:qFormat/>
    <w:uiPriority w:val="0"/>
    <w:rPr>
      <w:rFonts w:hint="default" w:ascii="Times New Roman" w:hAnsi="Times New Roman" w:cs="Times New Roman"/>
      <w:color w:val="000000"/>
      <w:sz w:val="22"/>
      <w:szCs w:val="22"/>
      <w:u w:val="none"/>
    </w:rPr>
  </w:style>
  <w:style w:type="character" w:customStyle="1" w:styleId="674">
    <w:name w:val="表正文 Char1"/>
    <w:qFormat/>
    <w:uiPriority w:val="0"/>
    <w:rPr>
      <w:rFonts w:ascii="宋体" w:eastAsia="宋体"/>
      <w:snapToGrid w:val="0"/>
      <w:color w:val="000000"/>
      <w:kern w:val="28"/>
      <w:sz w:val="28"/>
    </w:rPr>
  </w:style>
  <w:style w:type="character" w:customStyle="1" w:styleId="675">
    <w:name w:val="blue1"/>
    <w:basedOn w:val="70"/>
    <w:qFormat/>
    <w:uiPriority w:val="0"/>
    <w:rPr>
      <w:rFonts w:ascii="Arial" w:hAnsi="Arial" w:eastAsia="黑体" w:cs="Arial"/>
      <w:snapToGrid w:val="0"/>
      <w:kern w:val="0"/>
      <w:szCs w:val="21"/>
    </w:rPr>
  </w:style>
  <w:style w:type="character" w:customStyle="1" w:styleId="676">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77">
    <w:name w:val="标书1 Char"/>
    <w:qFormat/>
    <w:uiPriority w:val="0"/>
    <w:rPr>
      <w:rFonts w:eastAsia="宋体"/>
      <w:b/>
      <w:bCs/>
      <w:kern w:val="44"/>
      <w:sz w:val="44"/>
      <w:szCs w:val="44"/>
      <w:lang w:val="en-US" w:eastAsia="zh-CN" w:bidi="ar-SA"/>
    </w:rPr>
  </w:style>
  <w:style w:type="character" w:customStyle="1" w:styleId="678">
    <w:name w:val="样式5 Char"/>
    <w:qFormat/>
    <w:uiPriority w:val="0"/>
    <w:rPr>
      <w:rFonts w:ascii="仿宋_GB2312" w:hAnsi="仿宋" w:eastAsia="仿宋_GB2312"/>
      <w:kern w:val="2"/>
      <w:sz w:val="24"/>
      <w:szCs w:val="24"/>
    </w:rPr>
  </w:style>
  <w:style w:type="character" w:customStyle="1" w:styleId="679">
    <w:name w:val="样式4 Char"/>
    <w:qFormat/>
    <w:uiPriority w:val="0"/>
    <w:rPr>
      <w:rFonts w:ascii="仿宋_GB2312" w:hAnsi="仿宋" w:eastAsia="仿宋_GB2312"/>
      <w:b/>
      <w:kern w:val="2"/>
      <w:sz w:val="32"/>
      <w:szCs w:val="32"/>
      <w:lang w:bidi="ar-SA"/>
    </w:rPr>
  </w:style>
  <w:style w:type="character" w:customStyle="1" w:styleId="680">
    <w:name w:val="插图说明 Char"/>
    <w:qFormat/>
    <w:uiPriority w:val="0"/>
    <w:rPr>
      <w:rFonts w:eastAsia="黑体"/>
      <w:sz w:val="24"/>
      <w:lang w:val="en-US" w:eastAsia="zh-CN"/>
    </w:rPr>
  </w:style>
  <w:style w:type="character" w:customStyle="1" w:styleId="681">
    <w:name w:val="正文2 Char Char"/>
    <w:link w:val="98"/>
    <w:qFormat/>
    <w:uiPriority w:val="0"/>
    <w:rPr>
      <w:rFonts w:eastAsia="宋体"/>
      <w:kern w:val="2"/>
      <w:sz w:val="24"/>
      <w:lang w:val="en-US" w:eastAsia="zh-CN" w:bidi="ar-SA"/>
    </w:rPr>
  </w:style>
  <w:style w:type="character" w:customStyle="1" w:styleId="682">
    <w:name w:val="Char Char24"/>
    <w:qFormat/>
    <w:uiPriority w:val="6"/>
    <w:rPr>
      <w:kern w:val="1"/>
      <w:sz w:val="21"/>
    </w:rPr>
  </w:style>
  <w:style w:type="character" w:customStyle="1" w:styleId="683">
    <w:name w:val="副标题 字符"/>
    <w:link w:val="49"/>
    <w:qFormat/>
    <w:uiPriority w:val="0"/>
    <w:rPr>
      <w:rFonts w:ascii="Arial" w:hAnsi="Arial" w:eastAsia="隶书"/>
      <w:b/>
      <w:bCs/>
      <w:kern w:val="28"/>
      <w:sz w:val="44"/>
      <w:szCs w:val="32"/>
      <w:lang w:val="en-US" w:eastAsia="zh-CN" w:bidi="ar-SA"/>
    </w:rPr>
  </w:style>
  <w:style w:type="character" w:customStyle="1" w:styleId="684">
    <w:name w:val="普通文字 Char1 Char"/>
    <w:qFormat/>
    <w:uiPriority w:val="0"/>
    <w:rPr>
      <w:rFonts w:ascii="宋体" w:hAnsi="Courier New" w:eastAsia="宋体"/>
      <w:kern w:val="2"/>
      <w:sz w:val="21"/>
      <w:szCs w:val="24"/>
      <w:lang w:val="en-US" w:eastAsia="zh-CN" w:bidi="ar-SA"/>
    </w:rPr>
  </w:style>
  <w:style w:type="character" w:customStyle="1" w:styleId="685">
    <w:name w:val="h3 Char1"/>
    <w:qFormat/>
    <w:uiPriority w:val="0"/>
    <w:rPr>
      <w:rFonts w:eastAsia="宋体"/>
      <w:b/>
      <w:bCs/>
      <w:kern w:val="2"/>
      <w:sz w:val="32"/>
      <w:szCs w:val="32"/>
      <w:lang w:bidi="ar-SA"/>
    </w:rPr>
  </w:style>
  <w:style w:type="character" w:customStyle="1" w:styleId="686">
    <w:name w:val="标题 Char1"/>
    <w:qFormat/>
    <w:uiPriority w:val="0"/>
    <w:rPr>
      <w:rFonts w:ascii="Cambria" w:hAnsi="Cambria" w:eastAsia="宋体" w:cs="Times New Roman"/>
      <w:b/>
      <w:bCs/>
      <w:sz w:val="32"/>
      <w:szCs w:val="32"/>
      <w:lang w:bidi="ar-SA"/>
    </w:rPr>
  </w:style>
  <w:style w:type="character" w:customStyle="1" w:styleId="687">
    <w:name w:val="gf正文1 Char"/>
    <w:qFormat/>
    <w:uiPriority w:val="0"/>
    <w:rPr>
      <w:rFonts w:ascii="宋体" w:hAnsi="宋体" w:eastAsia="宋体" w:cs="宋体"/>
      <w:kern w:val="2"/>
      <w:sz w:val="24"/>
      <w:szCs w:val="24"/>
      <w:lang w:val="en-US" w:eastAsia="zh-CN" w:bidi="ar-SA"/>
    </w:rPr>
  </w:style>
  <w:style w:type="character" w:customStyle="1" w:styleId="688">
    <w:name w:val="正文文本缩进 Char1"/>
    <w:qFormat/>
    <w:uiPriority w:val="0"/>
    <w:rPr>
      <w:rFonts w:ascii="Calibri" w:hAnsi="Calibri"/>
      <w:sz w:val="28"/>
    </w:rPr>
  </w:style>
  <w:style w:type="character" w:customStyle="1" w:styleId="689">
    <w:name w:val="No Spacing Char"/>
    <w:link w:val="100"/>
    <w:qFormat/>
    <w:uiPriority w:val="1"/>
    <w:rPr>
      <w:sz w:val="22"/>
      <w:szCs w:val="22"/>
      <w:lang w:val="en-US" w:eastAsia="zh-CN" w:bidi="ar-SA"/>
    </w:rPr>
  </w:style>
  <w:style w:type="character" w:customStyle="1" w:styleId="690">
    <w:name w:val="样式7 Char"/>
    <w:qFormat/>
    <w:uiPriority w:val="0"/>
    <w:rPr>
      <w:rFonts w:ascii="仿宋_GB2312" w:hAnsi="仿宋" w:eastAsia="仿宋_GB2312"/>
      <w:b/>
      <w:kern w:val="2"/>
      <w:sz w:val="24"/>
      <w:szCs w:val="24"/>
    </w:rPr>
  </w:style>
  <w:style w:type="character" w:customStyle="1" w:styleId="691">
    <w:name w:val="font12gray1"/>
    <w:qFormat/>
    <w:uiPriority w:val="0"/>
    <w:rPr>
      <w:rFonts w:ascii="仿宋_GB2312" w:eastAsia="微软雅黑"/>
      <w:b/>
      <w:spacing w:val="300"/>
      <w:kern w:val="2"/>
      <w:sz w:val="18"/>
      <w:szCs w:val="18"/>
      <w:lang w:val="en-US" w:eastAsia="zh-CN" w:bidi="ar-SA"/>
    </w:rPr>
  </w:style>
  <w:style w:type="character" w:customStyle="1" w:styleId="692">
    <w:name w:val="Char Char7"/>
    <w:qFormat/>
    <w:uiPriority w:val="0"/>
    <w:rPr>
      <w:rFonts w:eastAsia="宋体"/>
      <w:kern w:val="2"/>
      <w:sz w:val="21"/>
      <w:szCs w:val="24"/>
      <w:lang w:val="en-US" w:eastAsia="zh-CN" w:bidi="ar-SA"/>
    </w:rPr>
  </w:style>
  <w:style w:type="character" w:customStyle="1" w:styleId="693">
    <w:name w:val="表名 Char"/>
    <w:qFormat/>
    <w:uiPriority w:val="0"/>
    <w:rPr>
      <w:rFonts w:eastAsia="宋体"/>
      <w:b/>
      <w:bCs/>
      <w:kern w:val="2"/>
      <w:sz w:val="24"/>
      <w:szCs w:val="24"/>
      <w:lang w:val="en-US" w:eastAsia="zh-CN" w:bidi="ar-SA"/>
    </w:rPr>
  </w:style>
  <w:style w:type="character" w:customStyle="1" w:styleId="694">
    <w:name w:val="Document Map Char"/>
    <w:qFormat/>
    <w:uiPriority w:val="0"/>
    <w:rPr>
      <w:rFonts w:eastAsia="宋体"/>
      <w:kern w:val="2"/>
      <w:sz w:val="21"/>
      <w:szCs w:val="24"/>
      <w:lang w:val="en-US" w:eastAsia="zh-CN" w:bidi="ar-SA"/>
    </w:rPr>
  </w:style>
  <w:style w:type="character" w:customStyle="1" w:styleId="695">
    <w:name w:val="font41"/>
    <w:qFormat/>
    <w:uiPriority w:val="0"/>
    <w:rPr>
      <w:rFonts w:hint="eastAsia" w:ascii="仿宋_GB2312" w:eastAsia="仿宋_GB2312" w:cs="仿宋_GB2312"/>
      <w:color w:val="000000"/>
      <w:sz w:val="22"/>
      <w:szCs w:val="22"/>
      <w:u w:val="none"/>
    </w:rPr>
  </w:style>
  <w:style w:type="character" w:customStyle="1" w:styleId="696">
    <w:name w:val="标题 6 字符"/>
    <w:link w:val="7"/>
    <w:qFormat/>
    <w:uiPriority w:val="0"/>
    <w:rPr>
      <w:rFonts w:ascii="Arial" w:hAnsi="Arial" w:eastAsia="黑体"/>
      <w:b/>
      <w:bCs/>
      <w:kern w:val="2"/>
      <w:sz w:val="24"/>
      <w:szCs w:val="24"/>
    </w:rPr>
  </w:style>
  <w:style w:type="character" w:customStyle="1" w:styleId="697">
    <w:name w:val="纯文本 Char_0"/>
    <w:link w:val="101"/>
    <w:qFormat/>
    <w:uiPriority w:val="0"/>
    <w:rPr>
      <w:rFonts w:ascii="宋体" w:hAnsi="Courier New"/>
      <w:kern w:val="2"/>
      <w:sz w:val="21"/>
      <w:szCs w:val="21"/>
      <w:lang w:val="en-US" w:eastAsia="zh-CN"/>
    </w:rPr>
  </w:style>
  <w:style w:type="character" w:customStyle="1" w:styleId="698">
    <w:name w:val="Balloon Text Char"/>
    <w:qFormat/>
    <w:uiPriority w:val="0"/>
    <w:rPr>
      <w:rFonts w:eastAsia="宋体"/>
      <w:kern w:val="2"/>
      <w:sz w:val="18"/>
      <w:szCs w:val="18"/>
      <w:lang w:val="en-US" w:eastAsia="zh-CN" w:bidi="ar-SA"/>
    </w:rPr>
  </w:style>
  <w:style w:type="character" w:customStyle="1" w:styleId="699">
    <w:name w:val="正文 项目2 Char"/>
    <w:basedOn w:val="700"/>
    <w:qFormat/>
    <w:uiPriority w:val="0"/>
    <w:rPr>
      <w:rFonts w:ascii="仿宋_GB2312" w:hAnsi="仿宋_GB2312" w:eastAsia="仿宋_GB2312"/>
      <w:kern w:val="2"/>
      <w:sz w:val="24"/>
      <w:lang w:bidi="ar-SA"/>
    </w:rPr>
  </w:style>
  <w:style w:type="character" w:customStyle="1" w:styleId="700">
    <w:name w:val="正文 项目 Char"/>
    <w:qFormat/>
    <w:uiPriority w:val="0"/>
    <w:rPr>
      <w:rFonts w:ascii="仿宋_GB2312" w:hAnsi="仿宋_GB2312" w:eastAsia="仿宋_GB2312"/>
      <w:kern w:val="2"/>
      <w:sz w:val="24"/>
      <w:lang w:bidi="ar-SA"/>
    </w:rPr>
  </w:style>
  <w:style w:type="character" w:customStyle="1" w:styleId="701">
    <w:name w:val="h Char Char1"/>
    <w:qFormat/>
    <w:uiPriority w:val="0"/>
    <w:rPr>
      <w:rFonts w:eastAsia="宋体"/>
      <w:kern w:val="2"/>
      <w:sz w:val="18"/>
      <w:szCs w:val="18"/>
      <w:lang w:val="en-US" w:eastAsia="zh-CN" w:bidi="ar-SA"/>
    </w:rPr>
  </w:style>
  <w:style w:type="character" w:customStyle="1" w:styleId="702">
    <w:name w:val="Char Char27"/>
    <w:qFormat/>
    <w:uiPriority w:val="6"/>
    <w:rPr>
      <w:rFonts w:ascii="宋体" w:hAnsi="宋体" w:eastAsia="宋体"/>
      <w:color w:val="000000"/>
      <w:kern w:val="1"/>
      <w:sz w:val="28"/>
      <w:lang w:val="en-US" w:eastAsia="zh-CN" w:bidi="ar-SA"/>
    </w:rPr>
  </w:style>
  <w:style w:type="character" w:customStyle="1" w:styleId="703">
    <w:name w:val="px14"/>
    <w:qFormat/>
    <w:uiPriority w:val="0"/>
    <w:rPr>
      <w:rFonts w:ascii="仿宋_GB2312" w:eastAsia="微软雅黑" w:cs="Times New Roman"/>
      <w:b/>
      <w:kern w:val="2"/>
      <w:sz w:val="32"/>
      <w:szCs w:val="32"/>
      <w:lang w:val="en-US" w:eastAsia="zh-CN" w:bidi="ar-SA"/>
    </w:rPr>
  </w:style>
  <w:style w:type="character" w:customStyle="1" w:styleId="704">
    <w:name w:val="HTML 预设格式 Char1"/>
    <w:qFormat/>
    <w:uiPriority w:val="0"/>
    <w:rPr>
      <w:rFonts w:ascii="Courier New" w:hAnsi="Courier New" w:eastAsia="宋体" w:cs="Courier New"/>
      <w:sz w:val="20"/>
      <w:szCs w:val="20"/>
    </w:rPr>
  </w:style>
  <w:style w:type="character" w:customStyle="1" w:styleId="705">
    <w:name w:val="普通文字 Char1"/>
    <w:qFormat/>
    <w:uiPriority w:val="0"/>
    <w:rPr>
      <w:rFonts w:ascii="宋体" w:hAnsi="Courier New" w:eastAsia="宋体"/>
      <w:kern w:val="2"/>
      <w:sz w:val="21"/>
      <w:lang w:val="en-US" w:eastAsia="zh-CN"/>
    </w:rPr>
  </w:style>
  <w:style w:type="character" w:customStyle="1" w:styleId="706">
    <w:name w:val="hei16b1"/>
    <w:qFormat/>
    <w:uiPriority w:val="0"/>
    <w:rPr>
      <w:rFonts w:hint="default" w:ascii="Arial" w:hAnsi="Arial" w:cs="Arial"/>
      <w:b/>
      <w:bCs/>
      <w:color w:val="000000"/>
      <w:sz w:val="24"/>
      <w:szCs w:val="24"/>
    </w:rPr>
  </w:style>
  <w:style w:type="character" w:customStyle="1" w:styleId="707">
    <w:name w:val="正文（绿盟科技） Char"/>
    <w:link w:val="103"/>
    <w:qFormat/>
    <w:uiPriority w:val="0"/>
    <w:rPr>
      <w:rFonts w:ascii="Arial" w:hAnsi="Arial"/>
      <w:sz w:val="21"/>
      <w:szCs w:val="21"/>
    </w:rPr>
  </w:style>
  <w:style w:type="character" w:customStyle="1" w:styleId="708">
    <w:name w:val="Char Char19"/>
    <w:qFormat/>
    <w:uiPriority w:val="6"/>
    <w:rPr>
      <w:rFonts w:ascii="宋体" w:hAnsi="宋体"/>
      <w:i/>
      <w:sz w:val="24"/>
      <w:szCs w:val="24"/>
    </w:rPr>
  </w:style>
  <w:style w:type="character" w:customStyle="1" w:styleId="709">
    <w:name w:val="页脚 Char"/>
    <w:qFormat/>
    <w:uiPriority w:val="0"/>
    <w:rPr>
      <w:rFonts w:eastAsia="仿宋_GB2312"/>
      <w:kern w:val="2"/>
      <w:sz w:val="18"/>
      <w:lang w:val="en-US" w:eastAsia="zh-CN"/>
    </w:rPr>
  </w:style>
  <w:style w:type="character" w:customStyle="1" w:styleId="710">
    <w:name w:val="批注主题 Char"/>
    <w:qFormat/>
    <w:uiPriority w:val="0"/>
    <w:rPr>
      <w:rFonts w:eastAsia="宋体"/>
      <w:b/>
      <w:bCs/>
      <w:kern w:val="2"/>
      <w:sz w:val="21"/>
      <w:szCs w:val="24"/>
      <w:lang w:val="en-US" w:eastAsia="zh-CN" w:bidi="ar-SA"/>
    </w:rPr>
  </w:style>
  <w:style w:type="character" w:customStyle="1" w:styleId="711">
    <w:name w:val="Comment Text Char"/>
    <w:qFormat/>
    <w:uiPriority w:val="0"/>
    <w:rPr>
      <w:rFonts w:ascii="宋体" w:hAnsi="宋体" w:eastAsia="宋体"/>
      <w:kern w:val="2"/>
      <w:sz w:val="24"/>
      <w:lang w:val="en-US" w:eastAsia="zh-CN" w:bidi="ar-SA"/>
    </w:rPr>
  </w:style>
  <w:style w:type="character" w:customStyle="1" w:styleId="712">
    <w:name w:val="Char Char72"/>
    <w:qFormat/>
    <w:uiPriority w:val="0"/>
    <w:rPr>
      <w:rFonts w:eastAsia="宋体"/>
      <w:kern w:val="2"/>
      <w:sz w:val="21"/>
      <w:szCs w:val="24"/>
      <w:lang w:val="en-US" w:eastAsia="zh-CN" w:bidi="ar-SA"/>
    </w:rPr>
  </w:style>
  <w:style w:type="character" w:customStyle="1" w:styleId="713">
    <w:name w:val="正文文本缩进 Char2"/>
    <w:qFormat/>
    <w:uiPriority w:val="0"/>
    <w:rPr>
      <w:rFonts w:ascii="Times New Roman" w:hAnsi="Times New Roman" w:eastAsia="宋体" w:cs="Times New Roman"/>
      <w:snapToGrid w:val="0"/>
      <w:kern w:val="0"/>
      <w:szCs w:val="24"/>
    </w:rPr>
  </w:style>
  <w:style w:type="character" w:customStyle="1" w:styleId="714">
    <w:name w:val="样式2 Char"/>
    <w:qFormat/>
    <w:uiPriority w:val="0"/>
    <w:rPr>
      <w:rFonts w:ascii="仿宋_GB2312" w:hAnsi="仿宋" w:eastAsia="仿宋_GB2312" w:cs="仿宋_GB2312"/>
      <w:b/>
      <w:bCs/>
      <w:sz w:val="32"/>
      <w:szCs w:val="30"/>
      <w:lang w:val="zh-CN"/>
    </w:rPr>
  </w:style>
  <w:style w:type="character" w:customStyle="1" w:styleId="715">
    <w:name w:val="表格名称[858D7CFB-ED40-4347-BF05-701D383B685F]"/>
    <w:link w:val="104"/>
    <w:qFormat/>
    <w:uiPriority w:val="0"/>
    <w:rPr>
      <w:sz w:val="32"/>
    </w:rPr>
  </w:style>
  <w:style w:type="character" w:customStyle="1" w:styleId="716">
    <w:name w:val="Char Char4"/>
    <w:qFormat/>
    <w:uiPriority w:val="0"/>
    <w:rPr>
      <w:rFonts w:eastAsia="宋体"/>
      <w:b/>
      <w:sz w:val="24"/>
      <w:lang w:eastAsia="zh-CN" w:bidi="ar-SA"/>
    </w:rPr>
  </w:style>
  <w:style w:type="character" w:customStyle="1" w:styleId="717">
    <w:name w:val="c7 style3"/>
    <w:qFormat/>
    <w:uiPriority w:val="0"/>
  </w:style>
  <w:style w:type="character" w:customStyle="1" w:styleId="718">
    <w:name w:val="正文文本 3 Char1"/>
    <w:qFormat/>
    <w:uiPriority w:val="99"/>
    <w:rPr>
      <w:rFonts w:ascii="Times New Roman" w:hAnsi="Times New Roman" w:eastAsia="宋体" w:cs="Times New Roman"/>
      <w:sz w:val="16"/>
      <w:szCs w:val="16"/>
    </w:rPr>
  </w:style>
  <w:style w:type="character" w:customStyle="1" w:styleId="719">
    <w:name w:val="tw4winInternal"/>
    <w:qFormat/>
    <w:uiPriority w:val="0"/>
    <w:rPr>
      <w:rFonts w:ascii="Courier New" w:hAnsi="Courier New" w:cs="Courier New"/>
      <w:color w:val="FF0000"/>
      <w:lang w:val="en-US" w:eastAsia="zh-CN"/>
    </w:rPr>
  </w:style>
  <w:style w:type="character" w:customStyle="1" w:styleId="720">
    <w:name w:val="Char Char10"/>
    <w:qFormat/>
    <w:uiPriority w:val="0"/>
    <w:rPr>
      <w:rFonts w:ascii="宋体" w:hAnsi="宋体"/>
      <w:kern w:val="2"/>
      <w:sz w:val="21"/>
      <w:szCs w:val="24"/>
      <w:lang w:val="en-US" w:eastAsia="zh-CN"/>
    </w:rPr>
  </w:style>
  <w:style w:type="character" w:customStyle="1" w:styleId="721">
    <w:name w:val="shadow11"/>
    <w:qFormat/>
    <w:uiPriority w:val="0"/>
    <w:rPr>
      <w:color w:val="000000"/>
      <w:sz w:val="21"/>
    </w:rPr>
  </w:style>
  <w:style w:type="character" w:customStyle="1" w:styleId="722">
    <w:name w:val="正文非缩进 Char3"/>
    <w:qFormat/>
    <w:uiPriority w:val="0"/>
    <w:rPr>
      <w:rFonts w:ascii="宋体" w:eastAsia="宋体"/>
      <w:snapToGrid w:val="0"/>
      <w:color w:val="000000"/>
      <w:kern w:val="28"/>
      <w:sz w:val="28"/>
      <w:lang w:val="en-US" w:eastAsia="zh-CN" w:bidi="ar-SA"/>
    </w:rPr>
  </w:style>
  <w:style w:type="character" w:customStyle="1" w:styleId="723">
    <w:name w:val="Char Char"/>
    <w:qFormat/>
    <w:uiPriority w:val="0"/>
    <w:rPr>
      <w:rFonts w:ascii="宋体" w:hAnsi="Courier New" w:eastAsia="宋体"/>
      <w:kern w:val="2"/>
      <w:sz w:val="21"/>
      <w:lang w:val="en-US" w:eastAsia="zh-CN" w:bidi="ar-SA"/>
    </w:rPr>
  </w:style>
  <w:style w:type="character" w:customStyle="1" w:styleId="724">
    <w:name w:val="签名 Char1"/>
    <w:qFormat/>
    <w:uiPriority w:val="0"/>
    <w:rPr>
      <w:rFonts w:ascii="Times New Roman" w:hAnsi="Times New Roman" w:eastAsia="宋体" w:cs="Times New Roman"/>
      <w:szCs w:val="24"/>
    </w:rPr>
  </w:style>
  <w:style w:type="character" w:customStyle="1" w:styleId="725">
    <w:name w:val="日期 字符"/>
    <w:link w:val="38"/>
    <w:qFormat/>
    <w:uiPriority w:val="0"/>
    <w:rPr>
      <w:rFonts w:ascii="宋体"/>
      <w:kern w:val="2"/>
      <w:sz w:val="24"/>
      <w:szCs w:val="21"/>
      <w:lang w:val="zh-CN"/>
    </w:rPr>
  </w:style>
  <w:style w:type="character" w:customStyle="1" w:styleId="726">
    <w:name w:val="标题 9 字符"/>
    <w:link w:val="10"/>
    <w:qFormat/>
    <w:uiPriority w:val="0"/>
    <w:rPr>
      <w:rFonts w:ascii="Arial" w:hAnsi="Arial" w:eastAsia="黑体"/>
      <w:kern w:val="2"/>
      <w:sz w:val="21"/>
      <w:szCs w:val="21"/>
    </w:rPr>
  </w:style>
  <w:style w:type="character" w:customStyle="1" w:styleId="727">
    <w:name w:val="Char Char18"/>
    <w:qFormat/>
    <w:uiPriority w:val="6"/>
    <w:rPr>
      <w:rFonts w:ascii="宋体" w:hAnsi="宋体"/>
      <w:sz w:val="28"/>
    </w:rPr>
  </w:style>
  <w:style w:type="character" w:customStyle="1" w:styleId="728">
    <w:name w:val="批注文字 Char"/>
    <w:qFormat/>
    <w:uiPriority w:val="99"/>
    <w:rPr>
      <w:kern w:val="2"/>
      <w:sz w:val="21"/>
      <w:szCs w:val="24"/>
    </w:rPr>
  </w:style>
  <w:style w:type="character" w:customStyle="1" w:styleId="729">
    <w:name w:val="Char Char22"/>
    <w:qFormat/>
    <w:uiPriority w:val="6"/>
    <w:rPr>
      <w:rFonts w:ascii="宋体" w:hAnsi="宋体"/>
      <w:kern w:val="1"/>
      <w:sz w:val="24"/>
      <w:szCs w:val="24"/>
    </w:rPr>
  </w:style>
  <w:style w:type="character" w:customStyle="1" w:styleId="730">
    <w:name w:val="pt141"/>
    <w:qFormat/>
    <w:uiPriority w:val="0"/>
    <w:rPr>
      <w:color w:val="330066"/>
      <w:sz w:val="22"/>
      <w:szCs w:val="22"/>
    </w:rPr>
  </w:style>
  <w:style w:type="character" w:customStyle="1" w:styleId="731">
    <w:name w:val="正文文本缩进 2 Char1"/>
    <w:qFormat/>
    <w:uiPriority w:val="99"/>
    <w:rPr>
      <w:rFonts w:ascii="Times New Roman" w:hAnsi="Times New Roman" w:eastAsia="宋体" w:cs="Times New Roman"/>
      <w:szCs w:val="24"/>
    </w:rPr>
  </w:style>
  <w:style w:type="character" w:customStyle="1" w:styleId="732">
    <w:name w:val="批注框文本 字符1"/>
    <w:link w:val="41"/>
    <w:qFormat/>
    <w:uiPriority w:val="0"/>
    <w:rPr>
      <w:kern w:val="2"/>
      <w:sz w:val="18"/>
      <w:szCs w:val="18"/>
    </w:rPr>
  </w:style>
  <w:style w:type="character" w:customStyle="1" w:styleId="733">
    <w:name w:val="Char Char611"/>
    <w:qFormat/>
    <w:uiPriority w:val="0"/>
    <w:rPr>
      <w:rFonts w:eastAsia="宋体"/>
      <w:kern w:val="2"/>
      <w:sz w:val="21"/>
      <w:szCs w:val="24"/>
      <w:lang w:val="en-US" w:eastAsia="zh-CN" w:bidi="ar-SA"/>
    </w:rPr>
  </w:style>
  <w:style w:type="character" w:customStyle="1" w:styleId="734">
    <w:name w:val="highlight1"/>
    <w:qFormat/>
    <w:uiPriority w:val="0"/>
    <w:rPr>
      <w:rFonts w:ascii="仿宋_GB2312" w:eastAsia="微软雅黑"/>
      <w:b/>
      <w:kern w:val="2"/>
      <w:sz w:val="23"/>
      <w:szCs w:val="23"/>
      <w:lang w:val="en-US" w:eastAsia="zh-CN" w:bidi="ar-SA"/>
    </w:rPr>
  </w:style>
  <w:style w:type="character" w:customStyle="1" w:styleId="735">
    <w:name w:val="my正文 Char"/>
    <w:link w:val="105"/>
    <w:qFormat/>
    <w:uiPriority w:val="0"/>
    <w:rPr>
      <w:rFonts w:ascii="Tahoma" w:hAnsi="Tahoma"/>
      <w:sz w:val="24"/>
      <w:szCs w:val="24"/>
    </w:rPr>
  </w:style>
  <w:style w:type="character" w:customStyle="1" w:styleId="736">
    <w:name w:val="正文缩进 字符2"/>
    <w:link w:val="15"/>
    <w:qFormat/>
    <w:uiPriority w:val="0"/>
    <w:rPr>
      <w:rFonts w:ascii="宋体" w:eastAsia="宋体"/>
      <w:snapToGrid w:val="0"/>
      <w:color w:val="000000"/>
      <w:kern w:val="28"/>
      <w:sz w:val="28"/>
      <w:lang w:val="en-US" w:eastAsia="zh-CN" w:bidi="ar-SA"/>
    </w:rPr>
  </w:style>
  <w:style w:type="character" w:customStyle="1" w:styleId="737">
    <w:name w:val="Used by Word for text of Help footnotes Char Char1"/>
    <w:qFormat/>
    <w:uiPriority w:val="0"/>
    <w:rPr>
      <w:color w:val="0000FF"/>
      <w:sz w:val="21"/>
    </w:rPr>
  </w:style>
  <w:style w:type="character" w:customStyle="1" w:styleId="738">
    <w:name w:val="页眉 Char"/>
    <w:qFormat/>
    <w:uiPriority w:val="0"/>
    <w:rPr>
      <w:rFonts w:eastAsia="仿宋_GB2312"/>
      <w:kern w:val="2"/>
      <w:sz w:val="18"/>
      <w:lang w:val="en-US" w:eastAsia="zh-CN"/>
    </w:rPr>
  </w:style>
  <w:style w:type="character" w:customStyle="1" w:styleId="739">
    <w:name w:val="FA正文 Char Char"/>
    <w:qFormat/>
    <w:uiPriority w:val="0"/>
    <w:rPr>
      <w:rFonts w:hAnsi="宋体"/>
      <w:kern w:val="2"/>
      <w:sz w:val="24"/>
      <w:lang w:bidi="ar-SA"/>
    </w:rPr>
  </w:style>
  <w:style w:type="character" w:customStyle="1" w:styleId="740">
    <w:name w:val="纯文本 字符"/>
    <w:qFormat/>
    <w:uiPriority w:val="0"/>
    <w:rPr>
      <w:rFonts w:ascii="宋体" w:hAnsi="Courier New" w:eastAsia="宋体" w:cs="Arial"/>
      <w:snapToGrid w:val="0"/>
      <w:kern w:val="2"/>
      <w:sz w:val="21"/>
      <w:szCs w:val="21"/>
      <w:lang w:val="en-US" w:eastAsia="zh-CN" w:bidi="ar-SA"/>
    </w:rPr>
  </w:style>
  <w:style w:type="character" w:customStyle="1" w:styleId="741">
    <w:name w:val="3级 Char"/>
    <w:link w:val="106"/>
    <w:qFormat/>
    <w:uiPriority w:val="0"/>
    <w:rPr>
      <w:rFonts w:ascii="宋体" w:hAnsi="宋体"/>
      <w:b/>
      <w:bCs/>
      <w:sz w:val="28"/>
    </w:rPr>
  </w:style>
  <w:style w:type="character" w:customStyle="1" w:styleId="742">
    <w:name w:val="myp11"/>
    <w:qFormat/>
    <w:uiPriority w:val="0"/>
    <w:rPr>
      <w:rFonts w:ascii="仿宋_GB2312" w:eastAsia="微软雅黑"/>
      <w:b/>
      <w:kern w:val="2"/>
      <w:sz w:val="32"/>
      <w:szCs w:val="32"/>
      <w:lang w:val="en-US" w:eastAsia="zh-CN" w:bidi="ar-SA"/>
    </w:rPr>
  </w:style>
  <w:style w:type="character" w:customStyle="1" w:styleId="743">
    <w:name w:val="文档结构图 字符"/>
    <w:link w:val="20"/>
    <w:qFormat/>
    <w:uiPriority w:val="0"/>
    <w:rPr>
      <w:kern w:val="2"/>
      <w:sz w:val="21"/>
      <w:szCs w:val="24"/>
      <w:shd w:val="clear" w:color="auto" w:fill="000080"/>
    </w:rPr>
  </w:style>
  <w:style w:type="character" w:customStyle="1" w:styleId="744">
    <w:name w:val="H6 Char"/>
    <w:qFormat/>
    <w:uiPriority w:val="0"/>
    <w:rPr>
      <w:rFonts w:ascii="Arial" w:hAnsi="Arial" w:eastAsia="黑体"/>
      <w:b/>
      <w:bCs/>
      <w:kern w:val="2"/>
      <w:sz w:val="24"/>
      <w:szCs w:val="24"/>
    </w:rPr>
  </w:style>
  <w:style w:type="character" w:customStyle="1" w:styleId="745">
    <w:name w:val="Char Char91"/>
    <w:qFormat/>
    <w:uiPriority w:val="0"/>
    <w:rPr>
      <w:rFonts w:eastAsia="宋体"/>
      <w:kern w:val="2"/>
      <w:sz w:val="18"/>
      <w:szCs w:val="18"/>
      <w:lang w:val="en-US" w:eastAsia="zh-CN" w:bidi="ar-SA"/>
    </w:rPr>
  </w:style>
  <w:style w:type="character" w:customStyle="1" w:styleId="746">
    <w:name w:val="副标题 Char1"/>
    <w:qFormat/>
    <w:uiPriority w:val="0"/>
    <w:rPr>
      <w:rFonts w:ascii="Cambria" w:hAnsi="Cambria" w:eastAsia="宋体" w:cs="Times New Roman"/>
      <w:b/>
      <w:bCs/>
      <w:snapToGrid w:val="0"/>
      <w:kern w:val="28"/>
      <w:sz w:val="32"/>
      <w:szCs w:val="32"/>
    </w:rPr>
  </w:style>
  <w:style w:type="character" w:customStyle="1" w:styleId="747">
    <w:name w:val="font61"/>
    <w:qFormat/>
    <w:uiPriority w:val="0"/>
    <w:rPr>
      <w:rFonts w:hint="eastAsia" w:ascii="仿宋" w:hAnsi="仿宋" w:eastAsia="仿宋" w:cs="仿宋"/>
      <w:color w:val="000000"/>
      <w:sz w:val="20"/>
      <w:szCs w:val="20"/>
      <w:u w:val="none"/>
    </w:rPr>
  </w:style>
  <w:style w:type="character" w:customStyle="1" w:styleId="74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9">
    <w:name w:val="Char Char211"/>
    <w:qFormat/>
    <w:uiPriority w:val="0"/>
    <w:rPr>
      <w:rFonts w:eastAsia="宋体"/>
      <w:b/>
      <w:bCs/>
      <w:kern w:val="2"/>
      <w:sz w:val="21"/>
      <w:szCs w:val="24"/>
      <w:lang w:val="en-US" w:eastAsia="zh-CN" w:bidi="ar-SA"/>
    </w:rPr>
  </w:style>
  <w:style w:type="character" w:customStyle="1" w:styleId="750">
    <w:name w:val="标题 2 Char"/>
    <w:qFormat/>
    <w:uiPriority w:val="0"/>
    <w:rPr>
      <w:rFonts w:ascii="Arial" w:hAnsi="Arial" w:eastAsia="黑体"/>
      <w:b/>
      <w:kern w:val="2"/>
      <w:sz w:val="32"/>
      <w:lang w:val="en-US" w:eastAsia="zh-CN"/>
    </w:rPr>
  </w:style>
  <w:style w:type="character" w:customStyle="1" w:styleId="751">
    <w:name w:val="maywed421"/>
    <w:qFormat/>
    <w:uiPriority w:val="0"/>
    <w:rPr>
      <w:color w:val="366FB6"/>
      <w:u w:val="none"/>
    </w:rPr>
  </w:style>
  <w:style w:type="character" w:customStyle="1" w:styleId="752">
    <w:name w:val="正文文本缩进 Char"/>
    <w:qFormat/>
    <w:uiPriority w:val="0"/>
    <w:rPr>
      <w:rFonts w:ascii="宋体" w:hAnsi="宋体"/>
      <w:kern w:val="2"/>
      <w:sz w:val="24"/>
      <w:szCs w:val="24"/>
    </w:rPr>
  </w:style>
  <w:style w:type="character" w:customStyle="1" w:styleId="753">
    <w:name w:val="Char Char102"/>
    <w:qFormat/>
    <w:uiPriority w:val="0"/>
    <w:rPr>
      <w:rFonts w:ascii="宋体" w:hAnsi="宋体"/>
      <w:kern w:val="2"/>
      <w:sz w:val="21"/>
      <w:szCs w:val="24"/>
      <w:lang w:val="en-US" w:eastAsia="zh-CN"/>
    </w:rPr>
  </w:style>
  <w:style w:type="character" w:customStyle="1" w:styleId="754">
    <w:name w:val="页眉 Char1"/>
    <w:qFormat/>
    <w:uiPriority w:val="0"/>
    <w:rPr>
      <w:rFonts w:eastAsia="宋体"/>
      <w:kern w:val="2"/>
      <w:sz w:val="18"/>
      <w:szCs w:val="18"/>
      <w:lang w:val="en-US" w:eastAsia="zh-CN" w:bidi="ar-SA"/>
    </w:rPr>
  </w:style>
  <w:style w:type="character" w:customStyle="1" w:styleId="755">
    <w:name w:val="md"/>
    <w:basedOn w:val="70"/>
    <w:qFormat/>
    <w:uiPriority w:val="0"/>
    <w:rPr>
      <w:rFonts w:ascii="Arial" w:hAnsi="Arial" w:eastAsia="黑体" w:cs="Arial"/>
      <w:snapToGrid w:val="0"/>
      <w:kern w:val="0"/>
      <w:szCs w:val="21"/>
    </w:rPr>
  </w:style>
  <w:style w:type="character" w:customStyle="1" w:styleId="756">
    <w:name w:val="big1"/>
    <w:qFormat/>
    <w:uiPriority w:val="0"/>
    <w:rPr>
      <w:rFonts w:hint="eastAsia" w:ascii="宋体" w:hAnsi="宋体" w:eastAsia="宋体"/>
      <w:color w:val="333333"/>
      <w:sz w:val="22"/>
      <w:szCs w:val="22"/>
    </w:rPr>
  </w:style>
  <w:style w:type="character" w:customStyle="1" w:styleId="757">
    <w:name w:val="Char Char311"/>
    <w:qFormat/>
    <w:uiPriority w:val="0"/>
    <w:rPr>
      <w:rFonts w:eastAsia="宋体"/>
      <w:kern w:val="2"/>
      <w:sz w:val="21"/>
      <w:szCs w:val="24"/>
      <w:lang w:val="en-US" w:eastAsia="zh-CN" w:bidi="ar-SA"/>
    </w:rPr>
  </w:style>
  <w:style w:type="character" w:customStyle="1" w:styleId="758">
    <w:name w:val="Char Char81"/>
    <w:qFormat/>
    <w:uiPriority w:val="6"/>
    <w:rPr>
      <w:rFonts w:eastAsia="宋体"/>
      <w:b/>
      <w:sz w:val="24"/>
      <w:lang w:eastAsia="zh-CN"/>
    </w:rPr>
  </w:style>
  <w:style w:type="character" w:customStyle="1" w:styleId="759">
    <w:name w:val="样式3 Char"/>
    <w:basedOn w:val="714"/>
    <w:qFormat/>
    <w:uiPriority w:val="0"/>
    <w:rPr>
      <w:rFonts w:ascii="仿宋_GB2312" w:hAnsi="仿宋" w:eastAsia="仿宋_GB2312" w:cs="仿宋_GB2312"/>
      <w:sz w:val="32"/>
      <w:szCs w:val="30"/>
      <w:lang w:val="zh-CN"/>
    </w:rPr>
  </w:style>
  <w:style w:type="character" w:customStyle="1" w:styleId="760">
    <w:name w:val="HTML 地址 字符"/>
    <w:link w:val="32"/>
    <w:qFormat/>
    <w:uiPriority w:val="0"/>
    <w:rPr>
      <w:rFonts w:ascii="宋体" w:hAnsi="宋体"/>
      <w:i/>
      <w:iCs/>
      <w:sz w:val="24"/>
      <w:szCs w:val="24"/>
    </w:rPr>
  </w:style>
  <w:style w:type="character" w:customStyle="1" w:styleId="761">
    <w:name w:val="正文首行缩进 2 Char1"/>
    <w:qFormat/>
    <w:uiPriority w:val="0"/>
    <w:rPr>
      <w:rFonts w:ascii="Times New Roman" w:hAnsi="Times New Roman" w:eastAsia="宋体" w:cs="Times New Roman"/>
      <w:kern w:val="2"/>
      <w:sz w:val="24"/>
      <w:szCs w:val="24"/>
    </w:rPr>
  </w:style>
  <w:style w:type="character" w:customStyle="1" w:styleId="762">
    <w:name w:val="副标题 Char2"/>
    <w:qFormat/>
    <w:uiPriority w:val="0"/>
    <w:rPr>
      <w:rFonts w:ascii="Cambria" w:hAnsi="Cambria" w:eastAsia="宋体" w:cs="Times New Roman"/>
      <w:b/>
      <w:bCs/>
      <w:snapToGrid w:val="0"/>
      <w:kern w:val="28"/>
      <w:sz w:val="32"/>
      <w:szCs w:val="32"/>
    </w:rPr>
  </w:style>
  <w:style w:type="character" w:customStyle="1" w:styleId="763">
    <w:name w:val="标题4-dyf Char"/>
    <w:link w:val="108"/>
    <w:qFormat/>
    <w:uiPriority w:val="0"/>
    <w:rPr>
      <w:rFonts w:ascii="Cambria" w:hAnsi="Cambria"/>
      <w:b/>
      <w:bCs/>
      <w:color w:val="000000"/>
      <w:kern w:val="2"/>
      <w:sz w:val="21"/>
      <w:szCs w:val="21"/>
    </w:rPr>
  </w:style>
  <w:style w:type="character" w:customStyle="1" w:styleId="764">
    <w:name w:val="dectext1"/>
    <w:qFormat/>
    <w:uiPriority w:val="0"/>
    <w:rPr>
      <w:rFonts w:ascii="宋体" w:hAnsi="宋体" w:eastAsia="宋体"/>
      <w:color w:val="333333"/>
      <w:sz w:val="21"/>
      <w:szCs w:val="21"/>
      <w:u w:val="none"/>
    </w:rPr>
  </w:style>
  <w:style w:type="character" w:customStyle="1" w:styleId="765">
    <w:name w:val="冯 Char"/>
    <w:link w:val="109"/>
    <w:qFormat/>
    <w:uiPriority w:val="0"/>
    <w:rPr>
      <w:rFonts w:ascii="宋体" w:hAnsi="宋体"/>
      <w:color w:val="000000"/>
      <w:sz w:val="24"/>
      <w:szCs w:val="24"/>
    </w:rPr>
  </w:style>
  <w:style w:type="character" w:customStyle="1" w:styleId="766">
    <w:name w:val="Header Char_7a4eb250-50da-44bb-925b-e397389626ca"/>
    <w:qFormat/>
    <w:uiPriority w:val="0"/>
    <w:rPr>
      <w:rFonts w:eastAsia="宋体"/>
      <w:kern w:val="2"/>
      <w:sz w:val="18"/>
      <w:szCs w:val="18"/>
      <w:lang w:val="en-US" w:eastAsia="zh-CN" w:bidi="ar-SA"/>
    </w:rPr>
  </w:style>
  <w:style w:type="character" w:customStyle="1" w:styleId="767">
    <w:name w:val="Char Char12"/>
    <w:qFormat/>
    <w:uiPriority w:val="0"/>
    <w:rPr>
      <w:rFonts w:ascii="仿宋_GB2312" w:eastAsia="仿宋_GB2312"/>
      <w:b/>
      <w:bCs/>
      <w:kern w:val="2"/>
      <w:sz w:val="24"/>
      <w:szCs w:val="24"/>
      <w:lang w:val="zh-CN" w:eastAsia="zh-CN" w:bidi="ar-SA"/>
    </w:rPr>
  </w:style>
  <w:style w:type="character" w:customStyle="1" w:styleId="768">
    <w:name w:val="题注 字符"/>
    <w:link w:val="18"/>
    <w:qFormat/>
    <w:uiPriority w:val="0"/>
    <w:rPr>
      <w:b/>
      <w:kern w:val="2"/>
      <w:sz w:val="28"/>
    </w:rPr>
  </w:style>
  <w:style w:type="character" w:customStyle="1" w:styleId="769">
    <w:name w:val="普通文字 Char3"/>
    <w:qFormat/>
    <w:uiPriority w:val="0"/>
    <w:rPr>
      <w:rFonts w:ascii="宋体" w:hAnsi="Courier New" w:eastAsia="宋体"/>
      <w:kern w:val="2"/>
      <w:sz w:val="21"/>
      <w:lang w:val="en-US" w:eastAsia="zh-CN" w:bidi="ar-SA"/>
    </w:rPr>
  </w:style>
  <w:style w:type="character" w:customStyle="1" w:styleId="770">
    <w:name w:val="公文正文 Char"/>
    <w:qFormat/>
    <w:uiPriority w:val="0"/>
    <w:rPr>
      <w:rFonts w:ascii="仿宋_GB2312" w:eastAsia="仿宋_GB2312"/>
      <w:kern w:val="2"/>
      <w:sz w:val="24"/>
      <w:szCs w:val="24"/>
      <w:lang w:val="en-US" w:eastAsia="zh-CN" w:bidi="ar-SA"/>
    </w:rPr>
  </w:style>
  <w:style w:type="character" w:customStyle="1" w:styleId="771">
    <w:name w:val="正文首行缩进 Char Char Char Char Char"/>
    <w:qFormat/>
    <w:uiPriority w:val="0"/>
    <w:rPr>
      <w:rFonts w:ascii="宋体"/>
      <w:kern w:val="2"/>
      <w:sz w:val="24"/>
      <w:lang w:val="zh-CN"/>
    </w:rPr>
  </w:style>
  <w:style w:type="character" w:customStyle="1" w:styleId="772">
    <w:name w:val="PI Char"/>
    <w:qFormat/>
    <w:uiPriority w:val="0"/>
    <w:rPr>
      <w:rFonts w:ascii="宋体" w:hAnsi="宋体" w:eastAsia="宋体"/>
      <w:kern w:val="2"/>
      <w:sz w:val="24"/>
      <w:szCs w:val="24"/>
      <w:lang w:val="en-US" w:eastAsia="zh-CN" w:bidi="ar-SA"/>
    </w:rPr>
  </w:style>
  <w:style w:type="character" w:customStyle="1" w:styleId="773">
    <w:name w:val="Default Char"/>
    <w:link w:val="92"/>
    <w:qFormat/>
    <w:uiPriority w:val="0"/>
    <w:rPr>
      <w:rFonts w:ascii="仿宋_GB2312" w:eastAsia="仿宋_GB2312" w:cs="仿宋_GB2312"/>
      <w:color w:val="000000"/>
      <w:sz w:val="24"/>
      <w:szCs w:val="24"/>
      <w:lang w:val="en-US" w:eastAsia="zh-CN" w:bidi="ar-SA"/>
    </w:rPr>
  </w:style>
  <w:style w:type="character" w:customStyle="1" w:styleId="774">
    <w:name w:val="style91"/>
    <w:qFormat/>
    <w:uiPriority w:val="0"/>
    <w:rPr>
      <w:color w:val="333333"/>
    </w:rPr>
  </w:style>
  <w:style w:type="character" w:customStyle="1" w:styleId="775">
    <w:name w:val="列出段落 Char2"/>
    <w:qFormat/>
    <w:uiPriority w:val="34"/>
    <w:rPr>
      <w:rFonts w:ascii="Calibri" w:hAnsi="Calibri"/>
      <w:kern w:val="2"/>
      <w:sz w:val="28"/>
    </w:rPr>
  </w:style>
  <w:style w:type="character" w:customStyle="1" w:styleId="776">
    <w:name w:val="mdeck"/>
    <w:qFormat/>
    <w:uiPriority w:val="0"/>
    <w:rPr>
      <w:rFonts w:ascii="仿宋_GB2312" w:eastAsia="微软雅黑"/>
      <w:b/>
      <w:kern w:val="2"/>
      <w:sz w:val="32"/>
      <w:szCs w:val="32"/>
      <w:lang w:val="en-US" w:eastAsia="zh-CN" w:bidi="ar-SA"/>
    </w:rPr>
  </w:style>
  <w:style w:type="character" w:customStyle="1" w:styleId="777">
    <w:name w:val="unnamed11"/>
    <w:qFormat/>
    <w:uiPriority w:val="0"/>
    <w:rPr>
      <w:sz w:val="20"/>
      <w:szCs w:val="20"/>
    </w:rPr>
  </w:style>
  <w:style w:type="character" w:customStyle="1" w:styleId="778">
    <w:name w:val="正文文本 Char2"/>
    <w:qFormat/>
    <w:uiPriority w:val="99"/>
    <w:rPr>
      <w:rFonts w:ascii="Times New Roman" w:hAnsi="Times New Roman" w:eastAsia="宋体" w:cs="Times New Roman"/>
      <w:snapToGrid w:val="0"/>
      <w:kern w:val="0"/>
      <w:szCs w:val="24"/>
    </w:rPr>
  </w:style>
  <w:style w:type="character" w:customStyle="1" w:styleId="779">
    <w:name w:val="标书正文格式 Char"/>
    <w:qFormat/>
    <w:uiPriority w:val="0"/>
    <w:rPr>
      <w:rFonts w:eastAsia="楷体_GB2312"/>
      <w:kern w:val="2"/>
      <w:sz w:val="24"/>
      <w:szCs w:val="24"/>
      <w:lang w:bidi="ar-SA"/>
    </w:rPr>
  </w:style>
  <w:style w:type="character" w:customStyle="1" w:styleId="780">
    <w:name w:val="Char Char11"/>
    <w:qFormat/>
    <w:uiPriority w:val="0"/>
    <w:rPr>
      <w:rFonts w:ascii="宋体" w:hAnsi="宋体" w:eastAsia="宋体"/>
      <w:b/>
      <w:kern w:val="2"/>
      <w:sz w:val="24"/>
      <w:szCs w:val="24"/>
      <w:lang w:val="en-US" w:eastAsia="zh-CN" w:bidi="ar-SA"/>
    </w:rPr>
  </w:style>
  <w:style w:type="character" w:customStyle="1" w:styleId="781">
    <w:name w:val="ca-131"/>
    <w:qFormat/>
    <w:uiPriority w:val="0"/>
    <w:rPr>
      <w:rFonts w:hint="eastAsia" w:ascii="仿宋_GB2312" w:eastAsia="仿宋_GB2312"/>
      <w:b/>
      <w:bCs/>
      <w:color w:val="000000"/>
      <w:spacing w:val="-20"/>
      <w:sz w:val="24"/>
      <w:szCs w:val="24"/>
    </w:rPr>
  </w:style>
  <w:style w:type="character" w:customStyle="1" w:styleId="782">
    <w:name w:val="tw4winMark"/>
    <w:qFormat/>
    <w:uiPriority w:val="0"/>
    <w:rPr>
      <w:rFonts w:ascii="Courier New" w:hAnsi="Courier New" w:cs="Courier New"/>
      <w:vanish/>
      <w:color w:val="800080"/>
      <w:sz w:val="24"/>
      <w:szCs w:val="24"/>
      <w:vertAlign w:val="subscript"/>
    </w:rPr>
  </w:style>
  <w:style w:type="character" w:customStyle="1" w:styleId="783">
    <w:name w:val="正文样式 Char"/>
    <w:link w:val="110"/>
    <w:qFormat/>
    <w:uiPriority w:val="0"/>
    <w:rPr>
      <w:rFonts w:ascii="Calibri" w:hAnsi="Calibri"/>
      <w:sz w:val="24"/>
      <w:szCs w:val="24"/>
    </w:rPr>
  </w:style>
  <w:style w:type="character" w:customStyle="1" w:styleId="784">
    <w:name w:val="表正文 Char3"/>
    <w:qFormat/>
    <w:uiPriority w:val="0"/>
    <w:rPr>
      <w:rFonts w:eastAsia="宋体"/>
    </w:rPr>
  </w:style>
  <w:style w:type="character" w:customStyle="1" w:styleId="785">
    <w:name w:val="H5 Char"/>
    <w:qFormat/>
    <w:uiPriority w:val="0"/>
    <w:rPr>
      <w:b/>
      <w:bCs/>
      <w:kern w:val="2"/>
      <w:sz w:val="28"/>
      <w:szCs w:val="28"/>
    </w:rPr>
  </w:style>
  <w:style w:type="character" w:customStyle="1" w:styleId="786">
    <w:name w:val="Char Char3"/>
    <w:qFormat/>
    <w:uiPriority w:val="0"/>
    <w:rPr>
      <w:rFonts w:eastAsia="宋体"/>
      <w:kern w:val="2"/>
      <w:sz w:val="21"/>
      <w:szCs w:val="24"/>
      <w:lang w:val="en-US" w:eastAsia="zh-CN" w:bidi="ar-SA"/>
    </w:rPr>
  </w:style>
  <w:style w:type="character" w:customStyle="1" w:styleId="787">
    <w:name w:val="正文 编号 Char"/>
    <w:qFormat/>
    <w:uiPriority w:val="0"/>
    <w:rPr>
      <w:rFonts w:ascii="仿宋_GB2312" w:hAnsi="仿宋_GB2312" w:eastAsia="仿宋_GB2312"/>
      <w:kern w:val="2"/>
      <w:sz w:val="24"/>
      <w:lang w:bidi="ar-SA"/>
    </w:rPr>
  </w:style>
  <w:style w:type="character" w:customStyle="1" w:styleId="788">
    <w:name w:val="question-title2"/>
    <w:qFormat/>
    <w:uiPriority w:val="6"/>
    <w:rPr>
      <w:rFonts w:ascii="Arial" w:hAnsi="Arial" w:eastAsia="黑体" w:cs="Arial"/>
      <w:snapToGrid w:val="0"/>
      <w:kern w:val="0"/>
      <w:szCs w:val="21"/>
    </w:rPr>
  </w:style>
  <w:style w:type="character" w:customStyle="1" w:styleId="789">
    <w:name w:val="gf正文1 Char Char"/>
    <w:link w:val="111"/>
    <w:qFormat/>
    <w:uiPriority w:val="0"/>
    <w:rPr>
      <w:rFonts w:ascii="宋体" w:hAnsi="宋体" w:cs="宋体"/>
      <w:kern w:val="2"/>
      <w:sz w:val="24"/>
      <w:szCs w:val="24"/>
    </w:rPr>
  </w:style>
  <w:style w:type="character" w:customStyle="1" w:styleId="790">
    <w:name w:val="Char Char15"/>
    <w:qFormat/>
    <w:uiPriority w:val="6"/>
    <w:rPr>
      <w:rFonts w:ascii="宋体" w:hAnsi="宋体"/>
      <w:kern w:val="1"/>
      <w:sz w:val="21"/>
    </w:rPr>
  </w:style>
  <w:style w:type="character" w:customStyle="1" w:styleId="791">
    <w:name w:val="正文缩进 Char3"/>
    <w:qFormat/>
    <w:uiPriority w:val="0"/>
    <w:rPr>
      <w:rFonts w:ascii="宋体" w:eastAsia="宋体"/>
      <w:snapToGrid w:val="0"/>
      <w:color w:val="000000"/>
      <w:kern w:val="28"/>
      <w:sz w:val="28"/>
      <w:lang w:val="en-US" w:eastAsia="zh-CN" w:bidi="ar-SA"/>
    </w:rPr>
  </w:style>
  <w:style w:type="character" w:customStyle="1" w:styleId="792">
    <w:name w:val="列出段落 Char1"/>
    <w:link w:val="112"/>
    <w:qFormat/>
    <w:uiPriority w:val="0"/>
    <w:rPr>
      <w:rFonts w:ascii="Calibri" w:hAnsi="Calibri"/>
      <w:sz w:val="24"/>
      <w:lang w:eastAsia="en-US"/>
    </w:rPr>
  </w:style>
  <w:style w:type="character" w:customStyle="1" w:styleId="793">
    <w:name w:val="Char Char8"/>
    <w:qFormat/>
    <w:uiPriority w:val="0"/>
    <w:rPr>
      <w:rFonts w:eastAsia="宋体"/>
      <w:b/>
      <w:sz w:val="24"/>
      <w:lang w:eastAsia="zh-CN"/>
    </w:rPr>
  </w:style>
  <w:style w:type="character" w:customStyle="1" w:styleId="794">
    <w:name w:val="Normal Indent Char Char"/>
    <w:qFormat/>
    <w:uiPriority w:val="0"/>
    <w:rPr>
      <w:rFonts w:eastAsia="宋体"/>
      <w:kern w:val="2"/>
      <w:sz w:val="21"/>
      <w:lang w:val="en-US" w:eastAsia="zh-CN" w:bidi="ar-SA"/>
    </w:rPr>
  </w:style>
  <w:style w:type="character" w:customStyle="1" w:styleId="795">
    <w:name w:val="列表段落 字符"/>
    <w:qFormat/>
    <w:uiPriority w:val="99"/>
  </w:style>
  <w:style w:type="character" w:customStyle="1" w:styleId="796">
    <w:name w:val="Ò³Ã¼ Char Char1"/>
    <w:qFormat/>
    <w:uiPriority w:val="0"/>
    <w:rPr>
      <w:rFonts w:eastAsia="宋体"/>
      <w:kern w:val="2"/>
      <w:sz w:val="18"/>
      <w:szCs w:val="18"/>
      <w:lang w:val="en-US" w:eastAsia="zh-CN" w:bidi="ar-SA"/>
    </w:rPr>
  </w:style>
  <w:style w:type="character" w:customStyle="1" w:styleId="797">
    <w:name w:val="方案正文 Char"/>
    <w:qFormat/>
    <w:uiPriority w:val="0"/>
    <w:rPr>
      <w:rFonts w:ascii="仿宋_GB2312" w:eastAsia="仿宋_GB2312"/>
      <w:b/>
      <w:color w:val="000000"/>
      <w:kern w:val="2"/>
      <w:sz w:val="24"/>
      <w:lang w:val="en-US" w:eastAsia="zh-CN" w:bidi="ar-SA"/>
    </w:rPr>
  </w:style>
  <w:style w:type="character" w:customStyle="1" w:styleId="798">
    <w:name w:val="Char Char30"/>
    <w:qFormat/>
    <w:uiPriority w:val="6"/>
    <w:rPr>
      <w:rFonts w:ascii="Arial" w:hAnsi="Arial" w:eastAsia="黑体"/>
      <w:kern w:val="1"/>
      <w:sz w:val="21"/>
      <w:szCs w:val="21"/>
    </w:rPr>
  </w:style>
  <w:style w:type="character" w:customStyle="1" w:styleId="799">
    <w:name w:val="正文文本缩进 字符1"/>
    <w:link w:val="16"/>
    <w:qFormat/>
    <w:uiPriority w:val="0"/>
    <w:rPr>
      <w:rFonts w:ascii="宋体" w:hAnsi="宋体"/>
      <w:kern w:val="2"/>
      <w:sz w:val="24"/>
      <w:szCs w:val="24"/>
    </w:rPr>
  </w:style>
  <w:style w:type="character" w:customStyle="1" w:styleId="800">
    <w:name w:val="font01"/>
    <w:basedOn w:val="70"/>
    <w:qFormat/>
    <w:uiPriority w:val="0"/>
    <w:rPr>
      <w:rFonts w:hint="eastAsia" w:ascii="微软雅黑" w:hAnsi="微软雅黑" w:eastAsia="微软雅黑" w:cs="微软雅黑"/>
      <w:color w:val="000000"/>
      <w:sz w:val="20"/>
      <w:szCs w:val="20"/>
      <w:u w:val="none"/>
    </w:rPr>
  </w:style>
  <w:style w:type="character" w:customStyle="1" w:styleId="801">
    <w:name w:val="Char Char20"/>
    <w:qFormat/>
    <w:uiPriority w:val="6"/>
    <w:rPr>
      <w:kern w:val="1"/>
      <w:sz w:val="24"/>
    </w:rPr>
  </w:style>
  <w:style w:type="character" w:customStyle="1" w:styleId="802">
    <w:name w:val="tw4winExternal"/>
    <w:qFormat/>
    <w:uiPriority w:val="0"/>
    <w:rPr>
      <w:rFonts w:ascii="Courier New" w:hAnsi="Courier New" w:cs="Courier New"/>
      <w:color w:val="808080"/>
      <w:lang w:val="en-US" w:eastAsia="zh-CN"/>
    </w:rPr>
  </w:style>
  <w:style w:type="character" w:customStyle="1" w:styleId="803">
    <w:name w:val="标题 4 Char1"/>
    <w:qFormat/>
    <w:uiPriority w:val="9"/>
    <w:rPr>
      <w:rFonts w:ascii="Cambria" w:hAnsi="Cambria" w:eastAsia="宋体" w:cs="Times New Roman"/>
      <w:b/>
      <w:bCs/>
      <w:kern w:val="2"/>
      <w:sz w:val="28"/>
      <w:szCs w:val="28"/>
    </w:rPr>
  </w:style>
  <w:style w:type="character" w:customStyle="1" w:styleId="804">
    <w:name w:val="批注文字 Char2"/>
    <w:qFormat/>
    <w:uiPriority w:val="99"/>
    <w:rPr>
      <w:rFonts w:ascii="Times New Roman" w:hAnsi="Times New Roman" w:eastAsia="宋体" w:cs="Times New Roman"/>
      <w:snapToGrid w:val="0"/>
      <w:kern w:val="0"/>
      <w:szCs w:val="24"/>
    </w:rPr>
  </w:style>
  <w:style w:type="character" w:customStyle="1" w:styleId="805">
    <w:name w:val="正文文本 2 Char"/>
    <w:qFormat/>
    <w:uiPriority w:val="0"/>
    <w:rPr>
      <w:rFonts w:eastAsia="宋体"/>
      <w:kern w:val="2"/>
      <w:sz w:val="21"/>
      <w:szCs w:val="24"/>
      <w:lang w:val="en-US" w:eastAsia="zh-CN" w:bidi="ar-SA"/>
    </w:rPr>
  </w:style>
  <w:style w:type="character" w:customStyle="1" w:styleId="806">
    <w:name w:val="Ò³Ã¼ Char Char"/>
    <w:qFormat/>
    <w:uiPriority w:val="0"/>
    <w:rPr>
      <w:rFonts w:eastAsia="宋体"/>
      <w:kern w:val="2"/>
      <w:sz w:val="18"/>
      <w:lang w:val="en-US" w:eastAsia="zh-CN" w:bidi="ar-SA"/>
    </w:rPr>
  </w:style>
  <w:style w:type="character" w:customStyle="1" w:styleId="807">
    <w:name w:val="message1"/>
    <w:qFormat/>
    <w:uiPriority w:val="0"/>
    <w:rPr>
      <w:rFonts w:hint="default" w:ascii="Tahoma" w:hAnsi="Tahoma" w:cs="Tahoma"/>
      <w:sz w:val="18"/>
      <w:szCs w:val="18"/>
    </w:rPr>
  </w:style>
  <w:style w:type="character" w:customStyle="1" w:styleId="808">
    <w:name w:val="Char Char23"/>
    <w:qFormat/>
    <w:uiPriority w:val="6"/>
    <w:rPr>
      <w:color w:val="0000FF"/>
      <w:sz w:val="21"/>
    </w:rPr>
  </w:style>
  <w:style w:type="character" w:customStyle="1" w:styleId="809">
    <w:name w:val="批注框文本 字符"/>
    <w:qFormat/>
    <w:uiPriority w:val="0"/>
    <w:rPr>
      <w:rFonts w:ascii="Arial" w:hAnsi="Arial" w:eastAsia="黑体" w:cs="Arial"/>
      <w:snapToGrid w:val="0"/>
      <w:kern w:val="0"/>
      <w:sz w:val="18"/>
      <w:szCs w:val="18"/>
    </w:rPr>
  </w:style>
  <w:style w:type="character" w:customStyle="1" w:styleId="810">
    <w:name w:val="纯文本 Char2"/>
    <w:qFormat/>
    <w:uiPriority w:val="99"/>
    <w:rPr>
      <w:rFonts w:ascii="宋体" w:hAnsi="Courier New" w:eastAsia="宋体" w:cs="Courier New"/>
    </w:rPr>
  </w:style>
  <w:style w:type="character" w:customStyle="1" w:styleId="811">
    <w:name w:val="Char Char25"/>
    <w:qFormat/>
    <w:uiPriority w:val="6"/>
    <w:rPr>
      <w:rFonts w:ascii="宋体" w:hAnsi="宋体"/>
      <w:kern w:val="1"/>
      <w:sz w:val="24"/>
      <w:lang w:val="zh-CN"/>
    </w:rPr>
  </w:style>
  <w:style w:type="character" w:customStyle="1" w:styleId="812">
    <w:name w:val="Char Char411"/>
    <w:qFormat/>
    <w:uiPriority w:val="0"/>
    <w:rPr>
      <w:rFonts w:eastAsia="宋体"/>
      <w:b/>
      <w:sz w:val="24"/>
      <w:lang w:eastAsia="zh-CN" w:bidi="ar-SA"/>
    </w:rPr>
  </w:style>
  <w:style w:type="character" w:customStyle="1" w:styleId="813">
    <w:name w:val="Heading 7 Char_ab2ab704-5d82-41f7-953b-9089834044e8"/>
    <w:qFormat/>
    <w:uiPriority w:val="0"/>
    <w:rPr>
      <w:rFonts w:ascii="宋体" w:hAnsi="宋体" w:eastAsia="宋体"/>
      <w:b/>
      <w:bCs/>
      <w:kern w:val="2"/>
      <w:sz w:val="24"/>
      <w:szCs w:val="24"/>
      <w:lang w:val="en-US" w:eastAsia="zh-CN" w:bidi="ar-SA"/>
    </w:rPr>
  </w:style>
  <w:style w:type="character" w:customStyle="1" w:styleId="814">
    <w:name w:val="此正文 Char"/>
    <w:link w:val="114"/>
    <w:qFormat/>
    <w:uiPriority w:val="0"/>
    <w:rPr>
      <w:kern w:val="2"/>
      <w:sz w:val="24"/>
      <w:szCs w:val="24"/>
    </w:rPr>
  </w:style>
  <w:style w:type="character" w:customStyle="1" w:styleId="815">
    <w:name w:val="Char Char2"/>
    <w:qFormat/>
    <w:uiPriority w:val="0"/>
    <w:rPr>
      <w:rFonts w:eastAsia="宋体"/>
      <w:b/>
      <w:bCs/>
      <w:kern w:val="2"/>
      <w:sz w:val="21"/>
      <w:szCs w:val="24"/>
      <w:lang w:val="en-US" w:eastAsia="zh-CN" w:bidi="ar-SA"/>
    </w:rPr>
  </w:style>
  <w:style w:type="character" w:customStyle="1" w:styleId="816">
    <w:name w:val="标题 1 字符1"/>
    <w:link w:val="2"/>
    <w:qFormat/>
    <w:uiPriority w:val="9"/>
    <w:rPr>
      <w:rFonts w:eastAsia="宋体"/>
      <w:b/>
      <w:bCs/>
      <w:kern w:val="44"/>
      <w:sz w:val="44"/>
      <w:szCs w:val="44"/>
    </w:rPr>
  </w:style>
  <w:style w:type="character" w:customStyle="1" w:styleId="817">
    <w:name w:val="Footer-Even Char1"/>
    <w:qFormat/>
    <w:uiPriority w:val="0"/>
    <w:rPr>
      <w:rFonts w:eastAsia="宋体"/>
      <w:kern w:val="2"/>
      <w:sz w:val="18"/>
      <w:szCs w:val="18"/>
      <w:lang w:val="en-US" w:eastAsia="zh-CN" w:bidi="ar-SA"/>
    </w:rPr>
  </w:style>
  <w:style w:type="character" w:customStyle="1" w:styleId="818">
    <w:name w:val="Char Char29"/>
    <w:qFormat/>
    <w:uiPriority w:val="6"/>
    <w:rPr>
      <w:rFonts w:ascii="Arial" w:hAnsi="Arial" w:eastAsia="微软雅黑"/>
      <w:b/>
      <w:kern w:val="1"/>
      <w:sz w:val="44"/>
      <w:szCs w:val="32"/>
      <w:lang w:val="en-US" w:eastAsia="zh-CN" w:bidi="ar-SA"/>
    </w:rPr>
  </w:style>
  <w:style w:type="character" w:customStyle="1" w:styleId="819">
    <w:name w:val="标题 字符"/>
    <w:link w:val="61"/>
    <w:qFormat/>
    <w:uiPriority w:val="10"/>
    <w:rPr>
      <w:b/>
      <w:sz w:val="24"/>
    </w:rPr>
  </w:style>
  <w:style w:type="character" w:customStyle="1" w:styleId="820">
    <w:name w:val="font81"/>
    <w:qFormat/>
    <w:uiPriority w:val="0"/>
    <w:rPr>
      <w:rFonts w:ascii="微软雅黑" w:hAnsi="微软雅黑" w:eastAsia="微软雅黑" w:cs="微软雅黑"/>
      <w:color w:val="000000"/>
      <w:sz w:val="20"/>
      <w:szCs w:val="20"/>
      <w:u w:val="none"/>
    </w:rPr>
  </w:style>
  <w:style w:type="character" w:customStyle="1" w:styleId="821">
    <w:name w:val="Char Char312"/>
    <w:qFormat/>
    <w:uiPriority w:val="0"/>
    <w:rPr>
      <w:rFonts w:ascii="Times New Roman" w:hAnsi="Times New Roman" w:eastAsia="宋体" w:cs="Times New Roman"/>
      <w:b/>
      <w:kern w:val="2"/>
      <w:sz w:val="32"/>
      <w:szCs w:val="24"/>
      <w:lang w:val="en-US" w:eastAsia="zh-CN" w:bidi="ar-SA"/>
    </w:rPr>
  </w:style>
  <w:style w:type="character" w:customStyle="1" w:styleId="822">
    <w:name w:val="t21"/>
    <w:qFormat/>
    <w:uiPriority w:val="0"/>
    <w:rPr>
      <w:rFonts w:ascii="仿宋_GB2312" w:eastAsia="微软雅黑"/>
      <w:b/>
      <w:kern w:val="2"/>
      <w:sz w:val="23"/>
      <w:szCs w:val="23"/>
      <w:lang w:val="en-US" w:eastAsia="zh-CN" w:bidi="ar-SA"/>
    </w:rPr>
  </w:style>
  <w:style w:type="character" w:customStyle="1" w:styleId="823">
    <w:name w:val="样式8 Char"/>
    <w:qFormat/>
    <w:uiPriority w:val="0"/>
    <w:rPr>
      <w:rFonts w:ascii="仿宋_GB2312" w:hAnsi="宋体" w:eastAsia="仿宋_GB2312"/>
      <w:b/>
      <w:bCs/>
      <w:kern w:val="2"/>
      <w:sz w:val="24"/>
      <w:szCs w:val="24"/>
    </w:rPr>
  </w:style>
  <w:style w:type="character" w:customStyle="1" w:styleId="824">
    <w:name w:val="表格 Char Char"/>
    <w:qFormat/>
    <w:uiPriority w:val="0"/>
    <w:rPr>
      <w:rFonts w:ascii="宋体" w:hAnsi="宋体" w:eastAsia="宋体"/>
      <w:lang w:bidi="ar-SA"/>
    </w:rPr>
  </w:style>
  <w:style w:type="character" w:customStyle="1" w:styleId="825">
    <w:name w:val="正文文本 字符1"/>
    <w:qFormat/>
    <w:uiPriority w:val="0"/>
    <w:rPr>
      <w:rFonts w:ascii="Calibri" w:hAnsi="Calibri" w:eastAsia="黑体" w:cs="Arial"/>
      <w:snapToGrid w:val="0"/>
      <w:kern w:val="2"/>
      <w:sz w:val="28"/>
      <w:szCs w:val="21"/>
    </w:rPr>
  </w:style>
  <w:style w:type="character" w:customStyle="1" w:styleId="826">
    <w:name w:val="标题 5 字符"/>
    <w:link w:val="6"/>
    <w:qFormat/>
    <w:uiPriority w:val="9"/>
    <w:rPr>
      <w:b/>
      <w:bCs/>
      <w:kern w:val="2"/>
      <w:sz w:val="28"/>
      <w:szCs w:val="28"/>
    </w:rPr>
  </w:style>
  <w:style w:type="character" w:customStyle="1" w:styleId="827">
    <w:name w:val="标题 6 Char1"/>
    <w:qFormat/>
    <w:uiPriority w:val="0"/>
    <w:rPr>
      <w:rFonts w:ascii="Arial" w:hAnsi="Arial" w:eastAsia="黑体" w:cs="Times New Roman"/>
      <w:b/>
      <w:sz w:val="24"/>
      <w:szCs w:val="20"/>
      <w:lang w:bidi="ar-SA"/>
    </w:rPr>
  </w:style>
  <w:style w:type="character" w:customStyle="1" w:styleId="828">
    <w:name w:val="带编号样式 Char"/>
    <w:qFormat/>
    <w:uiPriority w:val="0"/>
    <w:rPr>
      <w:rFonts w:ascii="仿宋_GB2312" w:eastAsia="仿宋_GB2312"/>
      <w:color w:val="000000"/>
      <w:sz w:val="24"/>
      <w:lang w:bidi="ar-SA"/>
    </w:rPr>
  </w:style>
  <w:style w:type="character" w:customStyle="1" w:styleId="829">
    <w:name w:val="unnamed31"/>
    <w:qFormat/>
    <w:uiPriority w:val="0"/>
    <w:rPr>
      <w:rFonts w:ascii="Tahoma" w:hAnsi="Tahoma" w:eastAsia="宋体"/>
      <w:b/>
      <w:kern w:val="2"/>
      <w:sz w:val="24"/>
      <w:szCs w:val="32"/>
      <w:u w:val="none"/>
      <w:lang w:val="en-US" w:eastAsia="zh-CN" w:bidi="ar-SA"/>
    </w:rPr>
  </w:style>
  <w:style w:type="character" w:customStyle="1" w:styleId="830">
    <w:name w:val="正文首行缩进 Char Char Char Char Char Char1"/>
    <w:qFormat/>
    <w:uiPriority w:val="0"/>
    <w:rPr>
      <w:rFonts w:ascii="宋体" w:eastAsia="宋体"/>
      <w:kern w:val="2"/>
      <w:sz w:val="24"/>
      <w:szCs w:val="24"/>
      <w:lang w:val="zh-CN" w:bidi="ar-SA"/>
    </w:rPr>
  </w:style>
  <w:style w:type="character" w:customStyle="1" w:styleId="831">
    <w:name w:val="称呼 字符"/>
    <w:link w:val="23"/>
    <w:qFormat/>
    <w:uiPriority w:val="0"/>
    <w:rPr>
      <w:rFonts w:ascii="仿宋_GB2312" w:eastAsia="仿宋_GB2312"/>
      <w:kern w:val="2"/>
      <w:sz w:val="28"/>
    </w:rPr>
  </w:style>
  <w:style w:type="character" w:customStyle="1" w:styleId="832">
    <w:name w:val="文本正文 Char Char"/>
    <w:qFormat/>
    <w:uiPriority w:val="0"/>
    <w:rPr>
      <w:sz w:val="24"/>
      <w:lang w:bidi="ar-SA"/>
    </w:rPr>
  </w:style>
  <w:style w:type="character" w:customStyle="1" w:styleId="833">
    <w:name w:val="正文缩进 字符"/>
    <w:qFormat/>
    <w:uiPriority w:val="0"/>
    <w:rPr>
      <w:rFonts w:ascii="宋体" w:eastAsia="宋体"/>
      <w:snapToGrid w:val="0"/>
      <w:color w:val="000000"/>
      <w:kern w:val="28"/>
      <w:sz w:val="28"/>
      <w:lang w:val="en-US" w:eastAsia="zh-CN" w:bidi="ar-SA"/>
    </w:rPr>
  </w:style>
  <w:style w:type="character" w:customStyle="1" w:styleId="834">
    <w:name w:val="HTML 预设格式 字符"/>
    <w:link w:val="59"/>
    <w:qFormat/>
    <w:uiPriority w:val="0"/>
    <w:rPr>
      <w:rFonts w:ascii="黑体" w:hAnsi="Courier New" w:eastAsia="黑体"/>
    </w:rPr>
  </w:style>
  <w:style w:type="character" w:customStyle="1" w:styleId="835">
    <w:name w:val="正文文本 2 字符1"/>
    <w:link w:val="58"/>
    <w:qFormat/>
    <w:uiPriority w:val="0"/>
    <w:rPr>
      <w:kern w:val="2"/>
      <w:sz w:val="21"/>
      <w:szCs w:val="24"/>
    </w:rPr>
  </w:style>
  <w:style w:type="character" w:customStyle="1" w:styleId="836">
    <w:name w:val="样式 样式 标题 4h4H4Fab-4T5Ref Heading 1rh1Heading sqlsect 1.2.3.... +... Char"/>
    <w:link w:val="115"/>
    <w:qFormat/>
    <w:uiPriority w:val="0"/>
    <w:rPr>
      <w:rFonts w:ascii="微软雅黑" w:hAnsi="微软雅黑" w:eastAsia="微软雅黑"/>
      <w:b/>
      <w:bCs/>
      <w:kern w:val="2"/>
      <w:sz w:val="24"/>
      <w:szCs w:val="28"/>
    </w:rPr>
  </w:style>
  <w:style w:type="character" w:customStyle="1" w:styleId="837">
    <w:name w:val="正文非缩进 Char"/>
    <w:qFormat/>
    <w:uiPriority w:val="0"/>
    <w:rPr>
      <w:rFonts w:ascii="宋体" w:eastAsia="宋体"/>
      <w:snapToGrid w:val="0"/>
      <w:color w:val="000000"/>
      <w:kern w:val="28"/>
      <w:sz w:val="28"/>
      <w:lang w:val="en-US" w:eastAsia="zh-CN" w:bidi="ar-SA"/>
    </w:rPr>
  </w:style>
  <w:style w:type="character" w:customStyle="1" w:styleId="838">
    <w:name w:val="标题 7 字符"/>
    <w:link w:val="8"/>
    <w:qFormat/>
    <w:uiPriority w:val="0"/>
    <w:rPr>
      <w:b/>
      <w:bCs/>
      <w:kern w:val="2"/>
      <w:sz w:val="24"/>
      <w:szCs w:val="24"/>
    </w:rPr>
  </w:style>
  <w:style w:type="character" w:customStyle="1" w:styleId="839">
    <w:name w:val="正文文本缩进 2 字符"/>
    <w:link w:val="39"/>
    <w:qFormat/>
    <w:uiPriority w:val="0"/>
    <w:rPr>
      <w:rFonts w:ascii="宋体"/>
      <w:sz w:val="28"/>
    </w:rPr>
  </w:style>
  <w:style w:type="character" w:customStyle="1" w:styleId="840">
    <w:name w:val="Char Char5"/>
    <w:qFormat/>
    <w:uiPriority w:val="0"/>
    <w:rPr>
      <w:rFonts w:ascii="宋体" w:hAnsi="Courier New" w:eastAsia="宋体"/>
      <w:kern w:val="2"/>
      <w:sz w:val="21"/>
      <w:lang w:val="en-US" w:eastAsia="zh-CN"/>
    </w:rPr>
  </w:style>
  <w:style w:type="character" w:customStyle="1" w:styleId="841">
    <w:name w:val="脚注文本 字符"/>
    <w:link w:val="52"/>
    <w:qFormat/>
    <w:uiPriority w:val="0"/>
    <w:rPr>
      <w:color w:val="0000FF"/>
      <w:sz w:val="21"/>
    </w:rPr>
  </w:style>
  <w:style w:type="character" w:customStyle="1" w:styleId="842">
    <w:name w:val="称呼 Char1"/>
    <w:qFormat/>
    <w:uiPriority w:val="0"/>
    <w:rPr>
      <w:rFonts w:ascii="Times New Roman" w:hAnsi="Times New Roman" w:eastAsia="宋体" w:cs="Times New Roman"/>
      <w:szCs w:val="24"/>
    </w:rPr>
  </w:style>
  <w:style w:type="character" w:customStyle="1" w:styleId="843">
    <w:name w:val="正文1 Char"/>
    <w:qFormat/>
    <w:uiPriority w:val="0"/>
    <w:rPr>
      <w:rFonts w:ascii="宋体" w:eastAsia="宋体"/>
      <w:snapToGrid w:val="0"/>
      <w:color w:val="000000"/>
      <w:kern w:val="28"/>
      <w:sz w:val="28"/>
      <w:lang w:val="en-US" w:eastAsia="zh-CN" w:bidi="ar-SA"/>
    </w:rPr>
  </w:style>
  <w:style w:type="character" w:customStyle="1" w:styleId="844">
    <w:name w:val="正文缩进 Char1"/>
    <w:qFormat/>
    <w:uiPriority w:val="0"/>
    <w:rPr>
      <w:rFonts w:ascii="宋体" w:eastAsia="宋体"/>
      <w:snapToGrid w:val="0"/>
      <w:color w:val="000000"/>
      <w:kern w:val="28"/>
      <w:sz w:val="28"/>
      <w:lang w:val="en-US" w:eastAsia="zh-CN" w:bidi="ar-SA"/>
    </w:rPr>
  </w:style>
  <w:style w:type="character" w:customStyle="1" w:styleId="845">
    <w:name w:val="font21"/>
    <w:basedOn w:val="70"/>
    <w:qFormat/>
    <w:uiPriority w:val="0"/>
    <w:rPr>
      <w:rFonts w:hint="eastAsia" w:ascii="宋体" w:hAnsi="宋体" w:eastAsia="宋体"/>
      <w:kern w:val="2"/>
      <w:sz w:val="28"/>
      <w:szCs w:val="28"/>
      <w:lang w:val="en-US" w:eastAsia="zh-CN" w:bidi="ar-SA"/>
    </w:rPr>
  </w:style>
  <w:style w:type="character" w:customStyle="1" w:styleId="846">
    <w:name w:val="Char Char26"/>
    <w:qFormat/>
    <w:uiPriority w:val="6"/>
    <w:rPr>
      <w:kern w:val="1"/>
      <w:sz w:val="21"/>
      <w:szCs w:val="24"/>
    </w:rPr>
  </w:style>
  <w:style w:type="character" w:customStyle="1" w:styleId="847">
    <w:name w:val="Item List Char"/>
    <w:link w:val="117"/>
    <w:qFormat/>
    <w:uiPriority w:val="0"/>
    <w:rPr>
      <w:rFonts w:ascii="Arial"/>
      <w:bCs/>
      <w:sz w:val="21"/>
      <w:szCs w:val="21"/>
      <w:lang w:val="en-US" w:eastAsia="zh-CN" w:bidi="ar-SA"/>
    </w:rPr>
  </w:style>
  <w:style w:type="character" w:customStyle="1" w:styleId="848">
    <w:name w:val="批注框文本 Char1"/>
    <w:qFormat/>
    <w:uiPriority w:val="0"/>
    <w:rPr>
      <w:rFonts w:ascii="Times New Roman" w:hAnsi="Times New Roman" w:eastAsia="宋体" w:cs="Times New Roman"/>
      <w:sz w:val="18"/>
      <w:szCs w:val="18"/>
    </w:rPr>
  </w:style>
  <w:style w:type="character" w:customStyle="1" w:styleId="849">
    <w:name w:val="纯文本 Char1"/>
    <w:link w:val="118"/>
    <w:qFormat/>
    <w:uiPriority w:val="0"/>
    <w:rPr>
      <w:rFonts w:ascii="宋体" w:hAnsi="Courier New"/>
    </w:rPr>
  </w:style>
  <w:style w:type="character" w:customStyle="1" w:styleId="850">
    <w:name w:val="正文首行缩进 字符"/>
    <w:link w:val="27"/>
    <w:qFormat/>
    <w:uiPriority w:val="0"/>
    <w:rPr>
      <w:rFonts w:ascii="宋体"/>
      <w:kern w:val="2"/>
      <w:sz w:val="24"/>
      <w:lang w:val="zh-CN"/>
    </w:rPr>
  </w:style>
  <w:style w:type="character" w:customStyle="1" w:styleId="851">
    <w:name w:val="h3 Char"/>
    <w:qFormat/>
    <w:uiPriority w:val="0"/>
    <w:rPr>
      <w:rFonts w:eastAsia="宋体"/>
      <w:b/>
      <w:kern w:val="2"/>
      <w:sz w:val="32"/>
      <w:lang w:val="en-US" w:eastAsia="zh-CN" w:bidi="ar-SA"/>
    </w:rPr>
  </w:style>
  <w:style w:type="character" w:customStyle="1" w:styleId="852">
    <w:name w:val="dandyren_title1"/>
    <w:qFormat/>
    <w:uiPriority w:val="0"/>
    <w:rPr>
      <w:b/>
      <w:bCs/>
      <w:color w:val="FF6633"/>
      <w:sz w:val="18"/>
      <w:szCs w:val="18"/>
    </w:rPr>
  </w:style>
  <w:style w:type="character" w:customStyle="1" w:styleId="853">
    <w:name w:val="Char Char31"/>
    <w:qFormat/>
    <w:uiPriority w:val="6"/>
    <w:rPr>
      <w:rFonts w:ascii="Arial" w:hAnsi="Arial" w:eastAsia="黑体"/>
      <w:kern w:val="1"/>
      <w:sz w:val="24"/>
      <w:szCs w:val="24"/>
    </w:rPr>
  </w:style>
  <w:style w:type="character" w:customStyle="1" w:styleId="854">
    <w:name w:val="h Char1"/>
    <w:qFormat/>
    <w:uiPriority w:val="0"/>
    <w:rPr>
      <w:sz w:val="18"/>
      <w:szCs w:val="18"/>
    </w:rPr>
  </w:style>
  <w:style w:type="character" w:customStyle="1" w:styleId="855">
    <w:name w:val="solutionfonts"/>
    <w:qFormat/>
    <w:uiPriority w:val="0"/>
  </w:style>
  <w:style w:type="character" w:customStyle="1" w:styleId="856">
    <w:name w:val="标题 4 字符1"/>
    <w:link w:val="5"/>
    <w:qFormat/>
    <w:uiPriority w:val="9"/>
    <w:rPr>
      <w:rFonts w:ascii="Arial" w:hAnsi="Arial" w:eastAsia="黑体"/>
      <w:b/>
      <w:bCs/>
      <w:kern w:val="2"/>
      <w:sz w:val="28"/>
      <w:szCs w:val="28"/>
      <w:lang w:val="zh-CN"/>
    </w:rPr>
  </w:style>
  <w:style w:type="character" w:customStyle="1" w:styleId="857">
    <w:name w:val="首行缩进 Char"/>
    <w:qFormat/>
    <w:uiPriority w:val="0"/>
    <w:rPr>
      <w:rFonts w:ascii="宋体" w:eastAsia="宋体"/>
      <w:kern w:val="2"/>
      <w:sz w:val="24"/>
      <w:lang w:val="en-US" w:eastAsia="zh-CN" w:bidi="ar-SA"/>
    </w:rPr>
  </w:style>
  <w:style w:type="character" w:customStyle="1" w:styleId="858">
    <w:name w:val="Char Char52"/>
    <w:qFormat/>
    <w:uiPriority w:val="0"/>
    <w:rPr>
      <w:rFonts w:ascii="宋体" w:hAnsi="Courier New" w:eastAsia="宋体"/>
      <w:kern w:val="2"/>
      <w:sz w:val="21"/>
      <w:lang w:val="en-US" w:eastAsia="zh-CN"/>
    </w:rPr>
  </w:style>
  <w:style w:type="character" w:customStyle="1" w:styleId="859">
    <w:name w:val="正文文本 3 字符"/>
    <w:link w:val="24"/>
    <w:qFormat/>
    <w:uiPriority w:val="0"/>
    <w:rPr>
      <w:kern w:val="2"/>
      <w:sz w:val="21"/>
    </w:rPr>
  </w:style>
  <w:style w:type="character" w:customStyle="1" w:styleId="860">
    <w:name w:val="font31"/>
    <w:qFormat/>
    <w:uiPriority w:val="0"/>
    <w:rPr>
      <w:rFonts w:hint="eastAsia" w:ascii="仿宋" w:hAnsi="仿宋" w:eastAsia="仿宋" w:cs="仿宋"/>
      <w:color w:val="000000"/>
      <w:sz w:val="20"/>
      <w:szCs w:val="20"/>
      <w:u w:val="none"/>
    </w:rPr>
  </w:style>
  <w:style w:type="character" w:customStyle="1" w:styleId="861">
    <w:name w:val="正文说明 Char"/>
    <w:link w:val="119"/>
    <w:qFormat/>
    <w:uiPriority w:val="0"/>
    <w:rPr>
      <w:sz w:val="24"/>
      <w:szCs w:val="24"/>
    </w:rPr>
  </w:style>
  <w:style w:type="character" w:customStyle="1" w:styleId="862">
    <w:name w:val="脚注文本 Char1"/>
    <w:qFormat/>
    <w:uiPriority w:val="0"/>
    <w:rPr>
      <w:rFonts w:ascii="Times New Roman" w:hAnsi="Times New Roman" w:eastAsia="宋体" w:cs="Times New Roman"/>
      <w:sz w:val="18"/>
      <w:szCs w:val="18"/>
    </w:rPr>
  </w:style>
  <w:style w:type="character" w:customStyle="1" w:styleId="863">
    <w:name w:val="Char Char1211"/>
    <w:qFormat/>
    <w:uiPriority w:val="0"/>
    <w:rPr>
      <w:rFonts w:ascii="仿宋_GB2312" w:eastAsia="仿宋_GB2312"/>
      <w:b/>
      <w:bCs/>
      <w:kern w:val="2"/>
      <w:sz w:val="24"/>
      <w:szCs w:val="24"/>
      <w:lang w:val="zh-CN" w:eastAsia="zh-CN" w:bidi="ar-SA"/>
    </w:rPr>
  </w:style>
  <w:style w:type="character" w:customStyle="1" w:styleId="864">
    <w:name w:val="标题 Char"/>
    <w:qFormat/>
    <w:uiPriority w:val="0"/>
    <w:rPr>
      <w:rFonts w:eastAsia="宋体"/>
      <w:b/>
      <w:sz w:val="24"/>
      <w:lang w:eastAsia="zh-CN" w:bidi="ar-SA"/>
    </w:rPr>
  </w:style>
  <w:style w:type="character" w:customStyle="1" w:styleId="865">
    <w:name w:val="Char Char35"/>
    <w:qFormat/>
    <w:uiPriority w:val="6"/>
    <w:rPr>
      <w:rFonts w:ascii="Arial" w:hAnsi="Arial" w:eastAsia="黑体"/>
      <w:b/>
      <w:kern w:val="1"/>
      <w:sz w:val="28"/>
      <w:szCs w:val="28"/>
      <w:lang w:val="zh-CN"/>
    </w:rPr>
  </w:style>
  <w:style w:type="character" w:customStyle="1" w:styleId="866">
    <w:name w:val="纯文本 Char Char Char"/>
    <w:qFormat/>
    <w:uiPriority w:val="0"/>
    <w:rPr>
      <w:rFonts w:ascii="宋体" w:hAnsi="Courier New" w:eastAsia="宋体"/>
      <w:kern w:val="2"/>
      <w:sz w:val="21"/>
      <w:lang w:val="en-US" w:eastAsia="zh-CN" w:bidi="ar-SA"/>
    </w:rPr>
  </w:style>
  <w:style w:type="character" w:customStyle="1" w:styleId="867">
    <w:name w:val="Table Text Char"/>
    <w:link w:val="120"/>
    <w:qFormat/>
    <w:uiPriority w:val="0"/>
    <w:rPr>
      <w:sz w:val="24"/>
      <w:szCs w:val="24"/>
    </w:rPr>
  </w:style>
  <w:style w:type="character" w:customStyle="1" w:styleId="868">
    <w:name w:val="正文1 Char1"/>
    <w:qFormat/>
    <w:uiPriority w:val="0"/>
    <w:rPr>
      <w:rFonts w:ascii="仿宋_GB2312" w:hAnsi="Courier New" w:eastAsia="仿宋_GB2312"/>
      <w:kern w:val="28"/>
      <w:sz w:val="24"/>
      <w:szCs w:val="24"/>
      <w:lang w:val="en-US" w:eastAsia="zh-CN"/>
    </w:rPr>
  </w:style>
  <w:style w:type="character" w:customStyle="1" w:styleId="869">
    <w:name w:val="页脚 Char1"/>
    <w:qFormat/>
    <w:uiPriority w:val="0"/>
    <w:rPr>
      <w:rFonts w:eastAsia="宋体"/>
      <w:kern w:val="2"/>
      <w:sz w:val="18"/>
      <w:szCs w:val="18"/>
      <w:lang w:val="en-US" w:eastAsia="zh-CN" w:bidi="ar-SA"/>
    </w:rPr>
  </w:style>
  <w:style w:type="character" w:customStyle="1" w:styleId="870">
    <w:name w:val="Bold"/>
    <w:qFormat/>
    <w:uiPriority w:val="0"/>
    <w:rPr>
      <w:rFonts w:ascii="Arial" w:hAnsi="Arial" w:eastAsia="黑体" w:cs="Times New Roman"/>
      <w:b/>
      <w:kern w:val="2"/>
      <w:sz w:val="32"/>
      <w:szCs w:val="32"/>
      <w:lang w:val="en-US" w:eastAsia="zh-CN" w:bidi="ar-SA"/>
    </w:rPr>
  </w:style>
  <w:style w:type="character" w:customStyle="1" w:styleId="871">
    <w:name w:val="批注文字 字符1"/>
    <w:link w:val="22"/>
    <w:qFormat/>
    <w:uiPriority w:val="99"/>
    <w:rPr>
      <w:kern w:val="2"/>
      <w:sz w:val="21"/>
      <w:szCs w:val="24"/>
    </w:rPr>
  </w:style>
  <w:style w:type="character" w:customStyle="1" w:styleId="872">
    <w:name w:val="签名 字符"/>
    <w:link w:val="44"/>
    <w:qFormat/>
    <w:uiPriority w:val="0"/>
    <w:rPr>
      <w:rFonts w:eastAsia="仿宋_GB2312"/>
      <w:sz w:val="24"/>
    </w:rPr>
  </w:style>
  <w:style w:type="character" w:customStyle="1" w:styleId="873">
    <w:name w:val="hui3"/>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qFormat/>
    <w:uiPriority w:val="99"/>
    <w:rPr>
      <w:rFonts w:ascii="Times New Roman" w:hAnsi="Times New Roman" w:eastAsia="宋体" w:cs="Times New Roman"/>
      <w:sz w:val="16"/>
      <w:szCs w:val="16"/>
    </w:rPr>
  </w:style>
  <w:style w:type="character" w:customStyle="1" w:styleId="879">
    <w:name w:val="公文正文 Char Char"/>
    <w:link w:val="121"/>
    <w:qFormat/>
    <w:uiPriority w:val="0"/>
    <w:rPr>
      <w:rFonts w:ascii="仿宋_GB2312" w:eastAsia="仿宋_GB2312"/>
      <w:kern w:val="2"/>
      <w:sz w:val="24"/>
      <w:szCs w:val="24"/>
    </w:rPr>
  </w:style>
  <w:style w:type="character" w:customStyle="1" w:styleId="880">
    <w:name w:val="Table Text Char1"/>
    <w:qFormat/>
    <w:uiPriority w:val="0"/>
    <w:rPr>
      <w:rFonts w:eastAsia="宋体"/>
      <w:sz w:val="24"/>
      <w:szCs w:val="24"/>
      <w:lang w:val="en-US" w:eastAsia="zh-CN" w:bidi="ar-SA"/>
    </w:rPr>
  </w:style>
  <w:style w:type="character" w:customStyle="1" w:styleId="881">
    <w:name w:val="标题 1 Char Char"/>
    <w:qFormat/>
    <w:uiPriority w:val="0"/>
    <w:rPr>
      <w:rFonts w:hint="eastAsia" w:ascii="宋体" w:hAnsi="宋体" w:eastAsia="宋体"/>
      <w:b/>
      <w:spacing w:val="-2"/>
      <w:sz w:val="24"/>
      <w:lang w:val="en-US" w:eastAsia="zh-CN" w:bidi="ar-SA"/>
    </w:rPr>
  </w:style>
  <w:style w:type="character" w:customStyle="1" w:styleId="882">
    <w:name w:val="正文（缩进2汉字） Char"/>
    <w:link w:val="122"/>
    <w:qFormat/>
    <w:uiPriority w:val="0"/>
    <w:rPr>
      <w:rFonts w:ascii="宋体"/>
    </w:rPr>
  </w:style>
  <w:style w:type="character" w:customStyle="1" w:styleId="883">
    <w:name w:val="标题 8 字符"/>
    <w:link w:val="9"/>
    <w:qFormat/>
    <w:uiPriority w:val="0"/>
    <w:rPr>
      <w:rFonts w:ascii="Arial" w:hAnsi="Arial" w:eastAsia="黑体"/>
      <w:kern w:val="2"/>
      <w:sz w:val="24"/>
      <w:szCs w:val="24"/>
    </w:rPr>
  </w:style>
  <w:style w:type="character" w:customStyle="1" w:styleId="884">
    <w:name w:val="标书表格字体格式 Char"/>
    <w:qFormat/>
    <w:uiPriority w:val="0"/>
    <w:rPr>
      <w:kern w:val="2"/>
      <w:sz w:val="21"/>
      <w:szCs w:val="24"/>
      <w:lang w:bidi="ar-SA"/>
    </w:rPr>
  </w:style>
  <w:style w:type="character" w:customStyle="1" w:styleId="885">
    <w:name w:val="tw4winError"/>
    <w:qFormat/>
    <w:uiPriority w:val="0"/>
    <w:rPr>
      <w:rFonts w:ascii="Courier New" w:hAnsi="Courier New" w:cs="Courier New"/>
      <w:color w:val="00FF00"/>
      <w:sz w:val="40"/>
      <w:szCs w:val="40"/>
    </w:rPr>
  </w:style>
  <w:style w:type="character" w:customStyle="1" w:styleId="886">
    <w:name w:val="Body Text(ch) Char Char"/>
    <w:qFormat/>
    <w:uiPriority w:val="0"/>
    <w:rPr>
      <w:rFonts w:ascii="宋体"/>
      <w:kern w:val="2"/>
      <w:sz w:val="24"/>
      <w:szCs w:val="21"/>
      <w:lang w:val="zh-CN"/>
    </w:rPr>
  </w:style>
  <w:style w:type="character" w:customStyle="1" w:styleId="887">
    <w:name w:val="正文首行缩进两字 Char"/>
    <w:qFormat/>
    <w:uiPriority w:val="0"/>
    <w:rPr>
      <w:sz w:val="24"/>
      <w:szCs w:val="24"/>
      <w:lang w:val="en-US" w:eastAsia="zh-CN" w:bidi="ar-SA"/>
    </w:rPr>
  </w:style>
  <w:style w:type="character" w:customStyle="1" w:styleId="888">
    <w:name w:val="正文文本 Char"/>
    <w:qFormat/>
    <w:uiPriority w:val="0"/>
    <w:rPr>
      <w:rFonts w:eastAsia="宋体"/>
      <w:kern w:val="2"/>
      <w:sz w:val="24"/>
      <w:szCs w:val="24"/>
      <w:lang w:val="en-US" w:eastAsia="zh-CN" w:bidi="ar-SA"/>
    </w:rPr>
  </w:style>
  <w:style w:type="character" w:customStyle="1" w:styleId="889">
    <w:name w:val="文档结构图 字符1"/>
    <w:qFormat/>
    <w:uiPriority w:val="0"/>
    <w:rPr>
      <w:rFonts w:ascii="宋体" w:hAnsi="Calibri" w:eastAsia="黑体" w:cs="Arial"/>
      <w:snapToGrid w:val="0"/>
      <w:kern w:val="2"/>
      <w:sz w:val="18"/>
      <w:szCs w:val="18"/>
    </w:rPr>
  </w:style>
  <w:style w:type="character" w:customStyle="1" w:styleId="890">
    <w:name w:val="content"/>
    <w:qFormat/>
    <w:uiPriority w:val="0"/>
  </w:style>
  <w:style w:type="character" w:customStyle="1" w:styleId="891">
    <w:name w:val="tw4winPopup"/>
    <w:qFormat/>
    <w:uiPriority w:val="0"/>
    <w:rPr>
      <w:rFonts w:ascii="Courier New" w:hAnsi="Courier New" w:cs="Courier New"/>
      <w:color w:val="008000"/>
      <w:lang w:val="en-US" w:eastAsia="zh-CN"/>
    </w:rPr>
  </w:style>
  <w:style w:type="character" w:customStyle="1" w:styleId="892">
    <w:name w:val="param-name"/>
    <w:qFormat/>
    <w:uiPriority w:val="99"/>
    <w:rPr>
      <w:rFonts w:ascii="Arial" w:hAnsi="Arial" w:eastAsia="黑体" w:cs="Arial"/>
      <w:snapToGrid w:val="0"/>
      <w:kern w:val="0"/>
      <w:szCs w:val="21"/>
    </w:rPr>
  </w:style>
  <w:style w:type="character" w:customStyle="1" w:styleId="893">
    <w:name w:val="标准正文格式 Char"/>
    <w:qFormat/>
    <w:uiPriority w:val="0"/>
    <w:rPr>
      <w:rFonts w:ascii="宋体" w:eastAsia="仿宋_GB2312" w:cs="宋体"/>
      <w:color w:val="000000"/>
      <w:sz w:val="24"/>
      <w:lang w:val="en-US" w:eastAsia="zh-CN" w:bidi="ar-SA"/>
    </w:rPr>
  </w:style>
  <w:style w:type="character" w:customStyle="1" w:styleId="894">
    <w:name w:val="Char Char212"/>
    <w:qFormat/>
    <w:uiPriority w:val="0"/>
    <w:rPr>
      <w:rFonts w:eastAsia="宋体"/>
      <w:b/>
      <w:bCs/>
      <w:kern w:val="2"/>
      <w:sz w:val="21"/>
      <w:szCs w:val="24"/>
      <w:lang w:val="en-US" w:eastAsia="zh-CN" w:bidi="ar-SA"/>
    </w:rPr>
  </w:style>
  <w:style w:type="character" w:customStyle="1" w:styleId="895">
    <w:name w:val="文档结构图 Char"/>
    <w:qFormat/>
    <w:uiPriority w:val="0"/>
    <w:rPr>
      <w:rFonts w:eastAsia="宋体"/>
      <w:kern w:val="2"/>
      <w:sz w:val="21"/>
      <w:szCs w:val="24"/>
      <w:lang w:val="en-US" w:eastAsia="zh-CN" w:bidi="ar-SA"/>
    </w:rPr>
  </w:style>
  <w:style w:type="character" w:customStyle="1" w:styleId="896">
    <w:name w:val="zbggmain style9"/>
    <w:qFormat/>
    <w:uiPriority w:val="0"/>
  </w:style>
  <w:style w:type="character" w:customStyle="1" w:styleId="897">
    <w:name w:val="Char Char16"/>
    <w:qFormat/>
    <w:uiPriority w:val="6"/>
    <w:rPr>
      <w:kern w:val="1"/>
      <w:sz w:val="18"/>
      <w:szCs w:val="18"/>
    </w:rPr>
  </w:style>
  <w:style w:type="character" w:customStyle="1" w:styleId="898">
    <w:name w:val="font51"/>
    <w:qFormat/>
    <w:uiPriority w:val="0"/>
    <w:rPr>
      <w:rFonts w:hint="eastAsia" w:ascii="仿宋" w:hAnsi="仿宋" w:eastAsia="仿宋" w:cs="仿宋"/>
      <w:color w:val="000000"/>
      <w:sz w:val="20"/>
      <w:szCs w:val="20"/>
      <w:u w:val="none"/>
    </w:rPr>
  </w:style>
  <w:style w:type="character" w:customStyle="1" w:styleId="899">
    <w:name w:val="Char Char82"/>
    <w:qFormat/>
    <w:uiPriority w:val="0"/>
    <w:rPr>
      <w:rFonts w:eastAsia="宋体"/>
      <w:b/>
      <w:sz w:val="24"/>
      <w:lang w:eastAsia="zh-CN"/>
    </w:rPr>
  </w:style>
  <w:style w:type="character" w:customStyle="1" w:styleId="900">
    <w:name w:val="正文文本缩进 3 字符"/>
    <w:link w:val="55"/>
    <w:qFormat/>
    <w:uiPriority w:val="0"/>
    <w:rPr>
      <w:kern w:val="2"/>
      <w:sz w:val="24"/>
    </w:rPr>
  </w:style>
  <w:style w:type="character" w:customStyle="1" w:styleId="901">
    <w:name w:val="日期 Char1"/>
    <w:qFormat/>
    <w:uiPriority w:val="99"/>
    <w:rPr>
      <w:rFonts w:ascii="Times New Roman" w:hAnsi="Times New Roman" w:eastAsia="宋体" w:cs="Times New Roman"/>
      <w:szCs w:val="24"/>
    </w:rPr>
  </w:style>
  <w:style w:type="character" w:customStyle="1" w:styleId="902">
    <w:name w:val="页眉 字符"/>
    <w:qFormat/>
    <w:uiPriority w:val="99"/>
    <w:rPr>
      <w:kern w:val="2"/>
      <w:sz w:val="18"/>
      <w:szCs w:val="18"/>
    </w:rPr>
  </w:style>
  <w:style w:type="character" w:customStyle="1" w:styleId="903">
    <w:name w:val="Char Char33"/>
    <w:qFormat/>
    <w:uiPriority w:val="6"/>
    <w:rPr>
      <w:rFonts w:ascii="Arial" w:hAnsi="Arial" w:eastAsia="黑体"/>
      <w:b/>
      <w:kern w:val="1"/>
      <w:sz w:val="24"/>
      <w:szCs w:val="24"/>
    </w:rPr>
  </w:style>
  <w:style w:type="character" w:customStyle="1" w:styleId="904">
    <w:name w:val="b11_01b Char"/>
    <w:link w:val="123"/>
    <w:qFormat/>
    <w:uiPriority w:val="0"/>
    <w:rPr>
      <w:rFonts w:ascii="Verdana" w:hAnsi="Verdana"/>
      <w:b/>
      <w:bCs/>
      <w:color w:val="4A82CA"/>
      <w:sz w:val="17"/>
      <w:szCs w:val="17"/>
    </w:rPr>
  </w:style>
  <w:style w:type="character" w:customStyle="1" w:styleId="905">
    <w:name w:val="Char Char121"/>
    <w:qFormat/>
    <w:uiPriority w:val="6"/>
    <w:rPr>
      <w:rFonts w:ascii="仿宋_GB2312" w:eastAsia="仿宋_GB2312"/>
      <w:b/>
      <w:bCs/>
      <w:kern w:val="2"/>
      <w:sz w:val="24"/>
      <w:szCs w:val="24"/>
      <w:lang w:val="zh-CN" w:eastAsia="zh-CN" w:bidi="ar-SA"/>
    </w:rPr>
  </w:style>
  <w:style w:type="character" w:customStyle="1" w:styleId="906">
    <w:name w:val="Footer-Even Char"/>
    <w:qFormat/>
    <w:uiPriority w:val="0"/>
    <w:rPr>
      <w:rFonts w:eastAsia="宋体"/>
      <w:kern w:val="2"/>
      <w:sz w:val="18"/>
      <w:lang w:val="en-US" w:eastAsia="zh-CN" w:bidi="ar-SA"/>
    </w:rPr>
  </w:style>
  <w:style w:type="character" w:customStyle="1" w:styleId="907">
    <w:name w:val="页脚 字符2"/>
    <w:link w:val="42"/>
    <w:qFormat/>
    <w:uiPriority w:val="99"/>
    <w:rPr>
      <w:kern w:val="2"/>
      <w:sz w:val="18"/>
      <w:szCs w:val="18"/>
    </w:rPr>
  </w:style>
  <w:style w:type="character" w:customStyle="1" w:styleId="908">
    <w:name w:val="Char Char36"/>
    <w:qFormat/>
    <w:uiPriority w:val="6"/>
    <w:rPr>
      <w:rFonts w:ascii="仿宋_GB2312" w:hAnsi="仿宋_GB2312" w:eastAsia="仿宋_GB2312" w:cs="Arial"/>
      <w:b/>
      <w:kern w:val="1"/>
      <w:sz w:val="32"/>
      <w:szCs w:val="32"/>
      <w:lang w:val="zh-CN" w:eastAsia="zh-CN" w:bidi="ar-SA"/>
    </w:rPr>
  </w:style>
  <w:style w:type="character" w:customStyle="1" w:styleId="909">
    <w:name w:val="Char Char61"/>
    <w:qFormat/>
    <w:uiPriority w:val="6"/>
    <w:rPr>
      <w:rFonts w:eastAsia="宋体"/>
      <w:kern w:val="2"/>
      <w:sz w:val="21"/>
      <w:szCs w:val="24"/>
      <w:lang w:val="en-US" w:eastAsia="zh-CN" w:bidi="ar-SA"/>
    </w:rPr>
  </w:style>
  <w:style w:type="character" w:customStyle="1" w:styleId="910">
    <w:name w:val="正文文字缩进 2 Char Char"/>
    <w:qFormat/>
    <w:uiPriority w:val="0"/>
    <w:rPr>
      <w:rFonts w:ascii="宋体"/>
      <w:sz w:val="28"/>
    </w:rPr>
  </w:style>
  <w:style w:type="character" w:customStyle="1" w:styleId="911">
    <w:name w:val="f141"/>
    <w:qFormat/>
    <w:uiPriority w:val="0"/>
    <w:rPr>
      <w:rFonts w:ascii="Tahoma" w:hAnsi="Tahoma" w:eastAsia="宋体"/>
      <w:b/>
      <w:kern w:val="2"/>
      <w:sz w:val="21"/>
      <w:szCs w:val="21"/>
      <w:lang w:val="en-US" w:eastAsia="zh-CN" w:bidi="ar-SA"/>
    </w:rPr>
  </w:style>
  <w:style w:type="character" w:customStyle="1" w:styleId="912">
    <w:name w:val="段落 Char Char"/>
    <w:link w:val="124"/>
    <w:qFormat/>
    <w:uiPriority w:val="0"/>
    <w:rPr>
      <w:rFonts w:ascii="宋体" w:hAnsi="宋体"/>
      <w:sz w:val="24"/>
    </w:rPr>
  </w:style>
  <w:style w:type="character" w:customStyle="1" w:styleId="913">
    <w:name w:val="标题 3 Char2"/>
    <w:qFormat/>
    <w:uiPriority w:val="0"/>
    <w:rPr>
      <w:rFonts w:eastAsia="宋体"/>
      <w:b/>
      <w:bCs/>
      <w:kern w:val="2"/>
      <w:sz w:val="32"/>
      <w:szCs w:val="32"/>
      <w:lang w:val="en-US" w:eastAsia="zh-CN" w:bidi="ar-SA"/>
    </w:rPr>
  </w:style>
  <w:style w:type="character" w:customStyle="1" w:styleId="914">
    <w:name w:val="apple-converted-space"/>
    <w:qFormat/>
    <w:uiPriority w:val="0"/>
  </w:style>
  <w:style w:type="character" w:customStyle="1" w:styleId="915">
    <w:name w:val="页眉 字符2"/>
    <w:link w:val="43"/>
    <w:qFormat/>
    <w:uiPriority w:val="99"/>
    <w:rPr>
      <w:kern w:val="2"/>
      <w:sz w:val="18"/>
      <w:szCs w:val="18"/>
    </w:rPr>
  </w:style>
  <w:style w:type="character" w:customStyle="1" w:styleId="916">
    <w:name w:val="Char Char9"/>
    <w:qFormat/>
    <w:uiPriority w:val="0"/>
    <w:rPr>
      <w:rFonts w:eastAsia="宋体"/>
      <w:kern w:val="2"/>
      <w:sz w:val="18"/>
      <w:szCs w:val="18"/>
      <w:lang w:val="en-US" w:eastAsia="zh-CN" w:bidi="ar-SA"/>
    </w:rPr>
  </w:style>
  <w:style w:type="character" w:customStyle="1" w:styleId="917">
    <w:name w:val="Char Char41"/>
    <w:qFormat/>
    <w:uiPriority w:val="0"/>
    <w:rPr>
      <w:rFonts w:eastAsia="宋体"/>
      <w:b/>
      <w:sz w:val="24"/>
      <w:lang w:eastAsia="zh-CN" w:bidi="ar-SA"/>
    </w:rPr>
  </w:style>
  <w:style w:type="character" w:customStyle="1" w:styleId="918">
    <w:name w:val="large1"/>
    <w:qFormat/>
    <w:uiPriority w:val="0"/>
    <w:rPr>
      <w:rFonts w:hint="eastAsia" w:ascii="宋体" w:hAnsi="宋体" w:eastAsia="宋体"/>
      <w:sz w:val="21"/>
      <w:szCs w:val="21"/>
    </w:rPr>
  </w:style>
  <w:style w:type="character" w:customStyle="1" w:styleId="919">
    <w:name w:val="正文段 Char"/>
    <w:link w:val="125"/>
    <w:qFormat/>
    <w:uiPriority w:val="0"/>
    <w:rPr>
      <w:sz w:val="24"/>
    </w:rPr>
  </w:style>
  <w:style w:type="character" w:customStyle="1" w:styleId="920">
    <w:name w:val="Char Char13"/>
    <w:qFormat/>
    <w:uiPriority w:val="6"/>
    <w:rPr>
      <w:rFonts w:ascii="宋体" w:hAnsi="宋体"/>
      <w:kern w:val="1"/>
      <w:sz w:val="21"/>
      <w:szCs w:val="24"/>
    </w:rPr>
  </w:style>
  <w:style w:type="character" w:customStyle="1" w:styleId="92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22">
    <w:name w:val="冯广丽 Char"/>
    <w:link w:val="126"/>
    <w:qFormat/>
    <w:uiPriority w:val="0"/>
    <w:rPr>
      <w:rFonts w:ascii="宋体" w:hAnsi="宋体"/>
      <w:kern w:val="2"/>
      <w:sz w:val="24"/>
      <w:szCs w:val="22"/>
    </w:rPr>
  </w:style>
  <w:style w:type="character" w:customStyle="1" w:styleId="923">
    <w:name w:val="批注文字 字符"/>
    <w:qFormat/>
    <w:uiPriority w:val="0"/>
    <w:rPr>
      <w:rFonts w:ascii="Arial" w:hAnsi="Arial" w:eastAsia="黑体" w:cs="Arial"/>
      <w:snapToGrid w:val="0"/>
      <w:kern w:val="0"/>
      <w:szCs w:val="21"/>
    </w:rPr>
  </w:style>
  <w:style w:type="character" w:customStyle="1" w:styleId="924">
    <w:name w:val="Char Char161"/>
    <w:qFormat/>
    <w:uiPriority w:val="0"/>
    <w:rPr>
      <w:rFonts w:eastAsia="宋体"/>
      <w:b/>
      <w:kern w:val="2"/>
      <w:sz w:val="32"/>
      <w:lang w:val="en-US" w:eastAsia="zh-CN"/>
    </w:rPr>
  </w:style>
  <w:style w:type="character" w:customStyle="1" w:styleId="925">
    <w:name w:val="javascript"/>
    <w:qFormat/>
    <w:uiPriority w:val="0"/>
  </w:style>
  <w:style w:type="character" w:customStyle="1" w:styleId="926">
    <w:name w:val="图名 Char"/>
    <w:qFormat/>
    <w:uiPriority w:val="0"/>
    <w:rPr>
      <w:rFonts w:ascii="Arial" w:hAnsi="Arial" w:eastAsia="黑体"/>
      <w:kern w:val="2"/>
      <w:sz w:val="24"/>
      <w:szCs w:val="24"/>
      <w:lang w:val="en-US" w:eastAsia="zh-CN" w:bidi="ar-SA"/>
    </w:rPr>
  </w:style>
  <w:style w:type="character" w:customStyle="1" w:styleId="927">
    <w:name w:val="Used by Word for text of Help footnotes Char Char"/>
    <w:qFormat/>
    <w:uiPriority w:val="0"/>
    <w:rPr>
      <w:rFonts w:ascii="Times New Roman" w:hAnsi="Times New Roman" w:eastAsia="宋体" w:cs="Times New Roman"/>
      <w:sz w:val="20"/>
      <w:szCs w:val="20"/>
    </w:rPr>
  </w:style>
  <w:style w:type="character" w:customStyle="1" w:styleId="928">
    <w:name w:val="编号，小四 Char"/>
    <w:link w:val="127"/>
    <w:qFormat/>
    <w:uiPriority w:val="0"/>
    <w:rPr>
      <w:rFonts w:ascii="Arial" w:hAnsi="Arial"/>
      <w:sz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0"/>
    <w:rPr>
      <w:rFonts w:ascii="楷体_GB2312" w:hAnsi="Arial" w:eastAsia="楷体_GB2312"/>
      <w:b/>
      <w:bCs/>
      <w:kern w:val="2"/>
      <w:sz w:val="24"/>
      <w:szCs w:val="32"/>
      <w:lang w:val="en-US" w:eastAsia="zh-CN" w:bidi="ar-SA"/>
    </w:rPr>
  </w:style>
  <w:style w:type="character" w:customStyle="1" w:styleId="931">
    <w:name w:val="未用 Char"/>
    <w:qFormat/>
    <w:uiPriority w:val="0"/>
    <w:rPr>
      <w:rFonts w:ascii="Arial" w:hAnsi="Arial" w:eastAsia="黑体"/>
      <w:kern w:val="2"/>
      <w:sz w:val="21"/>
      <w:szCs w:val="21"/>
      <w:lang w:val="en-US" w:eastAsia="zh-CN" w:bidi="ar-SA"/>
    </w:rPr>
  </w:style>
  <w:style w:type="character" w:customStyle="1" w:styleId="932">
    <w:name w:val="myp1111"/>
    <w:qFormat/>
    <w:uiPriority w:val="0"/>
    <w:rPr>
      <w:rFonts w:hint="default" w:ascii="ˎ̥" w:hAnsi="ˎ̥"/>
      <w:color w:val="000000"/>
      <w:sz w:val="20"/>
      <w:szCs w:val="20"/>
      <w:u w:val="none"/>
    </w:rPr>
  </w:style>
  <w:style w:type="character" w:customStyle="1" w:styleId="933">
    <w:name w:val="样式 标题 4h4H4Fab-4T5Ref Heading 1rh1Heading sqlsect 1.2.3.... Char"/>
    <w:link w:val="116"/>
    <w:qFormat/>
    <w:uiPriority w:val="0"/>
    <w:rPr>
      <w:rFonts w:ascii="微软雅黑" w:hAnsi="微软雅黑" w:eastAsia="微软雅黑"/>
      <w:b/>
      <w:bCs/>
      <w:kern w:val="2"/>
      <w:sz w:val="24"/>
      <w:szCs w:val="28"/>
    </w:rPr>
  </w:style>
  <w:style w:type="character" w:customStyle="1" w:styleId="934">
    <w:name w:val="h Char Char"/>
    <w:qFormat/>
    <w:uiPriority w:val="0"/>
    <w:rPr>
      <w:rFonts w:eastAsia="宋体"/>
      <w:kern w:val="2"/>
      <w:sz w:val="18"/>
      <w:lang w:val="en-US" w:eastAsia="zh-CN" w:bidi="ar-SA"/>
    </w:rPr>
  </w:style>
  <w:style w:type="character" w:customStyle="1" w:styleId="935">
    <w:name w:val="仿宋正文 Char"/>
    <w:link w:val="128"/>
    <w:qFormat/>
    <w:uiPriority w:val="0"/>
    <w:rPr>
      <w:rFonts w:ascii="仿宋_GB2312" w:eastAsia="仿宋_GB2312"/>
      <w:kern w:val="2"/>
      <w:sz w:val="24"/>
      <w:lang w:val="en-US" w:eastAsia="zh-CN" w:bidi="ar-SA"/>
    </w:rPr>
  </w:style>
  <w:style w:type="character" w:customStyle="1" w:styleId="936">
    <w:name w:val="正文首行缩进 Char Char Char Char Char Char"/>
    <w:qFormat/>
    <w:uiPriority w:val="0"/>
    <w:rPr>
      <w:rFonts w:ascii="宋体" w:eastAsia="宋体"/>
      <w:kern w:val="2"/>
      <w:sz w:val="24"/>
      <w:lang w:val="zh-CN" w:bidi="ar-SA"/>
    </w:rPr>
  </w:style>
  <w:style w:type="character" w:customStyle="1" w:styleId="937">
    <w:name w:val="样式 宋体"/>
    <w:qFormat/>
    <w:uiPriority w:val="0"/>
    <w:rPr>
      <w:rFonts w:ascii="宋体" w:hAnsi="宋体"/>
      <w:sz w:val="24"/>
    </w:rPr>
  </w:style>
  <w:style w:type="character" w:customStyle="1" w:styleId="938">
    <w:name w:val="tw4winJump"/>
    <w:qFormat/>
    <w:uiPriority w:val="0"/>
    <w:rPr>
      <w:rFonts w:ascii="Courier New" w:hAnsi="Courier New" w:cs="Courier New"/>
      <w:color w:val="008080"/>
      <w:lang w:val="en-US" w:eastAsia="zh-CN"/>
    </w:rPr>
  </w:style>
  <w:style w:type="character" w:customStyle="1" w:styleId="939">
    <w:name w:val="标题 1 字符"/>
    <w:qFormat/>
    <w:uiPriority w:val="9"/>
    <w:rPr>
      <w:rFonts w:ascii="Arial" w:hAnsi="Arial" w:eastAsia="黑体" w:cs="Arial"/>
      <w:b/>
      <w:bCs/>
      <w:snapToGrid w:val="0"/>
      <w:kern w:val="44"/>
      <w:sz w:val="44"/>
      <w:szCs w:val="44"/>
    </w:rPr>
  </w:style>
  <w:style w:type="character" w:customStyle="1" w:styleId="940">
    <w:name w:val="style36"/>
    <w:basedOn w:val="70"/>
    <w:qFormat/>
    <w:uiPriority w:val="0"/>
    <w:rPr>
      <w:rFonts w:ascii="Arial" w:hAnsi="Arial" w:eastAsia="黑体" w:cs="Arial"/>
      <w:snapToGrid w:val="0"/>
      <w:kern w:val="0"/>
      <w:szCs w:val="21"/>
    </w:rPr>
  </w:style>
  <w:style w:type="character" w:customStyle="1" w:styleId="941">
    <w:name w:val="pt9"/>
    <w:qFormat/>
    <w:uiPriority w:val="0"/>
    <w:rPr>
      <w:rFonts w:ascii="仿宋_GB2312" w:eastAsia="微软雅黑"/>
      <w:b/>
      <w:kern w:val="2"/>
      <w:sz w:val="32"/>
      <w:szCs w:val="32"/>
      <w:lang w:val="en-US" w:eastAsia="zh-CN" w:bidi="ar-SA"/>
    </w:rPr>
  </w:style>
  <w:style w:type="character" w:customStyle="1" w:styleId="942">
    <w:name w:val="DO_NOT_TRANSLATE"/>
    <w:qFormat/>
    <w:uiPriority w:val="0"/>
    <w:rPr>
      <w:rFonts w:ascii="Courier New" w:hAnsi="Courier New" w:cs="Courier New"/>
      <w:color w:val="800000"/>
      <w:lang w:val="en-US" w:eastAsia="zh-CN"/>
    </w:rPr>
  </w:style>
  <w:style w:type="character" w:customStyle="1" w:styleId="943">
    <w:name w:val="标书1 Char1"/>
    <w:qFormat/>
    <w:uiPriority w:val="0"/>
    <w:rPr>
      <w:rFonts w:eastAsia="宋体"/>
      <w:b/>
      <w:bCs/>
      <w:kern w:val="44"/>
      <w:sz w:val="44"/>
      <w:szCs w:val="44"/>
      <w:lang w:val="en-US" w:eastAsia="zh-CN" w:bidi="ar-SA"/>
    </w:rPr>
  </w:style>
  <w:style w:type="character" w:customStyle="1" w:styleId="944">
    <w:name w:val="页脚 字符"/>
    <w:qFormat/>
    <w:uiPriority w:val="99"/>
    <w:rPr>
      <w:kern w:val="2"/>
      <w:sz w:val="18"/>
      <w:szCs w:val="18"/>
    </w:rPr>
  </w:style>
  <w:style w:type="character" w:customStyle="1" w:styleId="945">
    <w:name w:val="正文2 Char"/>
    <w:qFormat/>
    <w:uiPriority w:val="0"/>
    <w:rPr>
      <w:rFonts w:eastAsia="宋体"/>
      <w:kern w:val="2"/>
      <w:sz w:val="24"/>
      <w:lang w:val="en-US" w:eastAsia="zh-CN" w:bidi="ar-SA"/>
    </w:rPr>
  </w:style>
  <w:style w:type="character" w:customStyle="1" w:styleId="946">
    <w:name w:val="Char Char21"/>
    <w:qFormat/>
    <w:uiPriority w:val="6"/>
    <w:rPr>
      <w:rFonts w:ascii="宋体" w:hAnsi="宋体"/>
      <w:kern w:val="1"/>
      <w:sz w:val="24"/>
      <w:szCs w:val="21"/>
      <w:lang w:val="zh-CN"/>
    </w:rPr>
  </w:style>
  <w:style w:type="character" w:customStyle="1" w:styleId="947">
    <w:name w:val="样式 正文缩进 + 首行缩进:  2 字符 Char Char"/>
    <w:link w:val="129"/>
    <w:qFormat/>
    <w:uiPriority w:val="0"/>
    <w:rPr>
      <w:rFonts w:cs="宋体"/>
      <w:kern w:val="2"/>
      <w:sz w:val="24"/>
    </w:rPr>
  </w:style>
  <w:style w:type="character" w:customStyle="1" w:styleId="948">
    <w:name w:val="正文文本 字符"/>
    <w:link w:val="26"/>
    <w:qFormat/>
    <w:uiPriority w:val="0"/>
    <w:rPr>
      <w:rFonts w:ascii="宋体" w:hAnsi="Arial" w:eastAsia="宋体" w:cs="Arial"/>
      <w:snapToGrid w:val="0"/>
      <w:kern w:val="2"/>
      <w:sz w:val="24"/>
      <w:szCs w:val="21"/>
      <w:lang w:val="zh-CN" w:eastAsia="zh-CN" w:bidi="ar-SA"/>
    </w:rPr>
  </w:style>
  <w:style w:type="character" w:customStyle="1" w:styleId="949">
    <w:name w:val="gray6"/>
    <w:basedOn w:val="70"/>
    <w:qFormat/>
    <w:uiPriority w:val="0"/>
    <w:rPr>
      <w:rFonts w:ascii="Arial" w:hAnsi="Arial" w:eastAsia="黑体" w:cs="Arial"/>
      <w:snapToGrid w:val="0"/>
      <w:kern w:val="0"/>
      <w:szCs w:val="21"/>
    </w:rPr>
  </w:style>
  <w:style w:type="character" w:customStyle="1" w:styleId="950">
    <w:name w:val="hui"/>
    <w:basedOn w:val="70"/>
    <w:qFormat/>
    <w:uiPriority w:val="0"/>
    <w:rPr>
      <w:rFonts w:ascii="Arial" w:hAnsi="Arial" w:eastAsia="黑体" w:cs="Arial"/>
      <w:snapToGrid w:val="0"/>
      <w:kern w:val="0"/>
      <w:szCs w:val="21"/>
    </w:rPr>
  </w:style>
  <w:style w:type="character" w:customStyle="1" w:styleId="951">
    <w:name w:val="哈哈正文 Char Char"/>
    <w:qFormat/>
    <w:uiPriority w:val="0"/>
    <w:rPr>
      <w:rFonts w:ascii="宋体" w:hAnsi="宋体" w:eastAsia="宋体" w:cs="宋体"/>
      <w:kern w:val="2"/>
      <w:sz w:val="24"/>
      <w:lang w:val="en-US" w:eastAsia="zh-CN" w:bidi="ar-SA"/>
    </w:rPr>
  </w:style>
  <w:style w:type="character" w:customStyle="1" w:styleId="952">
    <w:name w:val="交叉引用"/>
    <w:qFormat/>
    <w:uiPriority w:val="1"/>
    <w:rPr>
      <w:rFonts w:ascii="Arial" w:hAnsi="Arial" w:eastAsia="黑体"/>
      <w:snapToGrid w:val="0"/>
      <w:color w:val="0000FF"/>
      <w:kern w:val="0"/>
      <w:sz w:val="20"/>
      <w:szCs w:val="21"/>
      <w:u w:val="single"/>
      <w:lang w:val="en-US" w:eastAsia="zh-CN"/>
    </w:rPr>
  </w:style>
  <w:style w:type="character" w:customStyle="1" w:styleId="953">
    <w:name w:val="正文缩进 字符1"/>
    <w:qFormat/>
    <w:uiPriority w:val="0"/>
    <w:rPr>
      <w:rFonts w:ascii="宋体" w:eastAsia="宋体"/>
      <w:snapToGrid w:val="0"/>
      <w:color w:val="000000"/>
      <w:kern w:val="28"/>
      <w:sz w:val="28"/>
      <w:lang w:val="en-US" w:eastAsia="zh-CN" w:bidi="ar-SA"/>
    </w:rPr>
  </w:style>
  <w:style w:type="character" w:customStyle="1" w:styleId="954">
    <w:name w:val="页脚 字符1"/>
    <w:qFormat/>
    <w:uiPriority w:val="99"/>
    <w:rPr>
      <w:kern w:val="2"/>
      <w:sz w:val="18"/>
      <w:szCs w:val="18"/>
    </w:rPr>
  </w:style>
  <w:style w:type="character" w:customStyle="1" w:styleId="955">
    <w:name w:val="页眉 字符1"/>
    <w:qFormat/>
    <w:uiPriority w:val="99"/>
    <w:rPr>
      <w:kern w:val="2"/>
      <w:sz w:val="18"/>
      <w:szCs w:val="18"/>
    </w:rPr>
  </w:style>
  <w:style w:type="character" w:customStyle="1" w:styleId="956">
    <w:name w:val="尾注文本 字符"/>
    <w:link w:val="40"/>
    <w:qFormat/>
    <w:uiPriority w:val="0"/>
    <w:rPr>
      <w:kern w:val="2"/>
      <w:sz w:val="21"/>
      <w:szCs w:val="24"/>
      <w:lang w:val="zh-CN"/>
    </w:rPr>
  </w:style>
  <w:style w:type="character" w:customStyle="1" w:styleId="957">
    <w:name w:val="无间隔 字符"/>
    <w:link w:val="179"/>
    <w:qFormat/>
    <w:uiPriority w:val="99"/>
    <w:rPr>
      <w:kern w:val="2"/>
      <w:sz w:val="21"/>
      <w:szCs w:val="22"/>
    </w:rPr>
  </w:style>
  <w:style w:type="character" w:customStyle="1" w:styleId="958">
    <w:name w:val="标准文本 Char Char"/>
    <w:link w:val="614"/>
    <w:qFormat/>
    <w:uiPriority w:val="0"/>
    <w:rPr>
      <w:rFonts w:cs="宋体"/>
      <w:kern w:val="2"/>
      <w:sz w:val="24"/>
    </w:rPr>
  </w:style>
  <w:style w:type="character" w:customStyle="1" w:styleId="959">
    <w:name w:val="Char Char213"/>
    <w:qFormat/>
    <w:uiPriority w:val="0"/>
    <w:rPr>
      <w:rFonts w:eastAsia="Century Gothic"/>
      <w:b/>
      <w:bCs/>
      <w:kern w:val="44"/>
      <w:sz w:val="32"/>
      <w:szCs w:val="44"/>
      <w:lang w:val="en-US" w:eastAsia="zh-CN" w:bidi="ar-SA"/>
    </w:rPr>
  </w:style>
  <w:style w:type="character" w:customStyle="1" w:styleId="960">
    <w:name w:val="apple-style-span"/>
    <w:qFormat/>
    <w:uiPriority w:val="0"/>
    <w:rPr>
      <w:rFonts w:ascii="Arial" w:hAnsi="Arial" w:eastAsia="黑体" w:cs="Arial"/>
      <w:snapToGrid w:val="0"/>
      <w:kern w:val="0"/>
      <w:szCs w:val="21"/>
    </w:rPr>
  </w:style>
  <w:style w:type="character" w:customStyle="1" w:styleId="961">
    <w:name w:val="15"/>
    <w:qFormat/>
    <w:uiPriority w:val="0"/>
    <w:rPr>
      <w:rFonts w:hint="default" w:ascii="Calibri" w:hAnsi="Calibri"/>
      <w:color w:val="0000FF"/>
      <w:u w:val="single"/>
    </w:rPr>
  </w:style>
  <w:style w:type="character" w:customStyle="1" w:styleId="962">
    <w:name w:val="16"/>
    <w:qFormat/>
    <w:uiPriority w:val="0"/>
    <w:rPr>
      <w:rFonts w:hint="eastAsia" w:ascii="宋体" w:hAnsi="宋体" w:eastAsia="宋体"/>
      <w:color w:val="000000"/>
      <w:sz w:val="20"/>
      <w:szCs w:val="20"/>
    </w:rPr>
  </w:style>
  <w:style w:type="character" w:customStyle="1" w:styleId="963">
    <w:name w:val="edui-unclickable"/>
    <w:qFormat/>
    <w:uiPriority w:val="0"/>
    <w:rPr>
      <w:color w:val="808080"/>
    </w:rPr>
  </w:style>
  <w:style w:type="character" w:customStyle="1" w:styleId="964">
    <w:name w:val="tpc_content1"/>
    <w:qFormat/>
    <w:uiPriority w:val="0"/>
    <w:rPr>
      <w:sz w:val="20"/>
      <w:szCs w:val="20"/>
    </w:rPr>
  </w:style>
  <w:style w:type="character" w:customStyle="1" w:styleId="965">
    <w:name w:val="正文文本缩进 字符"/>
    <w:qFormat/>
    <w:uiPriority w:val="0"/>
    <w:rPr>
      <w:rFonts w:ascii="Century Gothic" w:hAnsi="Century Gothic" w:eastAsia="Century Gothic"/>
      <w:kern w:val="2"/>
      <w:sz w:val="24"/>
      <w:lang w:val="en-US" w:eastAsia="zh-CN" w:bidi="ar-SA"/>
    </w:rPr>
  </w:style>
  <w:style w:type="character" w:customStyle="1" w:styleId="966">
    <w:name w:val="正文文本 2 字符"/>
    <w:qFormat/>
    <w:uiPriority w:val="0"/>
    <w:rPr>
      <w:rFonts w:ascii="Arial" w:hAnsi="Arial" w:eastAsia="宋体"/>
      <w:kern w:val="2"/>
      <w:sz w:val="24"/>
      <w:szCs w:val="24"/>
      <w:lang w:val="en-US" w:eastAsia="zh-CN" w:bidi="ar-SA"/>
    </w:rPr>
  </w:style>
  <w:style w:type="character" w:customStyle="1" w:styleId="967">
    <w:name w:val="edui-clickable2"/>
    <w:qFormat/>
    <w:uiPriority w:val="0"/>
    <w:rPr>
      <w:color w:val="0000FF"/>
      <w:u w:val="single"/>
    </w:rPr>
  </w:style>
  <w:style w:type="character" w:customStyle="1" w:styleId="968">
    <w:name w:val="style1"/>
    <w:qFormat/>
    <w:uiPriority w:val="0"/>
    <w:rPr>
      <w:rFonts w:ascii="Arial" w:hAnsi="Arial" w:eastAsia="黑体" w:cs="Arial"/>
      <w:snapToGrid w:val="0"/>
      <w:kern w:val="0"/>
      <w:szCs w:val="21"/>
    </w:rPr>
  </w:style>
  <w:style w:type="character" w:customStyle="1" w:styleId="969">
    <w:name w:val="zbggtop11 style5"/>
    <w:qFormat/>
    <w:uiPriority w:val="0"/>
    <w:rPr>
      <w:rFonts w:ascii="Arial" w:hAnsi="Arial" w:eastAsia="黑体" w:cs="Arial"/>
      <w:snapToGrid w:val="0"/>
      <w:kern w:val="0"/>
      <w:szCs w:val="21"/>
    </w:rPr>
  </w:style>
  <w:style w:type="character" w:customStyle="1" w:styleId="97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71">
    <w:name w:val="bulletintext1"/>
    <w:qFormat/>
    <w:uiPriority w:val="0"/>
    <w:rPr>
      <w:color w:val="000000"/>
      <w:sz w:val="18"/>
    </w:rPr>
  </w:style>
  <w:style w:type="character" w:customStyle="1" w:styleId="972">
    <w:name w:val="ksfind_class_select1"/>
    <w:basedOn w:val="70"/>
    <w:qFormat/>
    <w:uiPriority w:val="0"/>
    <w:rPr>
      <w:color w:val="000000"/>
      <w:shd w:val="clear" w:color="auto" w:fill="EFD200"/>
    </w:rPr>
  </w:style>
  <w:style w:type="character" w:customStyle="1" w:styleId="973">
    <w:name w:val="font71"/>
    <w:qFormat/>
    <w:uiPriority w:val="0"/>
    <w:rPr>
      <w:rFonts w:hint="eastAsia" w:ascii="宋体" w:hAnsi="宋体" w:eastAsia="宋体" w:cs="宋体"/>
      <w:color w:val="000000"/>
      <w:sz w:val="22"/>
      <w:szCs w:val="22"/>
      <w:u w:val="none"/>
    </w:rPr>
  </w:style>
  <w:style w:type="character" w:customStyle="1" w:styleId="974">
    <w:name w:val="font91"/>
    <w:qFormat/>
    <w:uiPriority w:val="0"/>
    <w:rPr>
      <w:rFonts w:hint="eastAsia" w:ascii="仿宋" w:hAnsi="仿宋" w:eastAsia="仿宋" w:cs="仿宋"/>
      <w:color w:val="000000"/>
      <w:sz w:val="22"/>
      <w:szCs w:val="22"/>
      <w:u w:val="none"/>
    </w:rPr>
  </w:style>
  <w:style w:type="table" w:customStyle="1" w:styleId="975">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6">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7">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8">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9">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0">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8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png"/><Relationship Id="rId33" Type="http://schemas.openxmlformats.org/officeDocument/2006/relationships/theme" Target="theme/theme1.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1.xml"/><Relationship Id="rId29" Type="http://schemas.openxmlformats.org/officeDocument/2006/relationships/header" Target="header1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header" Target="header10.xml"/><Relationship Id="rId25" Type="http://schemas.openxmlformats.org/officeDocument/2006/relationships/header" Target="header9.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8.xml"/><Relationship Id="rId21" Type="http://schemas.openxmlformats.org/officeDocument/2006/relationships/header" Target="header7.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138</Pages>
  <Words>5189</Words>
  <Characters>5625</Characters>
  <Lines>0</Lines>
  <Paragraphs>1719</Paragraphs>
  <TotalTime>56</TotalTime>
  <ScaleCrop>false</ScaleCrop>
  <LinksUpToDate>false</LinksUpToDate>
  <CharactersWithSpaces>5921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2023-04-14T09:20:00Z</dcterms:created>
  <dc:creator>成燕</dc:creator>
  <dc:description>耀华代理</dc:description>
  <cp:lastModifiedBy>八哥</cp:lastModifiedBy>
  <cp:lastPrinted>2024-10-15T14:50:00Z</cp:lastPrinted>
  <dcterms:modified xsi:type="dcterms:W3CDTF">2025-07-15T05:41:15Z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BEA11B22F9564C55B4DE7AB58C3B617A_13</vt:lpwstr>
  </property>
  <property fmtid="{D5CDD505-2E9C-101B-9397-08002B2CF9AE}" pid="5" name="KSOTemplateDocerSaveRecord">
    <vt:lpwstr>eyJoZGlkIjoiM2ZlNmUyZTRkYmU4ODg2YmFkZDljOTYzOGYzYWJjZjciLCJ1c2VySWQiOiI0MzkxNDcxODYifQ==</vt:lpwstr>
  </property>
</Properties>
</file>