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7529D">
      <w:pPr>
        <w:spacing w:line="360" w:lineRule="auto"/>
        <w:jc w:val="center"/>
        <w:rPr>
          <w:rFonts w:cs="仿宋_GB2312" w:asciiTheme="minorEastAsia" w:hAnsiTheme="minorEastAsia" w:eastAsiaTheme="minorEastAsia"/>
          <w:b/>
          <w:color w:val="auto"/>
          <w:sz w:val="24"/>
        </w:rPr>
      </w:pPr>
    </w:p>
    <w:p w14:paraId="1D4539ED">
      <w:pPr>
        <w:spacing w:line="360" w:lineRule="auto"/>
        <w:jc w:val="center"/>
        <w:rPr>
          <w:rFonts w:cs="仿宋_GB2312" w:asciiTheme="minorEastAsia" w:hAnsiTheme="minorEastAsia" w:eastAsiaTheme="minorEastAsia"/>
          <w:b/>
          <w:color w:val="auto"/>
          <w:sz w:val="24"/>
        </w:rPr>
      </w:pPr>
    </w:p>
    <w:p w14:paraId="12A0FD69">
      <w:pPr>
        <w:adjustRightInd/>
        <w:spacing w:line="360" w:lineRule="auto"/>
        <w:jc w:val="both"/>
        <w:rPr>
          <w:rFonts w:cs="仿宋_GB2312" w:asciiTheme="minorEastAsia" w:hAnsiTheme="minorEastAsia" w:eastAsiaTheme="minorEastAsia"/>
          <w:b/>
          <w:color w:val="auto"/>
          <w:sz w:val="44"/>
          <w:szCs w:val="44"/>
        </w:rPr>
      </w:pPr>
    </w:p>
    <w:p w14:paraId="4EB66F48">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lang w:val="en-US" w:eastAsia="zh-CN"/>
        </w:rPr>
        <w:t>浙江桐庐南堡省级湿地公园勘界立标项目（第二次）</w:t>
      </w:r>
    </w:p>
    <w:p w14:paraId="61B0B456">
      <w:pPr>
        <w:adjustRightInd/>
        <w:spacing w:line="360" w:lineRule="auto"/>
        <w:jc w:val="center"/>
        <w:rPr>
          <w:rFonts w:hint="eastAsia" w:cs="仿宋_GB2312" w:asciiTheme="minorEastAsia" w:hAnsiTheme="minorEastAsia" w:eastAsiaTheme="minorEastAsia"/>
          <w:b/>
          <w:bCs/>
          <w:color w:val="auto"/>
          <w:w w:val="95"/>
          <w:sz w:val="72"/>
          <w:szCs w:val="72"/>
          <w:lang w:val="zh-CN"/>
        </w:rPr>
      </w:pPr>
    </w:p>
    <w:p w14:paraId="3B74D852">
      <w:pPr>
        <w:adjustRightInd/>
        <w:spacing w:line="360" w:lineRule="auto"/>
        <w:jc w:val="center"/>
        <w:rPr>
          <w:rFonts w:cs="仿宋_GB2312" w:asciiTheme="minorEastAsia" w:hAnsiTheme="minorEastAsia" w:eastAsiaTheme="minorEastAsia"/>
          <w:b/>
          <w:color w:val="auto"/>
          <w:sz w:val="72"/>
          <w:szCs w:val="72"/>
        </w:rPr>
      </w:pPr>
      <w:r>
        <w:rPr>
          <w:rFonts w:hint="eastAsia" w:cs="仿宋_GB2312" w:asciiTheme="minorEastAsia" w:hAnsiTheme="minorEastAsia" w:eastAsiaTheme="minorEastAsia"/>
          <w:b/>
          <w:bCs/>
          <w:color w:val="auto"/>
          <w:w w:val="95"/>
          <w:sz w:val="72"/>
          <w:szCs w:val="72"/>
          <w:lang w:val="zh-CN"/>
        </w:rPr>
        <w:t>竞争性磋商</w:t>
      </w:r>
      <w:r>
        <w:rPr>
          <w:rFonts w:hint="eastAsia" w:cs="仿宋_GB2312" w:asciiTheme="minorEastAsia" w:hAnsiTheme="minorEastAsia" w:eastAsiaTheme="minorEastAsia"/>
          <w:b/>
          <w:color w:val="auto"/>
          <w:sz w:val="72"/>
          <w:szCs w:val="72"/>
        </w:rPr>
        <w:t>文件</w:t>
      </w:r>
    </w:p>
    <w:p w14:paraId="55D594E6">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（电子交易）</w:t>
      </w:r>
    </w:p>
    <w:p w14:paraId="317A0688">
      <w:pPr>
        <w:snapToGrid w:val="0"/>
        <w:spacing w:line="360" w:lineRule="auto"/>
        <w:jc w:val="center"/>
        <w:rPr>
          <w:rFonts w:cs="仿宋_GB2312" w:asciiTheme="minorEastAsia" w:hAnsiTheme="minorEastAsia" w:eastAsiaTheme="minorEastAsia"/>
          <w:color w:val="auto"/>
          <w:sz w:val="30"/>
          <w:szCs w:val="30"/>
        </w:rPr>
      </w:pPr>
    </w:p>
    <w:p w14:paraId="683AD920">
      <w:pPr>
        <w:snapToGrid w:val="0"/>
        <w:spacing w:line="360" w:lineRule="auto"/>
        <w:jc w:val="center"/>
        <w:rPr>
          <w:rFonts w:cs="仿宋_GB2312" w:asciiTheme="minorEastAsia" w:hAnsiTheme="minorEastAsia" w:eastAsiaTheme="minorEastAsia"/>
          <w:color w:val="auto"/>
          <w:sz w:val="30"/>
          <w:szCs w:val="30"/>
        </w:rPr>
      </w:pPr>
      <w:r>
        <w:rPr>
          <w:rFonts w:hint="eastAsia" w:cs="仿宋_GB2312" w:asciiTheme="minorEastAsia" w:hAnsiTheme="minorEastAsia" w:eastAsiaTheme="minorEastAsia"/>
          <w:color w:val="auto"/>
          <w:sz w:val="30"/>
          <w:szCs w:val="30"/>
        </w:rPr>
        <w:t>项目编号:</w:t>
      </w:r>
      <w:r>
        <w:rPr>
          <w:rFonts w:hint="eastAsia" w:ascii="宋体" w:hAnsi="宋体" w:cs="宋体"/>
          <w:color w:val="auto"/>
          <w:sz w:val="30"/>
          <w:szCs w:val="30"/>
          <w:highlight w:val="none"/>
          <w:lang w:eastAsia="zh-CN"/>
        </w:rPr>
        <w:t>HBCG-TL2025033-1</w:t>
      </w:r>
    </w:p>
    <w:p w14:paraId="68579B86">
      <w:pPr>
        <w:adjustRightInd/>
        <w:spacing w:line="360" w:lineRule="auto"/>
        <w:rPr>
          <w:rFonts w:cs="仿宋_GB2312" w:asciiTheme="minorEastAsia" w:hAnsiTheme="minorEastAsia" w:eastAsiaTheme="minorEastAsia"/>
          <w:color w:val="auto"/>
          <w:sz w:val="28"/>
          <w:szCs w:val="20"/>
        </w:rPr>
      </w:pPr>
    </w:p>
    <w:p w14:paraId="6F526D79">
      <w:pPr>
        <w:spacing w:line="360" w:lineRule="auto"/>
        <w:jc w:val="both"/>
        <w:rPr>
          <w:rFonts w:cs="仿宋_GB2312" w:asciiTheme="minorEastAsia" w:hAnsiTheme="minorEastAsia" w:eastAsiaTheme="minorEastAsia"/>
          <w:color w:val="auto"/>
          <w:sz w:val="24"/>
        </w:rPr>
      </w:pPr>
    </w:p>
    <w:p w14:paraId="7F3F1794">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6AE573C8">
      <w:pPr>
        <w:snapToGrid w:val="0"/>
        <w:spacing w:line="360" w:lineRule="auto"/>
        <w:jc w:val="both"/>
        <w:rPr>
          <w:rFonts w:cs="仿宋_GB2312" w:asciiTheme="minorEastAsia" w:hAnsiTheme="minorEastAsia" w:eastAsiaTheme="minorEastAsia"/>
          <w:color w:val="auto"/>
          <w:sz w:val="32"/>
          <w:szCs w:val="32"/>
        </w:rPr>
      </w:pPr>
    </w:p>
    <w:p w14:paraId="48366948">
      <w:pPr>
        <w:snapToGrid w:val="0"/>
        <w:spacing w:line="360" w:lineRule="auto"/>
        <w:jc w:val="center"/>
        <w:rPr>
          <w:rFonts w:hint="eastAsia" w:eastAsia="宋体" w:asciiTheme="minorEastAsia" w:hAnsiTheme="minorEastAsia"/>
          <w:sz w:val="33"/>
          <w:u w:val="single"/>
          <w:lang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Theme="minorEastAsia" w:hAnsiTheme="minorEastAsia" w:eastAsiaTheme="minorEastAsia"/>
          <w:sz w:val="33"/>
          <w:u w:val="single"/>
          <w:lang w:eastAsia="zh-CN"/>
        </w:rPr>
        <w:t>桐庐县森林湿地和自然保护地管理总站</w:t>
      </w:r>
    </w:p>
    <w:p w14:paraId="73B80102">
      <w:pPr>
        <w:pStyle w:val="4"/>
        <w:numPr>
          <w:ilvl w:val="0"/>
          <w:numId w:val="0"/>
        </w:numPr>
        <w:ind w:leftChars="0"/>
        <w:rPr>
          <w:rFonts w:hint="eastAsia"/>
          <w:lang w:eastAsia="zh-CN"/>
        </w:rPr>
      </w:pPr>
    </w:p>
    <w:p w14:paraId="6C3F1815">
      <w:pPr>
        <w:tabs>
          <w:tab w:val="left" w:pos="1620"/>
          <w:tab w:val="left" w:pos="1800"/>
          <w:tab w:val="left" w:pos="1980"/>
        </w:tabs>
        <w:spacing w:line="72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Theme="minorEastAsia" w:hAnsiTheme="minorEastAsia" w:eastAsiaTheme="minorEastAsia"/>
          <w:sz w:val="33"/>
          <w:szCs w:val="33"/>
        </w:rPr>
        <w:t xml:space="preserve"> ：</w:t>
      </w:r>
      <w:r>
        <w:rPr>
          <w:rFonts w:hint="eastAsia" w:asciiTheme="minorEastAsia" w:hAnsiTheme="minorEastAsia" w:eastAsiaTheme="minorEastAsia"/>
          <w:sz w:val="33"/>
          <w:u w:val="single"/>
        </w:rPr>
        <w:t>海标工程管理有限公司</w:t>
      </w:r>
    </w:p>
    <w:p w14:paraId="7844198D">
      <w:pPr>
        <w:snapToGrid w:val="0"/>
        <w:spacing w:line="360" w:lineRule="auto"/>
        <w:jc w:val="center"/>
        <w:rPr>
          <w:rFonts w:cs="仿宋_GB2312" w:asciiTheme="minorEastAsia" w:hAnsiTheme="minorEastAsia" w:eastAsiaTheme="minorEastAsia"/>
          <w:bCs/>
          <w:color w:val="auto"/>
          <w:sz w:val="32"/>
          <w:szCs w:val="32"/>
        </w:rPr>
      </w:pPr>
      <w:r>
        <w:rPr>
          <w:rFonts w:hint="eastAsia" w:cs="仿宋_GB2312" w:asciiTheme="minorEastAsia" w:hAnsiTheme="minorEastAsia" w:eastAsiaTheme="minorEastAsia"/>
          <w:bCs/>
          <w:color w:val="auto"/>
          <w:sz w:val="32"/>
          <w:szCs w:val="32"/>
        </w:rPr>
        <w:t>二</w:t>
      </w:r>
      <w:r>
        <w:rPr>
          <w:rFonts w:hint="eastAsia" w:cs="宋体" w:asciiTheme="minorEastAsia" w:hAnsiTheme="minorEastAsia" w:eastAsiaTheme="minorEastAsia"/>
          <w:bCs/>
          <w:color w:val="auto"/>
          <w:sz w:val="32"/>
          <w:szCs w:val="32"/>
        </w:rPr>
        <w:t>〇</w:t>
      </w:r>
      <w:r>
        <w:rPr>
          <w:rFonts w:hint="eastAsia" w:cs="仿宋_GB2312" w:asciiTheme="minorEastAsia" w:hAnsiTheme="minorEastAsia" w:eastAsiaTheme="minorEastAsia"/>
          <w:bCs/>
          <w:color w:val="auto"/>
          <w:sz w:val="32"/>
          <w:szCs w:val="32"/>
        </w:rPr>
        <w:t>二</w:t>
      </w:r>
      <w:r>
        <w:rPr>
          <w:rFonts w:hint="eastAsia" w:cs="仿宋_GB2312" w:asciiTheme="minorEastAsia" w:hAnsiTheme="minorEastAsia" w:eastAsiaTheme="minorEastAsia"/>
          <w:bCs/>
          <w:color w:val="auto"/>
          <w:sz w:val="32"/>
          <w:szCs w:val="32"/>
          <w:lang w:val="en-US" w:eastAsia="zh-CN"/>
        </w:rPr>
        <w:t>五</w:t>
      </w:r>
      <w:r>
        <w:rPr>
          <w:rFonts w:hint="eastAsia" w:cs="仿宋_GB2312" w:asciiTheme="minorEastAsia" w:hAnsiTheme="minorEastAsia" w:eastAsiaTheme="minorEastAsia"/>
          <w:bCs/>
          <w:color w:val="auto"/>
          <w:sz w:val="32"/>
          <w:szCs w:val="32"/>
        </w:rPr>
        <w:t>年</w:t>
      </w:r>
      <w:r>
        <w:rPr>
          <w:rFonts w:hint="eastAsia" w:cs="仿宋_GB2312" w:asciiTheme="minorEastAsia" w:hAnsiTheme="minorEastAsia" w:eastAsiaTheme="minorEastAsia"/>
          <w:bCs/>
          <w:color w:val="auto"/>
          <w:sz w:val="32"/>
          <w:szCs w:val="32"/>
          <w:lang w:val="en-US" w:eastAsia="zh-CN"/>
        </w:rPr>
        <w:t>七</w:t>
      </w:r>
      <w:r>
        <w:rPr>
          <w:rFonts w:hint="eastAsia" w:cs="仿宋_GB2312" w:asciiTheme="minorEastAsia" w:hAnsiTheme="minorEastAsia" w:eastAsiaTheme="minorEastAsia"/>
          <w:bCs/>
          <w:color w:val="auto"/>
          <w:sz w:val="32"/>
          <w:szCs w:val="32"/>
        </w:rPr>
        <w:t>月</w:t>
      </w:r>
    </w:p>
    <w:p w14:paraId="04CA500E">
      <w:pPr>
        <w:tabs>
          <w:tab w:val="left" w:pos="2268"/>
        </w:tabs>
        <w:spacing w:line="360" w:lineRule="auto"/>
        <w:jc w:val="center"/>
        <w:rPr>
          <w:rFonts w:cs="仿宋_GB2312" w:asciiTheme="minorEastAsia" w:hAnsiTheme="minorEastAsia" w:eastAsiaTheme="minorEastAsia"/>
          <w:color w:val="auto"/>
          <w:sz w:val="24"/>
        </w:rPr>
        <w:sectPr>
          <w:headerReference r:id="rId4" w:type="first"/>
          <w:headerReference r:id="rId3" w:type="default"/>
          <w:footerReference r:id="rId5" w:type="even"/>
          <w:pgSz w:w="11906" w:h="16838"/>
          <w:pgMar w:top="1247" w:right="1418" w:bottom="1276" w:left="1418" w:header="851" w:footer="992" w:gutter="0"/>
          <w:cols w:space="720" w:num="1"/>
          <w:titlePg/>
          <w:docGrid w:linePitch="312" w:charSpace="0"/>
        </w:sectPr>
      </w:pPr>
    </w:p>
    <w:p w14:paraId="6034D1CB">
      <w:pPr>
        <w:pStyle w:val="40"/>
      </w:pPr>
    </w:p>
    <w:p w14:paraId="4FCB36F9">
      <w:pPr>
        <w:spacing w:line="360" w:lineRule="auto"/>
        <w:jc w:val="center"/>
        <w:rPr>
          <w:rFonts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rPr>
        <w:t>目  录</w:t>
      </w:r>
    </w:p>
    <w:p w14:paraId="29248DBC">
      <w:pPr>
        <w:spacing w:line="360" w:lineRule="auto"/>
        <w:rPr>
          <w:rFonts w:cs="仿宋_GB2312" w:asciiTheme="minorEastAsia" w:hAnsiTheme="minorEastAsia" w:eastAsiaTheme="minorEastAsia"/>
          <w:color w:val="auto"/>
          <w:sz w:val="32"/>
          <w:szCs w:val="32"/>
        </w:rPr>
      </w:pPr>
    </w:p>
    <w:p w14:paraId="660368F7">
      <w:pPr>
        <w:spacing w:line="360" w:lineRule="auto"/>
        <w:rPr>
          <w:rFonts w:cs="仿宋_GB2312" w:asciiTheme="minorEastAsia" w:hAnsiTheme="minorEastAsia" w:eastAsiaTheme="minorEastAsia"/>
          <w:color w:val="auto"/>
          <w:sz w:val="32"/>
          <w:szCs w:val="32"/>
        </w:rPr>
      </w:pPr>
    </w:p>
    <w:p w14:paraId="3DB11D06">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第一部分      邀请供应商</w:t>
      </w:r>
    </w:p>
    <w:p w14:paraId="062E8775">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第二部分      竞争性磋商流程</w:t>
      </w:r>
    </w:p>
    <w:p w14:paraId="6B0A5BD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第三部分      供应商须知</w:t>
      </w:r>
    </w:p>
    <w:p w14:paraId="354C5E1B">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第四部分      采购需求</w:t>
      </w:r>
    </w:p>
    <w:p w14:paraId="47FC6B1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第五部分      评审方法及评审标准</w:t>
      </w:r>
    </w:p>
    <w:p w14:paraId="6BE64558">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第六部分      拟签订的合同文本</w:t>
      </w:r>
    </w:p>
    <w:p w14:paraId="1E7E9C00">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第七部分      应提交的有关格式范例</w:t>
      </w:r>
    </w:p>
    <w:p w14:paraId="6669DCF6">
      <w:pPr>
        <w:spacing w:line="360" w:lineRule="auto"/>
        <w:ind w:firstLine="549" w:firstLineChars="229"/>
        <w:rPr>
          <w:rFonts w:cs="仿宋_GB2312" w:asciiTheme="minorEastAsia" w:hAnsiTheme="minorEastAsia" w:eastAsiaTheme="minorEastAsia"/>
          <w:color w:val="auto"/>
          <w:sz w:val="24"/>
        </w:rPr>
      </w:pPr>
      <w:bookmarkStart w:id="0" w:name="_Hlt91233176"/>
      <w:bookmarkEnd w:id="0"/>
      <w:bookmarkStart w:id="1" w:name="_Toc91899869"/>
    </w:p>
    <w:p w14:paraId="5B7A6457">
      <w:pPr>
        <w:spacing w:line="360" w:lineRule="auto"/>
        <w:ind w:firstLine="549" w:firstLineChars="229"/>
        <w:rPr>
          <w:rFonts w:cs="仿宋_GB2312" w:asciiTheme="minorEastAsia" w:hAnsiTheme="minorEastAsia" w:eastAsiaTheme="minorEastAsia"/>
          <w:color w:val="auto"/>
          <w:sz w:val="24"/>
        </w:rPr>
      </w:pPr>
    </w:p>
    <w:p w14:paraId="08B8A910">
      <w:pPr>
        <w:spacing w:line="360" w:lineRule="auto"/>
        <w:ind w:firstLine="549" w:firstLineChars="229"/>
        <w:rPr>
          <w:rFonts w:cs="仿宋_GB2312" w:asciiTheme="minorEastAsia" w:hAnsiTheme="minorEastAsia" w:eastAsiaTheme="minorEastAsia"/>
          <w:color w:val="auto"/>
          <w:sz w:val="24"/>
        </w:rPr>
      </w:pPr>
    </w:p>
    <w:p w14:paraId="7583EF57">
      <w:pPr>
        <w:spacing w:line="360" w:lineRule="auto"/>
        <w:ind w:firstLine="549" w:firstLineChars="229"/>
        <w:rPr>
          <w:rFonts w:cs="仿宋_GB2312" w:asciiTheme="minorEastAsia" w:hAnsiTheme="minorEastAsia" w:eastAsiaTheme="minorEastAsia"/>
          <w:color w:val="auto"/>
          <w:sz w:val="24"/>
        </w:rPr>
      </w:pPr>
    </w:p>
    <w:p w14:paraId="2A3B0AA2">
      <w:pPr>
        <w:spacing w:line="360" w:lineRule="auto"/>
        <w:ind w:firstLine="549" w:firstLineChars="229"/>
        <w:rPr>
          <w:rFonts w:cs="仿宋_GB2312" w:asciiTheme="minorEastAsia" w:hAnsiTheme="minorEastAsia" w:eastAsiaTheme="minorEastAsia"/>
          <w:color w:val="auto"/>
          <w:sz w:val="24"/>
        </w:rPr>
      </w:pPr>
    </w:p>
    <w:p w14:paraId="1B48F5A8">
      <w:pPr>
        <w:spacing w:line="360" w:lineRule="auto"/>
        <w:ind w:firstLine="549" w:firstLineChars="229"/>
        <w:rPr>
          <w:rFonts w:cs="仿宋_GB2312" w:asciiTheme="minorEastAsia" w:hAnsiTheme="minorEastAsia" w:eastAsiaTheme="minorEastAsia"/>
          <w:color w:val="auto"/>
          <w:sz w:val="24"/>
        </w:rPr>
      </w:pPr>
    </w:p>
    <w:p w14:paraId="7FA8D9C6">
      <w:pPr>
        <w:spacing w:line="360" w:lineRule="auto"/>
        <w:ind w:firstLine="549" w:firstLineChars="229"/>
        <w:rPr>
          <w:rFonts w:cs="仿宋_GB2312" w:asciiTheme="minorEastAsia" w:hAnsiTheme="minorEastAsia" w:eastAsiaTheme="minorEastAsia"/>
          <w:color w:val="auto"/>
          <w:sz w:val="24"/>
        </w:rPr>
      </w:pPr>
    </w:p>
    <w:p w14:paraId="1FDC7061">
      <w:pPr>
        <w:spacing w:line="360" w:lineRule="auto"/>
        <w:ind w:firstLine="549" w:firstLineChars="229"/>
        <w:rPr>
          <w:rFonts w:cs="仿宋_GB2312" w:asciiTheme="minorEastAsia" w:hAnsiTheme="minorEastAsia" w:eastAsiaTheme="minorEastAsia"/>
          <w:color w:val="auto"/>
          <w:sz w:val="24"/>
        </w:rPr>
      </w:pPr>
    </w:p>
    <w:p w14:paraId="7C86EE8B">
      <w:pPr>
        <w:spacing w:line="360" w:lineRule="auto"/>
        <w:ind w:firstLine="549" w:firstLineChars="229"/>
        <w:rPr>
          <w:rFonts w:cs="仿宋_GB2312" w:asciiTheme="minorEastAsia" w:hAnsiTheme="minorEastAsia" w:eastAsiaTheme="minorEastAsia"/>
          <w:color w:val="auto"/>
          <w:sz w:val="24"/>
        </w:rPr>
      </w:pPr>
    </w:p>
    <w:p w14:paraId="253BFBE5">
      <w:pPr>
        <w:spacing w:line="360" w:lineRule="auto"/>
        <w:ind w:firstLine="549" w:firstLineChars="229"/>
        <w:rPr>
          <w:rFonts w:cs="仿宋_GB2312" w:asciiTheme="minorEastAsia" w:hAnsiTheme="minorEastAsia" w:eastAsiaTheme="minorEastAsia"/>
          <w:color w:val="auto"/>
          <w:sz w:val="24"/>
        </w:rPr>
      </w:pPr>
    </w:p>
    <w:p w14:paraId="536672DC">
      <w:pPr>
        <w:spacing w:line="360" w:lineRule="auto"/>
        <w:ind w:firstLine="549" w:firstLineChars="229"/>
        <w:rPr>
          <w:rFonts w:cs="仿宋_GB2312" w:asciiTheme="minorEastAsia" w:hAnsiTheme="minorEastAsia" w:eastAsiaTheme="minorEastAsia"/>
          <w:color w:val="auto"/>
          <w:sz w:val="24"/>
        </w:rPr>
      </w:pPr>
    </w:p>
    <w:p w14:paraId="382EEE52">
      <w:pPr>
        <w:spacing w:line="360" w:lineRule="auto"/>
        <w:ind w:firstLine="549" w:firstLineChars="229"/>
        <w:rPr>
          <w:rFonts w:cs="仿宋_GB2312" w:asciiTheme="minorEastAsia" w:hAnsiTheme="minorEastAsia" w:eastAsiaTheme="minorEastAsia"/>
          <w:color w:val="auto"/>
          <w:sz w:val="24"/>
        </w:rPr>
      </w:pPr>
    </w:p>
    <w:p w14:paraId="30ED34D1">
      <w:pPr>
        <w:spacing w:line="360" w:lineRule="auto"/>
        <w:ind w:firstLine="549" w:firstLineChars="229"/>
        <w:rPr>
          <w:rFonts w:cs="仿宋_GB2312" w:asciiTheme="minorEastAsia" w:hAnsiTheme="minorEastAsia" w:eastAsiaTheme="minorEastAsia"/>
          <w:color w:val="auto"/>
          <w:sz w:val="24"/>
        </w:rPr>
      </w:pPr>
    </w:p>
    <w:p w14:paraId="7436EFBE">
      <w:pPr>
        <w:spacing w:line="360" w:lineRule="auto"/>
        <w:rPr>
          <w:rFonts w:cs="仿宋_GB2312" w:asciiTheme="minorEastAsia" w:hAnsiTheme="minorEastAsia" w:eastAsiaTheme="minorEastAsia"/>
          <w:color w:val="auto"/>
          <w:sz w:val="24"/>
        </w:rPr>
      </w:pPr>
    </w:p>
    <w:bookmarkEnd w:id="1"/>
    <w:p w14:paraId="61E6FFD4">
      <w:pPr>
        <w:adjustRightInd/>
        <w:spacing w:line="360" w:lineRule="auto"/>
        <w:jc w:val="center"/>
        <w:outlineLvl w:val="0"/>
        <w:rPr>
          <w:rFonts w:hint="eastAsia" w:cs="仿宋_GB2312" w:asciiTheme="minorEastAsia" w:hAnsiTheme="minorEastAsia" w:eastAsiaTheme="minorEastAsia"/>
          <w:b/>
          <w:color w:val="auto"/>
          <w:sz w:val="36"/>
          <w:szCs w:val="20"/>
        </w:rPr>
        <w:sectPr>
          <w:footerReference r:id="rId7" w:type="first"/>
          <w:footerReference r:id="rId6" w:type="default"/>
          <w:pgSz w:w="11906" w:h="16838"/>
          <w:pgMar w:top="1247" w:right="1418" w:bottom="1276" w:left="1418" w:header="851" w:footer="992" w:gutter="0"/>
          <w:pgNumType w:fmt="decimal" w:start="1"/>
          <w:cols w:space="720" w:num="1"/>
          <w:titlePg/>
          <w:docGrid w:linePitch="312" w:charSpace="0"/>
        </w:sectPr>
      </w:pPr>
      <w:bookmarkStart w:id="2" w:name="_Hlt74649545"/>
      <w:bookmarkEnd w:id="2"/>
      <w:bookmarkStart w:id="3" w:name="_Hlt74728647"/>
      <w:bookmarkEnd w:id="3"/>
      <w:bookmarkStart w:id="4" w:name="_Hlt74729822"/>
      <w:bookmarkEnd w:id="4"/>
      <w:bookmarkStart w:id="5" w:name="_Hlt74707423"/>
      <w:bookmarkEnd w:id="5"/>
      <w:bookmarkStart w:id="6" w:name="第二部分"/>
      <w:bookmarkStart w:id="7" w:name="_Toc91899870"/>
      <w:bookmarkStart w:id="8" w:name="_Toc91899871"/>
    </w:p>
    <w:p w14:paraId="7516AC97">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第一部分  邀请供应商</w:t>
      </w:r>
    </w:p>
    <w:p w14:paraId="235E075F">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竞争性磋商邀请公告</w:t>
      </w:r>
    </w:p>
    <w:p w14:paraId="12F3C69D">
      <w:pPr>
        <w:spacing w:line="360" w:lineRule="auto"/>
        <w:rPr>
          <w:rFonts w:asciiTheme="minorEastAsia" w:hAnsiTheme="minorEastAsia" w:eastAsiaTheme="minorEastAsia"/>
          <w:color w:val="auto"/>
          <w:sz w:val="24"/>
        </w:rPr>
      </w:pPr>
    </w:p>
    <w:p w14:paraId="31658D8F">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44A2E4F5">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lang w:val="en-US" w:eastAsia="zh-CN"/>
        </w:rPr>
        <w:t>浙江桐庐南堡省级湿地公园勘界立标项目（第二次）</w:t>
      </w:r>
      <w:r>
        <w:rPr>
          <w:rFonts w:hint="eastAsia" w:asciiTheme="minorEastAsia" w:hAnsiTheme="minorEastAsia" w:eastAsiaTheme="minorEastAsia"/>
          <w:color w:val="auto"/>
          <w:sz w:val="24"/>
        </w:rPr>
        <w:t>的潜在供应商应在</w:t>
      </w:r>
      <w:r>
        <w:rPr>
          <w:rFonts w:hint="eastAsia" w:cs="仿宋_GB2312" w:asciiTheme="minorEastAsia" w:hAnsiTheme="minorEastAsia" w:eastAsiaTheme="minorEastAsia"/>
          <w:color w:val="auto"/>
          <w:sz w:val="24"/>
          <w:u w:val="single"/>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color w:val="auto"/>
          <w:sz w:val="24"/>
          <w:u w:val="single"/>
        </w:rPr>
        <w:t>）</w:t>
      </w:r>
      <w:r>
        <w:rPr>
          <w:rFonts w:hint="eastAsia" w:asciiTheme="minorEastAsia" w:hAnsiTheme="minorEastAsia" w:eastAsiaTheme="minorEastAsia"/>
          <w:color w:val="auto"/>
          <w:sz w:val="24"/>
        </w:rPr>
        <w:t>获取采购文件，并于</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29</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9</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15</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（北京时间）前提交响应文件</w:t>
      </w:r>
      <w:r>
        <w:rPr>
          <w:rFonts w:hint="eastAsia" w:asciiTheme="minorEastAsia" w:hAnsiTheme="minorEastAsia" w:eastAsiaTheme="minorEastAsia"/>
          <w:color w:val="auto"/>
          <w:sz w:val="24"/>
        </w:rPr>
        <w:t>。</w:t>
      </w:r>
    </w:p>
    <w:p w14:paraId="75CCBF1B">
      <w:pPr>
        <w:spacing w:line="360" w:lineRule="auto"/>
        <w:rPr>
          <w:rFonts w:asciiTheme="minorEastAsia" w:hAnsiTheme="minorEastAsia" w:eastAsiaTheme="minorEastAsia"/>
          <w:color w:val="auto"/>
          <w:sz w:val="24"/>
        </w:rPr>
      </w:pPr>
    </w:p>
    <w:p w14:paraId="317B4722">
      <w:pPr>
        <w:pStyle w:val="4"/>
        <w:numPr>
          <w:ilvl w:val="0"/>
          <w:numId w:val="0"/>
        </w:numPr>
        <w:ind w:left="432" w:hanging="432"/>
        <w:rPr>
          <w:rFonts w:cs="宋体" w:asciiTheme="minorEastAsia" w:hAnsiTheme="minorEastAsia" w:eastAsiaTheme="minorEastAsia"/>
          <w:color w:val="auto"/>
          <w:sz w:val="24"/>
          <w:szCs w:val="24"/>
        </w:rPr>
      </w:pPr>
      <w:bookmarkStart w:id="9" w:name="_Toc35393798"/>
      <w:bookmarkStart w:id="10" w:name="_Toc28359012"/>
      <w:bookmarkStart w:id="11" w:name="_Toc28359089"/>
      <w:bookmarkStart w:id="12" w:name="_Toc35393629"/>
      <w:r>
        <w:rPr>
          <w:rFonts w:hint="eastAsia" w:cs="宋体" w:asciiTheme="minorEastAsia" w:hAnsiTheme="minorEastAsia" w:eastAsiaTheme="minorEastAsia"/>
          <w:color w:val="auto"/>
          <w:sz w:val="24"/>
          <w:szCs w:val="24"/>
        </w:rPr>
        <w:t>一、项目基本情况</w:t>
      </w:r>
      <w:bookmarkEnd w:id="9"/>
      <w:bookmarkEnd w:id="10"/>
      <w:bookmarkEnd w:id="11"/>
      <w:bookmarkEnd w:id="12"/>
    </w:p>
    <w:p w14:paraId="684C3607">
      <w:pPr>
        <w:spacing w:line="360" w:lineRule="auto"/>
        <w:ind w:firstLine="482"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b/>
          <w:color w:val="auto"/>
          <w:sz w:val="24"/>
        </w:rPr>
        <w:t>项目编号：</w:t>
      </w:r>
      <w:r>
        <w:rPr>
          <w:rFonts w:hint="eastAsia" w:asciiTheme="minorEastAsia" w:hAnsiTheme="minorEastAsia" w:eastAsiaTheme="minorEastAsia"/>
          <w:color w:val="auto"/>
          <w:sz w:val="24"/>
          <w:lang w:eastAsia="zh-CN"/>
        </w:rPr>
        <w:t>HBCG-TL2025033-1</w:t>
      </w:r>
    </w:p>
    <w:p w14:paraId="7D25B160">
      <w:pPr>
        <w:spacing w:line="360" w:lineRule="auto"/>
        <w:ind w:firstLine="482" w:firstLineChars="200"/>
        <w:rPr>
          <w:rFonts w:hint="eastAsia" w:asciiTheme="minorEastAsia" w:hAnsiTheme="minorEastAsia" w:eastAsiaTheme="minorEastAsia"/>
          <w:color w:val="auto"/>
          <w:sz w:val="24"/>
          <w:u w:val="single"/>
          <w:lang w:eastAsia="zh-CN"/>
        </w:rPr>
      </w:pPr>
      <w:r>
        <w:rPr>
          <w:rFonts w:hint="eastAsia" w:asciiTheme="minorEastAsia" w:hAnsiTheme="minorEastAsia" w:eastAsiaTheme="minorEastAsia"/>
          <w:b/>
          <w:color w:val="auto"/>
          <w:sz w:val="24"/>
        </w:rPr>
        <w:t>项目名称：</w:t>
      </w:r>
      <w:r>
        <w:rPr>
          <w:rFonts w:hint="eastAsia" w:asciiTheme="minorEastAsia" w:hAnsiTheme="minorEastAsia" w:eastAsiaTheme="minorEastAsia"/>
          <w:color w:val="auto"/>
          <w:sz w:val="24"/>
          <w:lang w:val="en-US" w:eastAsia="zh-CN"/>
        </w:rPr>
        <w:t>浙江桐庐南堡省级湿地公园勘界立标项目（第二次）</w:t>
      </w:r>
    </w:p>
    <w:p w14:paraId="70C88FEE">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采购方式：</w:t>
      </w:r>
      <w:r>
        <w:rPr>
          <w:rFonts w:hint="eastAsia" w:asciiTheme="minorEastAsia" w:hAnsiTheme="minorEastAsia" w:eastAsiaTheme="minorEastAsia"/>
          <w:color w:val="auto"/>
          <w:sz w:val="24"/>
        </w:rPr>
        <w:t>竞争性磋商</w:t>
      </w:r>
    </w:p>
    <w:p w14:paraId="24310F63">
      <w:pPr>
        <w:spacing w:line="360" w:lineRule="auto"/>
        <w:ind w:firstLine="482" w:firstLineChars="200"/>
        <w:rPr>
          <w:rFonts w:hint="default" w:asciiTheme="minorEastAsia" w:hAnsiTheme="minorEastAsia" w:eastAsiaTheme="minorEastAsia"/>
          <w:b/>
          <w:color w:val="auto"/>
          <w:sz w:val="24"/>
          <w:lang w:val="en-US" w:eastAsia="zh-CN"/>
        </w:rPr>
      </w:pPr>
      <w:r>
        <w:rPr>
          <w:rFonts w:hint="eastAsia" w:asciiTheme="minorEastAsia" w:hAnsiTheme="minorEastAsia" w:eastAsiaTheme="minorEastAsia"/>
          <w:b/>
          <w:color w:val="auto"/>
          <w:sz w:val="24"/>
        </w:rPr>
        <w:t>预算金额（元）：</w:t>
      </w:r>
      <w:r>
        <w:rPr>
          <w:rFonts w:hint="eastAsia" w:asciiTheme="minorEastAsia" w:hAnsiTheme="minorEastAsia" w:eastAsiaTheme="minorEastAsia"/>
          <w:b/>
          <w:color w:val="auto"/>
          <w:sz w:val="24"/>
          <w:lang w:val="en-US" w:eastAsia="zh-CN"/>
        </w:rPr>
        <w:t>350000</w:t>
      </w:r>
    </w:p>
    <w:p w14:paraId="1CEA5A31">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最高限价（元）：</w:t>
      </w:r>
      <w:r>
        <w:rPr>
          <w:rFonts w:hint="eastAsia" w:asciiTheme="minorEastAsia" w:hAnsiTheme="minorEastAsia" w:eastAsiaTheme="minorEastAsia"/>
          <w:b/>
          <w:color w:val="auto"/>
          <w:sz w:val="24"/>
          <w:lang w:val="en-US" w:eastAsia="zh-CN"/>
        </w:rPr>
        <w:t>350000</w:t>
      </w:r>
    </w:p>
    <w:p w14:paraId="6AD4AB19">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采购需求：</w:t>
      </w:r>
      <w:r>
        <w:rPr>
          <w:rFonts w:hint="eastAsia" w:asciiTheme="minorEastAsia" w:hAnsiTheme="minorEastAsia" w:eastAsiaTheme="minorEastAsia"/>
          <w:color w:val="auto"/>
          <w:sz w:val="24"/>
          <w:lang w:val="en-US" w:eastAsia="zh-CN"/>
        </w:rPr>
        <w:t>浙江桐庐南堡省级湿地公园勘界立标项目（第二次）</w:t>
      </w:r>
      <w:r>
        <w:rPr>
          <w:rFonts w:hint="eastAsia" w:hAnsi="宋体" w:cs="宋体" w:eastAsiaTheme="minorEastAsia"/>
          <w:bCs/>
          <w:color w:val="auto"/>
          <w:sz w:val="24"/>
          <w:highlight w:val="none"/>
          <w:lang w:eastAsia="zh-CN"/>
        </w:rPr>
        <w:t>，</w:t>
      </w:r>
      <w:r>
        <w:rPr>
          <w:rFonts w:hint="eastAsia" w:hAnsi="宋体" w:cs="宋体"/>
          <w:bCs/>
          <w:color w:val="auto"/>
          <w:sz w:val="24"/>
          <w:highlight w:val="none"/>
        </w:rPr>
        <w:t>主要内</w:t>
      </w:r>
      <w:r>
        <w:rPr>
          <w:rFonts w:hint="eastAsia" w:hAnsi="宋体" w:cs="宋体" w:eastAsiaTheme="minorEastAsia"/>
          <w:bCs/>
          <w:color w:val="auto"/>
          <w:sz w:val="24"/>
          <w:lang w:eastAsia="zh-CN"/>
        </w:rPr>
        <w:t>容：结合桐庐</w:t>
      </w:r>
      <w:r>
        <w:rPr>
          <w:rFonts w:hint="eastAsia" w:hAnsi="宋体" w:cs="宋体" w:eastAsiaTheme="minorEastAsia"/>
          <w:bCs/>
          <w:color w:val="auto"/>
          <w:sz w:val="24"/>
          <w:lang w:val="en-US" w:eastAsia="zh-CN"/>
        </w:rPr>
        <w:t>南堡湿地公园现状，</w:t>
      </w:r>
      <w:r>
        <w:rPr>
          <w:rFonts w:hint="eastAsia" w:hAnsi="宋体" w:cs="宋体" w:eastAsiaTheme="minorEastAsia"/>
          <w:bCs/>
          <w:color w:val="auto"/>
          <w:sz w:val="24"/>
          <w:lang w:eastAsia="zh-CN"/>
        </w:rPr>
        <w:t>开展勘界立标工作，确保每个自然保护地的范围和界限准确落图，推动自然保护地规范化建设和管理</w:t>
      </w:r>
      <w:r>
        <w:rPr>
          <w:rFonts w:hint="eastAsia" w:hAnsi="宋体" w:cs="宋体" w:eastAsiaTheme="minorEastAsia"/>
          <w:bCs/>
          <w:color w:val="auto"/>
          <w:sz w:val="24"/>
          <w:lang w:val="en-US" w:eastAsia="zh-CN"/>
        </w:rPr>
        <w:t>，</w:t>
      </w:r>
      <w:r>
        <w:rPr>
          <w:rFonts w:hint="eastAsia" w:hAnsi="宋体" w:cs="宋体" w:eastAsiaTheme="minorEastAsia"/>
          <w:bCs/>
          <w:color w:val="auto"/>
          <w:sz w:val="24"/>
          <w:lang w:eastAsia="zh-CN"/>
        </w:rPr>
        <w:t>详见磋商文件。</w:t>
      </w:r>
    </w:p>
    <w:p w14:paraId="55E1A1C8">
      <w:pPr>
        <w:spacing w:line="360" w:lineRule="auto"/>
        <w:ind w:firstLine="482" w:firstLineChars="200"/>
        <w:rPr>
          <w:rFonts w:hint="default" w:asciiTheme="minorEastAsia" w:hAnsiTheme="minorEastAsia" w:eastAsiaTheme="minorEastAsia"/>
          <w:color w:val="auto"/>
          <w:sz w:val="24"/>
          <w:u w:val="single"/>
          <w:lang w:val="en-US" w:eastAsia="zh-CN"/>
        </w:rPr>
      </w:pPr>
      <w:r>
        <w:rPr>
          <w:rFonts w:hint="eastAsia" w:asciiTheme="minorEastAsia" w:hAnsiTheme="minorEastAsia" w:eastAsiaTheme="minorEastAsia"/>
          <w:b/>
          <w:color w:val="auto"/>
          <w:sz w:val="24"/>
        </w:rPr>
        <w:t>合同履行期限</w:t>
      </w:r>
      <w:r>
        <w:rPr>
          <w:rFonts w:hint="eastAsia" w:asciiTheme="minorEastAsia" w:hAnsiTheme="minorEastAsia" w:eastAsiaTheme="minorEastAsia"/>
          <w:color w:val="auto"/>
          <w:sz w:val="24"/>
        </w:rPr>
        <w:t>：</w:t>
      </w:r>
      <w:r>
        <w:rPr>
          <w:rFonts w:hint="eastAsia" w:ascii="宋体" w:hAnsi="宋体" w:eastAsia="宋体" w:cs="宋体"/>
          <w:bCs/>
          <w:color w:val="auto"/>
          <w:sz w:val="24"/>
          <w:lang w:eastAsia="zh-CN"/>
        </w:rPr>
        <w:t>在</w:t>
      </w:r>
      <w:r>
        <w:rPr>
          <w:rFonts w:hint="eastAsia" w:ascii="宋体" w:hAnsi="宋体" w:eastAsia="宋体" w:cs="宋体"/>
          <w:bCs/>
          <w:color w:val="auto"/>
          <w:sz w:val="24"/>
          <w:lang w:val="en-US" w:eastAsia="zh-CN"/>
        </w:rPr>
        <w:t>2025</w:t>
      </w:r>
      <w:r>
        <w:rPr>
          <w:rFonts w:hint="eastAsia" w:ascii="宋体" w:hAnsi="宋体" w:eastAsia="宋体" w:cs="宋体"/>
          <w:bCs/>
          <w:color w:val="auto"/>
          <w:sz w:val="24"/>
          <w:lang w:eastAsia="zh-CN"/>
        </w:rPr>
        <w:t>年</w:t>
      </w:r>
      <w:r>
        <w:rPr>
          <w:rFonts w:hint="eastAsia" w:ascii="宋体" w:hAnsi="宋体" w:eastAsia="宋体" w:cs="宋体"/>
          <w:bCs/>
          <w:color w:val="auto"/>
          <w:sz w:val="24"/>
          <w:u w:val="none"/>
          <w:lang w:val="en-US" w:eastAsia="zh-CN"/>
        </w:rPr>
        <w:t>9</w:t>
      </w:r>
      <w:r>
        <w:rPr>
          <w:rFonts w:hint="eastAsia" w:ascii="宋体" w:hAnsi="宋体" w:eastAsia="宋体" w:cs="宋体"/>
          <w:bCs/>
          <w:color w:val="auto"/>
          <w:sz w:val="24"/>
          <w:u w:val="none"/>
          <w:lang w:eastAsia="zh-CN"/>
        </w:rPr>
        <w:t>月</w:t>
      </w:r>
      <w:r>
        <w:rPr>
          <w:rFonts w:hint="eastAsia" w:ascii="宋体" w:hAnsi="宋体" w:eastAsia="宋体" w:cs="宋体"/>
          <w:bCs/>
          <w:color w:val="auto"/>
          <w:sz w:val="24"/>
          <w:u w:val="none"/>
          <w:lang w:val="en-US" w:eastAsia="zh-CN"/>
        </w:rPr>
        <w:t>30</w:t>
      </w:r>
      <w:r>
        <w:rPr>
          <w:rFonts w:hint="eastAsia" w:ascii="宋体" w:hAnsi="宋体" w:eastAsia="宋体" w:cs="宋体"/>
          <w:bCs/>
          <w:color w:val="auto"/>
          <w:sz w:val="24"/>
          <w:lang w:eastAsia="zh-CN"/>
        </w:rPr>
        <w:t>日之前</w:t>
      </w:r>
      <w:r>
        <w:rPr>
          <w:rFonts w:hint="eastAsia" w:ascii="宋体" w:hAnsi="宋体" w:eastAsia="宋体" w:cs="宋体"/>
          <w:bCs/>
          <w:color w:val="auto"/>
          <w:sz w:val="24"/>
          <w:lang w:val="en-US" w:eastAsia="zh-CN"/>
        </w:rPr>
        <w:t>完成项目工作并</w:t>
      </w:r>
      <w:r>
        <w:rPr>
          <w:rFonts w:hint="eastAsia" w:ascii="宋体" w:hAnsi="宋体" w:eastAsia="宋体" w:cs="宋体"/>
          <w:bCs/>
          <w:color w:val="auto"/>
          <w:sz w:val="24"/>
          <w:lang w:eastAsia="zh-CN"/>
        </w:rPr>
        <w:t>提交项目完整</w:t>
      </w:r>
      <w:r>
        <w:rPr>
          <w:rFonts w:hint="eastAsia" w:ascii="宋体" w:hAnsi="宋体" w:eastAsia="宋体" w:cs="宋体"/>
          <w:bCs/>
          <w:color w:val="auto"/>
          <w:sz w:val="24"/>
          <w:lang w:val="en-US" w:eastAsia="zh-CN"/>
        </w:rPr>
        <w:t>资料</w:t>
      </w:r>
      <w:r>
        <w:rPr>
          <w:rFonts w:hint="eastAsia" w:ascii="宋体" w:hAnsi="宋体" w:eastAsia="宋体" w:cs="宋体"/>
          <w:bCs/>
          <w:color w:val="auto"/>
          <w:sz w:val="24"/>
          <w:lang w:eastAsia="zh-CN"/>
        </w:rPr>
        <w:t>成果，</w:t>
      </w:r>
      <w:r>
        <w:rPr>
          <w:rFonts w:hint="eastAsia" w:ascii="宋体" w:hAnsi="宋体" w:eastAsia="宋体" w:cs="宋体"/>
          <w:bCs/>
          <w:color w:val="auto"/>
          <w:sz w:val="24"/>
          <w:lang w:val="en-US" w:eastAsia="zh-CN"/>
        </w:rPr>
        <w:t>可供委托方最终验收</w:t>
      </w:r>
      <w:r>
        <w:rPr>
          <w:rFonts w:hint="eastAsia" w:ascii="宋体" w:hAnsi="宋体" w:eastAsia="宋体" w:cs="宋体"/>
          <w:bCs/>
          <w:color w:val="auto"/>
          <w:sz w:val="24"/>
          <w:lang w:eastAsia="zh-CN"/>
        </w:rPr>
        <w:t>。</w:t>
      </w:r>
    </w:p>
    <w:p w14:paraId="7B6F78DA">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本项目接受联合体投标：</w:t>
      </w:r>
      <w:sdt>
        <w:sdtPr>
          <w:rPr>
            <w:rFonts w:hint="eastAsia" w:asciiTheme="minorEastAsia" w:hAnsiTheme="minorEastAsia" w:eastAsiaTheme="minorEastAsia"/>
            <w:b/>
            <w:color w:val="auto"/>
            <w:sz w:val="24"/>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MS Gothic" w:hAnsi="MS Gothic" w:eastAsia="MS Gothic"/>
              <w:b/>
              <w:color w:val="auto"/>
              <w:sz w:val="24"/>
            </w:rPr>
            <w:t>☐</w:t>
          </w:r>
        </w:sdtContent>
      </w:sdt>
      <w:r>
        <w:rPr>
          <w:rFonts w:hint="eastAsia" w:asciiTheme="minorEastAsia" w:hAnsiTheme="minorEastAsia" w:eastAsiaTheme="minorEastAsia"/>
          <w:b/>
          <w:color w:val="auto"/>
          <w:sz w:val="24"/>
        </w:rPr>
        <w:t>是，</w:t>
      </w:r>
      <w:sdt>
        <w:sdtPr>
          <w:rPr>
            <w:rFonts w:hint="eastAsia" w:asciiTheme="minorEastAsia" w:hAnsiTheme="minorEastAsia" w:eastAsiaTheme="minorEastAsia"/>
            <w:b/>
            <w:color w:val="auto"/>
            <w:sz w:val="24"/>
          </w:rPr>
          <w:id w:val="-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Wingdings" w:hAnsi="Wingdings" w:eastAsia="MS Mincho" w:cs="MS Mincho"/>
              <w:b/>
              <w:color w:val="auto"/>
              <w:kern w:val="2"/>
              <w:sz w:val="24"/>
              <w:szCs w:val="24"/>
              <w:lang w:val="en-US" w:eastAsia="zh-CN" w:bidi="ar-SA"/>
            </w:rPr>
            <w:t>þ</w:t>
          </w:r>
        </w:sdtContent>
      </w:sdt>
      <w:r>
        <w:rPr>
          <w:rFonts w:hint="eastAsia" w:asciiTheme="minorEastAsia" w:hAnsiTheme="minorEastAsia" w:eastAsiaTheme="minorEastAsia"/>
          <w:b/>
          <w:color w:val="auto"/>
          <w:sz w:val="24"/>
        </w:rPr>
        <w:t>否。</w:t>
      </w:r>
    </w:p>
    <w:p w14:paraId="07A7E371">
      <w:pPr>
        <w:spacing w:line="360" w:lineRule="auto"/>
        <w:ind w:firstLine="480" w:firstLineChars="200"/>
        <w:rPr>
          <w:rFonts w:cs="宋体" w:asciiTheme="minorEastAsia" w:hAnsiTheme="minorEastAsia" w:eastAsiaTheme="minorEastAsia"/>
          <w:color w:val="auto"/>
          <w:sz w:val="24"/>
        </w:rPr>
      </w:pPr>
      <w:bookmarkStart w:id="13" w:name="_Toc28359013"/>
      <w:bookmarkStart w:id="14" w:name="_Toc35393630"/>
      <w:bookmarkStart w:id="15" w:name="_Toc28359090"/>
      <w:bookmarkStart w:id="16" w:name="_Toc35393799"/>
      <w:r>
        <w:rPr>
          <w:rFonts w:hint="eastAsia" w:cs="宋体" w:asciiTheme="minorEastAsia" w:hAnsiTheme="minorEastAsia" w:eastAsiaTheme="minorEastAsia"/>
          <w:color w:val="auto"/>
          <w:sz w:val="24"/>
        </w:rPr>
        <w:t>二、申请人的资格要求：</w:t>
      </w:r>
      <w:bookmarkEnd w:id="13"/>
      <w:bookmarkEnd w:id="14"/>
      <w:bookmarkEnd w:id="15"/>
      <w:bookmarkEnd w:id="16"/>
    </w:p>
    <w:p w14:paraId="73EF4DA2">
      <w:pPr>
        <w:spacing w:line="360" w:lineRule="auto"/>
        <w:ind w:firstLine="480"/>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1AC493E">
      <w:pPr>
        <w:spacing w:line="360" w:lineRule="auto"/>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 xml:space="preserve">    </w:t>
      </w:r>
      <w:r>
        <w:rPr>
          <w:rFonts w:cs="宋体" w:asciiTheme="minorEastAsia" w:hAnsiTheme="minorEastAsia" w:eastAsiaTheme="minorEastAsia"/>
          <w:snapToGrid w:val="0"/>
          <w:color w:val="auto"/>
          <w:kern w:val="28"/>
          <w:sz w:val="24"/>
          <w:szCs w:val="20"/>
        </w:rPr>
        <w:t>2</w:t>
      </w:r>
      <w:r>
        <w:rPr>
          <w:rFonts w:hint="eastAsia" w:cs="宋体" w:asciiTheme="minorEastAsia" w:hAnsiTheme="minorEastAsia" w:eastAsiaTheme="minorEastAsia"/>
          <w:snapToGrid w:val="0"/>
          <w:color w:val="auto"/>
          <w:kern w:val="28"/>
          <w:sz w:val="24"/>
          <w:szCs w:val="20"/>
        </w:rPr>
        <w:t>.</w:t>
      </w:r>
      <w:r>
        <w:rPr>
          <w:rFonts w:hint="eastAsia" w:asciiTheme="minorEastAsia" w:hAnsiTheme="minorEastAsia" w:eastAsiaTheme="minorEastAsia"/>
          <w:color w:val="auto"/>
        </w:rPr>
        <w:t xml:space="preserve"> </w:t>
      </w:r>
      <w:r>
        <w:rPr>
          <w:rFonts w:hint="eastAsia" w:cs="宋体" w:asciiTheme="minorEastAsia" w:hAnsiTheme="minorEastAsia" w:eastAsiaTheme="minorEastAsia"/>
          <w:snapToGrid w:val="0"/>
          <w:color w:val="auto"/>
          <w:kern w:val="28"/>
          <w:sz w:val="24"/>
          <w:szCs w:val="20"/>
        </w:rPr>
        <w:t>以联合体形式响应的，提供联合协议(本项目不接受联合体响应或者供应商不以联合体形式响应的，则不需要提供) ；</w:t>
      </w:r>
    </w:p>
    <w:p w14:paraId="6EFACD13">
      <w:pPr>
        <w:spacing w:line="360" w:lineRule="auto"/>
        <w:ind w:firstLine="480" w:firstLineChars="200"/>
        <w:rPr>
          <w:rFonts w:cs="宋体" w:asciiTheme="minorEastAsia" w:hAnsiTheme="minorEastAsia" w:eastAsiaTheme="minorEastAsia"/>
          <w:snapToGrid w:val="0"/>
          <w:color w:val="auto"/>
          <w:kern w:val="28"/>
          <w:sz w:val="24"/>
          <w:szCs w:val="20"/>
        </w:rPr>
      </w:pPr>
      <w:r>
        <w:rPr>
          <w:rFonts w:cs="宋体" w:asciiTheme="minorEastAsia" w:hAnsiTheme="minorEastAsia" w:eastAsiaTheme="minorEastAsia"/>
          <w:snapToGrid w:val="0"/>
          <w:color w:val="auto"/>
          <w:kern w:val="28"/>
          <w:sz w:val="24"/>
          <w:szCs w:val="20"/>
        </w:rPr>
        <w:t>3</w:t>
      </w:r>
      <w:r>
        <w:rPr>
          <w:rFonts w:hint="eastAsia" w:cs="宋体" w:asciiTheme="minorEastAsia" w:hAnsiTheme="minorEastAsia" w:eastAsiaTheme="minorEastAsia"/>
          <w:snapToGrid w:val="0"/>
          <w:color w:val="auto"/>
          <w:kern w:val="28"/>
          <w:sz w:val="24"/>
          <w:szCs w:val="20"/>
        </w:rPr>
        <w:t>.落实政府采购政策需满足的资格要求：</w:t>
      </w:r>
    </w:p>
    <w:p w14:paraId="0C8F5908">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Mincho" w:cs="MS Mincho"/>
              <w:color w:val="auto"/>
              <w:kern w:val="0"/>
              <w:sz w:val="24"/>
              <w:szCs w:val="24"/>
              <w:lang w:val="en-US" w:eastAsia="zh-CN" w:bidi="ar-SA"/>
            </w:rPr>
            <w:t>☐</w:t>
          </w:r>
        </w:sdtContent>
      </w:sdt>
      <w:r>
        <w:rPr>
          <w:rFonts w:hint="eastAsia" w:cs="宋体" w:asciiTheme="minorEastAsia" w:hAnsiTheme="minorEastAsia" w:eastAsiaTheme="minorEastAsia"/>
          <w:color w:val="auto"/>
          <w:sz w:val="24"/>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cs="宋体" w:asciiTheme="minorEastAsia" w:hAnsiTheme="minorEastAsia" w:eastAsiaTheme="minorEastAsia"/>
          <w:color w:val="auto"/>
          <w:sz w:val="24"/>
        </w:rPr>
        <w:t>；</w:t>
      </w:r>
    </w:p>
    <w:p w14:paraId="7D521F41">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541559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专</w:t>
      </w:r>
      <w:r>
        <w:rPr>
          <w:rFonts w:hint="eastAsia" w:cs="宋体" w:asciiTheme="minorEastAsia" w:hAnsiTheme="minorEastAsia" w:eastAsiaTheme="minorEastAsia"/>
          <w:color w:val="auto"/>
          <w:sz w:val="24"/>
        </w:rPr>
        <w:t>门面向中小企业</w:t>
      </w:r>
    </w:p>
    <w:p w14:paraId="38308177">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40455586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sz w:val="24"/>
        </w:rPr>
        <w:t>服务全部由符合政策要求的中小企业承接，提供中小企业声明函；</w:t>
      </w:r>
    </w:p>
    <w:p w14:paraId="1A05C08D">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6243005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Mincho" w:cs="MS Mincho"/>
              <w:color w:val="auto"/>
              <w:kern w:val="0"/>
              <w:sz w:val="24"/>
              <w:szCs w:val="24"/>
              <w:lang w:val="en-US" w:eastAsia="zh-CN" w:bidi="ar-SA"/>
            </w:rPr>
            <w:t>þ</w:t>
          </w:r>
        </w:sdtContent>
      </w:sdt>
      <w:r>
        <w:rPr>
          <w:rFonts w:hint="eastAsia" w:cs="宋体" w:asciiTheme="minorEastAsia" w:hAnsiTheme="minorEastAsia" w:eastAsiaTheme="minorEastAsia"/>
          <w:color w:val="auto"/>
          <w:sz w:val="24"/>
        </w:rPr>
        <w:t>服务全部由符合政策要求的小微企业承接，提供中小企业声明函；</w:t>
      </w:r>
    </w:p>
    <w:p w14:paraId="5826DDD3">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99162931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rPr>
        <w:t>；</w:t>
      </w:r>
    </w:p>
    <w:p w14:paraId="74877377">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视同符合了资格条件，无需再向中小企业分包，无需提供分包意向协议</w:t>
      </w:r>
      <w:r>
        <w:rPr>
          <w:rFonts w:hint="eastAsia" w:cs="宋体" w:asciiTheme="minorEastAsia" w:hAnsiTheme="minorEastAsia" w:eastAsiaTheme="minorEastAsia"/>
          <w:color w:val="auto"/>
          <w:sz w:val="24"/>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76990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有特定资格要求：</w:t>
      </w:r>
      <w:r>
        <w:rPr>
          <w:rFonts w:hint="eastAsia" w:ascii="宋体" w:hAnsi="宋体" w:cs="宋体"/>
          <w:snapToGrid w:val="0"/>
          <w:kern w:val="28"/>
          <w:sz w:val="24"/>
          <w:szCs w:val="20"/>
          <w:u w:val="single"/>
          <w:lang w:val="en-US" w:eastAsia="zh-CN"/>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236997B6">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5</w:t>
      </w:r>
      <w:r>
        <w:rPr>
          <w:rFonts w:hint="eastAsia" w:cs="宋体" w:asciiTheme="minorEastAsia" w:hAnsiTheme="minorEastAsia" w:eastAsiaTheme="minorEastAsia"/>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A5E8CD7">
      <w:pPr>
        <w:spacing w:line="360" w:lineRule="auto"/>
        <w:ind w:firstLine="480" w:firstLineChars="200"/>
        <w:rPr>
          <w:rFonts w:cs="宋体" w:asciiTheme="minorEastAsia" w:hAnsiTheme="minorEastAsia" w:eastAsiaTheme="minorEastAsia"/>
          <w:color w:val="auto"/>
          <w:sz w:val="24"/>
        </w:rPr>
      </w:pPr>
      <w:bookmarkStart w:id="17" w:name="_Toc35393800"/>
      <w:bookmarkStart w:id="18" w:name="_Toc28359014"/>
      <w:bookmarkStart w:id="19" w:name="_Toc28359091"/>
      <w:bookmarkStart w:id="20" w:name="_Toc35393631"/>
      <w:r>
        <w:rPr>
          <w:rFonts w:hint="eastAsia" w:cs="宋体" w:asciiTheme="minorEastAsia" w:hAnsiTheme="minorEastAsia" w:eastAsiaTheme="minorEastAsia"/>
          <w:color w:val="auto"/>
          <w:sz w:val="24"/>
        </w:rPr>
        <w:t>三、获取（下载）采购文件</w:t>
      </w:r>
      <w:bookmarkEnd w:id="17"/>
      <w:bookmarkEnd w:id="18"/>
      <w:bookmarkEnd w:id="19"/>
      <w:bookmarkEnd w:id="20"/>
    </w:p>
    <w:p w14:paraId="5BD3D35C">
      <w:pPr>
        <w:spacing w:line="360" w:lineRule="auto"/>
        <w:ind w:firstLine="54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时间：</w:t>
      </w:r>
      <w:r>
        <w:rPr>
          <w:rFonts w:hint="eastAsia" w:asciiTheme="minorEastAsia" w:hAnsiTheme="minorEastAsia" w:eastAsiaTheme="minorEastAsia"/>
          <w:color w:val="auto"/>
          <w:sz w:val="27"/>
          <w:szCs w:val="27"/>
        </w:rPr>
        <w:t>/</w:t>
      </w:r>
      <w:r>
        <w:rPr>
          <w:rFonts w:hint="eastAsia" w:cs="宋体" w:asciiTheme="minorEastAsia" w:hAnsiTheme="minorEastAsia" w:eastAsiaTheme="minorEastAsia"/>
          <w:color w:val="auto"/>
          <w:sz w:val="24"/>
        </w:rPr>
        <w:t>至202</w:t>
      </w:r>
      <w:r>
        <w:rPr>
          <w:rFonts w:hint="eastAsia" w:cs="宋体" w:asciiTheme="minorEastAsia" w:hAnsiTheme="minorEastAsia" w:eastAsiaTheme="minorEastAsia"/>
          <w:color w:val="auto"/>
          <w:sz w:val="24"/>
          <w:lang w:val="en-US" w:eastAsia="zh-CN"/>
        </w:rPr>
        <w:t>5</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 xml:space="preserve">   </w:t>
      </w:r>
      <w:r>
        <w:rPr>
          <w:rFonts w:hint="eastAsia" w:cs="宋体" w:asciiTheme="minorEastAsia" w:hAnsiTheme="minorEastAsia" w:eastAsiaTheme="minorEastAsia"/>
          <w:color w:val="auto"/>
          <w:sz w:val="24"/>
        </w:rPr>
        <w:t>日，每天上午</w:t>
      </w:r>
      <w:r>
        <w:rPr>
          <w:rFonts w:hint="eastAsia" w:asciiTheme="minorEastAsia" w:hAnsiTheme="minorEastAsia" w:eastAsiaTheme="minorEastAsia"/>
          <w:color w:val="auto"/>
          <w:sz w:val="24"/>
        </w:rPr>
        <w:t>00:00至12:00 ，下午12:00至23:59</w:t>
      </w:r>
      <w:r>
        <w:rPr>
          <w:rFonts w:hint="eastAsia" w:cs="宋体" w:asciiTheme="minorEastAsia" w:hAnsiTheme="minorEastAsia" w:eastAsiaTheme="minorEastAsia"/>
          <w:color w:val="auto"/>
          <w:sz w:val="24"/>
        </w:rPr>
        <w:t>（北京时间</w:t>
      </w:r>
      <w:r>
        <w:rPr>
          <w:rFonts w:hint="eastAsia" w:asciiTheme="minorEastAsia" w:hAnsiTheme="minorEastAsia" w:eastAsiaTheme="minorEastAsia"/>
          <w:color w:val="auto"/>
          <w:sz w:val="24"/>
        </w:rPr>
        <w:t>，线上获取法定节假日均可，线下获取文件法定节假日除外</w:t>
      </w:r>
      <w:r>
        <w:rPr>
          <w:rFonts w:hint="eastAsia" w:cs="宋体" w:asciiTheme="minorEastAsia" w:hAnsiTheme="minorEastAsia" w:eastAsiaTheme="minorEastAsia"/>
          <w:color w:val="auto"/>
          <w:sz w:val="24"/>
        </w:rPr>
        <w:t>）；</w:t>
      </w:r>
    </w:p>
    <w:p w14:paraId="589DFED7">
      <w:pPr>
        <w:spacing w:line="360" w:lineRule="auto"/>
        <w:ind w:firstLine="54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b/>
          <w:color w:val="auto"/>
          <w:sz w:val="24"/>
        </w:rPr>
        <w:t>地点（网址）：</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sz w:val="24"/>
        </w:rPr>
        <w:t>https://www.zcygov.cn/</w:t>
      </w:r>
      <w:r>
        <w:rPr>
          <w:rStyle w:val="68"/>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color w:val="auto"/>
          <w:sz w:val="24"/>
        </w:rPr>
        <w:t>）</w:t>
      </w:r>
    </w:p>
    <w:p w14:paraId="4E1889A5">
      <w:pPr>
        <w:spacing w:line="360" w:lineRule="auto"/>
        <w:ind w:firstLine="540"/>
        <w:rPr>
          <w:rFonts w:cs="宋体" w:asciiTheme="minorEastAsia" w:hAnsiTheme="minorEastAsia" w:eastAsiaTheme="minorEastAsia"/>
          <w:color w:val="auto"/>
          <w:sz w:val="24"/>
          <w:u w:val="single"/>
        </w:rPr>
      </w:pPr>
      <w:r>
        <w:rPr>
          <w:rFonts w:hint="eastAsia" w:cs="宋体" w:asciiTheme="minorEastAsia" w:hAnsiTheme="minorEastAsia" w:eastAsiaTheme="minorEastAsia"/>
          <w:b/>
          <w:color w:val="auto"/>
          <w:sz w:val="24"/>
        </w:rPr>
        <w:t>方式：</w:t>
      </w:r>
      <w:r>
        <w:rPr>
          <w:rFonts w:hint="eastAsia" w:cs="宋体" w:asciiTheme="minorEastAsia" w:hAnsiTheme="minorEastAsia" w:eastAsiaTheme="minorEastAsia"/>
          <w:color w:val="auto"/>
          <w:sz w:val="24"/>
        </w:rPr>
        <w:t>供应商登录政采云平台https://www.zcygov.cn/在线申请获取采购文件（进入“项目采购”应用，在获取采购文件菜单中选择项目，申请获取采购文件）。</w:t>
      </w:r>
    </w:p>
    <w:p w14:paraId="06D9BE7C">
      <w:pPr>
        <w:spacing w:line="360" w:lineRule="auto"/>
        <w:ind w:firstLine="540"/>
        <w:rPr>
          <w:rFonts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4"/>
        </w:rPr>
        <w:t>售价：</w:t>
      </w:r>
      <w:r>
        <w:rPr>
          <w:rFonts w:hint="eastAsia" w:cs="仿宋_GB2312" w:asciiTheme="minorEastAsia" w:hAnsiTheme="minorEastAsia" w:eastAsiaTheme="minorEastAsia"/>
          <w:color w:val="auto"/>
          <w:sz w:val="24"/>
        </w:rPr>
        <w:t>免费。</w:t>
      </w:r>
    </w:p>
    <w:p w14:paraId="7A3FC5AF">
      <w:pPr>
        <w:pStyle w:val="4"/>
        <w:numPr>
          <w:ilvl w:val="0"/>
          <w:numId w:val="0"/>
        </w:numPr>
        <w:ind w:left="432" w:hanging="432"/>
        <w:rPr>
          <w:rFonts w:cs="宋体" w:asciiTheme="minorEastAsia" w:hAnsiTheme="minorEastAsia" w:eastAsiaTheme="minorEastAsia"/>
          <w:color w:val="auto"/>
          <w:sz w:val="24"/>
          <w:szCs w:val="24"/>
        </w:rPr>
      </w:pPr>
      <w:bookmarkStart w:id="21" w:name="_Toc28359092"/>
      <w:bookmarkStart w:id="22" w:name="_Toc35393801"/>
      <w:bookmarkStart w:id="23" w:name="_Toc35393632"/>
      <w:bookmarkStart w:id="24" w:name="_Toc28359015"/>
      <w:r>
        <w:rPr>
          <w:rFonts w:hint="eastAsia" w:cs="宋体" w:asciiTheme="minorEastAsia" w:hAnsiTheme="minorEastAsia" w:eastAsiaTheme="minorEastAsia"/>
          <w:color w:val="auto"/>
          <w:sz w:val="24"/>
          <w:szCs w:val="24"/>
        </w:rPr>
        <w:t>四、响应文件提交</w:t>
      </w:r>
      <w:bookmarkEnd w:id="21"/>
      <w:bookmarkEnd w:id="22"/>
      <w:bookmarkEnd w:id="23"/>
      <w:bookmarkEnd w:id="24"/>
      <w:r>
        <w:rPr>
          <w:rFonts w:hint="eastAsia" w:cs="宋体" w:asciiTheme="minorEastAsia" w:hAnsiTheme="minorEastAsia" w:eastAsiaTheme="minorEastAsia"/>
          <w:color w:val="auto"/>
          <w:sz w:val="24"/>
          <w:szCs w:val="24"/>
        </w:rPr>
        <w:t>（上传）</w:t>
      </w:r>
    </w:p>
    <w:p w14:paraId="757BDC28">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截止时间：</w:t>
      </w:r>
      <w:r>
        <w:rPr>
          <w:rFonts w:hint="eastAsia" w:asciiTheme="minorEastAsia" w:hAnsiTheme="minorEastAsia" w:eastAsiaTheme="minorEastAsia"/>
          <w:color w:val="auto"/>
          <w:sz w:val="24"/>
          <w:u w:val="single"/>
          <w:lang w:eastAsia="zh-CN"/>
        </w:rPr>
        <w:t>2025年7月29日</w:t>
      </w:r>
      <w:r>
        <w:rPr>
          <w:rFonts w:hint="eastAsia" w:asciiTheme="minorEastAsia" w:hAnsiTheme="minorEastAsia" w:eastAsiaTheme="minorEastAsia"/>
          <w:bCs/>
          <w:color w:val="auto"/>
          <w:sz w:val="24"/>
          <w:u w:val="single"/>
          <w:lang w:val="en-US" w:eastAsia="zh-CN"/>
        </w:rPr>
        <w:t>9</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15</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13E3DD6E">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kern w:val="2"/>
          <w:sz w:val="24"/>
          <w:szCs w:val="24"/>
        </w:rPr>
        <w:t>https://www.zcygov.cn/</w:t>
      </w:r>
      <w:r>
        <w:rPr>
          <w:rStyle w:val="68"/>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color w:val="auto"/>
          <w:sz w:val="24"/>
        </w:rPr>
        <w:t>）。</w:t>
      </w:r>
    </w:p>
    <w:p w14:paraId="02C705FC">
      <w:pPr>
        <w:pStyle w:val="4"/>
        <w:numPr>
          <w:ilvl w:val="0"/>
          <w:numId w:val="0"/>
        </w:numPr>
        <w:ind w:left="432" w:hanging="432"/>
        <w:rPr>
          <w:rFonts w:cs="宋体" w:asciiTheme="minorEastAsia" w:hAnsiTheme="minorEastAsia" w:eastAsiaTheme="minorEastAsia"/>
          <w:color w:val="auto"/>
          <w:sz w:val="24"/>
          <w:szCs w:val="24"/>
        </w:rPr>
      </w:pPr>
      <w:bookmarkStart w:id="25" w:name="_Toc35393633"/>
      <w:bookmarkStart w:id="26" w:name="_Toc35393802"/>
      <w:bookmarkStart w:id="27" w:name="_Toc28359093"/>
      <w:bookmarkStart w:id="28" w:name="_Toc28359016"/>
      <w:r>
        <w:rPr>
          <w:rFonts w:hint="eastAsia" w:cs="宋体" w:asciiTheme="minorEastAsia" w:hAnsiTheme="minorEastAsia" w:eastAsiaTheme="minorEastAsia"/>
          <w:color w:val="auto"/>
          <w:sz w:val="24"/>
          <w:szCs w:val="24"/>
        </w:rPr>
        <w:t>五、响应文件开启</w:t>
      </w:r>
      <w:bookmarkEnd w:id="25"/>
      <w:bookmarkEnd w:id="26"/>
      <w:bookmarkEnd w:id="27"/>
      <w:bookmarkEnd w:id="28"/>
      <w:bookmarkStart w:id="127" w:name="_GoBack"/>
      <w:bookmarkEnd w:id="127"/>
    </w:p>
    <w:p w14:paraId="5DDBEC06">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时间：</w:t>
      </w:r>
      <w:r>
        <w:rPr>
          <w:rFonts w:hint="eastAsia" w:asciiTheme="minorEastAsia" w:hAnsiTheme="minorEastAsia" w:eastAsiaTheme="minorEastAsia"/>
          <w:color w:val="auto"/>
          <w:sz w:val="24"/>
          <w:u w:val="single"/>
          <w:lang w:eastAsia="zh-CN"/>
        </w:rPr>
        <w:t>2025年7月29日</w:t>
      </w:r>
      <w:r>
        <w:rPr>
          <w:rFonts w:hint="eastAsia" w:asciiTheme="minorEastAsia" w:hAnsiTheme="minorEastAsia" w:eastAsiaTheme="minorEastAsia"/>
          <w:bCs/>
          <w:color w:val="auto"/>
          <w:sz w:val="24"/>
          <w:u w:val="single"/>
          <w:lang w:val="en-US" w:eastAsia="zh-CN"/>
        </w:rPr>
        <w:t>9</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15</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4EEE7944">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kern w:val="2"/>
          <w:sz w:val="24"/>
          <w:szCs w:val="24"/>
        </w:rPr>
        <w:t>https://www.zcygov.cn/</w:t>
      </w:r>
      <w:r>
        <w:rPr>
          <w:rStyle w:val="68"/>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color w:val="auto"/>
          <w:sz w:val="24"/>
        </w:rPr>
        <w:t>）。</w:t>
      </w:r>
    </w:p>
    <w:p w14:paraId="15B00E85">
      <w:pPr>
        <w:pStyle w:val="4"/>
        <w:numPr>
          <w:ilvl w:val="0"/>
          <w:numId w:val="0"/>
        </w:numPr>
        <w:ind w:left="432" w:hanging="432"/>
        <w:rPr>
          <w:rFonts w:cs="宋体" w:asciiTheme="minorEastAsia" w:hAnsiTheme="minorEastAsia" w:eastAsiaTheme="minorEastAsia"/>
          <w:color w:val="auto"/>
          <w:sz w:val="24"/>
          <w:szCs w:val="24"/>
        </w:rPr>
      </w:pPr>
      <w:bookmarkStart w:id="29" w:name="_Toc35393803"/>
      <w:bookmarkStart w:id="30" w:name="_Toc28359094"/>
      <w:bookmarkStart w:id="31" w:name="_Toc35393634"/>
      <w:bookmarkStart w:id="32" w:name="_Toc28359017"/>
      <w:r>
        <w:rPr>
          <w:rFonts w:hint="eastAsia" w:cs="宋体" w:asciiTheme="minorEastAsia" w:hAnsiTheme="minorEastAsia" w:eastAsiaTheme="minorEastAsia"/>
          <w:color w:val="auto"/>
          <w:sz w:val="24"/>
          <w:szCs w:val="24"/>
        </w:rPr>
        <w:t>六、公告期限</w:t>
      </w:r>
      <w:bookmarkEnd w:id="29"/>
      <w:bookmarkEnd w:id="30"/>
      <w:bookmarkEnd w:id="31"/>
      <w:bookmarkEnd w:id="32"/>
    </w:p>
    <w:p w14:paraId="5C1AC558">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自本公告发布之日起3个工作日。</w:t>
      </w:r>
    </w:p>
    <w:p w14:paraId="472D194B">
      <w:pPr>
        <w:pStyle w:val="4"/>
        <w:numPr>
          <w:ilvl w:val="0"/>
          <w:numId w:val="0"/>
        </w:numPr>
        <w:ind w:left="432" w:hanging="432"/>
        <w:rPr>
          <w:rFonts w:cs="宋体" w:asciiTheme="minorEastAsia" w:hAnsiTheme="minorEastAsia" w:eastAsiaTheme="minorEastAsia"/>
          <w:color w:val="auto"/>
          <w:sz w:val="24"/>
          <w:szCs w:val="24"/>
        </w:rPr>
      </w:pPr>
      <w:bookmarkStart w:id="33" w:name="_Toc35393635"/>
      <w:bookmarkStart w:id="34" w:name="_Toc35393804"/>
      <w:r>
        <w:rPr>
          <w:rFonts w:hint="eastAsia" w:cs="宋体" w:asciiTheme="minorEastAsia" w:hAnsiTheme="minorEastAsia" w:eastAsiaTheme="minorEastAsia"/>
          <w:color w:val="auto"/>
          <w:sz w:val="24"/>
          <w:szCs w:val="24"/>
        </w:rPr>
        <w:t>七、其他补充事宜</w:t>
      </w:r>
      <w:bookmarkEnd w:id="33"/>
      <w:bookmarkEnd w:id="34"/>
    </w:p>
    <w:p w14:paraId="0BE858F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ascii="宋体" w:hAnsi="宋体" w:cs="宋体"/>
          <w:color w:val="auto"/>
          <w:sz w:val="24"/>
        </w:rPr>
        <w:t>.</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rPr>
        <w:t>。</w:t>
      </w:r>
    </w:p>
    <w:p w14:paraId="68954852">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 xml:space="preserve"> 2.根据《浙江省财政厅关于进一步促进政府采购公平竞</w:t>
      </w:r>
      <w:r>
        <w:rPr>
          <w:rFonts w:hint="eastAsia" w:cs="宋体" w:asciiTheme="minorEastAsia" w:hAnsiTheme="minorEastAsia" w:eastAsiaTheme="minorEastAsia"/>
          <w:color w:val="auto"/>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0C0A0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C9B6AD">
      <w:pPr>
        <w:spacing w:line="360" w:lineRule="auto"/>
        <w:ind w:firstLine="482" w:firstLineChars="200"/>
        <w:rPr>
          <w:rFonts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4. 其他事项：（1）需要落实的政府采购政策：</w:t>
      </w:r>
      <w:r>
        <w:rPr>
          <w:rFonts w:hint="eastAsia" w:cs="宋体" w:asciiTheme="minorEastAsia" w:hAnsiTheme="minorEastAsia" w:eastAsiaTheme="minorEastAsia"/>
          <w:color w:val="auto"/>
          <w:kern w:val="0"/>
          <w:sz w:val="24"/>
        </w:rPr>
        <w:t>包括节约资源、保护环境、</w:t>
      </w:r>
      <w:r>
        <w:rPr>
          <w:rFonts w:hint="eastAsia" w:cs="宋体" w:asciiTheme="minorEastAsia" w:hAnsiTheme="minorEastAsia" w:eastAsiaTheme="minorEastAsia"/>
          <w:color w:val="auto"/>
          <w:sz w:val="24"/>
        </w:rPr>
        <w:t>支持创新、</w:t>
      </w:r>
      <w:r>
        <w:rPr>
          <w:rFonts w:hint="eastAsia" w:cs="宋体" w:asciiTheme="minorEastAsia" w:hAnsiTheme="minorEastAsia" w:eastAsiaTheme="minorEastAsia"/>
          <w:color w:val="auto"/>
          <w:kern w:val="0"/>
          <w:sz w:val="24"/>
        </w:rPr>
        <w:t>促进中小企业发展等，详见磋商文件第三部分。</w:t>
      </w:r>
      <w:r>
        <w:rPr>
          <w:rFonts w:hint="eastAsia" w:cs="宋体" w:asciiTheme="minorEastAsia" w:hAnsiTheme="minorEastAsia" w:eastAsiaTheme="minorEastAsia"/>
          <w:b/>
          <w:color w:val="auto"/>
          <w:kern w:val="0"/>
          <w:sz w:val="24"/>
          <w:szCs w:val="20"/>
        </w:rPr>
        <w:t>（2）</w:t>
      </w:r>
      <w:r>
        <w:rPr>
          <w:rFonts w:hint="eastAsia" w:cs="仿宋_GB2312" w:asciiTheme="minorEastAsia" w:hAnsiTheme="minorEastAsia" w:eastAsiaTheme="minorEastAsia"/>
          <w:b/>
          <w:color w:val="auto"/>
          <w:sz w:val="24"/>
        </w:rPr>
        <w:t>电子交易的说明: 1）电子交易：</w:t>
      </w:r>
      <w:r>
        <w:rPr>
          <w:rFonts w:hint="eastAsia" w:cs="仿宋_GB2312" w:asciiTheme="minorEastAsia" w:hAnsiTheme="minorEastAsia" w:eastAsiaTheme="minorEastAsia"/>
          <w:color w:val="auto"/>
          <w:sz w:val="24"/>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rPr>
        <w:t>2）响应准备：</w:t>
      </w:r>
      <w:r>
        <w:rPr>
          <w:rFonts w:hint="eastAsia" w:cs="仿宋_GB2312" w:asciiTheme="minorEastAsia" w:hAnsiTheme="minorEastAsia" w:eastAsiaTheme="minorEastAsia"/>
          <w:color w:val="auto"/>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rPr>
        <w:t>3）磋商文件的获取：</w:t>
      </w:r>
      <w:r>
        <w:rPr>
          <w:rFonts w:hint="eastAsia" w:cs="仿宋_GB2312" w:asciiTheme="minorEastAsia" w:hAnsiTheme="minorEastAsia" w:eastAsiaTheme="minorEastAsia"/>
          <w:color w:val="auto"/>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rPr>
        <w:t>4）响应文件的制作：</w:t>
      </w:r>
      <w:r>
        <w:rPr>
          <w:rFonts w:hint="eastAsia" w:cs="仿宋_GB2312" w:asciiTheme="minorEastAsia" w:hAnsiTheme="minorEastAsia" w:eastAsiaTheme="minorEastAsia"/>
          <w:color w:val="auto"/>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rPr>
        <w:t>5）</w:t>
      </w: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rPr>
        <w:t>6）</w:t>
      </w:r>
      <w:r>
        <w:rPr>
          <w:rFonts w:hint="eastAsia" w:cs="仿宋_GB2312" w:asciiTheme="minorEastAsia" w:hAnsiTheme="minorEastAsia" w:eastAsiaTheme="minorEastAsia"/>
          <w:color w:val="auto"/>
          <w:sz w:val="24"/>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rPr>
        <w:t>；</w:t>
      </w:r>
      <w:r>
        <w:rPr>
          <w:rFonts w:cs="仿宋_GB2312" w:asciiTheme="minorEastAsia" w:hAnsiTheme="minorEastAsia" w:eastAsiaTheme="minorEastAsia"/>
          <w:b/>
          <w:color w:val="auto"/>
          <w:sz w:val="24"/>
        </w:rPr>
        <w:t>7）</w:t>
      </w:r>
      <w:r>
        <w:rPr>
          <w:rFonts w:hint="eastAsia" w:cs="仿宋_GB2312" w:asciiTheme="minorEastAsia" w:hAnsiTheme="minorEastAsia" w:eastAsiaTheme="minorEastAsia"/>
          <w:color w:val="auto"/>
          <w:sz w:val="24"/>
        </w:rPr>
        <w:t>不提供磋商文件纸质版；</w:t>
      </w:r>
      <w:r>
        <w:rPr>
          <w:rFonts w:cs="仿宋_GB2312" w:asciiTheme="minorEastAsia" w:hAnsiTheme="minorEastAsia" w:eastAsiaTheme="minorEastAsia"/>
          <w:b/>
          <w:color w:val="auto"/>
          <w:sz w:val="24"/>
        </w:rPr>
        <w:t>8</w:t>
      </w:r>
      <w:r>
        <w:rPr>
          <w:rFonts w:hint="eastAsia" w:cs="仿宋_GB2312" w:asciiTheme="minorEastAsia" w:hAnsiTheme="minorEastAsia" w:eastAsiaTheme="minorEastAsia"/>
          <w:b/>
          <w:color w:val="auto"/>
          <w:sz w:val="24"/>
        </w:rPr>
        <w:t>）响应文件的传输提交：</w:t>
      </w:r>
      <w:r>
        <w:rPr>
          <w:rFonts w:hint="eastAsia" w:cs="仿宋_GB2312" w:asciiTheme="minorEastAsia" w:hAnsiTheme="minorEastAsia" w:eastAsiaTheme="minorEastAsia"/>
          <w:color w:val="auto"/>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rPr>
        <w:t>9）响应文件的解密：</w:t>
      </w:r>
      <w:r>
        <w:rPr>
          <w:rFonts w:hint="eastAsia" w:cs="仿宋_GB2312" w:asciiTheme="minorEastAsia" w:hAnsiTheme="minorEastAsia" w:eastAsiaTheme="minorEastAsia"/>
          <w:color w:val="auto"/>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rPr>
        <w:t>）具体操作指南</w:t>
      </w:r>
      <w:r>
        <w:rPr>
          <w:rFonts w:hint="eastAsia" w:cs="仿宋_GB2312" w:asciiTheme="minorEastAsia" w:hAnsiTheme="minorEastAsia" w:eastAsiaTheme="minorEastAsia"/>
          <w:color w:val="auto"/>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rPr>
        <w:t>（3磋商文件公告期限与磋商公告的公告期限一致。</w:t>
      </w:r>
    </w:p>
    <w:p w14:paraId="38C2F700">
      <w:pPr>
        <w:pStyle w:val="4"/>
        <w:numPr>
          <w:ilvl w:val="0"/>
          <w:numId w:val="0"/>
        </w:numPr>
        <w:ind w:left="432" w:hanging="432"/>
        <w:rPr>
          <w:rFonts w:cs="宋体" w:asciiTheme="minorEastAsia" w:hAnsiTheme="minorEastAsia" w:eastAsiaTheme="minorEastAsia"/>
          <w:color w:val="auto"/>
          <w:sz w:val="24"/>
          <w:szCs w:val="24"/>
        </w:rPr>
      </w:pPr>
      <w:bookmarkStart w:id="35" w:name="_Toc28359095"/>
      <w:bookmarkStart w:id="36" w:name="_Toc28359018"/>
      <w:bookmarkStart w:id="37" w:name="_Toc35393636"/>
      <w:bookmarkStart w:id="38" w:name="_Toc35393805"/>
      <w:r>
        <w:rPr>
          <w:rFonts w:hint="eastAsia" w:cs="宋体" w:asciiTheme="minorEastAsia" w:hAnsiTheme="minorEastAsia" w:eastAsiaTheme="minorEastAsia"/>
          <w:color w:val="auto"/>
          <w:sz w:val="24"/>
          <w:szCs w:val="24"/>
        </w:rPr>
        <w:t>八、凡对本次采购提出询问</w:t>
      </w:r>
      <w:r>
        <w:rPr>
          <w:rFonts w:hint="eastAsia" w:cs="宋体" w:asciiTheme="minorEastAsia" w:hAnsiTheme="minorEastAsia" w:eastAsiaTheme="minorEastAsia"/>
          <w:bCs w:val="0"/>
          <w:color w:val="auto"/>
          <w:sz w:val="24"/>
          <w:szCs w:val="24"/>
        </w:rPr>
        <w:t>、质疑、投诉</w:t>
      </w:r>
      <w:r>
        <w:rPr>
          <w:rFonts w:hint="eastAsia" w:cs="宋体" w:asciiTheme="minorEastAsia" w:hAnsiTheme="minorEastAsia" w:eastAsiaTheme="minorEastAsia"/>
          <w:color w:val="auto"/>
          <w:sz w:val="24"/>
          <w:szCs w:val="24"/>
        </w:rPr>
        <w:t>，请按以下方式联系</w:t>
      </w:r>
      <w:bookmarkEnd w:id="35"/>
      <w:bookmarkEnd w:id="36"/>
      <w:bookmarkEnd w:id="37"/>
      <w:bookmarkEnd w:id="38"/>
    </w:p>
    <w:p w14:paraId="3E768528">
      <w:pPr>
        <w:pStyle w:val="4"/>
        <w:numPr>
          <w:ilvl w:val="0"/>
          <w:numId w:val="0"/>
        </w:numPr>
        <w:ind w:left="432" w:hanging="432"/>
        <w:rPr>
          <w:rFonts w:cs="宋体" w:asciiTheme="minorEastAsia" w:hAnsiTheme="minorEastAsia" w:eastAsiaTheme="minorEastAsia"/>
          <w:color w:val="auto"/>
          <w:sz w:val="24"/>
          <w:szCs w:val="24"/>
        </w:rPr>
      </w:pPr>
      <w:bookmarkStart w:id="39" w:name="_Toc35393637"/>
      <w:bookmarkStart w:id="40" w:name="_Toc28359019"/>
      <w:bookmarkStart w:id="41" w:name="_Toc28359096"/>
      <w:bookmarkStart w:id="42" w:name="_Toc35393806"/>
      <w:r>
        <w:rPr>
          <w:rFonts w:hint="eastAsia" w:cs="宋体" w:asciiTheme="minorEastAsia" w:hAnsiTheme="minorEastAsia" w:eastAsiaTheme="minorEastAsia"/>
          <w:color w:val="auto"/>
          <w:sz w:val="24"/>
          <w:szCs w:val="24"/>
        </w:rPr>
        <w:t>1.采购人信息</w:t>
      </w:r>
      <w:bookmarkEnd w:id="39"/>
      <w:bookmarkEnd w:id="40"/>
      <w:bookmarkEnd w:id="41"/>
      <w:bookmarkEnd w:id="42"/>
      <w:r>
        <w:rPr>
          <w:rFonts w:hint="eastAsia" w:cs="宋体" w:asciiTheme="minorEastAsia" w:hAnsiTheme="minorEastAsia" w:eastAsiaTheme="minorEastAsia"/>
          <w:color w:val="auto"/>
          <w:sz w:val="24"/>
          <w:szCs w:val="24"/>
        </w:rPr>
        <w:t>：</w:t>
      </w:r>
    </w:p>
    <w:p w14:paraId="33EA3F3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名</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称：</w:t>
      </w:r>
      <w:r>
        <w:rPr>
          <w:rFonts w:hint="eastAsia" w:cs="Times New Roman" w:asciiTheme="minorEastAsia" w:hAnsiTheme="minorEastAsia" w:eastAsiaTheme="minorEastAsia"/>
          <w:color w:val="auto"/>
          <w:sz w:val="24"/>
          <w:lang w:eastAsia="zh-CN"/>
        </w:rPr>
        <w:t>桐庐县森林湿地和自然保护地管理总站</w:t>
      </w:r>
    </w:p>
    <w:p w14:paraId="2BA30613">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地    址：</w:t>
      </w:r>
      <w:r>
        <w:rPr>
          <w:rFonts w:hint="eastAsia" w:cs="Times New Roman" w:asciiTheme="minorEastAsia" w:hAnsiTheme="minorEastAsia" w:eastAsiaTheme="minorEastAsia"/>
          <w:color w:val="auto"/>
          <w:sz w:val="24"/>
          <w:lang w:eastAsia="zh-CN"/>
        </w:rPr>
        <w:t>桐庐县城南街道春江西路69号滨江大厦805室</w:t>
      </w:r>
    </w:p>
    <w:p w14:paraId="484C03B7">
      <w:pPr>
        <w:spacing w:line="360" w:lineRule="auto"/>
        <w:ind w:firstLine="480" w:firstLineChars="20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传    真：</w:t>
      </w:r>
      <w:r>
        <w:rPr>
          <w:rFonts w:hint="eastAsia" w:asciiTheme="minorEastAsia" w:hAnsiTheme="minorEastAsia" w:eastAsiaTheme="minorEastAsia"/>
          <w:color w:val="auto"/>
          <w:sz w:val="24"/>
          <w:lang w:val="en-US" w:eastAsia="zh-CN"/>
        </w:rPr>
        <w:t>/</w:t>
      </w:r>
    </w:p>
    <w:p w14:paraId="16921CF7">
      <w:pPr>
        <w:spacing w:line="360" w:lineRule="auto"/>
        <w:ind w:firstLine="480" w:firstLineChars="200"/>
        <w:rPr>
          <w:rFonts w:hint="default" w:cs="Times New Roman"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项目联系人</w:t>
      </w:r>
      <w:r>
        <w:rPr>
          <w:rFonts w:hint="eastAsia" w:cs="Times New Roman" w:asciiTheme="minorEastAsia" w:hAnsiTheme="minorEastAsia" w:eastAsiaTheme="minorEastAsia"/>
          <w:color w:val="auto"/>
          <w:sz w:val="24"/>
        </w:rPr>
        <w:t>（询问）：</w:t>
      </w:r>
      <w:r>
        <w:rPr>
          <w:rFonts w:hint="eastAsia" w:cs="Times New Roman" w:asciiTheme="minorEastAsia" w:hAnsiTheme="minorEastAsia" w:eastAsiaTheme="minorEastAsia"/>
          <w:color w:val="auto"/>
          <w:sz w:val="24"/>
          <w:lang w:val="en-US" w:eastAsia="zh-CN"/>
        </w:rPr>
        <w:t>李聪</w:t>
      </w:r>
    </w:p>
    <w:p w14:paraId="5982FFBE">
      <w:pPr>
        <w:spacing w:line="360" w:lineRule="auto"/>
        <w:rPr>
          <w:rFonts w:hint="default"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rPr>
        <w:t xml:space="preserve">    项目联系方式（询问）：</w:t>
      </w:r>
      <w:r>
        <w:rPr>
          <w:rFonts w:hint="eastAsia" w:cs="Times New Roman" w:asciiTheme="minorEastAsia" w:hAnsiTheme="minorEastAsia" w:eastAsiaTheme="minorEastAsia"/>
          <w:color w:val="auto"/>
          <w:sz w:val="24"/>
          <w:lang w:val="en-US" w:eastAsia="zh-CN"/>
        </w:rPr>
        <w:t>18158425993</w:t>
      </w:r>
    </w:p>
    <w:p w14:paraId="13BA899A">
      <w:pPr>
        <w:spacing w:line="360" w:lineRule="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质疑联系人：</w:t>
      </w:r>
      <w:r>
        <w:rPr>
          <w:rFonts w:hint="eastAsia" w:asciiTheme="minorEastAsia" w:hAnsiTheme="minorEastAsia" w:eastAsiaTheme="minorEastAsia"/>
          <w:color w:val="auto"/>
          <w:sz w:val="24"/>
          <w:highlight w:val="none"/>
          <w:lang w:eastAsia="zh-CN"/>
        </w:rPr>
        <w:t>徐健华</w:t>
      </w:r>
    </w:p>
    <w:p w14:paraId="30EC5555">
      <w:pPr>
        <w:spacing w:line="360" w:lineRule="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质疑联系方式：</w:t>
      </w:r>
      <w:r>
        <w:rPr>
          <w:rFonts w:hint="eastAsia" w:asciiTheme="minorEastAsia" w:hAnsiTheme="minorEastAsia" w:eastAsiaTheme="minorEastAsia"/>
          <w:color w:val="auto"/>
          <w:sz w:val="24"/>
          <w:highlight w:val="none"/>
          <w:lang w:eastAsia="zh-CN"/>
        </w:rPr>
        <w:t>13606600637</w:t>
      </w:r>
    </w:p>
    <w:p w14:paraId="653A869A">
      <w:pPr>
        <w:pStyle w:val="4"/>
        <w:numPr>
          <w:ilvl w:val="0"/>
          <w:numId w:val="0"/>
        </w:numPr>
        <w:ind w:left="432" w:hanging="432"/>
        <w:rPr>
          <w:rFonts w:cs="宋体" w:asciiTheme="minorEastAsia" w:hAnsiTheme="minorEastAsia" w:eastAsiaTheme="minorEastAsia"/>
          <w:color w:val="auto"/>
          <w:sz w:val="24"/>
        </w:rPr>
      </w:pPr>
      <w:bookmarkStart w:id="43" w:name="_Toc35393638"/>
      <w:bookmarkStart w:id="44" w:name="_Toc35393807"/>
      <w:bookmarkStart w:id="45" w:name="_Toc28359020"/>
      <w:bookmarkStart w:id="46" w:name="_Toc28359097"/>
      <w:r>
        <w:rPr>
          <w:rFonts w:hint="eastAsia" w:cs="宋体" w:asciiTheme="minorEastAsia" w:hAnsiTheme="minorEastAsia" w:eastAsiaTheme="minorEastAsia"/>
          <w:color w:val="auto"/>
          <w:sz w:val="24"/>
          <w:szCs w:val="24"/>
        </w:rPr>
        <w:t>2.采购代理机构信息</w:t>
      </w:r>
      <w:bookmarkEnd w:id="43"/>
      <w:bookmarkEnd w:id="44"/>
      <w:bookmarkEnd w:id="45"/>
      <w:bookmarkEnd w:id="46"/>
      <w:r>
        <w:rPr>
          <w:rFonts w:hint="eastAsia" w:cs="宋体" w:asciiTheme="minorEastAsia" w:hAnsiTheme="minorEastAsia" w:eastAsiaTheme="minorEastAsia"/>
          <w:color w:val="auto"/>
          <w:sz w:val="24"/>
          <w:szCs w:val="24"/>
        </w:rPr>
        <w:t>：</w:t>
      </w:r>
    </w:p>
    <w:p w14:paraId="60382607">
      <w:pPr>
        <w:spacing w:line="360" w:lineRule="auto"/>
        <w:ind w:firstLine="480"/>
        <w:rPr>
          <w:rFonts w:ascii="宋体" w:hAnsi="宋体" w:cs="宋体"/>
          <w:color w:val="auto"/>
          <w:sz w:val="24"/>
          <w:highlight w:val="none"/>
        </w:rPr>
      </w:pPr>
      <w:bookmarkStart w:id="47" w:name="_Toc35393808"/>
      <w:bookmarkStart w:id="48" w:name="_Toc28359098"/>
      <w:bookmarkStart w:id="49" w:name="_Toc35393639"/>
      <w:bookmarkStart w:id="50" w:name="_Toc28359021"/>
      <w:r>
        <w:rPr>
          <w:rFonts w:hint="eastAsia" w:ascii="宋体" w:hAnsi="宋体" w:cs="宋体"/>
          <w:color w:val="auto"/>
          <w:sz w:val="24"/>
          <w:highlight w:val="none"/>
        </w:rPr>
        <w:t>名    称：</w:t>
      </w:r>
      <w:r>
        <w:rPr>
          <w:rFonts w:hint="eastAsia" w:asciiTheme="minorEastAsia" w:hAnsiTheme="minorEastAsia" w:eastAsiaTheme="minorEastAsia"/>
          <w:sz w:val="24"/>
        </w:rPr>
        <w:t>海标工程管理有限公司</w:t>
      </w:r>
    </w:p>
    <w:p w14:paraId="16C39B4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sz w:val="24"/>
          <w:lang w:eastAsia="zh-CN"/>
        </w:rPr>
        <w:t>浙江省杭州市临平区星桥街道原展街59号302室</w:t>
      </w:r>
    </w:p>
    <w:p w14:paraId="6F3AEB19">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14:paraId="100F335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Theme="minorEastAsia" w:hAnsiTheme="minorEastAsia" w:eastAsiaTheme="minorEastAsia"/>
          <w:sz w:val="24"/>
        </w:rPr>
        <w:t>樊袁烽</w:t>
      </w:r>
      <w:r>
        <w:rPr>
          <w:rFonts w:hint="eastAsia" w:ascii="宋体" w:hAnsi="宋体" w:cs="宋体"/>
          <w:color w:val="auto"/>
          <w:sz w:val="24"/>
          <w:highlight w:val="none"/>
        </w:rPr>
        <w:t xml:space="preserve"> </w:t>
      </w:r>
    </w:p>
    <w:p w14:paraId="5C2D72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Theme="minorEastAsia" w:hAnsiTheme="minorEastAsia" w:eastAsiaTheme="minorEastAsia"/>
          <w:sz w:val="24"/>
        </w:rPr>
        <w:t>13588383174</w:t>
      </w:r>
    </w:p>
    <w:p w14:paraId="44BADC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Theme="minorEastAsia" w:hAnsiTheme="minorEastAsia" w:eastAsiaTheme="minorEastAsia"/>
          <w:sz w:val="24"/>
        </w:rPr>
        <w:t>袁彬</w:t>
      </w:r>
      <w:r>
        <w:rPr>
          <w:rFonts w:hint="eastAsia" w:ascii="宋体" w:hAnsi="宋体" w:cs="宋体"/>
          <w:color w:val="auto"/>
          <w:sz w:val="24"/>
          <w:highlight w:val="none"/>
        </w:rPr>
        <w:t xml:space="preserve"> </w:t>
      </w:r>
    </w:p>
    <w:p w14:paraId="23E21F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Theme="minorEastAsia" w:hAnsiTheme="minorEastAsia" w:eastAsiaTheme="minorEastAsia"/>
          <w:sz w:val="24"/>
        </w:rPr>
        <w:t>15005715200</w:t>
      </w:r>
    </w:p>
    <w:p w14:paraId="5D934F31">
      <w:pPr>
        <w:spacing w:line="360" w:lineRule="auto"/>
        <w:rPr>
          <w:rFonts w:asciiTheme="minorEastAsia" w:hAnsiTheme="minorEastAsia" w:eastAsiaTheme="minorEastAsia"/>
          <w:b/>
          <w:color w:val="auto"/>
          <w:sz w:val="24"/>
        </w:rPr>
      </w:pPr>
      <w:r>
        <w:rPr>
          <w:rFonts w:hint="eastAsia" w:cs="宋体" w:asciiTheme="minorEastAsia" w:hAnsiTheme="minorEastAsia" w:eastAsiaTheme="minorEastAsia"/>
          <w:b/>
          <w:bCs/>
          <w:color w:val="auto"/>
          <w:sz w:val="24"/>
        </w:rPr>
        <w:t>3.</w:t>
      </w:r>
      <w:r>
        <w:rPr>
          <w:rFonts w:hint="eastAsia" w:asciiTheme="minorEastAsia" w:hAnsiTheme="minorEastAsia" w:eastAsiaTheme="minorEastAsia"/>
          <w:b/>
          <w:color w:val="auto"/>
          <w:sz w:val="24"/>
        </w:rPr>
        <w:t xml:space="preserve"> 同级政府采购监督管理部门：            </w:t>
      </w:r>
    </w:p>
    <w:p w14:paraId="0ADAB64B">
      <w:pPr>
        <w:spacing w:line="360" w:lineRule="auto"/>
        <w:rPr>
          <w:rFonts w:ascii="宋体" w:hAnsi="宋体" w:cs="宋体"/>
          <w:color w:val="auto"/>
          <w:sz w:val="24"/>
        </w:rPr>
      </w:pPr>
      <w:r>
        <w:rPr>
          <w:rFonts w:hint="eastAsia" w:asciiTheme="minorEastAsia" w:hAnsiTheme="minorEastAsia" w:eastAsiaTheme="minorEastAsia"/>
          <w:color w:val="auto"/>
          <w:sz w:val="24"/>
        </w:rPr>
        <w:t xml:space="preserve">    </w:t>
      </w:r>
      <w:bookmarkEnd w:id="47"/>
      <w:bookmarkEnd w:id="48"/>
      <w:bookmarkEnd w:id="49"/>
      <w:bookmarkEnd w:id="50"/>
      <w:r>
        <w:rPr>
          <w:rFonts w:hint="eastAsia" w:ascii="宋体" w:hAnsi="宋体" w:cs="宋体"/>
          <w:color w:val="auto"/>
          <w:sz w:val="24"/>
        </w:rPr>
        <w:t>名    称：杭州市财政局政府采购监管处 /浙江省政府采购行政裁决服务中心（杭州）</w:t>
      </w:r>
    </w:p>
    <w:p w14:paraId="7D16F02E">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rPr>
        <w:t xml:space="preserve"> </w:t>
      </w:r>
    </w:p>
    <w:p w14:paraId="545A5D0F">
      <w:pPr>
        <w:spacing w:line="360" w:lineRule="auto"/>
        <w:rPr>
          <w:rFonts w:ascii="宋体" w:hAnsi="宋体" w:cs="宋体"/>
          <w:color w:val="auto"/>
          <w:sz w:val="24"/>
        </w:rPr>
      </w:pPr>
      <w:r>
        <w:rPr>
          <w:rFonts w:hint="eastAsia" w:ascii="宋体" w:hAnsi="宋体" w:cs="宋体"/>
          <w:color w:val="auto"/>
          <w:sz w:val="24"/>
        </w:rPr>
        <w:t xml:space="preserve">    传    真： /</w:t>
      </w:r>
    </w:p>
    <w:p w14:paraId="23886256">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14:paraId="3834E605">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659FE672">
      <w:pPr>
        <w:spacing w:line="360" w:lineRule="auto"/>
        <w:ind w:firstLine="480"/>
        <w:rPr>
          <w:rFonts w:ascii="宋体" w:hAnsi="宋体" w:cs="宋体"/>
          <w:color w:val="auto"/>
          <w:sz w:val="24"/>
        </w:rPr>
      </w:pPr>
      <w:r>
        <w:rPr>
          <w:rFonts w:hint="eastAsia" w:ascii="宋体" w:hAnsi="宋体" w:cs="宋体"/>
          <w:color w:val="auto"/>
          <w:sz w:val="24"/>
          <w:lang w:val="en-US" w:eastAsia="zh-CN"/>
        </w:rPr>
        <w:t>政策咨询电话：张先生，15868863413 政府采购监管部门工作人员</w:t>
      </w:r>
      <w:r>
        <w:rPr>
          <w:rFonts w:hint="eastAsia" w:ascii="宋体" w:hAnsi="宋体" w:cs="宋体"/>
          <w:color w:val="auto"/>
          <w:sz w:val="24"/>
        </w:rPr>
        <w:t xml:space="preserve">    </w:t>
      </w:r>
    </w:p>
    <w:p w14:paraId="3B74220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若对项目采购电子交易系统操作有疑问，可登录政采云（</w:t>
      </w:r>
      <w:r>
        <w:rPr>
          <w:rFonts w:asciiTheme="minorEastAsia" w:hAnsiTheme="minorEastAsia" w:eastAsiaTheme="minorEastAsia"/>
          <w:color w:val="auto"/>
          <w:sz w:val="24"/>
        </w:rPr>
        <w:t>https://www.zcygov.cn/），点击右侧咨询小采，获取采小蜜智能服务管家帮助，或拨打政</w:t>
      </w:r>
      <w:r>
        <w:rPr>
          <w:rFonts w:hint="eastAsia" w:asciiTheme="minorEastAsia" w:hAnsiTheme="minorEastAsia" w:eastAsiaTheme="minorEastAsia"/>
          <w:color w:val="auto"/>
          <w:sz w:val="24"/>
        </w:rPr>
        <w:t>采云服务热线95763</w:t>
      </w:r>
      <w:r>
        <w:rPr>
          <w:rFonts w:asciiTheme="minorEastAsia" w:hAnsiTheme="minorEastAsia" w:eastAsiaTheme="minorEastAsia"/>
          <w:color w:val="auto"/>
          <w:sz w:val="24"/>
        </w:rPr>
        <w:t>获取热线服务帮助。</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p>
    <w:p w14:paraId="34514EFA">
      <w:pPr>
        <w:spacing w:line="360" w:lineRule="auto"/>
        <w:ind w:firstLine="480" w:firstLineChars="200"/>
        <w:rPr>
          <w:rFonts w:asciiTheme="minorEastAsia" w:hAnsiTheme="minorEastAsia" w:eastAsiaTheme="minorEastAsia"/>
          <w:color w:val="auto"/>
          <w:sz w:val="24"/>
        </w:rPr>
      </w:pPr>
    </w:p>
    <w:p w14:paraId="52C6960D">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CA问题联系电话（人工）：</w:t>
      </w:r>
      <w:r>
        <w:rPr>
          <w:rFonts w:hint="eastAsia" w:asciiTheme="minorEastAsia" w:hAnsiTheme="minorEastAsia" w:eastAsiaTheme="minorEastAsia"/>
          <w:color w:val="auto"/>
          <w:sz w:val="24"/>
        </w:rPr>
        <w:t>汇信</w:t>
      </w:r>
      <w:r>
        <w:rPr>
          <w:rFonts w:asciiTheme="minorEastAsia" w:hAnsiTheme="minorEastAsia" w:eastAsiaTheme="minorEastAsia"/>
          <w:color w:val="auto"/>
          <w:sz w:val="24"/>
        </w:rPr>
        <w:t>CA 400-888-4636；天谷CA 400-087-8198。</w:t>
      </w:r>
    </w:p>
    <w:p w14:paraId="5D377149">
      <w:pPr>
        <w:pStyle w:val="33"/>
        <w:spacing w:line="360" w:lineRule="auto"/>
        <w:ind w:firstLine="480" w:firstLineChars="200"/>
        <w:jc w:val="right"/>
        <w:rPr>
          <w:rFonts w:cs="仿宋_GB2312" w:asciiTheme="minorEastAsia" w:hAnsiTheme="minorEastAsia" w:eastAsiaTheme="minorEastAsia"/>
          <w:color w:val="auto"/>
          <w:sz w:val="24"/>
          <w:szCs w:val="24"/>
        </w:rPr>
      </w:pPr>
    </w:p>
    <w:p w14:paraId="0F9706F3">
      <w:pPr>
        <w:pStyle w:val="33"/>
        <w:spacing w:line="360" w:lineRule="auto"/>
        <w:ind w:firstLine="480" w:firstLineChars="200"/>
        <w:rPr>
          <w:rFonts w:cs="仿宋_GB2312" w:asciiTheme="minorEastAsia" w:hAnsiTheme="minorEastAsia" w:eastAsiaTheme="minorEastAsia"/>
          <w:color w:val="auto"/>
          <w:sz w:val="24"/>
          <w:szCs w:val="24"/>
        </w:rPr>
      </w:pPr>
    </w:p>
    <w:p w14:paraId="56176808">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67FD90F8">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6"/>
          <w:szCs w:val="20"/>
        </w:rPr>
        <w:t>第二部分 竞争性磋商流程</w:t>
      </w:r>
    </w:p>
    <w:p w14:paraId="5872895C">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14:paraId="7E2880B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14:paraId="1FAE82AF">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在省级以上人民政府财政部门指定的政府采购信息发布媒体上发布磋商公告，邀请符合相应资格条件的供应商参与竞争性磋商采购活动。</w:t>
      </w:r>
    </w:p>
    <w:p w14:paraId="56AAC821">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采用随机抽取方式邀请供应商的，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从省级以上财政部门建立的供应商库中随机抽取不少于3家符合相应资格条件的供应商参与竞争性磋商采购活动。</w:t>
      </w:r>
    </w:p>
    <w:p w14:paraId="03D0F8A3">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采用书面推荐方式邀请供应商的，</w:t>
      </w:r>
      <w:r>
        <w:rPr>
          <w:rFonts w:hint="eastAsia" w:asciiTheme="minorEastAsia" w:hAnsiTheme="minorEastAsia" w:eastAsiaTheme="minorEastAsia"/>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3BA376B">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14:paraId="4311273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14:paraId="0165539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14:paraId="7A47AB2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14:paraId="126C27FA">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14:paraId="1102DA18">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2.1供应商依据“提交响应文件的截止时间与地点”通过政采云平台在线提交响应文件。供应商在提交响应文件的截止时间前，可以补充、修改或撤回响应文件。</w:t>
      </w:r>
    </w:p>
    <w:p w14:paraId="5DD196D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2.2</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14:paraId="070E5AD5">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14:paraId="1D92365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14:paraId="631FF8E6">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宣布有关纪律以及磋商、评审工作程序。</w:t>
      </w:r>
    </w:p>
    <w:p w14:paraId="105CC86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说明情况。</w:t>
      </w:r>
    </w:p>
    <w:p w14:paraId="011F25A4">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3.4磋商小组对供应商的资格进行审查。</w:t>
      </w:r>
    </w:p>
    <w:p w14:paraId="727DF99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14:paraId="2C980BFB">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14:paraId="184A6B0E">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6A26133">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利用政采云平台发起磋商邀请，供应商通过政采云“在线评审室”进行远程视频磋商。供应商使用CA数字证书</w:t>
      </w:r>
      <w:r>
        <w:rPr>
          <w:rFonts w:hint="eastAsia" w:asciiTheme="minorEastAsia" w:hAnsiTheme="minorEastAsia" w:eastAsiaTheme="minorEastAsia"/>
          <w:color w:val="auto"/>
          <w:szCs w:val="24"/>
          <w:lang w:eastAsia="zh-CN"/>
        </w:rPr>
        <w:t>登录</w:t>
      </w:r>
      <w:r>
        <w:rPr>
          <w:rFonts w:hint="eastAsia" w:asciiTheme="minorEastAsia" w:hAnsiTheme="minorEastAsia" w:eastAsiaTheme="minorEastAsia"/>
          <w:color w:val="auto"/>
          <w:szCs w:val="24"/>
        </w:rPr>
        <w:t>政采云平台——收到视频评审邀请——点击“视频评审”进入“视频评审系统”——开始远程磋商活动;对于要求到</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现场进行磋商的供应商，可在</w:t>
      </w:r>
      <w:r>
        <w:rPr>
          <w:rFonts w:hint="eastAsia" w:asciiTheme="minorEastAsia" w:hAnsiTheme="minorEastAsia" w:eastAsiaTheme="minorEastAsia"/>
          <w:color w:val="auto"/>
          <w:szCs w:val="24"/>
          <w:lang w:eastAsia="zh-CN"/>
        </w:rPr>
        <w:t>采购代理机构</w:t>
      </w:r>
      <w:r>
        <w:rPr>
          <w:rFonts w:asciiTheme="minorEastAsia" w:hAnsiTheme="minorEastAsia" w:eastAsiaTheme="minorEastAsia"/>
          <w:color w:val="auto"/>
          <w:szCs w:val="24"/>
        </w:rPr>
        <w:t>4</w:t>
      </w:r>
      <w:r>
        <w:rPr>
          <w:rFonts w:hint="eastAsia" w:asciiTheme="minorEastAsia" w:hAnsiTheme="minorEastAsia" w:eastAsiaTheme="minorEastAsia"/>
          <w:color w:val="auto"/>
          <w:szCs w:val="24"/>
        </w:rPr>
        <w:t>楼讲标室通过视频会议系统或自备CA数字证书、笔记本电脑等开展磋商活动。</w:t>
      </w:r>
    </w:p>
    <w:p w14:paraId="12B50E92">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14:paraId="4F1DFD23">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43C568E">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14:paraId="7B436229">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15B0F66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6C7EB3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14:paraId="22F46CFB">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唱价。</w:t>
      </w:r>
    </w:p>
    <w:p w14:paraId="7A5CD81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421428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3.15磋商小组应当根据综合评分情况，按照评审得分由高到低顺序推荐3名以上成交候选供应商，并编写评审报告。</w:t>
      </w:r>
    </w:p>
    <w:p w14:paraId="714ADA15">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 成交</w:t>
      </w:r>
    </w:p>
    <w:p w14:paraId="68D250A9">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Theme="minorEastAsia" w:hAnsiTheme="minorEastAsia" w:eastAsiaTheme="minorEastAsia"/>
          <w:color w:val="auto"/>
          <w:szCs w:val="24"/>
        </w:rPr>
        <w:t>。</w:t>
      </w:r>
    </w:p>
    <w:p w14:paraId="6FBB3E04">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5E5EE342">
      <w:pPr>
        <w:pStyle w:val="393"/>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14:paraId="6505A765">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5.1采购人与成交供应商应当在成交通知书发出之日起10个工作日内签订政府采购合同。</w:t>
      </w:r>
    </w:p>
    <w:p w14:paraId="0CCC1C30">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w:t>
      </w:r>
    </w:p>
    <w:p w14:paraId="338247CF">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14:paraId="2743151C">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5.4采购人组织验收。</w:t>
      </w:r>
    </w:p>
    <w:p w14:paraId="2560165D">
      <w:pPr>
        <w:widowControl/>
        <w:adjustRightInd/>
        <w:jc w:val="left"/>
        <w:rPr>
          <w:rFonts w:asciiTheme="minorEastAsia" w:hAnsiTheme="minorEastAsia" w:eastAsiaTheme="minorEastAsia"/>
          <w:b/>
          <w:color w:val="auto"/>
          <w:sz w:val="24"/>
          <w:szCs w:val="20"/>
        </w:rPr>
      </w:pPr>
      <w:r>
        <w:rPr>
          <w:rFonts w:hint="eastAsia" w:asciiTheme="minorEastAsia" w:hAnsiTheme="minorEastAsia" w:eastAsiaTheme="minorEastAsia"/>
          <w:b/>
          <w:color w:val="auto"/>
        </w:rPr>
        <w:br w:type="page"/>
      </w:r>
    </w:p>
    <w:p w14:paraId="3456981D">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6.竞争性磋商流程图</w:t>
      </w:r>
    </w:p>
    <w:p w14:paraId="3A766C97">
      <w:pPr>
        <w:pStyle w:val="393"/>
        <w:spacing w:before="0"/>
        <w:ind w:firstLine="0" w:firstLineChars="0"/>
        <w:jc w:val="center"/>
        <w:rPr>
          <w:rFonts w:asciiTheme="minorEastAsia" w:hAnsiTheme="minorEastAsia" w:eastAsiaTheme="minorEastAsia"/>
          <w:b/>
          <w:color w:val="auto"/>
        </w:rPr>
      </w:pPr>
    </w:p>
    <w:p w14:paraId="2B585812">
      <w:pPr>
        <w:widowControl/>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14:paraId="7E31A50A">
      <w:pPr>
        <w:widowControl/>
        <w:adjustRightInd/>
        <w:jc w:val="left"/>
        <w:rPr>
          <w:rFonts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v:textbox>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14:paraId="1A90C3E2">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第三部分</w:t>
      </w:r>
      <w:bookmarkEnd w:id="6"/>
      <w:r>
        <w:rPr>
          <w:rFonts w:hint="eastAsia" w:cs="仿宋_GB2312" w:asciiTheme="minorEastAsia" w:hAnsiTheme="minorEastAsia" w:eastAsiaTheme="minorEastAsia"/>
          <w:b/>
          <w:color w:val="auto"/>
          <w:sz w:val="36"/>
          <w:szCs w:val="20"/>
        </w:rPr>
        <w:t xml:space="preserve">  供应商须知</w:t>
      </w:r>
      <w:bookmarkEnd w:id="7"/>
    </w:p>
    <w:p w14:paraId="4A4CBC8A">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92A0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CB0C5D">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B5FA1E6">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C7201A9">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14:paraId="61D98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B098B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FA9A49E">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B175D7D">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服务类。</w:t>
            </w:r>
          </w:p>
        </w:tc>
      </w:tr>
      <w:tr w14:paraId="40DA4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17BA6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1A3CF9D">
            <w:pPr>
              <w:snapToGrid w:val="0"/>
              <w:spacing w:line="360" w:lineRule="auto"/>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330CDE5">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lang w:val="en-US" w:eastAsia="zh-CN"/>
              </w:rPr>
              <w:t>浙江桐庐南堡省级湿地公园勘界立标项目（第二次）</w:t>
            </w:r>
            <w:r>
              <w:rPr>
                <w:rFonts w:hint="eastAsia" w:ascii="宋体" w:hAnsi="宋体" w:cs="宋体"/>
                <w:color w:val="auto"/>
                <w:kern w:val="0"/>
                <w:sz w:val="24"/>
              </w:rPr>
              <w:t>，</w:t>
            </w:r>
            <w:r>
              <w:rPr>
                <w:rFonts w:hint="eastAsia" w:ascii="宋体" w:hAnsi="宋体" w:eastAsia="宋体" w:cs="宋体"/>
                <w:color w:val="auto"/>
                <w:kern w:val="0"/>
                <w:sz w:val="24"/>
              </w:rPr>
              <w:t>属于</w:t>
            </w:r>
            <w:r>
              <w:rPr>
                <w:rFonts w:hint="eastAsia" w:ascii="宋体" w:hAnsi="宋体" w:eastAsia="宋体" w:cs="宋体"/>
                <w:color w:val="auto"/>
                <w:kern w:val="0"/>
                <w:sz w:val="24"/>
                <w:u w:val="single"/>
              </w:rPr>
              <w:t>其他未列明行业</w:t>
            </w:r>
            <w:r>
              <w:rPr>
                <w:rFonts w:hint="eastAsia" w:ascii="宋体" w:hAnsi="宋体" w:eastAsia="宋体" w:cs="宋体"/>
                <w:color w:val="auto"/>
                <w:kern w:val="0"/>
                <w:sz w:val="24"/>
              </w:rPr>
              <w:t>；</w:t>
            </w:r>
          </w:p>
          <w:p w14:paraId="5D21FD8F">
            <w:pPr>
              <w:pStyle w:val="4"/>
              <w:numPr>
                <w:ilvl w:val="0"/>
                <w:numId w:val="0"/>
              </w:numPr>
              <w:jc w:val="both"/>
              <w:rPr>
                <w:rFonts w:cs="宋体" w:asciiTheme="minorEastAsia" w:hAnsiTheme="minorEastAsia" w:eastAsiaTheme="minorEastAsia"/>
                <w:b w:val="0"/>
                <w:bCs w:val="0"/>
                <w:color w:val="auto"/>
                <w:kern w:val="0"/>
                <w:sz w:val="24"/>
                <w:szCs w:val="24"/>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根据《关于印发中小企业划型标准规定的通知》（工信部联企业〔2011〕300号）第四条规定：其他未列明行业。从业人员</w:t>
            </w:r>
            <w:r>
              <w:rPr>
                <w:rFonts w:hint="eastAsia" w:ascii="宋体" w:hAnsi="宋体" w:cs="宋体"/>
                <w:b w:val="0"/>
                <w:bCs w:val="0"/>
                <w:color w:val="auto"/>
                <w:kern w:val="0"/>
                <w:sz w:val="24"/>
                <w:szCs w:val="24"/>
                <w:highlight w:val="none"/>
                <w:lang w:val="en-US" w:eastAsia="zh-CN" w:bidi="ar-SA"/>
              </w:rPr>
              <w:t>300</w:t>
            </w:r>
            <w:r>
              <w:rPr>
                <w:rFonts w:hint="eastAsia" w:ascii="宋体" w:hAnsi="宋体" w:eastAsia="宋体" w:cs="宋体"/>
                <w:b w:val="0"/>
                <w:bCs w:val="0"/>
                <w:color w:val="auto"/>
                <w:kern w:val="0"/>
                <w:sz w:val="24"/>
                <w:szCs w:val="24"/>
                <w:highlight w:val="none"/>
                <w:lang w:val="en-US" w:eastAsia="zh-CN" w:bidi="ar-SA"/>
              </w:rPr>
              <w:t>人以下的为中小微型企业。其中，从业人员</w:t>
            </w:r>
            <w:r>
              <w:rPr>
                <w:rFonts w:hint="eastAsia" w:ascii="宋体" w:hAnsi="宋体" w:cs="宋体"/>
                <w:b w:val="0"/>
                <w:bCs w:val="0"/>
                <w:color w:val="auto"/>
                <w:kern w:val="0"/>
                <w:sz w:val="24"/>
                <w:szCs w:val="24"/>
                <w:highlight w:val="none"/>
                <w:lang w:val="en-US" w:eastAsia="zh-CN" w:bidi="ar-SA"/>
              </w:rPr>
              <w:t>100</w:t>
            </w:r>
            <w:r>
              <w:rPr>
                <w:rFonts w:hint="eastAsia" w:ascii="宋体" w:hAnsi="宋体" w:eastAsia="宋体" w:cs="宋体"/>
                <w:b w:val="0"/>
                <w:bCs w:val="0"/>
                <w:color w:val="auto"/>
                <w:kern w:val="0"/>
                <w:sz w:val="24"/>
                <w:szCs w:val="24"/>
                <w:highlight w:val="none"/>
                <w:lang w:val="en-US" w:eastAsia="zh-CN" w:bidi="ar-SA"/>
              </w:rPr>
              <w:t>人及以上为中型企业；从业人员</w:t>
            </w:r>
            <w:r>
              <w:rPr>
                <w:rFonts w:hint="eastAsia" w:ascii="宋体" w:hAnsi="宋体" w:cs="宋体"/>
                <w:b w:val="0"/>
                <w:bCs w:val="0"/>
                <w:color w:val="auto"/>
                <w:kern w:val="0"/>
                <w:sz w:val="24"/>
                <w:szCs w:val="24"/>
                <w:highlight w:val="none"/>
                <w:lang w:val="en-US" w:eastAsia="zh-CN" w:bidi="ar-SA"/>
              </w:rPr>
              <w:t>10</w:t>
            </w:r>
            <w:r>
              <w:rPr>
                <w:rFonts w:hint="eastAsia" w:ascii="宋体" w:hAnsi="宋体" w:eastAsia="宋体" w:cs="宋体"/>
                <w:b w:val="0"/>
                <w:bCs w:val="0"/>
                <w:color w:val="auto"/>
                <w:kern w:val="0"/>
                <w:sz w:val="24"/>
                <w:szCs w:val="24"/>
                <w:highlight w:val="none"/>
                <w:lang w:val="en-US" w:eastAsia="zh-CN" w:bidi="ar-SA"/>
              </w:rPr>
              <w:t>人及以上的为小型企业；从业人员</w:t>
            </w:r>
            <w:r>
              <w:rPr>
                <w:rFonts w:hint="eastAsia" w:ascii="宋体" w:hAnsi="宋体" w:cs="宋体"/>
                <w:b w:val="0"/>
                <w:bCs w:val="0"/>
                <w:color w:val="auto"/>
                <w:kern w:val="0"/>
                <w:sz w:val="24"/>
                <w:szCs w:val="24"/>
                <w:highlight w:val="none"/>
                <w:lang w:val="en-US" w:eastAsia="zh-CN" w:bidi="ar-SA"/>
              </w:rPr>
              <w:t>10</w:t>
            </w:r>
            <w:r>
              <w:rPr>
                <w:rFonts w:hint="eastAsia" w:ascii="宋体" w:hAnsi="宋体" w:eastAsia="宋体" w:cs="宋体"/>
                <w:b w:val="0"/>
                <w:bCs w:val="0"/>
                <w:color w:val="auto"/>
                <w:kern w:val="0"/>
                <w:sz w:val="24"/>
                <w:szCs w:val="24"/>
                <w:highlight w:val="none"/>
                <w:lang w:val="en-US" w:eastAsia="zh-CN" w:bidi="ar-SA"/>
              </w:rPr>
              <w:t>人以下为微型企业。</w:t>
            </w:r>
          </w:p>
        </w:tc>
      </w:tr>
      <w:tr w14:paraId="251B3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4144D9">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BB1FBF3">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F6CAA19">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75586297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本项目不允许采购进口产品。</w:t>
            </w:r>
          </w:p>
          <w:p w14:paraId="29577A63">
            <w:pPr>
              <w:spacing w:line="360" w:lineRule="auto"/>
              <w:rPr>
                <w:rFonts w:cs="宋体" w:asciiTheme="minorEastAsia" w:hAnsiTheme="minorEastAsia" w:eastAsiaTheme="minorEastAsia"/>
                <w:color w:val="auto"/>
              </w:rPr>
            </w:pPr>
            <w:sdt>
              <w:sdtPr>
                <w:rPr>
                  <w:rFonts w:hint="eastAsia" w:cs="宋体" w:asciiTheme="minorEastAsia" w:hAnsiTheme="minorEastAsia" w:eastAsiaTheme="minorEastAsia"/>
                  <w:color w:val="auto"/>
                  <w:kern w:val="0"/>
                  <w:sz w:val="24"/>
                </w:rPr>
                <w:id w:val="20486353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可以就</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采购进口产品。</w:t>
            </w:r>
          </w:p>
        </w:tc>
      </w:tr>
      <w:tr w14:paraId="7F97F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B8CDCB">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CDC275A">
            <w:pPr>
              <w:snapToGrid w:val="0"/>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5FD1660">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5954915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 xml:space="preserve"> A</w:t>
            </w:r>
            <w:r>
              <w:rPr>
                <w:rFonts w:hint="eastAsia" w:cs="宋体" w:asciiTheme="minorEastAsia" w:hAnsiTheme="minorEastAsia" w:eastAsiaTheme="minorEastAsia"/>
                <w:color w:val="auto"/>
                <w:sz w:val="24"/>
              </w:rPr>
              <w:t>同意将非主体、非关键性的</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工作分包。</w:t>
            </w:r>
            <w:sdt>
              <w:sdtPr>
                <w:rPr>
                  <w:rFonts w:hint="eastAsia" w:cs="宋体" w:asciiTheme="minorEastAsia" w:hAnsiTheme="minorEastAsia" w:eastAsiaTheme="minorEastAsia"/>
                  <w:color w:val="auto"/>
                  <w:kern w:val="0"/>
                  <w:sz w:val="24"/>
                </w:rPr>
                <w:id w:val="54376897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 xml:space="preserve"> B</w:t>
            </w:r>
            <w:r>
              <w:rPr>
                <w:rFonts w:hint="eastAsia" w:cs="宋体" w:asciiTheme="minorEastAsia" w:hAnsiTheme="minorEastAsia" w:eastAsiaTheme="minorEastAsia"/>
                <w:color w:val="auto"/>
                <w:sz w:val="24"/>
              </w:rPr>
              <w:t>不同意分包。</w:t>
            </w:r>
          </w:p>
          <w:p w14:paraId="64F8A0AF">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注：不得限制大中型企业向小微企业合理分包。</w:t>
            </w:r>
          </w:p>
        </w:tc>
      </w:tr>
      <w:tr w14:paraId="6353A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31B54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CE7B9C0">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17534FD">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7485922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7F977B07">
            <w:pPr>
              <w:spacing w:line="360" w:lineRule="auto"/>
              <w:rPr>
                <w:rFonts w:hint="eastAsia" w:cs="宋体" w:asciiTheme="minorEastAsia" w:hAnsiTheme="minorEastAsia" w:eastAsiaTheme="minorEastAsia"/>
                <w:color w:val="auto"/>
                <w:sz w:val="24"/>
                <w:szCs w:val="20"/>
              </w:rPr>
            </w:pPr>
            <w:sdt>
              <w:sdtPr>
                <w:rPr>
                  <w:rFonts w:hint="eastAsia" w:cs="宋体" w:asciiTheme="minorEastAsia" w:hAnsiTheme="minorEastAsia" w:eastAsiaTheme="minorEastAsia"/>
                  <w:color w:val="auto"/>
                  <w:kern w:val="0"/>
                  <w:sz w:val="24"/>
                </w:rPr>
                <w:id w:val="2897869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r>
              <w:rPr>
                <w:rFonts w:hint="eastAsia" w:cs="宋体" w:asciiTheme="minorEastAsia" w:hAnsiTheme="minorEastAsia" w:eastAsiaTheme="minorEastAsia"/>
                <w:color w:val="auto"/>
                <w:sz w:val="24"/>
              </w:rPr>
              <w:t>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，联系方式：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0"/>
              </w:rPr>
              <w:t>。</w:t>
            </w:r>
          </w:p>
          <w:p w14:paraId="478D25F3">
            <w:pPr>
              <w:pStyle w:val="71"/>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olor w:val="auto"/>
              </w:rPr>
              <w:t>☐</w:t>
            </w:r>
            <w:r>
              <w:rPr>
                <w:rFonts w:hint="eastAsia" w:cs="宋体" w:asciiTheme="minorEastAsia" w:hAnsiTheme="minorEastAsia" w:eastAsiaTheme="minorEastAsia"/>
                <w:color w:val="auto"/>
                <w:kern w:val="2"/>
                <w:sz w:val="24"/>
                <w:szCs w:val="24"/>
                <w:lang w:val="en-US" w:eastAsia="zh-CN" w:bidi="ar-SA"/>
              </w:rPr>
              <w:t>C不统一组织，供应商在获取采购文件后，自行至项目现场考察。地点： ，联系人： ，联系方式： 。</w:t>
            </w:r>
          </w:p>
          <w:p w14:paraId="2BC810D1">
            <w:pPr>
              <w:pStyle w:val="71"/>
              <w:rPr>
                <w:color w:val="auto"/>
              </w:rPr>
            </w:pPr>
          </w:p>
        </w:tc>
      </w:tr>
      <w:tr w14:paraId="6978A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340DF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6B00C92">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826B759">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2281052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p w14:paraId="0CF6E485">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B要求提供，</w:t>
            </w:r>
          </w:p>
          <w:p w14:paraId="187014B3">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w:t>
            </w:r>
            <w:r>
              <w:rPr>
                <w:rFonts w:hint="eastAsia" w:cs="宋体" w:asciiTheme="minorEastAsia" w:hAnsiTheme="minorEastAsia" w:eastAsiaTheme="minorEastAsia"/>
                <w:snapToGrid w:val="0"/>
                <w:color w:val="auto"/>
                <w:kern w:val="28"/>
                <w:sz w:val="24"/>
              </w:rPr>
              <w:t>样品：</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4E9BFB3B">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w:t>
            </w:r>
            <w:r>
              <w:rPr>
                <w:rFonts w:hint="eastAsia" w:cs="宋体" w:asciiTheme="minorEastAsia" w:hAnsiTheme="minorEastAsia" w:eastAsiaTheme="minorEastAsia"/>
                <w:snapToGrid w:val="0"/>
                <w:color w:val="auto"/>
                <w:kern w:val="28"/>
                <w:sz w:val="24"/>
              </w:rPr>
              <w:t>样品制作的标准和要求：</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1A575BAB">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（3）样品的评审方法以及评审标准</w:t>
            </w:r>
            <w:r>
              <w:rPr>
                <w:rFonts w:hint="eastAsia" w:cs="宋体" w:asciiTheme="minorEastAsia" w:hAnsiTheme="minorEastAsia" w:eastAsiaTheme="minorEastAsia"/>
                <w:snapToGrid w:val="0"/>
                <w:color w:val="auto"/>
                <w:kern w:val="28"/>
                <w:sz w:val="24"/>
              </w:rPr>
              <w:t>：详见</w:t>
            </w:r>
            <w:r>
              <w:rPr>
                <w:rFonts w:hint="eastAsia" w:cs="宋体" w:asciiTheme="minorEastAsia" w:hAnsiTheme="minorEastAsia" w:eastAsiaTheme="minorEastAsia"/>
                <w:color w:val="auto"/>
                <w:sz w:val="24"/>
                <w:u w:val="single"/>
              </w:rPr>
              <w:t>评审标准</w:t>
            </w:r>
            <w:r>
              <w:rPr>
                <w:rFonts w:hint="eastAsia" w:cs="宋体" w:asciiTheme="minorEastAsia" w:hAnsiTheme="minorEastAsia" w:eastAsiaTheme="minorEastAsia"/>
                <w:color w:val="auto"/>
                <w:kern w:val="0"/>
                <w:sz w:val="24"/>
              </w:rPr>
              <w:t>；</w:t>
            </w:r>
          </w:p>
          <w:p w14:paraId="1CC5C151">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（4）是否需要随样品提交检测报告：</w:t>
            </w:r>
            <w:sdt>
              <w:sdtPr>
                <w:rPr>
                  <w:rFonts w:hint="eastAsia" w:cs="宋体" w:asciiTheme="minorEastAsia" w:hAnsiTheme="minorEastAsia" w:eastAsiaTheme="minorEastAsia"/>
                  <w:color w:val="auto"/>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否；</w:t>
            </w:r>
            <w:sdt>
              <w:sdtPr>
                <w:rPr>
                  <w:rFonts w:hint="eastAsia" w:cs="宋体" w:asciiTheme="minorEastAsia" w:hAnsiTheme="minorEastAsia" w:eastAsiaTheme="minorEastAsia"/>
                  <w:color w:val="auto"/>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是，检测机构的要求</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；检测内容</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2218CF0A">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（5）提供样品的时间：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；联系人</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28"/>
                <w:sz w:val="24"/>
              </w:rPr>
              <w:t>联系电话：</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。请供应商在上述时间内提供样品并按规定位置安装完毕。超过截止时间的，采购人或采购代理机构将不予接收，并将清场并封闭样品现场。</w:t>
            </w:r>
          </w:p>
          <w:p w14:paraId="06B57E16">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(6)采购活动结束后，对于未成交人提供的样品，采购人、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将通知未成交人在规定的时间内取回，逾期未取回的，采购人、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不负保管义务；对于成交人提供的样品，采购人将进行保管、封存，并作为履约验收的参考。</w:t>
            </w:r>
          </w:p>
          <w:p w14:paraId="527AA733">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（7）制作、运输、安装和保管样品所发生的一切费用由供应商自理。</w:t>
            </w:r>
          </w:p>
        </w:tc>
      </w:tr>
      <w:tr w14:paraId="0E859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A022C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A8E48FC">
            <w:pPr>
              <w:snapToGrid w:val="0"/>
              <w:spacing w:line="360" w:lineRule="auto"/>
              <w:jc w:val="center"/>
              <w:rPr>
                <w:rFonts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71E24AF">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23477992"/>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35E9162D">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p>
          <w:p w14:paraId="37594F87">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（1）在评审时安排每个供应商进行方案讲解演示。每个供应商时间不超过</w:t>
            </w:r>
            <w:r>
              <w:rPr>
                <w:rFonts w:hint="eastAsia" w:cs="宋体" w:asciiTheme="minorEastAsia" w:hAnsiTheme="minorEastAsia" w:eastAsiaTheme="minorEastAsia"/>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分钟，讲解次序以响应文件解密时间先后次序为准，讲解演示人员不超过</w:t>
            </w:r>
            <w:r>
              <w:rPr>
                <w:rFonts w:hint="eastAsia" w:cs="宋体" w:asciiTheme="minorEastAsia" w:hAnsiTheme="minorEastAsia" w:eastAsiaTheme="minorEastAsia"/>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人。讲解演示结束后按要求解答评标委员会提问。</w:t>
            </w:r>
          </w:p>
          <w:p w14:paraId="08FF105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（2）方案讲解演示可选择以下其中一种方式：</w:t>
            </w:r>
          </w:p>
          <w:p w14:paraId="3EDC4F5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方式一：政采云平台在线讲解演示。政采云平台在线讲解需供应商根据政采云平台操作要求做好准备工作，提前完善软硬件配置环境。</w:t>
            </w:r>
          </w:p>
          <w:p w14:paraId="7B06B3DC">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方式二：交易中心现场讲解演示。现场讲解地点为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，讲解演示所用电脑等设备由供应商自备。现场讲解演示人员进场时提供讲解人员名单（加盖公章或授权代表签名）及身份证明，否则不得讲解演示。</w:t>
            </w:r>
          </w:p>
          <w:p w14:paraId="554712FA">
            <w:pPr>
              <w:snapToGrid w:val="0"/>
              <w:spacing w:line="360" w:lineRule="auto"/>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36C65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1EDE5B1">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0C98EDB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06AB277">
            <w:pPr>
              <w:spacing w:line="360" w:lineRule="auto"/>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sz w:val="24"/>
              </w:rPr>
              <w:t>（1）资格证明文件：</w:t>
            </w: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14:paraId="232BA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585C088">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0C9A1EA5">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4F8FEEA">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（2）资信证明文件：根据磋商文件第五部分评审标准提供。</w:t>
            </w:r>
          </w:p>
        </w:tc>
      </w:tr>
      <w:tr w14:paraId="7D35E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C41F0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53EC9AD">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1"/>
              <w:snapToGrid w:val="0"/>
              <w:spacing w:line="360" w:lineRule="auto"/>
              <w:ind w:left="0" w:leftChars="0" w:firstLine="0" w:firstLineChars="0"/>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1"/>
              <w:ind w:firstLine="0" w:firstLineChars="0"/>
              <w:rPr>
                <w:rFonts w:hint="eastAsia" w:cs="宋体" w:asciiTheme="minorEastAsia" w:hAnsiTheme="minorEastAsia" w:eastAsiaTheme="minorEastAsia"/>
                <w:color w:val="auto"/>
                <w:kern w:val="2"/>
                <w:sz w:val="24"/>
                <w:szCs w:val="24"/>
                <w:lang w:val="en-US" w:eastAsia="zh-CN" w:bidi="ar-SA"/>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2"/>
                  <w:sz w:val="24"/>
                  <w:szCs w:val="24"/>
                  <w:lang w:val="en-US" w:eastAsia="zh-CN" w:bidi="ar-SA"/>
                </w:rPr>
              </w:sdtEndPr>
              <w:sdtContent>
                <w:r>
                  <w:rPr>
                    <w:rFonts w:hint="eastAsia" w:cs="宋体" w:asciiTheme="minorEastAsia" w:hAnsiTheme="minorEastAsia" w:eastAsiaTheme="minorEastAsia"/>
                    <w:color w:val="auto"/>
                    <w:kern w:val="2"/>
                    <w:sz w:val="24"/>
                    <w:szCs w:val="24"/>
                    <w:lang w:val="en-US" w:eastAsia="zh-CN" w:bidi="ar-SA"/>
                  </w:rPr>
                  <w:t>☐</w:t>
                </w:r>
              </w:sdtContent>
            </w:sdt>
            <w:r>
              <w:rPr>
                <w:rFonts w:hint="eastAsia" w:cs="宋体" w:asciiTheme="minorEastAsia" w:hAnsiTheme="minorEastAsia" w:eastAsiaTheme="minorEastAsia"/>
                <w:color w:val="auto"/>
                <w:kern w:val="2"/>
                <w:sz w:val="24"/>
                <w:szCs w:val="24"/>
                <w:lang w:val="en-US" w:eastAsia="zh-CN" w:bidi="ar-SA"/>
              </w:rPr>
              <w:t xml:space="preserve">强制采购节能产品。产品：    </w:t>
            </w:r>
          </w:p>
          <w:p w14:paraId="3002CF9E">
            <w:pPr>
              <w:pStyle w:val="71"/>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□优先采购节能产品。产品：   </w:t>
            </w:r>
          </w:p>
          <w:p w14:paraId="76782679">
            <w:pPr>
              <w:pStyle w:val="71"/>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□优先采购环保产品。产品：    </w:t>
            </w:r>
          </w:p>
          <w:p w14:paraId="17EF66C8">
            <w:pPr>
              <w:pStyle w:val="71"/>
              <w:ind w:firstLine="0" w:firstLineChars="0"/>
              <w:rPr>
                <w:color w:val="auto"/>
              </w:rPr>
            </w:pPr>
            <w:r>
              <w:rPr>
                <w:rFonts w:hint="eastAsia" w:cs="宋体" w:asciiTheme="minorEastAsia" w:hAnsiTheme="minorEastAsia" w:eastAsiaTheme="minorEastAsia"/>
                <w:color w:val="auto"/>
                <w:kern w:val="2"/>
                <w:sz w:val="24"/>
                <w:szCs w:val="24"/>
                <w:lang w:val="en-US" w:eastAsia="zh-CN" w:bidi="ar-SA"/>
              </w:rPr>
              <w:t>☑无</w:t>
            </w:r>
          </w:p>
        </w:tc>
      </w:tr>
      <w:tr w14:paraId="674E9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8329EB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A7924EB">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46CEF02">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有关本项目实施所需的所有费用（含税费）均计入最后报价。《最后报价</w:t>
            </w:r>
            <w:r>
              <w:rPr>
                <w:rFonts w:hint="eastAsia" w:cs="宋体" w:asciiTheme="minorEastAsia" w:hAnsiTheme="minorEastAsia" w:eastAsiaTheme="minorEastAsia"/>
                <w:color w:val="auto"/>
                <w:sz w:val="24"/>
              </w:rPr>
              <w:t>一览表（报价表）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是最后报价的唯一载体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lang w:val="zh-CN"/>
              </w:rPr>
              <w:t>提醒：验收时检测费用由采购人承担，不包含在最后报价中。</w:t>
            </w:r>
          </w:p>
          <w:p w14:paraId="26F42083">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最后报价出现下列情形的，响应无效：</w:t>
            </w:r>
          </w:p>
          <w:p w14:paraId="6A2E1B08">
            <w:pPr>
              <w:snapToGrid w:val="0"/>
              <w:spacing w:line="360" w:lineRule="auto"/>
              <w:ind w:firstLine="241" w:firstLineChars="100"/>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响应文件出现不是唯一的、有选择性的最后报价的；</w:t>
            </w:r>
          </w:p>
          <w:p w14:paraId="03E4BA8F">
            <w:pPr>
              <w:snapToGrid w:val="0"/>
              <w:spacing w:line="360" w:lineRule="auto"/>
              <w:ind w:firstLine="241" w:firstLineChars="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最后报价超过磋商文件中规定的预算金额或者最高限价的;</w:t>
            </w:r>
          </w:p>
          <w:p w14:paraId="290BBEBD">
            <w:pPr>
              <w:spacing w:line="360" w:lineRule="auto"/>
              <w:ind w:firstLine="241" w:firstLineChars="1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rPr>
              <w:t>;</w:t>
            </w:r>
          </w:p>
          <w:p w14:paraId="455405EB">
            <w:pPr>
              <w:spacing w:line="360" w:lineRule="auto"/>
              <w:ind w:firstLine="241" w:firstLineChars="100"/>
              <w:rPr>
                <w:rFonts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14:paraId="05F08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4FD0C987">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w:t>
            </w:r>
          </w:p>
        </w:tc>
        <w:tc>
          <w:tcPr>
            <w:tcW w:w="1843" w:type="dxa"/>
            <w:tcBorders>
              <w:top w:val="single" w:color="000000" w:sz="8" w:space="0"/>
              <w:left w:val="single" w:color="000000" w:sz="2" w:space="0"/>
              <w:right w:val="single" w:color="000000" w:sz="8" w:space="0"/>
            </w:tcBorders>
            <w:vAlign w:val="center"/>
          </w:tcPr>
          <w:p w14:paraId="08A396C8">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1625E96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9C0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100B8D7">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A60090C">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14D7C18">
            <w:pPr>
              <w:pStyle w:val="33"/>
              <w:spacing w:line="360" w:lineRule="auto"/>
              <w:rPr>
                <w:rFonts w:cs="宋体" w:asciiTheme="minorEastAsia" w:hAnsiTheme="minorEastAsia" w:eastAsiaTheme="minorEastAsia"/>
                <w:color w:val="auto"/>
                <w:kern w:val="28"/>
                <w:sz w:val="24"/>
              </w:rPr>
            </w:pPr>
            <w:r>
              <w:rPr>
                <w:rFonts w:hint="eastAsia" w:cs="宋体" w:asciiTheme="minorEastAsia" w:hAnsiTheme="minorEastAsia" w:eastAsiaTheme="minorEastAsia"/>
                <w:color w:val="auto"/>
                <w:kern w:val="28"/>
                <w:sz w:val="24"/>
                <w:szCs w:val="24"/>
              </w:rPr>
              <w:t>备份响应文件送达地点：</w:t>
            </w:r>
            <w:r>
              <w:rPr>
                <w:rFonts w:hint="eastAsia" w:hAnsi="宋体" w:cs="宋体"/>
                <w:sz w:val="24"/>
                <w:u w:val="single"/>
                <w:lang w:val="en-US" w:eastAsia="zh-CN"/>
              </w:rPr>
              <w:t xml:space="preserve"> </w:t>
            </w:r>
            <w:r>
              <w:rPr>
                <w:rFonts w:hint="eastAsia" w:hAnsi="宋体" w:cs="宋体"/>
                <w:sz w:val="24"/>
                <w:u w:val="single"/>
                <w:lang w:eastAsia="zh-CN"/>
              </w:rPr>
              <w:t>桐庐县迎春南路29号荣正财富广场1809室</w:t>
            </w:r>
            <w:r>
              <w:rPr>
                <w:rFonts w:hint="eastAsia" w:cs="宋体" w:asciiTheme="minorEastAsia" w:hAnsiTheme="minorEastAsia" w:eastAsiaTheme="minorEastAsia"/>
                <w:color w:val="auto"/>
                <w:kern w:val="28"/>
                <w:sz w:val="24"/>
                <w:szCs w:val="24"/>
              </w:rPr>
              <w:t>；</w:t>
            </w:r>
            <w:r>
              <w:rPr>
                <w:rFonts w:hint="eastAsia" w:hAnsi="宋体" w:cs="宋体"/>
                <w:color w:val="auto"/>
                <w:kern w:val="28"/>
                <w:sz w:val="24"/>
                <w:szCs w:val="24"/>
                <w:highlight w:val="none"/>
              </w:rPr>
              <w:t>备份投标文件签收人员</w:t>
            </w:r>
            <w:r>
              <w:rPr>
                <w:rFonts w:hint="eastAsia" w:hAnsi="宋体" w:cs="宋体"/>
                <w:color w:val="auto"/>
                <w:kern w:val="28"/>
                <w:sz w:val="24"/>
                <w:szCs w:val="24"/>
                <w:highlight w:val="none"/>
                <w:lang w:eastAsia="zh-CN"/>
              </w:rPr>
              <w:t>：</w:t>
            </w:r>
            <w:r>
              <w:rPr>
                <w:rFonts w:hint="eastAsia" w:hAnsi="宋体" w:cs="宋体"/>
                <w:color w:val="auto"/>
                <w:kern w:val="28"/>
                <w:sz w:val="24"/>
                <w:szCs w:val="24"/>
                <w:highlight w:val="none"/>
                <w:u w:val="single"/>
                <w:lang w:val="en-US" w:eastAsia="zh-CN"/>
              </w:rPr>
              <w:t xml:space="preserve"> </w:t>
            </w:r>
            <w:r>
              <w:rPr>
                <w:rFonts w:hint="eastAsia" w:hAnsi="宋体" w:cs="宋体"/>
                <w:kern w:val="28"/>
                <w:sz w:val="24"/>
                <w:szCs w:val="24"/>
                <w:u w:val="single"/>
                <w:lang w:val="en-US" w:eastAsia="zh-CN"/>
              </w:rPr>
              <w:t xml:space="preserve">袁彬 </w:t>
            </w:r>
            <w:r>
              <w:rPr>
                <w:rFonts w:hint="eastAsia" w:hAnsi="宋体" w:cs="宋体"/>
                <w:kern w:val="28"/>
                <w:sz w:val="24"/>
                <w:szCs w:val="24"/>
                <w:u w:val="none"/>
                <w:lang w:val="en-US" w:eastAsia="zh-CN"/>
              </w:rPr>
              <w:t>；</w:t>
            </w:r>
            <w:r>
              <w:rPr>
                <w:rFonts w:hint="eastAsia" w:hAnsi="宋体" w:cs="宋体"/>
                <w:color w:val="auto"/>
                <w:kern w:val="28"/>
                <w:sz w:val="24"/>
                <w:szCs w:val="24"/>
                <w:highlight w:val="none"/>
              </w:rPr>
              <w:t>联系电话：</w:t>
            </w:r>
            <w:r>
              <w:rPr>
                <w:rFonts w:hint="eastAsia" w:hAnsi="宋体" w:cs="宋体"/>
                <w:color w:val="auto"/>
                <w:kern w:val="28"/>
                <w:sz w:val="24"/>
                <w:szCs w:val="24"/>
                <w:highlight w:val="none"/>
                <w:u w:val="single"/>
                <w:lang w:val="en-US" w:eastAsia="zh-CN"/>
              </w:rPr>
              <w:t xml:space="preserve"> </w:t>
            </w:r>
            <w:r>
              <w:rPr>
                <w:rFonts w:hint="eastAsia" w:hAnsi="宋体" w:cs="宋体"/>
                <w:sz w:val="24"/>
                <w:u w:val="single"/>
                <w:lang w:val="en-US" w:eastAsia="zh-CN"/>
              </w:rPr>
              <w:t xml:space="preserve">15005715200 </w:t>
            </w:r>
            <w:r>
              <w:rPr>
                <w:rFonts w:hint="eastAsia" w:hAnsi="宋体" w:cs="宋体"/>
                <w:color w:val="auto"/>
                <w:sz w:val="24"/>
                <w:szCs w:val="24"/>
                <w:highlight w:val="none"/>
              </w:rPr>
              <w:t>。</w:t>
            </w:r>
            <w:r>
              <w:rPr>
                <w:rFonts w:hint="eastAsia" w:cs="宋体" w:asciiTheme="minorEastAsia" w:hAnsiTheme="minorEastAsia" w:eastAsiaTheme="minorEastAsia"/>
                <w:b/>
                <w:color w:val="auto"/>
                <w:sz w:val="24"/>
                <w:szCs w:val="24"/>
              </w:rPr>
              <w:t>采购人、</w:t>
            </w:r>
            <w:r>
              <w:rPr>
                <w:rFonts w:hint="eastAsia" w:cs="宋体" w:asciiTheme="minorEastAsia" w:hAnsiTheme="minorEastAsia" w:eastAsiaTheme="minorEastAsia"/>
                <w:b/>
                <w:color w:val="auto"/>
                <w:sz w:val="24"/>
                <w:szCs w:val="24"/>
                <w:lang w:eastAsia="zh-CN"/>
              </w:rPr>
              <w:t>采购代理机构</w:t>
            </w:r>
            <w:r>
              <w:rPr>
                <w:rFonts w:hint="eastAsia" w:cs="宋体" w:asciiTheme="minorEastAsia" w:hAnsiTheme="minorEastAsia" w:eastAsiaTheme="minorEastAsia"/>
                <w:b/>
                <w:color w:val="auto"/>
                <w:sz w:val="24"/>
                <w:szCs w:val="24"/>
              </w:rPr>
              <w:t>不强制或变相强制供应商提交备份响应文件。</w:t>
            </w:r>
          </w:p>
        </w:tc>
      </w:tr>
      <w:tr w14:paraId="25E96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7E09C518">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5BABD8D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645852B">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3D213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4D240F3D">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000000" w:sz="2" w:space="0"/>
              <w:right w:val="single" w:color="000000" w:sz="8" w:space="0"/>
            </w:tcBorders>
            <w:vAlign w:val="center"/>
          </w:tcPr>
          <w:p w14:paraId="505AF9D4">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02CA8B9">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637810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联合体响应的，联合体各方均需按磋商文件第五部分评审标准要求提供资信证明文件，否则视为不符合相关要求。</w:t>
            </w:r>
          </w:p>
          <w:p w14:paraId="32E8CC1D">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988815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联合体响应的，联合体中有一方或者联合体成员根据分工按磋商文件第五部分评审标准要求提供资信证明文件的，视为符合了相关要求。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3 </w:t>
            </w:r>
            <w:r>
              <w:rPr>
                <w:rFonts w:hint="eastAsia" w:ascii="宋体" w:hAnsi="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6129343D">
            <w:pPr>
              <w:spacing w:line="360" w:lineRule="auto"/>
              <w:rPr>
                <w:rFonts w:hint="eastAsia" w:ascii="宋体" w:hAnsi="宋体" w:cs="宋体"/>
                <w:color w:val="auto"/>
                <w:kern w:val="0"/>
                <w:sz w:val="24"/>
                <w:highlight w:val="none"/>
                <w:lang w:val="en" w:eastAsia="zh-CN"/>
              </w:rPr>
            </w:pPr>
            <w:r>
              <w:rPr>
                <w:rFonts w:hint="eastAsia" w:asciiTheme="minorEastAsia" w:hAnsiTheme="minorEastAsia" w:eastAsiaTheme="minorEastAsia"/>
                <w:b w:val="0"/>
                <w:bCs w:val="0"/>
                <w:kern w:val="28"/>
                <w:sz w:val="24"/>
                <w:szCs w:val="24"/>
                <w:highlight w:val="none"/>
              </w:rPr>
              <w:t>本项目的招标代理服务</w:t>
            </w:r>
            <w:r>
              <w:rPr>
                <w:rFonts w:hint="eastAsia" w:asciiTheme="minorEastAsia" w:hAnsiTheme="minorEastAsia" w:eastAsiaTheme="minorEastAsia"/>
                <w:b w:val="0"/>
                <w:bCs w:val="0"/>
                <w:color w:val="auto"/>
                <w:kern w:val="28"/>
                <w:sz w:val="24"/>
                <w:szCs w:val="24"/>
                <w:highlight w:val="none"/>
              </w:rPr>
              <w:t>费由中标单位支付，</w:t>
            </w:r>
            <w:r>
              <w:rPr>
                <w:rFonts w:hint="eastAsia" w:cs="Times New Roman" w:asciiTheme="minorEastAsia" w:hAnsiTheme="minorEastAsia" w:eastAsiaTheme="minorEastAsia"/>
                <w:b w:val="0"/>
                <w:bCs w:val="0"/>
                <w:color w:val="auto"/>
                <w:kern w:val="28"/>
                <w:sz w:val="24"/>
                <w:szCs w:val="24"/>
                <w:highlight w:val="none"/>
                <w:lang w:val="en-US" w:eastAsia="zh-CN"/>
              </w:rPr>
              <w:t>按</w:t>
            </w:r>
            <w:r>
              <w:rPr>
                <w:rFonts w:hint="eastAsia" w:cs="Times New Roman" w:asciiTheme="minorEastAsia" w:hAnsiTheme="minorEastAsia" w:eastAsiaTheme="minorEastAsia"/>
                <w:b w:val="0"/>
                <w:bCs w:val="0"/>
                <w:color w:val="auto"/>
                <w:kern w:val="28"/>
                <w:sz w:val="24"/>
                <w:szCs w:val="24"/>
                <w:highlight w:val="none"/>
                <w:u w:val="single"/>
                <w:lang w:val="en-US" w:eastAsia="zh-CN"/>
              </w:rPr>
              <w:t>4000</w:t>
            </w:r>
            <w:r>
              <w:rPr>
                <w:rFonts w:hint="eastAsia" w:cs="Times New Roman" w:asciiTheme="minorEastAsia" w:hAnsiTheme="minorEastAsia" w:eastAsiaTheme="minorEastAsia"/>
                <w:b w:val="0"/>
                <w:bCs w:val="0"/>
                <w:color w:val="auto"/>
                <w:kern w:val="28"/>
                <w:sz w:val="24"/>
                <w:szCs w:val="24"/>
                <w:highlight w:val="none"/>
                <w:lang w:val="en-US" w:eastAsia="zh-CN"/>
              </w:rPr>
              <w:t>元</w:t>
            </w:r>
            <w:r>
              <w:rPr>
                <w:rFonts w:hint="eastAsia" w:cs="Times New Roman" w:asciiTheme="minorEastAsia" w:hAnsiTheme="minorEastAsia" w:eastAsiaTheme="minorEastAsia"/>
                <w:b w:val="0"/>
                <w:bCs w:val="0"/>
                <w:color w:val="auto"/>
                <w:kern w:val="28"/>
                <w:sz w:val="24"/>
                <w:szCs w:val="24"/>
                <w:highlight w:val="none"/>
              </w:rPr>
              <w:t>计</w:t>
            </w:r>
            <w:r>
              <w:rPr>
                <w:rFonts w:hint="eastAsia" w:cs="Times New Roman" w:asciiTheme="minorEastAsia" w:hAnsiTheme="minorEastAsia" w:eastAsiaTheme="minorEastAsia"/>
                <w:b w:val="0"/>
                <w:bCs w:val="0"/>
                <w:kern w:val="28"/>
                <w:sz w:val="24"/>
                <w:szCs w:val="24"/>
                <w:highlight w:val="none"/>
              </w:rPr>
              <w:t>取，</w:t>
            </w:r>
            <w:r>
              <w:rPr>
                <w:rFonts w:hint="eastAsia" w:asciiTheme="minorEastAsia" w:hAnsiTheme="minorEastAsia" w:eastAsiaTheme="minorEastAsia"/>
                <w:b w:val="0"/>
                <w:bCs w:val="0"/>
                <w:kern w:val="28"/>
                <w:sz w:val="24"/>
                <w:szCs w:val="24"/>
                <w:highlight w:val="none"/>
              </w:rPr>
              <w:t>由中标单位在领取中标通知书时，一次性支付给代理公司，上述费用应含在投标报价中（不得单独列项），投标人在投标报价让利中考虑上述费用。</w:t>
            </w:r>
          </w:p>
        </w:tc>
      </w:tr>
    </w:tbl>
    <w:p w14:paraId="7B19703B">
      <w:pPr>
        <w:snapToGrid w:val="0"/>
        <w:jc w:val="center"/>
        <w:rPr>
          <w:rFonts w:cs="仿宋_GB2312" w:asciiTheme="minorEastAsia" w:hAnsiTheme="minorEastAsia" w:eastAsiaTheme="minorEastAsia"/>
          <w:b/>
          <w:color w:val="auto"/>
          <w:sz w:val="32"/>
          <w:szCs w:val="20"/>
        </w:rPr>
      </w:pPr>
    </w:p>
    <w:p w14:paraId="48A8E084">
      <w:pPr>
        <w:adjustRightInd/>
        <w:spacing w:line="360" w:lineRule="auto"/>
        <w:ind w:firstLine="3845" w:firstLineChars="1197"/>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二、总则</w:t>
      </w:r>
    </w:p>
    <w:p w14:paraId="4E52F9BF">
      <w:pPr>
        <w:snapToGrid w:val="0"/>
        <w:spacing w:line="360" w:lineRule="auto"/>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14:paraId="3251BA95">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14:paraId="7EC8F6B4">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2.定义</w:t>
      </w:r>
    </w:p>
    <w:p w14:paraId="0289EE5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“采购人”系指磋商邀请公告中载明的本项目的采购人。</w:t>
      </w:r>
    </w:p>
    <w:p w14:paraId="2A6B391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”系指磋商邀请公告中载明的本项目的</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w:t>
      </w:r>
    </w:p>
    <w:p w14:paraId="741E9C9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14:paraId="0992322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“负责人”系指法人企业的法定负责人，或其他组织为法律、行政法规规定代表单位行使职权的主要负责人，或自然人本人。</w:t>
      </w:r>
    </w:p>
    <w:p w14:paraId="0AF0E84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14:paraId="73D1966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14:paraId="010EB1B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2.7“电子交易平台”</w:t>
      </w:r>
      <w:r>
        <w:rPr>
          <w:rFonts w:hint="eastAsia" w:asciiTheme="minorEastAsia" w:hAnsiTheme="minorEastAsia" w:eastAsiaTheme="minorEastAsia"/>
          <w:color w:val="auto"/>
          <w:sz w:val="24"/>
          <w:lang w:val="en-US" w:eastAsia="zh-CN"/>
        </w:rPr>
        <w:t>系</w:t>
      </w:r>
      <w:r>
        <w:rPr>
          <w:rFonts w:hint="eastAsia" w:asciiTheme="minorEastAsia" w:hAnsiTheme="minorEastAsia" w:eastAsiaTheme="minorEastAsia"/>
          <w:color w:val="auto"/>
          <w:sz w:val="24"/>
        </w:rPr>
        <w:t>指本项目政府采购活动所依托的政府采购云平台（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color w:val="auto"/>
          <w:sz w:val="24"/>
        </w:rPr>
        <w:t>）。</w:t>
      </w:r>
    </w:p>
    <w:p w14:paraId="339AFD9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14:paraId="1118B66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2.9 </w:t>
      </w:r>
      <w:r>
        <w:rPr>
          <w:rFonts w:hint="eastAsia" w:asciiTheme="minorEastAsia" w:hAnsiTheme="minorEastAsia" w:eastAsiaTheme="minorEastAsia"/>
          <w:color w:val="auto"/>
          <w:sz w:val="24"/>
          <w:u w:val="single"/>
        </w:rPr>
        <w:t>“书面形式”包括数据电文形式与纸质形式。数据电文形式与纸质形式的采购活动具有同等法律效力。</w:t>
      </w:r>
    </w:p>
    <w:p w14:paraId="54B78B82">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2.10 “▲” 系指实质性要求条款， “※”系指磋商过程中可能实质性变动的内容，</w:t>
      </w:r>
      <w:r>
        <w:rPr>
          <w:rFonts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w:t>
      </w:r>
      <w:sdt>
        <w:sdtPr>
          <w:rPr>
            <w:rFonts w:hint="eastAsia" w:cs="宋体" w:asciiTheme="minorEastAsia" w:hAnsiTheme="minorEastAsia" w:eastAsiaTheme="minorEastAsia"/>
            <w:color w:val="auto"/>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cs="宋体" w:asciiTheme="minorEastAsia" w:hAnsiTheme="minorEastAsia" w:eastAsiaTheme="minorEastAsia"/>
              <w:color w:val="auto"/>
              <w:kern w:val="0"/>
              <w:sz w:val="24"/>
            </w:rPr>
            <w:t></w:t>
          </w:r>
        </w:sdtContent>
      </w:sdt>
      <w:r>
        <w:rPr>
          <w:rFonts w:hint="eastAsia" w:cs="宋体" w:asciiTheme="minorEastAsia" w:hAnsiTheme="minorEastAsia" w:eastAsiaTheme="minorEastAsia"/>
          <w:color w:val="auto"/>
          <w:sz w:val="24"/>
        </w:rPr>
        <w:t>” 系指适用本项目的要求，“</w:t>
      </w:r>
      <w:sdt>
        <w:sdtPr>
          <w:rPr>
            <w:rFonts w:hint="eastAsia" w:cs="宋体" w:asciiTheme="minorEastAsia" w:hAnsiTheme="minorEastAsia" w:eastAsiaTheme="minorEastAsia"/>
            <w:color w:val="auto"/>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 系指不适用本项目的要求。</w:t>
      </w:r>
    </w:p>
    <w:p w14:paraId="1A411C01">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3. 响应有效期</w:t>
      </w:r>
    </w:p>
    <w:p w14:paraId="2FDF5967">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响应有效期为从提交响应文件的截止之日起90天。供应商的响应文件中承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14:paraId="70896FCC">
      <w:pPr>
        <w:pStyle w:val="393"/>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14:paraId="4A2724C3">
      <w:pPr>
        <w:pStyle w:val="393"/>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14:paraId="0F98247A">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14:paraId="6DAAD1AF">
      <w:pPr>
        <w:pStyle w:val="33"/>
        <w:spacing w:line="360" w:lineRule="auto"/>
        <w:ind w:firstLine="360" w:firstLineChars="15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14:paraId="62742F44">
      <w:pPr>
        <w:spacing w:line="360" w:lineRule="auto"/>
        <w:jc w:val="center"/>
        <w:rPr>
          <w:rFonts w:cs="仿宋_GB2312" w:asciiTheme="minorEastAsia" w:hAnsiTheme="minorEastAsia" w:eastAsiaTheme="minorEastAsia"/>
          <w:b/>
          <w:color w:val="auto"/>
          <w:sz w:val="24"/>
        </w:rPr>
      </w:pPr>
    </w:p>
    <w:p w14:paraId="5915D0C1">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三、需要落实的政府采购政策</w:t>
      </w:r>
    </w:p>
    <w:p w14:paraId="43E457FB">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14:paraId="09B091E2">
      <w:pPr>
        <w:pStyle w:val="33"/>
        <w:spacing w:line="360" w:lineRule="auto"/>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14:paraId="42437198">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14:paraId="6B89B2C1">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2C3F8C91">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14:paraId="50903DD8">
      <w:pPr>
        <w:spacing w:line="360" w:lineRule="auto"/>
        <w:ind w:firstLine="480" w:firstLineChars="200"/>
        <w:rPr>
          <w:rFonts w:ascii="宋体" w:hAnsi="宋体" w:cs="宋体"/>
          <w:color w:val="auto"/>
          <w:sz w:val="24"/>
        </w:rPr>
      </w:pPr>
      <w:r>
        <w:rPr>
          <w:rFonts w:hint="eastAsia" w:cs="宋体" w:asciiTheme="minorEastAsia" w:hAnsiTheme="minorEastAsia" w:eastAsiaTheme="minor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8C2CA4C">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DA3B3D6">
      <w:pPr>
        <w:spacing w:line="360" w:lineRule="auto"/>
        <w:ind w:firstLine="480" w:firstLineChars="200"/>
        <w:rPr>
          <w:rFonts w:ascii="宋体" w:hAnsi="宋体" w:cs="宋体"/>
          <w:color w:val="auto"/>
          <w:sz w:val="24"/>
        </w:rPr>
      </w:pPr>
    </w:p>
    <w:p w14:paraId="3E2CCCD6">
      <w:pPr>
        <w:pStyle w:val="33"/>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14:paraId="71B2985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8C1684A">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14:paraId="0ACBE72F">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14:paraId="7F2A7DD4">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14:paraId="0C080009">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5C1FEF1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14:paraId="524B101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w:t>
      </w:r>
      <w:r>
        <w:rPr>
          <w:rFonts w:hint="eastAsia" w:cs="宋体" w:asciiTheme="minorEastAsia" w:hAnsiTheme="minorEastAsia" w:eastAsiaTheme="minorEastAsia"/>
          <w:color w:val="auto"/>
          <w:sz w:val="24"/>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rPr>
        <w:t>。</w:t>
      </w:r>
    </w:p>
    <w:p w14:paraId="52595CF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14:paraId="0A258ABC">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cs="宋体" w:asciiTheme="minorEastAsia" w:hAnsiTheme="minorEastAsia" w:eastAsiaTheme="minorEastAsia"/>
          <w:color w:val="auto"/>
          <w:sz w:val="24"/>
        </w:rPr>
        <w:t xml:space="preserve">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4CA3E180">
      <w:pPr>
        <w:pStyle w:val="4"/>
        <w:numPr>
          <w:ilvl w:val="-1"/>
          <w:numId w:val="0"/>
        </w:numPr>
        <w:adjustRightInd w:val="0"/>
        <w:snapToGrid w:val="0"/>
        <w:ind w:left="420" w:leftChars="200" w:firstLine="0"/>
        <w:rPr>
          <w:color w:val="auto"/>
        </w:rPr>
      </w:pPr>
      <w:r>
        <w:rPr>
          <w:rFonts w:hint="eastAsia" w:ascii="宋体" w:hAnsi="宋体" w:eastAsia="宋体" w:cs="仿宋"/>
          <w:b w:val="0"/>
          <w:bCs w:val="0"/>
          <w:color w:val="auto"/>
          <w:sz w:val="24"/>
          <w:szCs w:val="24"/>
          <w:lang w:val="en-US"/>
        </w:rPr>
        <w:t>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0B0CA165">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5.平等对待内外资企业和符合条件的破产重整企业</w:t>
      </w:r>
    </w:p>
    <w:p w14:paraId="6D3B049D">
      <w:pPr>
        <w:spacing w:line="360" w:lineRule="auto"/>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平等对待内外资企业和符合条件的破产重整企业，切实保障企业公平竞争，平等维护企业的合法利益。</w:t>
      </w:r>
    </w:p>
    <w:p w14:paraId="5D63A92E">
      <w:pPr>
        <w:spacing w:line="360" w:lineRule="auto"/>
        <w:ind w:firstLine="480" w:firstLineChars="200"/>
        <w:rPr>
          <w:rFonts w:asciiTheme="minorEastAsia" w:hAnsiTheme="minorEastAsia" w:eastAsiaTheme="minorEastAsia"/>
          <w:color w:val="auto"/>
          <w:sz w:val="24"/>
        </w:rPr>
      </w:pPr>
    </w:p>
    <w:p w14:paraId="3F4F7B8E">
      <w:pPr>
        <w:adjustRightInd/>
        <w:spacing w:line="360" w:lineRule="auto"/>
        <w:jc w:val="center"/>
        <w:outlineLvl w:val="0"/>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四、询问、质疑与投诉、补偿救济</w:t>
      </w:r>
    </w:p>
    <w:p w14:paraId="34685732">
      <w:pPr>
        <w:pStyle w:val="33"/>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1.在线询问、质疑、投诉</w:t>
      </w:r>
    </w:p>
    <w:p w14:paraId="3CCF8F23">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F0018D">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14:paraId="704CA5DE">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6B15A1">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14:paraId="236C32D9">
      <w:pPr>
        <w:pStyle w:val="33"/>
        <w:spacing w:line="360" w:lineRule="auto"/>
        <w:ind w:firstLine="482"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14:paraId="0EAB5589">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14:paraId="1FED693F">
      <w:pPr>
        <w:pStyle w:val="33"/>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提出质疑，否则，采购人或者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不予受理：</w:t>
      </w:r>
    </w:p>
    <w:p w14:paraId="15B79C48">
      <w:pPr>
        <w:pStyle w:val="18"/>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DC9E7F3">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14:paraId="4BB6088A">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14:paraId="4E8A25FA">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14:paraId="2DA6D755">
      <w:pPr>
        <w:pStyle w:val="33"/>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14:paraId="3F62656D">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3.2.1根据采购人与</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签订的《委托协议》的规定，质疑答复责任主体如下：</w:t>
      </w:r>
    </w:p>
    <w:p w14:paraId="53265504">
      <w:pPr>
        <w:widowControl/>
        <w:adjustRightInd/>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6"/>
        <w:gridCol w:w="4140"/>
        <w:gridCol w:w="2049"/>
      </w:tblGrid>
      <w:tr w14:paraId="1A70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120C6E5">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32" w:type="dxa"/>
            <w:vAlign w:val="center"/>
          </w:tcPr>
          <w:p w14:paraId="2609DFF4">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14:paraId="3E55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1BBFD26">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14:paraId="0A35A9B3">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2232" w:type="dxa"/>
            <w:vAlign w:val="center"/>
          </w:tcPr>
          <w:p w14:paraId="34DAEF77">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6FDC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B14E565">
            <w:pPr>
              <w:pStyle w:val="33"/>
              <w:spacing w:line="360" w:lineRule="auto"/>
              <w:jc w:val="center"/>
              <w:rPr>
                <w:rFonts w:asciiTheme="minorEastAsia" w:hAnsiTheme="minorEastAsia" w:eastAsiaTheme="minorEastAsia"/>
                <w:color w:val="auto"/>
                <w:sz w:val="24"/>
              </w:rPr>
            </w:pPr>
          </w:p>
        </w:tc>
        <w:tc>
          <w:tcPr>
            <w:tcW w:w="4536" w:type="dxa"/>
            <w:vAlign w:val="center"/>
          </w:tcPr>
          <w:p w14:paraId="494EE5C7">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14:paraId="24F97419">
            <w:pPr>
              <w:pStyle w:val="33"/>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779E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9865F5C">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4536" w:type="dxa"/>
            <w:vAlign w:val="center"/>
          </w:tcPr>
          <w:p w14:paraId="29685F4B">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32" w:type="dxa"/>
            <w:vAlign w:val="center"/>
          </w:tcPr>
          <w:p w14:paraId="46BE0E70">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487F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E8E39D4">
            <w:pPr>
              <w:pStyle w:val="33"/>
              <w:spacing w:line="360" w:lineRule="auto"/>
              <w:jc w:val="center"/>
              <w:rPr>
                <w:rFonts w:asciiTheme="minorEastAsia" w:hAnsiTheme="minorEastAsia" w:eastAsiaTheme="minorEastAsia"/>
                <w:color w:val="auto"/>
                <w:sz w:val="24"/>
              </w:rPr>
            </w:pPr>
          </w:p>
        </w:tc>
        <w:tc>
          <w:tcPr>
            <w:tcW w:w="4536" w:type="dxa"/>
            <w:vAlign w:val="center"/>
          </w:tcPr>
          <w:p w14:paraId="4B51CE8B">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2232" w:type="dxa"/>
            <w:vAlign w:val="center"/>
          </w:tcPr>
          <w:p w14:paraId="0B98B731">
            <w:pPr>
              <w:pStyle w:val="33"/>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5FF2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6245314">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4536" w:type="dxa"/>
            <w:vAlign w:val="center"/>
          </w:tcPr>
          <w:p w14:paraId="68CB3F11">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32" w:type="dxa"/>
            <w:vAlign w:val="center"/>
          </w:tcPr>
          <w:p w14:paraId="463EE7B3">
            <w:pPr>
              <w:pStyle w:val="33"/>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bl>
    <w:p w14:paraId="62AF7398">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3.2.2采购人或者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rPr>
        <w:t>2021〕17号）,采购人或者</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在质疑回复后5个工作日内，在浙江政府采购网的“其他公告”栏目公开质疑答复，答复内容应当完整。质疑</w:t>
      </w:r>
      <w:r>
        <w:rPr>
          <w:rFonts w:hint="eastAsia" w:asciiTheme="minorEastAsia" w:hAnsiTheme="minorEastAsia" w:eastAsiaTheme="minorEastAsia"/>
          <w:color w:val="auto"/>
          <w:sz w:val="24"/>
        </w:rPr>
        <w:t>函作为附件上传。</w:t>
      </w:r>
    </w:p>
    <w:p w14:paraId="2FB1FC86">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2.3询问或者质疑事项可能影响采购结果的，采购人应当暂停签订合同，已经签订合同的，应当中止履行合同。</w:t>
      </w:r>
    </w:p>
    <w:p w14:paraId="23D40960">
      <w:pPr>
        <w:pStyle w:val="33"/>
        <w:spacing w:line="360" w:lineRule="auto"/>
        <w:ind w:firstLine="482"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14:paraId="272F5D99">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14:paraId="290E3FEE">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供应商的姓名或者名称、地址、邮编、联系人及联系电话；</w:t>
      </w:r>
    </w:p>
    <w:p w14:paraId="48BAF243">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质疑项目的名称、编号；</w:t>
      </w:r>
    </w:p>
    <w:p w14:paraId="101831C7">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具体、明确的质疑事项和与质疑事项相关的请求；</w:t>
      </w:r>
    </w:p>
    <w:p w14:paraId="6C0F258B">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事实依据；</w:t>
      </w:r>
    </w:p>
    <w:p w14:paraId="33B7BDC7">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必要的法律依据；</w:t>
      </w:r>
    </w:p>
    <w:p w14:paraId="3D710AD4">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提出质疑的日期。</w:t>
      </w:r>
    </w:p>
    <w:p w14:paraId="210595B8">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供应商提交的质疑函需一式三份。供应商为自然人的，应当由本人签字；供应商为法人或者其他组织的，应当由法定代表人、主要负责人，或者其授权代表签字或者盖章，并加盖公章。</w:t>
      </w:r>
    </w:p>
    <w:p w14:paraId="05EEBF28">
      <w:pPr>
        <w:pStyle w:val="33"/>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14:paraId="7838CEC1">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.供应商投诉</w:t>
      </w:r>
    </w:p>
    <w:p w14:paraId="4DD74C8F">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.1质疑供应商对采购人、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未在规定的时间内</w:t>
      </w:r>
      <w:r>
        <w:rPr>
          <w:rFonts w:hint="eastAsia" w:asciiTheme="minorEastAsia" w:hAnsiTheme="minorEastAsia" w:eastAsiaTheme="minorEastAsia"/>
          <w:color w:val="auto"/>
          <w:sz w:val="24"/>
        </w:rPr>
        <w:t>作出答复的，可以在答复期满后十五个工作日内向同级政府采购监督管理部门提出投诉。</w:t>
      </w:r>
    </w:p>
    <w:p w14:paraId="2DC0F0FA">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.2供应</w:t>
      </w:r>
      <w:r>
        <w:rPr>
          <w:rFonts w:hint="eastAsia" w:asciiTheme="minorEastAsia" w:hAnsiTheme="minorEastAsia" w:eastAsiaTheme="minorEastAsia"/>
          <w:color w:val="auto"/>
          <w:sz w:val="24"/>
        </w:rPr>
        <w:t>商投诉的事项不得超出已质疑事项的范围，基于质疑答复内容提出的投诉事项除外。</w:t>
      </w:r>
    </w:p>
    <w:p w14:paraId="4B8E003C">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.3供应</w:t>
      </w:r>
      <w:r>
        <w:rPr>
          <w:rFonts w:hint="eastAsia" w:asciiTheme="minorEastAsia" w:hAnsiTheme="minorEastAsia" w:eastAsiaTheme="minorEastAsia"/>
          <w:color w:val="auto"/>
          <w:sz w:val="24"/>
        </w:rPr>
        <w:t>商投诉应当有明确的请求和必要的证明材料。</w:t>
      </w:r>
    </w:p>
    <w:p w14:paraId="3D249D4F">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.4以联合体形</w:t>
      </w:r>
      <w:r>
        <w:rPr>
          <w:rFonts w:hint="eastAsia" w:asciiTheme="minorEastAsia" w:hAnsiTheme="minorEastAsia" w:eastAsiaTheme="minorEastAsia"/>
          <w:color w:val="auto"/>
          <w:sz w:val="24"/>
        </w:rPr>
        <w:t>式参加政府采购活动的，其投诉应当由组成联合体的所有供应商共同提出。</w:t>
      </w:r>
    </w:p>
    <w:p w14:paraId="65AD2ADE">
      <w:pPr>
        <w:pStyle w:val="33"/>
        <w:shd w:val="clear" w:color="auto" w:fill="FFFFFF"/>
        <w:snapToGrid w:val="0"/>
        <w:spacing w:after="240" w:afterAutospacing="0" w:line="360" w:lineRule="auto"/>
        <w:ind w:firstLine="480" w:firstLineChars="200"/>
        <w:contextualSpacing/>
        <w:rPr>
          <w:rFonts w:hint="default"/>
          <w:color w:val="auto"/>
          <w:sz w:val="24"/>
          <w:szCs w:val="24"/>
          <w:lang w:val="en-US"/>
        </w:rPr>
      </w:pPr>
      <w:r>
        <w:rPr>
          <w:rFonts w:hint="eastAsia" w:asciiTheme="minorEastAsia" w:hAnsiTheme="minorEastAsia" w:eastAsiaTheme="minorEastAsia"/>
          <w:color w:val="auto"/>
          <w:sz w:val="24"/>
        </w:rPr>
        <w:t>4.5</w:t>
      </w:r>
      <w:r>
        <w:rPr>
          <w:rFonts w:hint="eastAsia"/>
          <w:color w:val="auto"/>
          <w:sz w:val="24"/>
          <w:szCs w:val="24"/>
        </w:rPr>
        <w:t>根据政府采购行政裁决省市区三级联动试点工作安排，杭州市本级</w:t>
      </w:r>
      <w:r>
        <w:rPr>
          <w:rFonts w:hint="eastAsia"/>
          <w:color w:val="auto"/>
          <w:sz w:val="24"/>
          <w:szCs w:val="24"/>
          <w:lang w:eastAsia="zh-CN"/>
        </w:rPr>
        <w:t>及各区、县（市）</w:t>
      </w:r>
      <w:r>
        <w:rPr>
          <w:rFonts w:hint="eastAsia"/>
          <w:color w:val="auto"/>
          <w:sz w:val="24"/>
          <w:szCs w:val="24"/>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sz w:val="24"/>
          <w:szCs w:val="24"/>
          <w:highlight w:val="none"/>
        </w:rPr>
        <w:t>收件人：朱女士</w:t>
      </w:r>
      <w:r>
        <w:rPr>
          <w:rFonts w:hint="eastAsia" w:ascii="宋体" w:hAnsi="宋体" w:cs="宋体"/>
          <w:color w:val="auto"/>
          <w:sz w:val="24"/>
          <w:szCs w:val="24"/>
          <w:highlight w:val="none"/>
        </w:rPr>
        <w:t>、王女士</w:t>
      </w:r>
      <w:r>
        <w:rPr>
          <w:rFonts w:hint="eastAsia"/>
          <w:color w:val="auto"/>
          <w:sz w:val="24"/>
          <w:szCs w:val="24"/>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Courier New"/>
          <w:color w:val="auto"/>
          <w:sz w:val="24"/>
          <w:szCs w:val="24"/>
          <w:highlight w:val="none"/>
        </w:rPr>
        <w:t>。</w:t>
      </w:r>
    </w:p>
    <w:p w14:paraId="63A170F3">
      <w:pPr>
        <w:adjustRightInd w:val="0"/>
        <w:snapToGrid w:val="0"/>
        <w:spacing w:line="360" w:lineRule="auto"/>
        <w:ind w:firstLine="0" w:firstLineChars="0"/>
        <w:rPr>
          <w:rFonts w:hint="eastAsia" w:ascii="宋体" w:hAnsi="Courier New"/>
          <w:color w:val="auto"/>
          <w:sz w:val="24"/>
          <w:szCs w:val="24"/>
          <w:highlight w:val="none"/>
        </w:rPr>
      </w:pPr>
    </w:p>
    <w:p w14:paraId="5A6BCAE1">
      <w:pPr>
        <w:adjustRightInd w:val="0"/>
        <w:snapToGrid w:val="0"/>
        <w:spacing w:line="360" w:lineRule="auto"/>
        <w:ind w:firstLine="482" w:firstLineChars="200"/>
        <w:rPr>
          <w:rFonts w:hint="eastAsia" w:ascii="宋体" w:hAnsi="宋体" w:cs="仿宋"/>
          <w:b/>
          <w:bCs/>
          <w:color w:val="auto"/>
          <w:sz w:val="24"/>
        </w:rPr>
      </w:pPr>
      <w:r>
        <w:rPr>
          <w:rFonts w:hint="eastAsia" w:ascii="宋体" w:hAnsi="宋体" w:cs="仿宋"/>
          <w:b/>
          <w:bCs/>
          <w:color w:val="auto"/>
          <w:sz w:val="24"/>
        </w:rPr>
        <w:t>5</w:t>
      </w:r>
      <w:r>
        <w:rPr>
          <w:rFonts w:hint="eastAsia" w:ascii="宋体" w:hAnsi="宋体" w:cs="仿宋"/>
          <w:b/>
          <w:bCs/>
          <w:color w:val="auto"/>
          <w:sz w:val="24"/>
          <w:lang w:eastAsia="zh-CN"/>
        </w:rPr>
        <w:t>.</w:t>
      </w:r>
      <w:r>
        <w:rPr>
          <w:rFonts w:hint="eastAsia" w:ascii="宋体" w:hAnsi="宋体" w:cs="仿宋"/>
          <w:b/>
          <w:bCs/>
          <w:color w:val="auto"/>
          <w:sz w:val="24"/>
        </w:rPr>
        <w:t>补偿救济</w:t>
      </w:r>
    </w:p>
    <w:p w14:paraId="0893CF06">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采购人因政策变化、规划调整而不履行政府采购合同的，供应商可依据《杭州市涉企补偿救济实施办法（试行）》向采购人提起补偿申请。</w:t>
      </w:r>
    </w:p>
    <w:p w14:paraId="02596C3C">
      <w:pPr>
        <w:pStyle w:val="33"/>
        <w:spacing w:line="360" w:lineRule="auto"/>
        <w:ind w:firstLine="480" w:firstLineChars="200"/>
        <w:rPr>
          <w:rFonts w:hint="eastAsia" w:ascii="宋体" w:hAnsi="Courier New"/>
          <w:color w:val="auto"/>
          <w:sz w:val="24"/>
          <w:szCs w:val="24"/>
          <w:highlight w:val="none"/>
        </w:rPr>
      </w:pPr>
    </w:p>
    <w:p w14:paraId="1E130716">
      <w:pPr>
        <w:pStyle w:val="33"/>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投诉书范本及制作说明详见附件</w:t>
      </w: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w:t>
      </w:r>
    </w:p>
    <w:p w14:paraId="1D1674F3">
      <w:pPr>
        <w:adjustRightInd/>
        <w:spacing w:line="360" w:lineRule="auto"/>
        <w:jc w:val="center"/>
        <w:outlineLvl w:val="0"/>
        <w:rPr>
          <w:rFonts w:cs="仿宋_GB2312" w:asciiTheme="minorEastAsia" w:hAnsiTheme="minorEastAsia" w:eastAsiaTheme="minorEastAsia"/>
          <w:b/>
          <w:color w:val="auto"/>
          <w:sz w:val="32"/>
          <w:szCs w:val="20"/>
        </w:rPr>
      </w:pPr>
    </w:p>
    <w:p w14:paraId="3D4755F1">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五、磋商文件构成、修改、解释</w:t>
      </w:r>
    </w:p>
    <w:p w14:paraId="324F0545">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14:paraId="02E474E1">
      <w:pPr>
        <w:pStyle w:val="33"/>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14:paraId="644D10C3">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供应商邀请</w:t>
      </w:r>
    </w:p>
    <w:p w14:paraId="275BF628">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14:paraId="01C6D311">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14:paraId="49B5570B">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14:paraId="33AC6C54">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14:paraId="5CE990BB">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14:paraId="631D03C0">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14:paraId="6E92157E">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第八部分  最后报价格式</w:t>
      </w:r>
    </w:p>
    <w:p w14:paraId="38FDA2C9">
      <w:pPr>
        <w:pStyle w:val="33"/>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14:paraId="702A0C53">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14:paraId="79EDE180">
      <w:pPr>
        <w:pStyle w:val="393"/>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提出。</w:t>
      </w:r>
    </w:p>
    <w:p w14:paraId="6505A6E5">
      <w:pPr>
        <w:pStyle w:val="393"/>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lang w:eastAsia="zh-CN"/>
        </w:rPr>
        <w:t>采购代理机构</w:t>
      </w:r>
      <w:r>
        <w:rPr>
          <w:rFonts w:hint="eastAsia" w:cs="宋体" w:asciiTheme="minorEastAsia" w:hAnsiTheme="minorEastAsia" w:eastAsiaTheme="minorEastAsia"/>
          <w:color w:val="auto"/>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14:paraId="721C7A09">
      <w:pPr>
        <w:pStyle w:val="393"/>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应当顺延提交首次响应文件截止时间。</w:t>
      </w:r>
    </w:p>
    <w:p w14:paraId="226D664C">
      <w:pPr>
        <w:pStyle w:val="393"/>
        <w:snapToGrid w:val="0"/>
        <w:spacing w:before="0"/>
        <w:ind w:firstLine="482"/>
        <w:rPr>
          <w:rFonts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14:paraId="34B01834">
      <w:pPr>
        <w:pStyle w:val="2"/>
        <w:rPr>
          <w:rFonts w:cs="仿宋_GB2312" w:asciiTheme="minorEastAsia" w:hAnsiTheme="minorEastAsia" w:eastAsiaTheme="minorEastAsia"/>
          <w:color w:val="auto"/>
          <w:sz w:val="18"/>
          <w:szCs w:val="18"/>
          <w:lang w:val="en-US"/>
        </w:rPr>
      </w:pPr>
      <w:r>
        <w:rPr>
          <w:rFonts w:hint="eastAsia" w:cs="仿宋_GB2312" w:asciiTheme="minorEastAsia" w:hAnsiTheme="minorEastAsia" w:eastAsiaTheme="minorEastAsia"/>
          <w:color w:val="auto"/>
          <w:szCs w:val="24"/>
          <w:lang w:val="en-US"/>
        </w:rPr>
        <w:t xml:space="preserve">    </w:t>
      </w:r>
    </w:p>
    <w:p w14:paraId="7AE399AC">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六、响应文件的编制</w:t>
      </w:r>
    </w:p>
    <w:p w14:paraId="409BF396">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14:paraId="15B47C9A">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14:paraId="2C654BB0">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14:paraId="46B1852B">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响应文件应当包括以下主要内容：</w:t>
      </w:r>
    </w:p>
    <w:p w14:paraId="3EE4FDB8">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（1）响应函</w:t>
      </w:r>
    </w:p>
    <w:p w14:paraId="3BC718F9">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（2）资格文件</w:t>
      </w:r>
    </w:p>
    <w:p w14:paraId="7D868A75">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A、</w:t>
      </w:r>
      <w:r>
        <w:rPr>
          <w:rFonts w:hint="eastAsia" w:cs="宋体" w:asciiTheme="minorEastAsia" w:hAnsiTheme="minorEastAsia" w:eastAsiaTheme="minorEastAsia"/>
          <w:color w:val="auto"/>
          <w:sz w:val="24"/>
        </w:rPr>
        <w:t>符合参加政府采购活动应当具备的一般条件的承诺函（</w:t>
      </w:r>
      <w:r>
        <w:rPr>
          <w:rFonts w:hint="eastAsia" w:asciiTheme="minorEastAsia" w:hAnsiTheme="minorEastAsia" w:eastAsiaTheme="minorEastAsia"/>
          <w:color w:val="auto"/>
          <w:sz w:val="24"/>
        </w:rPr>
        <w:t>如以联合体形式参加政府采购活动的，</w:t>
      </w:r>
      <w:r>
        <w:rPr>
          <w:rFonts w:hint="eastAsia" w:cs="Arial" w:asciiTheme="minorEastAsia" w:hAnsiTheme="minorEastAsia" w:eastAsiaTheme="minorEastAsia"/>
          <w:color w:val="auto"/>
          <w:sz w:val="24"/>
        </w:rPr>
        <w:t>联合体各方均应提交该承诺函</w:t>
      </w:r>
      <w:r>
        <w:rPr>
          <w:rFonts w:hint="eastAsia" w:cs="宋体" w:asciiTheme="minorEastAsia" w:hAnsiTheme="minorEastAsia" w:eastAsiaTheme="minorEastAsia"/>
          <w:color w:val="auto"/>
          <w:sz w:val="24"/>
        </w:rPr>
        <w:t>）；</w:t>
      </w:r>
    </w:p>
    <w:p w14:paraId="5D43BB42">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B、</w:t>
      </w:r>
      <w:r>
        <w:rPr>
          <w:rFonts w:hint="eastAsia" w:cs="Arial" w:asciiTheme="minorEastAsia" w:hAnsiTheme="minorEastAsia" w:eastAsiaTheme="minorEastAsia"/>
          <w:color w:val="auto"/>
          <w:sz w:val="24"/>
        </w:rPr>
        <w:t>联合协议</w:t>
      </w:r>
      <w:r>
        <w:rPr>
          <w:rFonts w:hint="eastAsia" w:cs="仿宋_GB2312" w:asciiTheme="minorEastAsia" w:hAnsiTheme="minorEastAsia" w:eastAsiaTheme="minorEastAsia"/>
          <w:color w:val="auto"/>
          <w:sz w:val="24"/>
        </w:rPr>
        <w:t>（如果有）；</w:t>
      </w:r>
    </w:p>
    <w:p w14:paraId="2C89B613">
      <w:pPr>
        <w:pStyle w:val="33"/>
        <w:spacing w:line="360" w:lineRule="auto"/>
        <w:ind w:firstLine="480" w:firstLineChars="200"/>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C</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落实政府采购政策需满足的资格要求</w:t>
      </w:r>
      <w:r>
        <w:rPr>
          <w:rFonts w:hint="eastAsia" w:cs="宋体" w:asciiTheme="minorEastAsia" w:hAnsiTheme="minorEastAsia" w:eastAsiaTheme="minorEastAsia"/>
          <w:snapToGrid w:val="0"/>
          <w:color w:val="auto"/>
          <w:kern w:val="28"/>
          <w:sz w:val="24"/>
        </w:rPr>
        <w:t>（如果有)；</w:t>
      </w:r>
    </w:p>
    <w:p w14:paraId="31EFCF39">
      <w:pPr>
        <w:pStyle w:val="33"/>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D、符合特定资格条件的有关证明材料（如果有）。</w:t>
      </w:r>
      <w:r>
        <w:rPr>
          <w:rFonts w:hint="eastAsia" w:cs="仿宋_GB2312" w:asciiTheme="minorEastAsia" w:hAnsiTheme="minorEastAsia" w:eastAsiaTheme="minorEastAsia"/>
          <w:color w:val="auto"/>
          <w:sz w:val="24"/>
        </w:rPr>
        <w:tab/>
      </w:r>
      <w:r>
        <w:rPr>
          <w:rFonts w:cs="仿宋_GB2312" w:asciiTheme="minorEastAsia" w:hAnsiTheme="minorEastAsia" w:eastAsiaTheme="minorEastAsia"/>
          <w:color w:val="auto"/>
          <w:sz w:val="24"/>
        </w:rPr>
        <w:t xml:space="preserve"> </w:t>
      </w:r>
    </w:p>
    <w:p w14:paraId="472E8775">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hAnsi="宋体" w:cs="宋体"/>
          <w:color w:val="auto"/>
          <w:sz w:val="24"/>
        </w:rPr>
        <w:t>授权委托书或法定代表人（单位负责人、自然人本人）身份证明；</w:t>
      </w:r>
    </w:p>
    <w:p w14:paraId="055B425C">
      <w:pPr>
        <w:pStyle w:val="33"/>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（4）</w:t>
      </w:r>
      <w:r>
        <w:rPr>
          <w:rFonts w:hint="eastAsia" w:cs="宋体" w:asciiTheme="minorEastAsia" w:hAnsiTheme="minorEastAsia" w:eastAsiaTheme="minorEastAsia"/>
          <w:color w:val="auto"/>
          <w:sz w:val="24"/>
        </w:rPr>
        <w:t>分包意向协议</w:t>
      </w:r>
      <w:r>
        <w:rPr>
          <w:rFonts w:hint="eastAsia" w:cs="宋体" w:asciiTheme="minorEastAsia" w:hAnsiTheme="minorEastAsia" w:eastAsiaTheme="minorEastAsia"/>
          <w:snapToGrid w:val="0"/>
          <w:color w:val="auto"/>
          <w:kern w:val="28"/>
          <w:sz w:val="24"/>
        </w:rPr>
        <w:t>（如果有)</w:t>
      </w:r>
      <w:r>
        <w:rPr>
          <w:rFonts w:hint="eastAsia" w:cs="仿宋_GB2312" w:asciiTheme="minorEastAsia" w:hAnsiTheme="minorEastAsia" w:eastAsiaTheme="minorEastAsia"/>
          <w:color w:val="auto"/>
          <w:kern w:val="0"/>
          <w:sz w:val="24"/>
          <w:lang w:val="zh-CN"/>
        </w:rPr>
        <w:t>；</w:t>
      </w:r>
    </w:p>
    <w:p w14:paraId="6ABC2770">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（5）所有资信文件</w:t>
      </w:r>
      <w:r>
        <w:rPr>
          <w:rFonts w:hint="eastAsia" w:cs="宋体" w:asciiTheme="minorEastAsia" w:hAnsiTheme="minorEastAsia" w:eastAsiaTheme="minorEastAsia"/>
          <w:color w:val="auto"/>
          <w:kern w:val="0"/>
          <w:sz w:val="24"/>
        </w:rPr>
        <w:t>（如果有）；</w:t>
      </w:r>
    </w:p>
    <w:p w14:paraId="5EEBC634">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cs="宋体" w:asciiTheme="minorEastAsia" w:hAnsiTheme="minorEastAsia" w:eastAsiaTheme="minorEastAsia"/>
          <w:color w:val="auto"/>
          <w:kern w:val="0"/>
          <w:sz w:val="24"/>
        </w:rPr>
        <w:t>（6）</w:t>
      </w:r>
      <w:r>
        <w:rPr>
          <w:rFonts w:hint="eastAsia" w:asciiTheme="minorEastAsia" w:hAnsiTheme="minorEastAsia" w:eastAsiaTheme="minorEastAsia"/>
          <w:color w:val="auto"/>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24C255D6">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snapToGrid w:val="0"/>
          <w:color w:val="auto"/>
          <w:sz w:val="24"/>
        </w:rPr>
        <w:t>（7）</w:t>
      </w:r>
      <w:r>
        <w:rPr>
          <w:rFonts w:hint="eastAsia" w:asciiTheme="minorEastAsia" w:hAnsiTheme="minorEastAsia" w:eastAsiaTheme="minorEastAsia"/>
          <w:color w:val="auto"/>
          <w:kern w:val="0"/>
          <w:sz w:val="24"/>
          <w:lang w:val="zh-CN"/>
        </w:rPr>
        <w:t>关于对磋商文件中有关条款的拒绝声明 (如果有)</w:t>
      </w:r>
      <w:r>
        <w:rPr>
          <w:rFonts w:hint="eastAsia" w:asciiTheme="minorEastAsia" w:hAnsiTheme="minorEastAsia" w:eastAsiaTheme="minorEastAsia"/>
          <w:color w:val="auto"/>
          <w:sz w:val="24"/>
          <w:lang w:val="zh-CN"/>
        </w:rPr>
        <w:t xml:space="preserve"> ；</w:t>
      </w:r>
    </w:p>
    <w:p w14:paraId="2036EF2C">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（8）</w:t>
      </w:r>
      <w:r>
        <w:rPr>
          <w:rFonts w:hint="eastAsia" w:asciiTheme="minorEastAsia" w:hAnsiTheme="minorEastAsia" w:eastAsiaTheme="minorEastAsia"/>
          <w:color w:val="auto"/>
          <w:kern w:val="0"/>
          <w:sz w:val="24"/>
          <w:lang w:val="zh-CN"/>
        </w:rPr>
        <w:t>认为需要的其他商务文件或说明 (如果有) ；</w:t>
      </w:r>
    </w:p>
    <w:p w14:paraId="3AB6FC5C">
      <w:pPr>
        <w:pStyle w:val="33"/>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kern w:val="0"/>
          <w:sz w:val="24"/>
          <w:lang w:val="zh-CN"/>
        </w:rPr>
        <w:t>（9）</w:t>
      </w:r>
      <w:r>
        <w:rPr>
          <w:rFonts w:hint="eastAsia" w:asciiTheme="minorEastAsia" w:hAnsiTheme="minorEastAsia" w:eastAsiaTheme="minorEastAsia"/>
          <w:color w:val="auto"/>
          <w:sz w:val="24"/>
          <w:lang w:val="zh-CN"/>
        </w:rPr>
        <w:t>技术解决方案。针对本项目的完整技术解决方案和实施方案；详细阐述项目方案的实现思路及关键技术；符合本项目对当前和未来发展的要求；以及对功能设计和实施计划的建议；</w:t>
      </w:r>
    </w:p>
    <w:p w14:paraId="23ED15FD">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（10）组织实施方案。本项目详细工作实施组织方案，包括(但不限于)以下内容：组织机构、工作时间进度表、工作程序和步骤、管理和协调方法、关键步骤的思路和要点；</w:t>
      </w:r>
    </w:p>
    <w:p w14:paraId="58610344">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7DDCAEB1">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lang w:val="zh-CN"/>
        </w:rPr>
        <w:t>资质情况等</w:t>
      </w:r>
      <w:r>
        <w:rPr>
          <w:rFonts w:hint="eastAsia" w:asciiTheme="minorEastAsia" w:hAnsiTheme="minorEastAsia" w:eastAsiaTheme="minorEastAsia"/>
          <w:color w:val="auto"/>
          <w:kern w:val="0"/>
          <w:sz w:val="24"/>
          <w:lang w:val="zh-CN"/>
        </w:rPr>
        <w:t>；</w:t>
      </w:r>
    </w:p>
    <w:p w14:paraId="68656233">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（13）优惠条件及特殊承诺；</w:t>
      </w:r>
    </w:p>
    <w:p w14:paraId="1E82A6E9">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（14）</w:t>
      </w:r>
      <w:r>
        <w:rPr>
          <w:rFonts w:hint="eastAsia" w:cs="仿宋_GB2312" w:asciiTheme="minorEastAsia" w:hAnsiTheme="minorEastAsia" w:eastAsiaTheme="minorEastAsia"/>
          <w:color w:val="auto"/>
          <w:kern w:val="0"/>
          <w:sz w:val="24"/>
          <w:lang w:val="zh-CN"/>
        </w:rPr>
        <w:t>培训计划（如果有）；</w:t>
      </w:r>
    </w:p>
    <w:p w14:paraId="0A1FF99A">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rPr>
        <w:t>（15）随机特殊工具和</w:t>
      </w:r>
      <w:r>
        <w:rPr>
          <w:rFonts w:hint="eastAsia" w:asciiTheme="minorEastAsia" w:hAnsiTheme="minorEastAsia" w:eastAsiaTheme="minorEastAsia"/>
          <w:color w:val="auto"/>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20E03FF3">
      <w:pPr>
        <w:pStyle w:val="33"/>
        <w:spacing w:line="360" w:lineRule="auto"/>
        <w:ind w:firstLine="480" w:firstLineChars="200"/>
        <w:rPr>
          <w:rFonts w:cs="仿宋_GB2312"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6）</w:t>
      </w:r>
      <w:r>
        <w:rPr>
          <w:rFonts w:hint="eastAsia" w:cs="仿宋_GB2312" w:asciiTheme="minorEastAsia" w:hAnsiTheme="minorEastAsia" w:eastAsiaTheme="minorEastAsia"/>
          <w:color w:val="auto"/>
          <w:kern w:val="0"/>
          <w:sz w:val="24"/>
          <w:szCs w:val="24"/>
          <w:lang w:val="zh-CN"/>
        </w:rPr>
        <w:t>供应商认为需要的其他技术文件或说明（如果有）；</w:t>
      </w:r>
    </w:p>
    <w:p w14:paraId="6DD0D810">
      <w:pPr>
        <w:pStyle w:val="33"/>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7）</w:t>
      </w:r>
      <w:r>
        <w:rPr>
          <w:rFonts w:hint="eastAsia" w:cs="仿宋_GB2312" w:asciiTheme="minorEastAsia" w:hAnsiTheme="minorEastAsia" w:eastAsiaTheme="minorEastAsia"/>
          <w:color w:val="auto"/>
          <w:kern w:val="0"/>
          <w:sz w:val="24"/>
          <w:lang w:val="zh-CN"/>
        </w:rPr>
        <w:t>政府采购供应商廉洁自律承诺书。</w:t>
      </w:r>
    </w:p>
    <w:p w14:paraId="50D25A94">
      <w:pPr>
        <w:pStyle w:val="33"/>
        <w:spacing w:line="360" w:lineRule="auto"/>
        <w:ind w:firstLine="48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14:paraId="250E60B7">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14:paraId="19018A5C">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8C7951C">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3.3使用“政采云电子交易客户端”需要提前申领CA数字证书，申领流程请自行前往“浙江政府采购网-下载专区-电子交易客户端-CA驱动和申领流程”进行查阅。</w:t>
      </w:r>
    </w:p>
    <w:p w14:paraId="11B5AEB9">
      <w:pPr>
        <w:pStyle w:val="393"/>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14:paraId="0F408378">
      <w:pPr>
        <w:pStyle w:val="393"/>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3.5为确保网上操作合法、有效和安全，供应商应当在响应截止时间前完成在“政府采购云平台”的身份认证，确保在电子交易过程中能够对相关数据电文进行加密和使用电子签名。</w:t>
      </w:r>
    </w:p>
    <w:p w14:paraId="42B83C2E">
      <w:pPr>
        <w:pStyle w:val="393"/>
        <w:snapToGrid w:val="0"/>
        <w:spacing w:before="0"/>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rPr>
        <w:t>3.6磋商文件对响应文件签署、盖章的要求适用于电子签名。</w:t>
      </w:r>
    </w:p>
    <w:p w14:paraId="23142DE8">
      <w:pPr>
        <w:pStyle w:val="33"/>
        <w:spacing w:line="360" w:lineRule="auto"/>
        <w:ind w:firstLine="480" w:firstLineChars="200"/>
        <w:rPr>
          <w:rFonts w:cs="仿宋_GB2312" w:asciiTheme="minorEastAsia" w:hAnsiTheme="minorEastAsia" w:eastAsiaTheme="minorEastAsia"/>
          <w:color w:val="auto"/>
          <w:sz w:val="24"/>
          <w:szCs w:val="24"/>
        </w:rPr>
      </w:pPr>
    </w:p>
    <w:p w14:paraId="3357C2C2">
      <w:pPr>
        <w:adjustRightInd/>
        <w:spacing w:line="360" w:lineRule="auto"/>
        <w:jc w:val="center"/>
        <w:outlineLvl w:val="0"/>
        <w:rPr>
          <w:rFonts w:cs="仿宋_GB2312" w:asciiTheme="minorEastAsia" w:hAnsiTheme="minorEastAsia" w:eastAsiaTheme="minorEastAsia"/>
          <w:b/>
          <w:color w:val="auto"/>
          <w:sz w:val="32"/>
          <w:szCs w:val="20"/>
        </w:rPr>
      </w:pPr>
    </w:p>
    <w:p w14:paraId="0A98F91B">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p>
    <w:p w14:paraId="54A9BC12">
      <w:pPr>
        <w:pStyle w:val="393"/>
        <w:spacing w:before="0"/>
        <w:ind w:firstLine="0" w:firstLineChars="0"/>
        <w:rPr>
          <w:rFonts w:cs="仿宋_GB2312" w:asciiTheme="minorEastAsia" w:hAnsiTheme="minorEastAsia" w:eastAsiaTheme="minorEastAsia"/>
          <w:b/>
          <w:color w:val="auto"/>
          <w:szCs w:val="24"/>
        </w:rPr>
      </w:pPr>
    </w:p>
    <w:p w14:paraId="26E7B10E">
      <w:pPr>
        <w:pStyle w:val="393"/>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14:paraId="27DEB6AB">
      <w:pPr>
        <w:pStyle w:val="393"/>
        <w:ind w:firstLine="480"/>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41B85B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14:paraId="3DDD685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14:paraId="0369A6B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14:paraId="1F8F2842">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1.5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可以视情况延长提交响应文件的截止时间。在上述情况下，</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与供应商以前在响应截止期方面的全部权利、责任和义务，将适用于延长至新的响应截止期。</w:t>
      </w:r>
    </w:p>
    <w:p w14:paraId="5FA07CD3">
      <w:pPr>
        <w:pStyle w:val="632"/>
        <w:adjustRightInd w:val="0"/>
        <w:spacing w:line="360" w:lineRule="auto"/>
        <w:ind w:firstLine="480" w:firstLineChars="200"/>
        <w:rPr>
          <w:rFonts w:hint="eastAsia" w:ascii="宋体" w:hAnsi="宋体" w:eastAsia="宋体" w:cs="宋体"/>
          <w:color w:val="auto"/>
        </w:rPr>
      </w:pPr>
      <w:r>
        <w:rPr>
          <w:rFonts w:hint="eastAsia" w:ascii="宋体" w:hAnsi="宋体" w:eastAsia="宋体" w:cs="宋体"/>
          <w:b w:val="0"/>
          <w:bCs w:val="0"/>
          <w:color w:val="auto"/>
          <w:sz w:val="24"/>
          <w:szCs w:val="24"/>
          <w:lang w:val="en-US" w:eastAsia="zh-CN"/>
        </w:rPr>
        <w:t>1.6 供应商可事先在公开官网查询、核对相关证书和报告内容，确保投标（响应）文件资料准确无误。</w:t>
      </w:r>
      <w:r>
        <w:rPr>
          <w:rFonts w:hint="eastAsia" w:ascii="宋体" w:hAnsi="宋体" w:eastAsia="宋体" w:cs="宋体"/>
          <w:color w:val="auto"/>
          <w:sz w:val="24"/>
          <w:szCs w:val="24"/>
          <w:shd w:val="clear" w:color="auto" w:fill="FFFFFF"/>
          <w:lang w:val="en-US" w:eastAsia="zh-CN"/>
        </w:rPr>
        <w:t>供应商应对响应文件中材料的真实性、合法性负责。</w:t>
      </w:r>
    </w:p>
    <w:p w14:paraId="790AADAB">
      <w:pPr>
        <w:pStyle w:val="33"/>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2.备份响应文件</w:t>
      </w:r>
    </w:p>
    <w:p w14:paraId="16A2A3EF">
      <w:pPr>
        <w:pStyle w:val="33"/>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rPr>
        <w:t>但采购人、</w:t>
      </w:r>
      <w:r>
        <w:rPr>
          <w:rFonts w:hint="eastAsia" w:cs="仿宋_GB2312" w:asciiTheme="minorEastAsia" w:hAnsiTheme="minorEastAsia" w:eastAsiaTheme="minorEastAsia"/>
          <w:b/>
          <w:color w:val="auto"/>
          <w:sz w:val="24"/>
          <w:szCs w:val="24"/>
          <w:lang w:eastAsia="zh-CN"/>
        </w:rPr>
        <w:t>采购代理机构</w:t>
      </w:r>
      <w:r>
        <w:rPr>
          <w:rFonts w:hint="eastAsia" w:cs="仿宋_GB2312" w:asciiTheme="minorEastAsia" w:hAnsiTheme="minorEastAsia" w:eastAsiaTheme="minorEastAsia"/>
          <w:b/>
          <w:color w:val="auto"/>
          <w:sz w:val="24"/>
          <w:szCs w:val="24"/>
        </w:rPr>
        <w:t>不强制或变相强制供应商提交备份响应文件。</w:t>
      </w:r>
    </w:p>
    <w:p w14:paraId="521D08BE">
      <w:pPr>
        <w:pStyle w:val="33"/>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2.2 备份响应文件须在“政采云投标客户端”制作生成，并储存在不可修改的</w:t>
      </w:r>
      <w:r>
        <w:rPr>
          <w:rFonts w:hint="eastAsia" w:asciiTheme="minorEastAsia" w:hAnsiTheme="minorEastAsia" w:eastAsiaTheme="minorEastAsia"/>
          <w:b/>
          <w:color w:val="auto"/>
          <w:sz w:val="24"/>
          <w:u w:val="single"/>
        </w:rPr>
        <w:t>电子光盘</w:t>
      </w:r>
      <w:r>
        <w:rPr>
          <w:rFonts w:hint="eastAsia" w:asciiTheme="minorEastAsia" w:hAnsiTheme="minorEastAsia" w:eastAsiaTheme="minorEastAsia"/>
          <w:b/>
          <w:color w:val="auto"/>
          <w:sz w:val="24"/>
          <w:u w:val="single"/>
          <w:lang w:val="en-US" w:eastAsia="zh-CN"/>
        </w:rPr>
        <w:t>等存储介质</w:t>
      </w:r>
      <w:r>
        <w:rPr>
          <w:rFonts w:hint="eastAsia" w:cs="仿宋_GB2312" w:asciiTheme="minorEastAsia" w:hAnsiTheme="minorEastAsia" w:eastAsiaTheme="minorEastAsia"/>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rPr>
        <w:t>▲不符合上述制作、</w:t>
      </w:r>
      <w:r>
        <w:rPr>
          <w:rFonts w:hint="eastAsia" w:cs="仿宋_GB2312" w:asciiTheme="minorEastAsia" w:hAnsiTheme="minorEastAsia" w:eastAsiaTheme="minorEastAsia"/>
          <w:b/>
          <w:color w:val="auto"/>
          <w:sz w:val="24"/>
          <w:szCs w:val="24"/>
        </w:rPr>
        <w:t>存储、密封规定的备份响应文件将被视为无效或者被拒绝接收。</w:t>
      </w:r>
    </w:p>
    <w:p w14:paraId="685A0AD0">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w:t>
      </w:r>
    </w:p>
    <w:p w14:paraId="1237A89D">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rPr>
        <w:t>磋商文件第三部分供应商须知前附表规定的备份响应文件送达地点</w:t>
      </w:r>
      <w:r>
        <w:rPr>
          <w:rFonts w:hint="eastAsia" w:cs="仿宋_GB2312" w:asciiTheme="minorEastAsia" w:hAnsiTheme="minorEastAsia" w:eastAsiaTheme="minorEastAsia"/>
          <w:color w:val="auto"/>
          <w:sz w:val="24"/>
          <w:szCs w:val="24"/>
        </w:rPr>
        <w:t>；送达时间以签收人签收时间为准。</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将拒绝接受逾期送达的备份响应文件。邮寄过程中，电子备份响应文件发生泄露、遗失、损坏或延期送达等情况的，由供应商自行负责。</w:t>
      </w:r>
    </w:p>
    <w:p w14:paraId="385824E2">
      <w:pPr>
        <w:pStyle w:val="33"/>
        <w:spacing w:line="360" w:lineRule="auto"/>
        <w:ind w:firstLine="361"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b/>
          <w:color w:val="auto"/>
          <w:sz w:val="24"/>
          <w:szCs w:val="24"/>
        </w:rPr>
        <w:t xml:space="preserve">2.5 </w:t>
      </w:r>
      <w:r>
        <w:rPr>
          <w:rFonts w:hint="eastAsia" w:asciiTheme="minorEastAsia" w:hAnsiTheme="minorEastAsia" w:eastAsiaTheme="minorEastAsia"/>
          <w:b/>
          <w:color w:val="auto"/>
          <w:sz w:val="24"/>
        </w:rPr>
        <w:t>▲</w:t>
      </w:r>
      <w:r>
        <w:rPr>
          <w:rFonts w:hint="eastAsia" w:cs="仿宋_GB2312" w:asciiTheme="minorEastAsia" w:hAnsiTheme="minorEastAsia" w:eastAsiaTheme="minorEastAsia"/>
          <w:b/>
          <w:color w:val="auto"/>
          <w:sz w:val="24"/>
          <w:szCs w:val="24"/>
        </w:rPr>
        <w:t>供应商仅提交备份响应文件，未在电子交易平台传输提交响应文件的，响应无效。</w:t>
      </w:r>
    </w:p>
    <w:p w14:paraId="7969977A">
      <w:pPr>
        <w:adjustRightInd/>
        <w:spacing w:line="360" w:lineRule="auto"/>
        <w:jc w:val="center"/>
        <w:outlineLvl w:val="0"/>
        <w:rPr>
          <w:rFonts w:cs="仿宋_GB2312" w:asciiTheme="minorEastAsia" w:hAnsiTheme="minorEastAsia" w:eastAsiaTheme="minorEastAsia"/>
          <w:b/>
          <w:color w:val="auto"/>
          <w:sz w:val="32"/>
          <w:szCs w:val="20"/>
        </w:rPr>
      </w:pPr>
    </w:p>
    <w:p w14:paraId="6CDA67FC">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p>
    <w:p w14:paraId="4DD8EFA1">
      <w:pPr>
        <w:pStyle w:val="33"/>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14:paraId="27175598">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 xml:space="preserve">1.1 </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14:paraId="58105245">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依托电子交易平台发起开始解密指令，供应商按照平台提示和磋商文件的规定在半小时内完成在线解密。</w:t>
      </w:r>
    </w:p>
    <w:p w14:paraId="54580616">
      <w:pPr>
        <w:pStyle w:val="33"/>
        <w:spacing w:line="360" w:lineRule="auto"/>
        <w:ind w:firstLine="361" w:firstLineChars="150"/>
        <w:rPr>
          <w:rFonts w:hint="eastAsia"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14:paraId="43D3D0F0">
      <w:pPr>
        <w:pStyle w:val="393"/>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14:paraId="47349D1C">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14:paraId="76CF0AB3">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14:paraId="536410CD">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14:paraId="69D2C0C2">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1E12468">
      <w:pPr>
        <w:pStyle w:val="33"/>
        <w:spacing w:line="360" w:lineRule="auto"/>
        <w:rPr>
          <w:rFonts w:cs="仿宋_GB2312" w:asciiTheme="minorEastAsia" w:hAnsiTheme="minorEastAsia" w:eastAsiaTheme="minorEastAsia"/>
          <w:b/>
          <w:color w:val="auto"/>
          <w:sz w:val="24"/>
          <w:szCs w:val="24"/>
        </w:rPr>
      </w:pPr>
    </w:p>
    <w:p w14:paraId="2537D5E9">
      <w:pPr>
        <w:adjustRightInd/>
        <w:spacing w:line="360" w:lineRule="auto"/>
        <w:jc w:val="center"/>
        <w:outlineLvl w:val="0"/>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p>
    <w:p w14:paraId="3B4205B9">
      <w:pPr>
        <w:snapToGrid w:val="0"/>
        <w:spacing w:line="360" w:lineRule="auto"/>
        <w:rPr>
          <w:rFonts w:cs="仿宋_GB2312" w:asciiTheme="minorEastAsia" w:hAnsiTheme="minorEastAsia" w:eastAsiaTheme="minorEastAsia"/>
          <w:color w:val="auto"/>
          <w:sz w:val="24"/>
          <w:u w:val="single"/>
          <w:lang w:val="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应包括以下内容（均需使用电子签名）：</w:t>
      </w:r>
    </w:p>
    <w:p w14:paraId="2EE1C62C">
      <w:pPr>
        <w:pStyle w:val="33"/>
        <w:snapToGrid w:val="0"/>
        <w:spacing w:line="360" w:lineRule="auto"/>
        <w:ind w:firstLine="480" w:firstLineChars="200"/>
        <w:rPr>
          <w:rFonts w:hint="eastAsia"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1.1最后报价一览表；</w:t>
      </w:r>
    </w:p>
    <w:p w14:paraId="34DCC2E2">
      <w:pPr>
        <w:pStyle w:val="33"/>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lang w:val="en-US" w:eastAsia="zh-CN"/>
        </w:rPr>
        <w:t xml:space="preserve">1.2 </w:t>
      </w:r>
      <w:r>
        <w:rPr>
          <w:rFonts w:hint="eastAsia" w:cs="仿宋_GB2312" w:asciiTheme="minorEastAsia" w:hAnsiTheme="minorEastAsia" w:eastAsiaTheme="minorEastAsia"/>
          <w:color w:val="auto"/>
          <w:sz w:val="24"/>
          <w:szCs w:val="24"/>
        </w:rPr>
        <w:t>中小企业声明函（如果有）。</w:t>
      </w:r>
    </w:p>
    <w:p w14:paraId="044E9E67">
      <w:pPr>
        <w:adjustRightInd/>
        <w:spacing w:line="360" w:lineRule="auto"/>
        <w:jc w:val="center"/>
        <w:outlineLvl w:val="0"/>
        <w:rPr>
          <w:rFonts w:cs="仿宋_GB2312" w:asciiTheme="minorEastAsia" w:hAnsiTheme="minorEastAsia" w:eastAsiaTheme="minorEastAsia"/>
          <w:b/>
          <w:color w:val="auto"/>
          <w:sz w:val="32"/>
          <w:szCs w:val="20"/>
        </w:rPr>
      </w:pPr>
    </w:p>
    <w:p w14:paraId="48180AA8">
      <w:pPr>
        <w:adjustRightInd/>
        <w:spacing w:line="360" w:lineRule="auto"/>
        <w:jc w:val="center"/>
        <w:outlineLvl w:val="0"/>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p>
    <w:p w14:paraId="75B9E508">
      <w:pPr>
        <w:pStyle w:val="393"/>
        <w:spacing w:before="0"/>
        <w:ind w:firstLine="0" w:firstLineChars="0"/>
        <w:rPr>
          <w:rFonts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14:paraId="0D3433E2">
      <w:pPr>
        <w:pStyle w:val="393"/>
        <w:spacing w:before="0"/>
        <w:ind w:firstLine="0" w:firstLineChars="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p>
    <w:p w14:paraId="5073B1BE">
      <w:pPr>
        <w:pStyle w:val="393"/>
        <w:spacing w:before="0"/>
        <w:ind w:firstLine="0" w:firstLineChars="0"/>
        <w:rPr>
          <w:rFonts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14:paraId="17A2754D">
      <w:pPr>
        <w:adjustRightInd/>
        <w:spacing w:line="360" w:lineRule="auto"/>
        <w:jc w:val="center"/>
        <w:outlineLvl w:val="0"/>
        <w:rPr>
          <w:rFonts w:cs="仿宋_GB2312" w:asciiTheme="minorEastAsia" w:hAnsiTheme="minorEastAsia" w:eastAsiaTheme="minorEastAsia"/>
          <w:color w:val="auto"/>
          <w:sz w:val="24"/>
        </w:rPr>
      </w:pPr>
    </w:p>
    <w:p w14:paraId="655498D2">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p>
    <w:p w14:paraId="46ABD455">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14:paraId="41CD99F6">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r>
        <w:rPr>
          <w:rFonts w:hint="eastAsia" w:asciiTheme="minorEastAsia" w:hAnsiTheme="minorEastAsia" w:eastAsiaTheme="minorEastAsia"/>
          <w:color w:val="auto"/>
          <w:sz w:val="24"/>
          <w:szCs w:val="21"/>
          <w:lang w:val="en" w:eastAsia="zh-CN"/>
        </w:rPr>
        <w:t>本项目推荐的成交候选人数量：</w:t>
      </w:r>
      <w:r>
        <w:rPr>
          <w:rFonts w:hint="eastAsia" w:asciiTheme="minorEastAsia" w:hAnsiTheme="minorEastAsia" w:eastAsiaTheme="minorEastAsia"/>
          <w:color w:val="auto"/>
          <w:sz w:val="24"/>
          <w:szCs w:val="21"/>
          <w:u w:val="single"/>
          <w:lang w:val="en-US" w:eastAsia="zh-CN"/>
        </w:rPr>
        <w:t xml:space="preserve"> 3 </w:t>
      </w:r>
      <w:r>
        <w:rPr>
          <w:rFonts w:hint="eastAsia" w:asciiTheme="minorEastAsia" w:hAnsiTheme="minorEastAsia" w:eastAsiaTheme="minorEastAsia"/>
          <w:color w:val="auto"/>
          <w:sz w:val="24"/>
          <w:szCs w:val="21"/>
          <w:lang w:val="en-US" w:eastAsia="zh-CN"/>
        </w:rPr>
        <w:t>。</w:t>
      </w:r>
    </w:p>
    <w:p w14:paraId="78DF4B50">
      <w:pPr>
        <w:pStyle w:val="33"/>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14:paraId="063CF719">
      <w:pPr>
        <w:keepNext w:val="0"/>
        <w:keepLines w:val="0"/>
        <w:pageBreakBefore w:val="0"/>
        <w:kinsoku/>
        <w:wordWrap/>
        <w:overflowPunct/>
        <w:topLinePunct w:val="0"/>
        <w:autoSpaceDE/>
        <w:autoSpaceDN/>
        <w:bidi w:val="0"/>
        <w:adjustRightInd w:val="0"/>
        <w:snapToGrid/>
        <w:spacing w:line="360" w:lineRule="auto"/>
        <w:ind w:firstLine="360" w:firstLineChars="150"/>
        <w:textAlignment w:val="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w:t>
      </w:r>
      <w:r>
        <w:rPr>
          <w:rFonts w:hint="eastAsia" w:cs="宋体" w:asciiTheme="minorEastAsia" w:hAnsiTheme="minorEastAsia" w:eastAsiaTheme="minorEastAsia"/>
          <w:color w:val="auto"/>
          <w:sz w:val="24"/>
          <w:lang w:val="en-US" w:eastAsia="zh-CN"/>
        </w:rPr>
        <w:t>鼓励</w:t>
      </w:r>
      <w:r>
        <w:rPr>
          <w:rFonts w:hint="eastAsia" w:cs="宋体" w:asciiTheme="minorEastAsia" w:hAnsiTheme="minorEastAsia" w:eastAsiaTheme="minorEastAsia"/>
          <w:color w:val="auto"/>
          <w:sz w:val="24"/>
        </w:rPr>
        <w:t>在收到评审报告当天</w:t>
      </w:r>
      <w:r>
        <w:rPr>
          <w:rFonts w:hint="eastAsia" w:cs="宋体" w:asciiTheme="minorEastAsia" w:hAnsiTheme="minorEastAsia" w:eastAsiaTheme="minorEastAsia"/>
          <w:color w:val="auto"/>
          <w:sz w:val="24"/>
          <w:lang w:val="en-US" w:eastAsia="zh-CN"/>
        </w:rPr>
        <w:t>在线</w:t>
      </w:r>
      <w:r>
        <w:rPr>
          <w:rFonts w:hint="eastAsia" w:cs="宋体" w:asciiTheme="minorEastAsia" w:hAnsiTheme="minorEastAsia" w:eastAsiaTheme="minorEastAsia"/>
          <w:color w:val="auto"/>
          <w:sz w:val="24"/>
        </w:rPr>
        <w:t>确定中标或者成交供应商</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成交通知书和成交结果公告应当在规定时间内同时发出。</w:t>
      </w:r>
    </w:p>
    <w:p w14:paraId="105F0926">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auto"/>
        <w:rPr>
          <w:rFonts w:hint="default" w:asciiTheme="minorEastAsia" w:hAnsiTheme="minorEastAsia" w:eastAsiaTheme="minorEastAsia"/>
          <w:b/>
          <w:color w:val="auto"/>
          <w:sz w:val="24"/>
          <w:lang w:val="en-US" w:eastAsia="zh-CN"/>
        </w:rPr>
      </w:pPr>
      <w:r>
        <w:rPr>
          <w:rFonts w:hint="eastAsia" w:asciiTheme="minorEastAsia" w:hAnsiTheme="minorEastAsia" w:eastAsiaTheme="minorEastAsia"/>
          <w:b/>
          <w:color w:val="auto"/>
          <w:sz w:val="24"/>
          <w:lang w:val="en-US" w:eastAsia="zh-CN"/>
        </w:rPr>
        <w:t>注：根据《政府采购竞争性磋商采购方式管理暂行办法》第二十八条规定：从评审报告提出的成交候选供应商中，按照排序由高到低的原则确定成交供应商。</w:t>
      </w:r>
    </w:p>
    <w:p w14:paraId="3BF8049B">
      <w:pPr>
        <w:keepNext w:val="0"/>
        <w:keepLines w:val="0"/>
        <w:pageBreakBefore w:val="0"/>
        <w:widowControl w:val="0"/>
        <w:tabs>
          <w:tab w:val="left" w:pos="0"/>
        </w:tabs>
        <w:kinsoku/>
        <w:wordWrap/>
        <w:overflowPunct/>
        <w:topLinePunct w:val="0"/>
        <w:autoSpaceDE/>
        <w:autoSpaceDN/>
        <w:bidi w:val="0"/>
        <w:adjustRightInd w:val="0"/>
        <w:snapToGrid/>
        <w:spacing w:before="157" w:beforeLines="50" w:line="360" w:lineRule="auto"/>
        <w:textAlignment w:val="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14:paraId="5A7743C4">
      <w:pPr>
        <w:spacing w:line="360" w:lineRule="auto"/>
        <w:ind w:firstLine="360" w:firstLineChars="15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r>
        <w:rPr>
          <w:rFonts w:hint="eastAsia" w:ascii="宋体" w:hAnsi="宋体" w:cs="宋体" w:eastAsiaTheme="minorEastAsia"/>
          <w:color w:val="auto"/>
          <w:sz w:val="24"/>
          <w:lang w:eastAsia="zh-CN"/>
        </w:rPr>
        <w:t>采购代理机构</w:t>
      </w:r>
      <w:r>
        <w:rPr>
          <w:rFonts w:hint="eastAsia" w:ascii="宋体" w:hAnsi="宋体" w:cs="宋体"/>
          <w:color w:val="auto"/>
          <w:sz w:val="24"/>
        </w:rPr>
        <w:t>也可以以纸质形式进行成交通知。</w:t>
      </w:r>
    </w:p>
    <w:p w14:paraId="47D737AB">
      <w:pPr>
        <w:spacing w:line="360" w:lineRule="auto"/>
        <w:ind w:firstLine="360" w:firstLineChars="15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的名称、地址、联系方式，项目名称和项目编号，成交人名称、地址和成交金额，主要中标标的的名称、规格型号、数量、单价、服务要求，开标记录、</w:t>
      </w:r>
      <w:bookmarkStart w:id="51" w:name="_Hlk101184471"/>
      <w:r>
        <w:rPr>
          <w:rFonts w:hint="eastAsia" w:cs="宋体" w:asciiTheme="minorEastAsia" w:hAnsiTheme="minorEastAsia" w:eastAsiaTheme="minorEastAsia"/>
          <w:color w:val="auto"/>
          <w:sz w:val="24"/>
        </w:rPr>
        <w:t>资格审查情况、评审专家抽取规则、符合性审查情况、</w:t>
      </w:r>
      <w:bookmarkEnd w:id="51"/>
      <w:r>
        <w:rPr>
          <w:rFonts w:hint="eastAsia" w:cs="宋体" w:asciiTheme="minorEastAsia" w:hAnsiTheme="minorEastAsia" w:eastAsiaTheme="minorEastAsia"/>
          <w:color w:val="auto"/>
          <w:sz w:val="24"/>
        </w:rPr>
        <w:t>未成交情况说明、成交公告期限以及评审专家名单、评分汇总及明细。</w:t>
      </w:r>
    </w:p>
    <w:p w14:paraId="47AD2C37">
      <w:pPr>
        <w:spacing w:line="360" w:lineRule="auto"/>
        <w:ind w:firstLine="360" w:firstLineChars="150"/>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14:paraId="0C6459E0">
      <w:pPr>
        <w:spacing w:line="360" w:lineRule="auto"/>
        <w:ind w:firstLine="360" w:firstLineChars="150"/>
        <w:rPr>
          <w:rFonts w:hint="default" w:eastAsiaTheme="minorEastAsia"/>
          <w:b w:val="0"/>
          <w:bCs/>
          <w:color w:val="auto"/>
          <w:sz w:val="24"/>
          <w:szCs w:val="24"/>
          <w:lang w:val="en-US" w:eastAsia="zh-CN"/>
        </w:rPr>
      </w:pPr>
      <w:r>
        <w:rPr>
          <w:rFonts w:hint="eastAsia" w:ascii="宋体" w:hAnsi="宋体" w:cs="宋体"/>
          <w:b w:val="0"/>
          <w:bCs/>
          <w:color w:val="auto"/>
          <w:sz w:val="24"/>
          <w:szCs w:val="24"/>
          <w:lang w:val="en-US" w:eastAsia="zh-CN"/>
        </w:rPr>
        <w:t xml:space="preserve">3.4 </w:t>
      </w:r>
      <w:r>
        <w:rPr>
          <w:rFonts w:hint="eastAsia" w:ascii="宋体" w:hAnsi="宋体" w:cs="宋体"/>
          <w:b w:val="0"/>
          <w:bCs/>
          <w:color w:val="auto"/>
          <w:sz w:val="24"/>
          <w:szCs w:val="24"/>
        </w:rPr>
        <w:t>由于成交供应商原因导致重新采购的，应当承担支付代理费和专家评审费等费用在内的赔偿责任。</w:t>
      </w:r>
    </w:p>
    <w:p w14:paraId="70AC2BB4">
      <w:pPr>
        <w:snapToGrid w:val="0"/>
        <w:spacing w:line="360" w:lineRule="auto"/>
        <w:jc w:val="center"/>
        <w:outlineLvl w:val="0"/>
        <w:rPr>
          <w:rFonts w:cs="仿宋_GB2312" w:asciiTheme="minorEastAsia" w:hAnsiTheme="minorEastAsia" w:eastAsiaTheme="minorEastAsia"/>
          <w:b/>
          <w:color w:val="auto"/>
          <w:sz w:val="36"/>
          <w:szCs w:val="36"/>
        </w:rPr>
      </w:pPr>
    </w:p>
    <w:p w14:paraId="41B541DC">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十二、合同</w:t>
      </w:r>
    </w:p>
    <w:p w14:paraId="102654DD">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14:paraId="2D1C809B">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14:paraId="3973C7CE">
      <w:pPr>
        <w:widowControl/>
        <w:shd w:val="clear" w:color="auto" w:fill="FFFFFF"/>
        <w:spacing w:line="360" w:lineRule="auto"/>
        <w:ind w:firstLine="480"/>
        <w:jc w:val="left"/>
        <w:rPr>
          <w:rFonts w:cs="宋体" w:asciiTheme="minorEastAsia" w:hAnsiTheme="minorEastAsia" w:eastAsiaTheme="minorEastAsia"/>
          <w:color w:val="auto"/>
          <w:kern w:val="0"/>
          <w:sz w:val="24"/>
        </w:rPr>
      </w:pPr>
      <w:r>
        <w:rPr>
          <w:rFonts w:hint="eastAsia" w:asciiTheme="minorEastAsia" w:hAnsiTheme="minorEastAsia" w:eastAsiaTheme="minorEastAsia"/>
          <w:color w:val="auto"/>
          <w:szCs w:val="21"/>
        </w:rPr>
        <w:t>2.1</w:t>
      </w:r>
      <w:r>
        <w:rPr>
          <w:rFonts w:hint="eastAsia" w:cs="宋体" w:asciiTheme="minorEastAsia" w:hAnsiTheme="minorEastAsia" w:eastAsiaTheme="minorEastAsia"/>
          <w:color w:val="auto"/>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08B2ADC">
      <w:pPr>
        <w:pStyle w:val="393"/>
        <w:snapToGrid w:val="0"/>
        <w:spacing w:before="0"/>
        <w:ind w:firstLine="480"/>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14:paraId="7E516BAF">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FD51C18">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FC3F3CB">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14:paraId="54F76023">
      <w:pPr>
        <w:pStyle w:val="393"/>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14:paraId="0D490199">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3．履约保证金</w:t>
      </w:r>
    </w:p>
    <w:p w14:paraId="3D19C613">
      <w:pPr>
        <w:tabs>
          <w:tab w:val="left" w:pos="0"/>
        </w:tabs>
        <w:spacing w:line="360" w:lineRule="auto"/>
        <w:ind w:firstLine="482"/>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rPr>
        <w:t>延迟退还的，应当按照合同约定和法律规定承担相应的赔偿责任</w:t>
      </w:r>
      <w:r>
        <w:rPr>
          <w:rFonts w:hint="eastAsia" w:cs="宋体" w:asciiTheme="minorEastAsia" w:hAnsiTheme="minorEastAsia" w:eastAsiaTheme="minorEastAsia"/>
          <w:color w:val="auto"/>
          <w:sz w:val="24"/>
        </w:rPr>
        <w:t>。</w:t>
      </w:r>
    </w:p>
    <w:p w14:paraId="4EE69CA7">
      <w:pPr>
        <w:tabs>
          <w:tab w:val="left" w:pos="0"/>
        </w:tabs>
        <w:spacing w:line="360" w:lineRule="auto"/>
        <w:ind w:firstLine="482"/>
        <w:rPr>
          <w:rFonts w:cs="宋体" w:asciiTheme="minorEastAsia" w:hAnsiTheme="minorEastAsia" w:eastAsiaTheme="minorEastAsia"/>
          <w:snapToGrid w:val="0"/>
          <w:color w:val="auto"/>
          <w:kern w:val="28"/>
          <w:sz w:val="24"/>
        </w:rPr>
      </w:pPr>
      <w:r>
        <w:rPr>
          <w:rFonts w:hint="eastAsia" w:cs="宋体" w:asciiTheme="minorEastAsia" w:hAnsiTheme="minorEastAsia" w:eastAsiaTheme="minorEastAsia"/>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cs="宋体" w:asciiTheme="minorEastAsia" w:hAnsiTheme="minorEastAsia" w:eastAsiaTheme="minorEastAsia"/>
          <w:snapToGrid w:val="0"/>
          <w:color w:val="auto"/>
          <w:kern w:val="28"/>
          <w:sz w:val="24"/>
          <w:lang w:val="en-US" w:eastAsia="zh-CN"/>
        </w:rPr>
        <w:t>95763</w:t>
      </w:r>
      <w:r>
        <w:rPr>
          <w:rFonts w:hint="eastAsia" w:cs="宋体" w:asciiTheme="minorEastAsia" w:hAnsiTheme="minorEastAsia" w:eastAsiaTheme="minorEastAsia"/>
          <w:snapToGrid w:val="0"/>
          <w:color w:val="auto"/>
          <w:kern w:val="28"/>
          <w:sz w:val="24"/>
        </w:rPr>
        <w:t>。</w:t>
      </w:r>
    </w:p>
    <w:p w14:paraId="356612FC">
      <w:pPr>
        <w:pStyle w:val="4"/>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45E1F030">
      <w:pPr>
        <w:adjustRightInd/>
        <w:spacing w:line="360" w:lineRule="auto"/>
        <w:ind w:firstLine="480" w:firstLineChars="200"/>
        <w:rPr>
          <w:rFonts w:cs="仿宋_GB2312" w:asciiTheme="minorEastAsia" w:hAnsiTheme="minorEastAsia" w:eastAsiaTheme="minorEastAsia"/>
          <w:b/>
          <w:color w:val="auto"/>
          <w:sz w:val="36"/>
          <w:szCs w:val="36"/>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hint="eastAsia" w:ascii="宋体" w:hAnsi="宋体"/>
          <w:b w:val="0"/>
          <w:bCs w:val="0"/>
          <w:color w:val="auto"/>
          <w:sz w:val="24"/>
          <w:szCs w:val="24"/>
          <w:highlight w:val="none"/>
          <w:lang w:val="en-US" w:eastAsia="zh-CN"/>
        </w:rPr>
        <w:t>95763</w:t>
      </w:r>
      <w:r>
        <w:rPr>
          <w:rFonts w:ascii="宋体" w:hAnsi="宋体" w:eastAsia="宋体"/>
          <w:b w:val="0"/>
          <w:bCs w:val="0"/>
          <w:color w:val="auto"/>
          <w:sz w:val="24"/>
          <w:szCs w:val="24"/>
          <w:highlight w:val="none"/>
          <w:lang w:val="en-US"/>
        </w:rPr>
        <w:t>。</w:t>
      </w:r>
    </w:p>
    <w:p w14:paraId="09C9210A">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十三、验收</w:t>
      </w:r>
    </w:p>
    <w:p w14:paraId="7AE8128F">
      <w:pPr>
        <w:pStyle w:val="25"/>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14:paraId="0809A273">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w:t>
      </w:r>
      <w:r>
        <w:rPr>
          <w:rFonts w:hint="eastAsia" w:ascii="宋体" w:hAnsi="宋体" w:cs="宋体"/>
          <w:color w:val="auto"/>
          <w:kern w:val="0"/>
          <w:sz w:val="24"/>
        </w:rPr>
        <w:t>采购人应当根据采购项目的具体情况，自行组织项目验收或者委托采购代理机构验收。</w:t>
      </w:r>
      <w:r>
        <w:rPr>
          <w:rFonts w:hint="eastAsia" w:cs="Helvetica" w:asciiTheme="minorEastAsia" w:hAnsiTheme="minorEastAsia" w:eastAsiaTheme="minorEastAsia"/>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18093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14:paraId="063DEC98">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AFF880">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55D911">
      <w:pPr>
        <w:pStyle w:val="4"/>
        <w:numPr>
          <w:ilvl w:val="-1"/>
          <w:numId w:val="0"/>
        </w:numPr>
        <w:adjustRightInd w:val="0"/>
        <w:snapToGrid w:val="0"/>
        <w:ind w:left="0" w:leftChars="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7AC3CEDD">
      <w:pPr>
        <w:snapToGrid w:val="0"/>
        <w:spacing w:line="360" w:lineRule="auto"/>
        <w:jc w:val="both"/>
        <w:rPr>
          <w:rFonts w:cs="仿宋_GB2312" w:asciiTheme="minorEastAsia" w:hAnsiTheme="minorEastAsia" w:eastAsiaTheme="minorEastAsia"/>
          <w:b/>
          <w:color w:val="auto"/>
          <w:sz w:val="36"/>
          <w:szCs w:val="36"/>
        </w:rPr>
      </w:pPr>
    </w:p>
    <w:p w14:paraId="31E2CC25">
      <w:pPr>
        <w:snapToGrid w:val="0"/>
        <w:spacing w:line="360" w:lineRule="auto"/>
        <w:jc w:val="center"/>
        <w:rPr>
          <w:rFonts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14:paraId="6D01BBEF">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 电子交易活动的中止</w:t>
      </w:r>
    </w:p>
    <w:p w14:paraId="05BE6EC9">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lang w:eastAsia="zh-CN"/>
        </w:rPr>
        <w:t>采购代理机构</w:t>
      </w:r>
      <w:r>
        <w:rPr>
          <w:rFonts w:hint="eastAsia" w:cs="Helvetica" w:asciiTheme="minorEastAsia" w:hAnsiTheme="minorEastAsia" w:eastAsiaTheme="minorEastAsia"/>
          <w:color w:val="auto"/>
          <w:kern w:val="0"/>
          <w:sz w:val="24"/>
        </w:rPr>
        <w:t>可中止电子交易活动：</w:t>
      </w:r>
    </w:p>
    <w:p w14:paraId="5693327E">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14:paraId="0623F125">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14:paraId="14D82B43">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14:paraId="09E7B64F">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14:paraId="2787E22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14:paraId="6E0318BB">
      <w:pPr>
        <w:tabs>
          <w:tab w:val="left" w:pos="0"/>
        </w:tabs>
        <w:spacing w:line="360" w:lineRule="auto"/>
        <w:rPr>
          <w:rFonts w:cs="仿宋_GB2312" w:asciiTheme="minorEastAsia" w:hAnsiTheme="minorEastAsia" w:eastAsiaTheme="minorEastAsia"/>
          <w:b/>
          <w:color w:val="auto"/>
          <w:sz w:val="36"/>
          <w:szCs w:val="36"/>
        </w:r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8"/>
      <w:bookmarkStart w:id="52" w:name="_Hlt75236290"/>
      <w:bookmarkEnd w:id="52"/>
      <w:bookmarkStart w:id="53" w:name="_Hlt74707468"/>
      <w:bookmarkEnd w:id="53"/>
      <w:bookmarkStart w:id="54" w:name="_Hlt75236101"/>
      <w:bookmarkEnd w:id="54"/>
      <w:bookmarkStart w:id="55" w:name="_Hlt68072990"/>
      <w:bookmarkEnd w:id="55"/>
      <w:bookmarkStart w:id="56" w:name="_Hlt74729768"/>
      <w:bookmarkEnd w:id="56"/>
      <w:bookmarkStart w:id="57" w:name="_Hlt74730295"/>
      <w:bookmarkEnd w:id="57"/>
      <w:bookmarkStart w:id="58" w:name="_Hlt74714665"/>
      <w:bookmarkEnd w:id="58"/>
      <w:bookmarkStart w:id="59" w:name="_Hlt68057669"/>
      <w:bookmarkEnd w:id="59"/>
      <w:bookmarkStart w:id="60" w:name="_Hlt75236011"/>
      <w:bookmarkEnd w:id="60"/>
      <w:bookmarkStart w:id="61" w:name="_Toc164416483"/>
      <w:bookmarkStart w:id="62" w:name="第三部分"/>
      <w:r>
        <w:rPr>
          <w:rFonts w:cs="仿宋_GB2312" w:asciiTheme="minorEastAsia" w:hAnsiTheme="minorEastAsia" w:eastAsiaTheme="minorEastAsia"/>
          <w:b/>
          <w:color w:val="auto"/>
          <w:sz w:val="36"/>
          <w:szCs w:val="36"/>
        </w:rPr>
        <w:br w:type="page"/>
      </w:r>
    </w:p>
    <w:p w14:paraId="61FBFF5E">
      <w:pPr>
        <w:adjustRightInd/>
        <w:spacing w:line="360" w:lineRule="auto"/>
        <w:jc w:val="center"/>
        <w:outlineLvl w:val="0"/>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57292733">
      <w:pPr>
        <w:keepNext w:val="0"/>
        <w:keepLines w:val="0"/>
        <w:pageBreakBefore w:val="0"/>
        <w:widowControl w:val="0"/>
        <w:tabs>
          <w:tab w:val="left" w:pos="0"/>
        </w:tabs>
        <w:kinsoku/>
        <w:wordWrap/>
        <w:overflowPunct/>
        <w:topLinePunct w:val="0"/>
        <w:bidi w:val="0"/>
        <w:adjustRightInd w:val="0"/>
        <w:snapToGrid/>
        <w:spacing w:line="360" w:lineRule="auto"/>
        <w:ind w:firstLine="480"/>
        <w:textAlignment w:val="auto"/>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一、项目</w:t>
      </w:r>
      <w:r>
        <w:rPr>
          <w:rFonts w:hint="eastAsia" w:ascii="宋体" w:hAnsi="宋体" w:eastAsia="宋体" w:cs="宋体"/>
          <w:b/>
          <w:bCs/>
          <w:kern w:val="0"/>
          <w:sz w:val="24"/>
          <w:szCs w:val="24"/>
          <w:lang w:val="en-US" w:eastAsia="zh-CN"/>
        </w:rPr>
        <w:t>背景</w:t>
      </w:r>
    </w:p>
    <w:p w14:paraId="6247EB91">
      <w:pPr>
        <w:keepNext w:val="0"/>
        <w:keepLines w:val="0"/>
        <w:pageBreakBefore w:val="0"/>
        <w:widowControl w:val="0"/>
        <w:tabs>
          <w:tab w:val="left" w:pos="0"/>
        </w:tabs>
        <w:kinsoku/>
        <w:wordWrap/>
        <w:overflowPunct/>
        <w:topLinePunct w:val="0"/>
        <w:bidi w:val="0"/>
        <w:adjustRightInd w:val="0"/>
        <w:snapToGrid/>
        <w:spacing w:line="360" w:lineRule="auto"/>
        <w:ind w:firstLine="48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自然保护地勘界定标是依法依规开展保护管理的最基础性工作，</w:t>
      </w:r>
      <w:r>
        <w:rPr>
          <w:rFonts w:hint="eastAsia" w:ascii="宋体" w:hAnsi="宋体" w:eastAsia="宋体" w:cs="宋体"/>
          <w:kern w:val="0"/>
          <w:sz w:val="24"/>
          <w:szCs w:val="24"/>
        </w:rPr>
        <w:t>根据省发展改革委、省林业局关于印发《浙江省自然保护地体系发展“十四五”规划》、</w:t>
      </w:r>
      <w:r>
        <w:rPr>
          <w:rFonts w:hint="eastAsia" w:ascii="宋体" w:hAnsi="宋体" w:eastAsia="宋体" w:cs="宋体"/>
          <w:kern w:val="0"/>
          <w:sz w:val="24"/>
          <w:szCs w:val="24"/>
          <w:lang w:val="en-US" w:eastAsia="zh-CN"/>
        </w:rPr>
        <w:t>国家标准</w:t>
      </w:r>
      <w:r>
        <w:rPr>
          <w:rFonts w:hint="eastAsia" w:ascii="宋体" w:hAnsi="宋体" w:eastAsia="宋体" w:cs="宋体"/>
          <w:kern w:val="0"/>
          <w:sz w:val="24"/>
          <w:szCs w:val="24"/>
        </w:rPr>
        <w:t>《</w:t>
      </w:r>
      <w:bookmarkStart w:id="63" w:name="OLE_LINK1"/>
      <w:r>
        <w:rPr>
          <w:rFonts w:hint="eastAsia" w:ascii="宋体" w:hAnsi="宋体" w:eastAsia="宋体" w:cs="宋体"/>
          <w:kern w:val="0"/>
          <w:sz w:val="24"/>
          <w:szCs w:val="24"/>
        </w:rPr>
        <w:t>GB/T 39740-2020自然保护地勘界立标规范</w:t>
      </w:r>
      <w:bookmarkEnd w:id="63"/>
      <w:r>
        <w:rPr>
          <w:rFonts w:hint="eastAsia" w:ascii="宋体" w:hAnsi="宋体" w:eastAsia="宋体" w:cs="宋体"/>
          <w:kern w:val="0"/>
          <w:sz w:val="24"/>
          <w:szCs w:val="24"/>
        </w:rPr>
        <w:t>》、浙江省</w:t>
      </w:r>
      <w:r>
        <w:rPr>
          <w:rFonts w:hint="eastAsia" w:ascii="宋体" w:hAnsi="宋体" w:eastAsia="宋体" w:cs="宋体"/>
          <w:kern w:val="0"/>
          <w:sz w:val="24"/>
          <w:szCs w:val="24"/>
          <w:lang w:val="en-US" w:eastAsia="zh-CN"/>
        </w:rPr>
        <w:t>地方标准</w:t>
      </w:r>
      <w:r>
        <w:rPr>
          <w:rFonts w:hint="eastAsia" w:ascii="宋体" w:hAnsi="宋体" w:eastAsia="宋体" w:cs="宋体"/>
          <w:kern w:val="0"/>
          <w:sz w:val="24"/>
          <w:szCs w:val="24"/>
        </w:rPr>
        <w:t>《DB33/T 2532.1-2022自然保护地勘界立标规范 第1部分：通用要求》等</w:t>
      </w:r>
      <w:r>
        <w:rPr>
          <w:rFonts w:hint="eastAsia" w:ascii="宋体" w:hAnsi="宋体" w:eastAsia="宋体" w:cs="宋体"/>
          <w:kern w:val="0"/>
          <w:sz w:val="24"/>
          <w:szCs w:val="24"/>
          <w:lang w:val="en-US" w:eastAsia="zh-CN"/>
        </w:rPr>
        <w:t>文件</w:t>
      </w:r>
      <w:r>
        <w:rPr>
          <w:rFonts w:hint="eastAsia" w:ascii="宋体" w:hAnsi="宋体" w:eastAsia="宋体" w:cs="宋体"/>
          <w:kern w:val="0"/>
          <w:sz w:val="24"/>
          <w:szCs w:val="24"/>
        </w:rPr>
        <w:t>，要求对自然保护地边界范围进行全面调查，</w:t>
      </w:r>
      <w:r>
        <w:rPr>
          <w:rFonts w:hint="eastAsia" w:ascii="宋体" w:hAnsi="宋体" w:eastAsia="宋体" w:cs="宋体"/>
          <w:kern w:val="0"/>
          <w:sz w:val="24"/>
          <w:szCs w:val="24"/>
          <w:lang w:val="en-US" w:eastAsia="zh-CN"/>
        </w:rPr>
        <w:t>现</w:t>
      </w:r>
      <w:r>
        <w:rPr>
          <w:rFonts w:hint="eastAsia" w:ascii="宋体" w:hAnsi="宋体" w:eastAsia="宋体" w:cs="宋体"/>
          <w:kern w:val="0"/>
          <w:sz w:val="24"/>
          <w:szCs w:val="24"/>
        </w:rPr>
        <w:t>结合桐庐</w:t>
      </w:r>
      <w:r>
        <w:rPr>
          <w:rFonts w:hint="eastAsia" w:ascii="宋体" w:hAnsi="宋体" w:eastAsia="宋体" w:cs="宋体"/>
          <w:kern w:val="0"/>
          <w:sz w:val="24"/>
          <w:szCs w:val="24"/>
          <w:lang w:val="en-US" w:eastAsia="zh-CN"/>
        </w:rPr>
        <w:t>南堡湿地公园现状，</w:t>
      </w:r>
      <w:r>
        <w:rPr>
          <w:rFonts w:hint="eastAsia" w:ascii="宋体" w:hAnsi="宋体" w:eastAsia="宋体" w:cs="宋体"/>
          <w:kern w:val="0"/>
          <w:sz w:val="24"/>
          <w:szCs w:val="24"/>
        </w:rPr>
        <w:t>开展勘界立标工作，确保每个自然保护地的范围和界限准确落图，推动自然保护地规范化建设和管理</w:t>
      </w:r>
      <w:r>
        <w:rPr>
          <w:rFonts w:hint="eastAsia" w:ascii="宋体" w:hAnsi="宋体" w:eastAsia="宋体" w:cs="宋体"/>
          <w:sz w:val="24"/>
          <w:szCs w:val="24"/>
          <w:highlight w:val="none"/>
        </w:rPr>
        <w:t>，使得自然保护地边界范围清晰，面积数据正确，基础性工作更加完善</w:t>
      </w:r>
      <w:r>
        <w:rPr>
          <w:rFonts w:hint="eastAsia" w:ascii="宋体" w:hAnsi="宋体" w:cs="宋体"/>
          <w:kern w:val="0"/>
          <w:sz w:val="24"/>
          <w:szCs w:val="24"/>
          <w:lang w:val="en-US" w:eastAsia="zh-CN"/>
        </w:rPr>
        <w:t>，</w:t>
      </w:r>
      <w:r>
        <w:rPr>
          <w:rFonts w:hint="eastAsia" w:ascii="宋体" w:hAnsi="宋体" w:eastAsia="宋体" w:cs="宋体"/>
          <w:kern w:val="0"/>
          <w:sz w:val="24"/>
          <w:szCs w:val="24"/>
          <w:lang w:val="en-US" w:eastAsia="zh-CN"/>
        </w:rPr>
        <w:t>形成相关各方认可、准确清晰的边界，有助于推动自然保护地规范化建设和精细化管理，确保自然保护地执法监督有据可依。</w:t>
      </w:r>
    </w:p>
    <w:p w14:paraId="626FE229">
      <w:pPr>
        <w:keepNext w:val="0"/>
        <w:keepLines w:val="0"/>
        <w:pageBreakBefore w:val="0"/>
        <w:widowControl w:val="0"/>
        <w:tabs>
          <w:tab w:val="left" w:pos="0"/>
        </w:tabs>
        <w:kinsoku/>
        <w:wordWrap/>
        <w:overflowPunct/>
        <w:topLinePunct w:val="0"/>
        <w:bidi w:val="0"/>
        <w:adjustRightInd w:val="0"/>
        <w:snapToGrid/>
        <w:spacing w:line="360" w:lineRule="auto"/>
        <w:ind w:firstLine="480"/>
        <w:textAlignment w:val="auto"/>
        <w:rPr>
          <w:rFonts w:hint="default" w:ascii="宋体" w:hAnsi="宋体" w:eastAsia="宋体" w:cs="宋体"/>
          <w:color w:val="auto"/>
          <w:kern w:val="0"/>
          <w:sz w:val="24"/>
          <w:szCs w:val="24"/>
          <w:lang w:val="en-US" w:eastAsia="zh-CN"/>
        </w:rPr>
      </w:pPr>
      <w:r>
        <w:rPr>
          <w:rFonts w:hint="default" w:ascii="宋体" w:hAnsi="宋体" w:eastAsia="宋体" w:cs="宋体"/>
          <w:kern w:val="0"/>
          <w:sz w:val="24"/>
          <w:szCs w:val="24"/>
          <w:lang w:val="en-US" w:eastAsia="zh-CN"/>
        </w:rPr>
        <w:t>浙江桐庐南堡省级湿地公园位于桐庐分水镇沿分水江段，因地处“泰山压顶不弯腰”的南堡精神所在地南堡村而得名，于2015年10月经浙江省林业厅批准设立为省级湿地公园，2017年被评为杭州最美湿地公园。2023年被桐庐县科学技术协会命名为桐庐县青少年科普教育基地。公园规划面积1152.98公顷，其中湿地面积881公顷，以优美自然的湿地景观和悠久浓厚的湿地文化为特色，集湿地资源保护、科学宣教和</w:t>
      </w:r>
      <w:r>
        <w:rPr>
          <w:rFonts w:hint="default" w:ascii="宋体" w:hAnsi="宋体" w:eastAsia="宋体" w:cs="宋体"/>
          <w:color w:val="auto"/>
          <w:kern w:val="0"/>
          <w:sz w:val="24"/>
          <w:szCs w:val="24"/>
          <w:lang w:val="en-US" w:eastAsia="zh-CN"/>
        </w:rPr>
        <w:t>开发利用于一体，现有生态保育区、恢复重建区、合理利用区和宣教服务区四个功能区。</w:t>
      </w:r>
    </w:p>
    <w:p w14:paraId="1341A8C5">
      <w:pPr>
        <w:keepNext w:val="0"/>
        <w:keepLines w:val="0"/>
        <w:pageBreakBefore w:val="0"/>
        <w:widowControl w:val="0"/>
        <w:tabs>
          <w:tab w:val="left" w:pos="0"/>
        </w:tabs>
        <w:kinsoku/>
        <w:wordWrap/>
        <w:overflowPunct/>
        <w:topLinePunct w:val="0"/>
        <w:bidi w:val="0"/>
        <w:adjustRightInd w:val="0"/>
        <w:snapToGrid/>
        <w:spacing w:line="360" w:lineRule="auto"/>
        <w:ind w:firstLine="480"/>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二、项目内容</w:t>
      </w:r>
    </w:p>
    <w:p w14:paraId="72D57836">
      <w:pPr>
        <w:keepNext w:val="0"/>
        <w:keepLines w:val="0"/>
        <w:pageBreakBefore w:val="0"/>
        <w:widowControl w:val="0"/>
        <w:tabs>
          <w:tab w:val="left" w:pos="0"/>
        </w:tabs>
        <w:kinsoku/>
        <w:wordWrap/>
        <w:overflowPunct/>
        <w:topLinePunct w:val="0"/>
        <w:bidi w:val="0"/>
        <w:adjustRightInd w:val="0"/>
        <w:snapToGrid/>
        <w:spacing w:line="360" w:lineRule="auto"/>
        <w:ind w:firstLine="48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1、结合</w:t>
      </w:r>
      <w:r>
        <w:rPr>
          <w:rFonts w:hint="eastAsia" w:ascii="宋体" w:hAnsi="宋体" w:cs="宋体"/>
          <w:color w:val="auto"/>
          <w:kern w:val="0"/>
          <w:sz w:val="24"/>
          <w:szCs w:val="24"/>
          <w:lang w:eastAsia="zh-CN"/>
        </w:rPr>
        <w:t>《桐庐南堡省级湿地公园总体规划（2022-2027年）》</w:t>
      </w:r>
      <w:r>
        <w:rPr>
          <w:rFonts w:hint="eastAsia" w:ascii="宋体" w:hAnsi="宋体" w:cs="宋体"/>
          <w:color w:val="auto"/>
          <w:kern w:val="0"/>
          <w:sz w:val="24"/>
          <w:szCs w:val="24"/>
          <w:lang w:val="en-US" w:eastAsia="zh-CN"/>
        </w:rPr>
        <w:t>和</w:t>
      </w:r>
      <w:r>
        <w:rPr>
          <w:rFonts w:hint="eastAsia" w:ascii="宋体" w:hAnsi="宋体" w:cs="宋体"/>
          <w:color w:val="auto"/>
          <w:kern w:val="0"/>
          <w:sz w:val="24"/>
          <w:szCs w:val="24"/>
          <w:lang w:eastAsia="zh-CN"/>
        </w:rPr>
        <w:t>自然保护地优化最新批复后成果的基础上完成</w:t>
      </w:r>
      <w:r>
        <w:rPr>
          <w:rFonts w:hint="eastAsia" w:ascii="宋体" w:hAnsi="宋体" w:cs="宋体"/>
          <w:color w:val="auto"/>
          <w:kern w:val="0"/>
          <w:sz w:val="24"/>
          <w:szCs w:val="24"/>
          <w:lang w:val="en-US" w:eastAsia="zh-CN"/>
        </w:rPr>
        <w:t>湿地公园</w:t>
      </w:r>
      <w:r>
        <w:rPr>
          <w:rFonts w:hint="eastAsia" w:ascii="宋体" w:hAnsi="宋体" w:cs="宋体"/>
          <w:color w:val="auto"/>
          <w:kern w:val="0"/>
          <w:sz w:val="24"/>
          <w:szCs w:val="24"/>
          <w:lang w:eastAsia="zh-CN"/>
        </w:rPr>
        <w:t>的外</w:t>
      </w:r>
      <w:r>
        <w:rPr>
          <w:rFonts w:hint="eastAsia" w:ascii="宋体" w:hAnsi="宋体" w:eastAsia="宋体" w:cs="宋体"/>
          <w:color w:val="auto"/>
          <w:kern w:val="0"/>
          <w:sz w:val="24"/>
          <w:szCs w:val="24"/>
        </w:rPr>
        <w:t>围边界和功能区界线的勘定，对原定标数据库变化部分进行修正调整</w:t>
      </w:r>
      <w:r>
        <w:rPr>
          <w:rFonts w:hint="eastAsia" w:ascii="宋体" w:hAnsi="宋体" w:eastAsia="宋体" w:cs="宋体"/>
          <w:color w:val="auto"/>
          <w:kern w:val="0"/>
          <w:sz w:val="24"/>
          <w:szCs w:val="24"/>
          <w:lang w:eastAsia="zh-CN"/>
        </w:rPr>
        <w:t>，形成相关方认可、边界清晰、面积准确、标识清楚、手续合法的勘界定标成果。</w:t>
      </w:r>
    </w:p>
    <w:p w14:paraId="7FFBDB5C">
      <w:pPr>
        <w:keepNext w:val="0"/>
        <w:keepLines w:val="0"/>
        <w:pageBreakBefore w:val="0"/>
        <w:widowControl w:val="0"/>
        <w:tabs>
          <w:tab w:val="left" w:pos="0"/>
        </w:tabs>
        <w:kinsoku/>
        <w:wordWrap/>
        <w:overflowPunct/>
        <w:topLinePunct w:val="0"/>
        <w:bidi w:val="0"/>
        <w:adjustRightInd w:val="0"/>
        <w:snapToGrid/>
        <w:spacing w:line="360" w:lineRule="auto"/>
        <w:ind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2、完成工作底图编制，踏勘并实地测绘边界点与定标点，绘制边界附图</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编制勘界报告，</w:t>
      </w:r>
      <w:r>
        <w:rPr>
          <w:rFonts w:hint="eastAsia" w:ascii="宋体" w:hAnsi="宋体" w:eastAsia="宋体" w:cs="宋体"/>
          <w:color w:val="auto"/>
          <w:kern w:val="0"/>
          <w:sz w:val="24"/>
          <w:szCs w:val="24"/>
          <w:u w:val="single"/>
        </w:rPr>
        <w:t>进行成果检查、论证</w:t>
      </w:r>
      <w:r>
        <w:rPr>
          <w:rFonts w:hint="eastAsia" w:ascii="宋体" w:hAnsi="宋体" w:eastAsia="宋体" w:cs="宋体"/>
          <w:color w:val="auto"/>
          <w:kern w:val="0"/>
          <w:sz w:val="24"/>
          <w:szCs w:val="24"/>
          <w:u w:val="single"/>
          <w:lang w:val="en-US" w:eastAsia="zh-CN"/>
        </w:rPr>
        <w:t>和评审</w:t>
      </w:r>
      <w:r>
        <w:rPr>
          <w:rFonts w:hint="eastAsia" w:ascii="宋体" w:hAnsi="宋体" w:eastAsia="宋体" w:cs="宋体"/>
          <w:color w:val="auto"/>
          <w:kern w:val="0"/>
          <w:sz w:val="24"/>
          <w:szCs w:val="24"/>
          <w:u w:val="single"/>
        </w:rPr>
        <w:t>，</w:t>
      </w:r>
      <w:r>
        <w:rPr>
          <w:rFonts w:hint="eastAsia" w:ascii="宋体" w:hAnsi="宋体" w:eastAsia="宋体" w:cs="宋体"/>
          <w:color w:val="auto"/>
          <w:kern w:val="0"/>
          <w:sz w:val="24"/>
          <w:szCs w:val="24"/>
        </w:rPr>
        <w:t>最后完成数据建库和勘界立标</w:t>
      </w:r>
      <w:r>
        <w:rPr>
          <w:rFonts w:hint="eastAsia" w:ascii="宋体" w:hAnsi="宋体" w:eastAsia="宋体" w:cs="宋体"/>
          <w:color w:val="auto"/>
          <w:kern w:val="0"/>
          <w:sz w:val="24"/>
          <w:szCs w:val="24"/>
          <w:lang w:val="en-US" w:eastAsia="zh-CN"/>
        </w:rPr>
        <w:t>方案。</w:t>
      </w:r>
    </w:p>
    <w:p w14:paraId="12F52FF2">
      <w:pPr>
        <w:pStyle w:val="2"/>
        <w:keepNext w:val="0"/>
        <w:keepLines w:val="0"/>
        <w:pageBreakBefore w:val="0"/>
        <w:widowControl w:val="0"/>
        <w:numPr>
          <w:ilvl w:val="0"/>
          <w:numId w:val="0"/>
        </w:numPr>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cs="宋体"/>
          <w:color w:val="auto"/>
          <w:kern w:val="2"/>
          <w:sz w:val="24"/>
          <w:szCs w:val="24"/>
          <w:highlight w:val="none"/>
          <w:lang w:val="en-US" w:eastAsia="zh-CN" w:bidi="ar-SA"/>
        </w:rPr>
        <w:t>3、</w:t>
      </w:r>
      <w:r>
        <w:rPr>
          <w:rFonts w:hint="eastAsia" w:hAnsi="宋体" w:cs="宋体"/>
          <w:color w:val="auto"/>
          <w:kern w:val="2"/>
          <w:sz w:val="24"/>
          <w:szCs w:val="24"/>
          <w:highlight w:val="none"/>
          <w:lang w:val="en-US" w:eastAsia="zh-CN" w:bidi="ar-SA"/>
        </w:rPr>
        <w:t>已入库</w:t>
      </w:r>
      <w:r>
        <w:rPr>
          <w:rFonts w:hint="default" w:ascii="宋体" w:hAnsi="宋体" w:cs="宋体"/>
          <w:color w:val="auto"/>
          <w:kern w:val="2"/>
          <w:sz w:val="24"/>
          <w:szCs w:val="24"/>
          <w:highlight w:val="none"/>
          <w:lang w:val="en-US" w:eastAsia="zh-CN" w:bidi="ar-SA"/>
        </w:rPr>
        <w:t>数据原则上不予变动。当自然保护地发生更名、区划调整、撤销等情况，经主管部门批复同意后，入库数据应及时更新。涉及区划调整的，需提交调整部分勘界成果。</w:t>
      </w:r>
    </w:p>
    <w:p w14:paraId="72CC8B4B">
      <w:pPr>
        <w:keepNext w:val="0"/>
        <w:keepLines w:val="0"/>
        <w:pageBreakBefore w:val="0"/>
        <w:widowControl w:val="0"/>
        <w:tabs>
          <w:tab w:val="left" w:pos="0"/>
        </w:tabs>
        <w:kinsoku/>
        <w:wordWrap/>
        <w:overflowPunct/>
        <w:topLinePunct w:val="0"/>
        <w:bidi w:val="0"/>
        <w:adjustRightInd w:val="0"/>
        <w:snapToGrid/>
        <w:spacing w:line="360" w:lineRule="auto"/>
        <w:ind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4、数量</w:t>
      </w:r>
      <w:r>
        <w:rPr>
          <w:rFonts w:hint="eastAsia" w:ascii="宋体" w:hAnsi="宋体" w:cs="宋体"/>
          <w:color w:val="auto"/>
          <w:kern w:val="0"/>
          <w:sz w:val="24"/>
          <w:szCs w:val="24"/>
          <w:lang w:val="en-US" w:eastAsia="zh-CN"/>
        </w:rPr>
        <w:t>及材质</w:t>
      </w:r>
      <w:r>
        <w:rPr>
          <w:rFonts w:hint="eastAsia" w:ascii="宋体" w:hAnsi="宋体" w:eastAsia="宋体" w:cs="宋体"/>
          <w:color w:val="auto"/>
          <w:kern w:val="0"/>
          <w:sz w:val="24"/>
          <w:szCs w:val="24"/>
          <w:lang w:val="en-US" w:eastAsia="zh-CN"/>
        </w:rPr>
        <w:t>：园碑、界碑不少于7个，界桩不少于60个，标识牌不少于5个，宣传栏不少于2个。</w:t>
      </w:r>
    </w:p>
    <w:p w14:paraId="4172BD88">
      <w:pPr>
        <w:keepNext w:val="0"/>
        <w:keepLines w:val="0"/>
        <w:pageBreakBefore w:val="0"/>
        <w:widowControl w:val="0"/>
        <w:kinsoku/>
        <w:wordWrap/>
        <w:overflowPunct/>
        <w:topLinePunct w:val="0"/>
        <w:bidi w:val="0"/>
        <w:adjustRightInd w:val="0"/>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标识材质</w:t>
      </w:r>
      <w:r>
        <w:rPr>
          <w:rFonts w:hint="eastAsia" w:ascii="宋体" w:hAnsi="宋体" w:cs="宋体"/>
          <w:b/>
          <w:bCs/>
          <w:color w:val="auto"/>
          <w:kern w:val="0"/>
          <w:sz w:val="24"/>
          <w:szCs w:val="24"/>
          <w:highlight w:val="none"/>
          <w:lang w:val="en-US" w:eastAsia="zh-CN"/>
        </w:rPr>
        <w:t>及</w:t>
      </w:r>
      <w:r>
        <w:rPr>
          <w:rFonts w:hint="eastAsia" w:ascii="宋体" w:hAnsi="宋体" w:eastAsia="宋体" w:cs="宋体"/>
          <w:b/>
          <w:bCs/>
          <w:color w:val="auto"/>
          <w:kern w:val="0"/>
          <w:sz w:val="24"/>
          <w:szCs w:val="24"/>
          <w:highlight w:val="none"/>
          <w:lang w:val="en-US" w:eastAsia="zh-CN"/>
        </w:rPr>
        <w:t>尺寸（以评审通过的勘界立标方案为准）：</w:t>
      </w:r>
    </w:p>
    <w:p w14:paraId="447A3D48">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园碑（</w:t>
      </w:r>
      <w:r>
        <w:rPr>
          <w:rFonts w:hint="eastAsia" w:ascii="宋体" w:hAnsi="宋体" w:cs="宋体"/>
          <w:color w:val="auto"/>
          <w:kern w:val="0"/>
          <w:sz w:val="24"/>
          <w:szCs w:val="24"/>
          <w:highlight w:val="none"/>
          <w:lang w:val="en-US" w:eastAsia="zh-CN"/>
        </w:rPr>
        <w:t>材质：</w:t>
      </w:r>
      <w:r>
        <w:rPr>
          <w:rFonts w:hint="eastAsia" w:ascii="宋体" w:hAnsi="宋体" w:eastAsia="宋体" w:cs="宋体"/>
          <w:color w:val="auto"/>
          <w:kern w:val="0"/>
          <w:sz w:val="24"/>
          <w:szCs w:val="24"/>
          <w:highlight w:val="none"/>
          <w:lang w:val="en-US" w:eastAsia="zh-CN"/>
        </w:rPr>
        <w:t>花岗岩贴面，内部为块石；尺寸</w:t>
      </w:r>
      <w:r>
        <w:rPr>
          <w:rFonts w:hint="eastAsia" w:ascii="宋体" w:hAnsi="宋体" w:cs="宋体"/>
          <w:color w:val="auto"/>
          <w:kern w:val="0"/>
          <w:sz w:val="24"/>
          <w:szCs w:val="24"/>
          <w:highlight w:val="none"/>
          <w:lang w:val="en-US" w:eastAsia="zh-CN"/>
        </w:rPr>
        <w:t>：不小于</w:t>
      </w:r>
      <w:r>
        <w:rPr>
          <w:rFonts w:hint="eastAsia" w:ascii="宋体" w:hAnsi="宋体" w:eastAsia="宋体" w:cs="宋体"/>
          <w:color w:val="auto"/>
          <w:kern w:val="0"/>
          <w:sz w:val="24"/>
          <w:szCs w:val="24"/>
          <w:highlight w:val="none"/>
          <w:lang w:val="en-US" w:eastAsia="zh-CN"/>
        </w:rPr>
        <w:t>150cm*250cm*20cm）</w:t>
      </w:r>
    </w:p>
    <w:p w14:paraId="5A11B425">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界碑（</w:t>
      </w:r>
      <w:r>
        <w:rPr>
          <w:rFonts w:hint="eastAsia" w:ascii="宋体" w:hAnsi="宋体" w:cs="宋体"/>
          <w:color w:val="auto"/>
          <w:kern w:val="0"/>
          <w:sz w:val="24"/>
          <w:szCs w:val="24"/>
          <w:highlight w:val="none"/>
          <w:lang w:val="en-US" w:eastAsia="zh-CN"/>
        </w:rPr>
        <w:t>材质：</w:t>
      </w:r>
      <w:r>
        <w:rPr>
          <w:rFonts w:hint="eastAsia" w:ascii="宋体" w:hAnsi="宋体" w:eastAsia="宋体" w:cs="宋体"/>
          <w:color w:val="auto"/>
          <w:kern w:val="0"/>
          <w:sz w:val="24"/>
          <w:szCs w:val="24"/>
          <w:highlight w:val="none"/>
          <w:lang w:val="en-US" w:eastAsia="zh-CN"/>
        </w:rPr>
        <w:t>花岗岩</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尺寸</w:t>
      </w:r>
      <w:r>
        <w:rPr>
          <w:rFonts w:hint="eastAsia" w:ascii="宋体" w:hAnsi="宋体" w:cs="宋体"/>
          <w:color w:val="auto"/>
          <w:kern w:val="0"/>
          <w:sz w:val="24"/>
          <w:szCs w:val="24"/>
          <w:highlight w:val="none"/>
          <w:lang w:val="en-US" w:eastAsia="zh-CN"/>
        </w:rPr>
        <w:t>：不小于</w:t>
      </w:r>
      <w:r>
        <w:rPr>
          <w:rFonts w:hint="eastAsia" w:ascii="宋体" w:hAnsi="宋体" w:eastAsia="宋体" w:cs="宋体"/>
          <w:color w:val="auto"/>
          <w:kern w:val="0"/>
          <w:sz w:val="24"/>
          <w:szCs w:val="24"/>
          <w:highlight w:val="none"/>
          <w:lang w:val="en-US" w:eastAsia="zh-CN"/>
        </w:rPr>
        <w:t>200cm*100cm*15cm）</w:t>
      </w:r>
    </w:p>
    <w:p w14:paraId="44BB16E5">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界桩（</w:t>
      </w:r>
      <w:r>
        <w:rPr>
          <w:rFonts w:hint="eastAsia" w:ascii="宋体" w:hAnsi="宋体" w:cs="宋体"/>
          <w:color w:val="auto"/>
          <w:kern w:val="0"/>
          <w:sz w:val="24"/>
          <w:szCs w:val="24"/>
          <w:highlight w:val="none"/>
          <w:lang w:val="en-US" w:eastAsia="zh-CN"/>
        </w:rPr>
        <w:t>材质：</w:t>
      </w:r>
      <w:r>
        <w:rPr>
          <w:rFonts w:hint="eastAsia" w:ascii="宋体" w:hAnsi="宋体" w:eastAsia="宋体" w:cs="宋体"/>
          <w:color w:val="auto"/>
          <w:kern w:val="0"/>
          <w:sz w:val="24"/>
          <w:szCs w:val="24"/>
          <w:highlight w:val="none"/>
          <w:lang w:val="en-US" w:eastAsia="zh-CN"/>
        </w:rPr>
        <w:t>花岗岩，尺寸</w:t>
      </w:r>
      <w:r>
        <w:rPr>
          <w:rFonts w:hint="eastAsia" w:ascii="宋体" w:hAnsi="宋体" w:cs="宋体"/>
          <w:color w:val="auto"/>
          <w:kern w:val="0"/>
          <w:sz w:val="24"/>
          <w:szCs w:val="24"/>
          <w:highlight w:val="none"/>
          <w:lang w:val="en-US" w:eastAsia="zh-CN"/>
        </w:rPr>
        <w:t>：不小于</w:t>
      </w:r>
      <w:r>
        <w:rPr>
          <w:rFonts w:hint="eastAsia" w:ascii="宋体" w:hAnsi="宋体" w:eastAsia="宋体" w:cs="宋体"/>
          <w:color w:val="auto"/>
          <w:kern w:val="0"/>
          <w:sz w:val="24"/>
          <w:szCs w:val="24"/>
          <w:highlight w:val="none"/>
          <w:lang w:val="en-US" w:eastAsia="zh-CN"/>
        </w:rPr>
        <w:t>160cm*15cm*15cm）</w:t>
      </w:r>
    </w:p>
    <w:p w14:paraId="36834851">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标识牌（</w:t>
      </w:r>
      <w:r>
        <w:rPr>
          <w:rFonts w:hint="eastAsia" w:ascii="宋体" w:hAnsi="宋体" w:cs="宋体"/>
          <w:color w:val="auto"/>
          <w:kern w:val="0"/>
          <w:sz w:val="24"/>
          <w:szCs w:val="24"/>
          <w:highlight w:val="none"/>
          <w:lang w:val="en-US" w:eastAsia="zh-CN"/>
        </w:rPr>
        <w:t>材质：</w:t>
      </w:r>
      <w:r>
        <w:rPr>
          <w:rFonts w:hint="eastAsia" w:ascii="宋体" w:hAnsi="宋体" w:eastAsia="宋体" w:cs="宋体"/>
          <w:color w:val="auto"/>
          <w:kern w:val="0"/>
          <w:sz w:val="24"/>
          <w:szCs w:val="24"/>
          <w:highlight w:val="none"/>
          <w:lang w:val="en-US" w:eastAsia="zh-CN"/>
        </w:rPr>
        <w:t>铝板，尺寸</w:t>
      </w:r>
      <w:r>
        <w:rPr>
          <w:rFonts w:hint="eastAsia" w:ascii="宋体" w:hAnsi="宋体" w:cs="宋体"/>
          <w:color w:val="auto"/>
          <w:kern w:val="0"/>
          <w:sz w:val="24"/>
          <w:szCs w:val="24"/>
          <w:highlight w:val="none"/>
          <w:lang w:val="en-US" w:eastAsia="zh-CN"/>
        </w:rPr>
        <w:t>：不小于</w:t>
      </w:r>
      <w:r>
        <w:rPr>
          <w:rFonts w:hint="eastAsia" w:ascii="宋体" w:hAnsi="宋体" w:eastAsia="宋体" w:cs="宋体"/>
          <w:color w:val="auto"/>
          <w:kern w:val="0"/>
          <w:sz w:val="24"/>
          <w:szCs w:val="24"/>
          <w:highlight w:val="none"/>
          <w:lang w:val="en-US" w:eastAsia="zh-CN"/>
        </w:rPr>
        <w:t>120cm*80cm厚2mm）</w:t>
      </w:r>
    </w:p>
    <w:p w14:paraId="04A33742">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宣传栏</w:t>
      </w:r>
      <w:r>
        <w:rPr>
          <w:rFonts w:hint="eastAsia" w:ascii="宋体" w:hAnsi="宋体" w:cs="宋体"/>
          <w:color w:val="auto"/>
          <w:kern w:val="0"/>
          <w:sz w:val="24"/>
          <w:szCs w:val="24"/>
          <w:lang w:val="en-US" w:eastAsia="zh-CN"/>
        </w:rPr>
        <w:t>（</w:t>
      </w:r>
      <w:r>
        <w:rPr>
          <w:rFonts w:hint="eastAsia" w:ascii="宋体" w:hAnsi="宋体" w:cs="宋体"/>
          <w:color w:val="auto"/>
          <w:kern w:val="0"/>
          <w:sz w:val="24"/>
          <w:szCs w:val="24"/>
          <w:highlight w:val="none"/>
          <w:lang w:val="en-US" w:eastAsia="zh-CN"/>
        </w:rPr>
        <w:t>材质：</w:t>
      </w:r>
      <w:r>
        <w:rPr>
          <w:rFonts w:hint="eastAsia" w:ascii="宋体" w:hAnsi="宋体" w:cs="宋体"/>
          <w:color w:val="auto"/>
          <w:kern w:val="0"/>
          <w:sz w:val="24"/>
          <w:szCs w:val="24"/>
          <w:lang w:val="en-US" w:eastAsia="zh-CN"/>
        </w:rPr>
        <w:t>镀锌板，尺寸：不小于300cm*200cm）</w:t>
      </w:r>
    </w:p>
    <w:p w14:paraId="63B62141">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注：所有标识尺寸材质由采购人确定，制作前初稿需经采购人确认同意后方可批量制作，否则造成损失由供应商自行承担。</w:t>
      </w:r>
    </w:p>
    <w:p w14:paraId="331A84BD">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b/>
          <w:bCs/>
          <w:i/>
          <w:iCs/>
          <w:color w:val="auto"/>
          <w:kern w:val="0"/>
          <w:sz w:val="24"/>
          <w:szCs w:val="24"/>
          <w:lang w:eastAsia="zh-CN"/>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、完成界碑、界桩等埋设</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val="en-US" w:eastAsia="zh-CN"/>
        </w:rPr>
        <w:t>后期</w:t>
      </w:r>
      <w:r>
        <w:rPr>
          <w:rFonts w:hint="eastAsia" w:ascii="宋体" w:hAnsi="宋体" w:eastAsia="宋体" w:cs="宋体"/>
          <w:color w:val="auto"/>
          <w:kern w:val="0"/>
          <w:sz w:val="24"/>
          <w:szCs w:val="24"/>
        </w:rPr>
        <w:t>实地复测</w:t>
      </w:r>
      <w:r>
        <w:rPr>
          <w:rFonts w:hint="eastAsia" w:ascii="宋体" w:hAnsi="宋体" w:cs="宋体"/>
          <w:color w:val="auto"/>
          <w:kern w:val="0"/>
          <w:sz w:val="24"/>
          <w:szCs w:val="24"/>
          <w:lang w:val="en-US" w:eastAsia="zh-CN"/>
        </w:rPr>
        <w:t>及</w:t>
      </w:r>
      <w:r>
        <w:rPr>
          <w:rFonts w:hint="eastAsia" w:ascii="宋体" w:hAnsi="宋体" w:eastAsia="宋体" w:cs="宋体"/>
          <w:color w:val="auto"/>
          <w:kern w:val="0"/>
          <w:sz w:val="24"/>
          <w:szCs w:val="24"/>
        </w:rPr>
        <w:t>第三方质检</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val="en-US" w:eastAsia="zh-CN"/>
        </w:rPr>
        <w:t>并</w:t>
      </w:r>
      <w:r>
        <w:rPr>
          <w:rFonts w:hint="eastAsia" w:ascii="宋体" w:hAnsi="宋体" w:eastAsia="宋体" w:cs="宋体"/>
          <w:color w:val="auto"/>
          <w:kern w:val="0"/>
          <w:sz w:val="24"/>
          <w:szCs w:val="24"/>
        </w:rPr>
        <w:t>最终</w:t>
      </w:r>
      <w:r>
        <w:rPr>
          <w:rFonts w:hint="eastAsia" w:ascii="宋体" w:hAnsi="宋体" w:eastAsia="宋体" w:cs="宋体"/>
          <w:color w:val="auto"/>
          <w:kern w:val="0"/>
          <w:sz w:val="24"/>
          <w:szCs w:val="24"/>
          <w:lang w:val="en-US" w:eastAsia="zh-CN"/>
        </w:rPr>
        <w:t>完成</w:t>
      </w:r>
      <w:r>
        <w:rPr>
          <w:rFonts w:hint="eastAsia" w:ascii="宋体" w:hAnsi="宋体" w:eastAsia="宋体" w:cs="宋体"/>
          <w:color w:val="auto"/>
          <w:kern w:val="0"/>
          <w:sz w:val="24"/>
          <w:szCs w:val="24"/>
        </w:rPr>
        <w:t>验收</w:t>
      </w:r>
      <w:r>
        <w:rPr>
          <w:rFonts w:hint="eastAsia" w:ascii="宋体" w:hAnsi="宋体" w:eastAsia="宋体" w:cs="宋体"/>
          <w:color w:val="auto"/>
          <w:kern w:val="0"/>
          <w:sz w:val="24"/>
          <w:szCs w:val="24"/>
          <w:lang w:eastAsia="zh-CN"/>
        </w:rPr>
        <w:t>。</w:t>
      </w:r>
    </w:p>
    <w:p w14:paraId="1BC73709">
      <w:pPr>
        <w:keepNext w:val="0"/>
        <w:keepLines w:val="0"/>
        <w:pageBreakBefore w:val="0"/>
        <w:widowControl w:val="0"/>
        <w:tabs>
          <w:tab w:val="left" w:pos="0"/>
        </w:tabs>
        <w:kinsoku/>
        <w:wordWrap/>
        <w:overflowPunct/>
        <w:topLinePunct w:val="0"/>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cs="宋体"/>
          <w:b/>
          <w:bCs/>
          <w:color w:val="auto"/>
          <w:kern w:val="0"/>
          <w:sz w:val="24"/>
          <w:szCs w:val="24"/>
          <w:lang w:val="en-US" w:eastAsia="zh-CN"/>
        </w:rPr>
        <w:t>三</w:t>
      </w:r>
      <w:r>
        <w:rPr>
          <w:rFonts w:hint="eastAsia" w:ascii="宋体" w:hAnsi="宋体" w:eastAsia="宋体" w:cs="宋体"/>
          <w:b/>
          <w:bCs/>
          <w:color w:val="auto"/>
          <w:kern w:val="0"/>
          <w:sz w:val="24"/>
          <w:szCs w:val="24"/>
          <w:lang w:val="en-US" w:eastAsia="zh-CN"/>
        </w:rPr>
        <w:t>、引用文件和技术标准</w:t>
      </w:r>
    </w:p>
    <w:p w14:paraId="5EF9D41C">
      <w:pPr>
        <w:keepNext w:val="0"/>
        <w:keepLines w:val="0"/>
        <w:pageBreakBefore w:val="0"/>
        <w:widowControl w:val="0"/>
        <w:tabs>
          <w:tab w:val="left" w:pos="0"/>
        </w:tabs>
        <w:kinsoku/>
        <w:wordWrap/>
        <w:overflowPunct/>
        <w:topLinePunct w:val="0"/>
        <w:bidi w:val="0"/>
        <w:adjustRightInd w:val="0"/>
        <w:snapToGrid/>
        <w:spacing w:line="360" w:lineRule="auto"/>
        <w:ind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《自然保护区等自然保护地勘界立标工作规范》（办护字〔2019〕129 号）；</w:t>
      </w:r>
    </w:p>
    <w:p w14:paraId="0DEE0251">
      <w:pPr>
        <w:keepNext w:val="0"/>
        <w:keepLines w:val="0"/>
        <w:pageBreakBefore w:val="0"/>
        <w:widowControl w:val="0"/>
        <w:tabs>
          <w:tab w:val="left" w:pos="0"/>
        </w:tabs>
        <w:kinsoku/>
        <w:wordWrap/>
        <w:overflowPunct/>
        <w:topLinePunct w:val="0"/>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国家标准</w:t>
      </w:r>
      <w:r>
        <w:rPr>
          <w:rFonts w:hint="eastAsia" w:ascii="宋体" w:hAnsi="宋体" w:eastAsia="宋体" w:cs="宋体"/>
          <w:color w:val="auto"/>
          <w:kern w:val="0"/>
          <w:sz w:val="24"/>
          <w:szCs w:val="24"/>
        </w:rPr>
        <w:t>《GB/T 39740-2020自然保护地勘界立标规范》</w:t>
      </w:r>
    </w:p>
    <w:p w14:paraId="1D5F4184">
      <w:pPr>
        <w:keepNext w:val="0"/>
        <w:keepLines w:val="0"/>
        <w:pageBreakBefore w:val="0"/>
        <w:widowControl w:val="0"/>
        <w:tabs>
          <w:tab w:val="left" w:pos="0"/>
        </w:tabs>
        <w:kinsoku/>
        <w:wordWrap/>
        <w:overflowPunct/>
        <w:topLinePunct w:val="0"/>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浙江省</w:t>
      </w:r>
      <w:r>
        <w:rPr>
          <w:rFonts w:hint="eastAsia" w:ascii="宋体" w:hAnsi="宋体" w:eastAsia="宋体" w:cs="宋体"/>
          <w:color w:val="auto"/>
          <w:kern w:val="0"/>
          <w:sz w:val="24"/>
          <w:szCs w:val="24"/>
          <w:lang w:val="en-US" w:eastAsia="zh-CN"/>
        </w:rPr>
        <w:t>地方标准</w:t>
      </w:r>
      <w:r>
        <w:rPr>
          <w:rFonts w:hint="eastAsia" w:ascii="宋体" w:hAnsi="宋体" w:eastAsia="宋体" w:cs="宋体"/>
          <w:color w:val="auto"/>
          <w:kern w:val="0"/>
          <w:sz w:val="24"/>
          <w:szCs w:val="24"/>
        </w:rPr>
        <w:t>《DB33/T 2532.1-2022自然保护地勘界立标规范 第1部分：通用要求》</w:t>
      </w:r>
    </w:p>
    <w:p w14:paraId="4D94DC3B">
      <w:pPr>
        <w:keepNext w:val="0"/>
        <w:keepLines w:val="0"/>
        <w:pageBreakBefore w:val="0"/>
        <w:widowControl w:val="0"/>
        <w:tabs>
          <w:tab w:val="left" w:pos="0"/>
        </w:tabs>
        <w:kinsoku/>
        <w:wordWrap/>
        <w:overflowPunct/>
        <w:topLinePunct w:val="0"/>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《全球定位系统实时动态测量（RTK）技术规范》（CH/T2009—2010）；</w:t>
      </w:r>
    </w:p>
    <w:p w14:paraId="74531D6D">
      <w:pPr>
        <w:keepNext w:val="0"/>
        <w:keepLines w:val="0"/>
        <w:pageBreakBefore w:val="0"/>
        <w:widowControl w:val="0"/>
        <w:tabs>
          <w:tab w:val="left" w:pos="0"/>
        </w:tabs>
        <w:kinsoku/>
        <w:wordWrap/>
        <w:overflowPunct/>
        <w:topLinePunct w:val="0"/>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《1∶500 1∶1000 1∶2000 数字地形图测绘规范》（浙江省地方标准DB33/T552—2014）；</w:t>
      </w:r>
    </w:p>
    <w:p w14:paraId="2CCD4F78">
      <w:pPr>
        <w:keepNext w:val="0"/>
        <w:keepLines w:val="0"/>
        <w:pageBreakBefore w:val="0"/>
        <w:widowControl w:val="0"/>
        <w:tabs>
          <w:tab w:val="left" w:pos="0"/>
        </w:tabs>
        <w:kinsoku/>
        <w:wordWrap/>
        <w:overflowPunct/>
        <w:topLinePunct w:val="0"/>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《1∶5000 1∶10000 数字地形图测绘规范》（浙江省地方 DB33/T552—2014）；</w:t>
      </w:r>
    </w:p>
    <w:p w14:paraId="636C5C57">
      <w:pPr>
        <w:keepNext w:val="0"/>
        <w:keepLines w:val="0"/>
        <w:pageBreakBefore w:val="0"/>
        <w:widowControl w:val="0"/>
        <w:tabs>
          <w:tab w:val="left" w:pos="0"/>
        </w:tabs>
        <w:kinsoku/>
        <w:wordWrap/>
        <w:overflowPunct/>
        <w:topLinePunct w:val="0"/>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《国家基本比例尺地图图式 第 1 部分∶1∶500 1∶1000 1∶2000 地形图图式》（GB/T 20257.1—2017）；</w:t>
      </w:r>
    </w:p>
    <w:p w14:paraId="4B75BFDF">
      <w:pPr>
        <w:keepNext w:val="0"/>
        <w:keepLines w:val="0"/>
        <w:pageBreakBefore w:val="0"/>
        <w:widowControl w:val="0"/>
        <w:tabs>
          <w:tab w:val="left" w:pos="0"/>
        </w:tabs>
        <w:kinsoku/>
        <w:wordWrap/>
        <w:overflowPunct/>
        <w:topLinePunct w:val="0"/>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《国家基本比例尺地图图式 第 2 部分∶1∶5000 1∶10000 地形图图式》（GB/T20257.2—2016）；</w:t>
      </w:r>
    </w:p>
    <w:p w14:paraId="7F39AFC3">
      <w:pPr>
        <w:keepNext w:val="0"/>
        <w:keepLines w:val="0"/>
        <w:pageBreakBefore w:val="0"/>
        <w:widowControl w:val="0"/>
        <w:tabs>
          <w:tab w:val="left" w:pos="0"/>
        </w:tabs>
        <w:kinsoku/>
        <w:wordWrap/>
        <w:overflowPunct/>
        <w:topLinePunct w:val="0"/>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bookmarkStart w:id="64" w:name="OLE_LINK2"/>
      <w:r>
        <w:rPr>
          <w:rFonts w:hint="eastAsia" w:ascii="宋体" w:hAnsi="宋体" w:eastAsia="宋体" w:cs="宋体"/>
          <w:color w:val="auto"/>
          <w:kern w:val="0"/>
          <w:sz w:val="24"/>
          <w:szCs w:val="24"/>
        </w:rPr>
        <w:t>遥感影像平面图制作规范</w:t>
      </w:r>
      <w:bookmarkEnd w:id="64"/>
      <w:r>
        <w:rPr>
          <w:rFonts w:hint="eastAsia" w:ascii="宋体" w:hAnsi="宋体" w:eastAsia="宋体" w:cs="宋体"/>
          <w:color w:val="auto"/>
          <w:kern w:val="0"/>
          <w:sz w:val="24"/>
          <w:szCs w:val="24"/>
        </w:rPr>
        <w:t>》（GB/T 15968—2008）；</w:t>
      </w:r>
    </w:p>
    <w:p w14:paraId="2E4C6642">
      <w:pPr>
        <w:keepNext w:val="0"/>
        <w:keepLines w:val="0"/>
        <w:pageBreakBefore w:val="0"/>
        <w:widowControl w:val="0"/>
        <w:tabs>
          <w:tab w:val="left" w:pos="0"/>
        </w:tabs>
        <w:kinsoku/>
        <w:wordWrap/>
        <w:overflowPunct/>
        <w:topLinePunct w:val="0"/>
        <w:bidi w:val="0"/>
        <w:adjustRightInd w:val="0"/>
        <w:snapToGrid/>
        <w:spacing w:line="360" w:lineRule="auto"/>
        <w:ind w:firstLine="480"/>
        <w:textAlignment w:val="auto"/>
        <w:rPr>
          <w:rFonts w:hint="eastAsia" w:ascii="宋体" w:hAnsi="宋体" w:eastAsia="宋体" w:cs="宋体"/>
          <w:kern w:val="0"/>
          <w:sz w:val="24"/>
          <w:szCs w:val="24"/>
        </w:rPr>
      </w:pPr>
      <w:r>
        <w:rPr>
          <w:rFonts w:hint="eastAsia" w:ascii="宋体" w:hAnsi="宋体" w:eastAsia="宋体" w:cs="宋体"/>
          <w:color w:val="auto"/>
          <w:kern w:val="0"/>
          <w:sz w:val="24"/>
          <w:szCs w:val="24"/>
        </w:rPr>
        <w:t>《</w:t>
      </w:r>
      <w:bookmarkStart w:id="65" w:name="OLE_LINK3"/>
      <w:r>
        <w:rPr>
          <w:rFonts w:hint="eastAsia" w:ascii="宋体" w:hAnsi="宋体" w:eastAsia="宋体" w:cs="宋体"/>
          <w:color w:val="auto"/>
          <w:kern w:val="0"/>
          <w:sz w:val="24"/>
          <w:szCs w:val="24"/>
        </w:rPr>
        <w:t>基础地理信息要素分</w:t>
      </w:r>
      <w:r>
        <w:rPr>
          <w:rFonts w:hint="eastAsia" w:ascii="宋体" w:hAnsi="宋体" w:eastAsia="宋体" w:cs="宋体"/>
          <w:kern w:val="0"/>
          <w:sz w:val="24"/>
          <w:szCs w:val="24"/>
        </w:rPr>
        <w:t>类与代码</w:t>
      </w:r>
      <w:bookmarkEnd w:id="65"/>
      <w:r>
        <w:rPr>
          <w:rFonts w:hint="eastAsia" w:ascii="宋体" w:hAnsi="宋体" w:eastAsia="宋体" w:cs="宋体"/>
          <w:kern w:val="0"/>
          <w:sz w:val="24"/>
          <w:szCs w:val="24"/>
        </w:rPr>
        <w:t>》（GB/T 13923—20</w:t>
      </w:r>
      <w:r>
        <w:rPr>
          <w:rFonts w:hint="eastAsia" w:ascii="宋体" w:hAnsi="宋体" w:cs="宋体"/>
          <w:kern w:val="0"/>
          <w:sz w:val="24"/>
          <w:szCs w:val="24"/>
          <w:lang w:val="en-US" w:eastAsia="zh-CN"/>
        </w:rPr>
        <w:t>22</w:t>
      </w:r>
      <w:r>
        <w:rPr>
          <w:rFonts w:hint="eastAsia" w:ascii="宋体" w:hAnsi="宋体" w:eastAsia="宋体" w:cs="宋体"/>
          <w:kern w:val="0"/>
          <w:sz w:val="24"/>
          <w:szCs w:val="24"/>
        </w:rPr>
        <w:t>）；</w:t>
      </w:r>
    </w:p>
    <w:p w14:paraId="134F6CB3">
      <w:pPr>
        <w:keepNext w:val="0"/>
        <w:keepLines w:val="0"/>
        <w:pageBreakBefore w:val="0"/>
        <w:widowControl w:val="0"/>
        <w:tabs>
          <w:tab w:val="left" w:pos="0"/>
        </w:tabs>
        <w:kinsoku/>
        <w:wordWrap/>
        <w:overflowPunct/>
        <w:topLinePunct w:val="0"/>
        <w:bidi w:val="0"/>
        <w:adjustRightInd w:val="0"/>
        <w:snapToGrid/>
        <w:spacing w:line="360" w:lineRule="auto"/>
        <w:ind w:firstLine="480"/>
        <w:textAlignment w:val="auto"/>
        <w:rPr>
          <w:rFonts w:hint="eastAsia" w:ascii="宋体" w:hAnsi="宋体" w:eastAsia="宋体" w:cs="宋体"/>
          <w:kern w:val="0"/>
          <w:sz w:val="24"/>
          <w:szCs w:val="24"/>
        </w:rPr>
      </w:pPr>
      <w:bookmarkStart w:id="66" w:name="OLE_LINK5"/>
      <w:r>
        <w:rPr>
          <w:rFonts w:hint="eastAsia" w:ascii="宋体" w:hAnsi="宋体" w:eastAsia="宋体" w:cs="宋体"/>
          <w:kern w:val="0"/>
          <w:sz w:val="24"/>
          <w:szCs w:val="24"/>
        </w:rPr>
        <w:t>《</w:t>
      </w:r>
      <w:bookmarkStart w:id="67" w:name="OLE_LINK4"/>
      <w:r>
        <w:rPr>
          <w:rFonts w:hint="eastAsia" w:ascii="宋体" w:hAnsi="宋体" w:eastAsia="宋体" w:cs="宋体"/>
          <w:kern w:val="0"/>
          <w:sz w:val="24"/>
          <w:szCs w:val="24"/>
        </w:rPr>
        <w:t>地理信息元数据</w:t>
      </w:r>
      <w:bookmarkEnd w:id="67"/>
      <w:r>
        <w:rPr>
          <w:rFonts w:hint="eastAsia" w:ascii="宋体" w:hAnsi="宋体" w:eastAsia="宋体" w:cs="宋体"/>
          <w:kern w:val="0"/>
          <w:sz w:val="24"/>
          <w:szCs w:val="24"/>
        </w:rPr>
        <w:t>》（GB/T 19710—20</w:t>
      </w:r>
      <w:r>
        <w:rPr>
          <w:rFonts w:hint="eastAsia" w:ascii="宋体" w:hAnsi="宋体" w:cs="宋体"/>
          <w:kern w:val="0"/>
          <w:sz w:val="24"/>
          <w:szCs w:val="24"/>
          <w:lang w:val="en-US" w:eastAsia="zh-CN"/>
        </w:rPr>
        <w:t>23</w:t>
      </w:r>
      <w:r>
        <w:rPr>
          <w:rFonts w:hint="eastAsia" w:ascii="宋体" w:hAnsi="宋体" w:eastAsia="宋体" w:cs="宋体"/>
          <w:kern w:val="0"/>
          <w:sz w:val="24"/>
          <w:szCs w:val="24"/>
        </w:rPr>
        <w:t>）</w:t>
      </w:r>
      <w:bookmarkEnd w:id="66"/>
      <w:r>
        <w:rPr>
          <w:rFonts w:hint="eastAsia" w:ascii="宋体" w:hAnsi="宋体" w:eastAsia="宋体" w:cs="宋体"/>
          <w:kern w:val="0"/>
          <w:sz w:val="24"/>
          <w:szCs w:val="24"/>
        </w:rPr>
        <w:t>；</w:t>
      </w:r>
    </w:p>
    <w:p w14:paraId="42A00470">
      <w:pPr>
        <w:keepNext w:val="0"/>
        <w:keepLines w:val="0"/>
        <w:pageBreakBefore w:val="0"/>
        <w:widowControl w:val="0"/>
        <w:tabs>
          <w:tab w:val="left" w:pos="0"/>
        </w:tabs>
        <w:kinsoku/>
        <w:wordWrap/>
        <w:overflowPunct/>
        <w:topLinePunct w:val="0"/>
        <w:bidi w:val="0"/>
        <w:adjustRightInd w:val="0"/>
        <w:snapToGrid/>
        <w:spacing w:line="36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《测绘成果质量检查与验收》（GB/T 24356-2023）。</w:t>
      </w:r>
    </w:p>
    <w:p w14:paraId="288FDD11">
      <w:pPr>
        <w:keepLines w:val="0"/>
        <w:pageBreakBefore w:val="0"/>
        <w:numPr>
          <w:ilvl w:val="-1"/>
          <w:numId w:val="0"/>
        </w:numPr>
        <w:tabs>
          <w:tab w:val="left" w:pos="0"/>
        </w:tabs>
        <w:kinsoku/>
        <w:wordWrap/>
        <w:overflowPunct/>
        <w:topLinePunct w:val="0"/>
        <w:bidi w:val="0"/>
        <w:snapToGrid/>
        <w:spacing w:line="360" w:lineRule="auto"/>
        <w:ind w:firstLine="480"/>
        <w:jc w:val="left"/>
        <w:textAlignment w:val="auto"/>
        <w:outlineLvl w:val="9"/>
        <w:rPr>
          <w:rFonts w:hint="eastAsia" w:ascii="宋体" w:hAnsi="宋体" w:eastAsia="宋体" w:cs="宋体"/>
          <w:b/>
          <w:bCs/>
          <w:kern w:val="0"/>
          <w:sz w:val="24"/>
          <w:szCs w:val="24"/>
        </w:rPr>
      </w:pPr>
      <w:r>
        <w:rPr>
          <w:rFonts w:hint="eastAsia" w:ascii="宋体" w:hAnsi="宋体" w:cs="宋体"/>
          <w:b/>
          <w:bCs/>
          <w:kern w:val="0"/>
          <w:sz w:val="24"/>
          <w:szCs w:val="24"/>
          <w:lang w:val="en-US" w:eastAsia="zh-CN"/>
        </w:rPr>
        <w:t>四、</w:t>
      </w:r>
      <w:r>
        <w:rPr>
          <w:rFonts w:hint="eastAsia" w:ascii="宋体" w:hAnsi="宋体" w:eastAsia="宋体" w:cs="宋体"/>
          <w:b/>
          <w:bCs/>
          <w:kern w:val="0"/>
          <w:sz w:val="24"/>
          <w:szCs w:val="24"/>
        </w:rPr>
        <w:t>成果主要技术指标</w:t>
      </w:r>
    </w:p>
    <w:p w14:paraId="38F5DE83">
      <w:pPr>
        <w:keepLines w:val="0"/>
        <w:pageBreakBefore w:val="0"/>
        <w:numPr>
          <w:ilvl w:val="0"/>
          <w:numId w:val="0"/>
        </w:numPr>
        <w:kinsoku/>
        <w:wordWrap/>
        <w:overflowPunct/>
        <w:topLinePunct w:val="0"/>
        <w:bidi w:val="0"/>
        <w:snapToGrid w:val="0"/>
        <w:spacing w:line="360" w:lineRule="auto"/>
        <w:jc w:val="left"/>
        <w:textAlignment w:val="auto"/>
        <w:outlineLvl w:val="1"/>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1、任务</w:t>
      </w:r>
    </w:p>
    <w:p w14:paraId="280F1428">
      <w:pPr>
        <w:keepLines w:val="0"/>
        <w:pageBreakBefore w:val="0"/>
        <w:kinsoku/>
        <w:wordWrap/>
        <w:overflowPunct/>
        <w:topLinePunct w:val="0"/>
        <w:bidi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主要任务包括准备工作、边界点和定标点预设、定标点测绘、边界线更新、边界附图与走向说明编制、成果整理、报告编制、成果确认、立标和数据库建设等。</w:t>
      </w:r>
    </w:p>
    <w:p w14:paraId="08B0D474">
      <w:pPr>
        <w:keepLines w:val="0"/>
        <w:pageBreakBefore w:val="0"/>
        <w:numPr>
          <w:ilvl w:val="0"/>
          <w:numId w:val="0"/>
        </w:numPr>
        <w:kinsoku/>
        <w:wordWrap/>
        <w:overflowPunct/>
        <w:topLinePunct w:val="0"/>
        <w:bidi w:val="0"/>
        <w:snapToGrid w:val="0"/>
        <w:spacing w:line="360" w:lineRule="auto"/>
        <w:jc w:val="left"/>
        <w:textAlignment w:val="auto"/>
        <w:outlineLvl w:val="2"/>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数学基础</w:t>
      </w:r>
    </w:p>
    <w:p w14:paraId="22E68230">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坐标系：2000 国家大地坐标系（CGCS2000）。</w:t>
      </w:r>
    </w:p>
    <w:p w14:paraId="5FDD9A89">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高程系统：正常高系统。</w:t>
      </w:r>
    </w:p>
    <w:p w14:paraId="0E901292">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高程基准：1985 国家高程基准（二期）。</w:t>
      </w:r>
    </w:p>
    <w:p w14:paraId="49129753">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投影：高斯-克吕格投影，标准 3 度分带。</w:t>
      </w:r>
    </w:p>
    <w:p w14:paraId="386BFFB9">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平面坐标与高程单位为“米”。</w:t>
      </w:r>
    </w:p>
    <w:p w14:paraId="13CEDC82">
      <w:pPr>
        <w:keepLines w:val="0"/>
        <w:pageBreakBefore w:val="0"/>
        <w:numPr>
          <w:ilvl w:val="0"/>
          <w:numId w:val="0"/>
        </w:numPr>
        <w:kinsoku/>
        <w:wordWrap/>
        <w:overflowPunct/>
        <w:topLinePunct w:val="0"/>
        <w:bidi w:val="0"/>
        <w:snapToGrid w:val="0"/>
        <w:spacing w:line="360" w:lineRule="auto"/>
        <w:jc w:val="left"/>
        <w:textAlignment w:val="auto"/>
        <w:outlineLvl w:val="2"/>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比例尺</w:t>
      </w:r>
    </w:p>
    <w:p w14:paraId="05560BC0">
      <w:pPr>
        <w:keepLines w:val="0"/>
        <w:pageBreakBefore w:val="0"/>
        <w:kinsoku/>
        <w:wordWrap/>
        <w:overflowPunct/>
        <w:topLinePunct w:val="0"/>
        <w:bidi w:val="0"/>
        <w:snapToGrid w:val="0"/>
        <w:spacing w:line="360" w:lineRule="auto"/>
        <w:ind w:left="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本项目调查基本比例尺和成图比例尺均</w:t>
      </w:r>
      <w:r>
        <w:rPr>
          <w:rFonts w:hint="eastAsia" w:ascii="宋体" w:hAnsi="宋体" w:cs="宋体"/>
          <w:sz w:val="24"/>
          <w:szCs w:val="24"/>
          <w:highlight w:val="none"/>
          <w:lang w:eastAsia="zh-CN"/>
        </w:rPr>
        <w:t>采用</w:t>
      </w:r>
      <w:r>
        <w:rPr>
          <w:rFonts w:hint="eastAsia" w:ascii="宋体" w:hAnsi="宋体" w:eastAsia="宋体" w:cs="宋体"/>
          <w:sz w:val="24"/>
          <w:szCs w:val="24"/>
          <w:highlight w:val="none"/>
        </w:rPr>
        <w:t xml:space="preserve"> 1：2000。</w:t>
      </w:r>
    </w:p>
    <w:p w14:paraId="17CDC85E">
      <w:pPr>
        <w:keepLines w:val="0"/>
        <w:pageBreakBefore w:val="0"/>
        <w:numPr>
          <w:ilvl w:val="0"/>
          <w:numId w:val="0"/>
        </w:numPr>
        <w:kinsoku/>
        <w:wordWrap/>
        <w:overflowPunct/>
        <w:topLinePunct w:val="0"/>
        <w:bidi w:val="0"/>
        <w:snapToGrid w:val="0"/>
        <w:spacing w:line="360" w:lineRule="auto"/>
        <w:jc w:val="left"/>
        <w:textAlignment w:val="auto"/>
        <w:outlineLvl w:val="2"/>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精度指标</w:t>
      </w:r>
    </w:p>
    <w:p w14:paraId="5BDED857">
      <w:pPr>
        <w:keepLines w:val="0"/>
        <w:pageBreakBefore w:val="0"/>
        <w:numPr>
          <w:ilvl w:val="0"/>
          <w:numId w:val="0"/>
        </w:numPr>
        <w:kinsoku/>
        <w:wordWrap/>
        <w:overflowPunct/>
        <w:topLinePunct w:val="0"/>
        <w:bidi w:val="0"/>
        <w:snapToGrid w:val="0"/>
        <w:spacing w:line="360" w:lineRule="auto"/>
        <w:ind w:left="420" w:leftChars="0"/>
        <w:jc w:val="left"/>
        <w:textAlignment w:val="auto"/>
        <w:outlineLvl w:val="3"/>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4.1</w:t>
      </w:r>
      <w:r>
        <w:rPr>
          <w:rFonts w:hint="eastAsia" w:ascii="宋体" w:hAnsi="宋体" w:eastAsia="宋体" w:cs="宋体"/>
          <w:sz w:val="24"/>
          <w:szCs w:val="24"/>
          <w:highlight w:val="none"/>
        </w:rPr>
        <w:t>平面精度</w:t>
      </w:r>
    </w:p>
    <w:p w14:paraId="0DDC5A20">
      <w:pPr>
        <w:keepLines w:val="0"/>
        <w:pageBreakBefore w:val="0"/>
        <w:kinsoku/>
        <w:wordWrap/>
        <w:overflowPunct/>
        <w:topLinePunct w:val="0"/>
        <w:autoSpaceDE w:val="0"/>
        <w:autoSpaceDN w:val="0"/>
        <w:bidi w:val="0"/>
        <w:adjustRightInd w:val="0"/>
        <w:spacing w:before="156" w:beforeLines="50" w:after="156" w:afterLines="50" w:line="360" w:lineRule="auto"/>
        <w:jc w:val="center"/>
        <w:textAlignment w:val="auto"/>
        <w:rPr>
          <w:rFonts w:hint="default" w:ascii="宋体" w:hAnsi="宋体" w:eastAsia="宋体" w:cs="宋体"/>
          <w:sz w:val="24"/>
          <w:szCs w:val="24"/>
          <w:highlight w:val="none"/>
          <w:lang w:val="en-US" w:eastAsia="zh-CN"/>
        </w:rPr>
      </w:pPr>
      <w:bookmarkStart w:id="68" w:name="_Hlk34225671"/>
      <w:r>
        <w:rPr>
          <w:rFonts w:hint="eastAsia" w:ascii="宋体" w:hAnsi="宋体" w:cs="宋体"/>
          <w:sz w:val="24"/>
          <w:szCs w:val="24"/>
          <w:highlight w:val="none"/>
          <w:lang w:val="en-US" w:eastAsia="zh-CN"/>
        </w:rPr>
        <w:t>实测定标点平面精度适用表1，总点位中误差应不大于</w:t>
      </w:r>
      <w:r>
        <w:rPr>
          <w:rFonts w:hint="eastAsia" w:ascii="宋体" w:hAnsi="宋体" w:eastAsia="宋体" w:cs="宋体"/>
          <w:kern w:val="0"/>
          <w:sz w:val="24"/>
          <w:szCs w:val="24"/>
          <w:highlight w:val="none"/>
        </w:rPr>
        <w:t>±0.</w:t>
      </w:r>
      <w:r>
        <w:rPr>
          <w:rFonts w:hint="eastAsia" w:ascii="宋体" w:hAnsi="宋体" w:cs="宋体"/>
          <w:kern w:val="0"/>
          <w:sz w:val="24"/>
          <w:szCs w:val="24"/>
          <w:highlight w:val="none"/>
          <w:lang w:val="en-US" w:eastAsia="zh-CN"/>
        </w:rPr>
        <w:t>2米</w:t>
      </w:r>
    </w:p>
    <w:p w14:paraId="33439FD3">
      <w:pPr>
        <w:keepLines w:val="0"/>
        <w:pageBreakBefore w:val="0"/>
        <w:kinsoku/>
        <w:wordWrap/>
        <w:overflowPunct/>
        <w:topLinePunct w:val="0"/>
        <w:autoSpaceDE w:val="0"/>
        <w:autoSpaceDN w:val="0"/>
        <w:bidi w:val="0"/>
        <w:adjustRightInd w:val="0"/>
        <w:spacing w:before="156" w:beforeLines="50" w:after="156" w:afterLines="5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表1 </w:t>
      </w:r>
      <w:r>
        <w:rPr>
          <w:rFonts w:hint="eastAsia" w:ascii="宋体" w:hAnsi="宋体" w:cs="宋体"/>
          <w:sz w:val="24"/>
          <w:szCs w:val="24"/>
          <w:highlight w:val="none"/>
          <w:lang w:val="en-US" w:eastAsia="zh-CN"/>
        </w:rPr>
        <w:t>实测定标点平面精度要求及</w:t>
      </w:r>
      <w:r>
        <w:rPr>
          <w:rFonts w:hint="eastAsia" w:ascii="宋体" w:hAnsi="宋体" w:eastAsia="宋体" w:cs="宋体"/>
          <w:sz w:val="24"/>
          <w:szCs w:val="24"/>
          <w:highlight w:val="none"/>
        </w:rPr>
        <w:t>适用范围</w:t>
      </w:r>
      <w:bookmarkEnd w:id="68"/>
    </w:p>
    <w:tbl>
      <w:tblPr>
        <w:tblStyle w:val="60"/>
        <w:tblW w:w="8623" w:type="dxa"/>
        <w:jc w:val="center"/>
        <w:tblLayout w:type="fixed"/>
        <w:tblCellMar>
          <w:top w:w="0" w:type="dxa"/>
          <w:left w:w="108" w:type="dxa"/>
          <w:bottom w:w="0" w:type="dxa"/>
          <w:right w:w="108" w:type="dxa"/>
        </w:tblCellMar>
      </w:tblPr>
      <w:tblGrid>
        <w:gridCol w:w="736"/>
        <w:gridCol w:w="1290"/>
        <w:gridCol w:w="1320"/>
        <w:gridCol w:w="5277"/>
      </w:tblGrid>
      <w:tr w14:paraId="542C1073">
        <w:tblPrEx>
          <w:tblCellMar>
            <w:top w:w="0" w:type="dxa"/>
            <w:left w:w="108" w:type="dxa"/>
            <w:bottom w:w="0" w:type="dxa"/>
            <w:right w:w="108" w:type="dxa"/>
          </w:tblCellMar>
        </w:tblPrEx>
        <w:trPr>
          <w:trHeight w:val="1039" w:hRule="exact"/>
          <w:jc w:val="center"/>
        </w:trPr>
        <w:tc>
          <w:tcPr>
            <w:tcW w:w="736" w:type="dxa"/>
            <w:vMerge w:val="restart"/>
            <w:tcBorders>
              <w:top w:val="single" w:color="auto" w:sz="4" w:space="0"/>
              <w:left w:val="single" w:color="auto" w:sz="4" w:space="0"/>
              <w:bottom w:val="single" w:color="000000" w:sz="4" w:space="0"/>
              <w:right w:val="single" w:color="auto" w:sz="4" w:space="0"/>
            </w:tcBorders>
            <w:noWrap w:val="0"/>
            <w:vAlign w:val="center"/>
          </w:tcPr>
          <w:p w14:paraId="4AB3968B">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类别</w:t>
            </w:r>
          </w:p>
        </w:tc>
        <w:tc>
          <w:tcPr>
            <w:tcW w:w="2610" w:type="dxa"/>
            <w:gridSpan w:val="2"/>
            <w:tcBorders>
              <w:top w:val="single" w:color="auto" w:sz="4" w:space="0"/>
              <w:left w:val="single" w:color="auto" w:sz="4" w:space="0"/>
              <w:bottom w:val="single" w:color="000000" w:sz="4" w:space="0"/>
              <w:right w:val="single" w:color="000000" w:sz="4" w:space="0"/>
            </w:tcBorders>
            <w:noWrap w:val="0"/>
            <w:vAlign w:val="center"/>
          </w:tcPr>
          <w:p w14:paraId="07D9B800">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相对</w:t>
            </w:r>
            <w:r>
              <w:rPr>
                <w:rFonts w:hint="eastAsia" w:ascii="宋体" w:hAnsi="宋体" w:cs="宋体"/>
                <w:kern w:val="0"/>
                <w:sz w:val="24"/>
                <w:szCs w:val="24"/>
                <w:highlight w:val="none"/>
                <w:lang w:val="en-US" w:eastAsia="zh-CN"/>
              </w:rPr>
              <w:t>于</w:t>
            </w:r>
            <w:r>
              <w:rPr>
                <w:rFonts w:hint="eastAsia" w:ascii="宋体" w:hAnsi="宋体" w:eastAsia="宋体" w:cs="宋体"/>
                <w:kern w:val="0"/>
                <w:sz w:val="24"/>
                <w:szCs w:val="24"/>
                <w:highlight w:val="none"/>
              </w:rPr>
              <w:t>邻近控制点的点位误差（m）</w:t>
            </w:r>
          </w:p>
        </w:tc>
        <w:tc>
          <w:tcPr>
            <w:tcW w:w="5277" w:type="dxa"/>
            <w:vMerge w:val="restart"/>
            <w:tcBorders>
              <w:top w:val="single" w:color="auto" w:sz="4" w:space="0"/>
              <w:left w:val="single" w:color="auto" w:sz="4" w:space="0"/>
              <w:right w:val="single" w:color="auto" w:sz="4" w:space="0"/>
            </w:tcBorders>
            <w:noWrap w:val="0"/>
            <w:vAlign w:val="center"/>
          </w:tcPr>
          <w:p w14:paraId="59DD1DBD">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适 用 范 围</w:t>
            </w:r>
          </w:p>
        </w:tc>
      </w:tr>
      <w:tr w14:paraId="5729E355">
        <w:tblPrEx>
          <w:tblCellMar>
            <w:top w:w="0" w:type="dxa"/>
            <w:left w:w="108" w:type="dxa"/>
            <w:bottom w:w="0" w:type="dxa"/>
            <w:right w:w="108" w:type="dxa"/>
          </w:tblCellMar>
        </w:tblPrEx>
        <w:trPr>
          <w:trHeight w:val="416" w:hRule="exact"/>
          <w:jc w:val="center"/>
        </w:trPr>
        <w:tc>
          <w:tcPr>
            <w:tcW w:w="736" w:type="dxa"/>
            <w:vMerge w:val="continue"/>
            <w:tcBorders>
              <w:top w:val="single" w:color="auto" w:sz="4" w:space="0"/>
              <w:left w:val="single" w:color="auto" w:sz="4" w:space="0"/>
              <w:bottom w:val="single" w:color="000000" w:sz="4" w:space="0"/>
              <w:right w:val="single" w:color="auto" w:sz="4" w:space="0"/>
            </w:tcBorders>
            <w:noWrap w:val="0"/>
            <w:vAlign w:val="center"/>
          </w:tcPr>
          <w:p w14:paraId="38D07A22">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p>
        </w:tc>
        <w:tc>
          <w:tcPr>
            <w:tcW w:w="1290" w:type="dxa"/>
            <w:tcBorders>
              <w:top w:val="nil"/>
              <w:left w:val="nil"/>
              <w:bottom w:val="single" w:color="auto" w:sz="4" w:space="0"/>
              <w:right w:val="single" w:color="auto" w:sz="4" w:space="0"/>
            </w:tcBorders>
            <w:noWrap w:val="0"/>
            <w:vAlign w:val="center"/>
          </w:tcPr>
          <w:p w14:paraId="7FFF5992">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中误差</w:t>
            </w:r>
          </w:p>
        </w:tc>
        <w:tc>
          <w:tcPr>
            <w:tcW w:w="1320" w:type="dxa"/>
            <w:tcBorders>
              <w:top w:val="nil"/>
              <w:left w:val="nil"/>
              <w:bottom w:val="single" w:color="auto" w:sz="4" w:space="0"/>
              <w:right w:val="single" w:color="auto" w:sz="4" w:space="0"/>
            </w:tcBorders>
            <w:noWrap w:val="0"/>
            <w:vAlign w:val="center"/>
          </w:tcPr>
          <w:p w14:paraId="53A9B9B1">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限差</w:t>
            </w:r>
          </w:p>
        </w:tc>
        <w:tc>
          <w:tcPr>
            <w:tcW w:w="5277" w:type="dxa"/>
            <w:vMerge w:val="continue"/>
            <w:tcBorders>
              <w:left w:val="single" w:color="auto" w:sz="4" w:space="0"/>
              <w:bottom w:val="single" w:color="auto" w:sz="4" w:space="0"/>
              <w:right w:val="single" w:color="auto" w:sz="4" w:space="0"/>
            </w:tcBorders>
            <w:noWrap w:val="0"/>
            <w:vAlign w:val="center"/>
          </w:tcPr>
          <w:p w14:paraId="09823F91">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p>
        </w:tc>
      </w:tr>
      <w:tr w14:paraId="498BA87F">
        <w:tblPrEx>
          <w:tblCellMar>
            <w:top w:w="0" w:type="dxa"/>
            <w:left w:w="108" w:type="dxa"/>
            <w:bottom w:w="0" w:type="dxa"/>
            <w:right w:w="108" w:type="dxa"/>
          </w:tblCellMar>
        </w:tblPrEx>
        <w:trPr>
          <w:trHeight w:val="567" w:hRule="exact"/>
          <w:jc w:val="center"/>
        </w:trPr>
        <w:tc>
          <w:tcPr>
            <w:tcW w:w="736" w:type="dxa"/>
            <w:tcBorders>
              <w:top w:val="nil"/>
              <w:left w:val="single" w:color="auto" w:sz="4" w:space="0"/>
              <w:bottom w:val="single" w:color="auto" w:sz="4" w:space="0"/>
              <w:right w:val="single" w:color="auto" w:sz="4" w:space="0"/>
            </w:tcBorders>
            <w:noWrap w:val="0"/>
            <w:vAlign w:val="center"/>
          </w:tcPr>
          <w:p w14:paraId="2F384085">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一</w:t>
            </w:r>
          </w:p>
        </w:tc>
        <w:tc>
          <w:tcPr>
            <w:tcW w:w="1290" w:type="dxa"/>
            <w:tcBorders>
              <w:top w:val="nil"/>
              <w:left w:val="nil"/>
              <w:bottom w:val="single" w:color="auto" w:sz="4" w:space="0"/>
              <w:right w:val="single" w:color="auto" w:sz="4" w:space="0"/>
            </w:tcBorders>
            <w:noWrap w:val="0"/>
            <w:vAlign w:val="center"/>
          </w:tcPr>
          <w:p w14:paraId="2CE66D8E">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±0.15</w:t>
            </w:r>
          </w:p>
        </w:tc>
        <w:tc>
          <w:tcPr>
            <w:tcW w:w="1320" w:type="dxa"/>
            <w:tcBorders>
              <w:top w:val="nil"/>
              <w:left w:val="nil"/>
              <w:bottom w:val="single" w:color="auto" w:sz="4" w:space="0"/>
              <w:right w:val="single" w:color="auto" w:sz="4" w:space="0"/>
            </w:tcBorders>
            <w:noWrap w:val="0"/>
            <w:vAlign w:val="center"/>
          </w:tcPr>
          <w:p w14:paraId="4ABDFB06">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±0.3</w:t>
            </w:r>
          </w:p>
        </w:tc>
        <w:tc>
          <w:tcPr>
            <w:tcW w:w="5277" w:type="dxa"/>
            <w:tcBorders>
              <w:top w:val="nil"/>
              <w:left w:val="nil"/>
              <w:bottom w:val="single" w:color="auto" w:sz="4" w:space="0"/>
              <w:right w:val="single" w:color="auto" w:sz="4" w:space="0"/>
            </w:tcBorders>
            <w:noWrap w:val="0"/>
            <w:vAlign w:val="center"/>
          </w:tcPr>
          <w:p w14:paraId="103111B3">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实测法：观测条件良好的定标点</w:t>
            </w:r>
          </w:p>
        </w:tc>
      </w:tr>
      <w:tr w14:paraId="062396A0">
        <w:tblPrEx>
          <w:tblCellMar>
            <w:top w:w="0" w:type="dxa"/>
            <w:left w:w="108" w:type="dxa"/>
            <w:bottom w:w="0" w:type="dxa"/>
            <w:right w:w="108" w:type="dxa"/>
          </w:tblCellMar>
        </w:tblPrEx>
        <w:trPr>
          <w:trHeight w:val="567" w:hRule="exact"/>
          <w:jc w:val="center"/>
        </w:trPr>
        <w:tc>
          <w:tcPr>
            <w:tcW w:w="736" w:type="dxa"/>
            <w:tcBorders>
              <w:top w:val="nil"/>
              <w:left w:val="single" w:color="auto" w:sz="4" w:space="0"/>
              <w:bottom w:val="single" w:color="auto" w:sz="4" w:space="0"/>
              <w:right w:val="single" w:color="auto" w:sz="4" w:space="0"/>
            </w:tcBorders>
            <w:noWrap w:val="0"/>
            <w:vAlign w:val="center"/>
          </w:tcPr>
          <w:p w14:paraId="24E090B1">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二</w:t>
            </w:r>
          </w:p>
        </w:tc>
        <w:tc>
          <w:tcPr>
            <w:tcW w:w="1290" w:type="dxa"/>
            <w:tcBorders>
              <w:top w:val="nil"/>
              <w:left w:val="nil"/>
              <w:bottom w:val="single" w:color="auto" w:sz="4" w:space="0"/>
              <w:right w:val="single" w:color="auto" w:sz="4" w:space="0"/>
            </w:tcBorders>
            <w:noWrap w:val="0"/>
            <w:vAlign w:val="center"/>
          </w:tcPr>
          <w:p w14:paraId="404BD4D3">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±0.6</w:t>
            </w:r>
          </w:p>
        </w:tc>
        <w:tc>
          <w:tcPr>
            <w:tcW w:w="1320" w:type="dxa"/>
            <w:tcBorders>
              <w:top w:val="nil"/>
              <w:left w:val="nil"/>
              <w:bottom w:val="single" w:color="auto" w:sz="4" w:space="0"/>
              <w:right w:val="single" w:color="auto" w:sz="4" w:space="0"/>
            </w:tcBorders>
            <w:noWrap w:val="0"/>
            <w:vAlign w:val="center"/>
          </w:tcPr>
          <w:p w14:paraId="4AB9F794">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w:t>
            </w:r>
          </w:p>
        </w:tc>
        <w:tc>
          <w:tcPr>
            <w:tcW w:w="5277" w:type="dxa"/>
            <w:tcBorders>
              <w:top w:val="nil"/>
              <w:left w:val="nil"/>
              <w:bottom w:val="single" w:color="auto" w:sz="4" w:space="0"/>
              <w:right w:val="single" w:color="auto" w:sz="4" w:space="0"/>
            </w:tcBorders>
            <w:noWrap w:val="0"/>
            <w:vAlign w:val="center"/>
          </w:tcPr>
          <w:p w14:paraId="77284EFE">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实测法：位置隐蔽、观测条件不佳的定标点</w:t>
            </w:r>
          </w:p>
        </w:tc>
      </w:tr>
      <w:tr w14:paraId="5E507DA4">
        <w:tblPrEx>
          <w:tblCellMar>
            <w:top w:w="0" w:type="dxa"/>
            <w:left w:w="108" w:type="dxa"/>
            <w:bottom w:w="0" w:type="dxa"/>
            <w:right w:w="108" w:type="dxa"/>
          </w:tblCellMar>
        </w:tblPrEx>
        <w:trPr>
          <w:trHeight w:val="720" w:hRule="exact"/>
          <w:jc w:val="center"/>
        </w:trPr>
        <w:tc>
          <w:tcPr>
            <w:tcW w:w="736" w:type="dxa"/>
            <w:tcBorders>
              <w:top w:val="nil"/>
              <w:left w:val="single" w:color="auto" w:sz="4" w:space="0"/>
              <w:bottom w:val="single" w:color="auto" w:sz="4" w:space="0"/>
              <w:right w:val="single" w:color="auto" w:sz="4" w:space="0"/>
            </w:tcBorders>
            <w:noWrap w:val="0"/>
            <w:vAlign w:val="center"/>
          </w:tcPr>
          <w:p w14:paraId="5E1C3D1C">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三</w:t>
            </w:r>
          </w:p>
        </w:tc>
        <w:tc>
          <w:tcPr>
            <w:tcW w:w="1290" w:type="dxa"/>
            <w:tcBorders>
              <w:top w:val="nil"/>
              <w:left w:val="nil"/>
              <w:bottom w:val="single" w:color="auto" w:sz="4" w:space="0"/>
              <w:right w:val="single" w:color="auto" w:sz="4" w:space="0"/>
            </w:tcBorders>
            <w:noWrap w:val="0"/>
            <w:vAlign w:val="center"/>
          </w:tcPr>
          <w:p w14:paraId="526F3C58">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w:t>
            </w:r>
          </w:p>
        </w:tc>
        <w:tc>
          <w:tcPr>
            <w:tcW w:w="1320" w:type="dxa"/>
            <w:tcBorders>
              <w:top w:val="nil"/>
              <w:left w:val="nil"/>
              <w:bottom w:val="single" w:color="auto" w:sz="4" w:space="0"/>
              <w:right w:val="single" w:color="auto" w:sz="4" w:space="0"/>
            </w:tcBorders>
            <w:noWrap w:val="0"/>
            <w:vAlign w:val="center"/>
          </w:tcPr>
          <w:p w14:paraId="549250DF">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±2.4</w:t>
            </w:r>
          </w:p>
        </w:tc>
        <w:tc>
          <w:tcPr>
            <w:tcW w:w="5277" w:type="dxa"/>
            <w:tcBorders>
              <w:top w:val="nil"/>
              <w:left w:val="nil"/>
              <w:bottom w:val="single" w:color="auto" w:sz="4" w:space="0"/>
              <w:right w:val="single" w:color="auto" w:sz="4" w:space="0"/>
            </w:tcBorders>
            <w:noWrap w:val="0"/>
            <w:vAlign w:val="center"/>
          </w:tcPr>
          <w:p w14:paraId="2FF5B7B9">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测量条件不良，采用高清影像辨识确定的定标点</w:t>
            </w:r>
          </w:p>
        </w:tc>
      </w:tr>
    </w:tbl>
    <w:p w14:paraId="5E455FF7">
      <w:pPr>
        <w:keepLines w:val="0"/>
        <w:pageBreakBefore w:val="0"/>
        <w:kinsoku/>
        <w:wordWrap/>
        <w:overflowPunct/>
        <w:topLinePunct w:val="0"/>
        <w:bidi w:val="0"/>
        <w:snapToGrid w:val="0"/>
        <w:spacing w:line="360" w:lineRule="auto"/>
        <w:ind w:left="420"/>
        <w:jc w:val="left"/>
        <w:textAlignment w:val="auto"/>
        <w:rPr>
          <w:rFonts w:hint="eastAsia" w:ascii="宋体" w:hAnsi="宋体" w:eastAsia="宋体" w:cs="宋体"/>
          <w:sz w:val="24"/>
          <w:szCs w:val="24"/>
          <w:highlight w:val="none"/>
        </w:rPr>
      </w:pPr>
    </w:p>
    <w:p w14:paraId="06EF4CE7">
      <w:pPr>
        <w:keepLines w:val="0"/>
        <w:pageBreakBefore w:val="0"/>
        <w:numPr>
          <w:ilvl w:val="0"/>
          <w:numId w:val="0"/>
        </w:numPr>
        <w:kinsoku/>
        <w:wordWrap/>
        <w:overflowPunct/>
        <w:topLinePunct w:val="0"/>
        <w:bidi w:val="0"/>
        <w:snapToGrid w:val="0"/>
        <w:spacing w:line="360" w:lineRule="auto"/>
        <w:ind w:left="420" w:leftChars="0"/>
        <w:jc w:val="left"/>
        <w:textAlignment w:val="auto"/>
        <w:outlineLvl w:val="3"/>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4.2</w:t>
      </w:r>
      <w:r>
        <w:rPr>
          <w:rFonts w:hint="eastAsia" w:ascii="宋体" w:hAnsi="宋体" w:eastAsia="宋体" w:cs="宋体"/>
          <w:sz w:val="24"/>
          <w:szCs w:val="24"/>
          <w:highlight w:val="none"/>
        </w:rPr>
        <w:t>高程精度</w:t>
      </w:r>
    </w:p>
    <w:p w14:paraId="054F67B5">
      <w:pPr>
        <w:keepLines w:val="0"/>
        <w:pageBreakBefore w:val="0"/>
        <w:kinsoku/>
        <w:wordWrap/>
        <w:overflowPunct/>
        <w:topLinePunct w:val="0"/>
        <w:bidi w:val="0"/>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实测定标点高程采用省级大地精化水准面计算高程异常值。高程精度要求适用表2，总高程中误差应不大于</w:t>
      </w:r>
      <w:r>
        <w:rPr>
          <w:rFonts w:hint="eastAsia" w:ascii="宋体" w:hAnsi="宋体" w:eastAsia="宋体" w:cs="宋体"/>
          <w:kern w:val="0"/>
          <w:sz w:val="24"/>
          <w:szCs w:val="24"/>
          <w:highlight w:val="none"/>
        </w:rPr>
        <w:t>±</w:t>
      </w:r>
      <w:r>
        <w:rPr>
          <w:rFonts w:hint="eastAsia" w:ascii="宋体" w:hAnsi="宋体" w:cs="宋体"/>
          <w:kern w:val="0"/>
          <w:sz w:val="24"/>
          <w:szCs w:val="24"/>
          <w:highlight w:val="none"/>
          <w:lang w:val="en-US" w:eastAsia="zh-CN"/>
        </w:rPr>
        <w:t>2.0米</w:t>
      </w:r>
    </w:p>
    <w:p w14:paraId="173B6C3F">
      <w:pPr>
        <w:keepLines w:val="0"/>
        <w:pageBreakBefore w:val="0"/>
        <w:kinsoku/>
        <w:wordWrap/>
        <w:overflowPunct/>
        <w:topLinePunct w:val="0"/>
        <w:autoSpaceDE w:val="0"/>
        <w:autoSpaceDN w:val="0"/>
        <w:bidi w:val="0"/>
        <w:adjustRightInd w:val="0"/>
        <w:spacing w:before="156" w:beforeLines="50" w:after="156" w:afterLines="5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表2</w:t>
      </w:r>
      <w:r>
        <w:rPr>
          <w:rFonts w:hint="eastAsia" w:ascii="宋体" w:hAnsi="宋体" w:cs="宋体"/>
          <w:sz w:val="24"/>
          <w:szCs w:val="24"/>
          <w:highlight w:val="none"/>
          <w:lang w:val="en-US" w:eastAsia="zh-CN"/>
        </w:rPr>
        <w:t xml:space="preserve"> 实测定标点高程精度要求</w:t>
      </w:r>
      <w:r>
        <w:rPr>
          <w:rFonts w:hint="eastAsia" w:ascii="宋体" w:hAnsi="宋体" w:eastAsia="宋体" w:cs="宋体"/>
          <w:sz w:val="24"/>
          <w:szCs w:val="24"/>
          <w:highlight w:val="none"/>
        </w:rPr>
        <w:t>及适用范围</w:t>
      </w:r>
    </w:p>
    <w:tbl>
      <w:tblPr>
        <w:tblStyle w:val="60"/>
        <w:tblW w:w="8755" w:type="dxa"/>
        <w:tblInd w:w="0" w:type="dxa"/>
        <w:tblLayout w:type="fixed"/>
        <w:tblCellMar>
          <w:top w:w="0" w:type="dxa"/>
          <w:left w:w="108" w:type="dxa"/>
          <w:bottom w:w="0" w:type="dxa"/>
          <w:right w:w="108" w:type="dxa"/>
        </w:tblCellMar>
      </w:tblPr>
      <w:tblGrid>
        <w:gridCol w:w="837"/>
        <w:gridCol w:w="1245"/>
        <w:gridCol w:w="1395"/>
        <w:gridCol w:w="5278"/>
      </w:tblGrid>
      <w:tr w14:paraId="0C57CE4D">
        <w:tblPrEx>
          <w:tblCellMar>
            <w:top w:w="0" w:type="dxa"/>
            <w:left w:w="108" w:type="dxa"/>
            <w:bottom w:w="0" w:type="dxa"/>
            <w:right w:w="108" w:type="dxa"/>
          </w:tblCellMar>
        </w:tblPrEx>
        <w:trPr>
          <w:trHeight w:val="990" w:hRule="exact"/>
        </w:trPr>
        <w:tc>
          <w:tcPr>
            <w:tcW w:w="837" w:type="dxa"/>
            <w:vMerge w:val="restart"/>
            <w:tcBorders>
              <w:top w:val="single" w:color="auto" w:sz="4" w:space="0"/>
              <w:left w:val="single" w:color="auto" w:sz="4" w:space="0"/>
              <w:bottom w:val="single" w:color="000000" w:sz="4" w:space="0"/>
              <w:right w:val="single" w:color="auto" w:sz="4" w:space="0"/>
            </w:tcBorders>
            <w:noWrap w:val="0"/>
            <w:vAlign w:val="center"/>
          </w:tcPr>
          <w:p w14:paraId="5D570690">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类</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别</w:t>
            </w:r>
          </w:p>
        </w:tc>
        <w:tc>
          <w:tcPr>
            <w:tcW w:w="2640" w:type="dxa"/>
            <w:gridSpan w:val="2"/>
            <w:tcBorders>
              <w:top w:val="single" w:color="auto" w:sz="4" w:space="0"/>
              <w:left w:val="single" w:color="auto" w:sz="4" w:space="0"/>
              <w:bottom w:val="single" w:color="000000" w:sz="4" w:space="0"/>
              <w:right w:val="single" w:color="000000" w:sz="4" w:space="0"/>
            </w:tcBorders>
            <w:noWrap w:val="0"/>
            <w:vAlign w:val="center"/>
          </w:tcPr>
          <w:p w14:paraId="2C402132">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相对于</w:t>
            </w:r>
            <w:r>
              <w:rPr>
                <w:rFonts w:hint="eastAsia" w:ascii="宋体" w:hAnsi="宋体" w:eastAsia="宋体" w:cs="宋体"/>
                <w:kern w:val="0"/>
                <w:sz w:val="24"/>
                <w:szCs w:val="24"/>
                <w:highlight w:val="none"/>
              </w:rPr>
              <w:t>邻近控制</w:t>
            </w:r>
            <w:r>
              <w:rPr>
                <w:rFonts w:hint="eastAsia" w:ascii="宋体" w:hAnsi="宋体" w:cs="宋体"/>
                <w:kern w:val="0"/>
                <w:sz w:val="24"/>
                <w:szCs w:val="24"/>
                <w:highlight w:val="none"/>
                <w:lang w:eastAsia="zh-CN"/>
              </w:rPr>
              <w:t>点的高程</w:t>
            </w:r>
            <w:r>
              <w:rPr>
                <w:rFonts w:hint="eastAsia" w:ascii="宋体" w:hAnsi="宋体" w:eastAsia="宋体" w:cs="宋体"/>
                <w:kern w:val="0"/>
                <w:sz w:val="24"/>
                <w:szCs w:val="24"/>
                <w:highlight w:val="none"/>
              </w:rPr>
              <w:t>误差（m）</w:t>
            </w:r>
          </w:p>
        </w:tc>
        <w:tc>
          <w:tcPr>
            <w:tcW w:w="5278" w:type="dxa"/>
            <w:vMerge w:val="restart"/>
            <w:tcBorders>
              <w:top w:val="single" w:color="auto" w:sz="4" w:space="0"/>
              <w:left w:val="single" w:color="auto" w:sz="4" w:space="0"/>
              <w:right w:val="single" w:color="auto" w:sz="4" w:space="0"/>
            </w:tcBorders>
            <w:noWrap w:val="0"/>
            <w:vAlign w:val="center"/>
          </w:tcPr>
          <w:p w14:paraId="38E68B54">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适 用 范 围</w:t>
            </w:r>
          </w:p>
        </w:tc>
      </w:tr>
      <w:tr w14:paraId="52C352A0">
        <w:tblPrEx>
          <w:tblCellMar>
            <w:top w:w="0" w:type="dxa"/>
            <w:left w:w="108" w:type="dxa"/>
            <w:bottom w:w="0" w:type="dxa"/>
            <w:right w:w="108" w:type="dxa"/>
          </w:tblCellMar>
        </w:tblPrEx>
        <w:trPr>
          <w:trHeight w:val="449" w:hRule="exact"/>
        </w:trPr>
        <w:tc>
          <w:tcPr>
            <w:tcW w:w="837" w:type="dxa"/>
            <w:vMerge w:val="continue"/>
            <w:tcBorders>
              <w:top w:val="single" w:color="auto" w:sz="4" w:space="0"/>
              <w:left w:val="single" w:color="auto" w:sz="4" w:space="0"/>
              <w:bottom w:val="single" w:color="000000" w:sz="4" w:space="0"/>
              <w:right w:val="single" w:color="auto" w:sz="4" w:space="0"/>
            </w:tcBorders>
            <w:noWrap w:val="0"/>
            <w:vAlign w:val="center"/>
          </w:tcPr>
          <w:p w14:paraId="40A751A5">
            <w:pPr>
              <w:keepLines w:val="0"/>
              <w:pageBreakBefore w:val="0"/>
              <w:kinsoku/>
              <w:wordWrap/>
              <w:overflowPunct/>
              <w:topLinePunct w:val="0"/>
              <w:bidi w:val="0"/>
              <w:spacing w:line="360" w:lineRule="auto"/>
              <w:textAlignment w:val="auto"/>
              <w:rPr>
                <w:rFonts w:hint="eastAsia" w:ascii="宋体" w:hAnsi="宋体" w:eastAsia="宋体" w:cs="宋体"/>
                <w:kern w:val="0"/>
                <w:sz w:val="24"/>
                <w:szCs w:val="24"/>
                <w:highlight w:val="none"/>
              </w:rPr>
            </w:pPr>
          </w:p>
        </w:tc>
        <w:tc>
          <w:tcPr>
            <w:tcW w:w="1245" w:type="dxa"/>
            <w:tcBorders>
              <w:top w:val="nil"/>
              <w:left w:val="nil"/>
              <w:bottom w:val="single" w:color="auto" w:sz="4" w:space="0"/>
              <w:right w:val="single" w:color="auto" w:sz="4" w:space="0"/>
            </w:tcBorders>
            <w:noWrap w:val="0"/>
            <w:vAlign w:val="center"/>
          </w:tcPr>
          <w:p w14:paraId="0A80272E">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中误差</w:t>
            </w:r>
          </w:p>
        </w:tc>
        <w:tc>
          <w:tcPr>
            <w:tcW w:w="1395" w:type="dxa"/>
            <w:tcBorders>
              <w:top w:val="nil"/>
              <w:left w:val="nil"/>
              <w:bottom w:val="single" w:color="auto" w:sz="4" w:space="0"/>
              <w:right w:val="single" w:color="auto" w:sz="4" w:space="0"/>
            </w:tcBorders>
            <w:noWrap w:val="0"/>
            <w:vAlign w:val="center"/>
          </w:tcPr>
          <w:p w14:paraId="78E975A7">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最大误差</w:t>
            </w:r>
          </w:p>
        </w:tc>
        <w:tc>
          <w:tcPr>
            <w:tcW w:w="5278" w:type="dxa"/>
            <w:vMerge w:val="continue"/>
            <w:tcBorders>
              <w:left w:val="single" w:color="auto" w:sz="4" w:space="0"/>
              <w:bottom w:val="single" w:color="auto" w:sz="4" w:space="0"/>
              <w:right w:val="single" w:color="auto" w:sz="4" w:space="0"/>
            </w:tcBorders>
            <w:noWrap w:val="0"/>
            <w:vAlign w:val="center"/>
          </w:tcPr>
          <w:p w14:paraId="6B0D740A">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p>
        </w:tc>
      </w:tr>
      <w:tr w14:paraId="665D5293">
        <w:tblPrEx>
          <w:tblCellMar>
            <w:top w:w="0" w:type="dxa"/>
            <w:left w:w="108" w:type="dxa"/>
            <w:bottom w:w="0" w:type="dxa"/>
            <w:right w:w="108" w:type="dxa"/>
          </w:tblCellMar>
        </w:tblPrEx>
        <w:trPr>
          <w:trHeight w:val="567" w:hRule="exact"/>
        </w:trPr>
        <w:tc>
          <w:tcPr>
            <w:tcW w:w="837" w:type="dxa"/>
            <w:tcBorders>
              <w:top w:val="nil"/>
              <w:left w:val="single" w:color="auto" w:sz="4" w:space="0"/>
              <w:bottom w:val="single" w:color="auto" w:sz="4" w:space="0"/>
              <w:right w:val="single" w:color="auto" w:sz="4" w:space="0"/>
            </w:tcBorders>
            <w:noWrap w:val="0"/>
            <w:vAlign w:val="center"/>
          </w:tcPr>
          <w:p w14:paraId="40838C8A">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一</w:t>
            </w:r>
          </w:p>
        </w:tc>
        <w:tc>
          <w:tcPr>
            <w:tcW w:w="1245" w:type="dxa"/>
            <w:tcBorders>
              <w:top w:val="nil"/>
              <w:left w:val="nil"/>
              <w:bottom w:val="single" w:color="auto" w:sz="4" w:space="0"/>
              <w:right w:val="single" w:color="auto" w:sz="4" w:space="0"/>
            </w:tcBorders>
            <w:noWrap w:val="0"/>
            <w:vAlign w:val="center"/>
          </w:tcPr>
          <w:p w14:paraId="7E237A44">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±0.15</w:t>
            </w:r>
          </w:p>
        </w:tc>
        <w:tc>
          <w:tcPr>
            <w:tcW w:w="1395" w:type="dxa"/>
            <w:tcBorders>
              <w:top w:val="nil"/>
              <w:left w:val="nil"/>
              <w:bottom w:val="single" w:color="auto" w:sz="4" w:space="0"/>
              <w:right w:val="single" w:color="auto" w:sz="4" w:space="0"/>
            </w:tcBorders>
            <w:noWrap w:val="0"/>
            <w:vAlign w:val="center"/>
          </w:tcPr>
          <w:p w14:paraId="52AC77AA">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±0.3</w:t>
            </w:r>
          </w:p>
        </w:tc>
        <w:tc>
          <w:tcPr>
            <w:tcW w:w="5278" w:type="dxa"/>
            <w:tcBorders>
              <w:top w:val="nil"/>
              <w:left w:val="nil"/>
              <w:bottom w:val="single" w:color="auto" w:sz="4" w:space="0"/>
              <w:right w:val="single" w:color="auto" w:sz="4" w:space="0"/>
            </w:tcBorders>
            <w:noWrap w:val="0"/>
            <w:vAlign w:val="center"/>
          </w:tcPr>
          <w:p w14:paraId="4A9A79B6">
            <w:pPr>
              <w:keepLines w:val="0"/>
              <w:pageBreakBefore w:val="0"/>
              <w:kinsoku/>
              <w:wordWrap/>
              <w:overflowPunct/>
              <w:topLinePunct w:val="0"/>
              <w:bidi w:val="0"/>
              <w:spacing w:line="360" w:lineRule="auto"/>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实测法：观测条件良好的定标点</w:t>
            </w:r>
          </w:p>
        </w:tc>
      </w:tr>
      <w:tr w14:paraId="7BE618FD">
        <w:tblPrEx>
          <w:tblCellMar>
            <w:top w:w="0" w:type="dxa"/>
            <w:left w:w="108" w:type="dxa"/>
            <w:bottom w:w="0" w:type="dxa"/>
            <w:right w:w="108" w:type="dxa"/>
          </w:tblCellMar>
        </w:tblPrEx>
        <w:trPr>
          <w:trHeight w:val="876" w:hRule="exact"/>
        </w:trPr>
        <w:tc>
          <w:tcPr>
            <w:tcW w:w="837" w:type="dxa"/>
            <w:tcBorders>
              <w:top w:val="nil"/>
              <w:left w:val="single" w:color="auto" w:sz="4" w:space="0"/>
              <w:bottom w:val="single" w:color="auto" w:sz="4" w:space="0"/>
              <w:right w:val="single" w:color="auto" w:sz="4" w:space="0"/>
            </w:tcBorders>
            <w:noWrap w:val="0"/>
            <w:vAlign w:val="center"/>
          </w:tcPr>
          <w:p w14:paraId="34B41B7C">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二</w:t>
            </w:r>
          </w:p>
        </w:tc>
        <w:tc>
          <w:tcPr>
            <w:tcW w:w="1245" w:type="dxa"/>
            <w:tcBorders>
              <w:top w:val="nil"/>
              <w:left w:val="nil"/>
              <w:bottom w:val="single" w:color="auto" w:sz="4" w:space="0"/>
              <w:right w:val="single" w:color="auto" w:sz="4" w:space="0"/>
            </w:tcBorders>
            <w:noWrap w:val="0"/>
            <w:vAlign w:val="center"/>
          </w:tcPr>
          <w:p w14:paraId="2E73CD65">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±0.6</w:t>
            </w:r>
          </w:p>
        </w:tc>
        <w:tc>
          <w:tcPr>
            <w:tcW w:w="1395" w:type="dxa"/>
            <w:tcBorders>
              <w:top w:val="nil"/>
              <w:left w:val="nil"/>
              <w:bottom w:val="single" w:color="auto" w:sz="4" w:space="0"/>
              <w:right w:val="single" w:color="auto" w:sz="4" w:space="0"/>
            </w:tcBorders>
            <w:noWrap w:val="0"/>
            <w:vAlign w:val="center"/>
          </w:tcPr>
          <w:p w14:paraId="1F80FAA5">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w:t>
            </w:r>
          </w:p>
        </w:tc>
        <w:tc>
          <w:tcPr>
            <w:tcW w:w="5278" w:type="dxa"/>
            <w:tcBorders>
              <w:top w:val="nil"/>
              <w:left w:val="nil"/>
              <w:bottom w:val="single" w:color="auto" w:sz="4" w:space="0"/>
              <w:right w:val="single" w:color="auto" w:sz="4" w:space="0"/>
            </w:tcBorders>
            <w:noWrap w:val="0"/>
            <w:vAlign w:val="center"/>
          </w:tcPr>
          <w:p w14:paraId="0D5581A2">
            <w:pPr>
              <w:keepLines w:val="0"/>
              <w:pageBreakBefore w:val="0"/>
              <w:kinsoku/>
              <w:wordWrap/>
              <w:overflowPunct/>
              <w:topLinePunct w:val="0"/>
              <w:bidi w:val="0"/>
              <w:spacing w:line="360" w:lineRule="auto"/>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实测法：位置隐蔽、观测条件不佳或位于高山上的定标点</w:t>
            </w:r>
          </w:p>
        </w:tc>
      </w:tr>
      <w:tr w14:paraId="1C9C6A1F">
        <w:tblPrEx>
          <w:tblCellMar>
            <w:top w:w="0" w:type="dxa"/>
            <w:left w:w="108" w:type="dxa"/>
            <w:bottom w:w="0" w:type="dxa"/>
            <w:right w:w="108" w:type="dxa"/>
          </w:tblCellMar>
        </w:tblPrEx>
        <w:trPr>
          <w:trHeight w:val="792" w:hRule="exact"/>
        </w:trPr>
        <w:tc>
          <w:tcPr>
            <w:tcW w:w="837" w:type="dxa"/>
            <w:tcBorders>
              <w:top w:val="nil"/>
              <w:left w:val="single" w:color="auto" w:sz="4" w:space="0"/>
              <w:bottom w:val="single" w:color="auto" w:sz="4" w:space="0"/>
              <w:right w:val="single" w:color="auto" w:sz="4" w:space="0"/>
            </w:tcBorders>
            <w:noWrap w:val="0"/>
            <w:vAlign w:val="center"/>
          </w:tcPr>
          <w:p w14:paraId="4F45C169">
            <w:pPr>
              <w:keepLines w:val="0"/>
              <w:pageBreakBefore w:val="0"/>
              <w:kinsoku/>
              <w:wordWrap/>
              <w:overflowPunct/>
              <w:topLinePunct w:val="0"/>
              <w:bidi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三</w:t>
            </w:r>
          </w:p>
        </w:tc>
        <w:tc>
          <w:tcPr>
            <w:tcW w:w="1245" w:type="dxa"/>
            <w:tcBorders>
              <w:top w:val="nil"/>
              <w:left w:val="nil"/>
              <w:bottom w:val="single" w:color="auto" w:sz="4" w:space="0"/>
              <w:right w:val="single" w:color="auto" w:sz="4" w:space="0"/>
            </w:tcBorders>
            <w:noWrap w:val="0"/>
            <w:vAlign w:val="center"/>
          </w:tcPr>
          <w:p w14:paraId="3C7A227D">
            <w:pPr>
              <w:keepLines w:val="0"/>
              <w:pageBreakBefore w:val="0"/>
              <w:kinsoku/>
              <w:wordWrap/>
              <w:overflowPunct/>
              <w:topLinePunct w:val="0"/>
              <w:bidi w:val="0"/>
              <w:spacing w:line="360" w:lineRule="auto"/>
              <w:jc w:val="center"/>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w:t>
            </w:r>
            <w:r>
              <w:rPr>
                <w:rFonts w:hint="eastAsia" w:ascii="宋体" w:hAnsi="宋体" w:cs="宋体"/>
                <w:kern w:val="0"/>
                <w:sz w:val="24"/>
                <w:szCs w:val="24"/>
                <w:highlight w:val="none"/>
                <w:lang w:val="en-US" w:eastAsia="zh-CN"/>
              </w:rPr>
              <w:t>2.0</w:t>
            </w:r>
          </w:p>
        </w:tc>
        <w:tc>
          <w:tcPr>
            <w:tcW w:w="1395" w:type="dxa"/>
            <w:tcBorders>
              <w:top w:val="nil"/>
              <w:left w:val="nil"/>
              <w:bottom w:val="single" w:color="auto" w:sz="4" w:space="0"/>
              <w:right w:val="single" w:color="auto" w:sz="4" w:space="0"/>
            </w:tcBorders>
            <w:noWrap w:val="0"/>
            <w:vAlign w:val="center"/>
          </w:tcPr>
          <w:p w14:paraId="6896FDB6">
            <w:pPr>
              <w:keepLines w:val="0"/>
              <w:pageBreakBefore w:val="0"/>
              <w:kinsoku/>
              <w:wordWrap/>
              <w:overflowPunct/>
              <w:topLinePunct w:val="0"/>
              <w:bidi w:val="0"/>
              <w:spacing w:line="360" w:lineRule="auto"/>
              <w:jc w:val="center"/>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w:t>
            </w:r>
            <w:r>
              <w:rPr>
                <w:rFonts w:hint="eastAsia" w:ascii="宋体" w:hAnsi="宋体" w:cs="宋体"/>
                <w:kern w:val="0"/>
                <w:sz w:val="24"/>
                <w:szCs w:val="24"/>
                <w:highlight w:val="none"/>
                <w:lang w:val="en-US" w:eastAsia="zh-CN"/>
              </w:rPr>
              <w:t>4.0</w:t>
            </w:r>
          </w:p>
        </w:tc>
        <w:tc>
          <w:tcPr>
            <w:tcW w:w="5278" w:type="dxa"/>
            <w:tcBorders>
              <w:top w:val="nil"/>
              <w:left w:val="nil"/>
              <w:bottom w:val="single" w:color="auto" w:sz="4" w:space="0"/>
              <w:right w:val="single" w:color="auto" w:sz="4" w:space="0"/>
            </w:tcBorders>
            <w:noWrap w:val="0"/>
            <w:vAlign w:val="center"/>
          </w:tcPr>
          <w:p w14:paraId="7F5F9E89">
            <w:pPr>
              <w:keepLines w:val="0"/>
              <w:pageBreakBefore w:val="0"/>
              <w:kinsoku/>
              <w:wordWrap/>
              <w:overflowPunct/>
              <w:topLinePunct w:val="0"/>
              <w:bidi w:val="0"/>
              <w:spacing w:line="360" w:lineRule="auto"/>
              <w:textAlignment w:val="auto"/>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测量条件不良，采用高清影像辨识确定的定标点</w:t>
            </w:r>
          </w:p>
        </w:tc>
      </w:tr>
    </w:tbl>
    <w:p w14:paraId="726E3436">
      <w:pPr>
        <w:keepLines w:val="0"/>
        <w:pageBreakBefore w:val="0"/>
        <w:numPr>
          <w:ilvl w:val="0"/>
          <w:numId w:val="0"/>
        </w:numPr>
        <w:kinsoku/>
        <w:wordWrap/>
        <w:overflowPunct/>
        <w:topLinePunct w:val="0"/>
        <w:bidi w:val="0"/>
        <w:snapToGrid w:val="0"/>
        <w:spacing w:line="360" w:lineRule="auto"/>
        <w:ind w:left="420" w:leftChars="0"/>
        <w:jc w:val="left"/>
        <w:textAlignment w:val="auto"/>
        <w:outlineLvl w:val="3"/>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4.3</w:t>
      </w:r>
      <w:r>
        <w:rPr>
          <w:rFonts w:hint="eastAsia" w:ascii="宋体" w:hAnsi="宋体" w:eastAsia="宋体" w:cs="宋体"/>
          <w:sz w:val="24"/>
          <w:szCs w:val="24"/>
          <w:highlight w:val="none"/>
        </w:rPr>
        <w:t>面积单位</w:t>
      </w:r>
    </w:p>
    <w:p w14:paraId="45E1F875">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面积单位为公顷，保留2位小数。</w:t>
      </w:r>
    </w:p>
    <w:p w14:paraId="26F9743C">
      <w:pPr>
        <w:keepLines w:val="0"/>
        <w:pageBreakBefore w:val="0"/>
        <w:numPr>
          <w:ilvl w:val="0"/>
          <w:numId w:val="0"/>
        </w:numPr>
        <w:kinsoku/>
        <w:wordWrap/>
        <w:overflowPunct/>
        <w:topLinePunct w:val="0"/>
        <w:bidi w:val="0"/>
        <w:snapToGrid w:val="0"/>
        <w:spacing w:line="360" w:lineRule="auto"/>
        <w:ind w:left="420" w:leftChars="0"/>
        <w:jc w:val="left"/>
        <w:textAlignment w:val="auto"/>
        <w:outlineLvl w:val="3"/>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4.4</w:t>
      </w:r>
      <w:r>
        <w:rPr>
          <w:rFonts w:hint="eastAsia" w:ascii="宋体" w:hAnsi="宋体" w:eastAsia="宋体" w:cs="宋体"/>
          <w:sz w:val="24"/>
          <w:szCs w:val="24"/>
          <w:highlight w:val="none"/>
        </w:rPr>
        <w:t>经纬度记录格式</w:t>
      </w:r>
    </w:p>
    <w:p w14:paraId="741B3B4C">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记录格式采用度分秒格式：“度”为2位或3位整数；“分”为 2 位整数，无十位数时补 0；“秒”整数部分2位，无十位数时补 0，精度为小数点后保留3位，不足部分补0。如：120°21′9.45″记录为 120°21′09.450″。</w:t>
      </w:r>
    </w:p>
    <w:p w14:paraId="693288AC">
      <w:pPr>
        <w:keepLines w:val="0"/>
        <w:pageBreakBefore w:val="0"/>
        <w:numPr>
          <w:ilvl w:val="-1"/>
          <w:numId w:val="0"/>
        </w:numPr>
        <w:tabs>
          <w:tab w:val="left" w:pos="0"/>
        </w:tabs>
        <w:kinsoku/>
        <w:wordWrap/>
        <w:overflowPunct/>
        <w:topLinePunct w:val="0"/>
        <w:bidi w:val="0"/>
        <w:snapToGrid/>
        <w:spacing w:line="360" w:lineRule="auto"/>
        <w:ind w:firstLine="480"/>
        <w:jc w:val="left"/>
        <w:textAlignment w:val="auto"/>
        <w:outlineLvl w:val="9"/>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五、技术路线和技术流程</w:t>
      </w:r>
    </w:p>
    <w:p w14:paraId="4DDCCB48">
      <w:pPr>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应用航测遥感、GNSS和地理信息等现代化先进技术，收集自然保护地边界、基础测绘、行政区划界和国土调查等成果，制作勘界工作底图，预设边界点和定标点，实地踏勘测定定标点，确定边界，绘制边界附图，编写边界走向说明，通过边界成果确认、公示和论证后，进行现场立标，按全省统一的数据格式和数据标准建立自然保护地勘界立标数据库。具体流程见图1。</w:t>
      </w:r>
    </w:p>
    <w:p w14:paraId="043F8185">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drawing>
          <wp:inline distT="0" distB="0" distL="114300" distR="114300">
            <wp:extent cx="5757545" cy="6783705"/>
            <wp:effectExtent l="0" t="0" r="14605" b="17145"/>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pic:cNvPicPr>
                  </pic:nvPicPr>
                  <pic:blipFill>
                    <a:blip r:embed="rId27"/>
                    <a:stretch>
                      <a:fillRect/>
                    </a:stretch>
                  </pic:blipFill>
                  <pic:spPr>
                    <a:xfrm>
                      <a:off x="0" y="0"/>
                      <a:ext cx="5757545" cy="6783705"/>
                    </a:xfrm>
                    <a:prstGeom prst="rect">
                      <a:avLst/>
                    </a:prstGeom>
                    <a:noFill/>
                    <a:ln>
                      <a:noFill/>
                    </a:ln>
                  </pic:spPr>
                </pic:pic>
              </a:graphicData>
            </a:graphic>
          </wp:inline>
        </w:drawing>
      </w:r>
    </w:p>
    <w:p w14:paraId="15A91D89">
      <w:pPr>
        <w:keepLines w:val="0"/>
        <w:pageBreakBefore w:val="0"/>
        <w:numPr>
          <w:ilvl w:val="-1"/>
          <w:numId w:val="0"/>
        </w:numPr>
        <w:tabs>
          <w:tab w:val="left" w:pos="0"/>
        </w:tabs>
        <w:kinsoku/>
        <w:wordWrap/>
        <w:overflowPunct/>
        <w:topLinePunct w:val="0"/>
        <w:bidi w:val="0"/>
        <w:snapToGrid/>
        <w:spacing w:line="360" w:lineRule="auto"/>
        <w:ind w:firstLine="480"/>
        <w:jc w:val="left"/>
        <w:textAlignment w:val="auto"/>
        <w:outlineLvl w:val="9"/>
        <w:rPr>
          <w:rFonts w:hint="eastAsia" w:ascii="宋体" w:hAnsi="宋体" w:eastAsia="宋体" w:cs="宋体"/>
          <w:b/>
          <w:bCs/>
          <w:kern w:val="0"/>
          <w:sz w:val="24"/>
          <w:szCs w:val="24"/>
        </w:rPr>
      </w:pPr>
      <w:r>
        <w:rPr>
          <w:rFonts w:hint="eastAsia" w:ascii="宋体" w:hAnsi="宋体" w:cs="宋体"/>
          <w:b/>
          <w:bCs/>
          <w:kern w:val="0"/>
          <w:sz w:val="24"/>
          <w:szCs w:val="24"/>
          <w:lang w:val="en-US" w:eastAsia="zh-CN"/>
        </w:rPr>
        <w:t>六、</w:t>
      </w:r>
      <w:r>
        <w:rPr>
          <w:rFonts w:hint="eastAsia" w:ascii="宋体" w:hAnsi="宋体" w:eastAsia="宋体" w:cs="宋体"/>
          <w:b/>
          <w:bCs/>
          <w:kern w:val="0"/>
          <w:sz w:val="24"/>
          <w:szCs w:val="24"/>
          <w:lang w:eastAsia="zh-CN"/>
        </w:rPr>
        <w:t>定</w:t>
      </w:r>
      <w:r>
        <w:rPr>
          <w:rFonts w:hint="eastAsia" w:ascii="宋体" w:hAnsi="宋体" w:eastAsia="宋体" w:cs="宋体"/>
          <w:b/>
          <w:bCs/>
          <w:kern w:val="0"/>
          <w:sz w:val="24"/>
          <w:szCs w:val="24"/>
        </w:rPr>
        <w:t>标</w:t>
      </w:r>
      <w:r>
        <w:rPr>
          <w:rFonts w:hint="eastAsia" w:ascii="宋体" w:hAnsi="宋体" w:cs="宋体"/>
          <w:b/>
          <w:bCs/>
          <w:kern w:val="0"/>
          <w:sz w:val="24"/>
          <w:szCs w:val="24"/>
          <w:lang w:val="en-US" w:eastAsia="zh-CN"/>
        </w:rPr>
        <w:t>立标</w:t>
      </w:r>
      <w:r>
        <w:rPr>
          <w:rFonts w:hint="eastAsia" w:ascii="宋体" w:hAnsi="宋体" w:eastAsia="宋体" w:cs="宋体"/>
          <w:b/>
          <w:bCs/>
          <w:kern w:val="0"/>
          <w:sz w:val="24"/>
          <w:szCs w:val="24"/>
        </w:rPr>
        <w:t>要求</w:t>
      </w:r>
    </w:p>
    <w:p w14:paraId="4D597C0A">
      <w:pPr>
        <w:keepLines w:val="0"/>
        <w:pageBreakBefore w:val="0"/>
        <w:numPr>
          <w:ilvl w:val="0"/>
          <w:numId w:val="0"/>
        </w:numPr>
        <w:kinsoku/>
        <w:wordWrap/>
        <w:overflowPunct/>
        <w:topLinePunct w:val="0"/>
        <w:bidi w:val="0"/>
        <w:snapToGrid w:val="0"/>
        <w:spacing w:line="360" w:lineRule="auto"/>
        <w:jc w:val="left"/>
        <w:textAlignment w:val="auto"/>
        <w:outlineLvl w:val="2"/>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资料收集与处理</w:t>
      </w:r>
    </w:p>
    <w:p w14:paraId="51456EAB">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（1）浙江桐庐南堡省级湿地公园申报、批复相关依据性文件、整合优化成果等资料； </w:t>
      </w:r>
    </w:p>
    <w:p w14:paraId="0AA9AE2A">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（2）控制成果、1:2000 比例尺地形图； </w:t>
      </w:r>
    </w:p>
    <w:p w14:paraId="14E5E190">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（3）航空影像（优于 0.2 米）、高空间分辨率遥感影像（优于 1 米）； </w:t>
      </w:r>
    </w:p>
    <w:p w14:paraId="10FECFF7">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（4）村级及以上行政界线资料，勘界工作底图和边界附图；  </w:t>
      </w:r>
    </w:p>
    <w:p w14:paraId="6E12329C">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（5）对收集到的资料进行数字化、拼接融合、坐标转换、拓扑检查等处理。 </w:t>
      </w:r>
    </w:p>
    <w:p w14:paraId="76A5C46E">
      <w:pPr>
        <w:keepLines w:val="0"/>
        <w:pageBreakBefore w:val="0"/>
        <w:numPr>
          <w:ilvl w:val="0"/>
          <w:numId w:val="0"/>
        </w:numPr>
        <w:kinsoku/>
        <w:wordWrap/>
        <w:overflowPunct/>
        <w:topLinePunct w:val="0"/>
        <w:bidi w:val="0"/>
        <w:snapToGrid w:val="0"/>
        <w:spacing w:line="360" w:lineRule="auto"/>
        <w:jc w:val="left"/>
        <w:textAlignment w:val="auto"/>
        <w:outlineLvl w:val="2"/>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勘界工作底图制作</w:t>
      </w:r>
      <w:r>
        <w:rPr>
          <w:rFonts w:hint="eastAsia" w:ascii="宋体" w:hAnsi="宋体" w:cs="宋体"/>
          <w:sz w:val="24"/>
          <w:szCs w:val="24"/>
          <w:highlight w:val="none"/>
          <w:lang w:val="en-US" w:eastAsia="zh-CN"/>
        </w:rPr>
        <w:t>及界线修正</w:t>
      </w:r>
    </w:p>
    <w:p w14:paraId="32248559">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rPr>
        <w:t>勘界工作底图宜采用数字底图，内容包括地形图、高分影像、边界线、边界点、定标点以及其它相关数据。地形图地物、地貌要素的符号和注记等级、规格和颜色标准等遵循GB/T 20257和GB/T 35822的要求。</w:t>
      </w:r>
    </w:p>
    <w:p w14:paraId="3AB2A050">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2.2</w:t>
      </w:r>
      <w:r>
        <w:rPr>
          <w:rFonts w:hint="eastAsia" w:ascii="宋体" w:hAnsi="宋体" w:eastAsia="宋体" w:cs="宋体"/>
          <w:sz w:val="24"/>
          <w:szCs w:val="24"/>
          <w:highlight w:val="none"/>
        </w:rPr>
        <w:t>通过高分遥感影像、小比例尺地形图、专项</w:t>
      </w:r>
      <w:r>
        <w:rPr>
          <w:rFonts w:hint="eastAsia" w:ascii="宋体" w:hAnsi="宋体" w:cs="宋体"/>
          <w:sz w:val="24"/>
          <w:szCs w:val="24"/>
          <w:highlight w:val="none"/>
          <w:lang w:eastAsia="zh-CN"/>
        </w:rPr>
        <w:t>调查</w:t>
      </w:r>
      <w:r>
        <w:rPr>
          <w:rFonts w:hint="eastAsia" w:ascii="宋体" w:hAnsi="宋体" w:eastAsia="宋体" w:cs="宋体"/>
          <w:sz w:val="24"/>
          <w:szCs w:val="24"/>
          <w:highlight w:val="none"/>
        </w:rPr>
        <w:t>数据等对已有界线进行修正，明确走向依据。走向依据优选现地能明确识别的地貌地物线,现地无明显地貌地物线或不连续的两地貌地物线间则采用直线或</w:t>
      </w:r>
      <w:r>
        <w:rPr>
          <w:rFonts w:hint="eastAsia" w:ascii="宋体" w:hAnsi="宋体" w:cs="宋体"/>
          <w:sz w:val="24"/>
          <w:szCs w:val="24"/>
          <w:highlight w:val="none"/>
          <w:lang w:eastAsia="zh-CN"/>
        </w:rPr>
        <w:t>折线</w:t>
      </w:r>
      <w:r>
        <w:rPr>
          <w:rFonts w:hint="eastAsia" w:ascii="宋体" w:hAnsi="宋体" w:eastAsia="宋体" w:cs="宋体"/>
          <w:sz w:val="24"/>
          <w:szCs w:val="24"/>
          <w:highlight w:val="none"/>
        </w:rPr>
        <w:t xml:space="preserve">:对于靠近住房等建筑的界线应留出适当的间隔距离:涉及永久基本农田保护红线的以该红线为依据。 </w:t>
      </w:r>
    </w:p>
    <w:p w14:paraId="5A52DF83">
      <w:pPr>
        <w:keepLines w:val="0"/>
        <w:pageBreakBefore w:val="0"/>
        <w:numPr>
          <w:ilvl w:val="0"/>
          <w:numId w:val="0"/>
        </w:numPr>
        <w:kinsoku/>
        <w:wordWrap/>
        <w:overflowPunct/>
        <w:topLinePunct w:val="0"/>
        <w:bidi w:val="0"/>
        <w:snapToGrid w:val="0"/>
        <w:spacing w:line="360" w:lineRule="auto"/>
        <w:jc w:val="left"/>
        <w:textAlignment w:val="auto"/>
        <w:outlineLvl w:val="2"/>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边界点与定标点预设</w:t>
      </w:r>
    </w:p>
    <w:p w14:paraId="3C11251F">
      <w:pPr>
        <w:keepLines w:val="0"/>
        <w:pageBreakBefore w:val="0"/>
        <w:kinsoku/>
        <w:wordWrap/>
        <w:overflowPunct/>
        <w:topLinePunct w:val="0"/>
        <w:bidi w:val="0"/>
        <w:snapToGrid w:val="0"/>
        <w:spacing w:line="360" w:lineRule="auto"/>
        <w:jc w:val="left"/>
        <w:textAlignment w:val="auto"/>
        <w:outlineLvl w:val="3"/>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   3.1边界点</w:t>
      </w:r>
      <w:r>
        <w:rPr>
          <w:rFonts w:hint="eastAsia" w:ascii="宋体" w:hAnsi="宋体" w:cs="宋体"/>
          <w:sz w:val="24"/>
          <w:szCs w:val="24"/>
          <w:highlight w:val="none"/>
          <w:lang w:val="en-US" w:eastAsia="zh-CN"/>
        </w:rPr>
        <w:t>选取</w:t>
      </w:r>
    </w:p>
    <w:p w14:paraId="60BF661F">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边界点选取的基本原则为控制边界走向。边界走向因子包括</w:t>
      </w:r>
      <w:r>
        <w:rPr>
          <w:rFonts w:hint="eastAsia" w:ascii="宋体" w:hAnsi="宋体" w:cs="宋体"/>
          <w:sz w:val="24"/>
          <w:szCs w:val="24"/>
          <w:highlight w:val="none"/>
          <w:lang w:eastAsia="zh-CN"/>
        </w:rPr>
        <w:t>起讫</w:t>
      </w:r>
      <w:r>
        <w:rPr>
          <w:rFonts w:hint="eastAsia" w:ascii="宋体" w:hAnsi="宋体" w:eastAsia="宋体" w:cs="宋体"/>
          <w:sz w:val="24"/>
          <w:szCs w:val="24"/>
          <w:highlight w:val="none"/>
        </w:rPr>
        <w:t>点位置、走线依附、方位角、海拔升降、干支交汇等。根据界线描述及管理需要，可将边界点细分为拐点、转向点、警示点等。</w:t>
      </w:r>
    </w:p>
    <w:p w14:paraId="2B770098">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注1:拐点为同一走线依附的起讫点，一般作为控制界线最小分段。</w:t>
      </w:r>
    </w:p>
    <w:p w14:paraId="2E7D08E5">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注2:转向点为两拐点间对走线更精准控制的点，如界线走向的方位角、海拔升降、干支交汇的变化。</w:t>
      </w:r>
    </w:p>
    <w:p w14:paraId="17215D7A">
      <w:pPr>
        <w:keepLines w:val="0"/>
        <w:pageBreakBefore w:val="0"/>
        <w:kinsoku/>
        <w:wordWrap/>
        <w:overflowPunct/>
        <w:topLinePunct w:val="0"/>
        <w:bidi w:val="0"/>
        <w:snapToGri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注3:警示点一般指界线横穿道路交叉点，竖立界，起到</w:t>
      </w:r>
      <w:r>
        <w:rPr>
          <w:rFonts w:hint="eastAsia" w:ascii="宋体" w:hAnsi="宋体" w:cs="宋体"/>
          <w:sz w:val="24"/>
          <w:szCs w:val="24"/>
          <w:highlight w:val="none"/>
          <w:lang w:eastAsia="zh-CN"/>
        </w:rPr>
        <w:t>告知</w:t>
      </w:r>
      <w:r>
        <w:rPr>
          <w:rFonts w:hint="eastAsia" w:ascii="宋体" w:hAnsi="宋体" w:eastAsia="宋体" w:cs="宋体"/>
          <w:sz w:val="24"/>
          <w:szCs w:val="24"/>
          <w:highlight w:val="none"/>
        </w:rPr>
        <w:t xml:space="preserve">、警示作用。 </w:t>
      </w:r>
    </w:p>
    <w:p w14:paraId="06E693BC">
      <w:pPr>
        <w:keepLines w:val="0"/>
        <w:pageBreakBefore w:val="0"/>
        <w:kinsoku/>
        <w:wordWrap/>
        <w:overflowPunct/>
        <w:topLinePunct w:val="0"/>
        <w:bidi w:val="0"/>
        <w:snapToGrid w:val="0"/>
        <w:spacing w:line="360" w:lineRule="auto"/>
        <w:ind w:firstLine="240" w:firstLineChars="100"/>
        <w:jc w:val="left"/>
        <w:textAlignment w:val="auto"/>
        <w:outlineLvl w:val="4"/>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3.2定标点预设 </w:t>
      </w:r>
    </w:p>
    <w:p w14:paraId="3CD1DB59">
      <w:pPr>
        <w:keepLines w:val="0"/>
        <w:pageBreakBefore w:val="0"/>
        <w:kinsoku/>
        <w:wordWrap/>
        <w:overflowPunct/>
        <w:topLinePunct w:val="0"/>
        <w:bidi w:val="0"/>
        <w:snapToGri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结合地形图和高分影像对边界点进行研判，并遵循应测尽测的原则，预设定标点。定标点预设具体原则如下:</w:t>
      </w:r>
    </w:p>
    <w:p w14:paraId="15626F79">
      <w:pPr>
        <w:keepLines w:val="0"/>
        <w:pageBreakBefore w:val="0"/>
        <w:numPr>
          <w:ilvl w:val="0"/>
          <w:numId w:val="8"/>
        </w:numPr>
        <w:kinsoku/>
        <w:wordWrap/>
        <w:overflowPunct/>
        <w:topLinePunct w:val="0"/>
        <w:bidi w:val="0"/>
        <w:snapToGrid w:val="0"/>
        <w:spacing w:line="360" w:lineRule="auto"/>
        <w:ind w:firstLine="480" w:firstLineChars="200"/>
        <w:jc w:val="left"/>
        <w:textAlignment w:val="auto"/>
        <w:outlineLvl w:val="4"/>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一</w:t>
      </w:r>
      <w:r>
        <w:rPr>
          <w:rFonts w:hint="eastAsia" w:ascii="宋体" w:hAnsi="宋体" w:eastAsia="宋体" w:cs="宋体"/>
          <w:sz w:val="24"/>
          <w:szCs w:val="24"/>
          <w:highlight w:val="none"/>
        </w:rPr>
        <w:t>般陆上定标点间距控制在 1000米内，在偏远地段以山脊线或近山脊线的行政界线为依据的边界上可适当放宽，在居民生产生活区附近的边界上应根据实际情况进行加密</w:t>
      </w:r>
      <w:r>
        <w:rPr>
          <w:rFonts w:hint="eastAsia" w:ascii="宋体" w:hAnsi="宋体" w:cs="宋体"/>
          <w:sz w:val="24"/>
          <w:szCs w:val="24"/>
          <w:highlight w:val="none"/>
          <w:lang w:eastAsia="zh-CN"/>
        </w:rPr>
        <w:t>。</w:t>
      </w:r>
    </w:p>
    <w:p w14:paraId="1EACDBC2">
      <w:pPr>
        <w:keepLines w:val="0"/>
        <w:pageBreakBefore w:val="0"/>
        <w:numPr>
          <w:ilvl w:val="0"/>
          <w:numId w:val="8"/>
        </w:numPr>
        <w:kinsoku/>
        <w:wordWrap/>
        <w:overflowPunct/>
        <w:topLinePunct w:val="0"/>
        <w:bidi w:val="0"/>
        <w:snapToGrid w:val="0"/>
        <w:spacing w:line="360" w:lineRule="auto"/>
        <w:ind w:firstLine="480" w:firstLineChars="200"/>
        <w:jc w:val="left"/>
        <w:textAlignment w:val="auto"/>
        <w:outlineLvl w:val="4"/>
        <w:rPr>
          <w:rFonts w:hint="eastAsia" w:ascii="宋体" w:hAnsi="宋体" w:eastAsia="宋体" w:cs="宋体"/>
          <w:sz w:val="24"/>
          <w:szCs w:val="24"/>
          <w:highlight w:val="none"/>
        </w:rPr>
      </w:pPr>
      <w:r>
        <w:rPr>
          <w:rFonts w:hint="eastAsia" w:ascii="宋体" w:hAnsi="宋体" w:eastAsia="宋体" w:cs="宋体"/>
          <w:sz w:val="24"/>
          <w:szCs w:val="24"/>
          <w:highlight w:val="none"/>
        </w:rPr>
        <w:t>边界点明显无法立标的情况下，研判周边人为活动多少，确定定标点的设置。人为活动少的边界点一般不设为定标点，人为活动多的边界点须就近预设定标点，设置的定标点应尽可能贴近边界线</w:t>
      </w:r>
      <w:r>
        <w:rPr>
          <w:rFonts w:hint="eastAsia" w:ascii="宋体" w:hAnsi="宋体" w:cs="宋体"/>
          <w:sz w:val="24"/>
          <w:szCs w:val="24"/>
          <w:highlight w:val="none"/>
          <w:lang w:eastAsia="zh-CN"/>
        </w:rPr>
        <w:t>。</w:t>
      </w:r>
    </w:p>
    <w:p w14:paraId="7B91CA51">
      <w:pPr>
        <w:keepLines w:val="0"/>
        <w:pageBreakBefore w:val="0"/>
        <w:kinsoku/>
        <w:wordWrap/>
        <w:overflowPunct/>
        <w:topLinePunct w:val="0"/>
        <w:bidi w:val="0"/>
        <w:snapToGrid w:val="0"/>
        <w:spacing w:line="360" w:lineRule="auto"/>
        <w:ind w:firstLine="480" w:firstLineChars="200"/>
        <w:jc w:val="left"/>
        <w:textAlignment w:val="auto"/>
        <w:outlineLvl w:val="4"/>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拐点落在两条河流交汇点，应按三立界标模式预设定标;警示点须预设至少一个定标点。当该警示点落在高等级公路中线或河流与道路交叉点，应按双立界标模式预设定标点:</w:t>
      </w:r>
    </w:p>
    <w:p w14:paraId="229F8593">
      <w:pPr>
        <w:keepLines w:val="0"/>
        <w:pageBreakBefore w:val="0"/>
        <w:kinsoku/>
        <w:wordWrap/>
        <w:overflowPunct/>
        <w:topLinePunct w:val="0"/>
        <w:bidi w:val="0"/>
        <w:snapToGrid w:val="0"/>
        <w:spacing w:line="360" w:lineRule="auto"/>
        <w:ind w:firstLine="480" w:firstLineChars="200"/>
        <w:jc w:val="left"/>
        <w:textAlignment w:val="auto"/>
        <w:outlineLvl w:val="4"/>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转向点一般不设为定标点。</w:t>
      </w:r>
    </w:p>
    <w:p w14:paraId="5CD82F81">
      <w:pPr>
        <w:keepLines w:val="0"/>
        <w:pageBreakBefore w:val="0"/>
        <w:numPr>
          <w:ilvl w:val="0"/>
          <w:numId w:val="0"/>
        </w:numPr>
        <w:kinsoku/>
        <w:wordWrap/>
        <w:overflowPunct/>
        <w:topLinePunct w:val="0"/>
        <w:bidi w:val="0"/>
        <w:snapToGrid w:val="0"/>
        <w:spacing w:line="360" w:lineRule="auto"/>
        <w:jc w:val="left"/>
        <w:textAlignment w:val="auto"/>
        <w:outlineLvl w:val="2"/>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边界点与定标点实地踏勘</w:t>
      </w:r>
    </w:p>
    <w:p w14:paraId="6CC4B4D3">
      <w:pPr>
        <w:keepLines w:val="0"/>
        <w:pageBreakBefore w:val="0"/>
        <w:kinsoku/>
        <w:wordWrap/>
        <w:overflowPunct/>
        <w:topLinePunct w:val="0"/>
        <w:bidi w:val="0"/>
        <w:snapToGrid w:val="0"/>
        <w:spacing w:line="360" w:lineRule="auto"/>
        <w:ind w:firstLine="42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4.1</w:t>
      </w:r>
      <w:r>
        <w:rPr>
          <w:rFonts w:hint="eastAsia" w:ascii="宋体" w:hAnsi="宋体" w:eastAsia="宋体" w:cs="宋体"/>
          <w:sz w:val="24"/>
          <w:szCs w:val="24"/>
          <w:highlight w:val="none"/>
        </w:rPr>
        <w:t>根据修正后的边界线进行实地踏勘,查验走向依据实地一致性、自然保护地管控要求符合性等情况确认或微调界线。当存在边界权属不清的情况，应征求权益相关方意见，或邀请相关方实地参与。对高清影像不明显的界线，应实施走向测量作业。</w:t>
      </w:r>
    </w:p>
    <w:p w14:paraId="1703D5B7">
      <w:pPr>
        <w:keepLines w:val="0"/>
        <w:pageBreakBefore w:val="0"/>
        <w:numPr>
          <w:ilvl w:val="0"/>
          <w:numId w:val="0"/>
        </w:numPr>
        <w:kinsoku/>
        <w:wordWrap/>
        <w:overflowPunct/>
        <w:topLinePunct w:val="0"/>
        <w:bidi w:val="0"/>
        <w:snapToGrid w:val="0"/>
        <w:spacing w:line="360" w:lineRule="auto"/>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cs="宋体"/>
          <w:sz w:val="24"/>
          <w:szCs w:val="24"/>
          <w:highlight w:val="none"/>
          <w:lang w:val="en-US" w:eastAsia="zh-CN"/>
        </w:rPr>
        <w:t>4.2</w:t>
      </w:r>
      <w:r>
        <w:rPr>
          <w:rFonts w:hint="eastAsia" w:ascii="宋体" w:hAnsi="宋体" w:eastAsia="宋体" w:cs="宋体"/>
          <w:sz w:val="24"/>
          <w:szCs w:val="24"/>
          <w:highlight w:val="none"/>
        </w:rPr>
        <w:t>一般按预设定标点实地踏</w:t>
      </w:r>
      <w:r>
        <w:rPr>
          <w:rFonts w:hint="eastAsia" w:ascii="宋体" w:hAnsi="宋体" w:eastAsia="宋体" w:cs="宋体"/>
          <w:color w:val="auto"/>
          <w:sz w:val="24"/>
          <w:szCs w:val="24"/>
          <w:highlight w:val="none"/>
        </w:rPr>
        <w:t>勘，充分考虑地形、权属、通视、地质、安全等因素，确定定标点实地位置和标识类型。边界线现场改动时应重新预设定标点再进行确定。预设的双立定标点和三立定标点现场确定定标点数量。定标点测量与登记</w:t>
      </w:r>
    </w:p>
    <w:p w14:paraId="6BB3019F">
      <w:pPr>
        <w:keepLines w:val="0"/>
        <w:pageBreakBefore w:val="0"/>
        <w:numPr>
          <w:ilvl w:val="0"/>
          <w:numId w:val="0"/>
        </w:numPr>
        <w:kinsoku/>
        <w:wordWrap/>
        <w:overflowPunct/>
        <w:topLinePunct w:val="0"/>
        <w:bidi w:val="0"/>
        <w:snapToGrid w:val="0"/>
        <w:spacing w:line="360" w:lineRule="auto"/>
        <w:ind w:firstLine="480" w:firstLineChars="200"/>
        <w:jc w:val="left"/>
        <w:textAlignment w:val="auto"/>
        <w:outlineLvl w:val="2"/>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4.3定标点测量与登记按照GB/T 39740执行。测量采用基于CORS的网络RTK技术进行定标点测量，CORS网络信号较弱的地区可采用单基准站RTK测量技术进行测量，具体测量技术要求按照CH/T 2009执行。</w:t>
      </w:r>
    </w:p>
    <w:p w14:paraId="0F9E157D">
      <w:pPr>
        <w:pStyle w:val="2"/>
        <w:keepLines w:val="0"/>
        <w:pageBreakBefore w:val="0"/>
        <w:kinsoku/>
        <w:wordWrap/>
        <w:overflowPunct/>
        <w:topLinePunct w:val="0"/>
        <w:bidi w:val="0"/>
        <w:spacing w:line="360" w:lineRule="auto"/>
        <w:jc w:val="left"/>
        <w:textAlignment w:val="auto"/>
        <w:outlineLvl w:val="2"/>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成果整理</w:t>
      </w:r>
    </w:p>
    <w:p w14:paraId="1A0CFD79">
      <w:pPr>
        <w:pStyle w:val="2"/>
        <w:keepLines w:val="0"/>
        <w:pageBreakBefore w:val="0"/>
        <w:kinsoku/>
        <w:wordWrap/>
        <w:overflowPunct/>
        <w:topLinePunct w:val="0"/>
        <w:bidi w:val="0"/>
        <w:spacing w:before="49" w:line="360" w:lineRule="auto"/>
        <w:ind w:left="668" w:leftChars="244" w:right="250" w:hanging="156" w:hangingChars="65"/>
        <w:jc w:val="left"/>
        <w:textAlignment w:val="auto"/>
        <w:outlineLvl w:val="3"/>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.1 </w:t>
      </w:r>
      <w:r>
        <w:rPr>
          <w:rFonts w:hint="eastAsia" w:ascii="宋体" w:hAnsi="宋体" w:cs="宋体"/>
          <w:color w:val="auto"/>
          <w:sz w:val="24"/>
          <w:szCs w:val="24"/>
          <w:highlight w:val="none"/>
          <w:lang w:val="en-US" w:eastAsia="zh-CN"/>
        </w:rPr>
        <w:t>成果清单</w:t>
      </w:r>
      <w:r>
        <w:rPr>
          <w:rFonts w:hint="eastAsia" w:ascii="宋体" w:hAnsi="宋体" w:eastAsia="宋体" w:cs="宋体"/>
          <w:color w:val="auto"/>
          <w:sz w:val="24"/>
          <w:szCs w:val="24"/>
          <w:highlight w:val="none"/>
        </w:rPr>
        <w:t xml:space="preserve"> </w:t>
      </w:r>
    </w:p>
    <w:p w14:paraId="0B4DB30C">
      <w:pPr>
        <w:pStyle w:val="2"/>
        <w:keepLines w:val="0"/>
        <w:pageBreakBefore w:val="0"/>
        <w:kinsoku/>
        <w:wordWrap/>
        <w:overflowPunct/>
        <w:topLinePunct w:val="0"/>
        <w:bidi w:val="0"/>
        <w:spacing w:before="49" w:line="360" w:lineRule="auto"/>
        <w:ind w:left="668" w:leftChars="244" w:right="250" w:hanging="156" w:hangingChars="65"/>
        <w:jc w:val="left"/>
        <w:textAlignment w:val="auto"/>
        <w:outlineLvl w:val="3"/>
        <w:rPr>
          <w:rFonts w:hint="eastAsia" w:ascii="宋体" w:hAnsi="宋体" w:eastAsia="宋体" w:cs="宋体"/>
          <w:color w:val="auto"/>
          <w:sz w:val="24"/>
          <w:szCs w:val="24"/>
          <w:highlight w:val="none"/>
        </w:rPr>
      </w:pPr>
      <w:bookmarkStart w:id="69" w:name="_bookmark36"/>
      <w:bookmarkEnd w:id="69"/>
      <w:bookmarkStart w:id="70" w:name="_Toc22704"/>
      <w:bookmarkStart w:id="71" w:name="_Toc16729"/>
      <w:r>
        <w:rPr>
          <w:rFonts w:hint="eastAsia" w:ascii="宋体" w:hAnsi="宋体" w:eastAsia="宋体" w:cs="宋体"/>
          <w:color w:val="auto"/>
          <w:sz w:val="24"/>
          <w:szCs w:val="24"/>
          <w:highlight w:val="none"/>
        </w:rPr>
        <w:t>一个自然保护地完整的勘界成果应包括以下独立内容:</w:t>
      </w:r>
    </w:p>
    <w:p w14:paraId="1D49653C">
      <w:pPr>
        <w:pStyle w:val="2"/>
        <w:keepLines w:val="0"/>
        <w:pageBreakBefore w:val="0"/>
        <w:kinsoku/>
        <w:wordWrap/>
        <w:overflowPunct/>
        <w:topLinePunct w:val="0"/>
        <w:bidi w:val="0"/>
        <w:spacing w:before="49" w:line="360" w:lineRule="auto"/>
        <w:ind w:left="668" w:leftChars="244" w:right="250" w:hanging="156" w:hangingChars="65"/>
        <w:jc w:val="left"/>
        <w:textAlignment w:val="auto"/>
        <w:outlineLvl w:val="3"/>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hAnsi="宋体" w:cs="宋体"/>
          <w:color w:val="auto"/>
          <w:sz w:val="24"/>
          <w:szCs w:val="24"/>
          <w:highlight w:val="none"/>
          <w:lang w:val="en-US" w:eastAsia="zh-CN"/>
        </w:rPr>
        <w:t>通过论证的</w:t>
      </w:r>
      <w:r>
        <w:rPr>
          <w:rFonts w:hint="eastAsia" w:ascii="宋体" w:hAnsi="宋体" w:eastAsia="宋体" w:cs="宋体"/>
          <w:color w:val="auto"/>
          <w:sz w:val="24"/>
          <w:szCs w:val="24"/>
          <w:highlight w:val="none"/>
        </w:rPr>
        <w:t>勘界报告</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包含标识实物材质和尺寸</w:t>
      </w:r>
      <w:r>
        <w:rPr>
          <w:rFonts w:hint="eastAsia" w:hAnsi="宋体" w:cs="宋体"/>
          <w:color w:val="auto"/>
          <w:sz w:val="24"/>
          <w:szCs w:val="24"/>
          <w:highlight w:val="none"/>
          <w:lang w:eastAsia="zh-CN"/>
        </w:rPr>
        <w:t>）</w:t>
      </w:r>
    </w:p>
    <w:p w14:paraId="199AB07B">
      <w:pPr>
        <w:pStyle w:val="2"/>
        <w:keepLines w:val="0"/>
        <w:pageBreakBefore w:val="0"/>
        <w:kinsoku/>
        <w:wordWrap/>
        <w:overflowPunct/>
        <w:topLinePunct w:val="0"/>
        <w:bidi w:val="0"/>
        <w:spacing w:before="49" w:line="360" w:lineRule="auto"/>
        <w:ind w:left="668" w:leftChars="244" w:right="250" w:hanging="156" w:hangingChars="65"/>
        <w:jc w:val="left"/>
        <w:textAlignment w:val="auto"/>
        <w:outlineLvl w:val="3"/>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边界点成果台账表</w:t>
      </w:r>
    </w:p>
    <w:p w14:paraId="20367D07">
      <w:pPr>
        <w:pStyle w:val="2"/>
        <w:keepLines w:val="0"/>
        <w:pageBreakBefore w:val="0"/>
        <w:kinsoku/>
        <w:wordWrap/>
        <w:overflowPunct/>
        <w:topLinePunct w:val="0"/>
        <w:bidi w:val="0"/>
        <w:spacing w:before="49" w:line="360" w:lineRule="auto"/>
        <w:ind w:left="668" w:leftChars="244" w:right="250" w:hanging="156" w:hangingChars="65"/>
        <w:jc w:val="left"/>
        <w:textAlignment w:val="auto"/>
        <w:outlineLvl w:val="3"/>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定标点登记表</w:t>
      </w:r>
    </w:p>
    <w:p w14:paraId="7BED4A60">
      <w:pPr>
        <w:pStyle w:val="2"/>
        <w:keepLines w:val="0"/>
        <w:pageBreakBefore w:val="0"/>
        <w:kinsoku/>
        <w:wordWrap/>
        <w:overflowPunct/>
        <w:topLinePunct w:val="0"/>
        <w:bidi w:val="0"/>
        <w:spacing w:before="49" w:line="360" w:lineRule="auto"/>
        <w:ind w:left="668" w:leftChars="244" w:right="250" w:hanging="156" w:hangingChars="65"/>
        <w:jc w:val="left"/>
        <w:textAlignment w:val="auto"/>
        <w:outlineLvl w:val="3"/>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边界附图</w:t>
      </w:r>
    </w:p>
    <w:p w14:paraId="6A39DFFA">
      <w:pPr>
        <w:pStyle w:val="2"/>
        <w:keepLines w:val="0"/>
        <w:pageBreakBefore w:val="0"/>
        <w:kinsoku/>
        <w:wordWrap/>
        <w:overflowPunct/>
        <w:topLinePunct w:val="0"/>
        <w:bidi w:val="0"/>
        <w:spacing w:before="49" w:line="360" w:lineRule="auto"/>
        <w:ind w:left="668" w:leftChars="244" w:right="250" w:hanging="156" w:hangingChars="65"/>
        <w:jc w:val="left"/>
        <w:textAlignment w:val="auto"/>
        <w:outlineLvl w:val="3"/>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数据库</w:t>
      </w:r>
    </w:p>
    <w:p w14:paraId="3EDB7975">
      <w:pPr>
        <w:pStyle w:val="2"/>
        <w:keepLines w:val="0"/>
        <w:pageBreakBefore w:val="0"/>
        <w:kinsoku/>
        <w:wordWrap/>
        <w:overflowPunct/>
        <w:topLinePunct w:val="0"/>
        <w:bidi w:val="0"/>
        <w:spacing w:before="49" w:line="360" w:lineRule="auto"/>
        <w:ind w:left="668" w:leftChars="244" w:right="250" w:hanging="156" w:hangingChars="65"/>
        <w:jc w:val="left"/>
        <w:textAlignment w:val="auto"/>
        <w:outlineLvl w:val="3"/>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.2 </w:t>
      </w:r>
      <w:bookmarkEnd w:id="70"/>
      <w:bookmarkEnd w:id="71"/>
      <w:r>
        <w:rPr>
          <w:rFonts w:hint="eastAsia" w:ascii="宋体" w:hAnsi="宋体" w:cs="宋体"/>
          <w:color w:val="auto"/>
          <w:sz w:val="24"/>
          <w:szCs w:val="24"/>
          <w:highlight w:val="none"/>
          <w:lang w:val="en-US" w:eastAsia="zh-CN"/>
        </w:rPr>
        <w:t>勘界报告编制</w:t>
      </w:r>
      <w:r>
        <w:rPr>
          <w:rFonts w:hint="eastAsia" w:ascii="宋体" w:hAnsi="宋体" w:eastAsia="宋体" w:cs="宋体"/>
          <w:color w:val="auto"/>
          <w:sz w:val="24"/>
          <w:szCs w:val="24"/>
          <w:highlight w:val="none"/>
        </w:rPr>
        <w:t xml:space="preserve"> </w:t>
      </w:r>
    </w:p>
    <w:p w14:paraId="0CFD2F9C">
      <w:pPr>
        <w:pStyle w:val="2"/>
        <w:keepLines w:val="0"/>
        <w:pageBreakBefore w:val="0"/>
        <w:kinsoku/>
        <w:wordWrap/>
        <w:overflowPunct/>
        <w:topLinePunct w:val="0"/>
        <w:bidi w:val="0"/>
        <w:spacing w:line="360" w:lineRule="auto"/>
        <w:ind w:left="0" w:firstLine="7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勘界报告以自然保护地为单元。边界点和定标点数量较少时，边界点成果台账表、定标点登记表宜编入报告，数量较多时宜单独汇编成册。边界点位置和边界走向说明是勘界报告的核心内容，编写要求按照GB/T 39740执行。 </w:t>
      </w:r>
    </w:p>
    <w:p w14:paraId="1BB19AE4">
      <w:pPr>
        <w:pStyle w:val="2"/>
        <w:keepLines w:val="0"/>
        <w:pageBreakBefore w:val="0"/>
        <w:kinsoku/>
        <w:wordWrap/>
        <w:overflowPunct/>
        <w:topLinePunct w:val="0"/>
        <w:bidi w:val="0"/>
        <w:spacing w:before="49" w:line="360" w:lineRule="auto"/>
        <w:ind w:left="668" w:leftChars="244" w:right="250" w:hanging="156" w:hangingChars="65"/>
        <w:jc w:val="left"/>
        <w:textAlignment w:val="auto"/>
        <w:outlineLvl w:val="3"/>
        <w:rPr>
          <w:rFonts w:hint="eastAsia" w:ascii="宋体" w:hAnsi="宋体" w:eastAsia="宋体" w:cs="宋体"/>
          <w:color w:val="auto"/>
          <w:sz w:val="24"/>
          <w:szCs w:val="24"/>
          <w:highlight w:val="none"/>
        </w:rPr>
      </w:pPr>
      <w:bookmarkStart w:id="72" w:name="_bookmark37"/>
      <w:bookmarkEnd w:id="72"/>
      <w:bookmarkStart w:id="73" w:name="_Toc19476"/>
      <w:bookmarkStart w:id="74" w:name="_Toc26266"/>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.3 </w:t>
      </w:r>
      <w:bookmarkEnd w:id="73"/>
      <w:bookmarkEnd w:id="74"/>
      <w:r>
        <w:rPr>
          <w:rFonts w:hint="eastAsia" w:hAnsi="宋体" w:cs="宋体"/>
          <w:color w:val="auto"/>
          <w:sz w:val="24"/>
          <w:szCs w:val="24"/>
          <w:highlight w:val="none"/>
          <w:lang w:val="en-US" w:eastAsia="zh-CN"/>
        </w:rPr>
        <w:t>边界</w:t>
      </w:r>
      <w:r>
        <w:rPr>
          <w:rFonts w:hint="eastAsia" w:ascii="宋体" w:hAnsi="宋体" w:cs="宋体"/>
          <w:color w:val="auto"/>
          <w:sz w:val="24"/>
          <w:szCs w:val="24"/>
          <w:highlight w:val="none"/>
          <w:lang w:val="en-US" w:eastAsia="zh-CN"/>
        </w:rPr>
        <w:t>附图编制</w:t>
      </w:r>
      <w:r>
        <w:rPr>
          <w:rFonts w:hint="eastAsia" w:ascii="宋体" w:hAnsi="宋体" w:eastAsia="宋体" w:cs="宋体"/>
          <w:color w:val="auto"/>
          <w:sz w:val="24"/>
          <w:szCs w:val="24"/>
          <w:highlight w:val="none"/>
        </w:rPr>
        <w:t xml:space="preserve"> </w:t>
      </w:r>
    </w:p>
    <w:p w14:paraId="23CA57B0">
      <w:pPr>
        <w:pStyle w:val="2"/>
        <w:keepLines w:val="0"/>
        <w:pageBreakBefore w:val="0"/>
        <w:kinsoku/>
        <w:wordWrap/>
        <w:overflowPunct/>
        <w:topLinePunct w:val="0"/>
        <w:bidi w:val="0"/>
        <w:spacing w:line="360" w:lineRule="auto"/>
        <w:ind w:left="0" w:firstLine="7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边界附图可根据形状不同、面积大小等制定分幅方式，要求便于存档与查阅。制图内容和要求按照GB/T 39740执行，成果图应有参与人手签，并盖单位印章。 </w:t>
      </w:r>
    </w:p>
    <w:p w14:paraId="03546EEB">
      <w:pPr>
        <w:pStyle w:val="2"/>
        <w:keepLines w:val="0"/>
        <w:pageBreakBefore w:val="0"/>
        <w:kinsoku/>
        <w:wordWrap/>
        <w:overflowPunct/>
        <w:topLinePunct w:val="0"/>
        <w:bidi w:val="0"/>
        <w:spacing w:before="49" w:line="360" w:lineRule="auto"/>
        <w:ind w:left="668" w:leftChars="244" w:right="250" w:hanging="156" w:hangingChars="65"/>
        <w:jc w:val="left"/>
        <w:textAlignment w:val="auto"/>
        <w:outlineLvl w:val="3"/>
        <w:rPr>
          <w:rFonts w:hint="default" w:ascii="宋体" w:hAnsi="宋体" w:eastAsia="宋体" w:cs="宋体"/>
          <w:color w:val="auto"/>
          <w:sz w:val="24"/>
          <w:szCs w:val="24"/>
          <w:highlight w:val="none"/>
          <w:lang w:val="en-US" w:eastAsia="zh-CN"/>
        </w:rPr>
      </w:pPr>
      <w:bookmarkStart w:id="75" w:name="_Toc31780"/>
      <w:bookmarkStart w:id="76" w:name="_Toc1387"/>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.4 </w:t>
      </w:r>
      <w:bookmarkEnd w:id="75"/>
      <w:bookmarkEnd w:id="76"/>
      <w:r>
        <w:rPr>
          <w:rFonts w:hint="eastAsia" w:ascii="宋体" w:hAnsi="宋体" w:cs="宋体"/>
          <w:color w:val="auto"/>
          <w:sz w:val="24"/>
          <w:szCs w:val="24"/>
          <w:highlight w:val="none"/>
          <w:lang w:val="en-US" w:eastAsia="zh-CN"/>
        </w:rPr>
        <w:t>数据库编制</w:t>
      </w:r>
    </w:p>
    <w:p w14:paraId="6470A865">
      <w:pPr>
        <w:keepLines w:val="0"/>
        <w:pageBreakBefore w:val="0"/>
        <w:kinsoku/>
        <w:wordWrap/>
        <w:overflowPunct/>
        <w:topLinePunct w:val="0"/>
        <w:bidi w:val="0"/>
        <w:snapToGrid w:val="0"/>
        <w:spacing w:line="360" w:lineRule="auto"/>
        <w:ind w:firstLine="420"/>
        <w:jc w:val="left"/>
        <w:textAlignment w:val="auto"/>
        <w:outlineLvl w:val="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数据库包括基本信息、区划、测量、标识、相关证明材料等数据以及元数据，编制要求按DB33/T2532.2</w:t>
      </w:r>
      <w:r>
        <w:rPr>
          <w:rFonts w:hint="eastAsia" w:ascii="宋体" w:hAnsi="宋体" w:cs="宋体"/>
          <w:color w:val="auto"/>
          <w:sz w:val="24"/>
          <w:szCs w:val="24"/>
          <w:highlight w:val="none"/>
          <w:lang w:eastAsia="zh-CN"/>
        </w:rPr>
        <w:t>。</w:t>
      </w:r>
    </w:p>
    <w:p w14:paraId="6547662A">
      <w:pPr>
        <w:pStyle w:val="2"/>
        <w:keepLines w:val="0"/>
        <w:pageBreakBefore w:val="0"/>
        <w:numPr>
          <w:ilvl w:val="0"/>
          <w:numId w:val="0"/>
        </w:numPr>
        <w:kinsoku/>
        <w:wordWrap/>
        <w:overflowPunct/>
        <w:topLinePunct w:val="0"/>
        <w:bidi w:val="0"/>
        <w:spacing w:line="360" w:lineRule="auto"/>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6、成果检查</w:t>
      </w:r>
    </w:p>
    <w:p w14:paraId="698F0887">
      <w:pPr>
        <w:pStyle w:val="2"/>
        <w:keepLines w:val="0"/>
        <w:pageBreakBefore w:val="0"/>
        <w:numPr>
          <w:ilvl w:val="0"/>
          <w:numId w:val="0"/>
        </w:numPr>
        <w:kinsoku/>
        <w:wordWrap/>
        <w:overflowPunct/>
        <w:topLinePunct w:val="0"/>
        <w:bidi w:val="0"/>
        <w:spacing w:line="360"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6.1检查方式</w:t>
      </w:r>
    </w:p>
    <w:p w14:paraId="7A40A105">
      <w:pPr>
        <w:pStyle w:val="2"/>
        <w:keepLines w:val="0"/>
        <w:pageBreakBefore w:val="0"/>
        <w:numPr>
          <w:ilvl w:val="0"/>
          <w:numId w:val="0"/>
        </w:numPr>
        <w:kinsoku/>
        <w:wordWrap/>
        <w:overflowPunct/>
        <w:topLinePunct w:val="0"/>
        <w:bidi w:val="0"/>
        <w:spacing w:line="360" w:lineRule="auto"/>
        <w:ind w:firstLine="480" w:firstLineChars="200"/>
        <w:jc w:val="left"/>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作业单位应对勘界成果进行100%自查(包括过程检查和最终检查)，编制技术总结报告，并将完整的成果材料提交自然保护地主管部门检查。检查内容由两部分组成，一是边界合理性审查，二是测绘成果专项检查。</w:t>
      </w:r>
    </w:p>
    <w:p w14:paraId="3AE2AD2A">
      <w:pPr>
        <w:pStyle w:val="2"/>
        <w:keepLines w:val="0"/>
        <w:pageBreakBefore w:val="0"/>
        <w:numPr>
          <w:ilvl w:val="0"/>
          <w:numId w:val="0"/>
        </w:numPr>
        <w:kinsoku/>
        <w:wordWrap/>
        <w:overflowPunct/>
        <w:topLinePunct w:val="0"/>
        <w:bidi w:val="0"/>
        <w:spacing w:line="360" w:lineRule="auto"/>
        <w:ind w:firstLine="480" w:firstLineChars="20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6.2边界合理性审查内容</w:t>
      </w:r>
    </w:p>
    <w:p w14:paraId="4A4F30B1">
      <w:pPr>
        <w:pStyle w:val="2"/>
        <w:keepLines w:val="0"/>
        <w:pageBreakBefore w:val="0"/>
        <w:numPr>
          <w:ilvl w:val="0"/>
          <w:numId w:val="0"/>
        </w:numPr>
        <w:kinsoku/>
        <w:wordWrap/>
        <w:overflowPunct/>
        <w:topLinePunct w:val="0"/>
        <w:bidi w:val="0"/>
        <w:spacing w:line="360" w:lineRule="auto"/>
        <w:ind w:firstLine="480" w:firstLineChars="200"/>
        <w:jc w:val="left"/>
        <w:textAlignment w:val="auto"/>
        <w:rPr>
          <w:rFonts w:hint="default"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合理性审查由省自然保护地主管部门组织技术审查组完成，主要审查内容包括:</w:t>
      </w:r>
    </w:p>
    <w:p w14:paraId="1F4CF8AD">
      <w:pPr>
        <w:pStyle w:val="2"/>
        <w:keepLines w:val="0"/>
        <w:pageBreakBefore w:val="0"/>
        <w:numPr>
          <w:ilvl w:val="0"/>
          <w:numId w:val="0"/>
        </w:numPr>
        <w:kinsoku/>
        <w:wordWrap/>
        <w:overflowPunct/>
        <w:topLinePunct w:val="0"/>
        <w:bidi w:val="0"/>
        <w:spacing w:line="360" w:lineRule="auto"/>
        <w:ind w:firstLine="480" w:firstLineChars="200"/>
        <w:jc w:val="left"/>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r>
        <w:rPr>
          <w:rFonts w:hint="default" w:ascii="宋体" w:hAnsi="宋体" w:cs="宋体"/>
          <w:color w:val="auto"/>
          <w:kern w:val="2"/>
          <w:sz w:val="24"/>
          <w:szCs w:val="24"/>
          <w:highlight w:val="none"/>
          <w:lang w:val="en-US" w:eastAsia="zh-CN" w:bidi="ar-SA"/>
        </w:rPr>
        <w:t>成果材料的完整性和编制规范性</w:t>
      </w:r>
      <w:r>
        <w:rPr>
          <w:rFonts w:hint="eastAsia" w:ascii="宋体" w:hAnsi="宋体" w:cs="宋体"/>
          <w:color w:val="auto"/>
          <w:kern w:val="2"/>
          <w:sz w:val="24"/>
          <w:szCs w:val="24"/>
          <w:highlight w:val="none"/>
          <w:lang w:val="en-US" w:eastAsia="zh-CN" w:bidi="ar-SA"/>
        </w:rPr>
        <w:t>；</w:t>
      </w:r>
    </w:p>
    <w:p w14:paraId="4CBFF3DE">
      <w:pPr>
        <w:pStyle w:val="2"/>
        <w:keepLines w:val="0"/>
        <w:pageBreakBefore w:val="0"/>
        <w:numPr>
          <w:ilvl w:val="0"/>
          <w:numId w:val="0"/>
        </w:numPr>
        <w:kinsoku/>
        <w:wordWrap/>
        <w:overflowPunct/>
        <w:topLinePunct w:val="0"/>
        <w:bidi w:val="0"/>
        <w:spacing w:line="360" w:lineRule="auto"/>
        <w:ind w:firstLine="480" w:firstLineChars="200"/>
        <w:jc w:val="left"/>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default" w:ascii="宋体" w:hAnsi="宋体" w:cs="宋体"/>
          <w:color w:val="auto"/>
          <w:kern w:val="2"/>
          <w:sz w:val="24"/>
          <w:szCs w:val="24"/>
          <w:highlight w:val="none"/>
          <w:lang w:val="en-US" w:eastAsia="zh-CN" w:bidi="ar-SA"/>
        </w:rPr>
        <w:t>边界点和定标点设置的完整性与合理性</w:t>
      </w:r>
      <w:r>
        <w:rPr>
          <w:rFonts w:hint="eastAsia" w:ascii="宋体" w:hAnsi="宋体" w:cs="宋体"/>
          <w:color w:val="auto"/>
          <w:kern w:val="2"/>
          <w:sz w:val="24"/>
          <w:szCs w:val="24"/>
          <w:highlight w:val="none"/>
          <w:lang w:val="en-US" w:eastAsia="zh-CN" w:bidi="ar-SA"/>
        </w:rPr>
        <w:t>；</w:t>
      </w:r>
    </w:p>
    <w:p w14:paraId="3254403D">
      <w:pPr>
        <w:pStyle w:val="2"/>
        <w:keepLines w:val="0"/>
        <w:pageBreakBefore w:val="0"/>
        <w:numPr>
          <w:ilvl w:val="0"/>
          <w:numId w:val="0"/>
        </w:numPr>
        <w:kinsoku/>
        <w:wordWrap/>
        <w:overflowPunct/>
        <w:topLinePunct w:val="0"/>
        <w:bidi w:val="0"/>
        <w:spacing w:line="360" w:lineRule="auto"/>
        <w:ind w:firstLine="480" w:firstLineChars="200"/>
        <w:jc w:val="left"/>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default" w:ascii="宋体" w:hAnsi="宋体" w:cs="宋体"/>
          <w:color w:val="auto"/>
          <w:kern w:val="2"/>
          <w:sz w:val="24"/>
          <w:szCs w:val="24"/>
          <w:highlight w:val="none"/>
          <w:lang w:val="en-US" w:eastAsia="zh-CN" w:bidi="ar-SA"/>
        </w:rPr>
        <w:t>走向说明的完整性、规范性及准确性</w:t>
      </w:r>
      <w:r>
        <w:rPr>
          <w:rFonts w:hint="eastAsia" w:ascii="宋体" w:hAnsi="宋体" w:cs="宋体"/>
          <w:color w:val="auto"/>
          <w:kern w:val="2"/>
          <w:sz w:val="24"/>
          <w:szCs w:val="24"/>
          <w:highlight w:val="none"/>
          <w:lang w:val="en-US" w:eastAsia="zh-CN" w:bidi="ar-SA"/>
        </w:rPr>
        <w:t>；</w:t>
      </w:r>
    </w:p>
    <w:p w14:paraId="59023DCA">
      <w:pPr>
        <w:pStyle w:val="2"/>
        <w:keepLines w:val="0"/>
        <w:pageBreakBefore w:val="0"/>
        <w:numPr>
          <w:ilvl w:val="0"/>
          <w:numId w:val="0"/>
        </w:numPr>
        <w:kinsoku/>
        <w:wordWrap/>
        <w:overflowPunct/>
        <w:topLinePunct w:val="0"/>
        <w:bidi w:val="0"/>
        <w:spacing w:line="360" w:lineRule="auto"/>
        <w:ind w:firstLine="480" w:firstLineChars="200"/>
        <w:jc w:val="left"/>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default" w:ascii="宋体" w:hAnsi="宋体" w:cs="宋体"/>
          <w:color w:val="auto"/>
          <w:kern w:val="2"/>
          <w:sz w:val="24"/>
          <w:szCs w:val="24"/>
          <w:highlight w:val="none"/>
          <w:lang w:val="en-US" w:eastAsia="zh-CN" w:bidi="ar-SA"/>
        </w:rPr>
        <w:t>边界附图的完整性与规范性</w:t>
      </w:r>
      <w:r>
        <w:rPr>
          <w:rFonts w:hint="eastAsia" w:ascii="宋体" w:hAnsi="宋体" w:cs="宋体"/>
          <w:color w:val="auto"/>
          <w:kern w:val="2"/>
          <w:sz w:val="24"/>
          <w:szCs w:val="24"/>
          <w:highlight w:val="none"/>
          <w:lang w:val="en-US" w:eastAsia="zh-CN" w:bidi="ar-SA"/>
        </w:rPr>
        <w:t>；</w:t>
      </w:r>
    </w:p>
    <w:p w14:paraId="22DEF130">
      <w:pPr>
        <w:pStyle w:val="2"/>
        <w:keepLines w:val="0"/>
        <w:pageBreakBefore w:val="0"/>
        <w:numPr>
          <w:ilvl w:val="0"/>
          <w:numId w:val="0"/>
        </w:numPr>
        <w:kinsoku/>
        <w:wordWrap/>
        <w:overflowPunct/>
        <w:topLinePunct w:val="0"/>
        <w:bidi w:val="0"/>
        <w:spacing w:line="360" w:lineRule="auto"/>
        <w:ind w:firstLine="480" w:firstLineChars="200"/>
        <w:jc w:val="left"/>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default" w:ascii="宋体" w:hAnsi="宋体" w:cs="宋体"/>
          <w:color w:val="auto"/>
          <w:kern w:val="2"/>
          <w:sz w:val="24"/>
          <w:szCs w:val="24"/>
          <w:highlight w:val="none"/>
          <w:lang w:val="en-US" w:eastAsia="zh-CN" w:bidi="ar-SA"/>
        </w:rPr>
        <w:t>数据库的完整性、一致性及逻辑性。</w:t>
      </w:r>
    </w:p>
    <w:p w14:paraId="3B9C58FD">
      <w:pPr>
        <w:pStyle w:val="2"/>
        <w:keepLines w:val="0"/>
        <w:pageBreakBefore w:val="0"/>
        <w:numPr>
          <w:ilvl w:val="0"/>
          <w:numId w:val="0"/>
        </w:numPr>
        <w:kinsoku/>
        <w:wordWrap/>
        <w:overflowPunct/>
        <w:topLinePunct w:val="0"/>
        <w:bidi w:val="0"/>
        <w:spacing w:line="360" w:lineRule="auto"/>
        <w:ind w:firstLine="480" w:firstLineChars="20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6.3测绘成果专项检查内容</w:t>
      </w:r>
    </w:p>
    <w:p w14:paraId="5245CCD4">
      <w:pPr>
        <w:pStyle w:val="2"/>
        <w:keepLines w:val="0"/>
        <w:pageBreakBefore w:val="0"/>
        <w:numPr>
          <w:ilvl w:val="0"/>
          <w:numId w:val="0"/>
        </w:numPr>
        <w:kinsoku/>
        <w:wordWrap/>
        <w:overflowPunct/>
        <w:topLinePunct w:val="0"/>
        <w:bidi w:val="0"/>
        <w:spacing w:line="360" w:lineRule="auto"/>
        <w:ind w:firstLine="480" w:firstLineChars="200"/>
        <w:jc w:val="left"/>
        <w:textAlignment w:val="auto"/>
        <w:rPr>
          <w:rFonts w:hint="eastAsia" w:ascii="宋体" w:hAnsi="宋体" w:cs="宋体"/>
          <w:color w:val="auto"/>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测绘成果专项检查内容按照GB/T 24356执行，并由检查单位出具检验报告</w:t>
      </w:r>
      <w:r>
        <w:rPr>
          <w:rFonts w:hint="eastAsia" w:ascii="宋体" w:hAnsi="宋体" w:cs="宋体"/>
          <w:color w:val="auto"/>
          <w:kern w:val="2"/>
          <w:sz w:val="24"/>
          <w:szCs w:val="24"/>
          <w:highlight w:val="none"/>
          <w:lang w:val="en-US" w:eastAsia="zh-CN" w:bidi="ar-SA"/>
        </w:rPr>
        <w:t>。</w:t>
      </w:r>
    </w:p>
    <w:p w14:paraId="0D24C373">
      <w:pPr>
        <w:pStyle w:val="2"/>
        <w:keepLines w:val="0"/>
        <w:pageBreakBefore w:val="0"/>
        <w:numPr>
          <w:ilvl w:val="0"/>
          <w:numId w:val="0"/>
        </w:numPr>
        <w:kinsoku/>
        <w:wordWrap/>
        <w:overflowPunct/>
        <w:topLinePunct w:val="0"/>
        <w:bidi w:val="0"/>
        <w:spacing w:line="360" w:lineRule="auto"/>
        <w:jc w:val="left"/>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7、立标</w:t>
      </w:r>
    </w:p>
    <w:p w14:paraId="1047FB5E">
      <w:pPr>
        <w:pStyle w:val="2"/>
        <w:keepLines w:val="0"/>
        <w:pageBreakBefore w:val="0"/>
        <w:numPr>
          <w:ilvl w:val="0"/>
          <w:numId w:val="0"/>
        </w:numPr>
        <w:kinsoku/>
        <w:wordWrap/>
        <w:overflowPunct/>
        <w:topLinePunct w:val="0"/>
        <w:bidi w:val="0"/>
        <w:spacing w:line="360" w:lineRule="auto"/>
        <w:ind w:firstLine="480" w:firstLineChars="20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7.1一般要求</w:t>
      </w:r>
    </w:p>
    <w:p w14:paraId="6984276C">
      <w:pPr>
        <w:pStyle w:val="2"/>
        <w:keepLines w:val="0"/>
        <w:pageBreakBefore w:val="0"/>
        <w:numPr>
          <w:ilvl w:val="0"/>
          <w:numId w:val="0"/>
        </w:numPr>
        <w:kinsoku/>
        <w:wordWrap/>
        <w:overflowPunct/>
        <w:topLinePunct w:val="0"/>
        <w:bidi w:val="0"/>
        <w:spacing w:line="360" w:lineRule="auto"/>
        <w:ind w:firstLine="480" w:firstLineChars="20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标识制作与安装的一般要求如下：</w:t>
      </w:r>
    </w:p>
    <w:p w14:paraId="19190CBA">
      <w:pPr>
        <w:pStyle w:val="2"/>
        <w:keepLines w:val="0"/>
        <w:pageBreakBefore w:val="0"/>
        <w:numPr>
          <w:ilvl w:val="0"/>
          <w:numId w:val="9"/>
        </w:numPr>
        <w:kinsoku/>
        <w:wordWrap/>
        <w:overflowPunct/>
        <w:topLinePunct w:val="0"/>
        <w:bidi w:val="0"/>
        <w:spacing w:line="360" w:lineRule="auto"/>
        <w:ind w:firstLine="480" w:firstLineChars="200"/>
        <w:jc w:val="left"/>
        <w:textAlignment w:val="auto"/>
        <w:rPr>
          <w:rFonts w:hint="default" w:ascii="宋体" w:hAnsi="宋体" w:cs="宋体"/>
          <w:kern w:val="2"/>
          <w:sz w:val="24"/>
          <w:szCs w:val="24"/>
          <w:highlight w:val="none"/>
          <w:lang w:val="en-US" w:eastAsia="zh-CN" w:bidi="ar-SA"/>
        </w:rPr>
      </w:pPr>
      <w:r>
        <w:rPr>
          <w:rFonts w:hint="default" w:ascii="宋体" w:hAnsi="宋体" w:cs="宋体"/>
          <w:color w:val="auto"/>
          <w:kern w:val="2"/>
          <w:sz w:val="24"/>
          <w:szCs w:val="24"/>
          <w:highlight w:val="none"/>
          <w:lang w:val="en-US" w:eastAsia="zh-CN" w:bidi="ar-SA"/>
        </w:rPr>
        <w:t>标识材质应具备防水</w:t>
      </w:r>
      <w:r>
        <w:rPr>
          <w:rFonts w:hint="default" w:ascii="宋体" w:hAnsi="宋体" w:cs="宋体"/>
          <w:kern w:val="2"/>
          <w:sz w:val="24"/>
          <w:szCs w:val="24"/>
          <w:highlight w:val="none"/>
          <w:lang w:val="en-US" w:eastAsia="zh-CN" w:bidi="ar-SA"/>
        </w:rPr>
        <w:t>、防晒、防浊、防冻、坚固等耐用特性，优先选用石材、金属等天然材料，也可选用水泥等无污染材料</w:t>
      </w:r>
      <w:r>
        <w:rPr>
          <w:rFonts w:hint="eastAsia" w:ascii="宋体" w:hAnsi="宋体" w:cs="宋体"/>
          <w:kern w:val="2"/>
          <w:sz w:val="24"/>
          <w:szCs w:val="24"/>
          <w:highlight w:val="none"/>
          <w:lang w:val="en-US" w:eastAsia="zh-CN" w:bidi="ar-SA"/>
        </w:rPr>
        <w:t>；</w:t>
      </w:r>
    </w:p>
    <w:p w14:paraId="2F6E0484">
      <w:pPr>
        <w:pStyle w:val="2"/>
        <w:keepLines w:val="0"/>
        <w:pageBreakBefore w:val="0"/>
        <w:numPr>
          <w:ilvl w:val="0"/>
          <w:numId w:val="9"/>
        </w:numPr>
        <w:kinsoku/>
        <w:wordWrap/>
        <w:overflowPunct/>
        <w:topLinePunct w:val="0"/>
        <w:bidi w:val="0"/>
        <w:spacing w:line="360" w:lineRule="auto"/>
        <w:ind w:firstLine="480" w:firstLineChars="200"/>
        <w:jc w:val="left"/>
        <w:textAlignment w:val="auto"/>
        <w:rPr>
          <w:rFonts w:hint="default" w:ascii="宋体" w:hAnsi="宋体" w:cs="宋体"/>
          <w:kern w:val="2"/>
          <w:sz w:val="24"/>
          <w:szCs w:val="24"/>
          <w:highlight w:val="none"/>
          <w:lang w:val="en-US" w:eastAsia="zh-CN" w:bidi="ar-SA"/>
        </w:rPr>
      </w:pPr>
      <w:r>
        <w:rPr>
          <w:rFonts w:hint="default" w:ascii="宋体" w:hAnsi="宋体" w:cs="宋体"/>
          <w:kern w:val="2"/>
          <w:sz w:val="24"/>
          <w:szCs w:val="24"/>
          <w:highlight w:val="none"/>
          <w:lang w:val="en-US" w:eastAsia="zh-CN" w:bidi="ar-SA"/>
        </w:rPr>
        <w:t>标识的形状、尺寸宜根据相关规范、周边环境、制作工艺和美观要求等情况合理设计。同一自然保护地的标识风格宜尽量统一</w:t>
      </w:r>
      <w:r>
        <w:rPr>
          <w:rFonts w:hint="eastAsia" w:ascii="宋体" w:hAnsi="宋体" w:cs="宋体"/>
          <w:kern w:val="2"/>
          <w:sz w:val="24"/>
          <w:szCs w:val="24"/>
          <w:highlight w:val="none"/>
          <w:lang w:val="en-US" w:eastAsia="zh-CN" w:bidi="ar-SA"/>
        </w:rPr>
        <w:t>；</w:t>
      </w:r>
    </w:p>
    <w:p w14:paraId="2D0D24EC">
      <w:pPr>
        <w:pStyle w:val="2"/>
        <w:keepLines w:val="0"/>
        <w:pageBreakBefore w:val="0"/>
        <w:numPr>
          <w:ilvl w:val="0"/>
          <w:numId w:val="9"/>
        </w:numPr>
        <w:kinsoku/>
        <w:wordWrap/>
        <w:overflowPunct/>
        <w:topLinePunct w:val="0"/>
        <w:bidi w:val="0"/>
        <w:spacing w:line="360" w:lineRule="auto"/>
        <w:ind w:left="0" w:leftChars="0" w:firstLine="480" w:firstLineChars="200"/>
        <w:jc w:val="left"/>
        <w:textAlignment w:val="auto"/>
        <w:rPr>
          <w:rFonts w:hint="default" w:ascii="宋体" w:hAnsi="宋体" w:cs="宋体"/>
          <w:kern w:val="2"/>
          <w:sz w:val="24"/>
          <w:szCs w:val="24"/>
          <w:highlight w:val="none"/>
          <w:lang w:val="en-US" w:eastAsia="zh-CN" w:bidi="ar-SA"/>
        </w:rPr>
      </w:pPr>
      <w:r>
        <w:rPr>
          <w:rFonts w:hint="default" w:ascii="宋体" w:hAnsi="宋体" w:cs="宋体"/>
          <w:kern w:val="2"/>
          <w:sz w:val="24"/>
          <w:szCs w:val="24"/>
          <w:highlight w:val="none"/>
          <w:lang w:val="en-US" w:eastAsia="zh-CN" w:bidi="ar-SA"/>
        </w:rPr>
        <w:t>标识的内容应准确、清晰、简洁。涉及图形符号时,要直观、易懂、解读性强,并符合 GB/T 16900表现规则、设计要求的规定，以及 GB/T 16903.1图形符号设计的规定。有条件的，标识可附二维码或自然保护地 1ogo，对标牌主要内容进行扩展</w:t>
      </w:r>
      <w:r>
        <w:rPr>
          <w:rFonts w:hint="eastAsia" w:ascii="宋体" w:hAnsi="宋体" w:cs="宋体"/>
          <w:kern w:val="2"/>
          <w:sz w:val="24"/>
          <w:szCs w:val="24"/>
          <w:highlight w:val="none"/>
          <w:lang w:val="en-US" w:eastAsia="zh-CN" w:bidi="ar-SA"/>
        </w:rPr>
        <w:t>；</w:t>
      </w:r>
    </w:p>
    <w:p w14:paraId="7FF5FBD8">
      <w:pPr>
        <w:pStyle w:val="2"/>
        <w:keepLines w:val="0"/>
        <w:pageBreakBefore w:val="0"/>
        <w:numPr>
          <w:ilvl w:val="0"/>
          <w:numId w:val="9"/>
        </w:numPr>
        <w:kinsoku/>
        <w:wordWrap/>
        <w:overflowPunct/>
        <w:topLinePunct w:val="0"/>
        <w:bidi w:val="0"/>
        <w:spacing w:line="360" w:lineRule="auto"/>
        <w:ind w:left="0" w:leftChars="0" w:firstLine="480" w:firstLineChars="200"/>
        <w:jc w:val="left"/>
        <w:textAlignment w:val="auto"/>
        <w:rPr>
          <w:rFonts w:hint="default" w:ascii="宋体" w:hAnsi="宋体" w:cs="宋体"/>
          <w:kern w:val="2"/>
          <w:sz w:val="24"/>
          <w:szCs w:val="24"/>
          <w:highlight w:val="none"/>
          <w:lang w:val="en-US" w:eastAsia="zh-CN" w:bidi="ar-SA"/>
        </w:rPr>
      </w:pPr>
      <w:r>
        <w:rPr>
          <w:rFonts w:hint="default" w:ascii="宋体" w:hAnsi="宋体" w:cs="宋体"/>
          <w:kern w:val="2"/>
          <w:sz w:val="24"/>
          <w:szCs w:val="24"/>
          <w:highlight w:val="none"/>
          <w:lang w:val="en-US" w:eastAsia="zh-CN" w:bidi="ar-SA"/>
        </w:rPr>
        <w:t>标识牌文字应规范、正确、工整。中文一般采用黑体、宋体或宋黑，西文和阿拉伯数字采用Times New Roman 字体。文字字号、间距、行距应与标识牌尺寸相协调。同类标识所用字体要统一</w:t>
      </w:r>
      <w:r>
        <w:rPr>
          <w:rFonts w:hint="eastAsia" w:ascii="宋体" w:hAnsi="宋体" w:cs="宋体"/>
          <w:kern w:val="2"/>
          <w:sz w:val="24"/>
          <w:szCs w:val="24"/>
          <w:highlight w:val="none"/>
          <w:lang w:val="en-US" w:eastAsia="zh-CN" w:bidi="ar-SA"/>
        </w:rPr>
        <w:t>；</w:t>
      </w:r>
    </w:p>
    <w:p w14:paraId="057A195D">
      <w:pPr>
        <w:pStyle w:val="2"/>
        <w:keepLines w:val="0"/>
        <w:pageBreakBefore w:val="0"/>
        <w:numPr>
          <w:ilvl w:val="0"/>
          <w:numId w:val="9"/>
        </w:numPr>
        <w:kinsoku/>
        <w:wordWrap/>
        <w:overflowPunct/>
        <w:topLinePunct w:val="0"/>
        <w:bidi w:val="0"/>
        <w:spacing w:line="360" w:lineRule="auto"/>
        <w:ind w:left="0" w:leftChars="0" w:firstLine="480" w:firstLineChars="200"/>
        <w:jc w:val="left"/>
        <w:textAlignment w:val="auto"/>
        <w:rPr>
          <w:rFonts w:hint="default" w:ascii="宋体" w:hAnsi="宋体" w:cs="宋体"/>
          <w:kern w:val="2"/>
          <w:sz w:val="24"/>
          <w:szCs w:val="24"/>
          <w:highlight w:val="none"/>
          <w:lang w:val="en-US" w:eastAsia="zh-CN" w:bidi="ar-SA"/>
        </w:rPr>
      </w:pPr>
      <w:r>
        <w:rPr>
          <w:rFonts w:hint="default" w:ascii="宋体" w:hAnsi="宋体" w:cs="宋体"/>
          <w:kern w:val="2"/>
          <w:sz w:val="24"/>
          <w:szCs w:val="24"/>
          <w:highlight w:val="none"/>
          <w:lang w:val="en-US" w:eastAsia="zh-CN" w:bidi="ar-SA"/>
        </w:rPr>
        <w:t>标识的色彩既要醒目突出，还要与环境相协调。基调色为棕色、绿色和蓝色，文字与图案颜色为黑色、白色、红色、黄色等，其中红色多用于禁止性标识，黄色多为警示性标识</w:t>
      </w:r>
      <w:r>
        <w:rPr>
          <w:rFonts w:hint="eastAsia" w:ascii="宋体" w:hAnsi="宋体" w:cs="宋体"/>
          <w:kern w:val="2"/>
          <w:sz w:val="24"/>
          <w:szCs w:val="24"/>
          <w:highlight w:val="none"/>
          <w:lang w:val="en-US" w:eastAsia="zh-CN" w:bidi="ar-SA"/>
        </w:rPr>
        <w:t>；</w:t>
      </w:r>
    </w:p>
    <w:p w14:paraId="4FC49189">
      <w:pPr>
        <w:pStyle w:val="2"/>
        <w:keepLines w:val="0"/>
        <w:pageBreakBefore w:val="0"/>
        <w:numPr>
          <w:ilvl w:val="0"/>
          <w:numId w:val="9"/>
        </w:numPr>
        <w:kinsoku/>
        <w:wordWrap/>
        <w:overflowPunct/>
        <w:topLinePunct w:val="0"/>
        <w:bidi w:val="0"/>
        <w:spacing w:line="360" w:lineRule="auto"/>
        <w:ind w:left="0" w:leftChars="0" w:firstLine="480" w:firstLineChars="200"/>
        <w:jc w:val="left"/>
        <w:textAlignment w:val="auto"/>
        <w:rPr>
          <w:rFonts w:hint="default" w:ascii="宋体" w:hAnsi="宋体" w:cs="宋体"/>
          <w:kern w:val="2"/>
          <w:sz w:val="24"/>
          <w:szCs w:val="24"/>
          <w:highlight w:val="none"/>
          <w:lang w:val="en-US" w:eastAsia="zh-CN" w:bidi="ar-SA"/>
        </w:rPr>
      </w:pPr>
      <w:r>
        <w:rPr>
          <w:rFonts w:hint="default" w:ascii="宋体" w:hAnsi="宋体" w:cs="宋体"/>
          <w:kern w:val="2"/>
          <w:sz w:val="24"/>
          <w:szCs w:val="24"/>
          <w:highlight w:val="none"/>
          <w:lang w:val="en-US" w:eastAsia="zh-CN" w:bidi="ar-SA"/>
        </w:rPr>
        <w:t>标识安装采取复位方式，原则上标识中心点应与定标点水平坐标间距离控制在极差(见表 1)内。因立标条件不良，间距大于极差的标识应对定标点登记表进行修改</w:t>
      </w:r>
      <w:r>
        <w:rPr>
          <w:rFonts w:hint="eastAsia" w:ascii="宋体" w:hAnsi="宋体" w:cs="宋体"/>
          <w:kern w:val="2"/>
          <w:sz w:val="24"/>
          <w:szCs w:val="24"/>
          <w:highlight w:val="none"/>
          <w:lang w:val="en-US" w:eastAsia="zh-CN" w:bidi="ar-SA"/>
        </w:rPr>
        <w:t>；</w:t>
      </w:r>
    </w:p>
    <w:p w14:paraId="1194E0D8">
      <w:pPr>
        <w:pStyle w:val="2"/>
        <w:keepLines w:val="0"/>
        <w:pageBreakBefore w:val="0"/>
        <w:numPr>
          <w:ilvl w:val="0"/>
          <w:numId w:val="9"/>
        </w:numPr>
        <w:kinsoku/>
        <w:wordWrap/>
        <w:overflowPunct/>
        <w:topLinePunct w:val="0"/>
        <w:bidi w:val="0"/>
        <w:spacing w:line="360" w:lineRule="auto"/>
        <w:ind w:left="0" w:leftChars="0" w:firstLine="480" w:firstLineChars="200"/>
        <w:jc w:val="left"/>
        <w:textAlignment w:val="auto"/>
        <w:rPr>
          <w:rFonts w:hint="default" w:ascii="宋体" w:hAnsi="宋体" w:cs="宋体"/>
          <w:kern w:val="2"/>
          <w:sz w:val="24"/>
          <w:szCs w:val="24"/>
          <w:highlight w:val="none"/>
          <w:lang w:val="en-US" w:eastAsia="zh-CN" w:bidi="ar-SA"/>
        </w:rPr>
      </w:pPr>
      <w:r>
        <w:rPr>
          <w:rFonts w:hint="default" w:ascii="宋体" w:hAnsi="宋体" w:cs="宋体"/>
          <w:kern w:val="2"/>
          <w:sz w:val="24"/>
          <w:szCs w:val="24"/>
          <w:highlight w:val="none"/>
          <w:lang w:val="en-US" w:eastAsia="zh-CN" w:bidi="ar-SA"/>
        </w:rPr>
        <w:t>标识的安装应牢固稳定、安全可靠，尽量避免对环境和原生植被的扰动和破坏，不应影响道路交通标志的识别及人员、车辆通行。</w:t>
      </w:r>
    </w:p>
    <w:p w14:paraId="0B832A22">
      <w:pPr>
        <w:pStyle w:val="2"/>
        <w:keepLines w:val="0"/>
        <w:pageBreakBefore w:val="0"/>
        <w:numPr>
          <w:ilvl w:val="0"/>
          <w:numId w:val="0"/>
        </w:numPr>
        <w:kinsoku/>
        <w:wordWrap/>
        <w:overflowPunct/>
        <w:topLinePunct w:val="0"/>
        <w:bidi w:val="0"/>
        <w:spacing w:line="360" w:lineRule="auto"/>
        <w:ind w:firstLine="480" w:firstLineChars="200"/>
        <w:jc w:val="left"/>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7.2标识类型选择</w:t>
      </w:r>
    </w:p>
    <w:p w14:paraId="7FC93BC7">
      <w:pPr>
        <w:pStyle w:val="2"/>
        <w:keepLines w:val="0"/>
        <w:pageBreakBefore w:val="0"/>
        <w:numPr>
          <w:ilvl w:val="0"/>
          <w:numId w:val="0"/>
        </w:numPr>
        <w:kinsoku/>
        <w:wordWrap/>
        <w:overflowPunct/>
        <w:topLinePunct w:val="0"/>
        <w:bidi w:val="0"/>
        <w:spacing w:line="360" w:lineRule="auto"/>
        <w:ind w:firstLine="480" w:firstLineChars="200"/>
        <w:jc w:val="left"/>
        <w:textAlignment w:val="auto"/>
        <w:rPr>
          <w:rFonts w:hint="default" w:ascii="宋体" w:hAnsi="宋体" w:cs="宋体"/>
          <w:kern w:val="2"/>
          <w:sz w:val="24"/>
          <w:szCs w:val="24"/>
          <w:highlight w:val="none"/>
          <w:lang w:val="en-US" w:eastAsia="zh-CN" w:bidi="ar-SA"/>
        </w:rPr>
      </w:pPr>
      <w:r>
        <w:rPr>
          <w:rFonts w:hint="default" w:ascii="宋体" w:hAnsi="宋体" w:cs="宋体"/>
          <w:kern w:val="2"/>
          <w:sz w:val="24"/>
          <w:szCs w:val="24"/>
          <w:highlight w:val="none"/>
          <w:lang w:val="en-US" w:eastAsia="zh-CN" w:bidi="ar-SA"/>
        </w:rPr>
        <w:t>界址标识主要有界碑、界桩、特殊界标及标识牌,根据定标点所在位置合理选择标识类型进行布设</w:t>
      </w:r>
      <w:r>
        <w:rPr>
          <w:rFonts w:hint="eastAsia" w:ascii="宋体" w:hAnsi="宋体" w:cs="宋体"/>
          <w:kern w:val="2"/>
          <w:sz w:val="24"/>
          <w:szCs w:val="24"/>
          <w:highlight w:val="none"/>
          <w:lang w:val="en-US" w:eastAsia="zh-CN" w:bidi="ar-SA"/>
        </w:rPr>
        <w:t>，</w:t>
      </w:r>
      <w:r>
        <w:rPr>
          <w:rFonts w:hint="default" w:ascii="宋体" w:hAnsi="宋体" w:cs="宋体"/>
          <w:kern w:val="2"/>
          <w:sz w:val="24"/>
          <w:szCs w:val="24"/>
          <w:highlight w:val="none"/>
          <w:lang w:val="en-US" w:eastAsia="zh-CN" w:bidi="ar-SA"/>
        </w:rPr>
        <w:t>一般遵循以下原则:</w:t>
      </w:r>
    </w:p>
    <w:p w14:paraId="6FD9A90D">
      <w:pPr>
        <w:pStyle w:val="2"/>
        <w:keepLines w:val="0"/>
        <w:pageBreakBefore w:val="0"/>
        <w:numPr>
          <w:ilvl w:val="0"/>
          <w:numId w:val="10"/>
        </w:numPr>
        <w:kinsoku/>
        <w:wordWrap/>
        <w:overflowPunct/>
        <w:topLinePunct w:val="0"/>
        <w:bidi w:val="0"/>
        <w:spacing w:line="360" w:lineRule="auto"/>
        <w:ind w:firstLine="480" w:firstLineChars="200"/>
        <w:jc w:val="left"/>
        <w:textAlignment w:val="auto"/>
        <w:rPr>
          <w:rFonts w:hint="default" w:ascii="宋体" w:hAnsi="宋体" w:cs="宋体"/>
          <w:kern w:val="2"/>
          <w:sz w:val="24"/>
          <w:szCs w:val="24"/>
          <w:highlight w:val="none"/>
          <w:lang w:val="en-US" w:eastAsia="zh-CN" w:bidi="ar-SA"/>
        </w:rPr>
      </w:pPr>
      <w:r>
        <w:rPr>
          <w:rFonts w:hint="default" w:ascii="宋体" w:hAnsi="宋体" w:cs="宋体"/>
          <w:kern w:val="2"/>
          <w:sz w:val="24"/>
          <w:szCs w:val="24"/>
          <w:highlight w:val="none"/>
          <w:lang w:val="en-US" w:eastAsia="zh-CN" w:bidi="ar-SA"/>
        </w:rPr>
        <w:t>界碑可分为区(园)碑和普通界碑两种。在自然保护地主入口可设置区(园)碑，在出入自然保护地的公路与边界交汇处设置普通界碑</w:t>
      </w:r>
      <w:r>
        <w:rPr>
          <w:rFonts w:hint="eastAsia" w:ascii="宋体" w:hAnsi="宋体" w:cs="宋体"/>
          <w:kern w:val="2"/>
          <w:sz w:val="24"/>
          <w:szCs w:val="24"/>
          <w:highlight w:val="none"/>
          <w:lang w:val="en-US" w:eastAsia="zh-CN" w:bidi="ar-SA"/>
        </w:rPr>
        <w:t>；</w:t>
      </w:r>
    </w:p>
    <w:p w14:paraId="6E9BCB45">
      <w:pPr>
        <w:pStyle w:val="2"/>
        <w:keepLines w:val="0"/>
        <w:pageBreakBefore w:val="0"/>
        <w:numPr>
          <w:ilvl w:val="0"/>
          <w:numId w:val="10"/>
        </w:numPr>
        <w:kinsoku/>
        <w:wordWrap/>
        <w:overflowPunct/>
        <w:topLinePunct w:val="0"/>
        <w:bidi w:val="0"/>
        <w:spacing w:line="360" w:lineRule="auto"/>
        <w:ind w:firstLine="480" w:firstLineChars="200"/>
        <w:jc w:val="left"/>
        <w:textAlignment w:val="auto"/>
        <w:rPr>
          <w:rFonts w:hint="default" w:ascii="宋体" w:hAnsi="宋体" w:cs="宋体"/>
          <w:kern w:val="2"/>
          <w:sz w:val="24"/>
          <w:szCs w:val="24"/>
          <w:highlight w:val="none"/>
          <w:lang w:val="en-US" w:eastAsia="zh-CN" w:bidi="ar-SA"/>
        </w:rPr>
      </w:pPr>
      <w:r>
        <w:rPr>
          <w:rFonts w:hint="default" w:ascii="宋体" w:hAnsi="宋体" w:cs="宋体"/>
          <w:kern w:val="2"/>
          <w:sz w:val="24"/>
          <w:szCs w:val="24"/>
          <w:highlight w:val="none"/>
          <w:lang w:val="en-US" w:eastAsia="zh-CN" w:bidi="ar-SA"/>
        </w:rPr>
        <w:t>界桩按边界性质不同分为外围界桩、管控区桩和共用界桩三类，按尺寸可分为大界和小界桩。大界桩一般设置在人为活动明显区域，其它区域一般选用小界</w:t>
      </w:r>
      <w:r>
        <w:rPr>
          <w:rFonts w:hint="eastAsia" w:ascii="宋体" w:hAnsi="宋体" w:cs="宋体"/>
          <w:kern w:val="2"/>
          <w:sz w:val="24"/>
          <w:szCs w:val="24"/>
          <w:highlight w:val="none"/>
          <w:lang w:val="en-US" w:eastAsia="zh-CN" w:bidi="ar-SA"/>
        </w:rPr>
        <w:t>；</w:t>
      </w:r>
    </w:p>
    <w:p w14:paraId="5B1A5DE3">
      <w:pPr>
        <w:pStyle w:val="2"/>
        <w:keepLines w:val="0"/>
        <w:pageBreakBefore w:val="0"/>
        <w:numPr>
          <w:ilvl w:val="0"/>
          <w:numId w:val="10"/>
        </w:numPr>
        <w:kinsoku/>
        <w:wordWrap/>
        <w:overflowPunct/>
        <w:topLinePunct w:val="0"/>
        <w:bidi w:val="0"/>
        <w:spacing w:line="360" w:lineRule="auto"/>
        <w:ind w:firstLine="480" w:firstLineChars="200"/>
        <w:jc w:val="left"/>
        <w:textAlignment w:val="auto"/>
        <w:rPr>
          <w:rFonts w:hint="default" w:ascii="宋体" w:hAnsi="宋体" w:cs="宋体"/>
          <w:kern w:val="2"/>
          <w:sz w:val="24"/>
          <w:szCs w:val="24"/>
          <w:highlight w:val="none"/>
          <w:lang w:val="en-US" w:eastAsia="zh-CN" w:bidi="ar-SA"/>
        </w:rPr>
      </w:pPr>
      <w:r>
        <w:rPr>
          <w:rFonts w:hint="default" w:ascii="宋体" w:hAnsi="宋体" w:cs="宋体"/>
          <w:kern w:val="2"/>
          <w:sz w:val="24"/>
          <w:szCs w:val="24"/>
          <w:highlight w:val="none"/>
          <w:lang w:val="en-US" w:eastAsia="zh-CN" w:bidi="ar-SA"/>
        </w:rPr>
        <w:t>特殊界标有地钉、浮标、永久性标志物、电子标识、虚拟电子标识等。在岩石、构筑物上可设置地钉:在水域中可设置浮标:电子标识含有点位信息储存，多与界配合使用:虚拟电子标识可用于海域</w:t>
      </w:r>
      <w:r>
        <w:rPr>
          <w:rFonts w:hint="eastAsia" w:ascii="宋体" w:hAnsi="宋体" w:cs="宋体"/>
          <w:kern w:val="2"/>
          <w:sz w:val="24"/>
          <w:szCs w:val="24"/>
          <w:highlight w:val="none"/>
          <w:lang w:val="en-US" w:eastAsia="zh-CN" w:bidi="ar-SA"/>
        </w:rPr>
        <w:t>；</w:t>
      </w:r>
    </w:p>
    <w:p w14:paraId="3E01BA27">
      <w:pPr>
        <w:pStyle w:val="2"/>
        <w:keepLines w:val="0"/>
        <w:pageBreakBefore w:val="0"/>
        <w:numPr>
          <w:ilvl w:val="0"/>
          <w:numId w:val="0"/>
        </w:numPr>
        <w:kinsoku/>
        <w:wordWrap/>
        <w:overflowPunct/>
        <w:topLinePunct w:val="0"/>
        <w:bidi w:val="0"/>
        <w:spacing w:line="360" w:lineRule="auto"/>
        <w:ind w:firstLine="480" w:firstLineChars="200"/>
        <w:jc w:val="left"/>
        <w:textAlignment w:val="auto"/>
        <w:rPr>
          <w:rFonts w:hint="default"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w:t>
      </w:r>
      <w:r>
        <w:rPr>
          <w:rFonts w:hint="default" w:ascii="宋体" w:hAnsi="宋体" w:cs="宋体"/>
          <w:kern w:val="2"/>
          <w:sz w:val="24"/>
          <w:szCs w:val="24"/>
          <w:highlight w:val="none"/>
          <w:lang w:val="en-US" w:eastAsia="zh-CN" w:bidi="ar-SA"/>
        </w:rPr>
        <w:t>界址标识牌按展示内容不同可分为简介牌、禁令牌、境界说明牌、禁入警示牌。简介牌介绍自然保护地概况及展示功能区划图，一般设置于入口和村庄等人员聚集处。禁令牌明示区内禁止性的人为活动准则，一般也设置于入口和村庄等人员聚集处。境界说明牌图示边界走向、所在位置及相关警示语，多用于无法立桩，有人为活动的边界明显位置。禁入警示牌多与核心保护区界桩配合使用</w:t>
      </w:r>
      <w:r>
        <w:rPr>
          <w:rFonts w:hint="eastAsia" w:ascii="宋体" w:hAnsi="宋体" w:cs="宋体"/>
          <w:kern w:val="2"/>
          <w:sz w:val="24"/>
          <w:szCs w:val="24"/>
          <w:highlight w:val="none"/>
          <w:lang w:val="en-US" w:eastAsia="zh-CN" w:bidi="ar-SA"/>
        </w:rPr>
        <w:t>；</w:t>
      </w:r>
    </w:p>
    <w:p w14:paraId="5C27EFC2">
      <w:pPr>
        <w:pStyle w:val="2"/>
        <w:keepLines w:val="0"/>
        <w:pageBreakBefore w:val="0"/>
        <w:numPr>
          <w:ilvl w:val="0"/>
          <w:numId w:val="0"/>
        </w:numPr>
        <w:kinsoku/>
        <w:wordWrap/>
        <w:overflowPunct/>
        <w:topLinePunct w:val="0"/>
        <w:bidi w:val="0"/>
        <w:spacing w:line="360" w:lineRule="auto"/>
        <w:ind w:firstLine="480" w:firstLineChars="200"/>
        <w:jc w:val="left"/>
        <w:textAlignment w:val="auto"/>
        <w:rPr>
          <w:rFonts w:hint="default"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（5）</w:t>
      </w:r>
      <w:r>
        <w:rPr>
          <w:rFonts w:hint="default" w:ascii="宋体" w:hAnsi="宋体" w:cs="宋体"/>
          <w:kern w:val="2"/>
          <w:sz w:val="24"/>
          <w:szCs w:val="24"/>
          <w:highlight w:val="none"/>
          <w:lang w:val="en-US" w:eastAsia="zh-CN" w:bidi="ar-SA"/>
        </w:rPr>
        <w:t>界碑、界桩、标识牌制作要求见</w:t>
      </w:r>
      <w:r>
        <w:rPr>
          <w:rFonts w:hint="eastAsia" w:ascii="宋体" w:hAnsi="宋体" w:cs="宋体"/>
          <w:kern w:val="2"/>
          <w:sz w:val="24"/>
          <w:szCs w:val="24"/>
          <w:highlight w:val="none"/>
          <w:lang w:val="en-US" w:eastAsia="zh-CN" w:bidi="ar-SA"/>
        </w:rPr>
        <w:t>《自然保护地勘界立标规范 第1部分：通用要求》</w:t>
      </w:r>
    </w:p>
    <w:p w14:paraId="51148DFA">
      <w:pPr>
        <w:pStyle w:val="2"/>
        <w:keepLines w:val="0"/>
        <w:pageBreakBefore w:val="0"/>
        <w:numPr>
          <w:ilvl w:val="0"/>
          <w:numId w:val="0"/>
        </w:numPr>
        <w:kinsoku/>
        <w:wordWrap/>
        <w:overflowPunct/>
        <w:topLinePunct w:val="0"/>
        <w:bidi w:val="0"/>
        <w:spacing w:line="360" w:lineRule="auto"/>
        <w:jc w:val="left"/>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8、数据入库</w:t>
      </w:r>
    </w:p>
    <w:p w14:paraId="2D0E48C6">
      <w:pPr>
        <w:pStyle w:val="2"/>
        <w:keepLines w:val="0"/>
        <w:pageBreakBefore w:val="0"/>
        <w:numPr>
          <w:ilvl w:val="0"/>
          <w:numId w:val="0"/>
        </w:numPr>
        <w:kinsoku/>
        <w:wordWrap/>
        <w:overflowPunct/>
        <w:topLinePunct w:val="0"/>
        <w:bidi w:val="0"/>
        <w:spacing w:line="360" w:lineRule="auto"/>
        <w:ind w:firstLine="480" w:firstLineChars="200"/>
        <w:jc w:val="left"/>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8.1数据库管理平台</w:t>
      </w:r>
    </w:p>
    <w:p w14:paraId="27ACFF83">
      <w:pPr>
        <w:pStyle w:val="2"/>
        <w:keepLines w:val="0"/>
        <w:pageBreakBefore w:val="0"/>
        <w:numPr>
          <w:ilvl w:val="0"/>
          <w:numId w:val="0"/>
        </w:numPr>
        <w:kinsoku/>
        <w:wordWrap/>
        <w:overflowPunct/>
        <w:topLinePunct w:val="0"/>
        <w:bidi w:val="0"/>
        <w:spacing w:line="360" w:lineRule="auto"/>
        <w:ind w:firstLine="480" w:firstLineChars="200"/>
        <w:jc w:val="left"/>
        <w:textAlignment w:val="auto"/>
        <w:rPr>
          <w:rFonts w:hint="default" w:ascii="宋体" w:hAnsi="宋体" w:cs="宋体"/>
          <w:kern w:val="2"/>
          <w:sz w:val="24"/>
          <w:szCs w:val="24"/>
          <w:highlight w:val="none"/>
          <w:lang w:val="en-US" w:eastAsia="zh-CN" w:bidi="ar-SA"/>
        </w:rPr>
      </w:pPr>
      <w:r>
        <w:rPr>
          <w:rFonts w:hint="default" w:ascii="宋体" w:hAnsi="宋体" w:cs="宋体"/>
          <w:kern w:val="2"/>
          <w:sz w:val="24"/>
          <w:szCs w:val="24"/>
          <w:highlight w:val="none"/>
          <w:lang w:val="en-US" w:eastAsia="zh-CN" w:bidi="ar-SA"/>
        </w:rPr>
        <w:t>数据库管理平台应在省林业一张图平台上架构，并满足全省自然保护地勘界立标数据存储、更新应用与发布。</w:t>
      </w:r>
    </w:p>
    <w:p w14:paraId="58F9F886">
      <w:pPr>
        <w:pStyle w:val="2"/>
        <w:keepLines w:val="0"/>
        <w:pageBreakBefore w:val="0"/>
        <w:numPr>
          <w:ilvl w:val="0"/>
          <w:numId w:val="0"/>
        </w:numPr>
        <w:kinsoku/>
        <w:wordWrap/>
        <w:overflowPunct/>
        <w:topLinePunct w:val="0"/>
        <w:bidi w:val="0"/>
        <w:spacing w:line="360" w:lineRule="auto"/>
        <w:ind w:firstLine="480" w:firstLineChars="200"/>
        <w:jc w:val="left"/>
        <w:textAlignment w:val="auto"/>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8.2数据检查入库</w:t>
      </w:r>
    </w:p>
    <w:p w14:paraId="1CB5AF2B">
      <w:pPr>
        <w:pStyle w:val="2"/>
        <w:keepLines w:val="0"/>
        <w:pageBreakBefore w:val="0"/>
        <w:numPr>
          <w:ilvl w:val="0"/>
          <w:numId w:val="0"/>
        </w:numPr>
        <w:kinsoku/>
        <w:wordWrap/>
        <w:overflowPunct/>
        <w:topLinePunct w:val="0"/>
        <w:bidi w:val="0"/>
        <w:spacing w:line="360" w:lineRule="auto"/>
        <w:ind w:firstLine="480" w:firstLineChars="200"/>
        <w:jc w:val="left"/>
        <w:textAlignment w:val="auto"/>
        <w:rPr>
          <w:rFonts w:hint="default" w:ascii="宋体" w:hAnsi="宋体" w:cs="宋体"/>
          <w:kern w:val="2"/>
          <w:sz w:val="24"/>
          <w:szCs w:val="24"/>
          <w:highlight w:val="none"/>
          <w:lang w:val="en-US" w:eastAsia="zh-CN" w:bidi="ar-SA"/>
        </w:rPr>
      </w:pPr>
      <w:r>
        <w:rPr>
          <w:rFonts w:hint="default" w:ascii="宋体" w:hAnsi="宋体" w:cs="宋体"/>
          <w:kern w:val="2"/>
          <w:sz w:val="24"/>
          <w:szCs w:val="24"/>
          <w:highlight w:val="none"/>
          <w:lang w:val="en-US" w:eastAsia="zh-CN" w:bidi="ar-SA"/>
        </w:rPr>
        <w:t>各自然保护地将勘界立标最终成果数据按要求整理提交</w:t>
      </w:r>
      <w:r>
        <w:rPr>
          <w:rFonts w:hint="eastAsia" w:ascii="宋体" w:hAnsi="宋体" w:cs="宋体"/>
          <w:kern w:val="2"/>
          <w:sz w:val="24"/>
          <w:szCs w:val="24"/>
          <w:highlight w:val="none"/>
          <w:lang w:val="en-US" w:eastAsia="zh-CN" w:bidi="ar-SA"/>
        </w:rPr>
        <w:t>，</w:t>
      </w:r>
      <w:r>
        <w:rPr>
          <w:rFonts w:hint="default" w:ascii="宋体" w:hAnsi="宋体" w:cs="宋体"/>
          <w:kern w:val="2"/>
          <w:sz w:val="24"/>
          <w:szCs w:val="24"/>
          <w:highlight w:val="none"/>
          <w:lang w:val="en-US" w:eastAsia="zh-CN" w:bidi="ar-SA"/>
        </w:rPr>
        <w:t>通过检查后入库保存,至此勘界立标结束。</w:t>
      </w:r>
    </w:p>
    <w:p w14:paraId="100FDEC4">
      <w:pPr>
        <w:pStyle w:val="2"/>
        <w:keepLines w:val="0"/>
        <w:pageBreakBefore w:val="0"/>
        <w:numPr>
          <w:ilvl w:val="0"/>
          <w:numId w:val="0"/>
        </w:numPr>
        <w:kinsoku/>
        <w:wordWrap/>
        <w:overflowPunct/>
        <w:topLinePunct w:val="0"/>
        <w:bidi w:val="0"/>
        <w:spacing w:line="360" w:lineRule="auto"/>
        <w:ind w:firstLine="480" w:firstLineChars="200"/>
        <w:jc w:val="left"/>
        <w:textAlignment w:val="auto"/>
        <w:rPr>
          <w:rFonts w:hint="default"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8.3入库数据管理</w:t>
      </w:r>
    </w:p>
    <w:p w14:paraId="7C3D7278">
      <w:pPr>
        <w:pStyle w:val="2"/>
        <w:keepLines w:val="0"/>
        <w:pageBreakBefore w:val="0"/>
        <w:numPr>
          <w:ilvl w:val="0"/>
          <w:numId w:val="0"/>
        </w:numPr>
        <w:kinsoku/>
        <w:wordWrap/>
        <w:overflowPunct/>
        <w:topLinePunct w:val="0"/>
        <w:bidi w:val="0"/>
        <w:spacing w:line="360" w:lineRule="auto"/>
        <w:ind w:firstLine="480" w:firstLineChars="200"/>
        <w:jc w:val="left"/>
        <w:textAlignment w:val="auto"/>
        <w:rPr>
          <w:rFonts w:hint="default" w:ascii="宋体" w:hAnsi="宋体" w:cs="宋体"/>
          <w:kern w:val="2"/>
          <w:sz w:val="24"/>
          <w:szCs w:val="24"/>
          <w:highlight w:val="none"/>
          <w:lang w:val="en-US" w:eastAsia="zh-CN" w:bidi="ar-SA"/>
        </w:rPr>
      </w:pPr>
      <w:r>
        <w:rPr>
          <w:rFonts w:hint="eastAsia" w:hAnsi="宋体" w:cs="宋体"/>
          <w:kern w:val="2"/>
          <w:sz w:val="24"/>
          <w:szCs w:val="24"/>
          <w:highlight w:val="none"/>
          <w:lang w:val="en-US" w:eastAsia="zh-CN" w:bidi="ar-SA"/>
        </w:rPr>
        <w:t>已入库</w:t>
      </w:r>
      <w:r>
        <w:rPr>
          <w:rFonts w:hint="default" w:ascii="宋体" w:hAnsi="宋体" w:cs="宋体"/>
          <w:kern w:val="2"/>
          <w:sz w:val="24"/>
          <w:szCs w:val="24"/>
          <w:highlight w:val="none"/>
          <w:lang w:val="en-US" w:eastAsia="zh-CN" w:bidi="ar-SA"/>
        </w:rPr>
        <w:t>数据原则上不予变动。当自然保护地发生更名、区划调整、撤销等情况，经主管部门批复同意后，入库数据应及时更新。涉及区划调整的，需提交调整部分勘界成果。</w:t>
      </w:r>
    </w:p>
    <w:p w14:paraId="6B6759CC">
      <w:pPr>
        <w:pStyle w:val="2"/>
        <w:keepLines w:val="0"/>
        <w:pageBreakBefore w:val="0"/>
        <w:numPr>
          <w:ilvl w:val="0"/>
          <w:numId w:val="0"/>
        </w:numPr>
        <w:kinsoku/>
        <w:wordWrap/>
        <w:overflowPunct/>
        <w:topLinePunct w:val="0"/>
        <w:bidi w:val="0"/>
        <w:spacing w:line="360" w:lineRule="auto"/>
        <w:jc w:val="left"/>
        <w:textAlignment w:val="auto"/>
        <w:rPr>
          <w:rFonts w:hint="default"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9、未尽事宜按《自然保护地勘界立标规范 第1部分：通用要求》执行。</w:t>
      </w:r>
    </w:p>
    <w:p w14:paraId="45367AD5">
      <w:pPr>
        <w:keepNext w:val="0"/>
        <w:keepLines w:val="0"/>
        <w:pageBreakBefore w:val="0"/>
        <w:widowControl w:val="0"/>
        <w:tabs>
          <w:tab w:val="left" w:pos="0"/>
        </w:tabs>
        <w:kinsoku/>
        <w:wordWrap/>
        <w:overflowPunct/>
        <w:topLinePunct w:val="0"/>
        <w:bidi w:val="0"/>
        <w:adjustRightInd w:val="0"/>
        <w:snapToGrid/>
        <w:spacing w:line="360" w:lineRule="auto"/>
        <w:ind w:firstLine="480"/>
        <w:textAlignment w:val="auto"/>
        <w:rPr>
          <w:rFonts w:hint="eastAsia" w:ascii="宋体" w:hAnsi="宋体" w:eastAsia="宋体" w:cs="宋体"/>
          <w:b/>
          <w:bCs/>
          <w:kern w:val="0"/>
          <w:sz w:val="24"/>
          <w:szCs w:val="24"/>
        </w:rPr>
      </w:pPr>
      <w:r>
        <w:rPr>
          <w:rFonts w:hint="eastAsia" w:ascii="宋体" w:hAnsi="宋体" w:cs="宋体"/>
          <w:b/>
          <w:bCs/>
          <w:kern w:val="0"/>
          <w:sz w:val="24"/>
          <w:szCs w:val="24"/>
          <w:lang w:val="en-US" w:eastAsia="zh-CN"/>
        </w:rPr>
        <w:t>七</w:t>
      </w:r>
      <w:r>
        <w:rPr>
          <w:rFonts w:hint="eastAsia" w:ascii="宋体" w:hAnsi="宋体" w:eastAsia="宋体" w:cs="宋体"/>
          <w:b/>
          <w:bCs/>
          <w:kern w:val="0"/>
          <w:sz w:val="24"/>
          <w:szCs w:val="24"/>
        </w:rPr>
        <w:t>、服务要求</w:t>
      </w:r>
    </w:p>
    <w:p w14:paraId="3B32AA33">
      <w:pPr>
        <w:pStyle w:val="2"/>
        <w:keepLines w:val="0"/>
        <w:pageBreakBefore w:val="0"/>
        <w:kinsoku/>
        <w:wordWrap/>
        <w:overflowPunct/>
        <w:topLinePunct w:val="0"/>
        <w:bidi w:val="0"/>
        <w:spacing w:line="360" w:lineRule="auto"/>
        <w:ind w:left="0" w:firstLine="420"/>
        <w:jc w:val="left"/>
        <w:textAlignment w:val="auto"/>
        <w:rPr>
          <w:rFonts w:hint="default" w:ascii="宋体" w:hAnsi="宋体" w:eastAsia="宋体" w:cs="仿宋_GB2312"/>
          <w:kern w:val="0"/>
          <w:sz w:val="24"/>
          <w:szCs w:val="24"/>
          <w:lang w:val="en-US" w:eastAsia="zh-CN"/>
        </w:rPr>
      </w:pPr>
      <w:r>
        <w:rPr>
          <w:rFonts w:hint="eastAsia" w:ascii="宋体" w:hAnsi="宋体" w:eastAsia="宋体" w:cs="宋体"/>
          <w:sz w:val="24"/>
          <w:szCs w:val="24"/>
          <w:highlight w:val="none"/>
          <w:lang w:eastAsia="zh-CN"/>
        </w:rPr>
        <w:t>1、</w:t>
      </w:r>
      <w:r>
        <w:rPr>
          <w:rFonts w:hint="eastAsia" w:ascii="宋体" w:hAnsi="宋体" w:eastAsia="宋体" w:cs="仿宋_GB2312"/>
          <w:kern w:val="0"/>
          <w:sz w:val="24"/>
          <w:szCs w:val="24"/>
          <w:highlight w:val="none"/>
          <w:lang w:val="en-US" w:eastAsia="zh-CN"/>
        </w:rPr>
        <w:t>质保期为3年</w:t>
      </w:r>
      <w:r>
        <w:rPr>
          <w:rFonts w:hint="eastAsia" w:ascii="宋体" w:hAnsi="宋体" w:eastAsia="宋体" w:cs="仿宋_GB2312"/>
          <w:kern w:val="0"/>
          <w:sz w:val="24"/>
          <w:szCs w:val="24"/>
          <w:lang w:val="en-US" w:eastAsia="zh-CN"/>
        </w:rPr>
        <w:t>（验收通过后开始，提供3年的质保服务）</w:t>
      </w:r>
      <w:r>
        <w:rPr>
          <w:rFonts w:hint="eastAsia" w:hAnsi="宋体" w:cs="仿宋_GB2312"/>
          <w:kern w:val="0"/>
          <w:sz w:val="24"/>
          <w:szCs w:val="24"/>
          <w:lang w:val="en-US" w:eastAsia="zh-CN"/>
        </w:rPr>
        <w:t>；</w:t>
      </w:r>
    </w:p>
    <w:p w14:paraId="68CDBA6B">
      <w:pPr>
        <w:pStyle w:val="2"/>
        <w:keepLines w:val="0"/>
        <w:pageBreakBefore w:val="0"/>
        <w:kinsoku/>
        <w:wordWrap/>
        <w:overflowPunct/>
        <w:topLinePunct w:val="0"/>
        <w:bidi w:val="0"/>
        <w:spacing w:line="360" w:lineRule="auto"/>
        <w:ind w:left="0" w:firstLine="420"/>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eastAsia="zh-CN"/>
        </w:rPr>
        <w:t>本次项目采购内容最终成果必须达到</w:t>
      </w:r>
      <w:r>
        <w:rPr>
          <w:rFonts w:hint="eastAsia" w:hAnsi="宋体" w:cs="宋体"/>
          <w:sz w:val="24"/>
          <w:szCs w:val="24"/>
          <w:highlight w:val="none"/>
          <w:lang w:val="en-US" w:eastAsia="zh-CN"/>
        </w:rPr>
        <w:t>浙江省地方标准《DB33/T 2532.1-2022》</w:t>
      </w:r>
      <w:r>
        <w:rPr>
          <w:rFonts w:hint="eastAsia" w:ascii="宋体" w:hAnsi="宋体" w:eastAsia="宋体" w:cs="宋体"/>
          <w:sz w:val="24"/>
          <w:szCs w:val="24"/>
          <w:highlight w:val="none"/>
        </w:rPr>
        <w:t>等文件</w:t>
      </w:r>
      <w:r>
        <w:rPr>
          <w:rFonts w:hint="eastAsia" w:ascii="宋体" w:hAnsi="宋体" w:eastAsia="宋体" w:cs="宋体"/>
          <w:sz w:val="24"/>
          <w:szCs w:val="24"/>
          <w:highlight w:val="none"/>
          <w:lang w:eastAsia="zh-CN"/>
        </w:rPr>
        <w:t>要求，</w:t>
      </w:r>
      <w:r>
        <w:rPr>
          <w:rFonts w:hint="eastAsia" w:hAnsi="宋体" w:cs="宋体"/>
          <w:sz w:val="24"/>
          <w:szCs w:val="24"/>
          <w:highlight w:val="none"/>
          <w:lang w:val="en-US" w:eastAsia="zh-CN"/>
        </w:rPr>
        <w:t>并通过验收。</w:t>
      </w:r>
      <w:r>
        <w:rPr>
          <w:rFonts w:hint="eastAsia" w:ascii="宋体" w:hAnsi="宋体" w:eastAsia="宋体" w:cs="宋体"/>
          <w:sz w:val="24"/>
          <w:szCs w:val="24"/>
          <w:highlight w:val="none"/>
          <w:lang w:eastAsia="zh-CN"/>
        </w:rPr>
        <w:t>如未达到相关规范要求，则中标方必须整改到位；</w:t>
      </w:r>
    </w:p>
    <w:p w14:paraId="1B1B4DCF">
      <w:pPr>
        <w:pStyle w:val="2"/>
        <w:keepLines w:val="0"/>
        <w:pageBreakBefore w:val="0"/>
        <w:kinsoku/>
        <w:wordWrap/>
        <w:overflowPunct/>
        <w:topLinePunct w:val="0"/>
        <w:bidi w:val="0"/>
        <w:spacing w:line="360" w:lineRule="auto"/>
        <w:ind w:left="0" w:firstLine="42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、中标方有义务配合采购单位对本项目进行宣传教育，提供相关宣传手册、宣传视频及政策解读等资料；</w:t>
      </w:r>
    </w:p>
    <w:p w14:paraId="33AA41CD">
      <w:pPr>
        <w:pStyle w:val="2"/>
        <w:keepLines w:val="0"/>
        <w:pageBreakBefore w:val="0"/>
        <w:kinsoku/>
        <w:wordWrap/>
        <w:overflowPunct/>
        <w:topLinePunct w:val="0"/>
        <w:bidi w:val="0"/>
        <w:spacing w:line="360" w:lineRule="auto"/>
        <w:ind w:left="0" w:firstLine="42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、中标方有义务对后期立标工程进行技术指导，确保达到相关规范要求；</w:t>
      </w:r>
    </w:p>
    <w:p w14:paraId="086810F2">
      <w:pPr>
        <w:pStyle w:val="2"/>
        <w:keepLines w:val="0"/>
        <w:pageBreakBefore w:val="0"/>
        <w:kinsoku/>
        <w:wordWrap/>
        <w:overflowPunct/>
        <w:topLinePunct w:val="0"/>
        <w:bidi w:val="0"/>
        <w:spacing w:line="360" w:lineRule="auto"/>
        <w:ind w:left="0" w:firstLine="42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、中标方有义务配合将勘界定标相关数据纳入省林业局等部门的资源管理平台，配合做好成果的展示与运用。</w:t>
      </w:r>
    </w:p>
    <w:p w14:paraId="7564DD87">
      <w:pPr>
        <w:keepNext w:val="0"/>
        <w:keepLines w:val="0"/>
        <w:pageBreakBefore w:val="0"/>
        <w:widowControl w:val="0"/>
        <w:tabs>
          <w:tab w:val="left" w:pos="0"/>
        </w:tabs>
        <w:kinsoku/>
        <w:wordWrap/>
        <w:overflowPunct/>
        <w:topLinePunct w:val="0"/>
        <w:bidi w:val="0"/>
        <w:adjustRightInd w:val="0"/>
        <w:snapToGrid/>
        <w:spacing w:line="360" w:lineRule="auto"/>
        <w:ind w:firstLine="480"/>
        <w:textAlignment w:val="auto"/>
        <w:rPr>
          <w:rFonts w:hint="eastAsia" w:ascii="宋体" w:hAnsi="宋体" w:eastAsia="宋体" w:cs="宋体"/>
          <w:b/>
          <w:bCs/>
          <w:kern w:val="0"/>
          <w:sz w:val="24"/>
          <w:szCs w:val="24"/>
          <w:highlight w:val="none"/>
        </w:rPr>
      </w:pPr>
      <w:r>
        <w:rPr>
          <w:rFonts w:hint="eastAsia" w:ascii="宋体" w:hAnsi="宋体" w:cs="宋体"/>
          <w:b/>
          <w:bCs/>
          <w:kern w:val="0"/>
          <w:sz w:val="24"/>
          <w:szCs w:val="24"/>
          <w:highlight w:val="none"/>
          <w:lang w:val="en-US" w:eastAsia="zh-CN"/>
        </w:rPr>
        <w:t>八</w:t>
      </w:r>
      <w:r>
        <w:rPr>
          <w:rFonts w:hint="eastAsia" w:ascii="宋体" w:hAnsi="宋体" w:eastAsia="宋体" w:cs="宋体"/>
          <w:b/>
          <w:bCs/>
          <w:kern w:val="0"/>
          <w:sz w:val="24"/>
          <w:szCs w:val="24"/>
          <w:highlight w:val="none"/>
          <w:lang w:eastAsia="zh-CN"/>
        </w:rPr>
        <w:t>、</w:t>
      </w:r>
      <w:r>
        <w:rPr>
          <w:rFonts w:hint="eastAsia" w:ascii="宋体" w:hAnsi="宋体" w:eastAsia="宋体" w:cs="宋体"/>
          <w:b/>
          <w:bCs/>
          <w:kern w:val="0"/>
          <w:sz w:val="24"/>
          <w:szCs w:val="24"/>
          <w:highlight w:val="none"/>
        </w:rPr>
        <w:t>商务要求：</w:t>
      </w:r>
    </w:p>
    <w:p w14:paraId="391B3652">
      <w:pPr>
        <w:keepNext w:val="0"/>
        <w:keepLines w:val="0"/>
        <w:pageBreakBefore w:val="0"/>
        <w:widowControl w:val="0"/>
        <w:numPr>
          <w:ilvl w:val="0"/>
          <w:numId w:val="0"/>
        </w:numPr>
        <w:kinsoku/>
        <w:wordWrap/>
        <w:overflowPunct/>
        <w:topLinePunct w:val="0"/>
        <w:bidi w:val="0"/>
        <w:adjustRightInd w:val="0"/>
        <w:snapToGrid/>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付款方式：</w:t>
      </w:r>
      <w:r>
        <w:rPr>
          <w:rFonts w:hint="eastAsia" w:ascii="宋体" w:hAnsi="宋体" w:eastAsia="宋体" w:cs="宋体"/>
          <w:kern w:val="2"/>
          <w:sz w:val="24"/>
          <w:szCs w:val="24"/>
          <w:highlight w:val="none"/>
          <w:lang w:val="en-US" w:eastAsia="zh-CN" w:bidi="ar-SA"/>
        </w:rPr>
        <w:t>合同签订生效以及具备实施条件后7个工作日内支付合同金额的60%</w:t>
      </w:r>
      <w:r>
        <w:rPr>
          <w:rFonts w:hint="eastAsia" w:ascii="宋体" w:hAnsi="宋体" w:eastAsia="宋体" w:cs="宋体"/>
          <w:kern w:val="0"/>
          <w:sz w:val="24"/>
          <w:szCs w:val="24"/>
          <w:highlight w:val="none"/>
        </w:rPr>
        <w:t>，</w:t>
      </w:r>
      <w:r>
        <w:rPr>
          <w:rFonts w:hint="eastAsia" w:ascii="宋体" w:hAnsi="宋体" w:cs="宋体"/>
          <w:kern w:val="0"/>
          <w:sz w:val="24"/>
          <w:szCs w:val="24"/>
          <w:highlight w:val="none"/>
          <w:lang w:val="en-US" w:eastAsia="zh-CN"/>
        </w:rPr>
        <w:t>项目通过委托方最终验收后</w:t>
      </w:r>
      <w:r>
        <w:rPr>
          <w:rFonts w:hint="eastAsia" w:ascii="宋体" w:hAnsi="宋体" w:eastAsia="宋体" w:cs="宋体"/>
          <w:kern w:val="0"/>
          <w:sz w:val="24"/>
          <w:szCs w:val="24"/>
          <w:highlight w:val="none"/>
          <w:lang w:eastAsia="zh-CN"/>
        </w:rPr>
        <w:t>并</w:t>
      </w:r>
      <w:r>
        <w:rPr>
          <w:rFonts w:hint="eastAsia" w:ascii="宋体" w:hAnsi="宋体" w:eastAsia="宋体" w:cs="宋体"/>
          <w:kern w:val="0"/>
          <w:sz w:val="24"/>
          <w:szCs w:val="24"/>
          <w:highlight w:val="none"/>
        </w:rPr>
        <w:t>通过履约服务验收合格后支付剩余款项。</w:t>
      </w:r>
    </w:p>
    <w:p w14:paraId="2C33E6A5">
      <w:pPr>
        <w:keepNext w:val="0"/>
        <w:keepLines w:val="0"/>
        <w:pageBreakBefore w:val="0"/>
        <w:widowControl w:val="0"/>
        <w:numPr>
          <w:ilvl w:val="0"/>
          <w:numId w:val="0"/>
        </w:numPr>
        <w:kinsoku/>
        <w:wordWrap/>
        <w:overflowPunct/>
        <w:topLinePunct w:val="0"/>
        <w:bidi w:val="0"/>
        <w:adjustRightInd w:val="0"/>
        <w:snapToGrid/>
        <w:spacing w:line="360" w:lineRule="auto"/>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2.时间要求：中标人在2025年9月30日之前完成项目工作并提交项目完整资料成果，供委托方最终验收。</w:t>
      </w:r>
    </w:p>
    <w:p w14:paraId="447E40FD">
      <w:pPr>
        <w:keepNext w:val="0"/>
        <w:keepLines w:val="0"/>
        <w:pageBreakBefore w:val="0"/>
        <w:widowControl w:val="0"/>
        <w:numPr>
          <w:ilvl w:val="0"/>
          <w:numId w:val="0"/>
        </w:numPr>
        <w:kinsoku/>
        <w:wordWrap/>
        <w:overflowPunct/>
        <w:topLinePunct w:val="0"/>
        <w:bidi w:val="0"/>
        <w:adjustRightInd w:val="0"/>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kern w:val="0"/>
          <w:sz w:val="24"/>
          <w:szCs w:val="24"/>
          <w:highlight w:val="none"/>
          <w:lang w:val="en-US" w:eastAsia="zh-CN"/>
        </w:rPr>
        <w:t>3.成果内容：项目完整资料成果是指完成项目工作所必须的所有成果资料</w:t>
      </w:r>
      <w:r>
        <w:rPr>
          <w:rFonts w:hint="eastAsia" w:ascii="宋体" w:hAnsi="宋体" w:cs="宋体"/>
          <w:kern w:val="0"/>
          <w:sz w:val="24"/>
          <w:szCs w:val="24"/>
          <w:highlight w:val="none"/>
          <w:lang w:val="en-US" w:eastAsia="zh-CN"/>
        </w:rPr>
        <w:t>，</w:t>
      </w:r>
      <w:r>
        <w:rPr>
          <w:rFonts w:hint="eastAsia" w:ascii="宋体" w:hAnsi="宋体" w:eastAsia="宋体" w:cs="宋体"/>
          <w:kern w:val="0"/>
          <w:sz w:val="24"/>
          <w:szCs w:val="24"/>
          <w:highlight w:val="none"/>
          <w:lang w:val="en-US" w:eastAsia="zh-CN"/>
        </w:rPr>
        <w:t>包括但不限</w:t>
      </w:r>
      <w:r>
        <w:rPr>
          <w:rFonts w:hint="eastAsia" w:ascii="宋体" w:hAnsi="宋体" w:eastAsia="宋体" w:cs="宋体"/>
          <w:color w:val="auto"/>
          <w:kern w:val="0"/>
          <w:sz w:val="24"/>
          <w:szCs w:val="24"/>
          <w:highlight w:val="none"/>
          <w:lang w:val="en-US" w:eastAsia="zh-CN"/>
        </w:rPr>
        <w:t>于勘界报告、边界点成果台账表、定标点登记表、边界附图、数据库</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相关的评审</w:t>
      </w:r>
      <w:r>
        <w:rPr>
          <w:rFonts w:hint="eastAsia" w:ascii="宋体" w:hAnsi="宋体" w:cs="宋体"/>
          <w:color w:val="auto"/>
          <w:kern w:val="0"/>
          <w:sz w:val="24"/>
          <w:szCs w:val="24"/>
          <w:highlight w:val="none"/>
          <w:lang w:val="en-US" w:eastAsia="zh-CN"/>
        </w:rPr>
        <w:t>论证</w:t>
      </w:r>
      <w:r>
        <w:rPr>
          <w:rFonts w:hint="eastAsia" w:ascii="宋体" w:hAnsi="宋体" w:eastAsia="宋体" w:cs="宋体"/>
          <w:color w:val="auto"/>
          <w:kern w:val="0"/>
          <w:sz w:val="24"/>
          <w:szCs w:val="24"/>
          <w:highlight w:val="none"/>
          <w:lang w:val="en-US" w:eastAsia="zh-CN"/>
        </w:rPr>
        <w:t>报告、中标人</w:t>
      </w:r>
      <w:r>
        <w:rPr>
          <w:rFonts w:hint="eastAsia" w:ascii="宋体" w:hAnsi="宋体" w:cs="宋体"/>
          <w:color w:val="auto"/>
          <w:kern w:val="0"/>
          <w:sz w:val="24"/>
          <w:szCs w:val="24"/>
          <w:highlight w:val="none"/>
          <w:lang w:val="en-US" w:eastAsia="zh-CN"/>
        </w:rPr>
        <w:t>自查</w:t>
      </w:r>
      <w:r>
        <w:rPr>
          <w:rFonts w:hint="default" w:ascii="宋体" w:hAnsi="宋体" w:eastAsia="宋体" w:cs="宋体"/>
          <w:color w:val="auto"/>
          <w:kern w:val="0"/>
          <w:sz w:val="24"/>
          <w:szCs w:val="24"/>
          <w:highlight w:val="none"/>
          <w:lang w:val="en-US" w:eastAsia="zh-CN"/>
        </w:rPr>
        <w:t>技术总结报告</w:t>
      </w:r>
      <w:r>
        <w:rPr>
          <w:rFonts w:hint="eastAsia" w:ascii="宋体" w:hAnsi="宋体" w:eastAsia="宋体" w:cs="宋体"/>
          <w:color w:val="auto"/>
          <w:kern w:val="0"/>
          <w:sz w:val="24"/>
          <w:szCs w:val="24"/>
          <w:highlight w:val="none"/>
          <w:lang w:val="en-US" w:eastAsia="zh-CN"/>
        </w:rPr>
        <w:t>、</w:t>
      </w:r>
      <w:r>
        <w:rPr>
          <w:rFonts w:hint="default" w:ascii="宋体" w:hAnsi="宋体" w:eastAsia="宋体" w:cs="宋体"/>
          <w:color w:val="auto"/>
          <w:kern w:val="2"/>
          <w:sz w:val="24"/>
          <w:szCs w:val="24"/>
          <w:highlight w:val="none"/>
          <w:lang w:val="en-US" w:eastAsia="zh-CN" w:bidi="ar-SA"/>
        </w:rPr>
        <w:t>边界合理性审查</w:t>
      </w:r>
      <w:r>
        <w:rPr>
          <w:rFonts w:hint="eastAsia" w:ascii="宋体" w:hAnsi="宋体" w:cs="宋体"/>
          <w:color w:val="auto"/>
          <w:kern w:val="2"/>
          <w:sz w:val="24"/>
          <w:szCs w:val="24"/>
          <w:highlight w:val="none"/>
          <w:lang w:val="en-US" w:eastAsia="zh-CN" w:bidi="ar-SA"/>
        </w:rPr>
        <w:t>报告、</w:t>
      </w:r>
      <w:r>
        <w:rPr>
          <w:rFonts w:hint="default" w:ascii="宋体" w:hAnsi="宋体" w:eastAsia="宋体" w:cs="宋体"/>
          <w:color w:val="auto"/>
          <w:kern w:val="0"/>
          <w:sz w:val="24"/>
          <w:szCs w:val="24"/>
          <w:highlight w:val="none"/>
          <w:lang w:val="en-US" w:eastAsia="zh-CN"/>
        </w:rPr>
        <w:t>测绘成果专项检查</w:t>
      </w:r>
      <w:r>
        <w:rPr>
          <w:rFonts w:hint="eastAsia" w:ascii="宋体" w:hAnsi="宋体" w:cs="宋体"/>
          <w:color w:val="auto"/>
          <w:kern w:val="0"/>
          <w:sz w:val="24"/>
          <w:szCs w:val="24"/>
          <w:highlight w:val="none"/>
          <w:lang w:val="en-US" w:eastAsia="zh-CN"/>
        </w:rPr>
        <w:t>报告</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标识</w:t>
      </w:r>
      <w:r>
        <w:rPr>
          <w:rFonts w:hint="eastAsia" w:ascii="宋体" w:hAnsi="宋体" w:eastAsia="宋体" w:cs="宋体"/>
          <w:color w:val="auto"/>
          <w:kern w:val="0"/>
          <w:sz w:val="24"/>
          <w:szCs w:val="24"/>
          <w:highlight w:val="none"/>
          <w:lang w:val="en-US" w:eastAsia="zh-CN"/>
        </w:rPr>
        <w:t>第三方质检报告</w:t>
      </w:r>
      <w:r>
        <w:rPr>
          <w:rFonts w:hint="eastAsia" w:ascii="宋体" w:hAnsi="宋体" w:cs="宋体"/>
          <w:color w:val="auto"/>
          <w:kern w:val="0"/>
          <w:sz w:val="24"/>
          <w:szCs w:val="24"/>
          <w:highlight w:val="none"/>
          <w:lang w:val="en-US" w:eastAsia="zh-CN"/>
        </w:rPr>
        <w:t>等。</w:t>
      </w:r>
    </w:p>
    <w:p w14:paraId="5BD6E31C">
      <w:pPr>
        <w:keepNext w:val="0"/>
        <w:keepLines w:val="0"/>
        <w:pageBreakBefore w:val="0"/>
        <w:widowControl w:val="0"/>
        <w:numPr>
          <w:ilvl w:val="0"/>
          <w:numId w:val="0"/>
        </w:numPr>
        <w:kinsoku/>
        <w:wordWrap/>
        <w:overflowPunct/>
        <w:topLinePunct w:val="0"/>
        <w:bidi w:val="0"/>
        <w:adjustRightInd w:val="0"/>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九</w:t>
      </w:r>
      <w:r>
        <w:rPr>
          <w:rFonts w:hint="eastAsia" w:ascii="宋体" w:hAnsi="宋体" w:eastAsia="宋体" w:cs="宋体"/>
          <w:b/>
          <w:bCs/>
          <w:color w:val="auto"/>
          <w:kern w:val="0"/>
          <w:sz w:val="24"/>
          <w:szCs w:val="24"/>
          <w:highlight w:val="none"/>
          <w:lang w:val="en-US" w:eastAsia="zh-CN"/>
        </w:rPr>
        <w:t>、履约保证金：</w:t>
      </w:r>
    </w:p>
    <w:p w14:paraId="398138CC">
      <w:pPr>
        <w:keepNext w:val="0"/>
        <w:keepLines w:val="0"/>
        <w:pageBreakBefore w:val="0"/>
        <w:widowControl w:val="0"/>
        <w:numPr>
          <w:ilvl w:val="0"/>
          <w:numId w:val="0"/>
        </w:numPr>
        <w:kinsoku/>
        <w:wordWrap/>
        <w:overflowPunct/>
        <w:topLinePunct w:val="0"/>
        <w:bidi w:val="0"/>
        <w:adjustRightInd w:val="0"/>
        <w:snapToGrid/>
        <w:spacing w:line="360" w:lineRule="auto"/>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本项目不设置履约保证金。</w:t>
      </w:r>
    </w:p>
    <w:p w14:paraId="71780F69">
      <w:pPr>
        <w:keepNext w:val="0"/>
        <w:keepLines w:val="0"/>
        <w:pageBreakBefore w:val="0"/>
        <w:widowControl w:val="0"/>
        <w:tabs>
          <w:tab w:val="left" w:pos="0"/>
        </w:tabs>
        <w:kinsoku/>
        <w:wordWrap/>
        <w:overflowPunct/>
        <w:topLinePunct w:val="0"/>
        <w:bidi w:val="0"/>
        <w:adjustRightInd w:val="0"/>
        <w:snapToGrid/>
        <w:spacing w:line="360" w:lineRule="auto"/>
        <w:ind w:firstLine="48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十</w:t>
      </w:r>
      <w:r>
        <w:rPr>
          <w:rFonts w:hint="eastAsia" w:ascii="宋体" w:hAnsi="宋体" w:eastAsia="宋体" w:cs="宋体"/>
          <w:b/>
          <w:bCs/>
          <w:color w:val="auto"/>
          <w:kern w:val="0"/>
          <w:sz w:val="24"/>
          <w:szCs w:val="24"/>
          <w:highlight w:val="none"/>
          <w:lang w:val="en-US" w:eastAsia="zh-CN"/>
        </w:rPr>
        <w:t>、报价要求：</w:t>
      </w:r>
    </w:p>
    <w:p w14:paraId="45C3067A">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lang w:val="zh-CN"/>
        </w:rPr>
        <w:t>本项目采用总价包干方式服务，供应商应根据项目要求合理报价。报价包括但不限于本合同资料收集、调研、成果编制、文本打印、专家审查费用（含专家评审费、住宿费、差旅费等）、人员工资、仪器设备费、奖金、交通、差旅、税费、利润、完成合同所需的一切本身和不可或缺的所有工作开支、政策性文件规定及合同包含的所有风险、责任等各项全部费用并承担一切风险责任。竞争性磋商文件未列明，而供应商认为必需的费用也需列入报价。</w:t>
      </w:r>
    </w:p>
    <w:p w14:paraId="52E43605">
      <w:pPr>
        <w:keepNext w:val="0"/>
        <w:keepLines w:val="0"/>
        <w:pageBreakBefore w:val="0"/>
        <w:widowControl w:val="0"/>
        <w:kinsoku/>
        <w:wordWrap/>
        <w:overflowPunct/>
        <w:topLinePunct w:val="0"/>
        <w:bidi w:val="0"/>
        <w:adjustRightInd w:val="0"/>
        <w:snapToGrid/>
        <w:spacing w:line="360" w:lineRule="auto"/>
        <w:textAlignment w:val="auto"/>
        <w:rPr>
          <w:rFonts w:hint="eastAsia"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br w:type="page"/>
      </w:r>
    </w:p>
    <w:p w14:paraId="33FDC414">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 xml:space="preserve">第五部分  </w:t>
      </w:r>
      <w:bookmarkEnd w:id="61"/>
      <w:bookmarkEnd w:id="62"/>
      <w:bookmarkStart w:id="77" w:name="第四部分"/>
      <w:r>
        <w:rPr>
          <w:rFonts w:hint="eastAsia" w:cs="仿宋_GB2312" w:asciiTheme="minorEastAsia" w:hAnsiTheme="minorEastAsia" w:eastAsiaTheme="minorEastAsia"/>
          <w:b/>
          <w:color w:val="auto"/>
          <w:sz w:val="36"/>
          <w:szCs w:val="36"/>
        </w:rPr>
        <w:t>评审方法及评审标准</w:t>
      </w:r>
    </w:p>
    <w:p w14:paraId="00ED1D76">
      <w:pPr>
        <w:pStyle w:val="393"/>
        <w:spacing w:before="0"/>
        <w:ind w:firstLine="643"/>
        <w:jc w:val="center"/>
        <w:rPr>
          <w:rFonts w:hint="eastAsia"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评审方法前附表</w:t>
      </w:r>
    </w:p>
    <w:tbl>
      <w:tblPr>
        <w:tblStyle w:val="60"/>
        <w:tblW w:w="57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5533"/>
        <w:gridCol w:w="630"/>
        <w:gridCol w:w="1065"/>
        <w:gridCol w:w="1668"/>
      </w:tblGrid>
      <w:tr w14:paraId="752A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13613155">
            <w:pPr>
              <w:keepNext w:val="0"/>
              <w:keepLines w:val="0"/>
              <w:pageBreakBefore w:val="0"/>
              <w:kinsoku/>
              <w:wordWrap/>
              <w:overflowPunct/>
              <w:topLinePunct w:val="0"/>
              <w:autoSpaceDE/>
              <w:autoSpaceDN/>
              <w:bidi w:val="0"/>
              <w:adjustRightInd/>
              <w:spacing w:line="360" w:lineRule="auto"/>
              <w:jc w:val="center"/>
              <w:textAlignment w:val="auto"/>
              <w:outlineLvl w:val="0"/>
              <w:rPr>
                <w:rFonts w:hint="eastAsia" w:ascii="宋体" w:hAnsi="宋体" w:eastAsia="宋体" w:cs="宋体"/>
                <w:bCs/>
                <w:sz w:val="24"/>
                <w:szCs w:val="24"/>
              </w:rPr>
            </w:pPr>
            <w:r>
              <w:rPr>
                <w:rFonts w:hint="eastAsia" w:ascii="宋体" w:hAnsi="宋体" w:eastAsia="宋体" w:cs="宋体"/>
                <w:bCs/>
                <w:sz w:val="24"/>
                <w:szCs w:val="24"/>
              </w:rPr>
              <w:t>序号</w:t>
            </w:r>
          </w:p>
        </w:tc>
        <w:tc>
          <w:tcPr>
            <w:tcW w:w="5533" w:type="dxa"/>
            <w:tcBorders>
              <w:top w:val="single" w:color="auto" w:sz="4" w:space="0"/>
              <w:left w:val="single" w:color="auto" w:sz="4" w:space="0"/>
              <w:bottom w:val="single" w:color="auto" w:sz="4" w:space="0"/>
              <w:right w:val="single" w:color="auto" w:sz="4" w:space="0"/>
            </w:tcBorders>
            <w:noWrap w:val="0"/>
            <w:vAlign w:val="center"/>
          </w:tcPr>
          <w:p w14:paraId="7AD37EDC">
            <w:pPr>
              <w:keepNext w:val="0"/>
              <w:keepLines w:val="0"/>
              <w:pageBreakBefore w:val="0"/>
              <w:kinsoku/>
              <w:wordWrap/>
              <w:overflowPunct/>
              <w:topLinePunct w:val="0"/>
              <w:autoSpaceDE/>
              <w:autoSpaceDN/>
              <w:bidi w:val="0"/>
              <w:adjustRightInd/>
              <w:spacing w:line="360" w:lineRule="auto"/>
              <w:ind w:firstLine="1560" w:firstLineChars="650"/>
              <w:textAlignment w:val="auto"/>
              <w:outlineLvl w:val="0"/>
              <w:rPr>
                <w:rFonts w:hint="eastAsia" w:ascii="宋体" w:hAnsi="宋体" w:eastAsia="宋体" w:cs="宋体"/>
                <w:bCs/>
                <w:sz w:val="24"/>
                <w:szCs w:val="24"/>
              </w:rPr>
            </w:pPr>
            <w:r>
              <w:rPr>
                <w:rFonts w:hint="eastAsia" w:ascii="宋体" w:hAnsi="宋体" w:eastAsia="宋体" w:cs="宋体"/>
                <w:bCs/>
                <w:sz w:val="24"/>
                <w:szCs w:val="24"/>
              </w:rPr>
              <w:t>评标标准</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2FD680DB">
            <w:pPr>
              <w:keepNext w:val="0"/>
              <w:keepLines w:val="0"/>
              <w:pageBreakBefore w:val="0"/>
              <w:kinsoku/>
              <w:wordWrap/>
              <w:overflowPunct/>
              <w:topLinePunct w:val="0"/>
              <w:autoSpaceDE/>
              <w:autoSpaceDN/>
              <w:bidi w:val="0"/>
              <w:adjustRightInd/>
              <w:spacing w:line="360" w:lineRule="auto"/>
              <w:jc w:val="center"/>
              <w:textAlignment w:val="auto"/>
              <w:outlineLvl w:val="0"/>
              <w:rPr>
                <w:rFonts w:hint="eastAsia" w:ascii="宋体" w:hAnsi="宋体" w:eastAsia="宋体" w:cs="宋体"/>
                <w:bCs/>
                <w:sz w:val="24"/>
                <w:szCs w:val="24"/>
              </w:rPr>
            </w:pPr>
            <w:r>
              <w:rPr>
                <w:rFonts w:hint="eastAsia" w:ascii="宋体" w:hAnsi="宋体" w:eastAsia="宋体" w:cs="宋体"/>
                <w:bCs/>
                <w:sz w:val="24"/>
                <w:szCs w:val="24"/>
              </w:rPr>
              <w:t>权重</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920AA1">
            <w:pPr>
              <w:pStyle w:val="393"/>
              <w:keepNext w:val="0"/>
              <w:keepLines w:val="0"/>
              <w:pageBreakBefore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rPr>
              <w:t>主观分/客观分属性</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00F888CB">
            <w:pPr>
              <w:keepNext w:val="0"/>
              <w:keepLines w:val="0"/>
              <w:pageBreakBefore w:val="0"/>
              <w:kinsoku/>
              <w:wordWrap/>
              <w:overflowPunct/>
              <w:topLinePunct w:val="0"/>
              <w:autoSpaceDE/>
              <w:autoSpaceDN/>
              <w:bidi w:val="0"/>
              <w:adjustRightInd/>
              <w:snapToGrid w:val="0"/>
              <w:spacing w:line="360" w:lineRule="auto"/>
              <w:textAlignment w:val="auto"/>
              <w:outlineLvl w:val="0"/>
              <w:rPr>
                <w:rFonts w:hint="eastAsia" w:ascii="宋体" w:hAnsi="宋体" w:eastAsia="宋体" w:cs="宋体"/>
                <w:bCs/>
                <w:sz w:val="24"/>
                <w:szCs w:val="24"/>
              </w:rPr>
            </w:pPr>
            <w:r>
              <w:rPr>
                <w:rFonts w:hint="eastAsia" w:ascii="宋体" w:hAnsi="宋体" w:eastAsia="宋体" w:cs="宋体"/>
                <w:bCs/>
                <w:sz w:val="24"/>
                <w:szCs w:val="24"/>
              </w:rPr>
              <w:t>投标文件中评标标准相应的商务技术资料目录</w:t>
            </w:r>
            <w:r>
              <w:rPr>
                <w:rFonts w:hint="eastAsia" w:ascii="宋体" w:hAnsi="宋体" w:eastAsia="宋体" w:cs="宋体"/>
                <w:sz w:val="24"/>
                <w:szCs w:val="24"/>
                <w:shd w:val="clear" w:color="auto" w:fill="FFFFFF"/>
              </w:rPr>
              <w:t> *</w:t>
            </w:r>
          </w:p>
        </w:tc>
      </w:tr>
      <w:tr w14:paraId="3B76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1C3BD610">
            <w:pPr>
              <w:keepNext w:val="0"/>
              <w:keepLines w:val="0"/>
              <w:pageBreakBefore w:val="0"/>
              <w:kinsoku/>
              <w:wordWrap/>
              <w:overflowPunct/>
              <w:topLinePunct w:val="0"/>
              <w:autoSpaceDE/>
              <w:autoSpaceDN/>
              <w:bidi w:val="0"/>
              <w:adjustRightInd/>
              <w:spacing w:line="360" w:lineRule="auto"/>
              <w:jc w:val="center"/>
              <w:textAlignment w:val="auto"/>
              <w:outlineLvl w:val="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w:t>
            </w:r>
          </w:p>
        </w:tc>
        <w:tc>
          <w:tcPr>
            <w:tcW w:w="5533" w:type="dxa"/>
            <w:tcBorders>
              <w:top w:val="single" w:color="auto" w:sz="4" w:space="0"/>
              <w:left w:val="single" w:color="auto" w:sz="4" w:space="0"/>
              <w:bottom w:val="single" w:color="auto" w:sz="4" w:space="0"/>
              <w:right w:val="single" w:color="auto" w:sz="4" w:space="0"/>
            </w:tcBorders>
            <w:noWrap w:val="0"/>
            <w:vAlign w:val="center"/>
          </w:tcPr>
          <w:p w14:paraId="024945F6">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供应商自202</w:t>
            </w:r>
            <w:r>
              <w:rPr>
                <w:rFonts w:hint="eastAsia" w:ascii="宋体" w:hAnsi="宋体" w:eastAsia="宋体" w:cs="宋体"/>
                <w:sz w:val="24"/>
                <w:szCs w:val="24"/>
                <w:lang w:val="en-US" w:eastAsia="zh-CN"/>
              </w:rPr>
              <w:t>1</w:t>
            </w:r>
            <w:r>
              <w:rPr>
                <w:rFonts w:hint="eastAsia" w:ascii="宋体" w:hAnsi="宋体" w:eastAsia="宋体" w:cs="宋体"/>
                <w:sz w:val="24"/>
                <w:szCs w:val="24"/>
              </w:rPr>
              <w:t>年1月1日以来至今承担过类似项目成功案例的，每个得</w:t>
            </w:r>
            <w:r>
              <w:rPr>
                <w:rFonts w:hint="eastAsia" w:ascii="宋体" w:hAnsi="宋体" w:eastAsia="宋体" w:cs="宋体"/>
                <w:sz w:val="24"/>
                <w:szCs w:val="24"/>
                <w:lang w:val="en-US" w:eastAsia="zh-CN"/>
              </w:rPr>
              <w:t>1</w:t>
            </w:r>
            <w:r>
              <w:rPr>
                <w:rFonts w:hint="eastAsia" w:ascii="宋体" w:hAnsi="宋体" w:eastAsia="宋体" w:cs="宋体"/>
                <w:sz w:val="24"/>
                <w:szCs w:val="24"/>
              </w:rPr>
              <w:t>分，最高得2分。</w:t>
            </w:r>
          </w:p>
          <w:p w14:paraId="522B094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Cs/>
                <w:sz w:val="24"/>
                <w:szCs w:val="24"/>
              </w:rPr>
            </w:pPr>
            <w:r>
              <w:rPr>
                <w:rFonts w:hint="eastAsia" w:ascii="宋体" w:hAnsi="宋体" w:eastAsia="宋体" w:cs="宋体"/>
                <w:sz w:val="24"/>
                <w:szCs w:val="24"/>
              </w:rPr>
              <w:t>提供业绩合同复印件，未提供的不得分。</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7C53A5B7">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sz w:val="24"/>
                <w:szCs w:val="24"/>
              </w:rPr>
            </w:pPr>
            <w:r>
              <w:rPr>
                <w:rFonts w:hint="eastAsia" w:ascii="宋体" w:hAnsi="宋体" w:eastAsia="宋体" w:cs="宋体"/>
                <w:sz w:val="24"/>
                <w:szCs w:val="24"/>
              </w:rPr>
              <w:t>2</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04DDEA">
            <w:pPr>
              <w:pStyle w:val="393"/>
              <w:keepNext w:val="0"/>
              <w:keepLines w:val="0"/>
              <w:pageBreakBefore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szCs w:val="24"/>
              </w:rPr>
              <w:t>客观分</w:t>
            </w:r>
          </w:p>
        </w:tc>
        <w:tc>
          <w:tcPr>
            <w:tcW w:w="1668" w:type="dxa"/>
            <w:tcBorders>
              <w:top w:val="single" w:color="auto" w:sz="4" w:space="0"/>
              <w:left w:val="single" w:color="auto" w:sz="4" w:space="0"/>
              <w:bottom w:val="single" w:color="auto" w:sz="4" w:space="0"/>
              <w:right w:val="single" w:color="auto" w:sz="4" w:space="0"/>
            </w:tcBorders>
            <w:noWrap w:val="0"/>
            <w:vAlign w:val="center"/>
          </w:tcPr>
          <w:p w14:paraId="3BB9E020">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sz w:val="24"/>
                <w:szCs w:val="24"/>
              </w:rPr>
            </w:pPr>
            <w:r>
              <w:rPr>
                <w:rFonts w:hint="eastAsia" w:ascii="宋体" w:hAnsi="宋体" w:eastAsia="宋体" w:cs="宋体"/>
                <w:sz w:val="24"/>
                <w:szCs w:val="24"/>
              </w:rPr>
              <w:t>类似业绩</w:t>
            </w:r>
          </w:p>
        </w:tc>
      </w:tr>
      <w:tr w14:paraId="44AF5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1F84B974">
            <w:pPr>
              <w:keepNext w:val="0"/>
              <w:keepLines w:val="0"/>
              <w:pageBreakBefore w:val="0"/>
              <w:kinsoku/>
              <w:wordWrap/>
              <w:overflowPunct/>
              <w:topLinePunct w:val="0"/>
              <w:autoSpaceDE/>
              <w:autoSpaceDN/>
              <w:bidi w:val="0"/>
              <w:adjustRightInd/>
              <w:spacing w:line="360" w:lineRule="auto"/>
              <w:jc w:val="center"/>
              <w:textAlignment w:val="auto"/>
              <w:outlineLvl w:val="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w:t>
            </w:r>
          </w:p>
        </w:tc>
        <w:tc>
          <w:tcPr>
            <w:tcW w:w="5533" w:type="dxa"/>
            <w:tcBorders>
              <w:top w:val="single" w:color="auto" w:sz="4" w:space="0"/>
              <w:left w:val="single" w:color="auto" w:sz="4" w:space="0"/>
              <w:bottom w:val="single" w:color="auto" w:sz="4" w:space="0"/>
              <w:right w:val="single" w:color="auto" w:sz="4" w:space="0"/>
            </w:tcBorders>
            <w:noWrap w:val="0"/>
            <w:vAlign w:val="center"/>
          </w:tcPr>
          <w:p w14:paraId="341C5CCF">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供应商自</w:t>
            </w:r>
            <w:r>
              <w:rPr>
                <w:rFonts w:hint="eastAsia" w:ascii="宋体" w:hAnsi="宋体" w:eastAsia="宋体" w:cs="宋体"/>
                <w:sz w:val="24"/>
                <w:szCs w:val="24"/>
                <w:lang w:eastAsia="zh-CN"/>
              </w:rPr>
              <w:t>20</w:t>
            </w:r>
            <w:r>
              <w:rPr>
                <w:rFonts w:hint="eastAsia" w:ascii="宋体" w:hAnsi="宋体" w:eastAsia="宋体" w:cs="宋体"/>
                <w:sz w:val="24"/>
                <w:szCs w:val="24"/>
                <w:lang w:val="en-US" w:eastAsia="zh-CN"/>
              </w:rPr>
              <w:t>21</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1月1日</w:t>
            </w:r>
            <w:r>
              <w:rPr>
                <w:rFonts w:hint="eastAsia" w:ascii="宋体" w:hAnsi="宋体" w:eastAsia="宋体" w:cs="宋体"/>
                <w:sz w:val="24"/>
                <w:szCs w:val="24"/>
                <w:lang w:eastAsia="zh-CN"/>
              </w:rPr>
              <w:t>以来，获得</w:t>
            </w:r>
            <w:r>
              <w:rPr>
                <w:rFonts w:hint="eastAsia" w:ascii="宋体" w:hAnsi="宋体" w:eastAsia="宋体" w:cs="宋体"/>
                <w:sz w:val="24"/>
                <w:szCs w:val="24"/>
                <w:lang w:val="en-US" w:eastAsia="zh-CN"/>
              </w:rPr>
              <w:t>过</w:t>
            </w:r>
            <w:r>
              <w:rPr>
                <w:rFonts w:hint="eastAsia" w:ascii="宋体" w:hAnsi="宋体" w:eastAsia="宋体" w:cs="宋体"/>
                <w:sz w:val="24"/>
                <w:szCs w:val="24"/>
                <w:lang w:val="zh-CN" w:eastAsia="zh-CN"/>
              </w:rPr>
              <w:t>政府机构</w:t>
            </w:r>
            <w:r>
              <w:rPr>
                <w:rFonts w:hint="eastAsia" w:ascii="宋体" w:hAnsi="宋体" w:eastAsia="宋体" w:cs="宋体"/>
                <w:sz w:val="24"/>
                <w:szCs w:val="24"/>
                <w:lang w:eastAsia="zh-CN"/>
              </w:rPr>
              <w:t>颁发的</w:t>
            </w:r>
            <w:r>
              <w:rPr>
                <w:rFonts w:hint="eastAsia" w:ascii="宋体" w:hAnsi="宋体" w:eastAsia="宋体" w:cs="宋体"/>
                <w:sz w:val="24"/>
                <w:szCs w:val="24"/>
                <w:lang w:val="en-US" w:eastAsia="zh-CN"/>
              </w:rPr>
              <w:t>奖项（奖项内容需与本项目相</w:t>
            </w:r>
            <w:r>
              <w:rPr>
                <w:rFonts w:hint="eastAsia" w:ascii="宋体" w:hAnsi="宋体" w:cs="宋体"/>
                <w:sz w:val="24"/>
                <w:szCs w:val="24"/>
                <w:lang w:val="en-US" w:eastAsia="zh-CN"/>
              </w:rPr>
              <w:t>关</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省级及以上的每个得3分，市级</w:t>
            </w:r>
            <w:r>
              <w:rPr>
                <w:rFonts w:hint="eastAsia" w:ascii="宋体" w:hAnsi="宋体" w:eastAsia="宋体" w:cs="宋体"/>
                <w:sz w:val="24"/>
                <w:szCs w:val="24"/>
                <w:lang w:eastAsia="zh-CN"/>
              </w:rPr>
              <w:t>每个得</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分，</w:t>
            </w:r>
            <w:r>
              <w:rPr>
                <w:rFonts w:hint="eastAsia" w:ascii="宋体" w:hAnsi="宋体" w:eastAsia="宋体" w:cs="宋体"/>
                <w:sz w:val="24"/>
                <w:szCs w:val="24"/>
                <w:lang w:val="en-US" w:eastAsia="zh-CN"/>
              </w:rPr>
              <w:t>县级每个得1分，</w:t>
            </w:r>
            <w:r>
              <w:rPr>
                <w:rFonts w:hint="eastAsia" w:ascii="宋体" w:hAnsi="宋体" w:eastAsia="宋体" w:cs="宋体"/>
                <w:sz w:val="24"/>
                <w:szCs w:val="24"/>
                <w:lang w:val="zh-CN" w:eastAsia="zh-CN"/>
              </w:rPr>
              <w:t>本项最高得</w:t>
            </w:r>
            <w:r>
              <w:rPr>
                <w:rFonts w:hint="eastAsia" w:ascii="宋体" w:hAnsi="宋体" w:eastAsia="宋体" w:cs="宋体"/>
                <w:sz w:val="24"/>
                <w:szCs w:val="24"/>
                <w:lang w:val="en-US" w:eastAsia="zh-CN"/>
              </w:rPr>
              <w:t>5</w:t>
            </w:r>
            <w:r>
              <w:rPr>
                <w:rFonts w:hint="eastAsia" w:ascii="宋体" w:hAnsi="宋体" w:eastAsia="宋体" w:cs="宋体"/>
                <w:sz w:val="24"/>
                <w:szCs w:val="24"/>
                <w:lang w:val="zh-CN" w:eastAsia="zh-CN"/>
              </w:rPr>
              <w:t>分。</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31244710">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564B9A">
            <w:pPr>
              <w:pStyle w:val="393"/>
              <w:keepNext w:val="0"/>
              <w:keepLines w:val="0"/>
              <w:pageBreakBefore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szCs w:val="24"/>
              </w:rPr>
              <w:t>客观分</w:t>
            </w:r>
          </w:p>
        </w:tc>
        <w:tc>
          <w:tcPr>
            <w:tcW w:w="1668" w:type="dxa"/>
            <w:tcBorders>
              <w:top w:val="single" w:color="auto" w:sz="4" w:space="0"/>
              <w:left w:val="single" w:color="auto" w:sz="4" w:space="0"/>
              <w:bottom w:val="single" w:color="auto" w:sz="4" w:space="0"/>
              <w:right w:val="single" w:color="auto" w:sz="4" w:space="0"/>
            </w:tcBorders>
            <w:noWrap w:val="0"/>
            <w:vAlign w:val="center"/>
          </w:tcPr>
          <w:p w14:paraId="060AA600">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企业</w:t>
            </w:r>
            <w:r>
              <w:rPr>
                <w:rFonts w:hint="eastAsia" w:ascii="宋体" w:hAnsi="宋体" w:eastAsia="宋体" w:cs="宋体"/>
                <w:sz w:val="24"/>
                <w:szCs w:val="24"/>
                <w:lang w:val="en-US" w:eastAsia="zh-CN"/>
              </w:rPr>
              <w:t>荣誉</w:t>
            </w:r>
          </w:p>
        </w:tc>
      </w:tr>
      <w:tr w14:paraId="7044C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773B4E7A">
            <w:pPr>
              <w:keepNext w:val="0"/>
              <w:keepLines w:val="0"/>
              <w:pageBreakBefore w:val="0"/>
              <w:kinsoku/>
              <w:wordWrap/>
              <w:overflowPunct/>
              <w:topLinePunct w:val="0"/>
              <w:autoSpaceDE/>
              <w:autoSpaceDN/>
              <w:bidi w:val="0"/>
              <w:adjustRightInd/>
              <w:spacing w:line="360" w:lineRule="auto"/>
              <w:jc w:val="center"/>
              <w:textAlignment w:val="auto"/>
              <w:outlineLvl w:val="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w:t>
            </w:r>
          </w:p>
        </w:tc>
        <w:tc>
          <w:tcPr>
            <w:tcW w:w="5533" w:type="dxa"/>
            <w:tcBorders>
              <w:top w:val="single" w:color="auto" w:sz="4" w:space="0"/>
              <w:left w:val="single" w:color="auto" w:sz="4" w:space="0"/>
              <w:bottom w:val="single" w:color="auto" w:sz="4" w:space="0"/>
              <w:right w:val="single" w:color="auto" w:sz="4" w:space="0"/>
            </w:tcBorders>
            <w:noWrap w:val="0"/>
            <w:vAlign w:val="center"/>
          </w:tcPr>
          <w:p w14:paraId="5A75C16E">
            <w:pPr>
              <w:keepNext w:val="0"/>
              <w:keepLines w:val="0"/>
              <w:pageBreakBefore w:val="0"/>
              <w:widowControl/>
              <w:numPr>
                <w:ilvl w:val="0"/>
                <w:numId w:val="0"/>
              </w:numPr>
              <w:kinsoku/>
              <w:wordWrap/>
              <w:overflowPunct/>
              <w:topLinePunct w:val="0"/>
              <w:autoSpaceDE/>
              <w:autoSpaceDN/>
              <w:bidi w:val="0"/>
              <w:spacing w:line="36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bidi="ar"/>
              </w:rPr>
              <w:t>供应商具有</w:t>
            </w:r>
            <w:r>
              <w:rPr>
                <w:rFonts w:hint="eastAsia" w:ascii="宋体" w:hAnsi="宋体" w:eastAsia="宋体" w:cs="宋体"/>
                <w:b w:val="0"/>
                <w:bCs w:val="0"/>
                <w:color w:val="auto"/>
                <w:kern w:val="0"/>
                <w:sz w:val="24"/>
                <w:szCs w:val="24"/>
                <w:highlight w:val="none"/>
                <w:lang w:val="en-US" w:eastAsia="zh-CN" w:bidi="ar"/>
              </w:rPr>
              <w:t>林业调查规划设计资质证书，丙级得1分，乙级得2分，甲级得3分。</w:t>
            </w:r>
          </w:p>
          <w:p w14:paraId="27D1BDB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pacing w:val="4"/>
                <w:sz w:val="24"/>
                <w:szCs w:val="24"/>
                <w:highlight w:val="none"/>
              </w:rPr>
              <w:t>注：须提供相关证书复印件加盖投标供应商公章</w:t>
            </w:r>
            <w:r>
              <w:rPr>
                <w:rFonts w:hint="eastAsia" w:ascii="宋体" w:hAnsi="宋体" w:eastAsia="宋体" w:cs="宋体"/>
                <w:b w:val="0"/>
                <w:bCs w:val="0"/>
                <w:color w:val="auto"/>
                <w:spacing w:val="4"/>
                <w:sz w:val="24"/>
                <w:szCs w:val="24"/>
                <w:highlight w:val="none"/>
                <w:lang w:eastAsia="zh-CN"/>
              </w:rPr>
              <w:t>。</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334DC826">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9B34E7">
            <w:pPr>
              <w:pStyle w:val="393"/>
              <w:keepNext w:val="0"/>
              <w:keepLines w:val="0"/>
              <w:pageBreakBefore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客观分</w:t>
            </w:r>
          </w:p>
        </w:tc>
        <w:tc>
          <w:tcPr>
            <w:tcW w:w="1668" w:type="dxa"/>
            <w:tcBorders>
              <w:top w:val="single" w:color="auto" w:sz="4" w:space="0"/>
              <w:left w:val="single" w:color="auto" w:sz="4" w:space="0"/>
              <w:bottom w:val="single" w:color="auto" w:sz="4" w:space="0"/>
              <w:right w:val="single" w:color="auto" w:sz="4" w:space="0"/>
            </w:tcBorders>
            <w:noWrap w:val="0"/>
            <w:vAlign w:val="center"/>
          </w:tcPr>
          <w:p w14:paraId="67DF2E19">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bidi="ar-SA"/>
              </w:rPr>
              <w:t>企业实力</w:t>
            </w:r>
          </w:p>
        </w:tc>
      </w:tr>
      <w:tr w14:paraId="3FE0E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38" w:type="dxa"/>
            <w:vMerge w:val="restart"/>
            <w:tcBorders>
              <w:top w:val="single" w:color="auto" w:sz="4" w:space="0"/>
              <w:left w:val="single" w:color="auto" w:sz="4" w:space="0"/>
              <w:right w:val="single" w:color="auto" w:sz="4" w:space="0"/>
            </w:tcBorders>
            <w:noWrap w:val="0"/>
            <w:vAlign w:val="center"/>
          </w:tcPr>
          <w:p w14:paraId="4E6B77C4">
            <w:pPr>
              <w:keepNext w:val="0"/>
              <w:keepLines w:val="0"/>
              <w:pageBreakBefore w:val="0"/>
              <w:kinsoku/>
              <w:wordWrap/>
              <w:overflowPunct/>
              <w:topLinePunct w:val="0"/>
              <w:autoSpaceDE/>
              <w:autoSpaceDN/>
              <w:bidi w:val="0"/>
              <w:adjustRightInd/>
              <w:spacing w:line="360" w:lineRule="auto"/>
              <w:jc w:val="center"/>
              <w:textAlignment w:val="auto"/>
              <w:outlineLvl w:val="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w:t>
            </w:r>
          </w:p>
        </w:tc>
        <w:tc>
          <w:tcPr>
            <w:tcW w:w="5533" w:type="dxa"/>
            <w:tcBorders>
              <w:top w:val="single" w:color="auto" w:sz="4" w:space="0"/>
              <w:left w:val="single" w:color="auto" w:sz="4" w:space="0"/>
              <w:bottom w:val="single" w:color="auto" w:sz="4" w:space="0"/>
              <w:right w:val="single" w:color="auto" w:sz="4" w:space="0"/>
            </w:tcBorders>
            <w:noWrap w:val="0"/>
            <w:vAlign w:val="center"/>
          </w:tcPr>
          <w:p w14:paraId="783FA44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1、项目负责人：具有</w:t>
            </w:r>
            <w:r>
              <w:rPr>
                <w:rFonts w:hint="eastAsia" w:ascii="宋体" w:hAnsi="宋体" w:eastAsia="宋体" w:cs="宋体"/>
                <w:sz w:val="24"/>
                <w:szCs w:val="24"/>
                <w:lang w:val="en-US" w:eastAsia="zh-CN"/>
              </w:rPr>
              <w:t>土地规划类或</w:t>
            </w:r>
            <w:r>
              <w:rPr>
                <w:rFonts w:hint="eastAsia" w:ascii="宋体" w:hAnsi="宋体" w:eastAsia="宋体" w:cs="宋体"/>
                <w:sz w:val="24"/>
                <w:szCs w:val="24"/>
              </w:rPr>
              <w:t>测绘类</w:t>
            </w:r>
            <w:r>
              <w:rPr>
                <w:rFonts w:hint="eastAsia" w:ascii="宋体" w:hAnsi="宋体" w:eastAsia="宋体" w:cs="宋体"/>
                <w:sz w:val="24"/>
                <w:szCs w:val="24"/>
                <w:lang w:val="en-US" w:eastAsia="zh-CN"/>
              </w:rPr>
              <w:t>或林业类</w:t>
            </w:r>
            <w:r>
              <w:rPr>
                <w:rFonts w:hint="eastAsia" w:ascii="宋体" w:hAnsi="宋体" w:eastAsia="宋体" w:cs="宋体"/>
                <w:sz w:val="24"/>
                <w:szCs w:val="24"/>
              </w:rPr>
              <w:t>高级及以上职称的得4分，具有</w:t>
            </w:r>
            <w:r>
              <w:rPr>
                <w:rFonts w:hint="eastAsia" w:ascii="宋体" w:hAnsi="宋体" w:eastAsia="宋体" w:cs="宋体"/>
                <w:sz w:val="24"/>
                <w:szCs w:val="24"/>
                <w:lang w:val="en-US" w:eastAsia="zh-CN"/>
              </w:rPr>
              <w:t>土地规划类或</w:t>
            </w:r>
            <w:r>
              <w:rPr>
                <w:rFonts w:hint="eastAsia" w:ascii="宋体" w:hAnsi="宋体" w:eastAsia="宋体" w:cs="宋体"/>
                <w:sz w:val="24"/>
                <w:szCs w:val="24"/>
              </w:rPr>
              <w:t>测绘类</w:t>
            </w:r>
            <w:r>
              <w:rPr>
                <w:rFonts w:hint="eastAsia" w:ascii="宋体" w:hAnsi="宋体" w:eastAsia="宋体" w:cs="宋体"/>
                <w:sz w:val="24"/>
                <w:szCs w:val="24"/>
                <w:lang w:val="en-US" w:eastAsia="zh-CN"/>
              </w:rPr>
              <w:t>或林业类中级</w:t>
            </w:r>
            <w:r>
              <w:rPr>
                <w:rFonts w:hint="eastAsia" w:ascii="宋体" w:hAnsi="宋体" w:eastAsia="宋体" w:cs="宋体"/>
                <w:sz w:val="24"/>
                <w:szCs w:val="24"/>
              </w:rPr>
              <w:t>职称的得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14:paraId="14FEC734">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Cs/>
                <w:sz w:val="24"/>
                <w:szCs w:val="24"/>
              </w:rPr>
            </w:pPr>
            <w:r>
              <w:rPr>
                <w:rFonts w:hint="eastAsia" w:ascii="宋体" w:hAnsi="宋体" w:eastAsia="宋体" w:cs="宋体"/>
                <w:sz w:val="24"/>
                <w:szCs w:val="24"/>
              </w:rPr>
              <w:t>提供职称证书复印件及人员近期（近三个月内任意一个月）社保证明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退休人员提供退休证明文件及聘用合同</w:t>
            </w:r>
            <w:r>
              <w:rPr>
                <w:rFonts w:hint="eastAsia" w:ascii="宋体" w:hAnsi="宋体" w:eastAsia="宋体" w:cs="宋体"/>
                <w:sz w:val="24"/>
                <w:szCs w:val="24"/>
                <w:lang w:eastAsia="zh-CN"/>
              </w:rPr>
              <w:t>）</w:t>
            </w:r>
            <w:r>
              <w:rPr>
                <w:rFonts w:hint="eastAsia" w:ascii="宋体" w:hAnsi="宋体" w:eastAsia="宋体" w:cs="宋体"/>
                <w:sz w:val="24"/>
                <w:szCs w:val="24"/>
              </w:rPr>
              <w:t>等相关材料，不提供的不得分</w:t>
            </w:r>
            <w:r>
              <w:rPr>
                <w:rFonts w:hint="eastAsia" w:ascii="宋体" w:hAnsi="宋体" w:eastAsia="宋体" w:cs="宋体"/>
                <w:sz w:val="24"/>
                <w:szCs w:val="24"/>
                <w:lang w:eastAsia="zh-CN"/>
              </w:rPr>
              <w:t>。</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7A3891B4">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sz w:val="24"/>
                <w:szCs w:val="24"/>
              </w:rPr>
            </w:pPr>
            <w:r>
              <w:rPr>
                <w:rFonts w:hint="eastAsia" w:ascii="宋体" w:hAnsi="宋体" w:eastAsia="宋体" w:cs="宋体"/>
                <w:sz w:val="24"/>
                <w:szCs w:val="24"/>
                <w:lang w:val="en-US" w:eastAsia="zh-CN"/>
              </w:rPr>
              <w:t>4</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EF32D3">
            <w:pPr>
              <w:pStyle w:val="393"/>
              <w:keepNext w:val="0"/>
              <w:keepLines w:val="0"/>
              <w:pageBreakBefore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szCs w:val="24"/>
              </w:rPr>
              <w:t>客观分</w:t>
            </w:r>
          </w:p>
        </w:tc>
        <w:tc>
          <w:tcPr>
            <w:tcW w:w="1668" w:type="dxa"/>
            <w:vMerge w:val="restart"/>
            <w:tcBorders>
              <w:top w:val="single" w:color="auto" w:sz="4" w:space="0"/>
              <w:left w:val="single" w:color="auto" w:sz="4" w:space="0"/>
              <w:bottom w:val="single" w:color="auto" w:sz="4" w:space="0"/>
              <w:right w:val="single" w:color="auto" w:sz="4" w:space="0"/>
            </w:tcBorders>
            <w:noWrap w:val="0"/>
            <w:vAlign w:val="center"/>
          </w:tcPr>
          <w:p w14:paraId="1EB7148D">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sz w:val="24"/>
                <w:szCs w:val="24"/>
              </w:rPr>
            </w:pPr>
            <w:r>
              <w:rPr>
                <w:rFonts w:hint="eastAsia" w:ascii="宋体" w:hAnsi="宋体" w:eastAsia="宋体" w:cs="宋体"/>
                <w:sz w:val="24"/>
                <w:szCs w:val="24"/>
              </w:rPr>
              <w:t>项目组人员情况</w:t>
            </w:r>
          </w:p>
        </w:tc>
      </w:tr>
      <w:tr w14:paraId="30C8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vMerge w:val="continue"/>
            <w:tcBorders>
              <w:left w:val="single" w:color="auto" w:sz="4" w:space="0"/>
              <w:bottom w:val="single" w:color="auto" w:sz="4" w:space="0"/>
              <w:right w:val="single" w:color="auto" w:sz="4" w:space="0"/>
            </w:tcBorders>
            <w:noWrap w:val="0"/>
            <w:vAlign w:val="center"/>
          </w:tcPr>
          <w:p w14:paraId="68845786">
            <w:pPr>
              <w:keepNext w:val="0"/>
              <w:keepLines w:val="0"/>
              <w:pageBreakBefore w:val="0"/>
              <w:kinsoku/>
              <w:wordWrap/>
              <w:overflowPunct/>
              <w:topLinePunct w:val="0"/>
              <w:autoSpaceDE/>
              <w:autoSpaceDN/>
              <w:bidi w:val="0"/>
              <w:adjustRightInd/>
              <w:spacing w:line="360" w:lineRule="auto"/>
              <w:jc w:val="center"/>
              <w:textAlignment w:val="auto"/>
              <w:outlineLvl w:val="0"/>
              <w:rPr>
                <w:rFonts w:hint="eastAsia" w:ascii="宋体" w:hAnsi="宋体" w:eastAsia="宋体" w:cs="宋体"/>
                <w:bCs/>
                <w:sz w:val="24"/>
                <w:szCs w:val="24"/>
              </w:rPr>
            </w:pPr>
          </w:p>
        </w:tc>
        <w:tc>
          <w:tcPr>
            <w:tcW w:w="5533" w:type="dxa"/>
            <w:tcBorders>
              <w:top w:val="single" w:color="auto" w:sz="4" w:space="0"/>
              <w:left w:val="single" w:color="auto" w:sz="4" w:space="0"/>
              <w:bottom w:val="single" w:color="auto" w:sz="4" w:space="0"/>
              <w:right w:val="single" w:color="auto" w:sz="4" w:space="0"/>
            </w:tcBorders>
            <w:noWrap w:val="0"/>
            <w:vAlign w:val="center"/>
          </w:tcPr>
          <w:p w14:paraId="187C310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2、项目组成员（不含项目负责人）：具备</w:t>
            </w:r>
            <w:r>
              <w:rPr>
                <w:rFonts w:hint="eastAsia" w:ascii="宋体" w:hAnsi="宋体" w:eastAsia="宋体" w:cs="宋体"/>
                <w:sz w:val="24"/>
                <w:szCs w:val="24"/>
                <w:lang w:val="en-US" w:eastAsia="zh-CN"/>
              </w:rPr>
              <w:t>土地规划类或</w:t>
            </w:r>
            <w:r>
              <w:rPr>
                <w:rFonts w:hint="eastAsia" w:ascii="宋体" w:hAnsi="宋体" w:eastAsia="宋体" w:cs="宋体"/>
                <w:sz w:val="24"/>
                <w:szCs w:val="24"/>
              </w:rPr>
              <w:t>测绘类</w:t>
            </w:r>
            <w:r>
              <w:rPr>
                <w:rFonts w:hint="eastAsia" w:ascii="宋体" w:hAnsi="宋体" w:eastAsia="宋体" w:cs="宋体"/>
                <w:sz w:val="24"/>
                <w:szCs w:val="24"/>
                <w:lang w:val="en-US" w:eastAsia="zh-CN"/>
              </w:rPr>
              <w:t>或林业类</w:t>
            </w:r>
            <w:r>
              <w:rPr>
                <w:rFonts w:hint="eastAsia" w:ascii="宋体" w:hAnsi="宋体" w:eastAsia="宋体" w:cs="宋体"/>
                <w:sz w:val="24"/>
                <w:szCs w:val="24"/>
              </w:rPr>
              <w:t>高级</w:t>
            </w:r>
            <w:r>
              <w:rPr>
                <w:rFonts w:hint="eastAsia" w:ascii="宋体" w:hAnsi="宋体" w:eastAsia="宋体" w:cs="宋体"/>
                <w:sz w:val="24"/>
                <w:szCs w:val="24"/>
                <w:lang w:val="en-US" w:eastAsia="zh-CN"/>
              </w:rPr>
              <w:t>及以上</w:t>
            </w:r>
            <w:r>
              <w:rPr>
                <w:rFonts w:hint="eastAsia" w:ascii="宋体" w:hAnsi="宋体" w:eastAsia="宋体" w:cs="宋体"/>
                <w:sz w:val="24"/>
                <w:szCs w:val="24"/>
              </w:rPr>
              <w:t>职称每人计</w:t>
            </w:r>
            <w:r>
              <w:rPr>
                <w:rFonts w:hint="eastAsia" w:ascii="宋体" w:hAnsi="宋体" w:eastAsia="宋体" w:cs="宋体"/>
                <w:sz w:val="24"/>
                <w:szCs w:val="24"/>
                <w:lang w:val="en-US" w:eastAsia="zh-CN"/>
              </w:rPr>
              <w:t>2</w:t>
            </w:r>
            <w:r>
              <w:rPr>
                <w:rFonts w:hint="eastAsia" w:ascii="宋体" w:hAnsi="宋体" w:eastAsia="宋体" w:cs="宋体"/>
                <w:sz w:val="24"/>
                <w:szCs w:val="24"/>
              </w:rPr>
              <w:t>分；具备</w:t>
            </w:r>
            <w:r>
              <w:rPr>
                <w:rFonts w:hint="eastAsia" w:ascii="宋体" w:hAnsi="宋体" w:eastAsia="宋体" w:cs="宋体"/>
                <w:sz w:val="24"/>
                <w:szCs w:val="24"/>
                <w:lang w:val="en-US" w:eastAsia="zh-CN"/>
              </w:rPr>
              <w:t>土地规划类或</w:t>
            </w:r>
            <w:r>
              <w:rPr>
                <w:rFonts w:hint="eastAsia" w:ascii="宋体" w:hAnsi="宋体" w:eastAsia="宋体" w:cs="宋体"/>
                <w:sz w:val="24"/>
                <w:szCs w:val="24"/>
              </w:rPr>
              <w:t>测绘类</w:t>
            </w:r>
            <w:r>
              <w:rPr>
                <w:rFonts w:hint="eastAsia" w:ascii="宋体" w:hAnsi="宋体" w:eastAsia="宋体" w:cs="宋体"/>
                <w:sz w:val="24"/>
                <w:szCs w:val="24"/>
                <w:lang w:val="en-US" w:eastAsia="zh-CN"/>
              </w:rPr>
              <w:t>或林业类</w:t>
            </w:r>
            <w:r>
              <w:rPr>
                <w:rFonts w:hint="eastAsia" w:ascii="宋体" w:hAnsi="宋体" w:eastAsia="宋体" w:cs="宋体"/>
                <w:sz w:val="24"/>
                <w:szCs w:val="24"/>
              </w:rPr>
              <w:t>中级职称每人计</w:t>
            </w:r>
            <w:r>
              <w:rPr>
                <w:rFonts w:hint="eastAsia" w:ascii="宋体" w:hAnsi="宋体" w:eastAsia="宋体" w:cs="宋体"/>
                <w:sz w:val="24"/>
                <w:szCs w:val="24"/>
                <w:lang w:val="en-US" w:eastAsia="zh-CN"/>
              </w:rPr>
              <w:t>1</w:t>
            </w:r>
            <w:r>
              <w:rPr>
                <w:rFonts w:hint="eastAsia" w:ascii="宋体" w:hAnsi="宋体" w:eastAsia="宋体" w:cs="宋体"/>
                <w:sz w:val="24"/>
                <w:szCs w:val="24"/>
              </w:rPr>
              <w:t>分；最高得</w:t>
            </w:r>
            <w:r>
              <w:rPr>
                <w:rFonts w:hint="eastAsia" w:ascii="宋体" w:hAnsi="宋体" w:eastAsia="宋体" w:cs="宋体"/>
                <w:sz w:val="24"/>
                <w:szCs w:val="24"/>
                <w:lang w:val="en-US" w:eastAsia="zh-CN"/>
              </w:rPr>
              <w:t>8</w:t>
            </w:r>
            <w:r>
              <w:rPr>
                <w:rFonts w:hint="eastAsia" w:ascii="宋体" w:hAnsi="宋体" w:eastAsia="宋体" w:cs="宋体"/>
                <w:sz w:val="24"/>
                <w:szCs w:val="24"/>
              </w:rPr>
              <w:t>分。</w:t>
            </w:r>
          </w:p>
          <w:p w14:paraId="38BD079A">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Cs/>
                <w:sz w:val="24"/>
                <w:szCs w:val="24"/>
              </w:rPr>
            </w:pPr>
            <w:r>
              <w:rPr>
                <w:rFonts w:hint="eastAsia" w:ascii="宋体" w:hAnsi="宋体" w:eastAsia="宋体" w:cs="宋体"/>
                <w:sz w:val="24"/>
                <w:szCs w:val="24"/>
              </w:rPr>
              <w:t>提供职称证书复印件及人员近期（近三个月内任意一个月）社保证明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退休人员提供退休证明文件及聘用合同</w:t>
            </w:r>
            <w:r>
              <w:rPr>
                <w:rFonts w:hint="eastAsia" w:ascii="宋体" w:hAnsi="宋体" w:eastAsia="宋体" w:cs="宋体"/>
                <w:sz w:val="24"/>
                <w:szCs w:val="24"/>
                <w:lang w:eastAsia="zh-CN"/>
              </w:rPr>
              <w:t>）</w:t>
            </w:r>
            <w:r>
              <w:rPr>
                <w:rFonts w:hint="eastAsia" w:ascii="宋体" w:hAnsi="宋体" w:eastAsia="宋体" w:cs="宋体"/>
                <w:sz w:val="24"/>
                <w:szCs w:val="24"/>
              </w:rPr>
              <w:t>等相关材料，不提供的不得分</w:t>
            </w:r>
            <w:r>
              <w:rPr>
                <w:rFonts w:hint="eastAsia" w:ascii="宋体" w:hAnsi="宋体" w:eastAsia="宋体" w:cs="宋体"/>
                <w:sz w:val="24"/>
                <w:szCs w:val="24"/>
                <w:lang w:eastAsia="zh-CN"/>
              </w:rPr>
              <w:t>。</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33669B6E">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sz w:val="24"/>
                <w:szCs w:val="24"/>
              </w:rPr>
            </w:pPr>
            <w:r>
              <w:rPr>
                <w:rFonts w:hint="eastAsia" w:ascii="宋体" w:hAnsi="宋体" w:eastAsia="宋体" w:cs="宋体"/>
                <w:sz w:val="24"/>
                <w:szCs w:val="24"/>
                <w:lang w:val="en-US" w:eastAsia="zh-CN"/>
              </w:rPr>
              <w:t>8</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7D5A4D">
            <w:pPr>
              <w:pStyle w:val="393"/>
              <w:keepNext w:val="0"/>
              <w:keepLines w:val="0"/>
              <w:pageBreakBefore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rPr>
              <w:t>客观分</w:t>
            </w:r>
          </w:p>
        </w:tc>
        <w:tc>
          <w:tcPr>
            <w:tcW w:w="1668" w:type="dxa"/>
            <w:vMerge w:val="continue"/>
            <w:tcBorders>
              <w:top w:val="single" w:color="auto" w:sz="4" w:space="0"/>
              <w:left w:val="single" w:color="auto" w:sz="4" w:space="0"/>
              <w:bottom w:val="single" w:color="auto" w:sz="4" w:space="0"/>
              <w:right w:val="single" w:color="auto" w:sz="4" w:space="0"/>
            </w:tcBorders>
            <w:noWrap w:val="0"/>
            <w:vAlign w:val="center"/>
          </w:tcPr>
          <w:p w14:paraId="1336E9F1">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Cs/>
                <w:sz w:val="24"/>
                <w:szCs w:val="24"/>
              </w:rPr>
            </w:pPr>
          </w:p>
        </w:tc>
      </w:tr>
      <w:tr w14:paraId="65C4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2E66949B">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5533" w:type="dxa"/>
            <w:tcBorders>
              <w:top w:val="single" w:color="auto" w:sz="4" w:space="0"/>
              <w:left w:val="single" w:color="auto" w:sz="4" w:space="0"/>
              <w:bottom w:val="single" w:color="auto" w:sz="4" w:space="0"/>
              <w:right w:val="single" w:color="auto" w:sz="4" w:space="0"/>
            </w:tcBorders>
            <w:noWrap w:val="0"/>
            <w:vAlign w:val="center"/>
          </w:tcPr>
          <w:p w14:paraId="72849DC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供应商对本项目背景、现状情况的认识及理解。对本项目背景、现状情况认识理解全面且表述清晰的得</w:t>
            </w:r>
            <w:r>
              <w:rPr>
                <w:rFonts w:hint="eastAsia" w:ascii="宋体" w:hAnsi="宋体" w:eastAsia="宋体" w:cs="宋体"/>
                <w:sz w:val="24"/>
                <w:szCs w:val="24"/>
                <w:lang w:val="en-US" w:eastAsia="zh-CN"/>
              </w:rPr>
              <w:t>4-6</w:t>
            </w:r>
            <w:r>
              <w:rPr>
                <w:rFonts w:hint="eastAsia" w:ascii="宋体" w:hAnsi="宋体" w:eastAsia="宋体" w:cs="宋体"/>
                <w:sz w:val="24"/>
                <w:szCs w:val="24"/>
              </w:rPr>
              <w:t>分，认识理解部分全面清晰的得</w:t>
            </w:r>
            <w:r>
              <w:rPr>
                <w:rFonts w:hint="eastAsia" w:ascii="宋体" w:hAnsi="宋体" w:eastAsia="宋体" w:cs="宋体"/>
                <w:sz w:val="24"/>
                <w:szCs w:val="24"/>
                <w:lang w:val="en-US" w:eastAsia="zh-CN"/>
              </w:rPr>
              <w:t>2-3.9</w:t>
            </w:r>
            <w:r>
              <w:rPr>
                <w:rFonts w:hint="eastAsia" w:ascii="宋体" w:hAnsi="宋体" w:eastAsia="宋体" w:cs="宋体"/>
                <w:sz w:val="24"/>
                <w:szCs w:val="24"/>
              </w:rPr>
              <w:t>分，严重不足的得</w:t>
            </w:r>
            <w:r>
              <w:rPr>
                <w:rFonts w:hint="eastAsia" w:ascii="宋体" w:hAnsi="宋体" w:eastAsia="宋体" w:cs="宋体"/>
                <w:sz w:val="24"/>
                <w:szCs w:val="24"/>
                <w:lang w:val="en-US" w:eastAsia="zh-CN"/>
              </w:rPr>
              <w:t>0-1.9</w:t>
            </w:r>
            <w:r>
              <w:rPr>
                <w:rFonts w:hint="eastAsia" w:ascii="宋体" w:hAnsi="宋体" w:eastAsia="宋体" w:cs="宋体"/>
                <w:sz w:val="24"/>
                <w:szCs w:val="24"/>
              </w:rPr>
              <w:t>分。</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559D7AE7">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82E849">
            <w:pPr>
              <w:pStyle w:val="393"/>
              <w:keepNext w:val="0"/>
              <w:keepLines w:val="0"/>
              <w:pageBreakBefore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rPr>
              <w:t>主观分</w:t>
            </w:r>
          </w:p>
        </w:tc>
        <w:tc>
          <w:tcPr>
            <w:tcW w:w="1668" w:type="dxa"/>
            <w:tcBorders>
              <w:top w:val="single" w:color="auto" w:sz="4" w:space="0"/>
              <w:left w:val="single" w:color="auto" w:sz="4" w:space="0"/>
              <w:bottom w:val="single" w:color="auto" w:sz="4" w:space="0"/>
              <w:right w:val="single" w:color="auto" w:sz="4" w:space="0"/>
            </w:tcBorders>
            <w:noWrap w:val="0"/>
            <w:vAlign w:val="center"/>
          </w:tcPr>
          <w:p w14:paraId="6FEDD063">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项目理解</w:t>
            </w:r>
          </w:p>
        </w:tc>
      </w:tr>
      <w:tr w14:paraId="0B566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838" w:type="dxa"/>
            <w:vMerge w:val="restart"/>
            <w:tcBorders>
              <w:top w:val="single" w:color="auto" w:sz="4" w:space="0"/>
              <w:left w:val="single" w:color="auto" w:sz="4" w:space="0"/>
              <w:right w:val="single" w:color="auto" w:sz="4" w:space="0"/>
            </w:tcBorders>
            <w:noWrap w:val="0"/>
            <w:vAlign w:val="center"/>
          </w:tcPr>
          <w:p w14:paraId="078448F4">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5533" w:type="dxa"/>
            <w:tcBorders>
              <w:top w:val="single" w:color="auto" w:sz="4" w:space="0"/>
              <w:left w:val="single" w:color="auto" w:sz="4" w:space="0"/>
              <w:bottom w:val="single" w:color="auto" w:sz="4" w:space="0"/>
              <w:right w:val="single" w:color="auto" w:sz="4" w:space="0"/>
            </w:tcBorders>
            <w:noWrap w:val="0"/>
            <w:vAlign w:val="center"/>
          </w:tcPr>
          <w:p w14:paraId="480153AD">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根据供应商针对本项目制定施测方法进行评审；施测方法合理、可行且完全符合项目采购需求的得</w:t>
            </w:r>
            <w:r>
              <w:rPr>
                <w:rFonts w:hint="eastAsia" w:ascii="宋体" w:hAnsi="宋体" w:eastAsia="宋体" w:cs="宋体"/>
                <w:sz w:val="24"/>
                <w:szCs w:val="24"/>
                <w:lang w:val="en-US" w:eastAsia="zh-CN"/>
              </w:rPr>
              <w:t>4-6</w:t>
            </w:r>
            <w:r>
              <w:rPr>
                <w:rFonts w:hint="eastAsia" w:ascii="宋体" w:hAnsi="宋体" w:eastAsia="宋体" w:cs="宋体"/>
                <w:sz w:val="24"/>
                <w:szCs w:val="24"/>
              </w:rPr>
              <w:t>分，部分合理、可行的得</w:t>
            </w:r>
            <w:r>
              <w:rPr>
                <w:rFonts w:hint="eastAsia" w:ascii="宋体" w:hAnsi="宋体" w:eastAsia="宋体" w:cs="宋体"/>
                <w:sz w:val="24"/>
                <w:szCs w:val="24"/>
                <w:lang w:val="en-US" w:eastAsia="zh-CN"/>
              </w:rPr>
              <w:t>2-3.9</w:t>
            </w:r>
            <w:r>
              <w:rPr>
                <w:rFonts w:hint="eastAsia" w:ascii="宋体" w:hAnsi="宋体" w:eastAsia="宋体" w:cs="宋体"/>
                <w:sz w:val="24"/>
                <w:szCs w:val="24"/>
              </w:rPr>
              <w:t>分，内容严重不足或不合理的得</w:t>
            </w:r>
            <w:r>
              <w:rPr>
                <w:rFonts w:hint="eastAsia" w:ascii="宋体" w:hAnsi="宋体" w:eastAsia="宋体" w:cs="宋体"/>
                <w:sz w:val="24"/>
                <w:szCs w:val="24"/>
                <w:lang w:val="en-US" w:eastAsia="zh-CN"/>
              </w:rPr>
              <w:t>0-1.9</w:t>
            </w:r>
            <w:r>
              <w:rPr>
                <w:rFonts w:hint="eastAsia" w:ascii="宋体" w:hAnsi="宋体" w:eastAsia="宋体" w:cs="宋体"/>
                <w:sz w:val="24"/>
                <w:szCs w:val="24"/>
              </w:rPr>
              <w:t>分。</w:t>
            </w:r>
          </w:p>
        </w:tc>
        <w:tc>
          <w:tcPr>
            <w:tcW w:w="630" w:type="dxa"/>
            <w:tcBorders>
              <w:top w:val="single" w:color="auto" w:sz="4" w:space="0"/>
              <w:left w:val="single" w:color="auto" w:sz="4" w:space="0"/>
              <w:right w:val="single" w:color="auto" w:sz="4" w:space="0"/>
            </w:tcBorders>
            <w:noWrap w:val="0"/>
            <w:vAlign w:val="center"/>
          </w:tcPr>
          <w:p w14:paraId="3F23238F">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065" w:type="dxa"/>
            <w:tcBorders>
              <w:top w:val="single" w:color="auto" w:sz="4" w:space="0"/>
              <w:left w:val="single" w:color="auto" w:sz="4" w:space="0"/>
              <w:right w:val="single" w:color="auto" w:sz="4" w:space="0"/>
            </w:tcBorders>
            <w:shd w:val="clear" w:color="auto" w:fill="auto"/>
            <w:noWrap w:val="0"/>
            <w:vAlign w:val="center"/>
          </w:tcPr>
          <w:p w14:paraId="2976335D">
            <w:pPr>
              <w:pStyle w:val="393"/>
              <w:keepNext w:val="0"/>
              <w:keepLines w:val="0"/>
              <w:pageBreakBefore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rPr>
              <w:t>主观分</w:t>
            </w:r>
          </w:p>
        </w:tc>
        <w:tc>
          <w:tcPr>
            <w:tcW w:w="1668" w:type="dxa"/>
            <w:vMerge w:val="restart"/>
            <w:tcBorders>
              <w:top w:val="single" w:color="auto" w:sz="4" w:space="0"/>
              <w:left w:val="single" w:color="auto" w:sz="4" w:space="0"/>
              <w:right w:val="single" w:color="auto" w:sz="4" w:space="0"/>
            </w:tcBorders>
            <w:noWrap w:val="0"/>
            <w:vAlign w:val="center"/>
          </w:tcPr>
          <w:p w14:paraId="30430C20">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实施方案</w:t>
            </w:r>
          </w:p>
        </w:tc>
      </w:tr>
      <w:tr w14:paraId="1D20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838" w:type="dxa"/>
            <w:vMerge w:val="continue"/>
            <w:tcBorders>
              <w:left w:val="single" w:color="auto" w:sz="4" w:space="0"/>
              <w:right w:val="single" w:color="auto" w:sz="4" w:space="0"/>
            </w:tcBorders>
            <w:noWrap w:val="0"/>
            <w:vAlign w:val="center"/>
          </w:tcPr>
          <w:p w14:paraId="40C5019F">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p>
        </w:tc>
        <w:tc>
          <w:tcPr>
            <w:tcW w:w="5533" w:type="dxa"/>
            <w:tcBorders>
              <w:top w:val="single" w:color="auto" w:sz="4" w:space="0"/>
              <w:left w:val="single" w:color="auto" w:sz="4" w:space="0"/>
              <w:bottom w:val="single" w:color="auto" w:sz="4" w:space="0"/>
              <w:right w:val="single" w:color="auto" w:sz="4" w:space="0"/>
            </w:tcBorders>
            <w:noWrap w:val="0"/>
            <w:vAlign w:val="center"/>
          </w:tcPr>
          <w:p w14:paraId="0A2F36AA">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2、根据供应商针对本项目制定</w:t>
            </w:r>
            <w:r>
              <w:rPr>
                <w:rFonts w:hint="eastAsia" w:ascii="宋体" w:hAnsi="宋体" w:eastAsia="宋体" w:cs="宋体"/>
                <w:sz w:val="24"/>
                <w:szCs w:val="24"/>
                <w:lang w:val="en-US" w:eastAsia="zh-CN"/>
              </w:rPr>
              <w:t>勘界立桩方案</w:t>
            </w:r>
            <w:r>
              <w:rPr>
                <w:rFonts w:hint="eastAsia" w:ascii="宋体" w:hAnsi="宋体" w:eastAsia="宋体" w:cs="宋体"/>
                <w:sz w:val="24"/>
                <w:szCs w:val="24"/>
              </w:rPr>
              <w:t>进行评审；管理方案内容合理、可行且完全符合项目采购需求的得</w:t>
            </w:r>
            <w:r>
              <w:rPr>
                <w:rFonts w:hint="eastAsia" w:ascii="宋体" w:hAnsi="宋体" w:eastAsia="宋体" w:cs="宋体"/>
                <w:sz w:val="24"/>
                <w:szCs w:val="24"/>
                <w:lang w:val="en-US" w:eastAsia="zh-CN"/>
              </w:rPr>
              <w:t>4-6</w:t>
            </w:r>
            <w:r>
              <w:rPr>
                <w:rFonts w:hint="eastAsia" w:ascii="宋体" w:hAnsi="宋体" w:eastAsia="宋体" w:cs="宋体"/>
                <w:sz w:val="24"/>
                <w:szCs w:val="24"/>
              </w:rPr>
              <w:t>分，部分合理、可行的得</w:t>
            </w:r>
            <w:r>
              <w:rPr>
                <w:rFonts w:hint="eastAsia" w:ascii="宋体" w:hAnsi="宋体" w:eastAsia="宋体" w:cs="宋体"/>
                <w:sz w:val="24"/>
                <w:szCs w:val="24"/>
                <w:lang w:val="en-US" w:eastAsia="zh-CN"/>
              </w:rPr>
              <w:t>2-3.9</w:t>
            </w:r>
            <w:r>
              <w:rPr>
                <w:rFonts w:hint="eastAsia" w:ascii="宋体" w:hAnsi="宋体" w:eastAsia="宋体" w:cs="宋体"/>
                <w:sz w:val="24"/>
                <w:szCs w:val="24"/>
              </w:rPr>
              <w:t>分，内容严重不足或不合理的得</w:t>
            </w:r>
            <w:r>
              <w:rPr>
                <w:rFonts w:hint="eastAsia" w:ascii="宋体" w:hAnsi="宋体" w:eastAsia="宋体" w:cs="宋体"/>
                <w:sz w:val="24"/>
                <w:szCs w:val="24"/>
                <w:lang w:val="en-US" w:eastAsia="zh-CN"/>
              </w:rPr>
              <w:t>0-1.9</w:t>
            </w:r>
            <w:r>
              <w:rPr>
                <w:rFonts w:hint="eastAsia" w:ascii="宋体" w:hAnsi="宋体" w:eastAsia="宋体" w:cs="宋体"/>
                <w:sz w:val="24"/>
                <w:szCs w:val="24"/>
              </w:rPr>
              <w:t>分。</w:t>
            </w:r>
          </w:p>
        </w:tc>
        <w:tc>
          <w:tcPr>
            <w:tcW w:w="630" w:type="dxa"/>
            <w:tcBorders>
              <w:left w:val="single" w:color="auto" w:sz="4" w:space="0"/>
              <w:right w:val="single" w:color="auto" w:sz="4" w:space="0"/>
            </w:tcBorders>
            <w:noWrap w:val="0"/>
            <w:vAlign w:val="center"/>
          </w:tcPr>
          <w:p w14:paraId="0973B065">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065" w:type="dxa"/>
            <w:tcBorders>
              <w:left w:val="single" w:color="auto" w:sz="4" w:space="0"/>
              <w:right w:val="single" w:color="auto" w:sz="4" w:space="0"/>
            </w:tcBorders>
            <w:shd w:val="clear" w:color="auto" w:fill="auto"/>
            <w:noWrap w:val="0"/>
            <w:vAlign w:val="center"/>
          </w:tcPr>
          <w:p w14:paraId="6E42C956">
            <w:pPr>
              <w:pStyle w:val="393"/>
              <w:keepNext w:val="0"/>
              <w:keepLines w:val="0"/>
              <w:pageBreakBefore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rPr>
              <w:t>主观分</w:t>
            </w:r>
          </w:p>
        </w:tc>
        <w:tc>
          <w:tcPr>
            <w:tcW w:w="1668" w:type="dxa"/>
            <w:vMerge w:val="continue"/>
            <w:tcBorders>
              <w:left w:val="single" w:color="auto" w:sz="4" w:space="0"/>
              <w:right w:val="single" w:color="auto" w:sz="4" w:space="0"/>
            </w:tcBorders>
            <w:noWrap w:val="0"/>
            <w:vAlign w:val="center"/>
          </w:tcPr>
          <w:p w14:paraId="03F50FB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p>
        </w:tc>
      </w:tr>
      <w:tr w14:paraId="45E4D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838" w:type="dxa"/>
            <w:vMerge w:val="continue"/>
            <w:tcBorders>
              <w:left w:val="single" w:color="auto" w:sz="4" w:space="0"/>
              <w:right w:val="single" w:color="auto" w:sz="4" w:space="0"/>
            </w:tcBorders>
            <w:noWrap w:val="0"/>
            <w:vAlign w:val="center"/>
          </w:tcPr>
          <w:p w14:paraId="0EF32B04">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p>
        </w:tc>
        <w:tc>
          <w:tcPr>
            <w:tcW w:w="5533" w:type="dxa"/>
            <w:tcBorders>
              <w:top w:val="single" w:color="auto" w:sz="4" w:space="0"/>
              <w:left w:val="single" w:color="auto" w:sz="4" w:space="0"/>
              <w:bottom w:val="single" w:color="auto" w:sz="4" w:space="0"/>
              <w:right w:val="single" w:color="auto" w:sz="4" w:space="0"/>
            </w:tcBorders>
            <w:noWrap w:val="0"/>
            <w:vAlign w:val="center"/>
          </w:tcPr>
          <w:p w14:paraId="2EBB93A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、根据供应商针对本项目制定管理方案进行评审；管理方案内容合理、可行且完全符合项目采购需求的得</w:t>
            </w:r>
            <w:r>
              <w:rPr>
                <w:rFonts w:hint="eastAsia" w:ascii="宋体" w:hAnsi="宋体" w:eastAsia="宋体" w:cs="宋体"/>
                <w:sz w:val="24"/>
                <w:szCs w:val="24"/>
                <w:lang w:val="en-US" w:eastAsia="zh-CN"/>
              </w:rPr>
              <w:t>4-6</w:t>
            </w:r>
            <w:r>
              <w:rPr>
                <w:rFonts w:hint="eastAsia" w:ascii="宋体" w:hAnsi="宋体" w:eastAsia="宋体" w:cs="宋体"/>
                <w:sz w:val="24"/>
                <w:szCs w:val="24"/>
              </w:rPr>
              <w:t>分，部分合理、可行的得</w:t>
            </w:r>
            <w:r>
              <w:rPr>
                <w:rFonts w:hint="eastAsia" w:ascii="宋体" w:hAnsi="宋体" w:eastAsia="宋体" w:cs="宋体"/>
                <w:sz w:val="24"/>
                <w:szCs w:val="24"/>
                <w:lang w:val="en-US" w:eastAsia="zh-CN"/>
              </w:rPr>
              <w:t>2-3.9</w:t>
            </w:r>
            <w:r>
              <w:rPr>
                <w:rFonts w:hint="eastAsia" w:ascii="宋体" w:hAnsi="宋体" w:eastAsia="宋体" w:cs="宋体"/>
                <w:sz w:val="24"/>
                <w:szCs w:val="24"/>
              </w:rPr>
              <w:t>分，内容严重不足或不合理的得</w:t>
            </w:r>
            <w:r>
              <w:rPr>
                <w:rFonts w:hint="eastAsia" w:ascii="宋体" w:hAnsi="宋体" w:eastAsia="宋体" w:cs="宋体"/>
                <w:sz w:val="24"/>
                <w:szCs w:val="24"/>
                <w:lang w:val="en-US" w:eastAsia="zh-CN"/>
              </w:rPr>
              <w:t>0-1.9</w:t>
            </w:r>
            <w:r>
              <w:rPr>
                <w:rFonts w:hint="eastAsia" w:ascii="宋体" w:hAnsi="宋体" w:eastAsia="宋体" w:cs="宋体"/>
                <w:sz w:val="24"/>
                <w:szCs w:val="24"/>
              </w:rPr>
              <w:t>分。</w:t>
            </w:r>
          </w:p>
        </w:tc>
        <w:tc>
          <w:tcPr>
            <w:tcW w:w="630" w:type="dxa"/>
            <w:tcBorders>
              <w:left w:val="single" w:color="auto" w:sz="4" w:space="0"/>
              <w:right w:val="single" w:color="auto" w:sz="4" w:space="0"/>
            </w:tcBorders>
            <w:noWrap w:val="0"/>
            <w:vAlign w:val="center"/>
          </w:tcPr>
          <w:p w14:paraId="6F11121A">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065" w:type="dxa"/>
            <w:tcBorders>
              <w:left w:val="single" w:color="auto" w:sz="4" w:space="0"/>
              <w:right w:val="single" w:color="auto" w:sz="4" w:space="0"/>
            </w:tcBorders>
            <w:shd w:val="clear" w:color="auto" w:fill="auto"/>
            <w:noWrap w:val="0"/>
            <w:vAlign w:val="center"/>
          </w:tcPr>
          <w:p w14:paraId="25DF96E3">
            <w:pPr>
              <w:pStyle w:val="393"/>
              <w:keepNext w:val="0"/>
              <w:keepLines w:val="0"/>
              <w:pageBreakBefore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rPr>
              <w:t>主观分</w:t>
            </w:r>
          </w:p>
        </w:tc>
        <w:tc>
          <w:tcPr>
            <w:tcW w:w="1668" w:type="dxa"/>
            <w:vMerge w:val="continue"/>
            <w:tcBorders>
              <w:left w:val="single" w:color="auto" w:sz="4" w:space="0"/>
              <w:right w:val="single" w:color="auto" w:sz="4" w:space="0"/>
            </w:tcBorders>
            <w:noWrap w:val="0"/>
            <w:vAlign w:val="center"/>
          </w:tcPr>
          <w:p w14:paraId="04441039">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p>
        </w:tc>
      </w:tr>
      <w:tr w14:paraId="6B92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838" w:type="dxa"/>
            <w:vMerge w:val="continue"/>
            <w:tcBorders>
              <w:left w:val="single" w:color="auto" w:sz="4" w:space="0"/>
              <w:bottom w:val="single" w:color="auto" w:sz="4" w:space="0"/>
              <w:right w:val="single" w:color="auto" w:sz="4" w:space="0"/>
            </w:tcBorders>
            <w:noWrap w:val="0"/>
            <w:vAlign w:val="center"/>
          </w:tcPr>
          <w:p w14:paraId="5EF4A3E4">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p>
        </w:tc>
        <w:tc>
          <w:tcPr>
            <w:tcW w:w="5533" w:type="dxa"/>
            <w:tcBorders>
              <w:top w:val="single" w:color="auto" w:sz="4" w:space="0"/>
              <w:left w:val="single" w:color="auto" w:sz="4" w:space="0"/>
              <w:bottom w:val="single" w:color="auto" w:sz="4" w:space="0"/>
              <w:right w:val="single" w:color="auto" w:sz="4" w:space="0"/>
            </w:tcBorders>
            <w:noWrap w:val="0"/>
            <w:vAlign w:val="center"/>
          </w:tcPr>
          <w:p w14:paraId="2A9B9E7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4、根据供应商针对本项目制定安全技术措施方案进行评审；安全技术措施方案合理、可行且完全符合项目采购需求的得</w:t>
            </w:r>
            <w:r>
              <w:rPr>
                <w:rFonts w:hint="eastAsia" w:ascii="宋体" w:hAnsi="宋体" w:eastAsia="宋体" w:cs="宋体"/>
                <w:sz w:val="24"/>
                <w:szCs w:val="24"/>
                <w:lang w:val="en-US" w:eastAsia="zh-CN"/>
              </w:rPr>
              <w:t>4-</w:t>
            </w:r>
            <w:r>
              <w:rPr>
                <w:rFonts w:hint="eastAsia" w:ascii="宋体" w:hAnsi="宋体" w:eastAsia="宋体" w:cs="宋体"/>
                <w:sz w:val="24"/>
                <w:szCs w:val="24"/>
              </w:rPr>
              <w:t>5分，部分合理、可行的得</w:t>
            </w:r>
            <w:r>
              <w:rPr>
                <w:rFonts w:hint="eastAsia" w:ascii="宋体" w:hAnsi="宋体" w:eastAsia="宋体" w:cs="宋体"/>
                <w:sz w:val="24"/>
                <w:szCs w:val="24"/>
                <w:lang w:val="en-US" w:eastAsia="zh-CN"/>
              </w:rPr>
              <w:t>2-3.9</w:t>
            </w:r>
            <w:r>
              <w:rPr>
                <w:rFonts w:hint="eastAsia" w:ascii="宋体" w:hAnsi="宋体" w:eastAsia="宋体" w:cs="宋体"/>
                <w:sz w:val="24"/>
                <w:szCs w:val="24"/>
              </w:rPr>
              <w:t>分，内容严重不足或不合理的得</w:t>
            </w:r>
            <w:r>
              <w:rPr>
                <w:rFonts w:hint="eastAsia" w:ascii="宋体" w:hAnsi="宋体" w:eastAsia="宋体" w:cs="宋体"/>
                <w:sz w:val="24"/>
                <w:szCs w:val="24"/>
                <w:lang w:val="en-US" w:eastAsia="zh-CN"/>
              </w:rPr>
              <w:t>0-1.9</w:t>
            </w:r>
            <w:r>
              <w:rPr>
                <w:rFonts w:hint="eastAsia" w:ascii="宋体" w:hAnsi="宋体" w:eastAsia="宋体" w:cs="宋体"/>
                <w:sz w:val="24"/>
                <w:szCs w:val="24"/>
              </w:rPr>
              <w:t>分。</w:t>
            </w:r>
          </w:p>
        </w:tc>
        <w:tc>
          <w:tcPr>
            <w:tcW w:w="630" w:type="dxa"/>
            <w:tcBorders>
              <w:left w:val="single" w:color="auto" w:sz="4" w:space="0"/>
              <w:bottom w:val="single" w:color="auto" w:sz="4" w:space="0"/>
              <w:right w:val="single" w:color="auto" w:sz="4" w:space="0"/>
            </w:tcBorders>
            <w:noWrap w:val="0"/>
            <w:vAlign w:val="center"/>
          </w:tcPr>
          <w:p w14:paraId="33F2DD75">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065" w:type="dxa"/>
            <w:tcBorders>
              <w:left w:val="single" w:color="auto" w:sz="4" w:space="0"/>
              <w:bottom w:val="single" w:color="auto" w:sz="4" w:space="0"/>
              <w:right w:val="single" w:color="auto" w:sz="4" w:space="0"/>
            </w:tcBorders>
            <w:shd w:val="clear" w:color="auto" w:fill="auto"/>
            <w:noWrap w:val="0"/>
            <w:vAlign w:val="center"/>
          </w:tcPr>
          <w:p w14:paraId="38F631F4">
            <w:pPr>
              <w:pStyle w:val="393"/>
              <w:keepNext w:val="0"/>
              <w:keepLines w:val="0"/>
              <w:pageBreakBefore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rPr>
              <w:t>主观分</w:t>
            </w:r>
          </w:p>
        </w:tc>
        <w:tc>
          <w:tcPr>
            <w:tcW w:w="1668" w:type="dxa"/>
            <w:vMerge w:val="continue"/>
            <w:tcBorders>
              <w:left w:val="single" w:color="auto" w:sz="4" w:space="0"/>
              <w:bottom w:val="single" w:color="auto" w:sz="4" w:space="0"/>
              <w:right w:val="single" w:color="auto" w:sz="4" w:space="0"/>
            </w:tcBorders>
            <w:noWrap w:val="0"/>
            <w:vAlign w:val="center"/>
          </w:tcPr>
          <w:p w14:paraId="2BFA36D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p>
        </w:tc>
      </w:tr>
      <w:tr w14:paraId="6C4C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38" w:type="dxa"/>
            <w:vMerge w:val="restart"/>
            <w:tcBorders>
              <w:top w:val="single" w:color="auto" w:sz="4" w:space="0"/>
              <w:left w:val="single" w:color="auto" w:sz="4" w:space="0"/>
              <w:right w:val="single" w:color="auto" w:sz="4" w:space="0"/>
            </w:tcBorders>
            <w:noWrap w:val="0"/>
            <w:vAlign w:val="center"/>
          </w:tcPr>
          <w:p w14:paraId="67A76216">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5533" w:type="dxa"/>
            <w:tcBorders>
              <w:top w:val="single" w:color="auto" w:sz="4" w:space="0"/>
              <w:left w:val="single" w:color="auto" w:sz="4" w:space="0"/>
              <w:bottom w:val="single" w:color="auto" w:sz="4" w:space="0"/>
              <w:right w:val="single" w:color="auto" w:sz="4" w:space="0"/>
            </w:tcBorders>
            <w:noWrap w:val="0"/>
            <w:vAlign w:val="center"/>
          </w:tcPr>
          <w:p w14:paraId="34B21F3A">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进行供应商针对本项目制定的进度安排进行综合评审</w:t>
            </w:r>
          </w:p>
          <w:p w14:paraId="48B22DF6">
            <w:pPr>
              <w:keepNext w:val="0"/>
              <w:keepLines w:val="0"/>
              <w:pageBreakBefore w:val="0"/>
              <w:numPr>
                <w:ilvl w:val="0"/>
                <w:numId w:val="11"/>
              </w:numPr>
              <w:kinsoku/>
              <w:wordWrap/>
              <w:overflowPunct/>
              <w:topLinePunct w:val="0"/>
              <w:autoSpaceDE/>
              <w:autoSpaceDN/>
              <w:bidi w:val="0"/>
              <w:adjustRightIn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具有健全的项目组织和明确的职责分配的得</w:t>
            </w:r>
            <w:r>
              <w:rPr>
                <w:rFonts w:hint="eastAsia" w:ascii="宋体" w:hAnsi="宋体" w:eastAsia="宋体" w:cs="宋体"/>
                <w:sz w:val="24"/>
                <w:szCs w:val="24"/>
                <w:lang w:val="en-US" w:eastAsia="zh-CN"/>
              </w:rPr>
              <w:t>3-5</w:t>
            </w:r>
            <w:r>
              <w:rPr>
                <w:rFonts w:hint="eastAsia" w:ascii="宋体" w:hAnsi="宋体" w:eastAsia="宋体" w:cs="宋体"/>
                <w:sz w:val="24"/>
                <w:szCs w:val="24"/>
              </w:rPr>
              <w:t>分；内容存在不足、职责分配不够明确的得</w:t>
            </w:r>
            <w:r>
              <w:rPr>
                <w:rFonts w:hint="eastAsia" w:ascii="宋体" w:hAnsi="宋体" w:eastAsia="宋体" w:cs="宋体"/>
                <w:sz w:val="24"/>
                <w:szCs w:val="24"/>
                <w:lang w:val="en-US" w:eastAsia="zh-CN"/>
              </w:rPr>
              <w:t>0-2.9</w:t>
            </w:r>
            <w:r>
              <w:rPr>
                <w:rFonts w:hint="eastAsia" w:ascii="宋体" w:hAnsi="宋体" w:eastAsia="宋体" w:cs="宋体"/>
                <w:sz w:val="24"/>
                <w:szCs w:val="24"/>
              </w:rPr>
              <w:t>分。</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731BB492">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AFA339">
            <w:pPr>
              <w:pStyle w:val="393"/>
              <w:keepNext w:val="0"/>
              <w:keepLines w:val="0"/>
              <w:pageBreakBefore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szCs w:val="24"/>
              </w:rPr>
              <w:t>主观分</w:t>
            </w:r>
          </w:p>
        </w:tc>
        <w:tc>
          <w:tcPr>
            <w:tcW w:w="1668" w:type="dxa"/>
            <w:vMerge w:val="restart"/>
            <w:tcBorders>
              <w:top w:val="single" w:color="auto" w:sz="4" w:space="0"/>
              <w:left w:val="single" w:color="auto" w:sz="4" w:space="0"/>
              <w:right w:val="single" w:color="auto" w:sz="4" w:space="0"/>
            </w:tcBorders>
            <w:noWrap w:val="0"/>
            <w:vAlign w:val="center"/>
          </w:tcPr>
          <w:p w14:paraId="15D3D92A">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进度安排</w:t>
            </w:r>
          </w:p>
        </w:tc>
      </w:tr>
      <w:tr w14:paraId="3853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38" w:type="dxa"/>
            <w:vMerge w:val="continue"/>
            <w:tcBorders>
              <w:left w:val="single" w:color="auto" w:sz="4" w:space="0"/>
              <w:right w:val="single" w:color="auto" w:sz="4" w:space="0"/>
            </w:tcBorders>
            <w:noWrap w:val="0"/>
            <w:vAlign w:val="center"/>
          </w:tcPr>
          <w:p w14:paraId="038A62C1">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p>
        </w:tc>
        <w:tc>
          <w:tcPr>
            <w:tcW w:w="5533" w:type="dxa"/>
            <w:tcBorders>
              <w:top w:val="single" w:color="auto" w:sz="4" w:space="0"/>
              <w:left w:val="single" w:color="auto" w:sz="4" w:space="0"/>
              <w:bottom w:val="single" w:color="auto" w:sz="4" w:space="0"/>
              <w:right w:val="single" w:color="auto" w:sz="4" w:space="0"/>
            </w:tcBorders>
            <w:noWrap w:val="0"/>
            <w:vAlign w:val="center"/>
          </w:tcPr>
          <w:p w14:paraId="46FC6C62">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2、具有详细的施工进度计划符合采购需求的得</w:t>
            </w:r>
            <w:r>
              <w:rPr>
                <w:rFonts w:hint="eastAsia" w:ascii="宋体" w:hAnsi="宋体" w:eastAsia="宋体" w:cs="宋体"/>
                <w:sz w:val="24"/>
                <w:szCs w:val="24"/>
                <w:lang w:val="en-US" w:eastAsia="zh-CN"/>
              </w:rPr>
              <w:t>2-4</w:t>
            </w:r>
            <w:r>
              <w:rPr>
                <w:rFonts w:hint="eastAsia" w:ascii="宋体" w:hAnsi="宋体" w:eastAsia="宋体" w:cs="宋体"/>
                <w:sz w:val="24"/>
                <w:szCs w:val="24"/>
              </w:rPr>
              <w:t>分；内容存在不足、进度计划安排不够合理的得</w:t>
            </w:r>
            <w:r>
              <w:rPr>
                <w:rFonts w:hint="eastAsia" w:ascii="宋体" w:hAnsi="宋体" w:eastAsia="宋体" w:cs="宋体"/>
                <w:sz w:val="24"/>
                <w:szCs w:val="24"/>
                <w:lang w:val="en-US" w:eastAsia="zh-CN"/>
              </w:rPr>
              <w:t>0-1.9</w:t>
            </w:r>
            <w:r>
              <w:rPr>
                <w:rFonts w:hint="eastAsia" w:ascii="宋体" w:hAnsi="宋体" w:eastAsia="宋体" w:cs="宋体"/>
                <w:sz w:val="24"/>
                <w:szCs w:val="24"/>
              </w:rPr>
              <w:t>分。</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4F756C71">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F44079">
            <w:pPr>
              <w:pStyle w:val="393"/>
              <w:keepNext w:val="0"/>
              <w:keepLines w:val="0"/>
              <w:pageBreakBefore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rPr>
              <w:t>主观分</w:t>
            </w:r>
          </w:p>
        </w:tc>
        <w:tc>
          <w:tcPr>
            <w:tcW w:w="1668" w:type="dxa"/>
            <w:vMerge w:val="continue"/>
            <w:tcBorders>
              <w:left w:val="single" w:color="auto" w:sz="4" w:space="0"/>
              <w:right w:val="single" w:color="auto" w:sz="4" w:space="0"/>
            </w:tcBorders>
            <w:noWrap w:val="0"/>
            <w:vAlign w:val="center"/>
          </w:tcPr>
          <w:p w14:paraId="52841F19">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p>
        </w:tc>
      </w:tr>
      <w:tr w14:paraId="5C1A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07562C19">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5533" w:type="dxa"/>
            <w:tcBorders>
              <w:top w:val="single" w:color="auto" w:sz="4" w:space="0"/>
              <w:left w:val="single" w:color="auto" w:sz="4" w:space="0"/>
              <w:bottom w:val="single" w:color="auto" w:sz="4" w:space="0"/>
              <w:right w:val="single" w:color="auto" w:sz="4" w:space="0"/>
            </w:tcBorders>
            <w:noWrap w:val="0"/>
            <w:vAlign w:val="center"/>
          </w:tcPr>
          <w:p w14:paraId="59EF5484">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根据供应商针对重难点技术环节提出合理化建议进行评审；合理化建议确实能对项目的实施产生有益作用的得</w:t>
            </w:r>
            <w:r>
              <w:rPr>
                <w:rFonts w:hint="eastAsia" w:ascii="宋体" w:hAnsi="宋体" w:eastAsia="宋体" w:cs="宋体"/>
                <w:sz w:val="24"/>
                <w:szCs w:val="24"/>
                <w:lang w:val="en-US" w:eastAsia="zh-CN"/>
              </w:rPr>
              <w:t>4-5</w:t>
            </w:r>
            <w:r>
              <w:rPr>
                <w:rFonts w:hint="eastAsia" w:ascii="宋体" w:hAnsi="宋体" w:eastAsia="宋体" w:cs="宋体"/>
                <w:sz w:val="24"/>
                <w:szCs w:val="24"/>
              </w:rPr>
              <w:t>分；对项目实施产生有益作用不明显或有偏差的得</w:t>
            </w:r>
            <w:r>
              <w:rPr>
                <w:rFonts w:hint="eastAsia" w:ascii="宋体" w:hAnsi="宋体" w:eastAsia="宋体" w:cs="宋体"/>
                <w:sz w:val="24"/>
                <w:szCs w:val="24"/>
                <w:lang w:val="en-US" w:eastAsia="zh-CN"/>
              </w:rPr>
              <w:t>2-3.9</w:t>
            </w:r>
            <w:r>
              <w:rPr>
                <w:rFonts w:hint="eastAsia" w:ascii="宋体" w:hAnsi="宋体" w:eastAsia="宋体" w:cs="宋体"/>
                <w:sz w:val="24"/>
                <w:szCs w:val="24"/>
              </w:rPr>
              <w:t>分；严重不足的得</w:t>
            </w:r>
            <w:r>
              <w:rPr>
                <w:rFonts w:hint="eastAsia" w:ascii="宋体" w:hAnsi="宋体" w:eastAsia="宋体" w:cs="宋体"/>
                <w:sz w:val="24"/>
                <w:szCs w:val="24"/>
                <w:lang w:val="en-US" w:eastAsia="zh-CN"/>
              </w:rPr>
              <w:t>0-1.9</w:t>
            </w:r>
            <w:r>
              <w:rPr>
                <w:rFonts w:hint="eastAsia" w:ascii="宋体" w:hAnsi="宋体" w:eastAsia="宋体" w:cs="宋体"/>
                <w:sz w:val="24"/>
                <w:szCs w:val="24"/>
              </w:rPr>
              <w:t>分。</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382E0231">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E68D14">
            <w:pPr>
              <w:pStyle w:val="393"/>
              <w:keepNext w:val="0"/>
              <w:keepLines w:val="0"/>
              <w:pageBreakBefore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szCs w:val="24"/>
              </w:rPr>
              <w:t>主观分</w:t>
            </w:r>
          </w:p>
        </w:tc>
        <w:tc>
          <w:tcPr>
            <w:tcW w:w="1668" w:type="dxa"/>
            <w:tcBorders>
              <w:top w:val="single" w:color="auto" w:sz="4" w:space="0"/>
              <w:left w:val="single" w:color="auto" w:sz="4" w:space="0"/>
              <w:bottom w:val="single" w:color="auto" w:sz="4" w:space="0"/>
              <w:right w:val="single" w:color="auto" w:sz="4" w:space="0"/>
            </w:tcBorders>
            <w:noWrap w:val="0"/>
            <w:vAlign w:val="center"/>
          </w:tcPr>
          <w:p w14:paraId="03E89B43">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合理化建议</w:t>
            </w:r>
          </w:p>
        </w:tc>
      </w:tr>
      <w:tr w14:paraId="211AB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585C0CD6">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5533" w:type="dxa"/>
            <w:tcBorders>
              <w:top w:val="single" w:color="auto" w:sz="4" w:space="0"/>
              <w:left w:val="single" w:color="auto" w:sz="4" w:space="0"/>
              <w:bottom w:val="single" w:color="auto" w:sz="4" w:space="0"/>
              <w:right w:val="single" w:color="auto" w:sz="4" w:space="0"/>
            </w:tcBorders>
            <w:noWrap w:val="0"/>
            <w:vAlign w:val="center"/>
          </w:tcPr>
          <w:p w14:paraId="4433A4EA">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根据供应商针对本项目提出的质量保障措施进行评审；措施中有明确的服务质量目标、质量保障措施且表述清晰，合理可行的得</w:t>
            </w:r>
            <w:r>
              <w:rPr>
                <w:rFonts w:hint="eastAsia" w:ascii="宋体" w:hAnsi="宋体" w:eastAsia="宋体" w:cs="宋体"/>
                <w:sz w:val="24"/>
                <w:szCs w:val="24"/>
                <w:lang w:val="en-US" w:eastAsia="zh-CN"/>
              </w:rPr>
              <w:t>4-5</w:t>
            </w:r>
            <w:r>
              <w:rPr>
                <w:rFonts w:hint="eastAsia" w:ascii="宋体" w:hAnsi="宋体" w:eastAsia="宋体" w:cs="宋体"/>
                <w:sz w:val="24"/>
                <w:szCs w:val="24"/>
              </w:rPr>
              <w:t>分；质量目标质量措施不够明确或表述不够完整清晰、部分合理可行的得</w:t>
            </w:r>
            <w:r>
              <w:rPr>
                <w:rFonts w:hint="eastAsia" w:ascii="宋体" w:hAnsi="宋体" w:eastAsia="宋体" w:cs="宋体"/>
                <w:sz w:val="24"/>
                <w:szCs w:val="24"/>
                <w:lang w:val="en-US" w:eastAsia="zh-CN"/>
              </w:rPr>
              <w:t>2-3.9</w:t>
            </w:r>
            <w:r>
              <w:rPr>
                <w:rFonts w:hint="eastAsia" w:ascii="宋体" w:hAnsi="宋体" w:eastAsia="宋体" w:cs="宋体"/>
                <w:sz w:val="24"/>
                <w:szCs w:val="24"/>
              </w:rPr>
              <w:t>分，内容严重缺失不足的得</w:t>
            </w:r>
            <w:r>
              <w:rPr>
                <w:rFonts w:hint="eastAsia" w:ascii="宋体" w:hAnsi="宋体" w:eastAsia="宋体" w:cs="宋体"/>
                <w:sz w:val="24"/>
                <w:szCs w:val="24"/>
                <w:lang w:val="en-US" w:eastAsia="zh-CN"/>
              </w:rPr>
              <w:t>0-1.9</w:t>
            </w:r>
            <w:r>
              <w:rPr>
                <w:rFonts w:hint="eastAsia" w:ascii="宋体" w:hAnsi="宋体" w:eastAsia="宋体" w:cs="宋体"/>
                <w:sz w:val="24"/>
                <w:szCs w:val="24"/>
              </w:rPr>
              <w:t>分。</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626FF32C">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6E2FD3">
            <w:pPr>
              <w:pStyle w:val="393"/>
              <w:keepNext w:val="0"/>
              <w:keepLines w:val="0"/>
              <w:pageBreakBefore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rPr>
              <w:t>主观分</w:t>
            </w:r>
          </w:p>
        </w:tc>
        <w:tc>
          <w:tcPr>
            <w:tcW w:w="1668" w:type="dxa"/>
            <w:tcBorders>
              <w:top w:val="single" w:color="auto" w:sz="4" w:space="0"/>
              <w:left w:val="single" w:color="auto" w:sz="4" w:space="0"/>
              <w:bottom w:val="single" w:color="auto" w:sz="4" w:space="0"/>
              <w:right w:val="single" w:color="auto" w:sz="4" w:space="0"/>
            </w:tcBorders>
            <w:noWrap w:val="0"/>
            <w:vAlign w:val="center"/>
          </w:tcPr>
          <w:p w14:paraId="364F84EE">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质量保障</w:t>
            </w:r>
          </w:p>
        </w:tc>
      </w:tr>
      <w:tr w14:paraId="5FAC8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6CD8EEA1">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5533" w:type="dxa"/>
            <w:tcBorders>
              <w:top w:val="single" w:color="auto" w:sz="4" w:space="0"/>
              <w:left w:val="single" w:color="auto" w:sz="4" w:space="0"/>
              <w:bottom w:val="single" w:color="auto" w:sz="4" w:space="0"/>
              <w:right w:val="single" w:color="auto" w:sz="4" w:space="0"/>
            </w:tcBorders>
            <w:noWrap w:val="0"/>
            <w:vAlign w:val="center"/>
          </w:tcPr>
          <w:p w14:paraId="07D0432C">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对项目实施过程中可能遇到的各类突发事件及</w:t>
            </w:r>
            <w:r>
              <w:rPr>
                <w:rFonts w:hint="eastAsia" w:ascii="宋体" w:hAnsi="宋体" w:eastAsia="宋体" w:cs="宋体"/>
                <w:sz w:val="24"/>
                <w:szCs w:val="24"/>
                <w:lang w:eastAsia="zh-CN"/>
              </w:rPr>
              <w:t>问题</w:t>
            </w:r>
            <w:r>
              <w:rPr>
                <w:rFonts w:hint="eastAsia" w:ascii="宋体" w:hAnsi="宋体" w:eastAsia="宋体" w:cs="宋体"/>
                <w:sz w:val="24"/>
                <w:szCs w:val="24"/>
              </w:rPr>
              <w:t>制定其应对措施进行评审，根据运行服务保障应急预案全面、有针对性且有具体的应对措施的得</w:t>
            </w:r>
            <w:r>
              <w:rPr>
                <w:rFonts w:hint="eastAsia" w:ascii="宋体" w:hAnsi="宋体" w:eastAsia="宋体" w:cs="宋体"/>
                <w:sz w:val="24"/>
                <w:szCs w:val="24"/>
                <w:lang w:val="en-US" w:eastAsia="zh-CN"/>
              </w:rPr>
              <w:t>4-5</w:t>
            </w:r>
            <w:r>
              <w:rPr>
                <w:rFonts w:hint="eastAsia" w:ascii="宋体" w:hAnsi="宋体" w:eastAsia="宋体" w:cs="宋体"/>
                <w:sz w:val="24"/>
                <w:szCs w:val="24"/>
              </w:rPr>
              <w:t>分；应急预案不够全面、缺乏针对性、内容不够完善的得</w:t>
            </w:r>
            <w:r>
              <w:rPr>
                <w:rFonts w:hint="eastAsia" w:ascii="宋体" w:hAnsi="宋体" w:eastAsia="宋体" w:cs="宋体"/>
                <w:sz w:val="24"/>
                <w:szCs w:val="24"/>
                <w:lang w:val="en-US" w:eastAsia="zh-CN"/>
              </w:rPr>
              <w:t>2-3.9</w:t>
            </w:r>
            <w:r>
              <w:rPr>
                <w:rFonts w:hint="eastAsia" w:ascii="宋体" w:hAnsi="宋体" w:eastAsia="宋体" w:cs="宋体"/>
                <w:sz w:val="24"/>
                <w:szCs w:val="24"/>
              </w:rPr>
              <w:t>分；严重不足或内容明显没有针对性的得</w:t>
            </w:r>
            <w:r>
              <w:rPr>
                <w:rFonts w:hint="eastAsia" w:ascii="宋体" w:hAnsi="宋体" w:eastAsia="宋体" w:cs="宋体"/>
                <w:sz w:val="24"/>
                <w:szCs w:val="24"/>
                <w:lang w:val="en-US" w:eastAsia="zh-CN"/>
              </w:rPr>
              <w:t>0-1.9</w:t>
            </w:r>
            <w:r>
              <w:rPr>
                <w:rFonts w:hint="eastAsia" w:ascii="宋体" w:hAnsi="宋体" w:eastAsia="宋体" w:cs="宋体"/>
                <w:sz w:val="24"/>
                <w:szCs w:val="24"/>
              </w:rPr>
              <w:t>分。</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1AF6C8FA">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54CEE8">
            <w:pPr>
              <w:pStyle w:val="393"/>
              <w:keepNext w:val="0"/>
              <w:keepLines w:val="0"/>
              <w:pageBreakBefore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rPr>
              <w:t>主观分</w:t>
            </w:r>
          </w:p>
        </w:tc>
        <w:tc>
          <w:tcPr>
            <w:tcW w:w="1668" w:type="dxa"/>
            <w:tcBorders>
              <w:top w:val="single" w:color="auto" w:sz="4" w:space="0"/>
              <w:left w:val="single" w:color="auto" w:sz="4" w:space="0"/>
              <w:bottom w:val="single" w:color="auto" w:sz="4" w:space="0"/>
              <w:right w:val="single" w:color="auto" w:sz="4" w:space="0"/>
            </w:tcBorders>
            <w:noWrap w:val="0"/>
            <w:vAlign w:val="center"/>
          </w:tcPr>
          <w:p w14:paraId="79AF42B6">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应急预案</w:t>
            </w:r>
          </w:p>
        </w:tc>
      </w:tr>
      <w:tr w14:paraId="1982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439F0B7C">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5533" w:type="dxa"/>
            <w:tcBorders>
              <w:top w:val="single" w:color="auto" w:sz="4" w:space="0"/>
              <w:left w:val="single" w:color="auto" w:sz="4" w:space="0"/>
              <w:bottom w:val="single" w:color="auto" w:sz="4" w:space="0"/>
              <w:right w:val="single" w:color="auto" w:sz="4" w:space="0"/>
            </w:tcBorders>
            <w:noWrap w:val="0"/>
            <w:vAlign w:val="center"/>
          </w:tcPr>
          <w:p w14:paraId="70E02217">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根据供应商提供的售后服务方案、售后服务承诺以及服务承诺落实的保障措施和后续技术支持进行评审；服务方案、服务承诺以及服务承诺落实的保障措施和后续技术支持内容完整、可行契合采购人要求的得</w:t>
            </w:r>
            <w:r>
              <w:rPr>
                <w:rFonts w:hint="eastAsia" w:ascii="宋体" w:hAnsi="宋体" w:eastAsia="宋体" w:cs="宋体"/>
                <w:sz w:val="24"/>
                <w:szCs w:val="24"/>
                <w:lang w:val="en-US" w:eastAsia="zh-CN"/>
              </w:rPr>
              <w:t>4-5</w:t>
            </w:r>
            <w:r>
              <w:rPr>
                <w:rFonts w:hint="eastAsia" w:ascii="宋体" w:hAnsi="宋体" w:eastAsia="宋体" w:cs="宋体"/>
                <w:sz w:val="24"/>
                <w:szCs w:val="24"/>
              </w:rPr>
              <w:t>分；内容不够完整、部分契合采购人要求的得</w:t>
            </w:r>
            <w:r>
              <w:rPr>
                <w:rFonts w:hint="eastAsia" w:ascii="宋体" w:hAnsi="宋体" w:eastAsia="宋体" w:cs="宋体"/>
                <w:sz w:val="24"/>
                <w:szCs w:val="24"/>
                <w:lang w:val="en-US" w:eastAsia="zh-CN"/>
              </w:rPr>
              <w:t>2-3.9</w:t>
            </w:r>
            <w:r>
              <w:rPr>
                <w:rFonts w:hint="eastAsia" w:ascii="宋体" w:hAnsi="宋体" w:eastAsia="宋体" w:cs="宋体"/>
                <w:sz w:val="24"/>
                <w:szCs w:val="24"/>
              </w:rPr>
              <w:t>分；内容严重不足或缺失的得</w:t>
            </w:r>
            <w:r>
              <w:rPr>
                <w:rFonts w:hint="eastAsia" w:ascii="宋体" w:hAnsi="宋体" w:eastAsia="宋体" w:cs="宋体"/>
                <w:sz w:val="24"/>
                <w:szCs w:val="24"/>
                <w:lang w:val="en-US" w:eastAsia="zh-CN"/>
              </w:rPr>
              <w:t>0-1.9</w:t>
            </w:r>
            <w:r>
              <w:rPr>
                <w:rFonts w:hint="eastAsia" w:ascii="宋体" w:hAnsi="宋体" w:eastAsia="宋体" w:cs="宋体"/>
                <w:sz w:val="24"/>
                <w:szCs w:val="24"/>
              </w:rPr>
              <w:t>分。</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098CABDE">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0F3857">
            <w:pPr>
              <w:pStyle w:val="393"/>
              <w:keepNext w:val="0"/>
              <w:keepLines w:val="0"/>
              <w:pageBreakBefore w:val="0"/>
              <w:kinsoku/>
              <w:wordWrap/>
              <w:overflowPunct/>
              <w:topLinePunct w:val="0"/>
              <w:autoSpaceDE/>
              <w:autoSpaceDN/>
              <w:bidi w:val="0"/>
              <w:spacing w:before="0" w:line="360" w:lineRule="auto"/>
              <w:ind w:firstLine="0" w:firstLineChars="0"/>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rPr>
              <w:t>主观分</w:t>
            </w:r>
          </w:p>
        </w:tc>
        <w:tc>
          <w:tcPr>
            <w:tcW w:w="1668" w:type="dxa"/>
            <w:tcBorders>
              <w:top w:val="single" w:color="auto" w:sz="4" w:space="0"/>
              <w:left w:val="single" w:color="auto" w:sz="4" w:space="0"/>
              <w:bottom w:val="single" w:color="auto" w:sz="4" w:space="0"/>
              <w:right w:val="single" w:color="auto" w:sz="4" w:space="0"/>
            </w:tcBorders>
            <w:noWrap w:val="0"/>
            <w:vAlign w:val="center"/>
          </w:tcPr>
          <w:p w14:paraId="0C54DBB8">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售后服务方案</w:t>
            </w:r>
          </w:p>
        </w:tc>
      </w:tr>
      <w:tr w14:paraId="7E805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5492E087">
            <w:pPr>
              <w:keepNext w:val="0"/>
              <w:keepLines w:val="0"/>
              <w:pageBreakBefore w:val="0"/>
              <w:kinsoku/>
              <w:wordWrap/>
              <w:overflowPunct/>
              <w:topLinePunct w:val="0"/>
              <w:autoSpaceDE/>
              <w:autoSpaceDN/>
              <w:bidi w:val="0"/>
              <w:adjustRightInd/>
              <w:spacing w:line="360" w:lineRule="auto"/>
              <w:jc w:val="center"/>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5533" w:type="dxa"/>
            <w:tcBorders>
              <w:top w:val="single" w:color="auto" w:sz="4" w:space="0"/>
              <w:left w:val="single" w:color="auto" w:sz="4" w:space="0"/>
              <w:bottom w:val="single" w:color="auto" w:sz="4" w:space="0"/>
              <w:right w:val="single" w:color="auto" w:sz="4" w:space="0"/>
            </w:tcBorders>
            <w:noWrap w:val="0"/>
            <w:vAlign w:val="top"/>
          </w:tcPr>
          <w:p w14:paraId="29A727DA">
            <w:pPr>
              <w:keepNext w:val="0"/>
              <w:keepLines w:val="0"/>
              <w:pageBreakBefore w:val="0"/>
              <w:kinsoku/>
              <w:wordWrap/>
              <w:overflowPunct/>
              <w:topLinePunct w:val="0"/>
              <w:autoSpaceDE/>
              <w:autoSpaceDN/>
              <w:bidi w:val="0"/>
              <w:adjustRightInd/>
              <w:snapToGrid w:val="0"/>
              <w:spacing w:line="360" w:lineRule="auto"/>
              <w:textAlignment w:val="auto"/>
              <w:outlineLvl w:val="0"/>
              <w:rPr>
                <w:rFonts w:hint="eastAsia" w:ascii="宋体" w:hAnsi="宋体" w:eastAsia="宋体" w:cs="宋体"/>
                <w:sz w:val="24"/>
                <w:szCs w:val="24"/>
              </w:rPr>
            </w:pPr>
            <w:r>
              <w:rPr>
                <w:rFonts w:hint="eastAsia" w:ascii="宋体" w:hAnsi="宋体" w:eastAsia="宋体" w:cs="宋体"/>
                <w:sz w:val="24"/>
                <w:szCs w:val="24"/>
              </w:rPr>
              <w:t>有效投标报价的最低价作为评标基准价，其最低报价为满分；按［投标报价得分=（评标基准价/投标报价）*20］的计算公式计算。</w:t>
            </w:r>
          </w:p>
          <w:p w14:paraId="23FABCB6">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评标过程中，不得去掉报价中的最高报价和最低报价。</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37D7CF0A">
            <w:pPr>
              <w:keepNext w:val="0"/>
              <w:keepLines w:val="0"/>
              <w:pageBreakBefore w:val="0"/>
              <w:kinsoku/>
              <w:wordWrap/>
              <w:overflowPunct/>
              <w:topLinePunct w:val="0"/>
              <w:autoSpaceDE/>
              <w:autoSpaceDN/>
              <w:bidi w:val="0"/>
              <w:adjustRightInd/>
              <w:spacing w:line="360" w:lineRule="auto"/>
              <w:ind w:firstLine="120" w:firstLineChars="50"/>
              <w:textAlignment w:val="auto"/>
              <w:outlineLvl w:val="0"/>
              <w:rPr>
                <w:rFonts w:hint="eastAsia" w:ascii="宋体" w:hAnsi="宋体" w:eastAsia="宋体" w:cs="宋体"/>
                <w:sz w:val="24"/>
                <w:szCs w:val="24"/>
              </w:rPr>
            </w:pPr>
            <w:r>
              <w:rPr>
                <w:rFonts w:hint="eastAsia" w:ascii="宋体" w:hAnsi="宋体" w:eastAsia="宋体" w:cs="宋体"/>
                <w:sz w:val="24"/>
                <w:szCs w:val="24"/>
              </w:rPr>
              <w:t>20</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18C09E0D">
            <w:pPr>
              <w:keepNext w:val="0"/>
              <w:keepLines w:val="0"/>
              <w:pageBreakBefore w:val="0"/>
              <w:kinsoku/>
              <w:wordWrap/>
              <w:overflowPunct/>
              <w:topLinePunct w:val="0"/>
              <w:autoSpaceDE/>
              <w:autoSpaceDN/>
              <w:bidi w:val="0"/>
              <w:adjustRightInd/>
              <w:spacing w:line="360" w:lineRule="auto"/>
              <w:ind w:firstLine="120" w:firstLineChars="50"/>
              <w:textAlignment w:val="auto"/>
              <w:outlineLvl w:val="0"/>
              <w:rPr>
                <w:rFonts w:hint="eastAsia" w:ascii="宋体" w:hAnsi="宋体" w:eastAsia="宋体" w:cs="宋体"/>
                <w:sz w:val="24"/>
                <w:szCs w:val="24"/>
              </w:rPr>
            </w:pPr>
          </w:p>
        </w:tc>
        <w:tc>
          <w:tcPr>
            <w:tcW w:w="1668" w:type="dxa"/>
            <w:tcBorders>
              <w:top w:val="single" w:color="auto" w:sz="4" w:space="0"/>
              <w:left w:val="single" w:color="auto" w:sz="4" w:space="0"/>
              <w:bottom w:val="single" w:color="auto" w:sz="4" w:space="0"/>
              <w:right w:val="single" w:color="auto" w:sz="4" w:space="0"/>
            </w:tcBorders>
            <w:noWrap w:val="0"/>
            <w:vAlign w:val="center"/>
          </w:tcPr>
          <w:p w14:paraId="63ADDC04">
            <w:pPr>
              <w:keepNext w:val="0"/>
              <w:keepLines w:val="0"/>
              <w:pageBreakBefore w:val="0"/>
              <w:kinsoku/>
              <w:wordWrap/>
              <w:overflowPunct/>
              <w:topLinePunct w:val="0"/>
              <w:autoSpaceDE/>
              <w:autoSpaceDN/>
              <w:bidi w:val="0"/>
              <w:adjustRightInd/>
              <w:spacing w:line="360" w:lineRule="auto"/>
              <w:jc w:val="center"/>
              <w:textAlignment w:val="auto"/>
              <w:outlineLvl w:val="0"/>
              <w:rPr>
                <w:rFonts w:hint="eastAsia" w:ascii="宋体" w:hAnsi="宋体" w:eastAsia="宋体" w:cs="宋体"/>
                <w:sz w:val="24"/>
                <w:szCs w:val="24"/>
              </w:rPr>
            </w:pPr>
            <w:r>
              <w:rPr>
                <w:rFonts w:hint="eastAsia" w:ascii="宋体" w:hAnsi="宋体" w:eastAsia="宋体" w:cs="宋体"/>
                <w:sz w:val="24"/>
                <w:szCs w:val="24"/>
              </w:rPr>
              <w:t>/</w:t>
            </w:r>
          </w:p>
        </w:tc>
      </w:tr>
    </w:tbl>
    <w:p w14:paraId="4374C3EF">
      <w:pPr>
        <w:pStyle w:val="393"/>
        <w:spacing w:before="0"/>
        <w:ind w:firstLine="643"/>
        <w:jc w:val="center"/>
        <w:rPr>
          <w:rFonts w:hint="eastAsia" w:cs="仿宋_GB2312" w:asciiTheme="minorEastAsia" w:hAnsiTheme="minorEastAsia" w:eastAsiaTheme="minorEastAsia"/>
          <w:b/>
          <w:color w:val="auto"/>
          <w:sz w:val="32"/>
        </w:rPr>
      </w:pPr>
    </w:p>
    <w:p w14:paraId="23BD84DC">
      <w:pPr>
        <w:adjustRightInd/>
        <w:spacing w:line="360" w:lineRule="auto"/>
        <w:ind w:firstLine="482" w:firstLineChars="200"/>
        <w:rPr>
          <w:rFonts w:cs="Arial" w:asciiTheme="minorEastAsia" w:hAnsiTheme="minorEastAsia" w:eastAsiaTheme="minorEastAsia"/>
          <w:b/>
          <w:color w:val="auto"/>
          <w:kern w:val="0"/>
          <w:sz w:val="24"/>
        </w:rPr>
      </w:pPr>
      <w:r>
        <w:rPr>
          <w:rFonts w:hint="eastAsia" w:cs="Arial" w:asciiTheme="minorEastAsia" w:hAnsiTheme="minorEastAsia" w:eastAsiaTheme="minorEastAsia"/>
          <w:b/>
          <w:color w:val="auto"/>
          <w:kern w:val="0"/>
          <w:sz w:val="24"/>
        </w:rPr>
        <w:t>“*”备注：供应商编制响应文件时，建议按此目录（序号和内容）提供评审标准相应的商务技术资料。</w:t>
      </w:r>
    </w:p>
    <w:p w14:paraId="6B96D6E8">
      <w:pPr>
        <w:adjustRightInd/>
        <w:spacing w:line="360" w:lineRule="auto"/>
        <w:ind w:firstLine="482" w:firstLineChars="200"/>
        <w:rPr>
          <w:rFonts w:cs="Arial" w:asciiTheme="minorEastAsia" w:hAnsiTheme="minorEastAsia" w:eastAsiaTheme="minorEastAsia"/>
          <w:b/>
          <w:color w:val="auto"/>
          <w:kern w:val="0"/>
          <w:sz w:val="24"/>
        </w:rPr>
      </w:pPr>
    </w:p>
    <w:p w14:paraId="4FB9961C">
      <w:pPr>
        <w:pStyle w:val="393"/>
        <w:spacing w:before="0"/>
        <w:ind w:firstLine="643"/>
        <w:jc w:val="center"/>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14:paraId="3D027D82">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14:paraId="41038F7D">
      <w:pPr>
        <w:adjustRightInd/>
        <w:spacing w:line="360" w:lineRule="auto"/>
        <w:rPr>
          <w:rFonts w:cs="Arial" w:asciiTheme="minorEastAsia" w:hAnsiTheme="minorEastAsia" w:eastAsiaTheme="minorEastAsia"/>
          <w:color w:val="auto"/>
          <w:kern w:val="0"/>
          <w:sz w:val="24"/>
        </w:rPr>
      </w:pPr>
    </w:p>
    <w:p w14:paraId="7E3E565C">
      <w:pPr>
        <w:snapToGrid w:val="0"/>
        <w:spacing w:line="360" w:lineRule="auto"/>
        <w:ind w:left="120" w:leftChars="57" w:firstLine="422" w:firstLineChars="150"/>
        <w:jc w:val="center"/>
        <w:rPr>
          <w:rFonts w:cs="仿宋_GB2312" w:asciiTheme="minorEastAsia" w:hAnsiTheme="minorEastAsia" w:eastAsiaTheme="minorEastAsia"/>
          <w:b/>
          <w:color w:val="auto"/>
          <w:sz w:val="32"/>
        </w:rPr>
      </w:pPr>
      <w:r>
        <w:rPr>
          <w:rFonts w:hint="eastAsia" w:asciiTheme="minorEastAsia" w:hAnsiTheme="minorEastAsia" w:eastAsiaTheme="minorEastAsia"/>
          <w:b/>
          <w:color w:val="auto"/>
          <w:sz w:val="28"/>
          <w:szCs w:val="28"/>
        </w:rPr>
        <w:t xml:space="preserve">   </w:t>
      </w:r>
      <w:r>
        <w:rPr>
          <w:rFonts w:hint="eastAsia" w:cs="仿宋_GB2312" w:asciiTheme="minorEastAsia" w:hAnsiTheme="minorEastAsia" w:eastAsiaTheme="minorEastAsia"/>
          <w:b/>
          <w:color w:val="auto"/>
          <w:sz w:val="32"/>
        </w:rPr>
        <w:t>二、磋商小组的组成</w:t>
      </w:r>
    </w:p>
    <w:p w14:paraId="6CE4282E">
      <w:pPr>
        <w:pStyle w:val="393"/>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14:paraId="76A19715">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人员不得参加本机构代理的采购项目的评审。</w:t>
      </w:r>
    </w:p>
    <w:p w14:paraId="3B3A4D4C">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28FC271">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14:paraId="56B89860">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14:paraId="2B45605D">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14:paraId="19DACC6C">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14:paraId="2ABFCCE5">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14:paraId="6D08D47C">
      <w:pPr>
        <w:pStyle w:val="393"/>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14:paraId="34CBAA83">
      <w:pPr>
        <w:pStyle w:val="393"/>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14:paraId="783E0322">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p>
    <w:p w14:paraId="2B880AFB">
      <w:pPr>
        <w:snapToGrid w:val="0"/>
        <w:spacing w:line="360" w:lineRule="auto"/>
        <w:ind w:left="120" w:leftChars="57" w:firstLine="482" w:firstLineChars="150"/>
        <w:jc w:val="center"/>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14:paraId="4777E362">
      <w:pPr>
        <w:pStyle w:val="393"/>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14:paraId="2969A2CD">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14:paraId="73E3D4A2">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14:paraId="0FDC41E5">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14:paraId="17722C71">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14:paraId="77E6D17D">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14:paraId="44C37EC1">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14:paraId="0530BD92">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14:paraId="20C7483D">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或者有关部门报告评审中发现的违法行为；</w:t>
      </w:r>
    </w:p>
    <w:p w14:paraId="5E3AC36B">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14:paraId="577D9857">
      <w:pPr>
        <w:pStyle w:val="393"/>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14:paraId="3C50E525">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14:paraId="520C5870">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14:paraId="7BE9FEDE">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14:paraId="6512AC57">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14:paraId="085CAE5F">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14:paraId="71C8C593">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14:paraId="1E48166E">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14:paraId="4C321FC0">
      <w:pPr>
        <w:pStyle w:val="393"/>
        <w:spacing w:before="0"/>
        <w:ind w:firstLine="480"/>
        <w:rPr>
          <w:rFonts w:asciiTheme="minorEastAsia" w:hAnsiTheme="minorEastAsia" w:eastAsiaTheme="minorEastAsia"/>
          <w:b/>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14:paraId="63CBAB6D">
      <w:pPr>
        <w:pStyle w:val="393"/>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14:paraId="3B1ADE08">
      <w:pPr>
        <w:pStyle w:val="393"/>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14:paraId="1D36CDAD">
      <w:pPr>
        <w:pStyle w:val="393"/>
        <w:spacing w:before="0"/>
        <w:ind w:firstLine="0" w:firstLineChars="0"/>
        <w:rPr>
          <w:rFonts w:asciiTheme="minorEastAsia" w:hAnsiTheme="minorEastAsia" w:eastAsiaTheme="minorEastAsia"/>
          <w:b/>
          <w:color w:val="auto"/>
        </w:rPr>
      </w:pPr>
    </w:p>
    <w:p w14:paraId="64F5D5B1">
      <w:pPr>
        <w:pStyle w:val="393"/>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14:paraId="1CC7BD77">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14:paraId="3E9C3404">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346C248">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14:paraId="685E568A">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14:paraId="14A85D7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2.1《最后报价一览表》内容与响应文件中响应内容不一致的，以《最后报价一览表》为准;</w:t>
      </w:r>
    </w:p>
    <w:p w14:paraId="0D33C61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14:paraId="170BDDD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2.3单价金额小数点或者百分比有明显错位的，以《最后报价一览表》的总价为准，并修改单价;</w:t>
      </w:r>
    </w:p>
    <w:p w14:paraId="243A0D8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14:paraId="24D5EB0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14:paraId="1EC7B9A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14:paraId="61707F7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14:paraId="54C942FD">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14:paraId="1B606D99">
      <w:pPr>
        <w:pStyle w:val="25"/>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14:paraId="4C2C48E2">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14:paraId="3FC6B23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14:paraId="5931739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14:paraId="4DD7CAE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14:paraId="23D90E7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14:paraId="35C9422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14:paraId="4E0DC7A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14:paraId="4AF181F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14:paraId="364296A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594A66E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14:paraId="1FAFD06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14:paraId="323859B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14:paraId="365E9DC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14:paraId="6FD8B99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14:paraId="09C99821">
      <w:pPr>
        <w:spacing w:line="360" w:lineRule="auto"/>
        <w:ind w:firstLine="480" w:firstLineChars="200"/>
        <w:rPr>
          <w:color w:val="auto"/>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《最后报价一览表》填写不完整或字迹不能辨认或有漏项的；</w:t>
      </w:r>
    </w:p>
    <w:p w14:paraId="0040840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供应商对根据修正原则修正后的最后报价不确认的；</w:t>
      </w:r>
    </w:p>
    <w:p w14:paraId="442353B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rPr>
        <w:t>供应商提供虚假材料响应的（包括但不限于以下情节）；</w:t>
      </w:r>
    </w:p>
    <w:p w14:paraId="70A5993D">
      <w:pPr>
        <w:pStyle w:val="105"/>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使用伪造、变造的许可证件；</w:t>
      </w:r>
    </w:p>
    <w:p w14:paraId="761328DB">
      <w:pPr>
        <w:pStyle w:val="105"/>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提供虚假的财务状况或者业绩；</w:t>
      </w:r>
    </w:p>
    <w:p w14:paraId="6D3E17E6">
      <w:pPr>
        <w:pStyle w:val="105"/>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提供虚假的项目负责人或者主要技术人员简历、劳动关系证明；</w:t>
      </w:r>
    </w:p>
    <w:p w14:paraId="01A070F7">
      <w:pPr>
        <w:pStyle w:val="105"/>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提供虚假的信用状况；</w:t>
      </w:r>
    </w:p>
    <w:p w14:paraId="52A1E643">
      <w:pPr>
        <w:pStyle w:val="105"/>
        <w:numPr>
          <w:ilvl w:val="0"/>
          <w:numId w:val="12"/>
        </w:numPr>
        <w:ind w:firstLineChars="0"/>
        <w:rPr>
          <w:rFonts w:asciiTheme="minorEastAsia" w:hAnsiTheme="minorEastAsia" w:eastAsiaTheme="minorEastAsia"/>
          <w:color w:val="auto"/>
        </w:rPr>
      </w:pPr>
      <w:r>
        <w:rPr>
          <w:rFonts w:hint="eastAsia" w:asciiTheme="minorEastAsia" w:hAnsiTheme="minorEastAsia" w:eastAsiaTheme="minorEastAsia"/>
          <w:color w:val="auto"/>
        </w:rPr>
        <w:t>其他弄虚作假的行为。</w:t>
      </w:r>
    </w:p>
    <w:p w14:paraId="4C5CEB39">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lang w:val="en-US" w:eastAsia="zh-CN"/>
        </w:rPr>
        <w:t>18</w:t>
      </w:r>
      <w:r>
        <w:rPr>
          <w:rFonts w:hint="eastAsia" w:asciiTheme="minorEastAsia" w:hAnsiTheme="minorEastAsia" w:eastAsiaTheme="minorEastAsia"/>
          <w:color w:val="auto"/>
          <w:sz w:val="24"/>
        </w:rPr>
        <w:t>供应商有恶意串通、妨碍其他供应商的竞争行为、损害采购人或者其他供应商的合法权益情形的。</w:t>
      </w:r>
    </w:p>
    <w:p w14:paraId="0328E80C">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14:paraId="7633C533">
      <w:pPr>
        <w:pStyle w:val="105"/>
        <w:numPr>
          <w:ilvl w:val="0"/>
          <w:numId w:val="13"/>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供应商直接或者间接从采购人或者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处获得其他供应商的相关情况并修改其响应文件；</w:t>
      </w:r>
    </w:p>
    <w:p w14:paraId="4B4A8B2C">
      <w:pPr>
        <w:pStyle w:val="105"/>
        <w:numPr>
          <w:ilvl w:val="0"/>
          <w:numId w:val="13"/>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供应商按照采购人或者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的授意撤换、修改投标文件或者响应文件；</w:t>
      </w:r>
    </w:p>
    <w:p w14:paraId="45498F7B">
      <w:pPr>
        <w:pStyle w:val="105"/>
        <w:numPr>
          <w:ilvl w:val="0"/>
          <w:numId w:val="13"/>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供应商之间协商报价、技术方案等投标文件或者响应文件的实质性内容；</w:t>
      </w:r>
    </w:p>
    <w:p w14:paraId="42581A80">
      <w:pPr>
        <w:pStyle w:val="105"/>
        <w:numPr>
          <w:ilvl w:val="0"/>
          <w:numId w:val="13"/>
        </w:numPr>
        <w:ind w:firstLineChars="0"/>
        <w:rPr>
          <w:rFonts w:asciiTheme="minorEastAsia" w:hAnsiTheme="minorEastAsia" w:eastAsiaTheme="minorEastAsia"/>
          <w:color w:val="auto"/>
        </w:rPr>
      </w:pPr>
      <w:r>
        <w:rPr>
          <w:rFonts w:hint="eastAsia" w:asciiTheme="minorEastAsia" w:hAnsiTheme="minorEastAsia" w:eastAsiaTheme="minorEastAsia"/>
          <w:color w:val="auto"/>
        </w:rPr>
        <w:t>属于同一集团、协会、商会等组织成员的供应商按照该组织要求协同参加政府采购活动；</w:t>
      </w:r>
    </w:p>
    <w:p w14:paraId="59EC54B8">
      <w:pPr>
        <w:pStyle w:val="105"/>
        <w:numPr>
          <w:ilvl w:val="0"/>
          <w:numId w:val="13"/>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供应商之间事先约定由某一特定供应商中标、成交；</w:t>
      </w:r>
    </w:p>
    <w:p w14:paraId="6757B4EA">
      <w:pPr>
        <w:pStyle w:val="105"/>
        <w:numPr>
          <w:ilvl w:val="0"/>
          <w:numId w:val="13"/>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供应商之间商定部分供应商放弃参加政府采购活动或者放弃中标、成交；</w:t>
      </w:r>
    </w:p>
    <w:p w14:paraId="3D20D946">
      <w:pPr>
        <w:pStyle w:val="105"/>
        <w:numPr>
          <w:ilvl w:val="0"/>
          <w:numId w:val="13"/>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之间、供应商相互之间，为谋求特定供应商中标、成交或者排斥其他供应商的其他串通行为。</w:t>
      </w:r>
    </w:p>
    <w:p w14:paraId="2865987D">
      <w:pPr>
        <w:pStyle w:val="105"/>
        <w:numPr>
          <w:ilvl w:val="0"/>
          <w:numId w:val="13"/>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不同供应商的响应文件由同一单位或者个人编制；</w:t>
      </w:r>
    </w:p>
    <w:p w14:paraId="5148DA89">
      <w:pPr>
        <w:pStyle w:val="105"/>
        <w:numPr>
          <w:ilvl w:val="0"/>
          <w:numId w:val="13"/>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不同供应商委托同一单位或者个人办理响应事宜；</w:t>
      </w:r>
    </w:p>
    <w:p w14:paraId="61C3991F">
      <w:pPr>
        <w:pStyle w:val="105"/>
        <w:numPr>
          <w:ilvl w:val="0"/>
          <w:numId w:val="13"/>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不同供应商的响应文件载明的项目管理成员或者联系人员为同一人；</w:t>
      </w:r>
    </w:p>
    <w:p w14:paraId="6B154664">
      <w:pPr>
        <w:pStyle w:val="105"/>
        <w:numPr>
          <w:ilvl w:val="0"/>
          <w:numId w:val="13"/>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不同供应商的响应文件异常一致或者最后报价呈规律性差异；</w:t>
      </w:r>
    </w:p>
    <w:p w14:paraId="6D2AE842">
      <w:pPr>
        <w:pStyle w:val="105"/>
        <w:numPr>
          <w:ilvl w:val="0"/>
          <w:numId w:val="13"/>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不同供应商的响应文件相互混装。</w:t>
      </w:r>
    </w:p>
    <w:p w14:paraId="0318D923">
      <w:pPr>
        <w:pStyle w:val="71"/>
        <w:ind w:left="0" w:leftChars="0" w:firstLine="480" w:firstLineChars="20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08F1F6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0</w:t>
      </w:r>
      <w:r>
        <w:rPr>
          <w:rFonts w:hint="eastAsia" w:asciiTheme="minorEastAsia" w:hAnsiTheme="minorEastAsia" w:eastAsiaTheme="minorEastAsia"/>
          <w:color w:val="auto"/>
          <w:sz w:val="24"/>
        </w:rPr>
        <w:t>供应商仅提交备份响应文件，没有在电子交易平台传输提交响应文件的，响应无效；</w:t>
      </w:r>
    </w:p>
    <w:p w14:paraId="4A1FAC2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法律、法规、规章（适用本市的）及省级以上规范性文件（适用本市的）规定的其他无效情形。</w:t>
      </w:r>
    </w:p>
    <w:p w14:paraId="5516D794">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14:paraId="706A6703">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应当终止竞争性磋商采购活动，通过电子交易平台发布项目终止公告并说明原因，重新开展采购活动：</w:t>
      </w:r>
    </w:p>
    <w:p w14:paraId="60F1AEAA">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14:paraId="25D031F3">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14:paraId="726881FD">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14:paraId="49BA757E">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14:paraId="3694B73A">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将终止采购活动，通过电子交易平台通知所有参加采购活动的供应商，并将项目实施情况和采购任务取消原因报送本级财政部门。</w:t>
      </w:r>
    </w:p>
    <w:p w14:paraId="6E60BAF1">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lang w:eastAsia="zh-CN"/>
        </w:rPr>
        <w:t>采购代理机构</w:t>
      </w:r>
      <w:r>
        <w:rPr>
          <w:rFonts w:hint="eastAsia" w:cs="仿宋_GB2312" w:asciiTheme="minorEastAsia" w:hAnsiTheme="minorEastAsia" w:eastAsiaTheme="minorEastAsia"/>
          <w:b/>
          <w:color w:val="auto"/>
          <w:sz w:val="24"/>
        </w:rPr>
        <w:t>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审查的，</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将向同级政府采购监督管理部门报告并予以处理。</w:t>
      </w:r>
    </w:p>
    <w:p w14:paraId="5D9A6B87">
      <w:pPr>
        <w:pStyle w:val="393"/>
        <w:spacing w:before="0"/>
        <w:ind w:firstLine="0" w:firstLineChars="0"/>
        <w:rPr>
          <w:rFonts w:cs="仿宋_GB2312" w:asciiTheme="minorEastAsia" w:hAnsiTheme="minorEastAsia" w:eastAsiaTheme="minorEastAsia"/>
          <w:b/>
          <w:color w:val="auto"/>
        </w:rPr>
      </w:pPr>
    </w:p>
    <w:p w14:paraId="335D3844">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14:paraId="24E6732C">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工作人员、相关监督人员等与评审有关的人员应当予以保密。</w:t>
      </w:r>
    </w:p>
    <w:p w14:paraId="01D6E86D">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对评审工作现场进行全过程录音录像，录音录像资料作为采购项目文件随其他文件一并存档。</w:t>
      </w:r>
    </w:p>
    <w:p w14:paraId="35B2BB1A">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1BAE2E7B">
      <w:pPr>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第六部分</w:t>
      </w:r>
      <w:bookmarkEnd w:id="77"/>
      <w:r>
        <w:rPr>
          <w:rFonts w:hint="eastAsia" w:cs="仿宋_GB2312" w:asciiTheme="minorEastAsia" w:hAnsiTheme="minorEastAsia" w:eastAsiaTheme="minorEastAsia"/>
          <w:b/>
          <w:color w:val="auto"/>
          <w:sz w:val="36"/>
          <w:szCs w:val="36"/>
        </w:rPr>
        <w:t xml:space="preserve">  拟签订的合同文本</w:t>
      </w:r>
    </w:p>
    <w:p w14:paraId="3DF0D4D8">
      <w:pPr>
        <w:spacing w:line="360" w:lineRule="auto"/>
        <w:rPr>
          <w:rFonts w:asciiTheme="minorEastAsia" w:hAnsiTheme="minorEastAsia" w:eastAsiaTheme="minorEastAsia"/>
          <w:color w:val="auto"/>
          <w:sz w:val="24"/>
        </w:rPr>
      </w:pPr>
      <w:bookmarkStart w:id="78" w:name="第五部分"/>
      <w:bookmarkStart w:id="79" w:name="_Toc86217003"/>
    </w:p>
    <w:p w14:paraId="32285798">
      <w:pPr>
        <w:spacing w:line="360" w:lineRule="auto"/>
        <w:rPr>
          <w:rFonts w:asciiTheme="minorEastAsia" w:hAnsiTheme="minorEastAsia" w:eastAsiaTheme="minorEastAsia"/>
          <w:color w:val="auto"/>
          <w:sz w:val="24"/>
        </w:rPr>
      </w:pPr>
    </w:p>
    <w:p w14:paraId="1F33BE45">
      <w:pPr>
        <w:rPr>
          <w:rFonts w:ascii="宋体" w:hAnsi="宋体" w:cs="宋体"/>
          <w:sz w:val="24"/>
          <w:u w:val="single"/>
        </w:rPr>
      </w:pPr>
      <w:r>
        <w:rPr>
          <w:rFonts w:hint="eastAsia" w:ascii="宋体" w:hAnsi="宋体" w:cs="宋体"/>
          <w:sz w:val="24"/>
        </w:rPr>
        <w:t>合同编号：</w:t>
      </w:r>
    </w:p>
    <w:p w14:paraId="6A620178">
      <w:pPr>
        <w:spacing w:line="480" w:lineRule="auto"/>
        <w:jc w:val="both"/>
        <w:rPr>
          <w:rFonts w:ascii="宋体" w:hAnsi="宋体" w:cs="宋体"/>
          <w:b/>
          <w:sz w:val="24"/>
        </w:rPr>
      </w:pPr>
    </w:p>
    <w:p w14:paraId="22BA1D4F">
      <w:pPr>
        <w:spacing w:line="480" w:lineRule="auto"/>
        <w:jc w:val="center"/>
        <w:rPr>
          <w:rFonts w:ascii="宋体" w:hAnsi="宋体" w:cs="宋体"/>
          <w:b/>
          <w:sz w:val="40"/>
          <w:szCs w:val="40"/>
        </w:rPr>
      </w:pPr>
      <w:r>
        <w:rPr>
          <w:rFonts w:hint="eastAsia" w:ascii="宋体" w:hAnsi="宋体" w:cs="宋体"/>
          <w:b/>
          <w:sz w:val="40"/>
          <w:szCs w:val="40"/>
        </w:rPr>
        <w:t>政府采购合同</w:t>
      </w:r>
    </w:p>
    <w:p w14:paraId="6146DDAB">
      <w:pPr>
        <w:spacing w:line="480" w:lineRule="auto"/>
        <w:jc w:val="center"/>
        <w:rPr>
          <w:rFonts w:ascii="宋体" w:hAnsi="宋体" w:cs="宋体"/>
          <w:b/>
          <w:sz w:val="40"/>
          <w:szCs w:val="40"/>
        </w:rPr>
      </w:pPr>
      <w:r>
        <w:rPr>
          <w:rFonts w:hint="eastAsia" w:ascii="宋体" w:hAnsi="宋体" w:cs="宋体"/>
          <w:b/>
          <w:sz w:val="40"/>
          <w:szCs w:val="40"/>
        </w:rPr>
        <w:t>（服务类）</w:t>
      </w:r>
    </w:p>
    <w:p w14:paraId="4DA1387E">
      <w:pPr>
        <w:spacing w:before="120" w:line="22" w:lineRule="atLeast"/>
        <w:rPr>
          <w:rFonts w:ascii="宋体" w:hAnsi="宋体" w:cs="宋体"/>
          <w:sz w:val="28"/>
          <w:szCs w:val="28"/>
        </w:rPr>
      </w:pPr>
    </w:p>
    <w:p w14:paraId="2367A7D9">
      <w:pPr>
        <w:pStyle w:val="4"/>
        <w:numPr>
          <w:ilvl w:val="0"/>
          <w:numId w:val="0"/>
        </w:numPr>
        <w:ind w:leftChars="0"/>
        <w:rPr>
          <w:sz w:val="36"/>
          <w:szCs w:val="36"/>
        </w:rPr>
      </w:pPr>
    </w:p>
    <w:p w14:paraId="1F6F7D9D">
      <w:pPr>
        <w:spacing w:before="120" w:line="22" w:lineRule="atLeast"/>
        <w:ind w:left="960"/>
        <w:rPr>
          <w:rFonts w:hint="eastAsia" w:ascii="宋体" w:hAnsi="宋体" w:eastAsia="宋体" w:cs="宋体"/>
          <w:sz w:val="28"/>
          <w:szCs w:val="28"/>
          <w:lang w:eastAsia="zh-CN"/>
        </w:rPr>
      </w:pPr>
      <w:r>
        <w:rPr>
          <w:rFonts w:hint="eastAsia" w:ascii="宋体" w:hAnsi="宋体" w:cs="宋体"/>
          <w:sz w:val="28"/>
          <w:szCs w:val="28"/>
        </w:rPr>
        <w:t>项目名称：</w:t>
      </w:r>
      <w:r>
        <w:rPr>
          <w:rFonts w:hint="eastAsia" w:ascii="宋体" w:hAnsi="宋体" w:cs="宋体"/>
          <w:sz w:val="28"/>
          <w:szCs w:val="28"/>
          <w:lang w:val="en-US" w:eastAsia="zh-CN"/>
        </w:rPr>
        <w:t xml:space="preserve"> </w:t>
      </w:r>
    </w:p>
    <w:p w14:paraId="74D4B2BA">
      <w:pPr>
        <w:pStyle w:val="617"/>
        <w:spacing w:before="120" w:line="22" w:lineRule="atLeast"/>
        <w:rPr>
          <w:rFonts w:ascii="宋体" w:hAnsi="宋体" w:eastAsia="宋体" w:cs="宋体"/>
          <w:sz w:val="28"/>
          <w:szCs w:val="28"/>
        </w:rPr>
      </w:pPr>
    </w:p>
    <w:p w14:paraId="174D7CB6">
      <w:pPr>
        <w:pStyle w:val="617"/>
        <w:spacing w:before="120" w:line="22" w:lineRule="atLeast"/>
        <w:rPr>
          <w:rFonts w:ascii="宋体" w:hAnsi="宋体" w:eastAsia="宋体" w:cs="宋体"/>
          <w:sz w:val="28"/>
          <w:szCs w:val="28"/>
        </w:rPr>
      </w:pPr>
    </w:p>
    <w:p w14:paraId="6D3B1945">
      <w:pPr>
        <w:rPr>
          <w:rFonts w:ascii="宋体" w:hAnsi="宋体" w:cs="宋体"/>
          <w:sz w:val="28"/>
          <w:szCs w:val="28"/>
        </w:rPr>
      </w:pPr>
    </w:p>
    <w:p w14:paraId="3FD8E934">
      <w:pPr>
        <w:spacing w:before="120" w:line="22" w:lineRule="atLeast"/>
        <w:ind w:left="960"/>
        <w:rPr>
          <w:rFonts w:ascii="宋体" w:hAnsi="宋体" w:cs="宋体"/>
          <w:sz w:val="28"/>
          <w:szCs w:val="28"/>
          <w:u w:val="single"/>
        </w:rPr>
      </w:pPr>
      <w:r>
        <w:rPr>
          <w:rFonts w:hint="eastAsia" w:ascii="宋体" w:hAnsi="宋体" w:cs="宋体"/>
          <w:sz w:val="28"/>
          <w:szCs w:val="28"/>
        </w:rPr>
        <w:t>甲方：桐庐县森林湿地和自然保护地管理总站</w:t>
      </w:r>
    </w:p>
    <w:p w14:paraId="106B0761">
      <w:pPr>
        <w:spacing w:before="120" w:line="22" w:lineRule="atLeast"/>
        <w:rPr>
          <w:rFonts w:ascii="宋体" w:hAnsi="宋体" w:cs="宋体"/>
          <w:sz w:val="28"/>
          <w:szCs w:val="28"/>
        </w:rPr>
      </w:pPr>
    </w:p>
    <w:p w14:paraId="3EA6D436">
      <w:pPr>
        <w:spacing w:before="120" w:line="22" w:lineRule="atLeast"/>
        <w:ind w:left="960"/>
        <w:rPr>
          <w:rFonts w:hint="eastAsia" w:ascii="宋体" w:hAnsi="宋体" w:cs="宋体"/>
          <w:sz w:val="28"/>
          <w:szCs w:val="28"/>
        </w:rPr>
      </w:pPr>
    </w:p>
    <w:p w14:paraId="1AB7FD6C">
      <w:pPr>
        <w:spacing w:before="120" w:line="22" w:lineRule="atLeast"/>
        <w:ind w:left="960"/>
        <w:rPr>
          <w:rFonts w:ascii="宋体" w:hAnsi="宋体" w:cs="宋体"/>
          <w:sz w:val="28"/>
          <w:szCs w:val="28"/>
          <w:u w:val="single"/>
        </w:rPr>
      </w:pPr>
      <w:r>
        <w:rPr>
          <w:rFonts w:hint="eastAsia" w:ascii="宋体" w:hAnsi="宋体" w:cs="宋体"/>
          <w:sz w:val="28"/>
          <w:szCs w:val="28"/>
        </w:rPr>
        <w:t>乙方：</w:t>
      </w:r>
    </w:p>
    <w:p w14:paraId="58490863">
      <w:pPr>
        <w:spacing w:before="120" w:line="22" w:lineRule="atLeast"/>
        <w:rPr>
          <w:rFonts w:ascii="宋体" w:hAnsi="宋体" w:cs="宋体"/>
          <w:sz w:val="28"/>
          <w:szCs w:val="28"/>
        </w:rPr>
      </w:pPr>
    </w:p>
    <w:p w14:paraId="4269572E">
      <w:pPr>
        <w:spacing w:before="120" w:line="22" w:lineRule="atLeast"/>
        <w:ind w:firstLine="1120" w:firstLineChars="400"/>
        <w:rPr>
          <w:rFonts w:hint="eastAsia" w:ascii="宋体" w:hAnsi="宋体" w:cs="宋体"/>
          <w:sz w:val="28"/>
          <w:szCs w:val="28"/>
        </w:rPr>
      </w:pPr>
    </w:p>
    <w:p w14:paraId="250FF292">
      <w:pPr>
        <w:spacing w:before="120" w:line="22" w:lineRule="atLeast"/>
        <w:ind w:firstLine="1120" w:firstLineChars="400"/>
        <w:rPr>
          <w:rFonts w:hint="default" w:ascii="宋体" w:hAnsi="宋体" w:eastAsia="宋体" w:cs="宋体"/>
          <w:sz w:val="28"/>
          <w:szCs w:val="28"/>
          <w:u w:val="single"/>
          <w:lang w:val="en-US" w:eastAsia="zh-CN"/>
        </w:rPr>
      </w:pPr>
      <w:r>
        <w:rPr>
          <w:rFonts w:hint="eastAsia" w:ascii="宋体" w:hAnsi="宋体" w:cs="宋体"/>
          <w:sz w:val="28"/>
          <w:szCs w:val="28"/>
        </w:rPr>
        <w:t>签订地：</w:t>
      </w:r>
      <w:r>
        <w:rPr>
          <w:rFonts w:hint="eastAsia" w:ascii="宋体" w:hAnsi="宋体" w:cs="宋体"/>
          <w:sz w:val="28"/>
          <w:szCs w:val="28"/>
          <w:lang w:val="en-US" w:eastAsia="zh-CN"/>
        </w:rPr>
        <w:t xml:space="preserve"> </w:t>
      </w:r>
    </w:p>
    <w:p w14:paraId="11348CC8">
      <w:pPr>
        <w:spacing w:before="120" w:line="22" w:lineRule="atLeast"/>
        <w:rPr>
          <w:rFonts w:ascii="宋体" w:hAnsi="宋体" w:cs="宋体"/>
          <w:sz w:val="28"/>
          <w:szCs w:val="28"/>
        </w:rPr>
      </w:pPr>
    </w:p>
    <w:p w14:paraId="3269B10A">
      <w:pPr>
        <w:spacing w:before="120" w:line="22" w:lineRule="atLeast"/>
        <w:ind w:firstLine="1120" w:firstLineChars="400"/>
        <w:rPr>
          <w:rFonts w:hint="eastAsia" w:ascii="宋体" w:hAnsi="宋体" w:cs="宋体"/>
          <w:sz w:val="28"/>
          <w:szCs w:val="28"/>
        </w:rPr>
      </w:pPr>
    </w:p>
    <w:p w14:paraId="45E3756A">
      <w:pPr>
        <w:spacing w:before="120" w:line="22" w:lineRule="atLeast"/>
        <w:ind w:firstLine="1120" w:firstLineChars="400"/>
        <w:rPr>
          <w:rFonts w:ascii="宋体" w:hAnsi="宋体" w:cs="宋体"/>
          <w:kern w:val="0"/>
          <w:sz w:val="28"/>
          <w:szCs w:val="28"/>
        </w:rPr>
        <w:sectPr>
          <w:pgSz w:w="11907" w:h="16840"/>
          <w:pgMar w:top="1474" w:right="1814" w:bottom="1474" w:left="1814" w:header="851" w:footer="851" w:gutter="0"/>
          <w:cols w:space="720" w:num="1"/>
        </w:sectPr>
      </w:pPr>
      <w:r>
        <w:rPr>
          <w:rFonts w:hint="eastAsia" w:ascii="宋体" w:hAnsi="宋体" w:cs="宋体"/>
          <w:sz w:val="28"/>
          <w:szCs w:val="28"/>
        </w:rPr>
        <w:t>签订日期：</w:t>
      </w:r>
      <w:r>
        <w:rPr>
          <w:rFonts w:hint="eastAsia" w:ascii="宋体" w:hAnsi="宋体" w:cs="宋体"/>
          <w:sz w:val="28"/>
          <w:szCs w:val="28"/>
          <w:lang w:val="en-US" w:eastAsia="zh-CN"/>
        </w:rPr>
        <w:t>2025</w:t>
      </w:r>
      <w:r>
        <w:rPr>
          <w:rFonts w:hint="eastAsia" w:ascii="宋体" w:hAnsi="宋体" w:cs="宋体"/>
          <w:sz w:val="28"/>
          <w:szCs w:val="28"/>
        </w:rPr>
        <w:t>年</w:t>
      </w:r>
      <w:r>
        <w:rPr>
          <w:rFonts w:hint="eastAsia" w:ascii="宋体" w:hAnsi="宋体" w:cs="宋体"/>
          <w:sz w:val="28"/>
          <w:szCs w:val="28"/>
          <w:lang w:val="en-US" w:eastAsia="zh-CN"/>
        </w:rPr>
        <w:t xml:space="preserve">  </w:t>
      </w:r>
      <w:r>
        <w:rPr>
          <w:rFonts w:hint="eastAsia" w:ascii="宋体" w:hAnsi="宋体" w:cs="宋体"/>
          <w:sz w:val="28"/>
          <w:szCs w:val="28"/>
        </w:rPr>
        <w:t>月</w:t>
      </w:r>
      <w:r>
        <w:rPr>
          <w:rFonts w:hint="eastAsia" w:ascii="宋体" w:hAnsi="宋体" w:cs="宋体"/>
          <w:sz w:val="28"/>
          <w:szCs w:val="28"/>
          <w:lang w:val="en-US" w:eastAsia="zh-CN"/>
        </w:rPr>
        <w:t xml:space="preserve">   </w:t>
      </w:r>
      <w:r>
        <w:rPr>
          <w:rFonts w:hint="eastAsia" w:ascii="宋体" w:hAnsi="宋体" w:cs="宋体"/>
          <w:sz w:val="28"/>
          <w:szCs w:val="28"/>
        </w:rPr>
        <w:t>日</w:t>
      </w:r>
    </w:p>
    <w:p w14:paraId="6C2E7F3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eastAsia="宋体"/>
          <w:sz w:val="24"/>
        </w:rPr>
      </w:pPr>
      <w:r>
        <w:rPr>
          <w:rFonts w:hint="eastAsia" w:ascii="宋体" w:hAnsi="宋体"/>
          <w:sz w:val="24"/>
          <w:lang w:val="en-US" w:eastAsia="zh-CN"/>
        </w:rPr>
        <w:t>2025</w:t>
      </w:r>
      <w:r>
        <w:rPr>
          <w:rFonts w:hint="eastAsia" w:ascii="宋体" w:hAnsi="宋体" w:eastAsia="宋体"/>
          <w:sz w:val="24"/>
          <w:lang w:val="zh-CN"/>
        </w:rPr>
        <w:t>年</w:t>
      </w:r>
      <w:r>
        <w:rPr>
          <w:rFonts w:hint="eastAsia" w:ascii="宋体" w:hAnsi="宋体" w:eastAsia="宋体"/>
          <w:sz w:val="24"/>
          <w:lang w:val="en-US" w:eastAsia="zh-CN"/>
        </w:rPr>
        <w:t xml:space="preserve">  </w:t>
      </w:r>
      <w:r>
        <w:rPr>
          <w:rFonts w:hint="eastAsia" w:ascii="宋体" w:hAnsi="宋体"/>
          <w:sz w:val="24"/>
          <w:lang w:val="en-US" w:eastAsia="zh-CN"/>
        </w:rPr>
        <w:t xml:space="preserve"> </w:t>
      </w:r>
      <w:r>
        <w:rPr>
          <w:rFonts w:hint="eastAsia" w:ascii="宋体" w:hAnsi="宋体" w:eastAsia="宋体"/>
          <w:sz w:val="24"/>
          <w:lang w:val="zh-CN"/>
        </w:rPr>
        <w:t>月</w:t>
      </w:r>
      <w:r>
        <w:rPr>
          <w:rFonts w:hint="eastAsia" w:ascii="宋体" w:hAnsi="宋体" w:eastAsia="宋体"/>
          <w:sz w:val="24"/>
          <w:lang w:val="en-US" w:eastAsia="zh-CN"/>
        </w:rPr>
        <w:t xml:space="preserve"> </w:t>
      </w:r>
      <w:r>
        <w:rPr>
          <w:rFonts w:hint="eastAsia" w:ascii="宋体" w:hAnsi="宋体"/>
          <w:sz w:val="24"/>
          <w:lang w:val="en-US" w:eastAsia="zh-CN"/>
        </w:rPr>
        <w:t xml:space="preserve">  </w:t>
      </w:r>
      <w:r>
        <w:rPr>
          <w:rFonts w:hint="eastAsia" w:ascii="宋体" w:hAnsi="宋体" w:eastAsia="宋体"/>
          <w:sz w:val="24"/>
          <w:lang w:val="en-US" w:eastAsia="zh-CN"/>
        </w:rPr>
        <w:t xml:space="preserve"> </w:t>
      </w:r>
      <w:r>
        <w:rPr>
          <w:rFonts w:hint="eastAsia" w:ascii="宋体" w:hAnsi="宋体" w:eastAsia="宋体"/>
          <w:sz w:val="24"/>
          <w:lang w:val="zh-CN"/>
        </w:rPr>
        <w:t>日</w:t>
      </w:r>
      <w:r>
        <w:rPr>
          <w:rFonts w:hint="eastAsia" w:ascii="宋体" w:hAnsi="宋体" w:eastAsia="宋体"/>
          <w:sz w:val="24"/>
        </w:rPr>
        <w:t>，</w:t>
      </w:r>
      <w:r>
        <w:rPr>
          <w:rFonts w:ascii="宋体" w:hAnsi="宋体" w:eastAsia="宋体"/>
          <w:sz w:val="24"/>
          <w:u w:val="single"/>
        </w:rPr>
        <w:t xml:space="preserve">  </w:t>
      </w:r>
      <w:r>
        <w:rPr>
          <w:rFonts w:hint="eastAsia" w:ascii="宋体" w:hAnsi="宋体" w:eastAsia="宋体"/>
          <w:sz w:val="24"/>
          <w:u w:val="single"/>
        </w:rPr>
        <w:t>桐庐县森林湿地和自然保护地管理总站</w:t>
      </w:r>
      <w:r>
        <w:rPr>
          <w:rFonts w:ascii="宋体" w:hAnsi="宋体" w:eastAsia="宋体"/>
          <w:sz w:val="24"/>
          <w:u w:val="single"/>
        </w:rPr>
        <w:t xml:space="preserve">  </w:t>
      </w:r>
      <w:r>
        <w:rPr>
          <w:rFonts w:hint="eastAsia" w:ascii="宋体" w:hAnsi="宋体" w:eastAsia="宋体"/>
          <w:sz w:val="24"/>
        </w:rPr>
        <w:t>以</w:t>
      </w:r>
      <w:r>
        <w:rPr>
          <w:rFonts w:ascii="宋体" w:hAnsi="宋体" w:eastAsia="宋体"/>
          <w:sz w:val="24"/>
          <w:u w:val="single"/>
        </w:rPr>
        <w:t xml:space="preserve">   </w:t>
      </w:r>
      <w:r>
        <w:rPr>
          <w:rFonts w:hint="eastAsia" w:ascii="宋体" w:hAnsi="宋体" w:eastAsia="宋体"/>
          <w:sz w:val="24"/>
          <w:u w:val="single"/>
        </w:rPr>
        <w:t>竞争性磋商</w:t>
      </w:r>
      <w:r>
        <w:rPr>
          <w:rFonts w:ascii="宋体" w:hAnsi="宋体" w:eastAsia="宋体"/>
          <w:sz w:val="24"/>
          <w:u w:val="single"/>
        </w:rPr>
        <w:t xml:space="preserve">  </w:t>
      </w:r>
      <w:r>
        <w:rPr>
          <w:rFonts w:hint="eastAsia" w:ascii="宋体" w:hAnsi="宋体" w:eastAsia="宋体"/>
          <w:sz w:val="24"/>
        </w:rPr>
        <w:t>对</w:t>
      </w:r>
      <w:r>
        <w:rPr>
          <w:rFonts w:ascii="宋体" w:hAnsi="宋体" w:eastAsia="宋体"/>
          <w:sz w:val="24"/>
          <w:u w:val="single"/>
        </w:rPr>
        <w:t xml:space="preserve"> </w:t>
      </w:r>
      <w:r>
        <w:rPr>
          <w:rFonts w:hint="eastAsia" w:ascii="宋体" w:hAnsi="宋体"/>
          <w:sz w:val="24"/>
          <w:u w:val="single"/>
          <w:lang w:val="en-US" w:eastAsia="zh-CN"/>
        </w:rPr>
        <w:t xml:space="preserve">                                         </w:t>
      </w:r>
      <w:r>
        <w:rPr>
          <w:rFonts w:hint="eastAsia" w:ascii="宋体" w:hAnsi="宋体" w:eastAsia="宋体"/>
          <w:sz w:val="24"/>
        </w:rPr>
        <w:t>项目进行了采购。经</w:t>
      </w:r>
      <w:r>
        <w:rPr>
          <w:rFonts w:ascii="宋体" w:hAnsi="宋体" w:eastAsia="宋体"/>
          <w:sz w:val="24"/>
          <w:u w:val="single"/>
        </w:rPr>
        <w:t xml:space="preserve">  </w:t>
      </w:r>
      <w:r>
        <w:rPr>
          <w:rFonts w:hint="eastAsia" w:ascii="宋体" w:hAnsi="宋体"/>
          <w:sz w:val="24"/>
          <w:u w:val="single"/>
          <w:lang w:eastAsia="zh-CN"/>
        </w:rPr>
        <w:t>评审小组</w:t>
      </w:r>
      <w:r>
        <w:rPr>
          <w:rFonts w:ascii="宋体" w:hAnsi="宋体" w:eastAsia="宋体"/>
          <w:sz w:val="24"/>
          <w:u w:val="single"/>
        </w:rPr>
        <w:t xml:space="preserve">  </w:t>
      </w:r>
      <w:r>
        <w:rPr>
          <w:rFonts w:hint="eastAsia" w:ascii="宋体" w:hAnsi="宋体" w:eastAsia="宋体"/>
          <w:sz w:val="24"/>
        </w:rPr>
        <w:t>评定，</w:t>
      </w:r>
      <w:r>
        <w:rPr>
          <w:rFonts w:ascii="宋体" w:hAnsi="宋体" w:eastAsia="宋体"/>
          <w:sz w:val="24"/>
          <w:u w:val="single"/>
        </w:rPr>
        <w:t xml:space="preserve">   </w:t>
      </w:r>
      <w:r>
        <w:rPr>
          <w:rFonts w:hint="eastAsia" w:ascii="宋体" w:hAnsi="宋体" w:eastAsia="宋体"/>
          <w:sz w:val="24"/>
          <w:u w:val="single"/>
          <w:lang w:val="en-US" w:eastAsia="zh-CN"/>
        </w:rPr>
        <w:t xml:space="preserve">             </w:t>
      </w:r>
      <w:r>
        <w:rPr>
          <w:rFonts w:ascii="宋体" w:hAnsi="宋体" w:eastAsia="宋体"/>
          <w:sz w:val="24"/>
          <w:u w:val="single"/>
        </w:rPr>
        <w:t xml:space="preserve"> </w:t>
      </w:r>
      <w:r>
        <w:rPr>
          <w:rFonts w:hint="eastAsia" w:ascii="宋体" w:hAnsi="宋体" w:eastAsia="宋体"/>
          <w:sz w:val="24"/>
        </w:rPr>
        <w:t>为该项目中标供应商。现于中标通知书发出之日起</w:t>
      </w:r>
      <w:r>
        <w:rPr>
          <w:rFonts w:hint="eastAsia" w:ascii="宋体" w:hAnsi="宋体" w:eastAsia="宋体"/>
          <w:sz w:val="24"/>
          <w:lang w:val="en-US" w:eastAsia="zh-CN"/>
        </w:rPr>
        <w:t>七</w:t>
      </w:r>
      <w:r>
        <w:rPr>
          <w:rFonts w:hint="eastAsia" w:ascii="宋体" w:hAnsi="宋体" w:eastAsia="宋体"/>
          <w:sz w:val="24"/>
        </w:rPr>
        <w:t>日内，按照采购文件确定的事项签订本合同。</w:t>
      </w:r>
    </w:p>
    <w:p w14:paraId="34A8F69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eastAsia="宋体"/>
          <w:sz w:val="24"/>
        </w:rPr>
      </w:pPr>
      <w:r>
        <w:rPr>
          <w:rFonts w:hint="eastAsia" w:ascii="宋体" w:hAnsi="宋体" w:eastAsia="宋体"/>
          <w:sz w:val="24"/>
          <w:lang w:val="zh-CN"/>
        </w:rPr>
        <w:t>根据《中华人民共和国民法典》《中华人民共和国政府采购法》等相关法律法规之规定，按照平等、自愿、公平和诚实信用的原则，经</w:t>
      </w:r>
      <w:r>
        <w:rPr>
          <w:rFonts w:ascii="宋体" w:hAnsi="宋体" w:eastAsia="宋体"/>
          <w:sz w:val="24"/>
          <w:u w:val="single"/>
        </w:rPr>
        <w:t xml:space="preserve"> </w:t>
      </w:r>
      <w:r>
        <w:rPr>
          <w:rFonts w:hint="eastAsia" w:ascii="宋体" w:hAnsi="宋体" w:eastAsia="宋体"/>
          <w:sz w:val="24"/>
          <w:u w:val="single"/>
        </w:rPr>
        <w:t>桐庐县森林湿地和自然保护地管理总站</w:t>
      </w:r>
      <w:r>
        <w:rPr>
          <w:rFonts w:ascii="宋体" w:hAnsi="宋体" w:eastAsia="宋体"/>
          <w:sz w:val="24"/>
          <w:u w:val="single"/>
        </w:rPr>
        <w:t xml:space="preserve"> </w:t>
      </w:r>
      <w:r>
        <w:rPr>
          <w:rFonts w:ascii="宋体" w:hAnsi="宋体" w:eastAsia="宋体"/>
          <w:sz w:val="24"/>
          <w:lang w:val="zh-CN"/>
        </w:rPr>
        <w:t>(以下简称：甲方)和</w:t>
      </w:r>
      <w:r>
        <w:rPr>
          <w:rFonts w:ascii="宋体" w:hAnsi="宋体" w:eastAsia="宋体"/>
          <w:sz w:val="24"/>
          <w:u w:val="single"/>
        </w:rPr>
        <w:t xml:space="preserve"> </w:t>
      </w:r>
      <w:r>
        <w:rPr>
          <w:rFonts w:hint="eastAsia" w:ascii="宋体" w:hAnsi="宋体" w:eastAsia="宋体"/>
          <w:sz w:val="24"/>
          <w:u w:val="single"/>
          <w:lang w:val="en-US" w:eastAsia="zh-CN"/>
        </w:rPr>
        <w:t xml:space="preserve">          </w:t>
      </w:r>
      <w:r>
        <w:rPr>
          <w:rFonts w:ascii="宋体" w:hAnsi="宋体" w:eastAsia="宋体"/>
          <w:sz w:val="24"/>
          <w:u w:val="single"/>
        </w:rPr>
        <w:t xml:space="preserve">  </w:t>
      </w:r>
      <w:r>
        <w:rPr>
          <w:rFonts w:ascii="宋体" w:hAnsi="宋体" w:eastAsia="宋体"/>
          <w:sz w:val="24"/>
          <w:lang w:val="zh-CN"/>
        </w:rPr>
        <w:t>(以下简称：乙方)协商一致，约定以下合同</w:t>
      </w:r>
      <w:r>
        <w:rPr>
          <w:rFonts w:hint="eastAsia" w:ascii="宋体" w:hAnsi="宋体" w:eastAsia="宋体"/>
          <w:sz w:val="24"/>
        </w:rPr>
        <w:t>条款，以兹共同遵守、全面履行。</w:t>
      </w:r>
    </w:p>
    <w:p w14:paraId="4723F322">
      <w:pPr>
        <w:keepNext w:val="0"/>
        <w:keepLines w:val="0"/>
        <w:pageBreakBefore w:val="0"/>
        <w:widowControl w:val="0"/>
        <w:kinsoku/>
        <w:wordWrap/>
        <w:overflowPunct/>
        <w:topLinePunct w:val="0"/>
        <w:autoSpaceDE/>
        <w:autoSpaceDN/>
        <w:bidi w:val="0"/>
        <w:spacing w:line="360" w:lineRule="auto"/>
        <w:ind w:firstLine="482" w:firstLineChars="200"/>
        <w:textAlignment w:val="auto"/>
        <w:outlineLvl w:val="0"/>
        <w:rPr>
          <w:rFonts w:ascii="宋体" w:hAnsi="宋体" w:eastAsia="宋体"/>
          <w:sz w:val="24"/>
        </w:rPr>
      </w:pPr>
      <w:bookmarkStart w:id="80" w:name="_Toc15367"/>
      <w:bookmarkStart w:id="81" w:name="_Toc22967"/>
      <w:bookmarkStart w:id="82" w:name="_Toc28855"/>
      <w:bookmarkStart w:id="83" w:name="_Toc20421"/>
      <w:bookmarkStart w:id="84" w:name="_Toc19273"/>
      <w:r>
        <w:rPr>
          <w:rFonts w:ascii="宋体" w:hAnsi="宋体" w:eastAsia="宋体"/>
          <w:b/>
          <w:sz w:val="24"/>
        </w:rPr>
        <w:t xml:space="preserve">1.1 </w:t>
      </w:r>
      <w:r>
        <w:rPr>
          <w:rFonts w:hint="eastAsia" w:ascii="宋体" w:hAnsi="宋体" w:eastAsia="宋体"/>
          <w:b/>
          <w:sz w:val="24"/>
        </w:rPr>
        <w:t>合同组成部分</w:t>
      </w:r>
      <w:bookmarkEnd w:id="80"/>
      <w:bookmarkEnd w:id="81"/>
      <w:bookmarkEnd w:id="82"/>
      <w:bookmarkEnd w:id="83"/>
      <w:bookmarkEnd w:id="84"/>
    </w:p>
    <w:p w14:paraId="0657008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eastAsia="宋体"/>
          <w:sz w:val="24"/>
        </w:rPr>
      </w:pPr>
      <w:r>
        <w:rPr>
          <w:rFonts w:hint="eastAsia" w:ascii="宋体" w:hAnsi="宋体" w:eastAsia="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CC6FAC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eastAsia="宋体"/>
          <w:sz w:val="24"/>
        </w:rPr>
      </w:pPr>
      <w:r>
        <w:rPr>
          <w:rFonts w:ascii="宋体" w:hAnsi="宋体" w:eastAsia="宋体"/>
          <w:sz w:val="24"/>
        </w:rPr>
        <w:t xml:space="preserve">1.1.1 </w:t>
      </w:r>
      <w:r>
        <w:rPr>
          <w:rFonts w:hint="eastAsia" w:ascii="宋体" w:hAnsi="宋体" w:eastAsia="宋体"/>
          <w:sz w:val="24"/>
        </w:rPr>
        <w:t>本合同及其补充合同、变更协议；</w:t>
      </w:r>
    </w:p>
    <w:p w14:paraId="02017BB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eastAsia="宋体"/>
          <w:sz w:val="24"/>
        </w:rPr>
      </w:pPr>
      <w:r>
        <w:rPr>
          <w:rFonts w:ascii="宋体" w:hAnsi="宋体" w:eastAsia="宋体"/>
          <w:sz w:val="24"/>
        </w:rPr>
        <w:t xml:space="preserve">1.1.2 </w:t>
      </w:r>
      <w:r>
        <w:rPr>
          <w:rFonts w:hint="eastAsia" w:ascii="宋体" w:hAnsi="宋体" w:eastAsia="宋体"/>
          <w:sz w:val="24"/>
        </w:rPr>
        <w:t>中标通知书；</w:t>
      </w:r>
    </w:p>
    <w:p w14:paraId="09356CC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eastAsia="宋体"/>
          <w:sz w:val="24"/>
        </w:rPr>
      </w:pPr>
      <w:r>
        <w:rPr>
          <w:rFonts w:ascii="宋体" w:hAnsi="宋体" w:eastAsia="宋体"/>
          <w:sz w:val="24"/>
        </w:rPr>
        <w:t xml:space="preserve">1.1.3 </w:t>
      </w:r>
      <w:r>
        <w:rPr>
          <w:rFonts w:hint="eastAsia" w:ascii="宋体" w:hAnsi="宋体" w:eastAsia="宋体"/>
          <w:sz w:val="24"/>
        </w:rPr>
        <w:t>投标文件（含澄清或者说明文件）；</w:t>
      </w:r>
    </w:p>
    <w:p w14:paraId="19C6E8B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eastAsia="宋体"/>
          <w:sz w:val="24"/>
        </w:rPr>
      </w:pPr>
      <w:r>
        <w:rPr>
          <w:rFonts w:ascii="宋体" w:hAnsi="宋体" w:eastAsia="宋体"/>
          <w:sz w:val="24"/>
        </w:rPr>
        <w:t xml:space="preserve">1.1.4 </w:t>
      </w:r>
      <w:r>
        <w:rPr>
          <w:rFonts w:hint="eastAsia" w:ascii="宋体" w:hAnsi="宋体" w:eastAsia="宋体"/>
          <w:sz w:val="24"/>
        </w:rPr>
        <w:t>招标文件（含澄清或者修改文件）；</w:t>
      </w:r>
    </w:p>
    <w:p w14:paraId="322682D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eastAsia="宋体"/>
          <w:sz w:val="24"/>
        </w:rPr>
      </w:pPr>
      <w:r>
        <w:rPr>
          <w:rFonts w:ascii="宋体" w:hAnsi="宋体" w:eastAsia="宋体"/>
          <w:sz w:val="24"/>
        </w:rPr>
        <w:t xml:space="preserve">1.1.5 </w:t>
      </w:r>
      <w:r>
        <w:rPr>
          <w:rFonts w:hint="eastAsia" w:ascii="宋体" w:hAnsi="宋体" w:eastAsia="宋体"/>
          <w:sz w:val="24"/>
        </w:rPr>
        <w:t>其他相关采购文件。</w:t>
      </w:r>
    </w:p>
    <w:p w14:paraId="2161B3D8">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ascii="宋体" w:hAnsi="宋体"/>
          <w:b/>
          <w:sz w:val="24"/>
          <w:highlight w:val="none"/>
        </w:rPr>
      </w:pPr>
      <w:r>
        <w:rPr>
          <w:rFonts w:hint="eastAsia" w:ascii="宋体" w:hAnsi="宋体"/>
          <w:b/>
          <w:sz w:val="24"/>
          <w:highlight w:val="none"/>
          <w:lang w:val="en-US" w:eastAsia="zh-CN"/>
        </w:rPr>
        <w:t>2.</w:t>
      </w:r>
      <w:r>
        <w:rPr>
          <w:rFonts w:ascii="宋体" w:hAnsi="宋体"/>
          <w:b/>
          <w:sz w:val="24"/>
          <w:highlight w:val="none"/>
        </w:rPr>
        <w:t>定义</w:t>
      </w:r>
    </w:p>
    <w:p w14:paraId="5ADE13B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highlight w:val="none"/>
        </w:rPr>
      </w:pPr>
      <w:r>
        <w:rPr>
          <w:rFonts w:ascii="宋体" w:hAnsi="宋体"/>
          <w:sz w:val="24"/>
          <w:highlight w:val="none"/>
        </w:rPr>
        <w:t>本合同中的下列</w:t>
      </w:r>
      <w:r>
        <w:rPr>
          <w:rFonts w:hint="eastAsia" w:ascii="宋体" w:hAnsi="宋体"/>
          <w:sz w:val="24"/>
          <w:highlight w:val="none"/>
        </w:rPr>
        <w:t>词</w:t>
      </w:r>
      <w:r>
        <w:rPr>
          <w:rFonts w:ascii="宋体" w:hAnsi="宋体"/>
          <w:sz w:val="24"/>
          <w:highlight w:val="none"/>
        </w:rPr>
        <w:t>语应</w:t>
      </w:r>
      <w:r>
        <w:rPr>
          <w:rFonts w:hint="eastAsia" w:ascii="宋体" w:hAnsi="宋体"/>
          <w:sz w:val="24"/>
          <w:highlight w:val="none"/>
        </w:rPr>
        <w:t>按以下内容进行</w:t>
      </w:r>
      <w:r>
        <w:rPr>
          <w:rFonts w:ascii="宋体" w:hAnsi="宋体"/>
          <w:sz w:val="24"/>
          <w:highlight w:val="none"/>
        </w:rPr>
        <w:t>解释：</w:t>
      </w:r>
    </w:p>
    <w:p w14:paraId="0776679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2.1</w:t>
      </w:r>
      <w:r>
        <w:rPr>
          <w:rFonts w:ascii="宋体" w:hAnsi="宋体"/>
          <w:sz w:val="24"/>
          <w:highlight w:val="none"/>
        </w:rPr>
        <w:t>“合同”系指采购人和中标供应商签订的载明双方当事人所达成的协议，并包括所有的附件、附录和构成合同的其他文件。</w:t>
      </w:r>
    </w:p>
    <w:p w14:paraId="51BA276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2</w:t>
      </w:r>
      <w:r>
        <w:rPr>
          <w:rFonts w:ascii="宋体" w:hAnsi="宋体"/>
          <w:sz w:val="24"/>
          <w:highlight w:val="none"/>
        </w:rPr>
        <w:t>.2 “合同价”系指根据合同约定，中标供应商在完全履行合同义务后</w:t>
      </w:r>
      <w:r>
        <w:rPr>
          <w:rFonts w:hint="eastAsia" w:ascii="宋体" w:hAnsi="宋体"/>
          <w:sz w:val="24"/>
          <w:highlight w:val="none"/>
        </w:rPr>
        <w:t>，</w:t>
      </w:r>
      <w:r>
        <w:rPr>
          <w:rFonts w:ascii="宋体" w:hAnsi="宋体"/>
          <w:sz w:val="24"/>
          <w:highlight w:val="none"/>
        </w:rPr>
        <w:t>采购人应支付给中标供应商的价格。</w:t>
      </w:r>
    </w:p>
    <w:p w14:paraId="26AB56A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2.3</w:t>
      </w:r>
      <w:r>
        <w:rPr>
          <w:rFonts w:ascii="宋体" w:hAnsi="宋体"/>
          <w:sz w:val="24"/>
          <w:highlight w:val="none"/>
        </w:rPr>
        <w:t xml:space="preserve"> “</w:t>
      </w:r>
      <w:r>
        <w:rPr>
          <w:rFonts w:hint="eastAsia" w:ascii="宋体" w:hAnsi="宋体"/>
          <w:sz w:val="24"/>
          <w:highlight w:val="none"/>
        </w:rPr>
        <w:t>服务</w:t>
      </w:r>
      <w:r>
        <w:rPr>
          <w:rFonts w:ascii="宋体" w:hAnsi="宋体"/>
          <w:sz w:val="24"/>
          <w:highlight w:val="none"/>
        </w:rPr>
        <w:t>”系指</w:t>
      </w:r>
      <w:r>
        <w:rPr>
          <w:rFonts w:hint="eastAsia" w:ascii="宋体" w:hAnsi="宋体"/>
          <w:sz w:val="24"/>
          <w:highlight w:val="none"/>
        </w:rPr>
        <w:t>中标供应商</w:t>
      </w:r>
      <w:r>
        <w:rPr>
          <w:rFonts w:ascii="宋体" w:hAnsi="宋体"/>
          <w:sz w:val="24"/>
          <w:highlight w:val="none"/>
        </w:rPr>
        <w:t>根据合同约定应向采购人</w:t>
      </w:r>
      <w:r>
        <w:rPr>
          <w:rFonts w:hint="eastAsia" w:ascii="宋体" w:hAnsi="宋体"/>
          <w:sz w:val="24"/>
          <w:highlight w:val="none"/>
        </w:rPr>
        <w:t>履行</w:t>
      </w:r>
      <w:r>
        <w:rPr>
          <w:rFonts w:ascii="宋体" w:hAnsi="宋体"/>
          <w:sz w:val="24"/>
          <w:highlight w:val="none"/>
        </w:rPr>
        <w:t>的</w:t>
      </w:r>
      <w:r>
        <w:rPr>
          <w:rFonts w:hint="eastAsia" w:ascii="宋体" w:hAnsi="宋体"/>
          <w:sz w:val="24"/>
          <w:highlight w:val="none"/>
        </w:rPr>
        <w:t>除货物和工程以外的其他政府采购对象，包括采购人自身需要的服务和向社会公众提供的公共服务。</w:t>
      </w:r>
    </w:p>
    <w:p w14:paraId="2E7BDB5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2.</w:t>
      </w:r>
      <w:r>
        <w:rPr>
          <w:rFonts w:ascii="宋体" w:hAnsi="宋体"/>
          <w:sz w:val="24"/>
          <w:highlight w:val="none"/>
        </w:rPr>
        <w:t>4 “</w:t>
      </w:r>
      <w:r>
        <w:rPr>
          <w:rFonts w:hint="eastAsia" w:ascii="宋体" w:hAnsi="宋体"/>
          <w:sz w:val="24"/>
          <w:highlight w:val="none"/>
        </w:rPr>
        <w:t>甲方</w:t>
      </w:r>
      <w:r>
        <w:rPr>
          <w:rFonts w:ascii="宋体" w:hAnsi="宋体"/>
          <w:sz w:val="24"/>
          <w:highlight w:val="none"/>
        </w:rPr>
        <w:t>”系指与</w:t>
      </w:r>
      <w:r>
        <w:rPr>
          <w:rFonts w:hint="eastAsia" w:ascii="宋体" w:hAnsi="宋体"/>
          <w:sz w:val="24"/>
          <w:highlight w:val="none"/>
        </w:rPr>
        <w:t>中标供应商</w:t>
      </w:r>
      <w:r>
        <w:rPr>
          <w:rFonts w:ascii="宋体" w:hAnsi="宋体"/>
          <w:sz w:val="24"/>
          <w:highlight w:val="none"/>
        </w:rPr>
        <w:t>签署合同的采购人</w:t>
      </w:r>
      <w:r>
        <w:rPr>
          <w:rFonts w:hint="eastAsia" w:ascii="宋体" w:hAnsi="宋体"/>
          <w:sz w:val="24"/>
          <w:highlight w:val="none"/>
        </w:rPr>
        <w:t>；采购人委托采购代理机构代表其与乙方签订合同的，采购人的授权委托书作为合同附件。</w:t>
      </w:r>
    </w:p>
    <w:p w14:paraId="5198A7C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2</w:t>
      </w:r>
      <w:r>
        <w:rPr>
          <w:rFonts w:ascii="宋体" w:hAnsi="宋体"/>
          <w:sz w:val="24"/>
          <w:highlight w:val="none"/>
        </w:rPr>
        <w:t>.5 “乙方”系指根据合同约定提供服务的中标供应商</w:t>
      </w:r>
      <w:r>
        <w:rPr>
          <w:rFonts w:hint="eastAsia" w:ascii="宋体" w:hAnsi="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E7E170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highlight w:val="none"/>
        </w:rPr>
      </w:pPr>
      <w:r>
        <w:rPr>
          <w:rFonts w:hint="eastAsia" w:ascii="宋体" w:hAnsi="宋体"/>
          <w:sz w:val="24"/>
          <w:highlight w:val="none"/>
          <w:lang w:val="en-US" w:eastAsia="zh-CN"/>
        </w:rPr>
        <w:t>2</w:t>
      </w:r>
      <w:r>
        <w:rPr>
          <w:rFonts w:ascii="宋体" w:hAnsi="宋体"/>
          <w:sz w:val="24"/>
          <w:highlight w:val="none"/>
        </w:rPr>
        <w:t>.6 “现场”系指合同约定提供服务的地点。</w:t>
      </w:r>
    </w:p>
    <w:p w14:paraId="20B59AE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ascii="宋体" w:hAnsi="宋体"/>
          <w:b/>
          <w:sz w:val="24"/>
        </w:rPr>
      </w:pPr>
      <w:bookmarkStart w:id="85" w:name="_Toc2918"/>
      <w:bookmarkStart w:id="86" w:name="_Toc6311"/>
      <w:bookmarkStart w:id="87" w:name="_Toc18585"/>
      <w:bookmarkStart w:id="88" w:name="_Toc22185"/>
      <w:bookmarkStart w:id="89" w:name="_Toc6773"/>
      <w:r>
        <w:rPr>
          <w:rFonts w:hint="eastAsia" w:ascii="宋体" w:hAnsi="宋体"/>
          <w:b/>
          <w:sz w:val="24"/>
          <w:lang w:val="en-US" w:eastAsia="zh-CN"/>
        </w:rPr>
        <w:t>3.</w:t>
      </w:r>
      <w:r>
        <w:rPr>
          <w:rFonts w:hint="eastAsia" w:ascii="宋体" w:hAnsi="宋体"/>
          <w:b/>
          <w:sz w:val="24"/>
        </w:rPr>
        <w:t>标的</w:t>
      </w:r>
      <w:bookmarkEnd w:id="85"/>
      <w:bookmarkEnd w:id="86"/>
      <w:bookmarkEnd w:id="87"/>
      <w:bookmarkEnd w:id="88"/>
      <w:bookmarkEnd w:id="89"/>
    </w:p>
    <w:p w14:paraId="40487D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lang w:val="en-US" w:eastAsia="zh-CN"/>
        </w:rPr>
        <w:t>3</w:t>
      </w:r>
      <w:r>
        <w:rPr>
          <w:rFonts w:ascii="宋体" w:hAnsi="宋体"/>
          <w:sz w:val="24"/>
        </w:rPr>
        <w:t xml:space="preserve">.1 </w:t>
      </w:r>
      <w:r>
        <w:rPr>
          <w:rFonts w:hint="eastAsia" w:ascii="宋体" w:hAnsi="宋体"/>
          <w:sz w:val="24"/>
        </w:rPr>
        <w:t>标的</w:t>
      </w:r>
      <w:r>
        <w:rPr>
          <w:rFonts w:ascii="宋体" w:hAnsi="宋体"/>
          <w:sz w:val="24"/>
        </w:rPr>
        <w:t>名称：</w:t>
      </w:r>
      <w:r>
        <w:rPr>
          <w:rFonts w:hint="eastAsia" w:ascii="宋体" w:hAnsi="宋体"/>
          <w:sz w:val="24"/>
          <w:u w:val="single"/>
          <w:lang w:val="en-US" w:eastAsia="zh-CN"/>
        </w:rPr>
        <w:t xml:space="preserve">                          </w:t>
      </w:r>
      <w:r>
        <w:rPr>
          <w:rFonts w:hint="eastAsia" w:ascii="宋体" w:hAnsi="宋体"/>
          <w:sz w:val="24"/>
        </w:rPr>
        <w:t>；</w:t>
      </w:r>
    </w:p>
    <w:p w14:paraId="20128C3B">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0" w:firstLineChars="200"/>
        <w:textAlignment w:val="auto"/>
        <w:rPr>
          <w:rFonts w:hint="eastAsia" w:ascii="宋体" w:hAnsi="宋体"/>
          <w:sz w:val="24"/>
          <w:lang w:val="en-US" w:eastAsia="zh-CN"/>
        </w:rPr>
      </w:pPr>
      <w:r>
        <w:rPr>
          <w:rFonts w:hint="eastAsia" w:ascii="宋体" w:hAnsi="宋体"/>
          <w:sz w:val="24"/>
          <w:lang w:val="en-US" w:eastAsia="zh-CN"/>
        </w:rPr>
        <w:t>3</w:t>
      </w:r>
      <w:r>
        <w:rPr>
          <w:rFonts w:ascii="宋体" w:hAnsi="宋体"/>
          <w:sz w:val="24"/>
        </w:rPr>
        <w:t>.</w:t>
      </w:r>
      <w:r>
        <w:rPr>
          <w:rFonts w:hint="eastAsia" w:ascii="宋体" w:hAnsi="宋体"/>
          <w:sz w:val="24"/>
          <w:lang w:val="en-US" w:eastAsia="zh-CN"/>
        </w:rPr>
        <w:t>2</w:t>
      </w:r>
      <w:r>
        <w:rPr>
          <w:rFonts w:ascii="宋体" w:hAnsi="宋体"/>
          <w:sz w:val="24"/>
        </w:rPr>
        <w:t xml:space="preserve"> </w:t>
      </w:r>
      <w:r>
        <w:rPr>
          <w:rFonts w:hint="eastAsia" w:ascii="宋体" w:hAnsi="宋体"/>
          <w:sz w:val="24"/>
          <w:lang w:val="en-US" w:eastAsia="zh-CN"/>
        </w:rPr>
        <w:t>标的内容及提交成果要求：</w:t>
      </w:r>
    </w:p>
    <w:p w14:paraId="62911842">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0" w:firstLineChars="200"/>
        <w:textAlignment w:val="auto"/>
        <w:rPr>
          <w:rFonts w:hint="eastAsia"/>
          <w:lang w:val="en-US" w:eastAsia="zh-CN"/>
        </w:rPr>
      </w:pPr>
      <w:r>
        <w:rPr>
          <w:rFonts w:hint="eastAsia" w:ascii="宋体" w:hAnsi="宋体"/>
          <w:sz w:val="24"/>
          <w:lang w:val="en-US" w:eastAsia="zh-CN"/>
        </w:rPr>
        <w:t>（按第四部分 采购需求相关规定）</w:t>
      </w:r>
    </w:p>
    <w:p w14:paraId="080338C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ascii="宋体" w:hAnsi="宋体"/>
          <w:b/>
          <w:sz w:val="24"/>
        </w:rPr>
      </w:pPr>
      <w:bookmarkStart w:id="90" w:name="_Toc21124"/>
      <w:bookmarkStart w:id="91" w:name="_Toc5635"/>
      <w:bookmarkStart w:id="92" w:name="_Toc1386"/>
      <w:bookmarkStart w:id="93" w:name="_Toc4929"/>
      <w:bookmarkStart w:id="94" w:name="_Toc13918"/>
      <w:r>
        <w:rPr>
          <w:rFonts w:hint="eastAsia" w:ascii="宋体" w:hAnsi="宋体"/>
          <w:b/>
          <w:sz w:val="24"/>
          <w:lang w:val="en-US" w:eastAsia="zh-CN"/>
        </w:rPr>
        <w:t>4.</w:t>
      </w:r>
      <w:r>
        <w:rPr>
          <w:rFonts w:ascii="宋体" w:hAnsi="宋体"/>
          <w:b/>
          <w:sz w:val="24"/>
        </w:rPr>
        <w:t>价款</w:t>
      </w:r>
      <w:bookmarkEnd w:id="90"/>
      <w:bookmarkEnd w:id="91"/>
      <w:bookmarkEnd w:id="92"/>
      <w:bookmarkEnd w:id="93"/>
      <w:bookmarkEnd w:id="94"/>
    </w:p>
    <w:p w14:paraId="7AD002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ascii="宋体" w:hAnsi="宋体"/>
          <w:sz w:val="24"/>
        </w:rPr>
        <w:t>本合同总价为</w:t>
      </w:r>
      <w:r>
        <w:rPr>
          <w:rFonts w:hint="eastAsia" w:ascii="宋体" w:hAnsi="宋体"/>
          <w:sz w:val="24"/>
        </w:rPr>
        <w:t>：￥</w:t>
      </w:r>
      <w:r>
        <w:rPr>
          <w:rFonts w:hint="eastAsia" w:ascii="宋体" w:hAnsi="宋体"/>
          <w:sz w:val="24"/>
          <w:u w:val="single"/>
          <w:lang w:val="en-US" w:eastAsia="zh-CN"/>
        </w:rPr>
        <w:t xml:space="preserve">        </w:t>
      </w:r>
      <w:r>
        <w:rPr>
          <w:rFonts w:ascii="宋体" w:hAnsi="宋体"/>
          <w:sz w:val="24"/>
        </w:rPr>
        <w:t>元</w:t>
      </w:r>
      <w:r>
        <w:rPr>
          <w:rFonts w:hint="eastAsia" w:ascii="宋体" w:hAnsi="宋体"/>
          <w:sz w:val="24"/>
        </w:rPr>
        <w:t>（大写：</w:t>
      </w:r>
      <w:r>
        <w:rPr>
          <w:rFonts w:hint="eastAsia" w:ascii="宋体" w:hAnsi="宋体"/>
          <w:sz w:val="24"/>
          <w:u w:val="single"/>
          <w:lang w:val="en-US" w:eastAsia="zh-CN"/>
        </w:rPr>
        <w:t xml:space="preserve">       </w:t>
      </w:r>
      <w:r>
        <w:rPr>
          <w:rFonts w:hint="eastAsia" w:ascii="宋体" w:hAnsi="宋体"/>
          <w:sz w:val="24"/>
        </w:rPr>
        <w:t>元人民币）</w:t>
      </w:r>
      <w:r>
        <w:rPr>
          <w:rFonts w:ascii="宋体" w:hAnsi="宋体"/>
          <w:sz w:val="24"/>
        </w:rPr>
        <w:t>。</w:t>
      </w:r>
      <w:r>
        <w:rPr>
          <w:rFonts w:hint="eastAsia" w:ascii="宋体" w:hAnsi="宋体"/>
          <w:sz w:val="24"/>
          <w:lang w:val="en-US" w:eastAsia="zh-CN"/>
        </w:rPr>
        <w:t>本合同总价包含</w:t>
      </w:r>
      <w:r>
        <w:rPr>
          <w:rFonts w:hint="eastAsia" w:ascii="宋体" w:hAnsi="宋体"/>
          <w:sz w:val="24"/>
        </w:rPr>
        <w:t>有关本项目实施所需的所有费用（含项目招标代理费、税费、</w:t>
      </w:r>
      <w:r>
        <w:rPr>
          <w:rFonts w:hint="eastAsia" w:ascii="宋体" w:hAnsi="宋体"/>
          <w:sz w:val="24"/>
          <w:lang w:val="en-US" w:eastAsia="zh-CN"/>
        </w:rPr>
        <w:t>专家</w:t>
      </w:r>
      <w:r>
        <w:rPr>
          <w:rFonts w:hint="eastAsia" w:ascii="宋体" w:hAnsi="宋体"/>
          <w:sz w:val="24"/>
        </w:rPr>
        <w:t>评审费、资料收集费</w:t>
      </w:r>
      <w:r>
        <w:rPr>
          <w:rFonts w:hint="eastAsia" w:ascii="宋体" w:hAnsi="宋体"/>
          <w:sz w:val="24"/>
          <w:lang w:eastAsia="zh-CN"/>
        </w:rPr>
        <w:t>、</w:t>
      </w:r>
      <w:r>
        <w:rPr>
          <w:rFonts w:hint="eastAsia" w:ascii="宋体" w:hAnsi="宋体"/>
          <w:sz w:val="24"/>
          <w:lang w:val="en-US" w:eastAsia="zh-CN"/>
        </w:rPr>
        <w:t>外业调查费、内业处理费、成果装订费、成果修正费</w:t>
      </w:r>
      <w:r>
        <w:rPr>
          <w:rFonts w:hint="eastAsia" w:ascii="宋体" w:hAnsi="宋体"/>
          <w:sz w:val="24"/>
        </w:rPr>
        <w:t>及其它所有费用）。</w:t>
      </w:r>
    </w:p>
    <w:p w14:paraId="1C8260E2">
      <w:pPr>
        <w:keepNext w:val="0"/>
        <w:keepLines w:val="0"/>
        <w:pageBreakBefore w:val="0"/>
        <w:widowControl w:val="0"/>
        <w:kinsoku/>
        <w:wordWrap/>
        <w:overflowPunct/>
        <w:topLinePunct w:val="0"/>
        <w:autoSpaceDE/>
        <w:autoSpaceDN/>
        <w:bidi w:val="0"/>
        <w:spacing w:line="360" w:lineRule="auto"/>
        <w:ind w:firstLine="480" w:firstLineChars="200"/>
        <w:textAlignment w:val="auto"/>
      </w:pPr>
      <w:r>
        <w:rPr>
          <w:rFonts w:ascii="宋体" w:hAnsi="宋体"/>
          <w:sz w:val="24"/>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91B8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474AD9E">
            <w:pPr>
              <w:pStyle w:val="623"/>
              <w:spacing w:line="560" w:lineRule="exact"/>
              <w:jc w:val="center"/>
              <w:rPr>
                <w:rFonts w:hAnsi="宋体"/>
                <w:sz w:val="24"/>
                <w:szCs w:val="24"/>
              </w:rPr>
            </w:pPr>
            <w:r>
              <w:rPr>
                <w:rFonts w:hAnsi="宋体"/>
                <w:sz w:val="24"/>
                <w:szCs w:val="24"/>
              </w:rPr>
              <w:t>序号</w:t>
            </w:r>
          </w:p>
        </w:tc>
        <w:tc>
          <w:tcPr>
            <w:tcW w:w="3402" w:type="dxa"/>
            <w:noWrap w:val="0"/>
            <w:vAlign w:val="center"/>
          </w:tcPr>
          <w:p w14:paraId="4BE68B74">
            <w:pPr>
              <w:pStyle w:val="623"/>
              <w:spacing w:line="560" w:lineRule="exact"/>
              <w:jc w:val="center"/>
              <w:rPr>
                <w:rFonts w:hAnsi="宋体"/>
                <w:sz w:val="24"/>
                <w:szCs w:val="24"/>
              </w:rPr>
            </w:pPr>
            <w:r>
              <w:rPr>
                <w:rFonts w:hint="eastAsia" w:hAnsi="宋体"/>
                <w:sz w:val="24"/>
                <w:szCs w:val="24"/>
              </w:rPr>
              <w:t>分项名称</w:t>
            </w:r>
          </w:p>
        </w:tc>
        <w:tc>
          <w:tcPr>
            <w:tcW w:w="2552" w:type="dxa"/>
            <w:noWrap w:val="0"/>
            <w:vAlign w:val="center"/>
          </w:tcPr>
          <w:p w14:paraId="1F7B18A0">
            <w:pPr>
              <w:pStyle w:val="623"/>
              <w:spacing w:line="560" w:lineRule="exact"/>
              <w:jc w:val="center"/>
              <w:rPr>
                <w:rFonts w:hAnsi="宋体"/>
                <w:sz w:val="24"/>
                <w:szCs w:val="24"/>
              </w:rPr>
            </w:pPr>
            <w:r>
              <w:rPr>
                <w:rFonts w:hAnsi="宋体"/>
                <w:sz w:val="24"/>
                <w:szCs w:val="24"/>
              </w:rPr>
              <w:t>分项价格</w:t>
            </w:r>
          </w:p>
        </w:tc>
      </w:tr>
      <w:tr w14:paraId="27C7A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AB61220">
            <w:pPr>
              <w:pStyle w:val="623"/>
              <w:spacing w:line="560" w:lineRule="exact"/>
              <w:jc w:val="center"/>
              <w:rPr>
                <w:rFonts w:hint="eastAsia" w:hAnsi="宋体"/>
                <w:sz w:val="24"/>
                <w:szCs w:val="24"/>
              </w:rPr>
            </w:pPr>
            <w:r>
              <w:rPr>
                <w:rFonts w:hint="eastAsia" w:hAnsi="宋体"/>
                <w:sz w:val="24"/>
                <w:szCs w:val="24"/>
              </w:rPr>
              <w:t>1</w:t>
            </w:r>
          </w:p>
        </w:tc>
        <w:tc>
          <w:tcPr>
            <w:tcW w:w="3402" w:type="dxa"/>
            <w:noWrap w:val="0"/>
            <w:vAlign w:val="center"/>
          </w:tcPr>
          <w:p w14:paraId="7B8B0A48">
            <w:pPr>
              <w:pStyle w:val="62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hAnsi="宋体" w:eastAsia="宋体"/>
                <w:sz w:val="24"/>
                <w:szCs w:val="24"/>
                <w:lang w:eastAsia="zh-CN"/>
              </w:rPr>
            </w:pPr>
          </w:p>
        </w:tc>
        <w:tc>
          <w:tcPr>
            <w:tcW w:w="2552" w:type="dxa"/>
            <w:noWrap w:val="0"/>
            <w:vAlign w:val="center"/>
          </w:tcPr>
          <w:p w14:paraId="1C0622BE">
            <w:pPr>
              <w:pStyle w:val="623"/>
              <w:spacing w:line="560" w:lineRule="exact"/>
              <w:jc w:val="center"/>
              <w:rPr>
                <w:rFonts w:hint="default" w:hAnsi="宋体" w:eastAsia="宋体"/>
                <w:sz w:val="24"/>
                <w:szCs w:val="24"/>
                <w:lang w:val="en-US" w:eastAsia="zh-CN"/>
              </w:rPr>
            </w:pPr>
            <w:r>
              <w:rPr>
                <w:rFonts w:hint="eastAsia" w:hAnsi="宋体"/>
                <w:sz w:val="24"/>
                <w:szCs w:val="24"/>
                <w:lang w:val="en-US" w:eastAsia="zh-CN"/>
              </w:rPr>
              <w:t>元</w:t>
            </w:r>
          </w:p>
        </w:tc>
      </w:tr>
      <w:tr w14:paraId="59615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603" w:type="dxa"/>
            <w:gridSpan w:val="2"/>
            <w:noWrap w:val="0"/>
            <w:vAlign w:val="center"/>
          </w:tcPr>
          <w:p w14:paraId="7A6D8E22">
            <w:pPr>
              <w:pStyle w:val="623"/>
              <w:spacing w:line="560" w:lineRule="exact"/>
              <w:jc w:val="center"/>
              <w:rPr>
                <w:rFonts w:hAnsi="宋体"/>
                <w:sz w:val="24"/>
                <w:szCs w:val="24"/>
              </w:rPr>
            </w:pPr>
            <w:r>
              <w:rPr>
                <w:rFonts w:hint="eastAsia" w:hAnsi="宋体"/>
                <w:sz w:val="24"/>
                <w:szCs w:val="24"/>
              </w:rPr>
              <w:t>总价</w:t>
            </w:r>
          </w:p>
        </w:tc>
        <w:tc>
          <w:tcPr>
            <w:tcW w:w="2552" w:type="dxa"/>
            <w:noWrap w:val="0"/>
            <w:vAlign w:val="center"/>
          </w:tcPr>
          <w:p w14:paraId="232F4D47">
            <w:pPr>
              <w:pStyle w:val="623"/>
              <w:spacing w:line="560" w:lineRule="exact"/>
              <w:jc w:val="center"/>
              <w:rPr>
                <w:rFonts w:hint="default" w:hAnsi="宋体" w:eastAsia="宋体"/>
                <w:sz w:val="24"/>
                <w:szCs w:val="24"/>
                <w:lang w:val="en-US" w:eastAsia="zh-CN"/>
              </w:rPr>
            </w:pPr>
            <w:r>
              <w:rPr>
                <w:rFonts w:hint="eastAsia" w:hAnsi="宋体"/>
                <w:sz w:val="24"/>
                <w:szCs w:val="24"/>
                <w:lang w:val="en-US" w:eastAsia="zh-CN"/>
              </w:rPr>
              <w:t>元</w:t>
            </w:r>
          </w:p>
        </w:tc>
      </w:tr>
    </w:tbl>
    <w:p w14:paraId="50651709">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bookmarkStart w:id="95" w:name="_Toc3654"/>
      <w:bookmarkStart w:id="96" w:name="_Toc30506"/>
      <w:bookmarkStart w:id="97" w:name="_Toc30158"/>
      <w:bookmarkStart w:id="98" w:name="_Toc14993"/>
      <w:bookmarkStart w:id="99" w:name="_Toc26916"/>
      <w:r>
        <w:rPr>
          <w:rFonts w:hint="eastAsia" w:ascii="宋体" w:hAnsi="宋体" w:eastAsia="宋体" w:cs="Times New Roman"/>
          <w:b/>
          <w:sz w:val="24"/>
          <w:lang w:val="en-US" w:eastAsia="zh-CN"/>
        </w:rPr>
        <w:t>5.付款方式和发票开</w:t>
      </w:r>
      <w:r>
        <w:rPr>
          <w:rFonts w:ascii="宋体" w:hAnsi="宋体"/>
          <w:b/>
          <w:sz w:val="24"/>
        </w:rPr>
        <w:t>具方式</w:t>
      </w:r>
      <w:bookmarkEnd w:id="95"/>
      <w:bookmarkEnd w:id="96"/>
      <w:bookmarkEnd w:id="97"/>
      <w:bookmarkEnd w:id="98"/>
      <w:bookmarkEnd w:id="99"/>
    </w:p>
    <w:p w14:paraId="370624B6">
      <w:pPr>
        <w:pStyle w:val="631"/>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cs="Times New Roman"/>
        </w:rPr>
      </w:pPr>
      <w:r>
        <w:rPr>
          <w:rFonts w:hint="eastAsia" w:cs="Times New Roman"/>
          <w:lang w:val="en-US" w:eastAsia="zh-CN"/>
        </w:rPr>
        <w:t>5</w:t>
      </w:r>
      <w:r>
        <w:rPr>
          <w:rFonts w:cs="Times New Roman"/>
        </w:rPr>
        <w:t>.1</w:t>
      </w:r>
      <w:r>
        <w:rPr>
          <w:rFonts w:hint="eastAsia" w:cs="Times New Roman"/>
        </w:rPr>
        <w:t>甲方应严格履行合同，及时组织验收，验收合格后及时将合同款支付完毕。对于满足合同约定支付条件的，甲方自收到发票后</w:t>
      </w:r>
      <w:r>
        <w:rPr>
          <w:rFonts w:cs="Times New Roman"/>
        </w:rPr>
        <w:t>5个工作日内将资金支付到合同约定的乙方账户，有条件的甲方可以即时支付。甲方不得以机构变动、人员更替、政策调整、单位放假等为由延迟付款。</w:t>
      </w:r>
    </w:p>
    <w:p w14:paraId="2BC7535D">
      <w:pPr>
        <w:keepNext w:val="0"/>
        <w:keepLines w:val="0"/>
        <w:pageBreakBefore w:val="0"/>
        <w:kinsoku/>
        <w:wordWrap/>
        <w:overflowPunct/>
        <w:topLinePunct w:val="0"/>
        <w:autoSpaceDE/>
        <w:autoSpaceDN/>
        <w:bidi w:val="0"/>
        <w:adjustRightInd/>
        <w:spacing w:line="360" w:lineRule="auto"/>
        <w:ind w:firstLine="480" w:firstLineChars="200"/>
        <w:textAlignment w:val="auto"/>
        <w:outlineLvl w:val="0"/>
        <w:rPr>
          <w:rFonts w:hint="eastAsia" w:ascii="宋体" w:hAnsi="宋体" w:eastAsia="宋体" w:cs="Times New Roman"/>
          <w:kern w:val="0"/>
          <w:sz w:val="24"/>
          <w:szCs w:val="22"/>
          <w:lang w:val="en-US" w:eastAsia="zh-CN" w:bidi="ar-SA"/>
        </w:rPr>
      </w:pPr>
      <w:r>
        <w:rPr>
          <w:rFonts w:hint="eastAsia" w:ascii="宋体" w:hAnsi="宋体" w:eastAsia="宋体" w:cs="Times New Roman"/>
          <w:kern w:val="0"/>
          <w:sz w:val="24"/>
          <w:szCs w:val="22"/>
          <w:lang w:val="en-US" w:eastAsia="zh-CN" w:bidi="ar-SA"/>
        </w:rPr>
        <w:t>5.2资金支付的方式、时间和条件：合同签订7日内支付合同金额的60%，提交正式全部成果（经报批通过的）并通过履约服务验收合格后支付剩余款项。</w:t>
      </w:r>
    </w:p>
    <w:p w14:paraId="48EAABD4">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0"/>
        <w:rPr>
          <w:rFonts w:ascii="宋体" w:hAnsi="宋体"/>
          <w:b/>
          <w:sz w:val="24"/>
        </w:rPr>
      </w:pPr>
      <w:bookmarkStart w:id="100" w:name="_Toc4760"/>
      <w:bookmarkStart w:id="101" w:name="_Toc8772"/>
      <w:bookmarkStart w:id="102" w:name="_Toc31421"/>
      <w:bookmarkStart w:id="103" w:name="_Toc11108"/>
      <w:bookmarkStart w:id="104" w:name="_Toc3625"/>
      <w:r>
        <w:rPr>
          <w:rFonts w:hint="eastAsia" w:ascii="宋体" w:hAnsi="宋体"/>
          <w:b/>
          <w:sz w:val="24"/>
          <w:lang w:val="en-US" w:eastAsia="zh-CN"/>
        </w:rPr>
        <w:t>6.</w:t>
      </w:r>
      <w:r>
        <w:rPr>
          <w:rFonts w:ascii="宋体" w:hAnsi="宋体"/>
          <w:b/>
          <w:sz w:val="24"/>
        </w:rPr>
        <w:t>履行期限</w:t>
      </w:r>
      <w:r>
        <w:rPr>
          <w:rFonts w:hint="eastAsia" w:ascii="宋体" w:hAnsi="宋体"/>
          <w:b/>
          <w:sz w:val="24"/>
        </w:rPr>
        <w:t>、地点</w:t>
      </w:r>
      <w:bookmarkEnd w:id="100"/>
      <w:bookmarkEnd w:id="101"/>
      <w:bookmarkEnd w:id="102"/>
      <w:bookmarkEnd w:id="103"/>
      <w:bookmarkEnd w:id="104"/>
    </w:p>
    <w:p w14:paraId="3B77EB53">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sz w:val="24"/>
          <w:u w:val="single"/>
        </w:rPr>
      </w:pPr>
      <w:r>
        <w:rPr>
          <w:rFonts w:hint="eastAsia" w:ascii="宋体" w:hAnsi="宋体"/>
          <w:sz w:val="24"/>
          <w:lang w:val="en-US" w:eastAsia="zh-CN"/>
        </w:rPr>
        <w:t>6</w:t>
      </w:r>
      <w:r>
        <w:rPr>
          <w:rFonts w:ascii="宋体" w:hAnsi="宋体"/>
          <w:sz w:val="24"/>
        </w:rPr>
        <w:t xml:space="preserve">.1 </w:t>
      </w:r>
      <w:r>
        <w:rPr>
          <w:rFonts w:hint="eastAsia" w:ascii="宋体" w:hAnsi="宋体"/>
          <w:sz w:val="24"/>
        </w:rPr>
        <w:t>履行期限</w:t>
      </w:r>
      <w:r>
        <w:rPr>
          <w:rFonts w:ascii="宋体" w:hAnsi="宋体"/>
          <w:sz w:val="24"/>
        </w:rPr>
        <w:t>：</w:t>
      </w:r>
      <w:r>
        <w:rPr>
          <w:rFonts w:hint="eastAsia" w:ascii="宋体" w:hAnsi="宋体" w:eastAsia="宋体" w:cs="宋体"/>
          <w:bCs/>
          <w:color w:val="auto"/>
          <w:sz w:val="24"/>
          <w:u w:val="single"/>
          <w:lang w:eastAsia="zh-CN"/>
        </w:rPr>
        <w:t>在</w:t>
      </w:r>
      <w:r>
        <w:rPr>
          <w:rFonts w:hint="eastAsia" w:ascii="宋体" w:hAnsi="宋体" w:eastAsia="宋体" w:cs="宋体"/>
          <w:bCs/>
          <w:color w:val="auto"/>
          <w:sz w:val="24"/>
          <w:u w:val="single"/>
          <w:lang w:val="en-US" w:eastAsia="zh-CN"/>
        </w:rPr>
        <w:t>2025</w:t>
      </w:r>
      <w:r>
        <w:rPr>
          <w:rFonts w:hint="eastAsia" w:ascii="宋体" w:hAnsi="宋体" w:eastAsia="宋体" w:cs="宋体"/>
          <w:bCs/>
          <w:color w:val="auto"/>
          <w:sz w:val="24"/>
          <w:u w:val="single"/>
          <w:lang w:eastAsia="zh-CN"/>
        </w:rPr>
        <w:t>年</w:t>
      </w:r>
      <w:r>
        <w:rPr>
          <w:rFonts w:hint="eastAsia" w:ascii="宋体" w:hAnsi="宋体" w:eastAsia="宋体" w:cs="宋体"/>
          <w:bCs/>
          <w:color w:val="auto"/>
          <w:sz w:val="24"/>
          <w:u w:val="single"/>
          <w:lang w:val="en-US" w:eastAsia="zh-CN"/>
        </w:rPr>
        <w:t>9</w:t>
      </w:r>
      <w:r>
        <w:rPr>
          <w:rFonts w:hint="eastAsia" w:ascii="宋体" w:hAnsi="宋体" w:eastAsia="宋体" w:cs="宋体"/>
          <w:bCs/>
          <w:color w:val="auto"/>
          <w:sz w:val="24"/>
          <w:u w:val="single"/>
          <w:lang w:eastAsia="zh-CN"/>
        </w:rPr>
        <w:t>月</w:t>
      </w:r>
      <w:r>
        <w:rPr>
          <w:rFonts w:hint="eastAsia" w:ascii="宋体" w:hAnsi="宋体" w:eastAsia="宋体" w:cs="宋体"/>
          <w:bCs/>
          <w:color w:val="auto"/>
          <w:sz w:val="24"/>
          <w:u w:val="single"/>
          <w:lang w:val="en-US" w:eastAsia="zh-CN"/>
        </w:rPr>
        <w:t>30</w:t>
      </w:r>
      <w:r>
        <w:rPr>
          <w:rFonts w:hint="eastAsia" w:ascii="宋体" w:hAnsi="宋体" w:eastAsia="宋体" w:cs="宋体"/>
          <w:bCs/>
          <w:color w:val="auto"/>
          <w:sz w:val="24"/>
          <w:u w:val="single"/>
          <w:lang w:eastAsia="zh-CN"/>
        </w:rPr>
        <w:t>日之前</w:t>
      </w:r>
      <w:r>
        <w:rPr>
          <w:rFonts w:hint="eastAsia" w:ascii="宋体" w:hAnsi="宋体" w:eastAsia="宋体" w:cs="宋体"/>
          <w:bCs/>
          <w:color w:val="auto"/>
          <w:sz w:val="24"/>
          <w:u w:val="single"/>
          <w:lang w:val="en-US" w:eastAsia="zh-CN"/>
        </w:rPr>
        <w:t>完成项目工作并</w:t>
      </w:r>
      <w:r>
        <w:rPr>
          <w:rFonts w:hint="eastAsia" w:ascii="宋体" w:hAnsi="宋体" w:eastAsia="宋体" w:cs="宋体"/>
          <w:bCs/>
          <w:color w:val="auto"/>
          <w:sz w:val="24"/>
          <w:u w:val="single"/>
          <w:lang w:eastAsia="zh-CN"/>
        </w:rPr>
        <w:t>提交项目完整</w:t>
      </w:r>
      <w:r>
        <w:rPr>
          <w:rFonts w:hint="eastAsia" w:ascii="宋体" w:hAnsi="宋体" w:eastAsia="宋体" w:cs="宋体"/>
          <w:bCs/>
          <w:color w:val="auto"/>
          <w:sz w:val="24"/>
          <w:u w:val="single"/>
          <w:lang w:val="en-US" w:eastAsia="zh-CN"/>
        </w:rPr>
        <w:t>资料</w:t>
      </w:r>
      <w:r>
        <w:rPr>
          <w:rFonts w:hint="eastAsia" w:ascii="宋体" w:hAnsi="宋体" w:eastAsia="宋体" w:cs="宋体"/>
          <w:bCs/>
          <w:color w:val="auto"/>
          <w:sz w:val="24"/>
          <w:u w:val="single"/>
          <w:lang w:eastAsia="zh-CN"/>
        </w:rPr>
        <w:t>成果，</w:t>
      </w:r>
      <w:r>
        <w:rPr>
          <w:rFonts w:hint="eastAsia" w:ascii="宋体" w:hAnsi="宋体" w:eastAsia="宋体" w:cs="宋体"/>
          <w:bCs/>
          <w:color w:val="auto"/>
          <w:sz w:val="24"/>
          <w:u w:val="single"/>
          <w:lang w:val="en-US" w:eastAsia="zh-CN"/>
        </w:rPr>
        <w:t>可供委托方最终验收</w:t>
      </w:r>
      <w:r>
        <w:rPr>
          <w:rFonts w:hint="eastAsia" w:ascii="宋体" w:hAnsi="宋体" w:eastAsia="宋体" w:cs="宋体"/>
          <w:bCs/>
          <w:color w:val="auto"/>
          <w:sz w:val="24"/>
          <w:u w:val="single"/>
          <w:lang w:eastAsia="zh-CN"/>
        </w:rPr>
        <w:t>。</w:t>
      </w:r>
    </w:p>
    <w:p w14:paraId="48D3D095">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sz w:val="24"/>
        </w:rPr>
      </w:pPr>
      <w:r>
        <w:rPr>
          <w:rFonts w:hint="eastAsia" w:ascii="宋体" w:hAnsi="宋体"/>
          <w:sz w:val="24"/>
          <w:lang w:val="en-US" w:eastAsia="zh-CN"/>
        </w:rPr>
        <w:t>6</w:t>
      </w:r>
      <w:r>
        <w:rPr>
          <w:rFonts w:ascii="宋体" w:hAnsi="宋体"/>
          <w:sz w:val="24"/>
        </w:rPr>
        <w:t xml:space="preserve">.2 </w:t>
      </w:r>
      <w:r>
        <w:rPr>
          <w:rFonts w:hint="eastAsia" w:ascii="宋体" w:hAnsi="宋体"/>
          <w:sz w:val="24"/>
        </w:rPr>
        <w:t>履行地点</w:t>
      </w:r>
      <w:r>
        <w:rPr>
          <w:rFonts w:ascii="宋体" w:hAnsi="宋体"/>
          <w:sz w:val="24"/>
        </w:rPr>
        <w:t>：</w:t>
      </w:r>
      <w:r>
        <w:rPr>
          <w:rFonts w:hint="eastAsia" w:ascii="宋体" w:hAnsi="宋体" w:eastAsia="宋体" w:cs="Helvetica"/>
          <w:kern w:val="0"/>
          <w:sz w:val="24"/>
          <w:szCs w:val="24"/>
          <w:u w:val="single"/>
        </w:rPr>
        <w:t>桐庐县</w:t>
      </w:r>
      <w:r>
        <w:rPr>
          <w:rFonts w:hint="eastAsia" w:ascii="宋体" w:hAnsi="宋体" w:eastAsia="宋体" w:cs="Helvetica"/>
          <w:kern w:val="0"/>
          <w:sz w:val="24"/>
          <w:szCs w:val="24"/>
        </w:rPr>
        <w:t>；</w:t>
      </w:r>
    </w:p>
    <w:p w14:paraId="7835834A">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7.</w:t>
      </w:r>
      <w:r>
        <w:rPr>
          <w:rFonts w:ascii="宋体" w:hAnsi="宋体"/>
          <w:b/>
          <w:sz w:val="24"/>
        </w:rPr>
        <w:t>技术规范</w:t>
      </w:r>
    </w:p>
    <w:p w14:paraId="12E88EBB">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b/>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4AD9B2DC">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8.</w:t>
      </w:r>
      <w:r>
        <w:rPr>
          <w:rFonts w:ascii="宋体" w:hAnsi="宋体"/>
          <w:b/>
          <w:sz w:val="24"/>
        </w:rPr>
        <w:t>知识产权</w:t>
      </w:r>
    </w:p>
    <w:p w14:paraId="47D90A44">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8</w:t>
      </w:r>
      <w:r>
        <w:rPr>
          <w:rFonts w:ascii="宋体" w:hAnsi="宋体"/>
          <w:sz w:val="24"/>
        </w:rPr>
        <w:t xml:space="preserve">.1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w:t>
      </w:r>
    </w:p>
    <w:p w14:paraId="60F69C96">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8</w:t>
      </w:r>
      <w:r>
        <w:rPr>
          <w:rFonts w:ascii="宋体" w:hAnsi="宋体"/>
          <w:sz w:val="24"/>
        </w:rPr>
        <w:t xml:space="preserve">.2 </w:t>
      </w:r>
      <w:r>
        <w:rPr>
          <w:rFonts w:hint="eastAsia" w:ascii="宋体" w:hAnsi="宋体" w:cs="宋体"/>
          <w:sz w:val="24"/>
        </w:rPr>
        <w:t>合同涉及技术成果的归属和收益归</w:t>
      </w:r>
      <w:r>
        <w:rPr>
          <w:rFonts w:hint="eastAsia" w:ascii="宋体" w:hAnsi="宋体" w:cs="宋体"/>
          <w:sz w:val="24"/>
          <w:lang w:val="en-US" w:eastAsia="zh-CN"/>
        </w:rPr>
        <w:t>甲方</w:t>
      </w:r>
      <w:r>
        <w:rPr>
          <w:rFonts w:hint="eastAsia" w:ascii="宋体" w:hAnsi="宋体" w:cs="宋体"/>
          <w:sz w:val="24"/>
        </w:rPr>
        <w:t>所有</w:t>
      </w:r>
      <w:r>
        <w:rPr>
          <w:rFonts w:ascii="宋体" w:hAnsi="宋体"/>
          <w:sz w:val="24"/>
        </w:rPr>
        <w:t>。</w:t>
      </w:r>
    </w:p>
    <w:p w14:paraId="61F77B7B">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9.</w:t>
      </w:r>
      <w:r>
        <w:rPr>
          <w:rFonts w:ascii="宋体" w:hAnsi="宋体"/>
          <w:b/>
          <w:sz w:val="24"/>
        </w:rPr>
        <w:t>技术资料和保密义务</w:t>
      </w:r>
    </w:p>
    <w:p w14:paraId="5D3BF043">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9</w:t>
      </w:r>
      <w:r>
        <w:rPr>
          <w:rFonts w:ascii="宋体" w:hAnsi="宋体"/>
          <w:sz w:val="24"/>
        </w:rPr>
        <w:t>.1 乙方有权依据合同约定和项目需要，向甲方了解有关情况，调阅有关资料等，甲方应予积极配合；</w:t>
      </w:r>
    </w:p>
    <w:p w14:paraId="4C864DE0">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9</w:t>
      </w:r>
      <w:r>
        <w:rPr>
          <w:rFonts w:ascii="宋体" w:hAnsi="宋体"/>
          <w:sz w:val="24"/>
        </w:rPr>
        <w:t xml:space="preserve">.2 </w:t>
      </w:r>
      <w:r>
        <w:rPr>
          <w:rFonts w:hint="eastAsia" w:ascii="宋体" w:hAnsi="宋体"/>
          <w:sz w:val="24"/>
        </w:rPr>
        <w:t>乙方有义务妥善保管和保护由甲方提供的前款信息和资料等；</w:t>
      </w:r>
    </w:p>
    <w:p w14:paraId="31425BCA">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pPr>
      <w:r>
        <w:rPr>
          <w:rFonts w:hint="eastAsia" w:ascii="宋体" w:hAnsi="宋体"/>
          <w:sz w:val="24"/>
          <w:lang w:val="en-US" w:eastAsia="zh-CN"/>
        </w:rPr>
        <w:t>9</w:t>
      </w:r>
      <w:r>
        <w:rPr>
          <w:rFonts w:ascii="宋体" w:hAnsi="宋体"/>
          <w:sz w:val="24"/>
        </w:rPr>
        <w:t xml:space="preserve">.3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71A3E4F7">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10.</w:t>
      </w:r>
      <w:r>
        <w:rPr>
          <w:rFonts w:hint="eastAsia" w:ascii="宋体" w:hAnsi="宋体"/>
          <w:b/>
          <w:sz w:val="24"/>
        </w:rPr>
        <w:t>质量保证</w:t>
      </w:r>
    </w:p>
    <w:p w14:paraId="13F912C2">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10</w:t>
      </w:r>
      <w:r>
        <w:rPr>
          <w:rFonts w:ascii="宋体" w:hAnsi="宋体"/>
          <w:sz w:val="24"/>
        </w:rPr>
        <w:t xml:space="preserve">.1 </w:t>
      </w:r>
      <w:r>
        <w:rPr>
          <w:rFonts w:hint="eastAsia" w:ascii="宋体" w:hAnsi="宋体"/>
          <w:sz w:val="24"/>
        </w:rPr>
        <w:t>乙方应建立和完善履行合同的内部质量保证体系，并提供相关内部规章制度给甲方，以便甲方进行监督检查；</w:t>
      </w:r>
    </w:p>
    <w:p w14:paraId="57717AA6">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10</w:t>
      </w:r>
      <w:r>
        <w:rPr>
          <w:rFonts w:ascii="宋体" w:hAnsi="宋体"/>
          <w:sz w:val="24"/>
        </w:rPr>
        <w:t xml:space="preserve">.2 </w:t>
      </w:r>
      <w:r>
        <w:rPr>
          <w:rFonts w:hint="eastAsia" w:ascii="宋体" w:hAnsi="宋体"/>
          <w:sz w:val="24"/>
        </w:rPr>
        <w:t>乙方应保证履行合同的人员数量和素质、软件和硬件设备的配置、场地、环境和设施等满足全面履行合同的要求，并应接受甲方的监督检查。</w:t>
      </w:r>
    </w:p>
    <w:p w14:paraId="2BD30863">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11.</w:t>
      </w:r>
      <w:r>
        <w:rPr>
          <w:rFonts w:hint="eastAsia" w:ascii="宋体" w:hAnsi="宋体"/>
          <w:b/>
          <w:sz w:val="24"/>
        </w:rPr>
        <w:t>延迟履行</w:t>
      </w:r>
    </w:p>
    <w:p w14:paraId="2DED0EF9">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ascii="宋体" w:hAnsi="宋体"/>
          <w:sz w:val="24"/>
        </w:rPr>
        <w:t>在合同履行过程中，如果乙方遇到不能按时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1AF7A74A">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12.</w:t>
      </w:r>
      <w:r>
        <w:rPr>
          <w:rFonts w:hint="eastAsia" w:ascii="宋体" w:hAnsi="宋体"/>
          <w:b/>
          <w:sz w:val="24"/>
        </w:rPr>
        <w:t>合同变更</w:t>
      </w:r>
    </w:p>
    <w:p w14:paraId="27567568">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3E38D182">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13.</w:t>
      </w:r>
      <w:r>
        <w:rPr>
          <w:rFonts w:ascii="宋体" w:hAnsi="宋体"/>
          <w:b/>
          <w:sz w:val="24"/>
        </w:rPr>
        <w:t>合同转让和分包</w:t>
      </w:r>
    </w:p>
    <w:p w14:paraId="164B6E52">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5074AC52">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14.</w:t>
      </w:r>
      <w:r>
        <w:rPr>
          <w:rFonts w:ascii="宋体" w:hAnsi="宋体"/>
          <w:b/>
          <w:sz w:val="24"/>
        </w:rPr>
        <w:t>税费</w:t>
      </w:r>
    </w:p>
    <w:p w14:paraId="55A0CC61">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692C75EC">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15.</w:t>
      </w:r>
      <w:r>
        <w:rPr>
          <w:rFonts w:ascii="宋体" w:hAnsi="宋体"/>
          <w:b/>
          <w:sz w:val="24"/>
        </w:rPr>
        <w:t>乙方破产</w:t>
      </w:r>
    </w:p>
    <w:p w14:paraId="4EB91AE2">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32FB4DB0">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16.</w:t>
      </w:r>
      <w:r>
        <w:rPr>
          <w:rFonts w:ascii="宋体" w:hAnsi="宋体"/>
          <w:b/>
          <w:sz w:val="24"/>
        </w:rPr>
        <w:t>合同中止、终止</w:t>
      </w:r>
    </w:p>
    <w:p w14:paraId="036901F4">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16</w:t>
      </w:r>
      <w:r>
        <w:rPr>
          <w:rFonts w:ascii="宋体" w:hAnsi="宋体"/>
          <w:sz w:val="24"/>
        </w:rPr>
        <w:t xml:space="preserve">.1 </w:t>
      </w:r>
      <w:r>
        <w:rPr>
          <w:rFonts w:hint="eastAsia" w:ascii="宋体" w:hAnsi="宋体"/>
          <w:sz w:val="24"/>
        </w:rPr>
        <w:t>双方当事人不得擅自中止或者终止合同；</w:t>
      </w:r>
    </w:p>
    <w:p w14:paraId="60A9F2E2">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16</w:t>
      </w:r>
      <w:r>
        <w:rPr>
          <w:rFonts w:ascii="宋体" w:hAnsi="宋体"/>
          <w:sz w:val="24"/>
        </w:rPr>
        <w:t>.2合同继续履行将损害国家利益和社会公共利益的，双方当事人应当中止或者终止合同。有过错的一方应当承担赔偿责任，双方当事人都有过错的，各自承担相应的责任。</w:t>
      </w:r>
    </w:p>
    <w:p w14:paraId="03B986C4">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17.</w:t>
      </w:r>
      <w:r>
        <w:rPr>
          <w:rFonts w:ascii="宋体" w:hAnsi="宋体"/>
          <w:b/>
          <w:sz w:val="24"/>
        </w:rPr>
        <w:t>检验和验收</w:t>
      </w:r>
    </w:p>
    <w:p w14:paraId="6EE52CBE">
      <w:pPr>
        <w:keepNext w:val="0"/>
        <w:keepLines w:val="0"/>
        <w:pageBreakBefore w:val="0"/>
        <w:tabs>
          <w:tab w:val="left" w:pos="360"/>
          <w:tab w:val="left" w:pos="540"/>
          <w:tab w:val="left" w:pos="1080"/>
        </w:tabs>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17</w:t>
      </w:r>
      <w:r>
        <w:rPr>
          <w:rFonts w:ascii="宋体" w:hAnsi="宋体"/>
          <w:sz w:val="24"/>
        </w:rPr>
        <w:t xml:space="preserve">.1 </w:t>
      </w:r>
      <w:r>
        <w:rPr>
          <w:rFonts w:hint="eastAsia" w:ascii="宋体" w:hAnsi="宋体"/>
          <w:sz w:val="24"/>
        </w:rPr>
        <w:t>乙方按照</w:t>
      </w:r>
      <w:r>
        <w:rPr>
          <w:rFonts w:hint="eastAsia" w:ascii="宋体" w:hAnsi="宋体" w:cs="宋体"/>
          <w:sz w:val="24"/>
        </w:rPr>
        <w:t>相关标准进行</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hint="eastAsia" w:ascii="宋体" w:hAnsi="宋体" w:cs="宋体"/>
          <w:sz w:val="24"/>
        </w:rPr>
        <w:t>按相关标准进行</w:t>
      </w:r>
      <w:r>
        <w:rPr>
          <w:rFonts w:ascii="宋体" w:hAnsi="宋体"/>
          <w:sz w:val="24"/>
        </w:rPr>
        <w:t>的约定进行定期验收</w:t>
      </w:r>
      <w:r>
        <w:rPr>
          <w:rFonts w:hint="eastAsia" w:ascii="宋体" w:hAnsi="宋体"/>
          <w:sz w:val="24"/>
        </w:rPr>
        <w:t>；</w:t>
      </w:r>
    </w:p>
    <w:p w14:paraId="11AF272C">
      <w:pPr>
        <w:keepNext w:val="0"/>
        <w:keepLines w:val="0"/>
        <w:pageBreakBefore w:val="0"/>
        <w:tabs>
          <w:tab w:val="left" w:pos="360"/>
          <w:tab w:val="left" w:pos="540"/>
          <w:tab w:val="left" w:pos="1080"/>
        </w:tabs>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17</w:t>
      </w:r>
      <w:r>
        <w:rPr>
          <w:rFonts w:ascii="宋体" w:hAnsi="宋体"/>
          <w:sz w:val="24"/>
        </w:rPr>
        <w:t xml:space="preserve">.2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C4A0271">
      <w:pPr>
        <w:keepNext w:val="0"/>
        <w:keepLines w:val="0"/>
        <w:pageBreakBefore w:val="0"/>
        <w:tabs>
          <w:tab w:val="left" w:pos="360"/>
          <w:tab w:val="left" w:pos="540"/>
          <w:tab w:val="left" w:pos="1080"/>
        </w:tabs>
        <w:kinsoku/>
        <w:wordWrap/>
        <w:overflowPunct/>
        <w:topLinePunct w:val="0"/>
        <w:autoSpaceDE/>
        <w:autoSpaceDN/>
        <w:bidi w:val="0"/>
        <w:adjustRightInd/>
        <w:snapToGrid w:val="0"/>
        <w:spacing w:line="360" w:lineRule="auto"/>
        <w:ind w:firstLine="480" w:firstLineChars="200"/>
        <w:textAlignment w:val="auto"/>
      </w:pPr>
      <w:r>
        <w:rPr>
          <w:rFonts w:hint="eastAsia" w:ascii="宋体" w:hAnsi="宋体"/>
          <w:sz w:val="24"/>
          <w:lang w:val="en-US" w:eastAsia="zh-CN"/>
        </w:rPr>
        <w:t>17</w:t>
      </w:r>
      <w:r>
        <w:rPr>
          <w:rFonts w:ascii="宋体" w:hAnsi="宋体"/>
          <w:sz w:val="24"/>
        </w:rPr>
        <w:t xml:space="preserve">.3 </w:t>
      </w:r>
      <w:r>
        <w:rPr>
          <w:rFonts w:hint="eastAsia" w:ascii="宋体" w:hAnsi="宋体"/>
          <w:sz w:val="24"/>
        </w:rPr>
        <w:t>检验和验收标准、程序等具体内容以及前述验收书的效力</w:t>
      </w:r>
      <w:r>
        <w:rPr>
          <w:rFonts w:hint="eastAsia" w:ascii="宋体" w:hAnsi="宋体" w:cs="宋体"/>
          <w:sz w:val="24"/>
          <w:lang w:val="en-US" w:eastAsia="zh-CN"/>
        </w:rPr>
        <w:t>按相关标准以及招标文件要求进行</w:t>
      </w:r>
      <w:r>
        <w:rPr>
          <w:rFonts w:hint="eastAsia" w:ascii="宋体" w:hAnsi="宋体"/>
          <w:i/>
          <w:sz w:val="24"/>
        </w:rPr>
        <w:t>。</w:t>
      </w:r>
    </w:p>
    <w:p w14:paraId="2AA5535E">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0"/>
        <w:rPr>
          <w:rFonts w:ascii="宋体" w:hAnsi="宋体"/>
          <w:sz w:val="24"/>
          <w:u w:val="single"/>
        </w:rPr>
      </w:pPr>
      <w:bookmarkStart w:id="105" w:name="_Toc8586"/>
      <w:bookmarkStart w:id="106" w:name="_Toc2375"/>
      <w:bookmarkStart w:id="107" w:name="_Toc24662"/>
      <w:bookmarkStart w:id="108" w:name="_Toc3079"/>
      <w:bookmarkStart w:id="109" w:name="_Toc5698"/>
      <w:r>
        <w:rPr>
          <w:rFonts w:hint="eastAsia" w:ascii="宋体" w:hAnsi="宋体"/>
          <w:b/>
          <w:sz w:val="24"/>
          <w:lang w:val="en-US" w:eastAsia="zh-CN"/>
        </w:rPr>
        <w:t>18.</w:t>
      </w:r>
      <w:r>
        <w:rPr>
          <w:rFonts w:hint="eastAsia" w:ascii="宋体" w:hAnsi="宋体"/>
          <w:b/>
          <w:sz w:val="24"/>
        </w:rPr>
        <w:t>违约责任</w:t>
      </w:r>
      <w:bookmarkEnd w:id="105"/>
      <w:bookmarkEnd w:id="106"/>
      <w:bookmarkEnd w:id="107"/>
      <w:bookmarkEnd w:id="108"/>
      <w:bookmarkEnd w:id="109"/>
    </w:p>
    <w:p w14:paraId="38DE0F61">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sz w:val="24"/>
        </w:rPr>
      </w:pPr>
      <w:r>
        <w:rPr>
          <w:rFonts w:hint="eastAsia" w:ascii="宋体" w:hAnsi="宋体"/>
          <w:sz w:val="24"/>
          <w:lang w:val="en-US" w:eastAsia="zh-CN"/>
        </w:rPr>
        <w:t>18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履行</w:t>
      </w:r>
      <w:r>
        <w:rPr>
          <w:rFonts w:ascii="宋体" w:hAnsi="宋体"/>
          <w:sz w:val="24"/>
        </w:rPr>
        <w:t>，那么甲方可要求乙方支付违约金</w:t>
      </w:r>
      <w:r>
        <w:rPr>
          <w:rFonts w:hint="eastAsia" w:ascii="宋体" w:hAnsi="宋体"/>
          <w:sz w:val="24"/>
        </w:rPr>
        <w:t>，违约金按每迟延履行一日的按本合同总价</w:t>
      </w:r>
      <w:r>
        <w:rPr>
          <w:rFonts w:ascii="宋体" w:hAnsi="宋体"/>
          <w:sz w:val="24"/>
        </w:rPr>
        <w:t>的</w:t>
      </w:r>
      <w:r>
        <w:rPr>
          <w:rFonts w:ascii="宋体" w:hAnsi="宋体"/>
          <w:sz w:val="24"/>
          <w:u w:val="single"/>
        </w:rPr>
        <w:t xml:space="preserve"> 0.05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p>
    <w:p w14:paraId="07EF79F4">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sz w:val="24"/>
        </w:rPr>
      </w:pPr>
      <w:r>
        <w:rPr>
          <w:rFonts w:hint="eastAsia" w:ascii="宋体" w:hAnsi="宋体"/>
          <w:sz w:val="24"/>
          <w:lang w:val="en-US" w:eastAsia="zh-CN"/>
        </w:rPr>
        <w:t>18</w:t>
      </w:r>
      <w:r>
        <w:rPr>
          <w:rFonts w:ascii="宋体" w:hAnsi="宋体"/>
          <w:sz w:val="24"/>
        </w:rPr>
        <w:t>.</w:t>
      </w:r>
      <w:r>
        <w:rPr>
          <w:rFonts w:hint="eastAsia" w:ascii="宋体" w:hAnsi="宋体"/>
          <w:sz w:val="24"/>
        </w:rPr>
        <w:t>2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0944D28">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sz w:val="24"/>
        </w:rPr>
      </w:pPr>
      <w:r>
        <w:rPr>
          <w:rFonts w:hint="eastAsia" w:ascii="宋体" w:hAnsi="宋体"/>
          <w:sz w:val="24"/>
          <w:lang w:val="en-US" w:eastAsia="zh-CN"/>
        </w:rPr>
        <w:t>18</w:t>
      </w:r>
      <w:r>
        <w:rPr>
          <w:rFonts w:ascii="宋体" w:hAnsi="宋体"/>
          <w:sz w:val="24"/>
        </w:rPr>
        <w:t>.</w:t>
      </w:r>
      <w:r>
        <w:rPr>
          <w:rFonts w:hint="eastAsia" w:ascii="宋体" w:hAnsi="宋体"/>
          <w:sz w:val="24"/>
        </w:rPr>
        <w:t>3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w:t>
      </w:r>
      <w:r>
        <w:rPr>
          <w:rFonts w:hint="eastAsia" w:ascii="宋体" w:hAnsi="宋体"/>
          <w:sz w:val="24"/>
          <w:lang w:eastAsia="zh-CN"/>
        </w:rPr>
        <w:t>（</w:t>
      </w:r>
      <w:r>
        <w:rPr>
          <w:rFonts w:hint="eastAsia" w:ascii="宋体" w:hAnsi="宋体"/>
          <w:sz w:val="24"/>
          <w:lang w:val="en-US" w:eastAsia="zh-CN"/>
        </w:rPr>
        <w:t>合同金额的20%</w:t>
      </w:r>
      <w:r>
        <w:rPr>
          <w:rFonts w:hint="eastAsia" w:ascii="宋体" w:hAnsi="宋体"/>
          <w:sz w:val="24"/>
          <w:lang w:eastAsia="zh-CN"/>
        </w:rPr>
        <w:t>）</w:t>
      </w:r>
      <w:r>
        <w:rPr>
          <w:rFonts w:hint="eastAsia" w:ascii="宋体" w:hAnsi="宋体"/>
          <w:sz w:val="24"/>
        </w:rPr>
        <w:t>和按照己方实际损失情况要求违约方赔偿损失；</w:t>
      </w:r>
      <w:r>
        <w:rPr>
          <w:rFonts w:hint="eastAsia" w:ascii="宋体" w:hAnsi="宋体"/>
          <w:sz w:val="24"/>
          <w:lang w:val="en-US" w:eastAsia="zh-CN"/>
        </w:rPr>
        <w:t>如乙方违约结束本合同后，3日历天内返还已支付的预付款；</w:t>
      </w:r>
      <w:r>
        <w:rPr>
          <w:rFonts w:hint="eastAsia" w:ascii="宋体" w:hAnsi="宋体"/>
          <w:sz w:val="24"/>
        </w:rPr>
        <w:t>且守约方行使的任何权利救济方式均不视为其放弃了其他法定或者约定的权利救济方式；</w:t>
      </w:r>
    </w:p>
    <w:p w14:paraId="0C453918">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sz w:val="24"/>
        </w:rPr>
      </w:pPr>
      <w:r>
        <w:rPr>
          <w:rFonts w:hint="eastAsia" w:ascii="宋体" w:hAnsi="宋体"/>
          <w:sz w:val="24"/>
          <w:lang w:val="en-US" w:eastAsia="zh-CN"/>
        </w:rPr>
        <w:t>18</w:t>
      </w:r>
      <w:r>
        <w:rPr>
          <w:rFonts w:ascii="宋体" w:hAnsi="宋体"/>
          <w:sz w:val="24"/>
        </w:rPr>
        <w:t>.</w:t>
      </w:r>
      <w:r>
        <w:rPr>
          <w:rFonts w:hint="eastAsia" w:ascii="宋体" w:hAnsi="宋体"/>
          <w:sz w:val="24"/>
        </w:rPr>
        <w:t>4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9B96DAE">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sz w:val="24"/>
        </w:rPr>
      </w:pPr>
      <w:r>
        <w:rPr>
          <w:rFonts w:hint="eastAsia" w:ascii="宋体" w:hAnsi="宋体"/>
          <w:sz w:val="24"/>
          <w:lang w:val="en-US" w:eastAsia="zh-CN"/>
        </w:rPr>
        <w:t>18</w:t>
      </w:r>
      <w:r>
        <w:rPr>
          <w:rFonts w:ascii="宋体" w:hAnsi="宋体"/>
          <w:sz w:val="24"/>
        </w:rPr>
        <w:t>.</w:t>
      </w:r>
      <w:r>
        <w:rPr>
          <w:rFonts w:hint="eastAsia" w:ascii="宋体" w:hAnsi="宋体"/>
          <w:sz w:val="24"/>
        </w:rPr>
        <w:t>5如果出现政府采购监督管理部门在处理投诉事项期间，书面通知甲方暂停采购活动的情形，或者询问或质疑事项可能影响中标结果的，导致甲方中止履行合同的情形，均不视为甲方违约；</w:t>
      </w:r>
    </w:p>
    <w:p w14:paraId="2C4050CF">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19.</w:t>
      </w:r>
      <w:r>
        <w:rPr>
          <w:rFonts w:ascii="宋体" w:hAnsi="宋体"/>
          <w:b/>
          <w:sz w:val="24"/>
        </w:rPr>
        <w:t>不可抗力</w:t>
      </w:r>
    </w:p>
    <w:p w14:paraId="02036F12">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19</w:t>
      </w:r>
      <w:r>
        <w:rPr>
          <w:rFonts w:ascii="宋体" w:hAnsi="宋体"/>
          <w:sz w:val="24"/>
        </w:rPr>
        <w:t>.1如果任何一方遭遇法律规定的不可抗力，致使合同履行受阻时，履行合同的期限应予延长，延长的期限应相当于不可抗力所影响的时间</w:t>
      </w:r>
      <w:r>
        <w:rPr>
          <w:rFonts w:hint="eastAsia" w:ascii="宋体" w:hAnsi="宋体"/>
          <w:sz w:val="24"/>
        </w:rPr>
        <w:t>；</w:t>
      </w:r>
    </w:p>
    <w:p w14:paraId="47BD2D5D">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19</w:t>
      </w:r>
      <w:r>
        <w:rPr>
          <w:rFonts w:ascii="宋体" w:hAnsi="宋体"/>
          <w:sz w:val="24"/>
        </w:rPr>
        <w:t xml:space="preserve">.2 </w:t>
      </w:r>
      <w:r>
        <w:rPr>
          <w:rFonts w:hint="eastAsia" w:ascii="宋体" w:hAnsi="宋体"/>
          <w:sz w:val="24"/>
        </w:rPr>
        <w:t>因不可抗力致使不能实现合同目的的，当事人可以解除合同；</w:t>
      </w:r>
    </w:p>
    <w:p w14:paraId="1DE5CA30">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19</w:t>
      </w:r>
      <w:r>
        <w:rPr>
          <w:rFonts w:ascii="宋体" w:hAnsi="宋体"/>
          <w:sz w:val="24"/>
        </w:rPr>
        <w:t xml:space="preserve">.3 </w:t>
      </w:r>
      <w:r>
        <w:rPr>
          <w:rFonts w:hint="eastAsia" w:ascii="宋体" w:hAnsi="宋体"/>
          <w:sz w:val="24"/>
        </w:rPr>
        <w:t>因</w:t>
      </w:r>
      <w:r>
        <w:rPr>
          <w:rFonts w:ascii="宋体" w:hAnsi="宋体"/>
          <w:sz w:val="24"/>
        </w:rPr>
        <w:t>不可抗力致使合同有变更必要的，双方当事人应在</w:t>
      </w:r>
      <w:r>
        <w:rPr>
          <w:rFonts w:hint="eastAsia" w:ascii="宋体" w:hAnsi="宋体"/>
          <w:sz w:val="24"/>
        </w:rPr>
        <w:t>30天</w:t>
      </w:r>
      <w:r>
        <w:rPr>
          <w:rFonts w:ascii="宋体" w:hAnsi="宋体"/>
          <w:sz w:val="24"/>
        </w:rPr>
        <w:t>内以书面形式变更合同</w:t>
      </w:r>
      <w:r>
        <w:rPr>
          <w:rFonts w:hint="eastAsia" w:ascii="宋体" w:hAnsi="宋体"/>
          <w:sz w:val="24"/>
        </w:rPr>
        <w:t>。</w:t>
      </w:r>
    </w:p>
    <w:p w14:paraId="3699D44D">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pPr>
      <w:r>
        <w:rPr>
          <w:rFonts w:hint="eastAsia" w:ascii="宋体" w:hAnsi="宋体"/>
          <w:sz w:val="24"/>
          <w:lang w:val="en-US" w:eastAsia="zh-CN"/>
        </w:rPr>
        <w:t>19</w:t>
      </w:r>
      <w:r>
        <w:rPr>
          <w:rFonts w:ascii="宋体" w:hAnsi="宋体"/>
          <w:sz w:val="24"/>
        </w:rPr>
        <w:t>.4受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rPr>
        <w:t>5天</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rPr>
        <w:t>7天</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14:paraId="6EBB49DC">
      <w:pPr>
        <w:keepNext w:val="0"/>
        <w:keepLines w:val="0"/>
        <w:pageBreakBefore w:val="0"/>
        <w:kinsoku/>
        <w:wordWrap/>
        <w:overflowPunct/>
        <w:topLinePunct w:val="0"/>
        <w:autoSpaceDE/>
        <w:autoSpaceDN/>
        <w:bidi w:val="0"/>
        <w:adjustRightInd/>
        <w:spacing w:line="360" w:lineRule="auto"/>
        <w:ind w:right="-420" w:rightChars="-200" w:firstLine="482" w:firstLineChars="200"/>
        <w:textAlignment w:val="auto"/>
        <w:rPr>
          <w:rFonts w:ascii="宋体" w:hAnsi="宋体"/>
        </w:rPr>
      </w:pPr>
      <w:bookmarkStart w:id="110" w:name="_Toc9497"/>
      <w:bookmarkStart w:id="111" w:name="_Toc18683"/>
      <w:bookmarkStart w:id="112" w:name="_Toc30329"/>
      <w:bookmarkStart w:id="113" w:name="_Toc26807"/>
      <w:bookmarkStart w:id="114" w:name="_Toc32454"/>
      <w:r>
        <w:rPr>
          <w:rFonts w:hint="eastAsia" w:ascii="宋体" w:hAnsi="宋体"/>
          <w:b/>
          <w:sz w:val="24"/>
          <w:lang w:val="en-US" w:eastAsia="zh-CN"/>
        </w:rPr>
        <w:t>20.</w:t>
      </w:r>
      <w:r>
        <w:rPr>
          <w:rFonts w:hint="eastAsia" w:ascii="宋体" w:hAnsi="宋体"/>
          <w:b/>
          <w:sz w:val="24"/>
        </w:rPr>
        <w:t>合同</w:t>
      </w:r>
      <w:r>
        <w:rPr>
          <w:rFonts w:ascii="宋体" w:hAnsi="宋体"/>
          <w:b/>
          <w:sz w:val="24"/>
        </w:rPr>
        <w:t>争议的解决</w:t>
      </w:r>
      <w:bookmarkEnd w:id="110"/>
      <w:bookmarkEnd w:id="111"/>
      <w:bookmarkEnd w:id="112"/>
      <w:bookmarkEnd w:id="113"/>
      <w:bookmarkEnd w:id="114"/>
    </w:p>
    <w:p w14:paraId="522A4A36">
      <w:pPr>
        <w:keepNext w:val="0"/>
        <w:keepLines w:val="0"/>
        <w:pageBreakBefore w:val="0"/>
        <w:kinsoku/>
        <w:wordWrap/>
        <w:overflowPunct/>
        <w:topLinePunct w:val="0"/>
        <w:autoSpaceDE/>
        <w:autoSpaceDN/>
        <w:bidi w:val="0"/>
        <w:adjustRightInd/>
        <w:spacing w:line="360" w:lineRule="auto"/>
        <w:ind w:left="-61" w:leftChars="-29" w:right="-420" w:rightChars="-200" w:firstLine="480" w:firstLineChars="200"/>
        <w:textAlignment w:val="auto"/>
        <w:rPr>
          <w:rFonts w:hint="eastAsia" w:ascii="宋体" w:hAnsi="宋体" w:cs="宋体"/>
          <w:sz w:val="24"/>
          <w:lang w:eastAsia="zh-CN"/>
        </w:rPr>
      </w:pPr>
      <w:r>
        <w:rPr>
          <w:rFonts w:hint="eastAsia" w:ascii="宋体" w:hAnsi="宋体"/>
          <w:sz w:val="24"/>
        </w:rPr>
        <w:t>本合同履行过程中发生的任何争议，双方当事人均可通过和解或者调解解决；不愿和解、调解或者和解、调解不成的，</w:t>
      </w:r>
      <w:r>
        <w:rPr>
          <w:rFonts w:hint="eastAsia" w:ascii="宋体" w:hAnsi="宋体" w:cs="宋体"/>
          <w:sz w:val="24"/>
        </w:rPr>
        <w:t>向桐庐县人民法院起诉</w:t>
      </w:r>
      <w:r>
        <w:rPr>
          <w:rFonts w:hint="eastAsia" w:ascii="宋体" w:hAnsi="宋体" w:cs="宋体"/>
          <w:sz w:val="24"/>
          <w:lang w:eastAsia="zh-CN"/>
        </w:rPr>
        <w:t>。</w:t>
      </w:r>
    </w:p>
    <w:p w14:paraId="33655726">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21.</w:t>
      </w:r>
      <w:r>
        <w:rPr>
          <w:rFonts w:ascii="宋体" w:hAnsi="宋体"/>
          <w:b/>
          <w:sz w:val="24"/>
        </w:rPr>
        <w:t>通知和送达</w:t>
      </w:r>
    </w:p>
    <w:p w14:paraId="75817DBC">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21</w:t>
      </w:r>
      <w:r>
        <w:rPr>
          <w:rFonts w:ascii="宋体" w:hAnsi="宋体"/>
          <w:sz w:val="24"/>
        </w:rPr>
        <w:t>.1</w:t>
      </w:r>
      <w:r>
        <w:rPr>
          <w:rFonts w:hint="eastAsia" w:ascii="宋体" w:hAnsi="宋体"/>
          <w:sz w:val="24"/>
        </w:rPr>
        <w:t>任何一方因履行合同而以</w:t>
      </w:r>
      <w:r>
        <w:rPr>
          <w:rFonts w:hint="eastAsia" w:ascii="宋体" w:hAnsi="宋体"/>
          <w:sz w:val="24"/>
          <w:lang w:val="en-US" w:eastAsia="zh-CN"/>
        </w:rPr>
        <w:t>双方约定的方式或地址</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2B2CADC1">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21</w:t>
      </w:r>
      <w:r>
        <w:rPr>
          <w:rFonts w:ascii="宋体" w:hAnsi="宋体"/>
          <w:sz w:val="24"/>
        </w:rPr>
        <w:t>.2以当面交付方式送达的，交付之时视为送达；以电子邮件方式送达的，发出电子邮件之时视为送达；以传真方式送达的，发出传真之时视为送达；以邮寄方式送达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p>
    <w:p w14:paraId="71BC3F64">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22.</w:t>
      </w:r>
      <w:r>
        <w:rPr>
          <w:rFonts w:hint="eastAsia" w:ascii="宋体" w:hAnsi="宋体"/>
          <w:b/>
          <w:sz w:val="24"/>
        </w:rPr>
        <w:t>合同使用的文字和</w:t>
      </w:r>
      <w:r>
        <w:rPr>
          <w:rFonts w:ascii="宋体" w:hAnsi="宋体"/>
          <w:b/>
          <w:sz w:val="24"/>
        </w:rPr>
        <w:t>适用的法律</w:t>
      </w:r>
    </w:p>
    <w:p w14:paraId="07B17D86">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22</w:t>
      </w:r>
      <w:r>
        <w:rPr>
          <w:rFonts w:ascii="宋体" w:hAnsi="宋体"/>
          <w:sz w:val="24"/>
        </w:rPr>
        <w:t>.1 合同使用汉语书</w:t>
      </w:r>
      <w:r>
        <w:rPr>
          <w:rFonts w:hint="eastAsia" w:ascii="宋体" w:hAnsi="宋体"/>
          <w:sz w:val="24"/>
        </w:rPr>
        <w:t>写、</w:t>
      </w:r>
      <w:r>
        <w:rPr>
          <w:rFonts w:ascii="宋体" w:hAnsi="宋体"/>
          <w:sz w:val="24"/>
        </w:rPr>
        <w:t>变更和解释</w:t>
      </w:r>
      <w:r>
        <w:rPr>
          <w:rFonts w:hint="eastAsia" w:ascii="宋体" w:hAnsi="宋体"/>
          <w:sz w:val="24"/>
        </w:rPr>
        <w:t>；</w:t>
      </w:r>
    </w:p>
    <w:p w14:paraId="663E05C8">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lang w:val="en-US" w:eastAsia="zh-CN"/>
        </w:rPr>
        <w:t>22</w:t>
      </w:r>
      <w:r>
        <w:rPr>
          <w:rFonts w:ascii="宋体" w:hAnsi="宋体"/>
          <w:sz w:val="24"/>
        </w:rPr>
        <w:t xml:space="preserve">.2 </w:t>
      </w:r>
      <w:r>
        <w:rPr>
          <w:rFonts w:hint="eastAsia" w:ascii="宋体" w:hAnsi="宋体"/>
          <w:sz w:val="24"/>
        </w:rPr>
        <w:t>合同适用</w:t>
      </w:r>
      <w:r>
        <w:rPr>
          <w:rFonts w:ascii="宋体" w:hAnsi="宋体"/>
          <w:sz w:val="24"/>
        </w:rPr>
        <w:t>中华人民共和国法律。</w:t>
      </w:r>
    </w:p>
    <w:p w14:paraId="150544AB">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r>
        <w:rPr>
          <w:rFonts w:hint="eastAsia" w:ascii="宋体" w:hAnsi="宋体"/>
          <w:b/>
          <w:sz w:val="24"/>
          <w:lang w:val="en-US" w:eastAsia="zh-CN"/>
        </w:rPr>
        <w:t>23.</w:t>
      </w:r>
      <w:r>
        <w:rPr>
          <w:rFonts w:ascii="宋体" w:hAnsi="宋体"/>
          <w:b/>
          <w:sz w:val="24"/>
        </w:rPr>
        <w:t>履约保证金</w:t>
      </w:r>
    </w:p>
    <w:p w14:paraId="12E52855">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eastAsia="宋体"/>
          <w:lang w:eastAsia="zh-CN"/>
        </w:rPr>
      </w:pPr>
      <w:r>
        <w:rPr>
          <w:rFonts w:hint="eastAsia" w:ascii="宋体" w:hAnsi="宋体" w:cs="宋体"/>
          <w:sz w:val="24"/>
        </w:rPr>
        <w:t>本项目不设置履约保证金</w:t>
      </w:r>
      <w:r>
        <w:rPr>
          <w:rFonts w:hint="eastAsia" w:ascii="宋体" w:hAnsi="宋体" w:cs="宋体"/>
          <w:sz w:val="24"/>
          <w:lang w:eastAsia="zh-CN"/>
        </w:rPr>
        <w:t>。</w:t>
      </w:r>
    </w:p>
    <w:p w14:paraId="10898FEE">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b/>
          <w:sz w:val="24"/>
        </w:rPr>
      </w:pPr>
      <w:bookmarkStart w:id="115" w:name="_Toc26227"/>
      <w:bookmarkStart w:id="116" w:name="_Toc12273"/>
      <w:bookmarkStart w:id="117" w:name="_Toc15827"/>
      <w:bookmarkStart w:id="118" w:name="_Toc23784"/>
      <w:bookmarkStart w:id="119" w:name="_Toc16417"/>
      <w:r>
        <w:rPr>
          <w:rFonts w:hint="eastAsia" w:ascii="宋体" w:hAnsi="宋体"/>
          <w:b/>
          <w:sz w:val="24"/>
          <w:lang w:val="en-US" w:eastAsia="zh-CN"/>
        </w:rPr>
        <w:t>24.</w:t>
      </w:r>
      <w:r>
        <w:rPr>
          <w:rFonts w:ascii="宋体" w:hAnsi="宋体"/>
          <w:b/>
          <w:sz w:val="24"/>
        </w:rPr>
        <w:t>合同生效</w:t>
      </w:r>
      <w:bookmarkEnd w:id="115"/>
      <w:bookmarkEnd w:id="116"/>
      <w:bookmarkEnd w:id="117"/>
      <w:bookmarkEnd w:id="118"/>
      <w:bookmarkEnd w:id="119"/>
    </w:p>
    <w:p w14:paraId="7429A4F3">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（1）本合同经甲、乙双方签名并加盖单位公章后生效。</w:t>
      </w:r>
    </w:p>
    <w:p w14:paraId="400F0BD3">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lang w:val="zh-CN"/>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）本合同一式八份，具有同等法律效力，甲、乙双方各执三份，采购代理机构一份，同级政府采购监督管理部门一份。</w:t>
      </w:r>
    </w:p>
    <w:p w14:paraId="5355110A">
      <w:pPr>
        <w:autoSpaceDE w:val="0"/>
        <w:autoSpaceDN w:val="0"/>
        <w:spacing w:line="560" w:lineRule="exact"/>
        <w:rPr>
          <w:rFonts w:ascii="宋体" w:hAnsi="宋体" w:eastAsia="宋体"/>
          <w:sz w:val="24"/>
          <w:lang w:val="zh-CN"/>
        </w:rPr>
      </w:pPr>
    </w:p>
    <w:tbl>
      <w:tblPr>
        <w:tblStyle w:val="60"/>
        <w:tblW w:w="9793" w:type="dxa"/>
        <w:tblInd w:w="-72" w:type="dxa"/>
        <w:tblLayout w:type="fixed"/>
        <w:tblCellMar>
          <w:top w:w="0" w:type="dxa"/>
          <w:left w:w="108" w:type="dxa"/>
          <w:bottom w:w="0" w:type="dxa"/>
          <w:right w:w="108" w:type="dxa"/>
        </w:tblCellMar>
      </w:tblPr>
      <w:tblGrid>
        <w:gridCol w:w="4784"/>
        <w:gridCol w:w="5009"/>
      </w:tblGrid>
      <w:tr w14:paraId="1F4D6A6C">
        <w:tblPrEx>
          <w:tblCellMar>
            <w:top w:w="0" w:type="dxa"/>
            <w:left w:w="108" w:type="dxa"/>
            <w:bottom w:w="0" w:type="dxa"/>
            <w:right w:w="108" w:type="dxa"/>
          </w:tblCellMar>
        </w:tblPrEx>
        <w:trPr>
          <w:trHeight w:val="5194" w:hRule="atLeast"/>
        </w:trPr>
        <w:tc>
          <w:tcPr>
            <w:tcW w:w="4784" w:type="dxa"/>
            <w:noWrap/>
            <w:vAlign w:val="top"/>
          </w:tcPr>
          <w:p w14:paraId="13644E79">
            <w:pPr>
              <w:adjustRightInd/>
              <w:snapToGrid w:val="0"/>
              <w:spacing w:line="800" w:lineRule="exact"/>
              <w:rPr>
                <w:rFonts w:ascii="宋体" w:hAnsi="宋体"/>
                <w:sz w:val="24"/>
              </w:rPr>
            </w:pPr>
            <w:r>
              <w:rPr>
                <w:rFonts w:hint="eastAsia" w:ascii="宋体" w:hAnsi="宋体"/>
                <w:sz w:val="24"/>
              </w:rPr>
              <w:t>甲方：（盖章）</w:t>
            </w:r>
          </w:p>
          <w:p w14:paraId="5E1F9DA4">
            <w:pPr>
              <w:adjustRightInd/>
              <w:snapToGrid w:val="0"/>
              <w:spacing w:line="800" w:lineRule="exact"/>
              <w:rPr>
                <w:rFonts w:ascii="宋体" w:hAnsi="宋体"/>
                <w:sz w:val="24"/>
              </w:rPr>
            </w:pPr>
            <w:r>
              <w:rPr>
                <w:rFonts w:ascii="宋体" w:hAnsi="宋体"/>
                <w:sz w:val="24"/>
              </w:rPr>
              <w:t>法定代表人</w:t>
            </w:r>
          </w:p>
          <w:p w14:paraId="125E01F9">
            <w:pPr>
              <w:adjustRightInd/>
              <w:snapToGrid w:val="0"/>
              <w:spacing w:line="800" w:lineRule="exact"/>
              <w:rPr>
                <w:rFonts w:ascii="宋体" w:hAnsi="宋体"/>
                <w:sz w:val="24"/>
              </w:rPr>
            </w:pPr>
            <w:r>
              <w:rPr>
                <w:rFonts w:hint="eastAsia" w:ascii="宋体" w:hAnsi="宋体"/>
                <w:sz w:val="24"/>
              </w:rPr>
              <w:t>或授权代表（签章）：</w:t>
            </w:r>
          </w:p>
          <w:p w14:paraId="0848F6AD">
            <w:pPr>
              <w:adjustRightInd/>
              <w:snapToGrid w:val="0"/>
              <w:spacing w:line="800" w:lineRule="exact"/>
              <w:rPr>
                <w:rFonts w:ascii="宋体" w:hAnsi="宋体"/>
                <w:sz w:val="24"/>
              </w:rPr>
            </w:pPr>
            <w:r>
              <w:rPr>
                <w:rFonts w:hint="eastAsia" w:ascii="宋体" w:hAnsi="宋体"/>
                <w:sz w:val="24"/>
              </w:rPr>
              <w:t>地址：</w:t>
            </w:r>
          </w:p>
          <w:p w14:paraId="568FF132">
            <w:pPr>
              <w:adjustRightInd/>
              <w:snapToGrid w:val="0"/>
              <w:spacing w:line="800" w:lineRule="exact"/>
            </w:pPr>
            <w:r>
              <w:rPr>
                <w:rFonts w:hint="eastAsia" w:ascii="宋体" w:hAnsi="宋体"/>
                <w:sz w:val="24"/>
              </w:rPr>
              <w:t>电    话：</w:t>
            </w:r>
          </w:p>
          <w:p w14:paraId="1B628DCF">
            <w:pPr>
              <w:adjustRightInd/>
              <w:snapToGrid w:val="0"/>
              <w:spacing w:line="800" w:lineRule="exact"/>
              <w:rPr>
                <w:rFonts w:ascii="宋体" w:hAnsi="宋体"/>
                <w:sz w:val="24"/>
              </w:rPr>
            </w:pPr>
            <w:r>
              <w:rPr>
                <w:rFonts w:hint="eastAsia" w:ascii="宋体" w:hAnsi="宋体"/>
                <w:sz w:val="24"/>
              </w:rPr>
              <w:t>日期：  年  月  日</w:t>
            </w:r>
          </w:p>
        </w:tc>
        <w:tc>
          <w:tcPr>
            <w:tcW w:w="5009" w:type="dxa"/>
            <w:noWrap/>
            <w:vAlign w:val="top"/>
          </w:tcPr>
          <w:p w14:paraId="4187888B">
            <w:pPr>
              <w:adjustRightInd/>
              <w:snapToGrid w:val="0"/>
              <w:spacing w:line="800" w:lineRule="exact"/>
              <w:rPr>
                <w:rFonts w:ascii="宋体" w:hAnsi="宋体"/>
                <w:sz w:val="24"/>
              </w:rPr>
            </w:pPr>
            <w:r>
              <w:rPr>
                <w:rFonts w:hint="eastAsia" w:ascii="宋体" w:hAnsi="宋体"/>
                <w:sz w:val="24"/>
              </w:rPr>
              <w:t>乙方：（盖章）</w:t>
            </w:r>
          </w:p>
          <w:p w14:paraId="7207F9F4">
            <w:pPr>
              <w:adjustRightInd/>
              <w:snapToGrid w:val="0"/>
              <w:spacing w:line="800" w:lineRule="exact"/>
              <w:rPr>
                <w:rFonts w:ascii="宋体" w:hAnsi="宋体"/>
                <w:sz w:val="24"/>
              </w:rPr>
            </w:pPr>
            <w:r>
              <w:rPr>
                <w:rFonts w:ascii="宋体" w:hAnsi="宋体"/>
                <w:sz w:val="24"/>
              </w:rPr>
              <w:t>法定代表人</w:t>
            </w:r>
          </w:p>
          <w:p w14:paraId="66ED2A8B">
            <w:pPr>
              <w:adjustRightInd/>
              <w:snapToGrid w:val="0"/>
              <w:spacing w:line="800" w:lineRule="exact"/>
              <w:rPr>
                <w:rFonts w:ascii="宋体" w:hAnsi="宋体"/>
                <w:sz w:val="24"/>
              </w:rPr>
            </w:pPr>
            <w:r>
              <w:rPr>
                <w:rFonts w:hint="eastAsia" w:ascii="宋体" w:hAnsi="宋体"/>
                <w:sz w:val="24"/>
              </w:rPr>
              <w:t>或授权代表（签章）：</w:t>
            </w:r>
          </w:p>
          <w:p w14:paraId="78F28CDD">
            <w:pPr>
              <w:adjustRightInd/>
              <w:snapToGrid w:val="0"/>
              <w:spacing w:line="800" w:lineRule="exact"/>
              <w:rPr>
                <w:rFonts w:ascii="宋体" w:hAnsi="宋体"/>
                <w:sz w:val="24"/>
              </w:rPr>
            </w:pPr>
            <w:r>
              <w:rPr>
                <w:rFonts w:hint="eastAsia" w:ascii="宋体" w:hAnsi="宋体"/>
                <w:sz w:val="24"/>
              </w:rPr>
              <w:t>地址：</w:t>
            </w:r>
          </w:p>
          <w:p w14:paraId="6408E81B">
            <w:pPr>
              <w:adjustRightInd/>
              <w:snapToGrid w:val="0"/>
              <w:spacing w:line="800" w:lineRule="exact"/>
              <w:rPr>
                <w:rFonts w:ascii="宋体" w:hAnsi="宋体"/>
                <w:sz w:val="24"/>
              </w:rPr>
            </w:pPr>
            <w:r>
              <w:rPr>
                <w:rFonts w:hint="eastAsia" w:ascii="宋体" w:hAnsi="宋体"/>
                <w:sz w:val="24"/>
              </w:rPr>
              <w:t>电    话：</w:t>
            </w:r>
          </w:p>
          <w:p w14:paraId="0382A824">
            <w:pPr>
              <w:adjustRightInd/>
              <w:snapToGrid w:val="0"/>
              <w:spacing w:line="800" w:lineRule="exact"/>
              <w:rPr>
                <w:rFonts w:ascii="宋体" w:hAnsi="宋体"/>
                <w:sz w:val="24"/>
              </w:rPr>
            </w:pPr>
            <w:r>
              <w:rPr>
                <w:rFonts w:hint="eastAsia" w:ascii="宋体" w:hAnsi="宋体"/>
                <w:sz w:val="24"/>
              </w:rPr>
              <w:t>日期：  年  月  日</w:t>
            </w:r>
          </w:p>
        </w:tc>
      </w:tr>
    </w:tbl>
    <w:p w14:paraId="2B806CBC">
      <w:pPr>
        <w:rPr>
          <w:rFonts w:hint="eastAsia" w:asciiTheme="majorEastAsia" w:hAnsiTheme="majorEastAsia" w:eastAsiaTheme="majorEastAsia" w:cstheme="majorEastAsia"/>
        </w:rPr>
      </w:pPr>
    </w:p>
    <w:p w14:paraId="3CDFD580">
      <w:pPr>
        <w:jc w:val="center"/>
        <w:rPr>
          <w:rFonts w:cs="仿宋_GB2312" w:asciiTheme="minorEastAsia" w:hAnsiTheme="minorEastAsia" w:eastAsiaTheme="minorEastAsia"/>
          <w:b/>
          <w:color w:val="auto"/>
          <w:sz w:val="36"/>
          <w:szCs w:val="20"/>
        </w:rPr>
      </w:pPr>
      <w:bookmarkStart w:id="120" w:name="_Toc372613886"/>
      <w:r>
        <w:rPr>
          <w:rFonts w:hint="eastAsia" w:asciiTheme="majorEastAsia" w:hAnsiTheme="majorEastAsia" w:eastAsiaTheme="majorEastAsia" w:cstheme="majorEastAsia"/>
          <w:b/>
        </w:rPr>
        <w:t>此仅为合同书样本，中标单位需根据实际情况和采购人签订相应的合同！</w:t>
      </w:r>
      <w:bookmarkEnd w:id="120"/>
      <w:r>
        <w:rPr>
          <w:rFonts w:hint="eastAsia" w:cs="仿宋_GB2312" w:asciiTheme="minorEastAsia" w:hAnsiTheme="minorEastAsia" w:eastAsiaTheme="minorEastAsia"/>
          <w:b/>
          <w:color w:val="auto"/>
          <w:sz w:val="36"/>
          <w:szCs w:val="20"/>
        </w:rPr>
        <w:br w:type="page"/>
      </w:r>
      <w:r>
        <w:rPr>
          <w:rFonts w:hint="eastAsia" w:cs="仿宋_GB2312" w:asciiTheme="minorEastAsia" w:hAnsiTheme="minorEastAsia" w:eastAsiaTheme="minorEastAsia"/>
          <w:b/>
          <w:color w:val="auto"/>
          <w:sz w:val="36"/>
          <w:szCs w:val="20"/>
        </w:rPr>
        <w:t>第七部分</w:t>
      </w:r>
      <w:bookmarkEnd w:id="78"/>
      <w:r>
        <w:rPr>
          <w:rFonts w:hint="eastAsia" w:cs="仿宋_GB2312" w:asciiTheme="minorEastAsia" w:hAnsiTheme="minorEastAsia" w:eastAsiaTheme="minorEastAsia"/>
          <w:b/>
          <w:color w:val="auto"/>
          <w:sz w:val="36"/>
          <w:szCs w:val="20"/>
        </w:rPr>
        <w:t xml:space="preserve">  </w:t>
      </w:r>
      <w:bookmarkEnd w:id="79"/>
      <w:r>
        <w:rPr>
          <w:rFonts w:hint="eastAsia" w:cs="仿宋_GB2312" w:asciiTheme="minorEastAsia" w:hAnsiTheme="minorEastAsia" w:eastAsiaTheme="minorEastAsia"/>
          <w:b/>
          <w:color w:val="auto"/>
          <w:sz w:val="36"/>
          <w:szCs w:val="20"/>
        </w:rPr>
        <w:t>应提交的有关格式范例</w:t>
      </w:r>
    </w:p>
    <w:p w14:paraId="0206DECA">
      <w:pPr>
        <w:spacing w:line="360" w:lineRule="auto"/>
        <w:jc w:val="center"/>
        <w:outlineLvl w:val="0"/>
        <w:rPr>
          <w:rFonts w:hint="eastAsia"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…………………………………………………（页码）</w:t>
      </w:r>
    </w:p>
    <w:p w14:paraId="6AABE1E4">
      <w:pPr>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如果有）</w:t>
      </w:r>
      <w:r>
        <w:rPr>
          <w:rFonts w:hint="eastAsia" w:ascii="宋体" w:hAnsi="宋体" w:cs="宋体"/>
          <w:color w:val="auto"/>
          <w:sz w:val="24"/>
          <w:highlight w:val="none"/>
        </w:rPr>
        <w:t>…………………（页码）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如果有）</w:t>
      </w:r>
      <w:r>
        <w:rPr>
          <w:rFonts w:hint="eastAsia" w:ascii="宋体" w:hAnsi="宋体" w:cs="宋体"/>
          <w:color w:val="auto"/>
          <w:sz w:val="24"/>
          <w:highlight w:val="none"/>
        </w:rPr>
        <w:t>…………………………………（页码）</w:t>
      </w:r>
    </w:p>
    <w:p w14:paraId="27651B60">
      <w:pPr>
        <w:spacing w:line="360" w:lineRule="auto"/>
        <w:rPr>
          <w:rFonts w:hint="eastAsia" w:cs="仿宋_GB2312" w:asciiTheme="minorEastAsia" w:hAnsiTheme="minorEastAsia" w:eastAsiaTheme="minorEastAsia"/>
          <w:b/>
          <w:bCs/>
          <w:color w:val="auto"/>
          <w:sz w:val="24"/>
        </w:rPr>
      </w:pPr>
    </w:p>
    <w:p w14:paraId="1F040003">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注：以上目录是编制供应商响应文件的基本格式要求，各供应商可根据自身情况进一步细化。</w:t>
      </w:r>
    </w:p>
    <w:p w14:paraId="72320923">
      <w:pPr>
        <w:spacing w:line="360" w:lineRule="auto"/>
        <w:ind w:left="4620" w:leftChars="2200"/>
        <w:rPr>
          <w:rFonts w:asciiTheme="minorEastAsia" w:hAnsiTheme="minorEastAsia" w:eastAsiaTheme="minorEastAsia"/>
          <w:color w:val="auto"/>
          <w:sz w:val="24"/>
        </w:rPr>
      </w:pPr>
      <w:r>
        <w:rPr>
          <w:rFonts w:hint="eastAsia" w:cs="仿宋_GB2312" w:asciiTheme="minorEastAsia" w:hAnsiTheme="minorEastAsia" w:eastAsiaTheme="minorEastAsia"/>
          <w:color w:val="auto"/>
          <w:sz w:val="36"/>
          <w:szCs w:val="36"/>
        </w:rPr>
        <w:br w:type="page"/>
      </w:r>
    </w:p>
    <w:p w14:paraId="4F5D4B89">
      <w:pPr>
        <w:widowControl/>
        <w:adjustRightInd/>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14:paraId="7D9CB7D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3FA64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59065719">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C084B4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DB157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585980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4882A8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99A4B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4557C0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2E5C0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EB78E3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443CB3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2569BA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0A6DE53">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89A97B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9FE575">
      <w:pPr>
        <w:snapToGrid w:val="0"/>
        <w:spacing w:line="360" w:lineRule="auto"/>
        <w:ind w:right="480"/>
        <w:jc w:val="center"/>
        <w:rPr>
          <w:rFonts w:ascii="宋体" w:hAnsi="宋体" w:cs="宋体"/>
          <w:b/>
          <w:color w:val="auto"/>
          <w:kern w:val="0"/>
          <w:sz w:val="32"/>
          <w:szCs w:val="32"/>
          <w:highlight w:val="none"/>
        </w:rPr>
      </w:pPr>
    </w:p>
    <w:p w14:paraId="0ED67A00">
      <w:pPr>
        <w:snapToGrid w:val="0"/>
        <w:spacing w:line="360" w:lineRule="auto"/>
        <w:ind w:right="480"/>
        <w:jc w:val="center"/>
        <w:rPr>
          <w:rFonts w:ascii="宋体" w:hAnsi="宋体" w:cs="宋体"/>
          <w:b/>
          <w:color w:val="auto"/>
          <w:kern w:val="0"/>
          <w:sz w:val="32"/>
          <w:szCs w:val="32"/>
          <w:highlight w:val="none"/>
        </w:rPr>
      </w:pPr>
    </w:p>
    <w:p w14:paraId="66B4B3F7">
      <w:pPr>
        <w:snapToGrid w:val="0"/>
        <w:spacing w:line="360" w:lineRule="auto"/>
        <w:ind w:right="480"/>
        <w:jc w:val="center"/>
        <w:rPr>
          <w:rFonts w:ascii="宋体" w:hAnsi="宋体" w:cs="宋体"/>
          <w:b/>
          <w:color w:val="auto"/>
          <w:kern w:val="0"/>
          <w:sz w:val="32"/>
          <w:szCs w:val="32"/>
          <w:highlight w:val="none"/>
        </w:rPr>
      </w:pPr>
    </w:p>
    <w:p w14:paraId="5678E014">
      <w:pPr>
        <w:rPr>
          <w:rFonts w:ascii="宋体" w:hAnsi="宋体" w:cs="宋体"/>
          <w:color w:val="auto"/>
          <w:highlight w:val="none"/>
        </w:rPr>
      </w:pPr>
    </w:p>
    <w:p w14:paraId="7D44F9B5">
      <w:pPr>
        <w:snapToGrid w:val="0"/>
        <w:spacing w:line="360" w:lineRule="auto"/>
        <w:ind w:right="480"/>
        <w:jc w:val="center"/>
        <w:rPr>
          <w:rFonts w:ascii="宋体" w:hAnsi="宋体" w:cs="宋体"/>
          <w:b/>
          <w:color w:val="auto"/>
          <w:kern w:val="0"/>
          <w:sz w:val="32"/>
          <w:szCs w:val="32"/>
          <w:highlight w:val="none"/>
        </w:rPr>
      </w:pPr>
    </w:p>
    <w:p w14:paraId="0D3A1F2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64B6B11">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7F2BAD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0273BD0">
      <w:pPr>
        <w:snapToGrid w:val="0"/>
        <w:spacing w:line="360" w:lineRule="auto"/>
        <w:ind w:right="480"/>
        <w:jc w:val="center"/>
        <w:rPr>
          <w:rFonts w:ascii="宋体" w:hAnsi="宋体" w:cs="宋体"/>
          <w:b/>
          <w:color w:val="auto"/>
          <w:kern w:val="0"/>
          <w:sz w:val="32"/>
          <w:szCs w:val="32"/>
          <w:highlight w:val="none"/>
        </w:rPr>
      </w:pPr>
    </w:p>
    <w:p w14:paraId="51A4787C">
      <w:pPr>
        <w:widowControl/>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三、营业执照</w:t>
      </w:r>
    </w:p>
    <w:p w14:paraId="1E838EE5">
      <w:pPr>
        <w:pStyle w:val="635"/>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jc w:val="both"/>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提供有效的营业执照复印件并加盖公司公章；事业单位的，则提供有效的《事业单位法人证书》副本复印件并加盖单位公章。</w:t>
      </w:r>
    </w:p>
    <w:p w14:paraId="45D6D239">
      <w:pPr>
        <w:keepNext w:val="0"/>
        <w:keepLines w:val="0"/>
        <w:pageBreakBefore w:val="0"/>
        <w:widowControl w:val="0"/>
        <w:kinsoku/>
        <w:wordWrap/>
        <w:overflowPunct/>
        <w:topLinePunct w:val="0"/>
        <w:autoSpaceDE/>
        <w:autoSpaceDN/>
        <w:bidi w:val="0"/>
        <w:snapToGrid/>
        <w:spacing w:line="360" w:lineRule="auto"/>
        <w:ind w:firstLine="480"/>
        <w:textAlignment w:val="auto"/>
        <w:rPr>
          <w:rFonts w:hint="default" w:cs="宋体" w:asciiTheme="minorEastAsia" w:hAnsiTheme="minorEastAsia" w:eastAsiaTheme="minorEastAsia"/>
          <w:color w:val="auto"/>
          <w:sz w:val="24"/>
          <w:lang w:val="en-US" w:eastAsia="zh-CN"/>
        </w:rPr>
      </w:pPr>
      <w:r>
        <w:rPr>
          <w:rFonts w:hint="eastAsia" w:ascii="宋体" w:hAnsi="宋体" w:eastAsia="宋体" w:cs="宋体"/>
          <w:snapToGrid w:val="0"/>
          <w:kern w:val="28"/>
          <w:sz w:val="24"/>
          <w:szCs w:val="20"/>
          <w:lang w:val="en-US" w:eastAsia="zh-CN"/>
        </w:rPr>
        <w:t>注：供应商如无独立法人资格的分支机构（金融、保险、通讯等特定行业的全国性企业所设立的区域性分支机构）参加投标的，如果已经依法办理了工商、税务和社保登记手续，并且获得总机构授权或能够提供房产权证或其他有效财产证明材料，证明其具备实际承担责任的能力和法定的缔结合同能力，可以允许其独立参加政府采购活动。（同一总机构的只能有一家隶属分支机构参加投标）</w:t>
      </w:r>
    </w:p>
    <w:p w14:paraId="37961164">
      <w:pPr>
        <w:snapToGrid w:val="0"/>
        <w:spacing w:line="360" w:lineRule="auto"/>
        <w:ind w:right="480"/>
        <w:jc w:val="center"/>
        <w:rPr>
          <w:rFonts w:ascii="宋体" w:hAnsi="宋体" w:cs="宋体"/>
          <w:b/>
          <w:color w:val="auto"/>
          <w:kern w:val="0"/>
          <w:sz w:val="32"/>
          <w:szCs w:val="32"/>
          <w:highlight w:val="none"/>
        </w:rPr>
      </w:pPr>
    </w:p>
    <w:p w14:paraId="38F511F9">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、落实政府采购政策需满足的资格要求（如果有）</w:t>
      </w:r>
    </w:p>
    <w:p w14:paraId="00C90DD6">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6FFBA9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75C4345">
      <w:pPr>
        <w:widowControl/>
        <w:spacing w:line="360" w:lineRule="auto"/>
        <w:ind w:firstLine="480"/>
        <w:jc w:val="left"/>
        <w:rPr>
          <w:rFonts w:ascii="宋体" w:hAnsi="宋体" w:cs="宋体"/>
          <w:color w:val="auto"/>
          <w:sz w:val="24"/>
          <w:highlight w:val="none"/>
        </w:rPr>
      </w:pPr>
    </w:p>
    <w:p w14:paraId="3CED783C">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28F203C">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7AB764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8D331AF">
      <w:pPr>
        <w:widowControl/>
        <w:spacing w:line="360" w:lineRule="auto"/>
        <w:ind w:left="150"/>
        <w:jc w:val="center"/>
        <w:rPr>
          <w:rFonts w:ascii="宋体" w:hAnsi="宋体" w:cs="宋体"/>
          <w:b/>
          <w:color w:val="auto"/>
          <w:kern w:val="0"/>
          <w:sz w:val="32"/>
          <w:szCs w:val="32"/>
          <w:highlight w:val="none"/>
        </w:rPr>
      </w:pPr>
    </w:p>
    <w:p w14:paraId="72AAA3D4">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、本项目的特定资格要求（如果有）</w:t>
      </w:r>
    </w:p>
    <w:p w14:paraId="1F22A2E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5264CBA">
      <w:pPr>
        <w:rPr>
          <w:rFonts w:cs="仿宋_GB2312" w:asciiTheme="minorEastAsia" w:hAnsiTheme="minorEastAsia" w:eastAsiaTheme="minorEastAsia"/>
          <w:color w:val="auto"/>
          <w:kern w:val="2"/>
          <w:sz w:val="32"/>
          <w:szCs w:val="32"/>
        </w:rPr>
      </w:pPr>
      <w:r>
        <w:rPr>
          <w:rFonts w:cs="仿宋_GB2312" w:asciiTheme="minorEastAsia" w:hAnsiTheme="minorEastAsia" w:eastAsiaTheme="minorEastAsia"/>
          <w:color w:val="auto"/>
          <w:kern w:val="2"/>
          <w:sz w:val="32"/>
          <w:szCs w:val="32"/>
        </w:rPr>
        <w:br w:type="page"/>
      </w:r>
    </w:p>
    <w:p w14:paraId="3C0B4F94">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C6513CB">
      <w:pPr>
        <w:numPr>
          <w:ilvl w:val="0"/>
          <w:numId w:val="0"/>
        </w:numPr>
        <w:snapToGrid w:val="0"/>
        <w:spacing w:line="360" w:lineRule="auto"/>
        <w:rPr>
          <w:rFonts w:hint="eastAsia" w:ascii="宋体" w:hAnsi="宋体" w:cs="宋体"/>
          <w:color w:val="auto"/>
          <w:highlight w:val="none"/>
        </w:rPr>
      </w:pPr>
      <w:r>
        <w:rPr>
          <w:rFonts w:hint="eastAsia" w:ascii="宋体" w:hAnsi="宋体" w:eastAsia="宋体" w:cs="宋体"/>
          <w:color w:val="auto"/>
          <w:kern w:val="2"/>
          <w:sz w:val="21"/>
          <w:szCs w:val="24"/>
          <w:lang w:val="en-US" w:eastAsia="zh-CN" w:bidi="ar-SA"/>
        </w:rPr>
        <w:t>（1）</w:t>
      </w:r>
      <w:r>
        <w:rPr>
          <w:rFonts w:hint="eastAsia" w:ascii="宋体" w:hAnsi="宋体" w:cs="宋体"/>
          <w:color w:val="auto"/>
          <w:sz w:val="24"/>
          <w:highlight w:val="none"/>
        </w:rPr>
        <w:t>投标函</w:t>
      </w:r>
      <w:r>
        <w:rPr>
          <w:rFonts w:hint="eastAsia" w:ascii="宋体" w:hAnsi="宋体" w:cs="宋体"/>
          <w:color w:val="auto"/>
          <w:highlight w:val="none"/>
        </w:rPr>
        <w:t>…………………………………………………………………………………（页码）</w:t>
      </w:r>
    </w:p>
    <w:p w14:paraId="12DFB595">
      <w:pPr>
        <w:numPr>
          <w:ilvl w:val="0"/>
          <w:numId w:val="0"/>
        </w:numPr>
        <w:snapToGrid w:val="0"/>
        <w:spacing w:line="360" w:lineRule="auto"/>
        <w:rPr>
          <w:rFonts w:ascii="宋体" w:hAnsi="宋体" w:cs="宋体"/>
          <w:color w:val="auto"/>
          <w:highlight w:val="none"/>
        </w:rPr>
      </w:pPr>
      <w:r>
        <w:rPr>
          <w:rFonts w:ascii="宋体" w:hAnsi="宋体" w:eastAsia="宋体" w:cs="宋体"/>
          <w:color w:val="auto"/>
          <w:kern w:val="2"/>
          <w:sz w:val="21"/>
          <w:szCs w:val="24"/>
          <w:lang w:val="en-US" w:eastAsia="zh-CN" w:bidi="ar-SA"/>
        </w:rPr>
        <w:t>（2）</w:t>
      </w:r>
      <w:r>
        <w:rPr>
          <w:rFonts w:hint="eastAsia" w:ascii="宋体" w:hAnsi="宋体" w:cs="宋体"/>
          <w:color w:val="auto"/>
          <w:sz w:val="24"/>
          <w:highlight w:val="none"/>
        </w:rPr>
        <w:t>授权委托书或法定代表人（单位负责人、自然人本人）身份证明</w:t>
      </w:r>
      <w:r>
        <w:rPr>
          <w:rFonts w:hint="eastAsia" w:ascii="宋体" w:hAnsi="宋体" w:cs="宋体"/>
          <w:color w:val="auto"/>
          <w:highlight w:val="none"/>
        </w:rPr>
        <w:t>………（页码）</w:t>
      </w:r>
    </w:p>
    <w:p w14:paraId="4C1A1BA8">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5CD46E5E">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p>
    <w:p w14:paraId="4F0A00D1">
      <w:pPr>
        <w:snapToGrid w:val="0"/>
        <w:spacing w:line="360" w:lineRule="auto"/>
        <w:rPr>
          <w:rFonts w:ascii="宋体" w:hAns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121" w:name="_Hlk101257010"/>
      <w:r>
        <w:rPr>
          <w:rFonts w:hint="eastAsia" w:ascii="宋体" w:hAnsi="宋体" w:cs="宋体"/>
          <w:color w:val="auto"/>
          <w:sz w:val="24"/>
          <w:highlight w:val="none"/>
        </w:rPr>
        <w:t>（如果有)</w:t>
      </w:r>
      <w:bookmarkEnd w:id="121"/>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6FF218B9">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6B8664A0">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61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61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619"/>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764A9F5C">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6BEE4E76">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26E85467">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1"/>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1"/>
        <w:rPr>
          <w:color w:val="auto"/>
          <w:highlight w:val="none"/>
        </w:rPr>
      </w:pPr>
    </w:p>
    <w:p w14:paraId="33E4EF4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六</w:t>
      </w:r>
      <w:r>
        <w:rPr>
          <w:rFonts w:hint="eastAsia" w:ascii="宋体" w:hAnsi="宋体" w:cs="宋体"/>
          <w:b/>
          <w:color w:val="auto"/>
          <w:kern w:val="0"/>
          <w:sz w:val="32"/>
          <w:szCs w:val="32"/>
          <w:highlight w:val="none"/>
        </w:rPr>
        <w:t>、商务技术偏离表</w:t>
      </w:r>
    </w:p>
    <w:tbl>
      <w:tblPr>
        <w:tblStyle w:val="61"/>
        <w:tblW w:w="8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B62DA4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C779180">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14"/>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634CA36B">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rPr>
        <w:sectPr>
          <w:headerReference r:id="rId17" w:type="first"/>
          <w:footerReference r:id="rId20" w:type="first"/>
          <w:headerReference r:id="rId16" w:type="default"/>
          <w:footerReference r:id="rId18" w:type="default"/>
          <w:footerReference r:id="rId19" w:type="even"/>
          <w:pgSz w:w="11906" w:h="16838"/>
          <w:pgMar w:top="779" w:right="1418" w:bottom="468" w:left="1418" w:header="851" w:footer="992" w:gutter="0"/>
          <w:pgNumType w:fmt="decimal"/>
          <w:cols w:space="720" w:num="1"/>
          <w:titlePg/>
          <w:docGrid w:linePitch="312" w:charSpace="0"/>
        </w:sectPr>
      </w:pPr>
    </w:p>
    <w:p w14:paraId="11B9D219">
      <w:pPr>
        <w:pStyle w:val="11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34F4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A9CB40D">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2671F425">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6D2802D3">
            <w:pPr>
              <w:spacing w:line="360" w:lineRule="auto"/>
              <w:jc w:val="center"/>
              <w:rPr>
                <w:rFonts w:ascii="宋体" w:hAnsi="宋体" w:cs="宋体"/>
                <w:b/>
                <w:sz w:val="24"/>
              </w:rPr>
            </w:pPr>
          </w:p>
          <w:p w14:paraId="1A13A8B1">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6280049F">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219C6D85">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6DDDA6AE">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7C1FB19C">
            <w:pPr>
              <w:spacing w:line="360" w:lineRule="auto"/>
              <w:jc w:val="center"/>
              <w:rPr>
                <w:rFonts w:ascii="宋体" w:hAnsi="宋体" w:cs="宋体"/>
                <w:b/>
                <w:sz w:val="24"/>
              </w:rPr>
            </w:pPr>
          </w:p>
          <w:p w14:paraId="3A69534A">
            <w:pPr>
              <w:spacing w:line="360" w:lineRule="auto"/>
              <w:jc w:val="center"/>
              <w:rPr>
                <w:rFonts w:ascii="宋体" w:hAnsi="宋体" w:cs="宋体"/>
                <w:b/>
                <w:sz w:val="24"/>
              </w:rPr>
            </w:pPr>
            <w:r>
              <w:rPr>
                <w:rFonts w:hint="eastAsia" w:ascii="宋体" w:hAnsi="宋体" w:cs="宋体"/>
                <w:b/>
                <w:sz w:val="24"/>
                <w:highlight w:val="none"/>
              </w:rPr>
              <w:t>服务人数</w:t>
            </w:r>
          </w:p>
        </w:tc>
        <w:tc>
          <w:tcPr>
            <w:tcW w:w="2126" w:type="dxa"/>
            <w:vAlign w:val="center"/>
          </w:tcPr>
          <w:p w14:paraId="3598F183">
            <w:pPr>
              <w:spacing w:line="360" w:lineRule="auto"/>
              <w:jc w:val="center"/>
              <w:rPr>
                <w:rFonts w:ascii="宋体" w:hAnsi="宋体" w:cs="宋体"/>
                <w:b/>
                <w:sz w:val="24"/>
              </w:rPr>
            </w:pPr>
          </w:p>
          <w:p w14:paraId="56950053">
            <w:pPr>
              <w:spacing w:line="360" w:lineRule="auto"/>
              <w:jc w:val="center"/>
              <w:rPr>
                <w:rFonts w:ascii="宋体" w:hAnsi="宋体" w:cs="宋体"/>
                <w:b/>
                <w:sz w:val="24"/>
              </w:rPr>
            </w:pPr>
            <w:r>
              <w:rPr>
                <w:rFonts w:hint="eastAsia" w:ascii="宋体" w:hAnsi="宋体" w:cs="宋体"/>
                <w:b/>
                <w:sz w:val="24"/>
              </w:rPr>
              <w:t>备注（如果有）</w:t>
            </w:r>
          </w:p>
          <w:p w14:paraId="4FF5C15F">
            <w:pPr>
              <w:spacing w:line="360" w:lineRule="auto"/>
              <w:jc w:val="center"/>
              <w:rPr>
                <w:rFonts w:ascii="宋体" w:hAnsi="宋体" w:cs="宋体"/>
                <w:b/>
                <w:sz w:val="24"/>
              </w:rPr>
            </w:pPr>
          </w:p>
        </w:tc>
      </w:tr>
      <w:tr w14:paraId="71BE6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BCC598B">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14:paraId="7EDB02AD">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36DD177A">
            <w:pPr>
              <w:snapToGrid w:val="0"/>
              <w:spacing w:line="360" w:lineRule="auto"/>
              <w:jc w:val="center"/>
              <w:rPr>
                <w:rFonts w:ascii="宋体" w:hAnsi="宋体" w:cs="宋体"/>
                <w:sz w:val="24"/>
              </w:rPr>
            </w:pPr>
          </w:p>
        </w:tc>
        <w:tc>
          <w:tcPr>
            <w:tcW w:w="2410" w:type="dxa"/>
            <w:vAlign w:val="center"/>
          </w:tcPr>
          <w:p w14:paraId="681E50A9">
            <w:pPr>
              <w:snapToGrid w:val="0"/>
              <w:spacing w:line="360" w:lineRule="auto"/>
              <w:jc w:val="center"/>
              <w:rPr>
                <w:rFonts w:ascii="宋体" w:hAnsi="宋体" w:cs="宋体"/>
                <w:sz w:val="24"/>
              </w:rPr>
            </w:pPr>
          </w:p>
        </w:tc>
        <w:tc>
          <w:tcPr>
            <w:tcW w:w="2268" w:type="dxa"/>
            <w:vAlign w:val="center"/>
          </w:tcPr>
          <w:p w14:paraId="63AFDCDE">
            <w:pPr>
              <w:snapToGrid w:val="0"/>
              <w:spacing w:line="360" w:lineRule="auto"/>
              <w:jc w:val="center"/>
              <w:rPr>
                <w:rFonts w:ascii="宋体" w:hAnsi="宋体" w:cs="宋体"/>
                <w:sz w:val="24"/>
              </w:rPr>
            </w:pPr>
          </w:p>
        </w:tc>
        <w:tc>
          <w:tcPr>
            <w:tcW w:w="2126" w:type="dxa"/>
            <w:vAlign w:val="center"/>
          </w:tcPr>
          <w:p w14:paraId="1E660F95">
            <w:pPr>
              <w:spacing w:line="360" w:lineRule="auto"/>
              <w:jc w:val="center"/>
              <w:rPr>
                <w:rFonts w:ascii="宋体" w:hAnsi="宋体" w:cs="宋体"/>
                <w:sz w:val="24"/>
              </w:rPr>
            </w:pPr>
          </w:p>
        </w:tc>
        <w:tc>
          <w:tcPr>
            <w:tcW w:w="2127" w:type="dxa"/>
          </w:tcPr>
          <w:p w14:paraId="61E2B3F6">
            <w:pPr>
              <w:spacing w:line="360" w:lineRule="auto"/>
              <w:jc w:val="center"/>
              <w:rPr>
                <w:rFonts w:ascii="宋体" w:hAnsi="宋体" w:cs="宋体"/>
                <w:sz w:val="24"/>
              </w:rPr>
            </w:pPr>
          </w:p>
        </w:tc>
        <w:tc>
          <w:tcPr>
            <w:tcW w:w="2126" w:type="dxa"/>
            <w:vAlign w:val="center"/>
          </w:tcPr>
          <w:p w14:paraId="518BBDA5">
            <w:pPr>
              <w:spacing w:line="360" w:lineRule="auto"/>
              <w:jc w:val="center"/>
              <w:rPr>
                <w:rFonts w:ascii="宋体" w:hAnsi="宋体" w:cs="宋体"/>
                <w:sz w:val="24"/>
              </w:rPr>
            </w:pPr>
          </w:p>
        </w:tc>
      </w:tr>
      <w:tr w14:paraId="5F7C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FADBEED">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14:paraId="31A608BF">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3C6766A0">
            <w:pPr>
              <w:snapToGrid w:val="0"/>
              <w:spacing w:line="360" w:lineRule="auto"/>
              <w:jc w:val="center"/>
              <w:rPr>
                <w:rFonts w:ascii="宋体" w:hAnsi="宋体" w:cs="宋体"/>
                <w:sz w:val="24"/>
              </w:rPr>
            </w:pPr>
          </w:p>
        </w:tc>
        <w:tc>
          <w:tcPr>
            <w:tcW w:w="2410" w:type="dxa"/>
            <w:vAlign w:val="center"/>
          </w:tcPr>
          <w:p w14:paraId="0F29DE6B">
            <w:pPr>
              <w:snapToGrid w:val="0"/>
              <w:spacing w:line="360" w:lineRule="auto"/>
              <w:jc w:val="center"/>
              <w:rPr>
                <w:rFonts w:ascii="宋体" w:hAnsi="宋体" w:cs="宋体"/>
                <w:sz w:val="24"/>
              </w:rPr>
            </w:pPr>
          </w:p>
        </w:tc>
        <w:tc>
          <w:tcPr>
            <w:tcW w:w="2268" w:type="dxa"/>
            <w:vAlign w:val="center"/>
          </w:tcPr>
          <w:p w14:paraId="38762F6A">
            <w:pPr>
              <w:snapToGrid w:val="0"/>
              <w:spacing w:line="360" w:lineRule="auto"/>
              <w:jc w:val="center"/>
              <w:rPr>
                <w:rFonts w:ascii="宋体" w:hAnsi="宋体" w:cs="宋体"/>
                <w:sz w:val="24"/>
              </w:rPr>
            </w:pPr>
          </w:p>
        </w:tc>
        <w:tc>
          <w:tcPr>
            <w:tcW w:w="2126" w:type="dxa"/>
            <w:vAlign w:val="center"/>
          </w:tcPr>
          <w:p w14:paraId="549245EA">
            <w:pPr>
              <w:spacing w:line="360" w:lineRule="auto"/>
              <w:jc w:val="center"/>
              <w:rPr>
                <w:rFonts w:ascii="宋体" w:hAnsi="宋体" w:cs="宋体"/>
                <w:sz w:val="24"/>
              </w:rPr>
            </w:pPr>
          </w:p>
        </w:tc>
        <w:tc>
          <w:tcPr>
            <w:tcW w:w="2127" w:type="dxa"/>
          </w:tcPr>
          <w:p w14:paraId="62EDC358">
            <w:pPr>
              <w:spacing w:line="360" w:lineRule="auto"/>
              <w:jc w:val="center"/>
              <w:rPr>
                <w:rFonts w:ascii="宋体" w:hAnsi="宋体" w:cs="宋体"/>
                <w:sz w:val="24"/>
              </w:rPr>
            </w:pPr>
          </w:p>
        </w:tc>
        <w:tc>
          <w:tcPr>
            <w:tcW w:w="2126" w:type="dxa"/>
            <w:vAlign w:val="center"/>
          </w:tcPr>
          <w:p w14:paraId="030BCDA1">
            <w:pPr>
              <w:spacing w:line="360" w:lineRule="auto"/>
              <w:jc w:val="center"/>
              <w:rPr>
                <w:rFonts w:ascii="宋体" w:hAnsi="宋体" w:cs="宋体"/>
                <w:sz w:val="24"/>
              </w:rPr>
            </w:pPr>
          </w:p>
        </w:tc>
      </w:tr>
      <w:tr w14:paraId="4B06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4EBC9C1">
            <w:pPr>
              <w:spacing w:line="360" w:lineRule="auto"/>
              <w:jc w:val="center"/>
              <w:rPr>
                <w:rFonts w:ascii="宋体" w:hAnsi="宋体" w:cs="宋体"/>
                <w:sz w:val="24"/>
              </w:rPr>
            </w:pPr>
            <w:r>
              <w:rPr>
                <w:rFonts w:hint="eastAsia" w:ascii="宋体" w:hAnsi="宋体" w:cs="宋体"/>
                <w:sz w:val="24"/>
              </w:rPr>
              <w:t>…</w:t>
            </w:r>
          </w:p>
        </w:tc>
        <w:tc>
          <w:tcPr>
            <w:tcW w:w="992" w:type="dxa"/>
            <w:vAlign w:val="center"/>
          </w:tcPr>
          <w:p w14:paraId="79B9B834">
            <w:pPr>
              <w:snapToGrid w:val="0"/>
              <w:spacing w:line="360" w:lineRule="auto"/>
              <w:jc w:val="center"/>
              <w:rPr>
                <w:rFonts w:ascii="宋体" w:hAnsi="宋体" w:cs="宋体"/>
                <w:sz w:val="24"/>
              </w:rPr>
            </w:pPr>
          </w:p>
        </w:tc>
        <w:tc>
          <w:tcPr>
            <w:tcW w:w="2268" w:type="dxa"/>
            <w:vAlign w:val="center"/>
          </w:tcPr>
          <w:p w14:paraId="7CACF67E">
            <w:pPr>
              <w:snapToGrid w:val="0"/>
              <w:spacing w:line="360" w:lineRule="auto"/>
              <w:jc w:val="center"/>
              <w:rPr>
                <w:rFonts w:ascii="宋体" w:hAnsi="宋体" w:cs="宋体"/>
                <w:sz w:val="24"/>
              </w:rPr>
            </w:pPr>
          </w:p>
        </w:tc>
        <w:tc>
          <w:tcPr>
            <w:tcW w:w="2410" w:type="dxa"/>
            <w:vAlign w:val="center"/>
          </w:tcPr>
          <w:p w14:paraId="3BD55084">
            <w:pPr>
              <w:snapToGrid w:val="0"/>
              <w:spacing w:line="360" w:lineRule="auto"/>
              <w:jc w:val="center"/>
              <w:rPr>
                <w:rFonts w:ascii="宋体" w:hAnsi="宋体" w:cs="宋体"/>
                <w:sz w:val="24"/>
              </w:rPr>
            </w:pPr>
          </w:p>
        </w:tc>
        <w:tc>
          <w:tcPr>
            <w:tcW w:w="2268" w:type="dxa"/>
            <w:vAlign w:val="center"/>
          </w:tcPr>
          <w:p w14:paraId="29E92EB1">
            <w:pPr>
              <w:snapToGrid w:val="0"/>
              <w:spacing w:line="360" w:lineRule="auto"/>
              <w:jc w:val="center"/>
              <w:rPr>
                <w:rFonts w:ascii="宋体" w:hAnsi="宋体" w:cs="宋体"/>
                <w:sz w:val="24"/>
              </w:rPr>
            </w:pPr>
          </w:p>
        </w:tc>
        <w:tc>
          <w:tcPr>
            <w:tcW w:w="2126" w:type="dxa"/>
            <w:vAlign w:val="center"/>
          </w:tcPr>
          <w:p w14:paraId="0243656F">
            <w:pPr>
              <w:spacing w:line="360" w:lineRule="auto"/>
              <w:jc w:val="center"/>
              <w:rPr>
                <w:rFonts w:ascii="宋体" w:hAnsi="宋体" w:cs="宋体"/>
                <w:sz w:val="24"/>
              </w:rPr>
            </w:pPr>
          </w:p>
        </w:tc>
        <w:tc>
          <w:tcPr>
            <w:tcW w:w="2127" w:type="dxa"/>
          </w:tcPr>
          <w:p w14:paraId="64EBEE5B">
            <w:pPr>
              <w:spacing w:line="360" w:lineRule="auto"/>
              <w:jc w:val="center"/>
              <w:rPr>
                <w:rFonts w:ascii="宋体" w:hAnsi="宋体" w:cs="宋体"/>
                <w:sz w:val="24"/>
              </w:rPr>
            </w:pPr>
          </w:p>
        </w:tc>
        <w:tc>
          <w:tcPr>
            <w:tcW w:w="2126" w:type="dxa"/>
            <w:vAlign w:val="center"/>
          </w:tcPr>
          <w:p w14:paraId="67060CE3">
            <w:pPr>
              <w:spacing w:line="360" w:lineRule="auto"/>
              <w:jc w:val="center"/>
              <w:rPr>
                <w:rFonts w:ascii="宋体" w:hAnsi="宋体" w:cs="宋体"/>
                <w:sz w:val="24"/>
              </w:rPr>
            </w:pPr>
          </w:p>
        </w:tc>
      </w:tr>
      <w:tr w14:paraId="084DC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E58802F">
            <w:pPr>
              <w:spacing w:line="360" w:lineRule="auto"/>
              <w:jc w:val="center"/>
              <w:rPr>
                <w:rFonts w:ascii="宋体" w:hAnsi="宋体" w:cs="宋体"/>
                <w:sz w:val="24"/>
              </w:rPr>
            </w:pPr>
          </w:p>
        </w:tc>
        <w:tc>
          <w:tcPr>
            <w:tcW w:w="992" w:type="dxa"/>
            <w:vAlign w:val="center"/>
          </w:tcPr>
          <w:p w14:paraId="7F99809F">
            <w:pPr>
              <w:snapToGrid w:val="0"/>
              <w:spacing w:line="360" w:lineRule="auto"/>
              <w:jc w:val="center"/>
              <w:rPr>
                <w:rFonts w:ascii="宋体" w:hAnsi="宋体" w:cs="宋体"/>
                <w:sz w:val="24"/>
              </w:rPr>
            </w:pPr>
          </w:p>
        </w:tc>
        <w:tc>
          <w:tcPr>
            <w:tcW w:w="2268" w:type="dxa"/>
            <w:vAlign w:val="center"/>
          </w:tcPr>
          <w:p w14:paraId="381BCCD3">
            <w:pPr>
              <w:snapToGrid w:val="0"/>
              <w:spacing w:line="360" w:lineRule="auto"/>
              <w:jc w:val="center"/>
              <w:rPr>
                <w:rFonts w:ascii="宋体" w:hAnsi="宋体" w:cs="宋体"/>
                <w:sz w:val="24"/>
              </w:rPr>
            </w:pPr>
          </w:p>
        </w:tc>
        <w:tc>
          <w:tcPr>
            <w:tcW w:w="2410" w:type="dxa"/>
            <w:vAlign w:val="center"/>
          </w:tcPr>
          <w:p w14:paraId="6A19FD33">
            <w:pPr>
              <w:snapToGrid w:val="0"/>
              <w:spacing w:line="360" w:lineRule="auto"/>
              <w:jc w:val="center"/>
              <w:rPr>
                <w:rFonts w:ascii="宋体" w:hAnsi="宋体" w:cs="宋体"/>
                <w:sz w:val="24"/>
              </w:rPr>
            </w:pPr>
          </w:p>
        </w:tc>
        <w:tc>
          <w:tcPr>
            <w:tcW w:w="2268" w:type="dxa"/>
            <w:vAlign w:val="center"/>
          </w:tcPr>
          <w:p w14:paraId="437D9A2C">
            <w:pPr>
              <w:snapToGrid w:val="0"/>
              <w:spacing w:line="360" w:lineRule="auto"/>
              <w:jc w:val="center"/>
              <w:rPr>
                <w:rFonts w:ascii="宋体" w:hAnsi="宋体" w:cs="宋体"/>
                <w:sz w:val="24"/>
              </w:rPr>
            </w:pPr>
          </w:p>
        </w:tc>
        <w:tc>
          <w:tcPr>
            <w:tcW w:w="2126" w:type="dxa"/>
            <w:vAlign w:val="center"/>
          </w:tcPr>
          <w:p w14:paraId="4755BB12">
            <w:pPr>
              <w:spacing w:line="360" w:lineRule="auto"/>
              <w:jc w:val="center"/>
              <w:rPr>
                <w:rFonts w:ascii="宋体" w:hAnsi="宋体" w:cs="宋体"/>
                <w:sz w:val="24"/>
              </w:rPr>
            </w:pPr>
          </w:p>
        </w:tc>
        <w:tc>
          <w:tcPr>
            <w:tcW w:w="2127" w:type="dxa"/>
          </w:tcPr>
          <w:p w14:paraId="76235529">
            <w:pPr>
              <w:spacing w:line="360" w:lineRule="auto"/>
              <w:jc w:val="center"/>
              <w:rPr>
                <w:rFonts w:ascii="宋体" w:hAnsi="宋体" w:cs="宋体"/>
                <w:sz w:val="24"/>
              </w:rPr>
            </w:pPr>
          </w:p>
        </w:tc>
        <w:tc>
          <w:tcPr>
            <w:tcW w:w="2126" w:type="dxa"/>
            <w:vAlign w:val="center"/>
          </w:tcPr>
          <w:p w14:paraId="7041D1B1">
            <w:pPr>
              <w:spacing w:line="360" w:lineRule="auto"/>
              <w:jc w:val="center"/>
              <w:rPr>
                <w:rFonts w:ascii="宋体" w:hAnsi="宋体" w:cs="宋体"/>
                <w:sz w:val="24"/>
              </w:rPr>
            </w:pPr>
          </w:p>
        </w:tc>
      </w:tr>
      <w:tr w14:paraId="4CD8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D8E53DF">
            <w:pPr>
              <w:spacing w:line="360" w:lineRule="auto"/>
              <w:jc w:val="center"/>
              <w:rPr>
                <w:rFonts w:ascii="宋体" w:hAnsi="宋体" w:cs="宋体"/>
                <w:sz w:val="24"/>
              </w:rPr>
            </w:pPr>
          </w:p>
        </w:tc>
        <w:tc>
          <w:tcPr>
            <w:tcW w:w="992" w:type="dxa"/>
            <w:vAlign w:val="center"/>
          </w:tcPr>
          <w:p w14:paraId="3B2DCFE7">
            <w:pPr>
              <w:snapToGrid w:val="0"/>
              <w:spacing w:line="360" w:lineRule="auto"/>
              <w:jc w:val="center"/>
              <w:rPr>
                <w:rFonts w:ascii="宋体" w:hAnsi="宋体" w:cs="宋体"/>
                <w:sz w:val="24"/>
              </w:rPr>
            </w:pPr>
          </w:p>
        </w:tc>
        <w:tc>
          <w:tcPr>
            <w:tcW w:w="2268" w:type="dxa"/>
            <w:vAlign w:val="center"/>
          </w:tcPr>
          <w:p w14:paraId="1D00C6D2">
            <w:pPr>
              <w:snapToGrid w:val="0"/>
              <w:spacing w:line="360" w:lineRule="auto"/>
              <w:jc w:val="center"/>
              <w:rPr>
                <w:rFonts w:ascii="宋体" w:hAnsi="宋体" w:cs="宋体"/>
                <w:sz w:val="24"/>
              </w:rPr>
            </w:pPr>
          </w:p>
        </w:tc>
        <w:tc>
          <w:tcPr>
            <w:tcW w:w="2410" w:type="dxa"/>
            <w:vAlign w:val="center"/>
          </w:tcPr>
          <w:p w14:paraId="4040A030">
            <w:pPr>
              <w:snapToGrid w:val="0"/>
              <w:spacing w:line="360" w:lineRule="auto"/>
              <w:jc w:val="center"/>
              <w:rPr>
                <w:rFonts w:ascii="宋体" w:hAnsi="宋体" w:cs="宋体"/>
                <w:sz w:val="24"/>
              </w:rPr>
            </w:pPr>
          </w:p>
        </w:tc>
        <w:tc>
          <w:tcPr>
            <w:tcW w:w="2268" w:type="dxa"/>
            <w:vAlign w:val="center"/>
          </w:tcPr>
          <w:p w14:paraId="24D6D70C">
            <w:pPr>
              <w:snapToGrid w:val="0"/>
              <w:spacing w:line="360" w:lineRule="auto"/>
              <w:jc w:val="center"/>
              <w:rPr>
                <w:rFonts w:ascii="宋体" w:hAnsi="宋体" w:cs="宋体"/>
                <w:sz w:val="24"/>
              </w:rPr>
            </w:pPr>
          </w:p>
        </w:tc>
        <w:tc>
          <w:tcPr>
            <w:tcW w:w="2126" w:type="dxa"/>
            <w:vAlign w:val="center"/>
          </w:tcPr>
          <w:p w14:paraId="6E3EB010">
            <w:pPr>
              <w:spacing w:line="360" w:lineRule="auto"/>
              <w:jc w:val="center"/>
              <w:rPr>
                <w:rFonts w:ascii="宋体" w:hAnsi="宋体" w:cs="宋体"/>
                <w:sz w:val="24"/>
              </w:rPr>
            </w:pPr>
          </w:p>
        </w:tc>
        <w:tc>
          <w:tcPr>
            <w:tcW w:w="2127" w:type="dxa"/>
          </w:tcPr>
          <w:p w14:paraId="02473E11">
            <w:pPr>
              <w:spacing w:line="360" w:lineRule="auto"/>
              <w:jc w:val="center"/>
              <w:rPr>
                <w:rFonts w:ascii="宋体" w:hAnsi="宋体" w:cs="宋体"/>
                <w:sz w:val="24"/>
              </w:rPr>
            </w:pPr>
          </w:p>
        </w:tc>
        <w:tc>
          <w:tcPr>
            <w:tcW w:w="2126" w:type="dxa"/>
            <w:vAlign w:val="center"/>
          </w:tcPr>
          <w:p w14:paraId="09595874">
            <w:pPr>
              <w:spacing w:line="360" w:lineRule="auto"/>
              <w:jc w:val="center"/>
              <w:rPr>
                <w:rFonts w:ascii="宋体" w:hAnsi="宋体" w:cs="宋体"/>
                <w:sz w:val="24"/>
              </w:rPr>
            </w:pPr>
          </w:p>
        </w:tc>
      </w:tr>
      <w:tr w14:paraId="424D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8DD2DD3">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3E63C566">
            <w:pPr>
              <w:spacing w:line="360" w:lineRule="auto"/>
              <w:jc w:val="center"/>
              <w:rPr>
                <w:rFonts w:ascii="宋体" w:hAnsi="宋体" w:cs="宋体"/>
                <w:sz w:val="24"/>
              </w:rPr>
            </w:pPr>
          </w:p>
        </w:tc>
      </w:tr>
      <w:tr w14:paraId="1191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AFD748E">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45AF4893">
            <w:pPr>
              <w:spacing w:line="360" w:lineRule="auto"/>
              <w:jc w:val="center"/>
              <w:rPr>
                <w:rFonts w:ascii="宋体" w:hAnsi="宋体" w:cs="宋体"/>
                <w:sz w:val="24"/>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CAC835E">
      <w:pPr>
        <w:snapToGrid w:val="0"/>
        <w:spacing w:line="360" w:lineRule="auto"/>
        <w:ind w:firstLine="480" w:firstLineChars="200"/>
        <w:jc w:val="left"/>
        <w:rPr>
          <w:rFonts w:hint="eastAsia" w:ascii="宋体" w:hAnsi="宋体" w:cs="宋体"/>
          <w:color w:val="auto"/>
          <w:kern w:val="0"/>
          <w:sz w:val="24"/>
          <w:highlight w:val="none"/>
          <w:lang w:val="zh-CN"/>
        </w:rPr>
        <w:sectPr>
          <w:pgSz w:w="16838" w:h="11906" w:orient="landscape"/>
          <w:pgMar w:top="1418" w:right="779" w:bottom="1418" w:left="468" w:header="851" w:footer="992" w:gutter="0"/>
          <w:pgNumType w:fmt="decimal"/>
          <w:cols w:space="720" w:num="1"/>
          <w:titlePg/>
          <w:docGrid w:linePitch="312" w:charSpace="0"/>
        </w:sect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0995715E">
      <w:pPr>
        <w:pStyle w:val="115"/>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632"/>
        <w:rPr>
          <w:rFonts w:hint="eastAsia" w:ascii="宋体" w:hAnsi="宋体" w:cs="宋体"/>
          <w:b/>
          <w:color w:val="auto"/>
          <w:sz w:val="24"/>
          <w:highlight w:val="none"/>
        </w:rPr>
      </w:pPr>
    </w:p>
    <w:p w14:paraId="1AA2EA6C">
      <w:pPr>
        <w:pStyle w:val="632"/>
        <w:rPr>
          <w:rFonts w:hint="eastAsia" w:ascii="宋体" w:hAnsi="宋体" w:cs="宋体"/>
          <w:b/>
          <w:color w:val="auto"/>
          <w:sz w:val="24"/>
          <w:highlight w:val="none"/>
        </w:rPr>
      </w:pPr>
    </w:p>
    <w:p w14:paraId="4AF87534">
      <w:pPr>
        <w:pStyle w:val="115"/>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122" w:name="OLE_LINK13"/>
      <w:bookmarkStart w:id="123" w:name="OLE_LINK14"/>
      <w:r>
        <w:rPr>
          <w:rFonts w:hint="eastAsia" w:ascii="宋体" w:hAnsi="宋体" w:cs="宋体"/>
          <w:b/>
          <w:color w:val="auto"/>
          <w:spacing w:val="6"/>
          <w:sz w:val="32"/>
          <w:szCs w:val="32"/>
          <w:highlight w:val="none"/>
        </w:rPr>
        <w:t>残疾人福利性单位声明函</w:t>
      </w:r>
    </w:p>
    <w:bookmarkEnd w:id="122"/>
    <w:bookmarkEnd w:id="123"/>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5D9639D3">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59D35B82">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33EE1061">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FoJq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FoJq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848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316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5AD9D387">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124"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124"/>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125"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125"/>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2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126"/>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2F1AC7DD">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EA60D8D">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16CFF11B">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CC22D28">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223A84AE">
      <w:pPr>
        <w:pStyle w:val="25"/>
        <w:rPr>
          <w:rFonts w:hint="eastAsia"/>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CC48E">
    <w:pPr>
      <w:pStyle w:val="37"/>
      <w:framePr w:wrap="around" w:vAnchor="text" w:hAnchor="margin" w:xAlign="right" w:y="1"/>
      <w:rPr>
        <w:rStyle w:val="64"/>
      </w:rPr>
    </w:pPr>
    <w:r>
      <w:fldChar w:fldCharType="begin"/>
    </w:r>
    <w:r>
      <w:rPr>
        <w:rStyle w:val="64"/>
      </w:rPr>
      <w:instrText xml:space="preserve">PAGE  </w:instrText>
    </w:r>
    <w:r>
      <w:fldChar w:fldCharType="end"/>
    </w:r>
  </w:p>
  <w:p w14:paraId="3F34B944">
    <w:pPr>
      <w:pStyle w:val="37"/>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24E1B">
    <w:pPr>
      <w:pStyle w:val="37"/>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B9A76">
                          <w:pPr>
                            <w:pStyle w:val="37"/>
                          </w:pPr>
                          <w:r>
                            <w:t xml:space="preserve">第 </w:t>
                          </w:r>
                          <w:r>
                            <w:fldChar w:fldCharType="begin"/>
                          </w:r>
                          <w:r>
                            <w:instrText xml:space="preserve"> PAGE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EFB9A76">
                    <w:pPr>
                      <w:pStyle w:val="37"/>
                    </w:pPr>
                    <w:r>
                      <w:t xml:space="preserve">第 </w:t>
                    </w:r>
                    <w:r>
                      <w:fldChar w:fldCharType="begin"/>
                    </w:r>
                    <w:r>
                      <w:instrText xml:space="preserve"> PAGE  \* MERGEFORMAT </w:instrText>
                    </w:r>
                    <w:r>
                      <w:fldChar w:fldCharType="separate"/>
                    </w:r>
                    <w:r>
                      <w:t>66</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37"/>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8F90E4">
                          <w:pPr>
                            <w:pStyle w:val="37"/>
                          </w:pPr>
                          <w:r>
                            <w:t xml:space="preserve">第 </w:t>
                          </w:r>
                          <w:r>
                            <w:fldChar w:fldCharType="begin"/>
                          </w:r>
                          <w:r>
                            <w:instrText xml:space="preserve"> PAGE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58F90E4">
                    <w:pPr>
                      <w:pStyle w:val="37"/>
                    </w:pPr>
                    <w:r>
                      <w:t xml:space="preserve">第 </w:t>
                    </w:r>
                    <w:r>
                      <w:fldChar w:fldCharType="begin"/>
                    </w:r>
                    <w:r>
                      <w:instrText xml:space="preserve"> PAGE  \* MERGEFORMAT </w:instrText>
                    </w:r>
                    <w:r>
                      <w:fldChar w:fldCharType="separate"/>
                    </w:r>
                    <w:r>
                      <w:t>70</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37"/>
      <w:framePr w:wrap="around" w:vAnchor="text" w:hAnchor="margin" w:xAlign="right" w:y="1"/>
      <w:rPr>
        <w:rStyle w:val="64"/>
      </w:rPr>
    </w:pPr>
    <w:r>
      <w:fldChar w:fldCharType="begin"/>
    </w:r>
    <w:r>
      <w:rPr>
        <w:rStyle w:val="64"/>
      </w:rPr>
      <w:instrText xml:space="preserve">PAGE  </w:instrText>
    </w:r>
    <w:r>
      <w:fldChar w:fldCharType="end"/>
    </w:r>
  </w:p>
  <w:p w14:paraId="65FC6C0A">
    <w:pPr>
      <w:pStyle w:val="37"/>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37"/>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AC8232">
                          <w:pPr>
                            <w:pStyle w:val="37"/>
                          </w:pPr>
                          <w:r>
                            <w:t xml:space="preserve">第 </w:t>
                          </w:r>
                          <w:r>
                            <w:fldChar w:fldCharType="begin"/>
                          </w:r>
                          <w:r>
                            <w:instrText xml:space="preserve"> PAGE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1AC8232">
                    <w:pPr>
                      <w:pStyle w:val="37"/>
                    </w:pPr>
                    <w:r>
                      <w:t xml:space="preserve">第 </w:t>
                    </w:r>
                    <w:r>
                      <w:fldChar w:fldCharType="begin"/>
                    </w:r>
                    <w:r>
                      <w:instrText xml:space="preserve"> PAGE  \* MERGEFORMAT </w:instrText>
                    </w:r>
                    <w:r>
                      <w:fldChar w:fldCharType="separate"/>
                    </w:r>
                    <w:r>
                      <w:t>69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72C7B">
    <w:pPr>
      <w:pStyle w:val="3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B60B00">
                          <w:pPr>
                            <w:pStyle w:val="3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FB60B00">
                    <w:pPr>
                      <w:pStyle w:val="3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9AD8F">
    <w:pPr>
      <w:pStyle w:val="3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3C2D55">
                          <w:pPr>
                            <w:pStyle w:val="3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43C2D55">
                    <w:pPr>
                      <w:pStyle w:val="3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249BA">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F58C69">
                          <w:pPr>
                            <w:pStyle w:val="37"/>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EF58C69">
                    <w:pPr>
                      <w:pStyle w:val="37"/>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062F7">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3CB74">
                          <w:pPr>
                            <w:pStyle w:val="37"/>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AF3CB74">
                    <w:pPr>
                      <w:pStyle w:val="37"/>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8AC30">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B60BDF">
                          <w:pPr>
                            <w:pStyle w:val="37"/>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DB60BDF">
                    <w:pPr>
                      <w:pStyle w:val="37"/>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31DD3">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5CB5A3">
                          <w:pPr>
                            <w:pStyle w:val="37"/>
                          </w:pPr>
                          <w:r>
                            <w:t xml:space="preserve">第 </w:t>
                          </w:r>
                          <w:r>
                            <w:fldChar w:fldCharType="begin"/>
                          </w:r>
                          <w:r>
                            <w:instrText xml:space="preserve"> PAGE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35CB5A3">
                    <w:pPr>
                      <w:pStyle w:val="37"/>
                    </w:pPr>
                    <w:r>
                      <w:t xml:space="preserve">第 </w:t>
                    </w:r>
                    <w:r>
                      <w:fldChar w:fldCharType="begin"/>
                    </w:r>
                    <w:r>
                      <w:instrText xml:space="preserve"> PAGE  \* MERGEFORMAT </w:instrText>
                    </w:r>
                    <w:r>
                      <w:fldChar w:fldCharType="separate"/>
                    </w:r>
                    <w:r>
                      <w:t>63</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D3569">
    <w:pPr>
      <w:pStyle w:val="37"/>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BF2B10">
                          <w:pPr>
                            <w:pStyle w:val="37"/>
                          </w:pPr>
                          <w:r>
                            <w:t xml:space="preserve">第 </w:t>
                          </w:r>
                          <w:r>
                            <w:fldChar w:fldCharType="begin"/>
                          </w:r>
                          <w:r>
                            <w:instrText xml:space="preserve"> PAGE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0BF2B10">
                    <w:pPr>
                      <w:pStyle w:val="37"/>
                    </w:pPr>
                    <w:r>
                      <w:t xml:space="preserve">第 </w:t>
                    </w:r>
                    <w:r>
                      <w:fldChar w:fldCharType="begin"/>
                    </w:r>
                    <w:r>
                      <w:instrText xml:space="preserve"> PAGE  \* MERGEFORMAT </w:instrText>
                    </w:r>
                    <w:r>
                      <w:fldChar w:fldCharType="separate"/>
                    </w:r>
                    <w:r>
                      <w:t>68</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A89F2">
    <w:pPr>
      <w:pStyle w:val="37"/>
      <w:framePr w:wrap="around" w:vAnchor="text" w:hAnchor="margin" w:xAlign="right" w:y="1"/>
      <w:rPr>
        <w:rStyle w:val="64"/>
      </w:rPr>
    </w:pPr>
    <w:r>
      <w:fldChar w:fldCharType="begin"/>
    </w:r>
    <w:r>
      <w:rPr>
        <w:rStyle w:val="64"/>
      </w:rPr>
      <w:instrText xml:space="preserve">PAGE  </w:instrText>
    </w:r>
    <w:r>
      <w:fldChar w:fldCharType="end"/>
    </w:r>
  </w:p>
  <w:p w14:paraId="49CD9CF1">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3CD7C">
    <w:pPr>
      <w:pStyle w:val="56"/>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38"/>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B52BB">
    <w:pPr>
      <w:pStyle w:val="38"/>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38"/>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38"/>
    </w:pPr>
    <w:r>
      <w:t></w:t>
    </w:r>
    <w:r>
      <w:rPr>
        <w:rFonts w:hint="eastAsia"/>
      </w:rPr>
      <w:t xml:space="preserve">         </w:t>
    </w:r>
  </w:p>
  <w:p w14:paraId="6F97612A">
    <w:pPr>
      <w:pStyle w:val="38"/>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38"/>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38"/>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E9D68">
    <w:pPr>
      <w:pStyle w:val="38"/>
      <w:jc w:val="right"/>
      <w:rPr>
        <w:rFonts w:eastAsia="仿宋_GB2312"/>
      </w:rPr>
    </w:pPr>
    <w:r>
      <w:rPr>
        <w:rFonts w:hint="eastAsia" w:eastAsia="仿宋_GB2312"/>
        <w:i/>
        <w:iCs/>
      </w:rPr>
      <w:t>杭州市政府采购竞争性磋商文件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9AA27">
    <w:pPr>
      <w:pStyle w:val="38"/>
      <w:jc w:val="right"/>
      <w:rPr>
        <w:rFonts w:eastAsia="仿宋_GB2312"/>
      </w:rPr>
    </w:pPr>
    <w:r>
      <w:rPr>
        <w:rFonts w:hint="eastAsia" w:eastAsia="仿宋_GB2312"/>
        <w:i/>
        <w:iCs/>
      </w:rPr>
      <w:t>杭州市政府采购竞争性磋商文件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38"/>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9F7BC0"/>
    <w:multiLevelType w:val="singleLevel"/>
    <w:tmpl w:val="D89F7BC0"/>
    <w:lvl w:ilvl="0" w:tentative="0">
      <w:start w:val="1"/>
      <w:numFmt w:val="decimal"/>
      <w:suff w:val="nothing"/>
      <w:lvlText w:val="（%1）"/>
      <w:lvlJc w:val="left"/>
    </w:lvl>
  </w:abstractNum>
  <w:abstractNum w:abstractNumId="1">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556F827"/>
    <w:multiLevelType w:val="singleLevel"/>
    <w:tmpl w:val="0556F827"/>
    <w:lvl w:ilvl="0" w:tentative="0">
      <w:start w:val="1"/>
      <w:numFmt w:val="decimal"/>
      <w:suff w:val="nothing"/>
      <w:lvlText w:val="（%1）"/>
      <w:lvlJc w:val="left"/>
    </w:lvl>
  </w:abstractNum>
  <w:abstractNum w:abstractNumId="5">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1892D21"/>
    <w:multiLevelType w:val="singleLevel"/>
    <w:tmpl w:val="41892D21"/>
    <w:lvl w:ilvl="0" w:tentative="0">
      <w:start w:val="1"/>
      <w:numFmt w:val="decimal"/>
      <w:suff w:val="nothing"/>
      <w:lvlText w:val="（%1）"/>
      <w:lvlJc w:val="left"/>
    </w:lvl>
  </w:abstractNum>
  <w:abstractNum w:abstractNumId="8">
    <w:nsid w:val="464162D7"/>
    <w:multiLevelType w:val="singleLevel"/>
    <w:tmpl w:val="464162D7"/>
    <w:lvl w:ilvl="0" w:tentative="0">
      <w:start w:val="1"/>
      <w:numFmt w:val="decimal"/>
      <w:suff w:val="nothing"/>
      <w:lvlText w:val="%1、"/>
      <w:lvlJc w:val="left"/>
    </w:lvl>
  </w:abstractNum>
  <w:abstractNum w:abstractNumId="9">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6171CE10"/>
    <w:multiLevelType w:val="singleLevel"/>
    <w:tmpl w:val="6171CE10"/>
    <w:lvl w:ilvl="0" w:tentative="0">
      <w:start w:val="1"/>
      <w:numFmt w:val="decimal"/>
      <w:suff w:val="nothing"/>
      <w:lvlText w:val="（%1）"/>
      <w:lvlJc w:val="left"/>
    </w:lvl>
  </w:abstractNum>
  <w:abstractNum w:abstractNumId="12">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3"/>
  </w:num>
  <w:num w:numId="3">
    <w:abstractNumId w:val="1"/>
  </w:num>
  <w:num w:numId="4">
    <w:abstractNumId w:val="2"/>
  </w:num>
  <w:num w:numId="5">
    <w:abstractNumId w:val="9"/>
  </w:num>
  <w:num w:numId="6">
    <w:abstractNumId w:val="12"/>
  </w:num>
  <w:num w:numId="7">
    <w:abstractNumId w:val="13"/>
  </w:num>
  <w:num w:numId="8">
    <w:abstractNumId w:val="11"/>
  </w:num>
  <w:num w:numId="9">
    <w:abstractNumId w:val="4"/>
  </w:num>
  <w:num w:numId="10">
    <w:abstractNumId w:val="0"/>
  </w:num>
  <w:num w:numId="11">
    <w:abstractNumId w:val="8"/>
  </w:num>
  <w:num w:numId="12">
    <w:abstractNumId w:val="6"/>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mMTU2YTY1NWEzZmQyNjhiNmE5ZDgyYTlkMmQyYTc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186A33"/>
    <w:rsid w:val="02A66735"/>
    <w:rsid w:val="02DA0C0E"/>
    <w:rsid w:val="02EB05EB"/>
    <w:rsid w:val="02FF3972"/>
    <w:rsid w:val="03290669"/>
    <w:rsid w:val="03525F75"/>
    <w:rsid w:val="03766107"/>
    <w:rsid w:val="03795BF7"/>
    <w:rsid w:val="03DD35E4"/>
    <w:rsid w:val="03EF1A15"/>
    <w:rsid w:val="04B36EE7"/>
    <w:rsid w:val="04F419D9"/>
    <w:rsid w:val="054B5371"/>
    <w:rsid w:val="058A7C48"/>
    <w:rsid w:val="064139CC"/>
    <w:rsid w:val="065A6178"/>
    <w:rsid w:val="069C6813"/>
    <w:rsid w:val="06B857B9"/>
    <w:rsid w:val="074E5106"/>
    <w:rsid w:val="075562B7"/>
    <w:rsid w:val="07564C31"/>
    <w:rsid w:val="07685043"/>
    <w:rsid w:val="0774548E"/>
    <w:rsid w:val="07AD40C1"/>
    <w:rsid w:val="07E8312C"/>
    <w:rsid w:val="07F6164B"/>
    <w:rsid w:val="0878022B"/>
    <w:rsid w:val="087A1B7A"/>
    <w:rsid w:val="08E65ADD"/>
    <w:rsid w:val="08ED64C0"/>
    <w:rsid w:val="08F06627"/>
    <w:rsid w:val="093525C0"/>
    <w:rsid w:val="096B2097"/>
    <w:rsid w:val="0978308C"/>
    <w:rsid w:val="097F383C"/>
    <w:rsid w:val="0A02431C"/>
    <w:rsid w:val="0A5B7E63"/>
    <w:rsid w:val="0A786C09"/>
    <w:rsid w:val="0A7964DD"/>
    <w:rsid w:val="0A93759F"/>
    <w:rsid w:val="0ACA55D0"/>
    <w:rsid w:val="0ACD4199"/>
    <w:rsid w:val="0B3C19E4"/>
    <w:rsid w:val="0B470389"/>
    <w:rsid w:val="0C1C7A68"/>
    <w:rsid w:val="0C272694"/>
    <w:rsid w:val="0C7451AE"/>
    <w:rsid w:val="0C87121B"/>
    <w:rsid w:val="0C9870EE"/>
    <w:rsid w:val="0CA57A5D"/>
    <w:rsid w:val="0CA710DF"/>
    <w:rsid w:val="0D2C7836"/>
    <w:rsid w:val="0D406E70"/>
    <w:rsid w:val="0DF702FE"/>
    <w:rsid w:val="0E3F698B"/>
    <w:rsid w:val="0E512A6E"/>
    <w:rsid w:val="0E6C1257"/>
    <w:rsid w:val="0E9B2EC6"/>
    <w:rsid w:val="0F21508F"/>
    <w:rsid w:val="0F5A5835"/>
    <w:rsid w:val="0F816ACD"/>
    <w:rsid w:val="0FB94501"/>
    <w:rsid w:val="100B407B"/>
    <w:rsid w:val="10252FC2"/>
    <w:rsid w:val="108F25B6"/>
    <w:rsid w:val="10AC1E65"/>
    <w:rsid w:val="10B047CF"/>
    <w:rsid w:val="10BB47E2"/>
    <w:rsid w:val="10FC16EA"/>
    <w:rsid w:val="118963A1"/>
    <w:rsid w:val="11987B90"/>
    <w:rsid w:val="119C142F"/>
    <w:rsid w:val="11A433C1"/>
    <w:rsid w:val="11D24E50"/>
    <w:rsid w:val="121556F8"/>
    <w:rsid w:val="1235718D"/>
    <w:rsid w:val="127723A9"/>
    <w:rsid w:val="129A3494"/>
    <w:rsid w:val="12B40B75"/>
    <w:rsid w:val="13072A44"/>
    <w:rsid w:val="13262232"/>
    <w:rsid w:val="132F6A72"/>
    <w:rsid w:val="13897791"/>
    <w:rsid w:val="13DF5603"/>
    <w:rsid w:val="13F05A62"/>
    <w:rsid w:val="141075D0"/>
    <w:rsid w:val="142D34E3"/>
    <w:rsid w:val="145044FA"/>
    <w:rsid w:val="149F1820"/>
    <w:rsid w:val="14A625C4"/>
    <w:rsid w:val="14B24AC5"/>
    <w:rsid w:val="14B922F8"/>
    <w:rsid w:val="14D21850"/>
    <w:rsid w:val="14FB646C"/>
    <w:rsid w:val="15474F0A"/>
    <w:rsid w:val="157F52EF"/>
    <w:rsid w:val="15826B8D"/>
    <w:rsid w:val="15BB2B67"/>
    <w:rsid w:val="16163B51"/>
    <w:rsid w:val="16297D66"/>
    <w:rsid w:val="162D4D4B"/>
    <w:rsid w:val="16CF6421"/>
    <w:rsid w:val="16F5338F"/>
    <w:rsid w:val="17255A22"/>
    <w:rsid w:val="178642C9"/>
    <w:rsid w:val="179D7CAF"/>
    <w:rsid w:val="184F73DC"/>
    <w:rsid w:val="186742B0"/>
    <w:rsid w:val="18B74E5C"/>
    <w:rsid w:val="18D53478"/>
    <w:rsid w:val="19267830"/>
    <w:rsid w:val="194C7B89"/>
    <w:rsid w:val="19925ACB"/>
    <w:rsid w:val="19CD414F"/>
    <w:rsid w:val="1AF13750"/>
    <w:rsid w:val="1B043BA1"/>
    <w:rsid w:val="1B2A271F"/>
    <w:rsid w:val="1B4F3923"/>
    <w:rsid w:val="1B890139"/>
    <w:rsid w:val="1CBA0DC9"/>
    <w:rsid w:val="1CDB53AB"/>
    <w:rsid w:val="1CE95744"/>
    <w:rsid w:val="1D266CE1"/>
    <w:rsid w:val="1D344C11"/>
    <w:rsid w:val="1D3963AF"/>
    <w:rsid w:val="1D81597C"/>
    <w:rsid w:val="1DB55626"/>
    <w:rsid w:val="1DFA6FB2"/>
    <w:rsid w:val="1E253203"/>
    <w:rsid w:val="1E714A66"/>
    <w:rsid w:val="1E766B63"/>
    <w:rsid w:val="1E8C751D"/>
    <w:rsid w:val="1EA9518B"/>
    <w:rsid w:val="1EF65EF6"/>
    <w:rsid w:val="1F0A7915"/>
    <w:rsid w:val="1F6605F9"/>
    <w:rsid w:val="1F6B63EC"/>
    <w:rsid w:val="1F8B2AE2"/>
    <w:rsid w:val="1FA971A1"/>
    <w:rsid w:val="1FE868A9"/>
    <w:rsid w:val="200547B4"/>
    <w:rsid w:val="20280331"/>
    <w:rsid w:val="202F346E"/>
    <w:rsid w:val="204A2F8F"/>
    <w:rsid w:val="20735A50"/>
    <w:rsid w:val="20BE47F2"/>
    <w:rsid w:val="20F603D2"/>
    <w:rsid w:val="211E26D6"/>
    <w:rsid w:val="21283D08"/>
    <w:rsid w:val="21311468"/>
    <w:rsid w:val="21556F04"/>
    <w:rsid w:val="2195315C"/>
    <w:rsid w:val="21AB121A"/>
    <w:rsid w:val="21CB27F1"/>
    <w:rsid w:val="220821C8"/>
    <w:rsid w:val="230F7587"/>
    <w:rsid w:val="23621ECB"/>
    <w:rsid w:val="239A1546"/>
    <w:rsid w:val="24555570"/>
    <w:rsid w:val="24A81A41"/>
    <w:rsid w:val="25007ACF"/>
    <w:rsid w:val="25191329"/>
    <w:rsid w:val="258160E4"/>
    <w:rsid w:val="25B440B3"/>
    <w:rsid w:val="26137703"/>
    <w:rsid w:val="265359DC"/>
    <w:rsid w:val="267C3185"/>
    <w:rsid w:val="26BE19EF"/>
    <w:rsid w:val="26C37006"/>
    <w:rsid w:val="26EB5CD8"/>
    <w:rsid w:val="26F23447"/>
    <w:rsid w:val="27C0561D"/>
    <w:rsid w:val="27D8088F"/>
    <w:rsid w:val="27EB05C2"/>
    <w:rsid w:val="280D5870"/>
    <w:rsid w:val="28E74C36"/>
    <w:rsid w:val="28F84BBB"/>
    <w:rsid w:val="290707D5"/>
    <w:rsid w:val="29143B49"/>
    <w:rsid w:val="29514455"/>
    <w:rsid w:val="298A6197"/>
    <w:rsid w:val="299F0CB6"/>
    <w:rsid w:val="29D37560"/>
    <w:rsid w:val="29DF7CB3"/>
    <w:rsid w:val="2A5A37DD"/>
    <w:rsid w:val="2A930A9D"/>
    <w:rsid w:val="2AA1365A"/>
    <w:rsid w:val="2B30453E"/>
    <w:rsid w:val="2B434271"/>
    <w:rsid w:val="2BF13CCD"/>
    <w:rsid w:val="2C550700"/>
    <w:rsid w:val="2CCF6074"/>
    <w:rsid w:val="2CD56765"/>
    <w:rsid w:val="2D0B0DBF"/>
    <w:rsid w:val="2D143BBB"/>
    <w:rsid w:val="2D482013"/>
    <w:rsid w:val="2D4D2A86"/>
    <w:rsid w:val="2D4D661C"/>
    <w:rsid w:val="2D601FCA"/>
    <w:rsid w:val="2D8D21DF"/>
    <w:rsid w:val="2D994FB5"/>
    <w:rsid w:val="2DA57465"/>
    <w:rsid w:val="2DC25921"/>
    <w:rsid w:val="2DC46415"/>
    <w:rsid w:val="2DD15014"/>
    <w:rsid w:val="2DDB7535"/>
    <w:rsid w:val="2E782484"/>
    <w:rsid w:val="2E7F6628"/>
    <w:rsid w:val="2EF835C5"/>
    <w:rsid w:val="2F4A2072"/>
    <w:rsid w:val="2F6D5D61"/>
    <w:rsid w:val="2FB44A0F"/>
    <w:rsid w:val="2FD25781"/>
    <w:rsid w:val="3049232A"/>
    <w:rsid w:val="30CD2F5B"/>
    <w:rsid w:val="310B5831"/>
    <w:rsid w:val="319C6071"/>
    <w:rsid w:val="31A905EB"/>
    <w:rsid w:val="3216630D"/>
    <w:rsid w:val="322E1CFE"/>
    <w:rsid w:val="32633C7F"/>
    <w:rsid w:val="32737B32"/>
    <w:rsid w:val="32DB72BE"/>
    <w:rsid w:val="332D5F33"/>
    <w:rsid w:val="33AA7583"/>
    <w:rsid w:val="33FC5905"/>
    <w:rsid w:val="34034EE6"/>
    <w:rsid w:val="342E63AB"/>
    <w:rsid w:val="345D260B"/>
    <w:rsid w:val="34737FC2"/>
    <w:rsid w:val="34963664"/>
    <w:rsid w:val="350B5E00"/>
    <w:rsid w:val="357065AB"/>
    <w:rsid w:val="35753BC1"/>
    <w:rsid w:val="357853FC"/>
    <w:rsid w:val="36156A40"/>
    <w:rsid w:val="362B4280"/>
    <w:rsid w:val="364C2B74"/>
    <w:rsid w:val="365302AE"/>
    <w:rsid w:val="36AC3612"/>
    <w:rsid w:val="370945C1"/>
    <w:rsid w:val="37217B5C"/>
    <w:rsid w:val="37287589"/>
    <w:rsid w:val="37555A58"/>
    <w:rsid w:val="37584904"/>
    <w:rsid w:val="375872F6"/>
    <w:rsid w:val="37C24A54"/>
    <w:rsid w:val="37C87FD8"/>
    <w:rsid w:val="37F142D2"/>
    <w:rsid w:val="3836588A"/>
    <w:rsid w:val="383E029A"/>
    <w:rsid w:val="387E4B3B"/>
    <w:rsid w:val="38DE55D9"/>
    <w:rsid w:val="38E250CA"/>
    <w:rsid w:val="38E30E42"/>
    <w:rsid w:val="391D25A6"/>
    <w:rsid w:val="392C4597"/>
    <w:rsid w:val="39565C38"/>
    <w:rsid w:val="39A13F14"/>
    <w:rsid w:val="39BF3306"/>
    <w:rsid w:val="3A233BEC"/>
    <w:rsid w:val="3A383CB2"/>
    <w:rsid w:val="3A52627F"/>
    <w:rsid w:val="3AC9662A"/>
    <w:rsid w:val="3AFD1719"/>
    <w:rsid w:val="3B3168F3"/>
    <w:rsid w:val="3B6A5AD3"/>
    <w:rsid w:val="3B79C5FC"/>
    <w:rsid w:val="3C3A521C"/>
    <w:rsid w:val="3C5F759A"/>
    <w:rsid w:val="3C9506A5"/>
    <w:rsid w:val="3CFB29E7"/>
    <w:rsid w:val="3D5C78D4"/>
    <w:rsid w:val="3D8C1AA8"/>
    <w:rsid w:val="3D9B7F3D"/>
    <w:rsid w:val="3DBC05DF"/>
    <w:rsid w:val="3DEE31B7"/>
    <w:rsid w:val="3E533921"/>
    <w:rsid w:val="3E772758"/>
    <w:rsid w:val="3F3A2666"/>
    <w:rsid w:val="3F6C78B8"/>
    <w:rsid w:val="3FC203C9"/>
    <w:rsid w:val="3FD61700"/>
    <w:rsid w:val="3FE44323"/>
    <w:rsid w:val="3FFF72A6"/>
    <w:rsid w:val="40C477AB"/>
    <w:rsid w:val="40E165AE"/>
    <w:rsid w:val="41281AE7"/>
    <w:rsid w:val="41770CEE"/>
    <w:rsid w:val="41872CB2"/>
    <w:rsid w:val="42103979"/>
    <w:rsid w:val="42E1381E"/>
    <w:rsid w:val="42E47CD2"/>
    <w:rsid w:val="43362BE2"/>
    <w:rsid w:val="435272F0"/>
    <w:rsid w:val="43754D8C"/>
    <w:rsid w:val="43B81461"/>
    <w:rsid w:val="43C7383A"/>
    <w:rsid w:val="43FB717C"/>
    <w:rsid w:val="4453331F"/>
    <w:rsid w:val="44A665F1"/>
    <w:rsid w:val="44C61D43"/>
    <w:rsid w:val="44F2475C"/>
    <w:rsid w:val="451E447A"/>
    <w:rsid w:val="45345B76"/>
    <w:rsid w:val="458A0FC3"/>
    <w:rsid w:val="45B44352"/>
    <w:rsid w:val="45C407F8"/>
    <w:rsid w:val="46535859"/>
    <w:rsid w:val="46C73B51"/>
    <w:rsid w:val="46F612C3"/>
    <w:rsid w:val="46F669BE"/>
    <w:rsid w:val="470B1C8F"/>
    <w:rsid w:val="471425D5"/>
    <w:rsid w:val="47307808"/>
    <w:rsid w:val="47A3275F"/>
    <w:rsid w:val="47AF6EE1"/>
    <w:rsid w:val="47E726FC"/>
    <w:rsid w:val="485633DE"/>
    <w:rsid w:val="486F747C"/>
    <w:rsid w:val="48DF1625"/>
    <w:rsid w:val="499875AE"/>
    <w:rsid w:val="49A40179"/>
    <w:rsid w:val="49EC3FFA"/>
    <w:rsid w:val="49F904C5"/>
    <w:rsid w:val="4A1C51FA"/>
    <w:rsid w:val="4A4F2DB8"/>
    <w:rsid w:val="4A841357"/>
    <w:rsid w:val="4AC62A0B"/>
    <w:rsid w:val="4AFB026D"/>
    <w:rsid w:val="4B64529E"/>
    <w:rsid w:val="4BC60A62"/>
    <w:rsid w:val="4D493511"/>
    <w:rsid w:val="4D5819A6"/>
    <w:rsid w:val="4D861CF6"/>
    <w:rsid w:val="4DD27803"/>
    <w:rsid w:val="4E4D5946"/>
    <w:rsid w:val="4E6F5B58"/>
    <w:rsid w:val="4EA604F0"/>
    <w:rsid w:val="4F161B19"/>
    <w:rsid w:val="4F637D7D"/>
    <w:rsid w:val="4FC75311"/>
    <w:rsid w:val="4FCD042A"/>
    <w:rsid w:val="50102E4D"/>
    <w:rsid w:val="50213B5F"/>
    <w:rsid w:val="50250266"/>
    <w:rsid w:val="502D757B"/>
    <w:rsid w:val="505A77E4"/>
    <w:rsid w:val="50947199"/>
    <w:rsid w:val="51087240"/>
    <w:rsid w:val="514364CA"/>
    <w:rsid w:val="51A0432A"/>
    <w:rsid w:val="51B86AD1"/>
    <w:rsid w:val="51BF0246"/>
    <w:rsid w:val="5207583A"/>
    <w:rsid w:val="520E0886"/>
    <w:rsid w:val="522E2CD6"/>
    <w:rsid w:val="527140E5"/>
    <w:rsid w:val="5292508F"/>
    <w:rsid w:val="52A96B6F"/>
    <w:rsid w:val="52B551A5"/>
    <w:rsid w:val="52BA27BB"/>
    <w:rsid w:val="5338205E"/>
    <w:rsid w:val="535B4061"/>
    <w:rsid w:val="53B92A73"/>
    <w:rsid w:val="53DD2C05"/>
    <w:rsid w:val="53E20440"/>
    <w:rsid w:val="542E3166"/>
    <w:rsid w:val="543E18F6"/>
    <w:rsid w:val="5453233C"/>
    <w:rsid w:val="545735C7"/>
    <w:rsid w:val="54930E84"/>
    <w:rsid w:val="549B40CD"/>
    <w:rsid w:val="54A84FC1"/>
    <w:rsid w:val="54E24F3E"/>
    <w:rsid w:val="550764A4"/>
    <w:rsid w:val="551926E0"/>
    <w:rsid w:val="5527238A"/>
    <w:rsid w:val="553D0290"/>
    <w:rsid w:val="55564C24"/>
    <w:rsid w:val="559E76F0"/>
    <w:rsid w:val="55DF6961"/>
    <w:rsid w:val="55EA33B8"/>
    <w:rsid w:val="561279B9"/>
    <w:rsid w:val="561F3061"/>
    <w:rsid w:val="56462CE4"/>
    <w:rsid w:val="564F5F12"/>
    <w:rsid w:val="56515F3B"/>
    <w:rsid w:val="565F3DA6"/>
    <w:rsid w:val="56682C5A"/>
    <w:rsid w:val="5676E2BD"/>
    <w:rsid w:val="56945064"/>
    <w:rsid w:val="56F95FA8"/>
    <w:rsid w:val="570B0881"/>
    <w:rsid w:val="572B71CA"/>
    <w:rsid w:val="57947A7F"/>
    <w:rsid w:val="57C245EC"/>
    <w:rsid w:val="57E958DA"/>
    <w:rsid w:val="57FD3E2B"/>
    <w:rsid w:val="58185E81"/>
    <w:rsid w:val="58AE4F0C"/>
    <w:rsid w:val="58D81BED"/>
    <w:rsid w:val="58DE7204"/>
    <w:rsid w:val="58F46A27"/>
    <w:rsid w:val="58FC3B2E"/>
    <w:rsid w:val="599864FB"/>
    <w:rsid w:val="59A64B68"/>
    <w:rsid w:val="59E3154C"/>
    <w:rsid w:val="5A2A7C7B"/>
    <w:rsid w:val="5A4237C2"/>
    <w:rsid w:val="5A6B0F6B"/>
    <w:rsid w:val="5AA24727"/>
    <w:rsid w:val="5ABF40D3"/>
    <w:rsid w:val="5BE02A4F"/>
    <w:rsid w:val="5C025177"/>
    <w:rsid w:val="5C3B671B"/>
    <w:rsid w:val="5C80234E"/>
    <w:rsid w:val="5CB12E81"/>
    <w:rsid w:val="5CF36FF6"/>
    <w:rsid w:val="5D40331D"/>
    <w:rsid w:val="5D573A29"/>
    <w:rsid w:val="5D964551"/>
    <w:rsid w:val="5DE07B6A"/>
    <w:rsid w:val="5DE80ECD"/>
    <w:rsid w:val="5DEA21A7"/>
    <w:rsid w:val="5E261785"/>
    <w:rsid w:val="5E47584B"/>
    <w:rsid w:val="5E4E141F"/>
    <w:rsid w:val="5E956320"/>
    <w:rsid w:val="5EDF3CD6"/>
    <w:rsid w:val="5F0C439F"/>
    <w:rsid w:val="5F28567D"/>
    <w:rsid w:val="5F8E3006"/>
    <w:rsid w:val="5FCC5339"/>
    <w:rsid w:val="5FE45AFE"/>
    <w:rsid w:val="5FE70807"/>
    <w:rsid w:val="5FFE112B"/>
    <w:rsid w:val="60365B77"/>
    <w:rsid w:val="603B318E"/>
    <w:rsid w:val="60730E9C"/>
    <w:rsid w:val="60E53485"/>
    <w:rsid w:val="60ED54D3"/>
    <w:rsid w:val="61054A27"/>
    <w:rsid w:val="611D2366"/>
    <w:rsid w:val="612A3574"/>
    <w:rsid w:val="61466840"/>
    <w:rsid w:val="614E5143"/>
    <w:rsid w:val="617F70AA"/>
    <w:rsid w:val="61EF4D33"/>
    <w:rsid w:val="61F950AE"/>
    <w:rsid w:val="620D0B5A"/>
    <w:rsid w:val="625247BE"/>
    <w:rsid w:val="626A1B08"/>
    <w:rsid w:val="62885958"/>
    <w:rsid w:val="62AC3ECF"/>
    <w:rsid w:val="62C2255D"/>
    <w:rsid w:val="62FB4E56"/>
    <w:rsid w:val="630E06E5"/>
    <w:rsid w:val="63543522"/>
    <w:rsid w:val="63C74D38"/>
    <w:rsid w:val="64436AB5"/>
    <w:rsid w:val="647B3B52"/>
    <w:rsid w:val="64A2464C"/>
    <w:rsid w:val="64A6459D"/>
    <w:rsid w:val="64AE26C6"/>
    <w:rsid w:val="64CE2EAA"/>
    <w:rsid w:val="65384140"/>
    <w:rsid w:val="6580759D"/>
    <w:rsid w:val="65F95FCF"/>
    <w:rsid w:val="662E75B1"/>
    <w:rsid w:val="66342C2E"/>
    <w:rsid w:val="663E784C"/>
    <w:rsid w:val="66CD49A5"/>
    <w:rsid w:val="674C7A59"/>
    <w:rsid w:val="67C63C85"/>
    <w:rsid w:val="680E1B3B"/>
    <w:rsid w:val="682B1D3A"/>
    <w:rsid w:val="68556DB7"/>
    <w:rsid w:val="685867EC"/>
    <w:rsid w:val="68A90854"/>
    <w:rsid w:val="68F465CF"/>
    <w:rsid w:val="69000A2F"/>
    <w:rsid w:val="690925C3"/>
    <w:rsid w:val="695B03FD"/>
    <w:rsid w:val="698E432E"/>
    <w:rsid w:val="6A1330E9"/>
    <w:rsid w:val="6ABE08EB"/>
    <w:rsid w:val="6AEF52A0"/>
    <w:rsid w:val="6AFD5FCC"/>
    <w:rsid w:val="6B9D3CB8"/>
    <w:rsid w:val="6BA43D87"/>
    <w:rsid w:val="6BD66460"/>
    <w:rsid w:val="6BE935CE"/>
    <w:rsid w:val="6BED47D0"/>
    <w:rsid w:val="6BF608B1"/>
    <w:rsid w:val="6C830396"/>
    <w:rsid w:val="6D01030E"/>
    <w:rsid w:val="6D033285"/>
    <w:rsid w:val="6D093549"/>
    <w:rsid w:val="6D0F4353"/>
    <w:rsid w:val="6DB30807"/>
    <w:rsid w:val="6DDF7A9C"/>
    <w:rsid w:val="6E3F209B"/>
    <w:rsid w:val="6E8E12EF"/>
    <w:rsid w:val="6EF56BFD"/>
    <w:rsid w:val="6F347726"/>
    <w:rsid w:val="6FD71C4D"/>
    <w:rsid w:val="6FFB4B3D"/>
    <w:rsid w:val="70124EFA"/>
    <w:rsid w:val="708A15C7"/>
    <w:rsid w:val="71381023"/>
    <w:rsid w:val="71AD37BF"/>
    <w:rsid w:val="71CC6099"/>
    <w:rsid w:val="71D43752"/>
    <w:rsid w:val="71D84CE0"/>
    <w:rsid w:val="72847FD7"/>
    <w:rsid w:val="72A11F2B"/>
    <w:rsid w:val="72B648F6"/>
    <w:rsid w:val="72BE6102"/>
    <w:rsid w:val="72F01BB6"/>
    <w:rsid w:val="72FFFA5B"/>
    <w:rsid w:val="737C5B3F"/>
    <w:rsid w:val="73DD6243"/>
    <w:rsid w:val="73F456D6"/>
    <w:rsid w:val="741B2381"/>
    <w:rsid w:val="749A44CF"/>
    <w:rsid w:val="749C4185"/>
    <w:rsid w:val="74DD0860"/>
    <w:rsid w:val="75114065"/>
    <w:rsid w:val="752B3379"/>
    <w:rsid w:val="758919A7"/>
    <w:rsid w:val="758B3E18"/>
    <w:rsid w:val="75DA2C18"/>
    <w:rsid w:val="75FE0A8D"/>
    <w:rsid w:val="767C3D02"/>
    <w:rsid w:val="768A0573"/>
    <w:rsid w:val="76B455F0"/>
    <w:rsid w:val="76ED7D74"/>
    <w:rsid w:val="77144B96"/>
    <w:rsid w:val="775319EF"/>
    <w:rsid w:val="7756518C"/>
    <w:rsid w:val="77585F7B"/>
    <w:rsid w:val="779C055E"/>
    <w:rsid w:val="782D083A"/>
    <w:rsid w:val="790F1C77"/>
    <w:rsid w:val="79164340"/>
    <w:rsid w:val="79652BD2"/>
    <w:rsid w:val="79B55907"/>
    <w:rsid w:val="79CD2C51"/>
    <w:rsid w:val="7A140880"/>
    <w:rsid w:val="7A195E96"/>
    <w:rsid w:val="7A475776"/>
    <w:rsid w:val="7A67303B"/>
    <w:rsid w:val="7AA37E55"/>
    <w:rsid w:val="7AAB1D04"/>
    <w:rsid w:val="7ABA4368"/>
    <w:rsid w:val="7ACE4ED2"/>
    <w:rsid w:val="7AD149C3"/>
    <w:rsid w:val="7B257FFD"/>
    <w:rsid w:val="7B3804BA"/>
    <w:rsid w:val="7B694BFB"/>
    <w:rsid w:val="7BAA3CDA"/>
    <w:rsid w:val="7BF22E42"/>
    <w:rsid w:val="7C2B1DA5"/>
    <w:rsid w:val="7C4411C4"/>
    <w:rsid w:val="7C5A4544"/>
    <w:rsid w:val="7C605FFE"/>
    <w:rsid w:val="7C9F0343"/>
    <w:rsid w:val="7D2863F0"/>
    <w:rsid w:val="7D7B29C4"/>
    <w:rsid w:val="7DF4317E"/>
    <w:rsid w:val="7E1C41A7"/>
    <w:rsid w:val="7E462FD2"/>
    <w:rsid w:val="7E64308B"/>
    <w:rsid w:val="7EAA17B2"/>
    <w:rsid w:val="7EB60CAD"/>
    <w:rsid w:val="7EFDE7A7"/>
    <w:rsid w:val="7F5B2AAD"/>
    <w:rsid w:val="7F743B6E"/>
    <w:rsid w:val="7F912972"/>
    <w:rsid w:val="7FC71EF0"/>
    <w:rsid w:val="7FEE1B73"/>
    <w:rsid w:val="7FF52F01"/>
    <w:rsid w:val="AFF7A0CB"/>
    <w:rsid w:val="B7BF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11"/>
    <w:qFormat/>
    <w:uiPriority w:val="0"/>
    <w:pPr>
      <w:autoSpaceDE w:val="0"/>
      <w:autoSpaceDN w:val="0"/>
      <w:spacing w:line="360" w:lineRule="auto"/>
    </w:pPr>
    <w:rPr>
      <w:rFonts w:ascii="宋体"/>
      <w:sz w:val="24"/>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next w:val="16"/>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Balloon Text"/>
    <w:basedOn w:val="1"/>
    <w:next w:val="17"/>
    <w:link w:val="614"/>
    <w:semiHidden/>
    <w:qFormat/>
    <w:uiPriority w:val="0"/>
    <w:rPr>
      <w:sz w:val="18"/>
      <w:szCs w:val="18"/>
    </w:rPr>
  </w:style>
  <w:style w:type="paragraph" w:styleId="17">
    <w:name w:val="toc 8"/>
    <w:basedOn w:val="1"/>
    <w:next w:val="1"/>
    <w:qFormat/>
    <w:uiPriority w:val="0"/>
    <w:pPr>
      <w:ind w:left="2940" w:leftChars="1400"/>
    </w:pPr>
  </w:style>
  <w:style w:type="paragraph" w:styleId="18">
    <w:name w:val="Normal Indent"/>
    <w:basedOn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semiHidden/>
    <w:qFormat/>
    <w:uiPriority w:val="0"/>
    <w:pPr>
      <w:shd w:val="clear" w:color="auto" w:fill="000080"/>
    </w:pPr>
  </w:style>
  <w:style w:type="paragraph" w:styleId="22">
    <w:name w:val="annotation text"/>
    <w:basedOn w:val="1"/>
    <w:link w:val="613"/>
    <w:qFormat/>
    <w:uiPriority w:val="99"/>
    <w:pPr>
      <w:jc w:val="left"/>
    </w:pPr>
  </w:style>
  <w:style w:type="paragraph" w:styleId="23">
    <w:name w:val="Salutation"/>
    <w:basedOn w:val="1"/>
    <w:next w:val="1"/>
    <w:link w:val="481"/>
    <w:qFormat/>
    <w:uiPriority w:val="0"/>
    <w:rPr>
      <w:rFonts w:ascii="仿宋_GB2312" w:eastAsia="仿宋_GB2312"/>
      <w:sz w:val="28"/>
      <w:szCs w:val="20"/>
    </w:rPr>
  </w:style>
  <w:style w:type="paragraph" w:styleId="24">
    <w:name w:val="Body Text 3"/>
    <w:basedOn w:val="1"/>
    <w:link w:val="580"/>
    <w:qFormat/>
    <w:uiPriority w:val="0"/>
    <w:pPr>
      <w:jc w:val="center"/>
    </w:pPr>
    <w:rPr>
      <w:szCs w:val="20"/>
    </w:rPr>
  </w:style>
  <w:style w:type="paragraph" w:styleId="25">
    <w:name w:val="Body Text Indent"/>
    <w:basedOn w:val="1"/>
    <w:next w:val="15"/>
    <w:link w:val="47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488"/>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Date"/>
    <w:basedOn w:val="1"/>
    <w:next w:val="1"/>
    <w:link w:val="597"/>
    <w:qFormat/>
    <w:uiPriority w:val="0"/>
    <w:pPr>
      <w:ind w:left="100" w:leftChars="2500"/>
    </w:pPr>
    <w:rPr>
      <w:rFonts w:ascii="宋体"/>
      <w:sz w:val="24"/>
      <w:szCs w:val="21"/>
      <w:lang w:val="zh-CN"/>
    </w:rPr>
  </w:style>
  <w:style w:type="paragraph" w:styleId="36">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8"/>
    <w:link w:val="472"/>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7"/>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22"/>
    <w:next w:val="22"/>
    <w:semiHidden/>
    <w:qFormat/>
    <w:uiPriority w:val="0"/>
    <w:rPr>
      <w:b/>
      <w:bCs/>
    </w:rPr>
  </w:style>
  <w:style w:type="paragraph" w:styleId="58">
    <w:name w:val="Body Text First Indent"/>
    <w:basedOn w:val="2"/>
    <w:next w:val="48"/>
    <w:link w:val="544"/>
    <w:qFormat/>
    <w:uiPriority w:val="0"/>
    <w:pPr>
      <w:ind w:firstLine="420"/>
    </w:pPr>
    <w:rPr>
      <w:szCs w:val="20"/>
    </w:rPr>
  </w:style>
  <w:style w:type="paragraph" w:styleId="59">
    <w:name w:val="Body Text First Indent 2"/>
    <w:basedOn w:val="25"/>
    <w:link w:val="501"/>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8"/>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6"/>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6"/>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3"/>
    <w:qFormat/>
    <w:uiPriority w:val="0"/>
    <w:pPr>
      <w:snapToGrid w:val="0"/>
      <w:spacing w:line="360" w:lineRule="auto"/>
    </w:pPr>
    <w:rPr>
      <w:rFonts w:ascii="宋体"/>
      <w:b/>
      <w:sz w:val="24"/>
      <w:szCs w:val="20"/>
    </w:rPr>
  </w:style>
  <w:style w:type="paragraph" w:customStyle="1" w:styleId="229">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6"/>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5"/>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5"/>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6"/>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21"/>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7"/>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7"/>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3"/>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3"/>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39"/>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2"/>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10"/>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47"/>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5"/>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9"/>
    <w:qFormat/>
    <w:uiPriority w:val="0"/>
    <w:rPr>
      <w:b/>
      <w:bCs/>
      <w:kern w:val="2"/>
      <w:sz w:val="24"/>
      <w:szCs w:val="24"/>
    </w:rPr>
  </w:style>
  <w:style w:type="character" w:customStyle="1" w:styleId="481">
    <w:name w:val="称呼 Char"/>
    <w:link w:val="23"/>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4"/>
    <w:qFormat/>
    <w:uiPriority w:val="0"/>
    <w:rPr>
      <w:rFonts w:ascii="Arial" w:hAnsi="Arial" w:eastAsia="隶书"/>
      <w:b/>
      <w:bCs/>
      <w:kern w:val="28"/>
      <w:sz w:val="44"/>
      <w:szCs w:val="32"/>
      <w:lang w:val="en-US" w:eastAsia="zh-CN" w:bidi="ar-SA"/>
    </w:rPr>
  </w:style>
  <w:style w:type="character" w:customStyle="1" w:styleId="48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59"/>
    <w:qFormat/>
    <w:uiPriority w:val="0"/>
    <w:rPr>
      <w:rFonts w:ascii="宋体" w:hAnsi="宋体"/>
      <w:kern w:val="2"/>
      <w:sz w:val="21"/>
      <w:szCs w:val="24"/>
    </w:rPr>
  </w:style>
  <w:style w:type="character" w:customStyle="1" w:styleId="502">
    <w:name w:val="正文文本缩进 2 Char"/>
    <w:link w:val="36"/>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3"/>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1"/>
    <w:qFormat/>
    <w:uiPriority w:val="0"/>
    <w:rPr>
      <w:rFonts w:ascii="Arial" w:hAnsi="Arial" w:eastAsia="黑体"/>
      <w:kern w:val="2"/>
      <w:sz w:val="21"/>
      <w:szCs w:val="21"/>
    </w:rPr>
  </w:style>
  <w:style w:type="character" w:customStyle="1" w:styleId="519">
    <w:name w:val="md"/>
    <w:basedOn w:val="62"/>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basedOn w:val="62"/>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2"/>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4"/>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58"/>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3"/>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30"/>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7"/>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2"/>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4"/>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0"/>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2"/>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5"/>
    <w:qFormat/>
    <w:uiPriority w:val="0"/>
    <w:rPr>
      <w:rFonts w:ascii="宋体"/>
      <w:kern w:val="2"/>
      <w:sz w:val="24"/>
      <w:szCs w:val="21"/>
      <w:lang w:val="zh-CN"/>
    </w:rPr>
  </w:style>
  <w:style w:type="character" w:customStyle="1" w:styleId="598">
    <w:name w:val="标题 4 Char"/>
    <w:link w:val="6"/>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8"/>
    <w:qFormat/>
    <w:uiPriority w:val="0"/>
    <w:rPr>
      <w:rFonts w:ascii="Arial" w:hAnsi="Arial" w:eastAsia="黑体"/>
      <w:b/>
      <w:bCs/>
      <w:kern w:val="2"/>
      <w:sz w:val="24"/>
      <w:szCs w:val="24"/>
    </w:rPr>
  </w:style>
  <w:style w:type="character" w:customStyle="1" w:styleId="612">
    <w:name w:val="正文缩进 Char2"/>
    <w:link w:val="18"/>
    <w:qFormat/>
    <w:uiPriority w:val="0"/>
    <w:rPr>
      <w:rFonts w:ascii="宋体" w:eastAsia="宋体"/>
      <w:snapToGrid w:val="0"/>
      <w:color w:val="000000"/>
      <w:kern w:val="28"/>
      <w:sz w:val="28"/>
      <w:lang w:val="en-US" w:eastAsia="zh-CN" w:bidi="ar-SA"/>
    </w:rPr>
  </w:style>
  <w:style w:type="character" w:customStyle="1" w:styleId="613">
    <w:name w:val="批注文字 Char1"/>
    <w:link w:val="22"/>
    <w:qFormat/>
    <w:uiPriority w:val="99"/>
    <w:rPr>
      <w:kern w:val="2"/>
      <w:sz w:val="21"/>
      <w:szCs w:val="24"/>
    </w:rPr>
  </w:style>
  <w:style w:type="character" w:customStyle="1" w:styleId="614">
    <w:name w:val="批注框文本 Char"/>
    <w:link w:val="16"/>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620"/>
    <w:link w:val="621"/>
    <w:qFormat/>
    <w:uiPriority w:val="0"/>
    <w:pPr>
      <w:adjustRightInd/>
    </w:pPr>
    <w:rPr>
      <w:rFonts w:ascii="宋体" w:hAnsi="Courier New"/>
      <w:szCs w:val="21"/>
    </w:rPr>
  </w:style>
  <w:style w:type="paragraph" w:customStyle="1" w:styleId="62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1">
    <w:name w:val="纯文本 Char_0"/>
    <w:link w:val="619"/>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99"/>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正文空2字"/>
    <w:basedOn w:val="63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3">
    <w:name w:val="左对齐正文"/>
    <w:qFormat/>
    <w:uiPriority w:val="99"/>
    <w:rPr>
      <w:rFonts w:ascii="Calibri" w:hAnsi="Calibri" w:eastAsia="仿宋_GB2312" w:cs="Calibri"/>
      <w:kern w:val="2"/>
      <w:sz w:val="32"/>
      <w:szCs w:val="32"/>
      <w:lang w:val="en-US" w:eastAsia="zh-CN" w:bidi="ar-SA"/>
    </w:rPr>
  </w:style>
  <w:style w:type="character" w:customStyle="1" w:styleId="634">
    <w:name w:val="NormalCharacter"/>
    <w:basedOn w:val="62"/>
    <w:qFormat/>
    <w:uiPriority w:val="0"/>
  </w:style>
  <w:style w:type="paragraph" w:customStyle="1" w:styleId="635">
    <w:name w:val="_Style 3"/>
    <w:basedOn w:val="1"/>
    <w:qFormat/>
    <w:uiPriority w:val="0"/>
    <w:pPr>
      <w:adjustRightInd/>
      <w:ind w:firstLine="420" w:firstLineChars="200"/>
    </w:pPr>
    <w:rPr>
      <w:rFonts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8914</Words>
  <Characters>9541</Characters>
  <Lines>379</Lines>
  <Paragraphs>106</Paragraphs>
  <TotalTime>168</TotalTime>
  <ScaleCrop>false</ScaleCrop>
  <LinksUpToDate>false</LinksUpToDate>
  <CharactersWithSpaces>9871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2015-04-28T09:52:00Z</dcterms:created>
  <dc:creator>玥</dc:creator>
  <cp:lastModifiedBy>开心妈咪</cp:lastModifiedBy>
  <cp:lastPrinted>2025-04-02T03:28:00Z</cp:lastPrinted>
  <dcterms:modified xsi:type="dcterms:W3CDTF">2025-07-16T01:28:40Z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50B4BF5B81FB67EEACC9BA67F7A46BBE_43</vt:lpwstr>
  </property>
  <property fmtid="{D5CDD505-2E9C-101B-9397-08002B2CF9AE}" pid="4" name="KSOTemplateDocerSaveRecord">
    <vt:lpwstr>eyJoZGlkIjoiYzNjMTkzM2Y3NWYyMzNmZWE1ZjFmYWE3MGZjOWQzYmYiLCJ1c2VySWQiOiI1MTM3NjE5NDIifQ==</vt:lpwstr>
  </property>
</Properties>
</file>