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12A0FD69">
      <w:pPr>
        <w:adjustRightInd/>
        <w:spacing w:line="360" w:lineRule="auto"/>
        <w:jc w:val="both"/>
        <w:rPr>
          <w:rFonts w:cs="仿宋_GB2312" w:asciiTheme="minorEastAsia" w:hAnsiTheme="minorEastAsia" w:eastAsiaTheme="minorEastAsia"/>
          <w:b/>
          <w:color w:val="auto"/>
          <w:sz w:val="44"/>
          <w:szCs w:val="44"/>
        </w:rPr>
      </w:pPr>
    </w:p>
    <w:p w14:paraId="4EB66F48">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lang w:val="en-US" w:eastAsia="zh-CN"/>
        </w:rPr>
        <w:t>浙江</w:t>
      </w:r>
      <w:r>
        <w:rPr>
          <w:rFonts w:hint="eastAsia" w:cs="仿宋_GB2312" w:asciiTheme="minorEastAsia" w:hAnsiTheme="minorEastAsia" w:eastAsiaTheme="minorEastAsia"/>
          <w:b/>
          <w:color w:val="auto"/>
          <w:sz w:val="44"/>
          <w:szCs w:val="44"/>
          <w:lang w:eastAsia="zh-CN"/>
        </w:rPr>
        <w:t>桐庐南堡省级湿地公园勘界立标项目</w:t>
      </w:r>
    </w:p>
    <w:p w14:paraId="61B0B456">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ascii="宋体" w:hAnsi="宋体" w:cs="宋体"/>
          <w:color w:val="auto"/>
          <w:sz w:val="30"/>
          <w:szCs w:val="30"/>
          <w:highlight w:val="none"/>
          <w:lang w:eastAsia="zh-CN"/>
        </w:rPr>
        <w:t>HBCG-TL2025033</w:t>
      </w:r>
    </w:p>
    <w:p w14:paraId="68579B86">
      <w:pPr>
        <w:adjustRightInd/>
        <w:spacing w:line="360" w:lineRule="auto"/>
        <w:rPr>
          <w:rFonts w:cs="仿宋_GB2312" w:asciiTheme="minorEastAsia" w:hAnsiTheme="minorEastAsia" w:eastAsiaTheme="minorEastAsia"/>
          <w:color w:val="auto"/>
          <w:sz w:val="28"/>
          <w:szCs w:val="20"/>
        </w:rPr>
      </w:pPr>
    </w:p>
    <w:p w14:paraId="6F526D79">
      <w:pPr>
        <w:spacing w:line="360" w:lineRule="auto"/>
        <w:jc w:val="both"/>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6AE573C8">
      <w:pPr>
        <w:snapToGrid w:val="0"/>
        <w:spacing w:line="360" w:lineRule="auto"/>
        <w:jc w:val="both"/>
        <w:rPr>
          <w:rFonts w:cs="仿宋_GB2312" w:asciiTheme="minorEastAsia" w:hAnsiTheme="minorEastAsia" w:eastAsiaTheme="minorEastAsia"/>
          <w:color w:val="auto"/>
          <w:sz w:val="32"/>
          <w:szCs w:val="32"/>
        </w:rPr>
      </w:pPr>
    </w:p>
    <w:p w14:paraId="48366948">
      <w:pPr>
        <w:snapToGrid w:val="0"/>
        <w:spacing w:line="360" w:lineRule="auto"/>
        <w:jc w:val="center"/>
        <w:rPr>
          <w:rFonts w:hint="eastAsia" w:eastAsia="宋体" w:asciiTheme="minorEastAsia" w:hAnsiTheme="minorEastAsia"/>
          <w:sz w:val="33"/>
          <w:u w:val="singl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Theme="minorEastAsia" w:hAnsiTheme="minorEastAsia" w:eastAsiaTheme="minorEastAsia"/>
          <w:sz w:val="33"/>
          <w:u w:val="single"/>
          <w:lang w:eastAsia="zh-CN"/>
        </w:rPr>
        <w:t>桐庐县森林湿地和自然保护地管理总站</w:t>
      </w:r>
    </w:p>
    <w:p w14:paraId="73B80102">
      <w:pPr>
        <w:pStyle w:val="4"/>
        <w:numPr>
          <w:ilvl w:val="0"/>
          <w:numId w:val="0"/>
        </w:numPr>
        <w:ind w:leftChars="0"/>
        <w:rPr>
          <w:rFonts w:hint="eastAsia"/>
          <w:lang w:eastAsia="zh-CN"/>
        </w:rPr>
      </w:pPr>
    </w:p>
    <w:p w14:paraId="6C3F1815">
      <w:pPr>
        <w:tabs>
          <w:tab w:val="left" w:pos="1620"/>
          <w:tab w:val="left" w:pos="1800"/>
          <w:tab w:val="left" w:pos="1980"/>
        </w:tabs>
        <w:spacing w:line="72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海标工程管理有限公司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p>
    <w:p w14:paraId="04CA500E">
      <w:pPr>
        <w:tabs>
          <w:tab w:val="left" w:pos="2268"/>
        </w:tabs>
        <w:spacing w:line="360" w:lineRule="auto"/>
        <w:jc w:val="center"/>
        <w:rPr>
          <w:rFonts w:cs="仿宋_GB2312" w:asciiTheme="minorEastAsia" w:hAnsiTheme="minorEastAsia" w:eastAsiaTheme="minorEastAsia"/>
          <w:color w:val="auto"/>
          <w:sz w:val="24"/>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6034D1CB">
      <w:pPr>
        <w:pStyle w:val="40"/>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6669DCF6">
      <w:pPr>
        <w:spacing w:line="360" w:lineRule="auto"/>
        <w:ind w:firstLine="549" w:firstLineChars="229"/>
        <w:rPr>
          <w:rFonts w:cs="仿宋_GB2312" w:asciiTheme="minorEastAsia" w:hAnsiTheme="minorEastAsia" w:eastAsiaTheme="minorEastAsia"/>
          <w:color w:val="auto"/>
          <w:sz w:val="24"/>
        </w:rPr>
      </w:pPr>
      <w:bookmarkStart w:id="0" w:name="_Hlt91233176"/>
      <w:bookmarkEnd w:id="0"/>
      <w:bookmarkStart w:id="1"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bookmarkEnd w:id="1"/>
    <w:p w14:paraId="61E6FFD4">
      <w:pPr>
        <w:adjustRightInd/>
        <w:spacing w:line="360" w:lineRule="auto"/>
        <w:jc w:val="center"/>
        <w:outlineLvl w:val="0"/>
        <w:rPr>
          <w:rFonts w:hint="eastAsia" w:cs="仿宋_GB2312" w:asciiTheme="minorEastAsia" w:hAnsiTheme="minorEastAsia" w:eastAsiaTheme="minorEastAsia"/>
          <w:b/>
          <w:color w:val="auto"/>
          <w:sz w:val="36"/>
          <w:szCs w:val="20"/>
        </w:rPr>
        <w:sectPr>
          <w:footerReference r:id="rId7" w:type="first"/>
          <w:footerReference r:id="rId6" w:type="default"/>
          <w:pgSz w:w="11906" w:h="16838"/>
          <w:pgMar w:top="1247" w:right="1418" w:bottom="1276" w:left="1418" w:header="851" w:footer="992" w:gutter="0"/>
          <w:pgNumType w:fmt="decimal" w:start="1"/>
          <w:cols w:space="720" w:num="1"/>
          <w:titlePg/>
          <w:docGrid w:linePitch="312" w:charSpace="0"/>
        </w:sect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p>
    <w:p w14:paraId="7516AC9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val="en-US" w:eastAsia="zh-CN"/>
        </w:rPr>
        <w:t>浙江</w:t>
      </w:r>
      <w:r>
        <w:rPr>
          <w:rFonts w:hint="eastAsia" w:asciiTheme="minorEastAsia" w:hAnsiTheme="minorEastAsia" w:eastAsiaTheme="minorEastAsia"/>
          <w:color w:val="auto"/>
          <w:sz w:val="24"/>
          <w:u w:val="single"/>
          <w:lang w:eastAsia="zh-CN"/>
        </w:rPr>
        <w:t>桐庐南堡省级湿地公园勘界立标项目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9" w:name="_Toc35393798"/>
      <w:bookmarkStart w:id="10" w:name="_Toc28359012"/>
      <w:bookmarkStart w:id="11" w:name="_Toc28359089"/>
      <w:bookmarkStart w:id="12" w:name="_Toc35393629"/>
      <w:r>
        <w:rPr>
          <w:rFonts w:hint="eastAsia" w:cs="宋体" w:asciiTheme="minorEastAsia" w:hAnsiTheme="minorEastAsia" w:eastAsiaTheme="minorEastAsia"/>
          <w:color w:val="auto"/>
          <w:sz w:val="24"/>
          <w:szCs w:val="24"/>
        </w:rPr>
        <w:t>一、项目基本情况</w:t>
      </w:r>
      <w:bookmarkEnd w:id="9"/>
      <w:bookmarkEnd w:id="10"/>
      <w:bookmarkEnd w:id="11"/>
      <w:bookmarkEnd w:id="12"/>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HBCG-TL2025033</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val="en-US" w:eastAsia="zh-CN"/>
        </w:rPr>
        <w:t>浙江</w:t>
      </w:r>
      <w:r>
        <w:rPr>
          <w:rFonts w:hint="eastAsia" w:asciiTheme="minorEastAsia" w:hAnsiTheme="minorEastAsia" w:eastAsiaTheme="minorEastAsia"/>
          <w:color w:val="auto"/>
          <w:sz w:val="24"/>
          <w:lang w:eastAsia="zh-CN"/>
        </w:rPr>
        <w:t>桐庐南堡省级湿地公园勘界立标项目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350000</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350000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color w:val="auto"/>
          <w:sz w:val="24"/>
          <w:lang w:val="en-US" w:eastAsia="zh-CN"/>
        </w:rPr>
        <w:t>浙江</w:t>
      </w:r>
      <w:r>
        <w:rPr>
          <w:rFonts w:hint="eastAsia" w:hAnsi="宋体" w:cs="宋体" w:eastAsiaTheme="minorEastAsia"/>
          <w:bCs/>
          <w:color w:val="auto"/>
          <w:sz w:val="24"/>
          <w:lang w:eastAsia="zh-CN"/>
        </w:rPr>
        <w:t>桐庐南堡省级湿地公园勘界立标项目</w:t>
      </w:r>
      <w:r>
        <w:rPr>
          <w:rFonts w:hint="eastAsia" w:hAnsi="宋体" w:cs="宋体" w:eastAsiaTheme="minorEastAsia"/>
          <w:bCs/>
          <w:color w:val="auto"/>
          <w:sz w:val="24"/>
          <w:highlight w:val="none"/>
          <w:lang w:eastAsia="zh-CN"/>
        </w:rPr>
        <w:t>，</w:t>
      </w:r>
      <w:r>
        <w:rPr>
          <w:rFonts w:hint="eastAsia" w:hAnsi="宋体" w:cs="宋体"/>
          <w:bCs/>
          <w:color w:val="auto"/>
          <w:sz w:val="24"/>
          <w:highlight w:val="none"/>
        </w:rPr>
        <w:t>主要内</w:t>
      </w:r>
      <w:r>
        <w:rPr>
          <w:rFonts w:hint="eastAsia" w:hAnsi="宋体" w:cs="宋体" w:eastAsiaTheme="minorEastAsia"/>
          <w:bCs/>
          <w:color w:val="auto"/>
          <w:sz w:val="24"/>
          <w:lang w:eastAsia="zh-CN"/>
        </w:rPr>
        <w:t>容：</w:t>
      </w:r>
      <w:r>
        <w:rPr>
          <w:rFonts w:hint="eastAsia" w:hAnsi="宋体" w:cs="宋体" w:eastAsiaTheme="minorEastAsia"/>
          <w:bCs/>
          <w:color w:val="auto"/>
          <w:sz w:val="24"/>
          <w:lang w:val="en-US" w:eastAsia="zh-CN"/>
        </w:rPr>
        <w:t>现</w:t>
      </w:r>
      <w:r>
        <w:rPr>
          <w:rFonts w:hint="eastAsia" w:hAnsi="宋体" w:cs="宋体" w:eastAsiaTheme="minorEastAsia"/>
          <w:bCs/>
          <w:color w:val="auto"/>
          <w:sz w:val="24"/>
          <w:lang w:eastAsia="zh-CN"/>
        </w:rPr>
        <w:t>结合桐庐</w:t>
      </w:r>
      <w:r>
        <w:rPr>
          <w:rFonts w:hint="eastAsia" w:hAnsi="宋体" w:cs="宋体" w:eastAsiaTheme="minorEastAsia"/>
          <w:bCs/>
          <w:color w:val="auto"/>
          <w:sz w:val="24"/>
          <w:lang w:val="en-US" w:eastAsia="zh-CN"/>
        </w:rPr>
        <w:t>南堡湿地公园现状，</w:t>
      </w:r>
      <w:r>
        <w:rPr>
          <w:rFonts w:hint="eastAsia" w:hAnsi="宋体" w:cs="宋体" w:eastAsiaTheme="minorEastAsia"/>
          <w:bCs/>
          <w:color w:val="auto"/>
          <w:sz w:val="24"/>
          <w:lang w:eastAsia="zh-CN"/>
        </w:rPr>
        <w:t>开展勘界立标工作，确保每个自然保护地的范围和界限准确落图，推动自然保护地规范化建设和管理</w:t>
      </w:r>
      <w:r>
        <w:rPr>
          <w:rFonts w:hint="eastAsia" w:hAnsi="宋体" w:cs="宋体" w:eastAsiaTheme="minorEastAsia"/>
          <w:bCs/>
          <w:color w:val="auto"/>
          <w:sz w:val="24"/>
          <w:lang w:val="en-US" w:eastAsia="zh-CN"/>
        </w:rPr>
        <w:t>，</w:t>
      </w:r>
      <w:r>
        <w:rPr>
          <w:rFonts w:hint="eastAsia" w:cs="仿宋_GB2312" w:asciiTheme="minorEastAsia" w:hAnsiTheme="minorEastAsia" w:eastAsiaTheme="minorEastAsia"/>
          <w:b/>
          <w:color w:val="auto"/>
          <w:sz w:val="24"/>
          <w:highlight w:val="none"/>
        </w:rPr>
        <w:t>详见磋商文件。</w:t>
      </w:r>
    </w:p>
    <w:p w14:paraId="55E1A1C8">
      <w:pPr>
        <w:spacing w:line="360" w:lineRule="auto"/>
        <w:ind w:firstLine="482" w:firstLineChars="2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宋体" w:hAnsi="宋体" w:eastAsia="宋体" w:cs="宋体"/>
          <w:bCs/>
          <w:color w:val="auto"/>
          <w:sz w:val="24"/>
          <w:lang w:eastAsia="zh-CN"/>
        </w:rPr>
        <w:t>在</w:t>
      </w:r>
      <w:r>
        <w:rPr>
          <w:rFonts w:hint="eastAsia" w:ascii="宋体" w:hAnsi="宋体" w:eastAsia="宋体" w:cs="宋体"/>
          <w:bCs/>
          <w:color w:val="auto"/>
          <w:sz w:val="24"/>
          <w:lang w:val="en-US" w:eastAsia="zh-CN"/>
        </w:rPr>
        <w:t>2025</w:t>
      </w:r>
      <w:r>
        <w:rPr>
          <w:rFonts w:hint="eastAsia" w:ascii="宋体" w:hAnsi="宋体" w:eastAsia="宋体" w:cs="宋体"/>
          <w:bCs/>
          <w:color w:val="auto"/>
          <w:sz w:val="24"/>
          <w:lang w:eastAsia="zh-CN"/>
        </w:rPr>
        <w:t>年</w:t>
      </w:r>
      <w:r>
        <w:rPr>
          <w:rFonts w:hint="eastAsia" w:ascii="宋体" w:hAnsi="宋体" w:eastAsia="宋体" w:cs="宋体"/>
          <w:bCs/>
          <w:color w:val="auto"/>
          <w:sz w:val="24"/>
          <w:u w:val="none"/>
          <w:lang w:val="en-US" w:eastAsia="zh-CN"/>
        </w:rPr>
        <w:t>9</w:t>
      </w:r>
      <w:r>
        <w:rPr>
          <w:rFonts w:hint="eastAsia" w:ascii="宋体" w:hAnsi="宋体" w:eastAsia="宋体" w:cs="宋体"/>
          <w:bCs/>
          <w:color w:val="auto"/>
          <w:sz w:val="24"/>
          <w:u w:val="none"/>
          <w:lang w:eastAsia="zh-CN"/>
        </w:rPr>
        <w:t>月</w:t>
      </w:r>
      <w:r>
        <w:rPr>
          <w:rFonts w:hint="eastAsia" w:ascii="宋体" w:hAnsi="宋体" w:eastAsia="宋体" w:cs="宋体"/>
          <w:bCs/>
          <w:color w:val="auto"/>
          <w:sz w:val="24"/>
          <w:u w:val="none"/>
          <w:lang w:val="en-US" w:eastAsia="zh-CN"/>
        </w:rPr>
        <w:t>30</w:t>
      </w:r>
      <w:r>
        <w:rPr>
          <w:rFonts w:hint="eastAsia" w:ascii="宋体" w:hAnsi="宋体" w:eastAsia="宋体" w:cs="宋体"/>
          <w:bCs/>
          <w:color w:val="auto"/>
          <w:sz w:val="24"/>
          <w:lang w:eastAsia="zh-CN"/>
        </w:rPr>
        <w:t>日之前</w:t>
      </w:r>
      <w:r>
        <w:rPr>
          <w:rFonts w:hint="eastAsia" w:ascii="宋体" w:hAnsi="宋体" w:eastAsia="宋体" w:cs="宋体"/>
          <w:bCs/>
          <w:color w:val="auto"/>
          <w:sz w:val="24"/>
          <w:lang w:val="en-US" w:eastAsia="zh-CN"/>
        </w:rPr>
        <w:t>完成项目工作并</w:t>
      </w:r>
      <w:r>
        <w:rPr>
          <w:rFonts w:hint="eastAsia" w:ascii="宋体" w:hAnsi="宋体" w:eastAsia="宋体" w:cs="宋体"/>
          <w:bCs/>
          <w:color w:val="auto"/>
          <w:sz w:val="24"/>
          <w:lang w:eastAsia="zh-CN"/>
        </w:rPr>
        <w:t>提交项目完整</w:t>
      </w:r>
      <w:r>
        <w:rPr>
          <w:rFonts w:hint="eastAsia" w:ascii="宋体" w:hAnsi="宋体" w:eastAsia="宋体" w:cs="宋体"/>
          <w:bCs/>
          <w:color w:val="auto"/>
          <w:sz w:val="24"/>
          <w:lang w:val="en-US" w:eastAsia="zh-CN"/>
        </w:rPr>
        <w:t>资料</w:t>
      </w:r>
      <w:r>
        <w:rPr>
          <w:rFonts w:hint="eastAsia" w:ascii="宋体" w:hAnsi="宋体" w:eastAsia="宋体" w:cs="宋体"/>
          <w:bCs/>
          <w:color w:val="auto"/>
          <w:sz w:val="24"/>
          <w:lang w:eastAsia="zh-CN"/>
        </w:rPr>
        <w:t>成果，</w:t>
      </w:r>
      <w:r>
        <w:rPr>
          <w:rFonts w:hint="eastAsia" w:ascii="宋体" w:hAnsi="宋体" w:eastAsia="宋体" w:cs="宋体"/>
          <w:bCs/>
          <w:color w:val="auto"/>
          <w:sz w:val="24"/>
          <w:lang w:val="en-US" w:eastAsia="zh-CN"/>
        </w:rPr>
        <w:t>可供委托方最终验收</w:t>
      </w:r>
      <w:r>
        <w:rPr>
          <w:rFonts w:hint="eastAsia" w:ascii="宋体" w:hAnsi="宋体" w:eastAsia="宋体" w:cs="宋体"/>
          <w:bCs/>
          <w:color w:val="auto"/>
          <w:sz w:val="24"/>
          <w:lang w:eastAsia="zh-CN"/>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3" w:name="_Toc35393630"/>
      <w:bookmarkStart w:id="14" w:name="_Toc35393799"/>
      <w:bookmarkStart w:id="15" w:name="_Toc28359090"/>
      <w:bookmarkStart w:id="16" w:name="_Toc28359013"/>
      <w:r>
        <w:rPr>
          <w:rFonts w:hint="eastAsia" w:cs="宋体" w:asciiTheme="minorEastAsia" w:hAnsiTheme="minorEastAsia" w:eastAsiaTheme="minorEastAsia"/>
          <w:color w:val="auto"/>
          <w:sz w:val="24"/>
        </w:rPr>
        <w:t>二、申请人的资格要求：</w:t>
      </w:r>
      <w:bookmarkEnd w:id="13"/>
      <w:bookmarkEnd w:id="14"/>
      <w:bookmarkEnd w:id="15"/>
      <w:bookmarkEnd w:id="16"/>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snapToGrid w:val="0"/>
          <w:kern w:val="28"/>
          <w:sz w:val="24"/>
          <w:szCs w:val="20"/>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7" w:name="_Toc35393800"/>
      <w:bookmarkStart w:id="18" w:name="_Toc28359014"/>
      <w:bookmarkStart w:id="19" w:name="_Toc28359091"/>
      <w:bookmarkStart w:id="20" w:name="_Toc35393631"/>
      <w:r>
        <w:rPr>
          <w:rFonts w:hint="eastAsia" w:cs="宋体" w:asciiTheme="minorEastAsia" w:hAnsiTheme="minorEastAsia" w:eastAsiaTheme="minorEastAsia"/>
          <w:color w:val="auto"/>
          <w:sz w:val="24"/>
        </w:rPr>
        <w:t>三、获取（下载）采购文件</w:t>
      </w:r>
      <w:bookmarkEnd w:id="17"/>
      <w:bookmarkEnd w:id="18"/>
      <w:bookmarkEnd w:id="19"/>
      <w:bookmarkEnd w:id="20"/>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1" w:name="_Toc28359092"/>
      <w:bookmarkStart w:id="22" w:name="_Toc35393801"/>
      <w:bookmarkStart w:id="23" w:name="_Toc35393632"/>
      <w:bookmarkStart w:id="24" w:name="_Toc28359015"/>
      <w:r>
        <w:rPr>
          <w:rFonts w:hint="eastAsia" w:cs="宋体" w:asciiTheme="minorEastAsia" w:hAnsiTheme="minorEastAsia" w:eastAsiaTheme="minorEastAsia"/>
          <w:color w:val="auto"/>
          <w:sz w:val="24"/>
          <w:szCs w:val="24"/>
        </w:rPr>
        <w:t>四、响应文件提交</w:t>
      </w:r>
      <w:bookmarkEnd w:id="21"/>
      <w:bookmarkEnd w:id="22"/>
      <w:bookmarkEnd w:id="23"/>
      <w:bookmarkEnd w:id="24"/>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5" w:name="_Toc28359016"/>
      <w:bookmarkStart w:id="26" w:name="_Toc35393802"/>
      <w:bookmarkStart w:id="27" w:name="_Toc28359093"/>
      <w:bookmarkStart w:id="28" w:name="_Toc35393633"/>
      <w:r>
        <w:rPr>
          <w:rFonts w:hint="eastAsia" w:cs="宋体" w:asciiTheme="minorEastAsia" w:hAnsiTheme="minorEastAsia" w:eastAsiaTheme="minorEastAsia"/>
          <w:color w:val="auto"/>
          <w:sz w:val="24"/>
          <w:szCs w:val="24"/>
        </w:rPr>
        <w:t>五、响应文件开启</w:t>
      </w:r>
      <w:bookmarkEnd w:id="25"/>
      <w:bookmarkEnd w:id="26"/>
      <w:bookmarkEnd w:id="27"/>
      <w:bookmarkEnd w:id="28"/>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w:t>
      </w:r>
      <w:r>
        <w:rPr>
          <w:rFonts w:hint="eastAsia" w:asciiTheme="minorEastAsia" w:hAnsiTheme="minorEastAsia" w:eastAsiaTheme="minorEastAsia"/>
          <w:color w:val="auto"/>
          <w:sz w:val="24"/>
          <w:u w:val="single"/>
          <w:lang w:val="en-US" w:eastAsia="zh-CN"/>
        </w:rPr>
        <w:t>25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bookmarkStart w:id="127" w:name="_GoBack"/>
      <w:bookmarkEnd w:id="127"/>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29" w:name="_Toc35393803"/>
      <w:bookmarkStart w:id="30" w:name="_Toc28359017"/>
      <w:bookmarkStart w:id="31" w:name="_Toc35393634"/>
      <w:bookmarkStart w:id="32" w:name="_Toc28359094"/>
      <w:r>
        <w:rPr>
          <w:rFonts w:hint="eastAsia" w:cs="宋体" w:asciiTheme="minorEastAsia" w:hAnsiTheme="minorEastAsia" w:eastAsiaTheme="minorEastAsia"/>
          <w:color w:val="auto"/>
          <w:sz w:val="24"/>
          <w:szCs w:val="24"/>
        </w:rPr>
        <w:t>六、公告期限</w:t>
      </w:r>
      <w:bookmarkEnd w:id="29"/>
      <w:bookmarkEnd w:id="30"/>
      <w:bookmarkEnd w:id="31"/>
      <w:bookmarkEnd w:id="32"/>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3" w:name="_Toc35393635"/>
      <w:bookmarkStart w:id="34" w:name="_Toc35393804"/>
      <w:r>
        <w:rPr>
          <w:rFonts w:hint="eastAsia" w:cs="宋体" w:asciiTheme="minorEastAsia" w:hAnsiTheme="minorEastAsia" w:eastAsiaTheme="minorEastAsia"/>
          <w:color w:val="auto"/>
          <w:sz w:val="24"/>
          <w:szCs w:val="24"/>
        </w:rPr>
        <w:t>七、其他补充事宜</w:t>
      </w:r>
      <w:bookmarkEnd w:id="33"/>
      <w:bookmarkEnd w:id="34"/>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5" w:name="_Toc35393805"/>
      <w:bookmarkStart w:id="36" w:name="_Toc35393636"/>
      <w:bookmarkStart w:id="37" w:name="_Toc28359018"/>
      <w:bookmarkStart w:id="38" w:name="_Toc2835909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5"/>
      <w:bookmarkEnd w:id="36"/>
      <w:bookmarkEnd w:id="37"/>
      <w:bookmarkEnd w:id="38"/>
    </w:p>
    <w:p w14:paraId="3E768528">
      <w:pPr>
        <w:pStyle w:val="4"/>
        <w:numPr>
          <w:ilvl w:val="0"/>
          <w:numId w:val="0"/>
        </w:numPr>
        <w:ind w:left="432" w:hanging="432"/>
        <w:rPr>
          <w:rFonts w:cs="宋体" w:asciiTheme="minorEastAsia" w:hAnsiTheme="minorEastAsia" w:eastAsiaTheme="minorEastAsia"/>
          <w:color w:val="auto"/>
          <w:sz w:val="24"/>
          <w:szCs w:val="24"/>
        </w:rPr>
      </w:pPr>
      <w:bookmarkStart w:id="39" w:name="_Toc28359019"/>
      <w:bookmarkStart w:id="40" w:name="_Toc28359096"/>
      <w:bookmarkStart w:id="41" w:name="_Toc35393637"/>
      <w:bookmarkStart w:id="42" w:name="_Toc35393806"/>
      <w:r>
        <w:rPr>
          <w:rFonts w:hint="eastAsia" w:cs="宋体" w:asciiTheme="minorEastAsia" w:hAnsiTheme="minorEastAsia" w:eastAsiaTheme="minorEastAsia"/>
          <w:color w:val="auto"/>
          <w:sz w:val="24"/>
          <w:szCs w:val="24"/>
        </w:rPr>
        <w:t>1.采购人信息</w:t>
      </w:r>
      <w:bookmarkEnd w:id="39"/>
      <w:bookmarkEnd w:id="40"/>
      <w:bookmarkEnd w:id="41"/>
      <w:bookmarkEnd w:id="42"/>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cs="Times New Roman" w:asciiTheme="minorEastAsia" w:hAnsiTheme="minorEastAsia" w:eastAsiaTheme="minorEastAsia"/>
          <w:color w:val="auto"/>
          <w:sz w:val="24"/>
          <w:lang w:eastAsia="zh-CN"/>
        </w:rPr>
        <w:t>桐庐县森林湿地和自然保护地管理总站</w:t>
      </w:r>
    </w:p>
    <w:p w14:paraId="2BA3061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cs="Times New Roman" w:asciiTheme="minorEastAsia" w:hAnsiTheme="minorEastAsia" w:eastAsiaTheme="minorEastAsia"/>
          <w:color w:val="auto"/>
          <w:sz w:val="24"/>
          <w:lang w:eastAsia="zh-CN"/>
        </w:rPr>
        <w:t>桐庐县城南街道春江西路69号滨江大厦805室</w:t>
      </w:r>
    </w:p>
    <w:p w14:paraId="484C03B7">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16921CF7">
      <w:pPr>
        <w:spacing w:line="360" w:lineRule="auto"/>
        <w:ind w:firstLine="480" w:firstLineChars="200"/>
        <w:rPr>
          <w:rFonts w:hint="default" w:cs="Times New Roman"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项目联系人</w:t>
      </w:r>
      <w:r>
        <w:rPr>
          <w:rFonts w:hint="eastAsia" w:cs="Times New Roman" w:asciiTheme="minorEastAsia" w:hAnsiTheme="minorEastAsia" w:eastAsiaTheme="minorEastAsia"/>
          <w:color w:val="auto"/>
          <w:sz w:val="24"/>
        </w:rPr>
        <w:t>（询问）：</w:t>
      </w:r>
      <w:r>
        <w:rPr>
          <w:rFonts w:hint="eastAsia" w:cs="Times New Roman" w:asciiTheme="minorEastAsia" w:hAnsiTheme="minorEastAsia" w:eastAsiaTheme="minorEastAsia"/>
          <w:color w:val="auto"/>
          <w:sz w:val="24"/>
          <w:lang w:val="en-US" w:eastAsia="zh-CN"/>
        </w:rPr>
        <w:t>李聪</w:t>
      </w:r>
    </w:p>
    <w:p w14:paraId="5982FFBE">
      <w:pPr>
        <w:spacing w:line="360" w:lineRule="auto"/>
        <w:rPr>
          <w:rFonts w:hint="default"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rPr>
        <w:t xml:space="preserve">    项目联系方式（询问）：</w:t>
      </w:r>
      <w:r>
        <w:rPr>
          <w:rFonts w:hint="eastAsia" w:cs="Times New Roman" w:asciiTheme="minorEastAsia" w:hAnsiTheme="minorEastAsia" w:eastAsiaTheme="minorEastAsia"/>
          <w:color w:val="auto"/>
          <w:sz w:val="24"/>
          <w:lang w:val="en-US" w:eastAsia="zh-CN"/>
        </w:rPr>
        <w:t>18158425993</w:t>
      </w:r>
    </w:p>
    <w:p w14:paraId="13BA899A">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徐健华</w:t>
      </w:r>
    </w:p>
    <w:p w14:paraId="30EC5555">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eastAsia="zh-CN"/>
        </w:rPr>
        <w:t>13606600637</w:t>
      </w:r>
    </w:p>
    <w:p w14:paraId="653A869A">
      <w:pPr>
        <w:pStyle w:val="4"/>
        <w:numPr>
          <w:ilvl w:val="0"/>
          <w:numId w:val="0"/>
        </w:numPr>
        <w:ind w:left="432" w:hanging="432"/>
        <w:rPr>
          <w:rFonts w:cs="宋体" w:asciiTheme="minorEastAsia" w:hAnsiTheme="minorEastAsia" w:eastAsiaTheme="minorEastAsia"/>
          <w:color w:val="auto"/>
          <w:sz w:val="24"/>
        </w:rPr>
      </w:pPr>
      <w:bookmarkStart w:id="43" w:name="_Toc35393638"/>
      <w:bookmarkStart w:id="44" w:name="_Toc28359097"/>
      <w:bookmarkStart w:id="45" w:name="_Toc35393807"/>
      <w:bookmarkStart w:id="46" w:name="_Toc28359020"/>
      <w:r>
        <w:rPr>
          <w:rFonts w:hint="eastAsia" w:cs="宋体" w:asciiTheme="minorEastAsia" w:hAnsiTheme="minorEastAsia" w:eastAsiaTheme="minorEastAsia"/>
          <w:color w:val="auto"/>
          <w:sz w:val="24"/>
          <w:szCs w:val="24"/>
        </w:rPr>
        <w:t>2.采购代理机构信息</w:t>
      </w:r>
      <w:bookmarkEnd w:id="43"/>
      <w:bookmarkEnd w:id="44"/>
      <w:bookmarkEnd w:id="45"/>
      <w:bookmarkEnd w:id="46"/>
      <w:r>
        <w:rPr>
          <w:rFonts w:hint="eastAsia" w:cs="宋体" w:asciiTheme="minorEastAsia" w:hAnsiTheme="minorEastAsia" w:eastAsiaTheme="minorEastAsia"/>
          <w:color w:val="auto"/>
          <w:sz w:val="24"/>
          <w:szCs w:val="24"/>
        </w:rPr>
        <w:t>：</w:t>
      </w:r>
    </w:p>
    <w:p w14:paraId="60382607">
      <w:pPr>
        <w:spacing w:line="360" w:lineRule="auto"/>
        <w:ind w:firstLine="480"/>
        <w:rPr>
          <w:rFonts w:ascii="宋体" w:hAnsi="宋体" w:cs="宋体"/>
          <w:color w:val="auto"/>
          <w:sz w:val="24"/>
          <w:highlight w:val="none"/>
        </w:rPr>
      </w:pPr>
      <w:bookmarkStart w:id="47" w:name="_Toc35393639"/>
      <w:bookmarkStart w:id="48" w:name="_Toc28359098"/>
      <w:bookmarkStart w:id="49" w:name="_Toc35393808"/>
      <w:bookmarkStart w:id="50" w:name="_Toc28359021"/>
      <w:r>
        <w:rPr>
          <w:rFonts w:hint="eastAsia" w:ascii="宋体" w:hAnsi="宋体" w:cs="宋体"/>
          <w:color w:val="auto"/>
          <w:sz w:val="24"/>
          <w:highlight w:val="none"/>
        </w:rPr>
        <w:t>名    称：</w:t>
      </w:r>
      <w:r>
        <w:rPr>
          <w:rFonts w:hint="eastAsia" w:asciiTheme="minorEastAsia" w:hAnsiTheme="minorEastAsia" w:eastAsiaTheme="minorEastAsia"/>
          <w:sz w:val="24"/>
        </w:rPr>
        <w:t>海标工程管理有限公司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浙江省杭州市临平区星桥街道原展街59号302室</w:t>
      </w:r>
    </w:p>
    <w:p w14:paraId="6F3AE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00F335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rPr>
        <w:t>樊袁烽</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rPr>
        <w:t>13588383174</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袁彬</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sz w:val="24"/>
        </w:rPr>
        <w:t>15005715200</w:t>
      </w:r>
    </w:p>
    <w:p w14:paraId="5D934F31">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7"/>
      <w:bookmarkEnd w:id="48"/>
      <w:bookmarkEnd w:id="49"/>
      <w:bookmarkEnd w:id="50"/>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3834E605">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59FE672">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政策咨询电话：张先生，15868863413 政府采购监管部门工作人员</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jc w:val="center"/>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6"/>
      <w:r>
        <w:rPr>
          <w:rFonts w:hint="eastAsia" w:cs="仿宋_GB2312" w:asciiTheme="minorEastAsia" w:hAnsiTheme="minorEastAsia" w:eastAsiaTheme="minorEastAsia"/>
          <w:b/>
          <w:color w:val="auto"/>
          <w:sz w:val="36"/>
          <w:szCs w:val="20"/>
        </w:rPr>
        <w:t xml:space="preserve">  供应商须知</w:t>
      </w:r>
      <w:bookmarkEnd w:id="7"/>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lang w:val="en-US" w:eastAsia="zh-CN"/>
              </w:rPr>
              <w:t>浙江</w:t>
            </w:r>
            <w:r>
              <w:rPr>
                <w:rFonts w:hint="eastAsia" w:ascii="宋体" w:hAnsi="宋体" w:cs="宋体"/>
                <w:color w:val="auto"/>
                <w:kern w:val="0"/>
                <w:sz w:val="24"/>
                <w:u w:val="single"/>
                <w:lang w:eastAsia="zh-CN"/>
              </w:rPr>
              <w:t>桐庐南堡省级湿地公园勘界立标项目</w:t>
            </w:r>
            <w:r>
              <w:rPr>
                <w:rFonts w:hint="eastAsia" w:ascii="宋体" w:hAnsi="宋体" w:cs="宋体"/>
                <w:color w:val="auto"/>
                <w:kern w:val="0"/>
                <w:sz w:val="24"/>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其他未列明行业</w:t>
            </w:r>
            <w:r>
              <w:rPr>
                <w:rFonts w:hint="eastAsia" w:ascii="宋体" w:hAnsi="宋体" w:eastAsia="宋体" w:cs="宋体"/>
                <w:color w:val="auto"/>
                <w:kern w:val="0"/>
                <w:sz w:val="24"/>
              </w:rPr>
              <w:t>；</w:t>
            </w:r>
          </w:p>
          <w:p w14:paraId="5D21FD8F">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lang w:val="en-US" w:eastAsia="zh-CN"/>
              </w:rPr>
              <w:t xml:space="preserve"> </w:t>
            </w:r>
            <w:r>
              <w:rPr>
                <w:rFonts w:hint="eastAsia" w:hAnsi="宋体" w:cs="宋体"/>
                <w:sz w:val="24"/>
                <w:u w:val="single"/>
                <w:lang w:eastAsia="zh-CN"/>
              </w:rPr>
              <w:t>桐庐县迎春南路29号荣正财富广场1809室</w:t>
            </w:r>
            <w:r>
              <w:rPr>
                <w:rFonts w:hint="eastAsia" w:cs="宋体" w:asciiTheme="minorEastAsia" w:hAnsiTheme="minorEastAsia" w:eastAsiaTheme="minorEastAsia"/>
                <w:color w:val="auto"/>
                <w:kern w:val="28"/>
                <w:sz w:val="24"/>
                <w:szCs w:val="24"/>
              </w:rPr>
              <w:t>；</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u w:val="single"/>
                <w:lang w:val="en-US" w:eastAsia="zh-CN"/>
              </w:rPr>
              <w:t xml:space="preserve"> </w:t>
            </w:r>
            <w:r>
              <w:rPr>
                <w:rFonts w:hint="eastAsia" w:hAnsi="宋体" w:cs="宋体"/>
                <w:kern w:val="28"/>
                <w:sz w:val="24"/>
                <w:szCs w:val="24"/>
                <w:u w:val="single"/>
                <w:lang w:val="en-US" w:eastAsia="zh-CN"/>
              </w:rPr>
              <w:t xml:space="preserve">袁彬 </w:t>
            </w:r>
            <w:r>
              <w:rPr>
                <w:rFonts w:hint="eastAsia" w:hAnsi="宋体" w:cs="宋体"/>
                <w:kern w:val="28"/>
                <w:sz w:val="24"/>
                <w:szCs w:val="24"/>
                <w:u w:val="none"/>
                <w:lang w:val="en-US" w:eastAsia="zh-CN"/>
              </w:rPr>
              <w:t>；</w:t>
            </w:r>
            <w:r>
              <w:rPr>
                <w:rFonts w:hint="eastAsia" w:hAnsi="宋体" w:cs="宋体"/>
                <w:color w:val="auto"/>
                <w:kern w:val="28"/>
                <w:sz w:val="24"/>
                <w:szCs w:val="24"/>
                <w:highlight w:val="none"/>
              </w:rPr>
              <w:t>联系电话：</w:t>
            </w:r>
            <w:r>
              <w:rPr>
                <w:rFonts w:hint="eastAsia" w:hAnsi="宋体" w:cs="宋体"/>
                <w:color w:val="auto"/>
                <w:kern w:val="28"/>
                <w:sz w:val="24"/>
                <w:szCs w:val="24"/>
                <w:highlight w:val="none"/>
                <w:u w:val="single"/>
                <w:lang w:val="en-US" w:eastAsia="zh-CN"/>
              </w:rPr>
              <w:t xml:space="preserve"> </w:t>
            </w:r>
            <w:r>
              <w:rPr>
                <w:rFonts w:hint="eastAsia" w:hAnsi="宋体" w:cs="宋体"/>
                <w:sz w:val="24"/>
                <w:u w:val="single"/>
                <w:lang w:val="en-US" w:eastAsia="zh-CN"/>
              </w:rPr>
              <w:t xml:space="preserve">15005715200 </w:t>
            </w:r>
            <w:r>
              <w:rPr>
                <w:rFonts w:hint="eastAsia" w:hAnsi="宋体" w:cs="宋体"/>
                <w:color w:val="auto"/>
                <w:sz w:val="24"/>
                <w:szCs w:val="24"/>
                <w:highlight w:val="none"/>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w:t>
            </w:r>
            <w:r>
              <w:rPr>
                <w:rFonts w:hint="eastAsia" w:asciiTheme="minorEastAsia" w:hAnsiTheme="minorEastAsia" w:eastAsiaTheme="minorEastAsia"/>
                <w:b w:val="0"/>
                <w:bCs w:val="0"/>
                <w:color w:val="auto"/>
                <w:kern w:val="28"/>
                <w:sz w:val="24"/>
                <w:szCs w:val="24"/>
                <w:highlight w:val="none"/>
              </w:rPr>
              <w:t>费由中标单位支付，</w:t>
            </w:r>
            <w:r>
              <w:rPr>
                <w:rFonts w:hint="eastAsia" w:cs="Times New Roman" w:asciiTheme="minorEastAsia" w:hAnsiTheme="minorEastAsia" w:eastAsiaTheme="minorEastAsia"/>
                <w:b w:val="0"/>
                <w:bCs w:val="0"/>
                <w:color w:val="auto"/>
                <w:kern w:val="28"/>
                <w:sz w:val="24"/>
                <w:szCs w:val="24"/>
                <w:highlight w:val="none"/>
                <w:lang w:val="en-US" w:eastAsia="zh-CN"/>
              </w:rPr>
              <w:t>按</w:t>
            </w:r>
            <w:r>
              <w:rPr>
                <w:rFonts w:hint="eastAsia" w:cs="Times New Roman" w:asciiTheme="minorEastAsia" w:hAnsiTheme="minorEastAsia" w:eastAsiaTheme="minorEastAsia"/>
                <w:b w:val="0"/>
                <w:bCs w:val="0"/>
                <w:color w:val="auto"/>
                <w:kern w:val="28"/>
                <w:sz w:val="24"/>
                <w:szCs w:val="24"/>
                <w:highlight w:val="none"/>
                <w:u w:val="single"/>
                <w:lang w:val="en-US" w:eastAsia="zh-CN"/>
              </w:rPr>
              <w:t>4000</w:t>
            </w:r>
            <w:r>
              <w:rPr>
                <w:rFonts w:hint="eastAsia" w:cs="Times New Roman" w:asciiTheme="minorEastAsia" w:hAnsiTheme="minorEastAsia" w:eastAsiaTheme="minorEastAsia"/>
                <w:b w:val="0"/>
                <w:bCs w:val="0"/>
                <w:color w:val="auto"/>
                <w:kern w:val="28"/>
                <w:sz w:val="24"/>
                <w:szCs w:val="24"/>
                <w:highlight w:val="none"/>
                <w:lang w:val="en-US" w:eastAsia="zh-CN"/>
              </w:rPr>
              <w:t>元</w:t>
            </w:r>
            <w:r>
              <w:rPr>
                <w:rFonts w:hint="eastAsia" w:cs="Times New Roman" w:asciiTheme="minorEastAsia" w:hAnsiTheme="minorEastAsia" w:eastAsiaTheme="minorEastAsia"/>
                <w:b w:val="0"/>
                <w:bCs w:val="0"/>
                <w:color w:val="auto"/>
                <w:kern w:val="28"/>
                <w:sz w:val="24"/>
                <w:szCs w:val="24"/>
                <w:highlight w:val="none"/>
              </w:rPr>
              <w:t>计</w:t>
            </w:r>
            <w:r>
              <w:rPr>
                <w:rFonts w:hint="eastAsia" w:cs="Times New Roman" w:asciiTheme="minorEastAsia" w:hAnsiTheme="minorEastAsia" w:eastAsiaTheme="minorEastAsia"/>
                <w:b w:val="0"/>
                <w:bCs w:val="0"/>
                <w:kern w:val="28"/>
                <w:sz w:val="24"/>
                <w:szCs w:val="24"/>
                <w:highlight w:val="none"/>
              </w:rPr>
              <w:t>取，</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宋体" w:hAnsi="Courier New"/>
          <w:color w:val="auto"/>
          <w:sz w:val="24"/>
          <w:szCs w:val="24"/>
          <w:highlight w:val="none"/>
        </w:rPr>
      </w:pP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3"/>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2"/>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105F092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注：根据《政府采购竞争性磋商采购方式管理暂行办法》第二十八条规定：从评审报告提出的成交候选供应商中，按照排序由高到低的原则确定成交供应商。</w:t>
      </w:r>
    </w:p>
    <w:p w14:paraId="3BF8049B">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textAlignment w:val="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rPr>
        <w:t>资格审查情况、评审专家抽取规则、符合性审查情况、</w:t>
      </w:r>
      <w:bookmarkEnd w:id="51"/>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5E1F030">
      <w:pPr>
        <w:adjustRightInd/>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C3CEDD">
      <w:pPr>
        <w:snapToGrid w:val="0"/>
        <w:spacing w:line="360" w:lineRule="auto"/>
        <w:jc w:val="both"/>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68072990"/>
      <w:bookmarkEnd w:id="52"/>
      <w:bookmarkStart w:id="53" w:name="_Hlt74729768"/>
      <w:bookmarkEnd w:id="53"/>
      <w:bookmarkStart w:id="54" w:name="_Hlt68057669"/>
      <w:bookmarkEnd w:id="54"/>
      <w:bookmarkStart w:id="55" w:name="_Hlt75236011"/>
      <w:bookmarkEnd w:id="55"/>
      <w:bookmarkStart w:id="56" w:name="_Hlt75236290"/>
      <w:bookmarkEnd w:id="56"/>
      <w:bookmarkStart w:id="57" w:name="_Hlt74730295"/>
      <w:bookmarkEnd w:id="57"/>
      <w:bookmarkStart w:id="58" w:name="_Hlt74714665"/>
      <w:bookmarkEnd w:id="58"/>
      <w:bookmarkStart w:id="59" w:name="_Hlt75236101"/>
      <w:bookmarkEnd w:id="59"/>
      <w:bookmarkStart w:id="60" w:name="_Hlt74707468"/>
      <w:bookmarkEnd w:id="60"/>
      <w:bookmarkStart w:id="61" w:name="_Toc164416483"/>
      <w:bookmarkStart w:id="62" w:name="第三部分"/>
      <w:r>
        <w:rPr>
          <w:rFonts w:cs="仿宋_GB2312" w:asciiTheme="minorEastAsia" w:hAnsiTheme="minorEastAsia" w:eastAsiaTheme="minorEastAsia"/>
          <w:b/>
          <w:color w:val="auto"/>
          <w:sz w:val="36"/>
          <w:szCs w:val="36"/>
        </w:rPr>
        <w:br w:type="page"/>
      </w:r>
    </w:p>
    <w:p w14:paraId="61FBFF5E">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7292733">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一、项目</w:t>
      </w:r>
      <w:r>
        <w:rPr>
          <w:rFonts w:hint="eastAsia" w:ascii="宋体" w:hAnsi="宋体" w:eastAsia="宋体" w:cs="宋体"/>
          <w:b/>
          <w:bCs/>
          <w:kern w:val="0"/>
          <w:sz w:val="24"/>
          <w:szCs w:val="24"/>
          <w:lang w:val="en-US" w:eastAsia="zh-CN"/>
        </w:rPr>
        <w:t>背景</w:t>
      </w:r>
    </w:p>
    <w:p w14:paraId="6247EB91">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自然保护地勘界定标是依法依规开展保护管理的最基础性工作，</w:t>
      </w:r>
      <w:r>
        <w:rPr>
          <w:rFonts w:hint="eastAsia" w:ascii="宋体" w:hAnsi="宋体" w:eastAsia="宋体" w:cs="宋体"/>
          <w:kern w:val="0"/>
          <w:sz w:val="24"/>
          <w:szCs w:val="24"/>
        </w:rPr>
        <w:t>根据省发展改革委、省林业局关于印发《浙江省自然保护地体系发展“十四五”规划》、</w:t>
      </w:r>
      <w:r>
        <w:rPr>
          <w:rFonts w:hint="eastAsia" w:ascii="宋体" w:hAnsi="宋体" w:eastAsia="宋体" w:cs="宋体"/>
          <w:kern w:val="0"/>
          <w:sz w:val="24"/>
          <w:szCs w:val="24"/>
          <w:lang w:val="en-US" w:eastAsia="zh-CN"/>
        </w:rPr>
        <w:t>国家标准</w:t>
      </w:r>
      <w:r>
        <w:rPr>
          <w:rFonts w:hint="eastAsia" w:ascii="宋体" w:hAnsi="宋体" w:eastAsia="宋体" w:cs="宋体"/>
          <w:kern w:val="0"/>
          <w:sz w:val="24"/>
          <w:szCs w:val="24"/>
        </w:rPr>
        <w:t>《</w:t>
      </w:r>
      <w:bookmarkStart w:id="63" w:name="OLE_LINK1"/>
      <w:r>
        <w:rPr>
          <w:rFonts w:hint="eastAsia" w:ascii="宋体" w:hAnsi="宋体" w:eastAsia="宋体" w:cs="宋体"/>
          <w:kern w:val="0"/>
          <w:sz w:val="24"/>
          <w:szCs w:val="24"/>
        </w:rPr>
        <w:t>GB/T 39740-2020自然保护地勘界立标规范</w:t>
      </w:r>
      <w:bookmarkEnd w:id="63"/>
      <w:r>
        <w:rPr>
          <w:rFonts w:hint="eastAsia" w:ascii="宋体" w:hAnsi="宋体" w:eastAsia="宋体" w:cs="宋体"/>
          <w:kern w:val="0"/>
          <w:sz w:val="24"/>
          <w:szCs w:val="24"/>
        </w:rPr>
        <w:t>》、浙江省</w:t>
      </w:r>
      <w:r>
        <w:rPr>
          <w:rFonts w:hint="eastAsia" w:ascii="宋体" w:hAnsi="宋体" w:eastAsia="宋体" w:cs="宋体"/>
          <w:kern w:val="0"/>
          <w:sz w:val="24"/>
          <w:szCs w:val="24"/>
          <w:lang w:val="en-US" w:eastAsia="zh-CN"/>
        </w:rPr>
        <w:t>地方标准</w:t>
      </w:r>
      <w:r>
        <w:rPr>
          <w:rFonts w:hint="eastAsia" w:ascii="宋体" w:hAnsi="宋体" w:eastAsia="宋体" w:cs="宋体"/>
          <w:kern w:val="0"/>
          <w:sz w:val="24"/>
          <w:szCs w:val="24"/>
        </w:rPr>
        <w:t>《DB33/T 2532.1-2022自然保护地勘界立标规范 第1部分：通用要求》等</w:t>
      </w:r>
      <w:r>
        <w:rPr>
          <w:rFonts w:hint="eastAsia" w:ascii="宋体" w:hAnsi="宋体" w:eastAsia="宋体" w:cs="宋体"/>
          <w:kern w:val="0"/>
          <w:sz w:val="24"/>
          <w:szCs w:val="24"/>
          <w:lang w:val="en-US" w:eastAsia="zh-CN"/>
        </w:rPr>
        <w:t>文件</w:t>
      </w:r>
      <w:r>
        <w:rPr>
          <w:rFonts w:hint="eastAsia" w:ascii="宋体" w:hAnsi="宋体" w:eastAsia="宋体" w:cs="宋体"/>
          <w:kern w:val="0"/>
          <w:sz w:val="24"/>
          <w:szCs w:val="24"/>
        </w:rPr>
        <w:t>，要求对自然保护地边界范围进行全面调查，</w:t>
      </w:r>
      <w:r>
        <w:rPr>
          <w:rFonts w:hint="eastAsia" w:ascii="宋体" w:hAnsi="宋体" w:eastAsia="宋体" w:cs="宋体"/>
          <w:kern w:val="0"/>
          <w:sz w:val="24"/>
          <w:szCs w:val="24"/>
          <w:lang w:val="en-US" w:eastAsia="zh-CN"/>
        </w:rPr>
        <w:t>现</w:t>
      </w:r>
      <w:r>
        <w:rPr>
          <w:rFonts w:hint="eastAsia" w:ascii="宋体" w:hAnsi="宋体" w:eastAsia="宋体" w:cs="宋体"/>
          <w:kern w:val="0"/>
          <w:sz w:val="24"/>
          <w:szCs w:val="24"/>
        </w:rPr>
        <w:t>结合桐庐</w:t>
      </w:r>
      <w:r>
        <w:rPr>
          <w:rFonts w:hint="eastAsia" w:ascii="宋体" w:hAnsi="宋体" w:eastAsia="宋体" w:cs="宋体"/>
          <w:kern w:val="0"/>
          <w:sz w:val="24"/>
          <w:szCs w:val="24"/>
          <w:lang w:val="en-US" w:eastAsia="zh-CN"/>
        </w:rPr>
        <w:t>南堡湿地公园现状，</w:t>
      </w:r>
      <w:r>
        <w:rPr>
          <w:rFonts w:hint="eastAsia" w:ascii="宋体" w:hAnsi="宋体" w:eastAsia="宋体" w:cs="宋体"/>
          <w:kern w:val="0"/>
          <w:sz w:val="24"/>
          <w:szCs w:val="24"/>
        </w:rPr>
        <w:t>开展勘界立标工作，确保每个自然保护地的范围和界限准确落图，推动自然保护地规范化建设和管理</w:t>
      </w:r>
      <w:r>
        <w:rPr>
          <w:rFonts w:hint="eastAsia" w:ascii="宋体" w:hAnsi="宋体" w:eastAsia="宋体" w:cs="宋体"/>
          <w:sz w:val="24"/>
          <w:szCs w:val="24"/>
          <w:highlight w:val="none"/>
        </w:rPr>
        <w:t>，使得自然保护地边界范围清晰，面积数据正确，基础性工作更加完善</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形成相关各方认可、准确清晰的边界，有助于推动自然保护地规范化建设和精细化管理，确保自然保护地执法监督有据可依。</w:t>
      </w:r>
    </w:p>
    <w:p w14:paraId="626FE229">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default" w:ascii="宋体" w:hAnsi="宋体" w:eastAsia="宋体" w:cs="宋体"/>
          <w:color w:val="auto"/>
          <w:kern w:val="0"/>
          <w:sz w:val="24"/>
          <w:szCs w:val="24"/>
          <w:lang w:val="en-US" w:eastAsia="zh-CN"/>
        </w:rPr>
      </w:pPr>
      <w:r>
        <w:rPr>
          <w:rFonts w:hint="default" w:ascii="宋体" w:hAnsi="宋体" w:eastAsia="宋体" w:cs="宋体"/>
          <w:kern w:val="0"/>
          <w:sz w:val="24"/>
          <w:szCs w:val="24"/>
          <w:lang w:val="en-US" w:eastAsia="zh-CN"/>
        </w:rPr>
        <w:t>浙江桐庐南堡省级湿地公园位于桐庐分水镇沿分水江段，因地处“泰山压顶不弯腰”的南堡精神所在地南堡村而得名，于2015年10月经浙江省林业厅批准设立为省级湿地公园，2017年被评为杭州最美湿地公园。2023年被桐庐县科学技术协会命名为桐庐县青少年科普教育基地。公园规划面积1152.98公顷，其中湿地面积881公顷，以优美自然的湿地景观和悠久浓厚的湿地文化为特色，集湿地资源保护、科学宣教和</w:t>
      </w:r>
      <w:r>
        <w:rPr>
          <w:rFonts w:hint="default" w:ascii="宋体" w:hAnsi="宋体" w:eastAsia="宋体" w:cs="宋体"/>
          <w:color w:val="auto"/>
          <w:kern w:val="0"/>
          <w:sz w:val="24"/>
          <w:szCs w:val="24"/>
          <w:lang w:val="en-US" w:eastAsia="zh-CN"/>
        </w:rPr>
        <w:t>开发利用于一体，现有生态保育区、恢复重建区、合理利用区和宣教服务区四个功能区。</w:t>
      </w:r>
    </w:p>
    <w:p w14:paraId="1341A8C5">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二、项目内容</w:t>
      </w:r>
    </w:p>
    <w:p w14:paraId="72D57836">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1、结合</w:t>
      </w:r>
      <w:r>
        <w:rPr>
          <w:rFonts w:hint="eastAsia" w:ascii="宋体" w:hAnsi="宋体" w:cs="宋体"/>
          <w:color w:val="auto"/>
          <w:kern w:val="0"/>
          <w:sz w:val="24"/>
          <w:szCs w:val="24"/>
          <w:lang w:eastAsia="zh-CN"/>
        </w:rPr>
        <w:t>《桐庐南堡省级湿地公园总体规划（2022-2027年）》</w:t>
      </w:r>
      <w:r>
        <w:rPr>
          <w:rFonts w:hint="eastAsia" w:ascii="宋体" w:hAnsi="宋体" w:cs="宋体"/>
          <w:color w:val="auto"/>
          <w:kern w:val="0"/>
          <w:sz w:val="24"/>
          <w:szCs w:val="24"/>
          <w:lang w:val="en-US" w:eastAsia="zh-CN"/>
        </w:rPr>
        <w:t>和</w:t>
      </w:r>
      <w:r>
        <w:rPr>
          <w:rFonts w:hint="eastAsia" w:ascii="宋体" w:hAnsi="宋体" w:cs="宋体"/>
          <w:color w:val="auto"/>
          <w:kern w:val="0"/>
          <w:sz w:val="24"/>
          <w:szCs w:val="24"/>
          <w:lang w:eastAsia="zh-CN"/>
        </w:rPr>
        <w:t>自然保护地优化最新批复后成果的基础上完成</w:t>
      </w:r>
      <w:r>
        <w:rPr>
          <w:rFonts w:hint="eastAsia" w:ascii="宋体" w:hAnsi="宋体" w:cs="宋体"/>
          <w:color w:val="auto"/>
          <w:kern w:val="0"/>
          <w:sz w:val="24"/>
          <w:szCs w:val="24"/>
          <w:lang w:val="en-US" w:eastAsia="zh-CN"/>
        </w:rPr>
        <w:t>湿地公园</w:t>
      </w:r>
      <w:r>
        <w:rPr>
          <w:rFonts w:hint="eastAsia" w:ascii="宋体" w:hAnsi="宋体" w:cs="宋体"/>
          <w:color w:val="auto"/>
          <w:kern w:val="0"/>
          <w:sz w:val="24"/>
          <w:szCs w:val="24"/>
          <w:lang w:eastAsia="zh-CN"/>
        </w:rPr>
        <w:t>的外</w:t>
      </w:r>
      <w:r>
        <w:rPr>
          <w:rFonts w:hint="eastAsia" w:ascii="宋体" w:hAnsi="宋体" w:eastAsia="宋体" w:cs="宋体"/>
          <w:color w:val="auto"/>
          <w:kern w:val="0"/>
          <w:sz w:val="24"/>
          <w:szCs w:val="24"/>
        </w:rPr>
        <w:t>围边界和功能区界线的勘定，对原定标数据库变化部分进行修正调整</w:t>
      </w:r>
      <w:r>
        <w:rPr>
          <w:rFonts w:hint="eastAsia" w:ascii="宋体" w:hAnsi="宋体" w:eastAsia="宋体" w:cs="宋体"/>
          <w:color w:val="auto"/>
          <w:kern w:val="0"/>
          <w:sz w:val="24"/>
          <w:szCs w:val="24"/>
          <w:lang w:eastAsia="zh-CN"/>
        </w:rPr>
        <w:t>，形成相关方认可、边界清晰、面积准确、标识清楚、手续合法的勘界定标成果。</w:t>
      </w:r>
    </w:p>
    <w:p w14:paraId="7FFBDB5C">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2、完成工作底图编制，踏勘并实地测绘边界点与定标点，绘制边界附图</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编制勘界报告，</w:t>
      </w:r>
      <w:r>
        <w:rPr>
          <w:rFonts w:hint="eastAsia" w:ascii="宋体" w:hAnsi="宋体" w:eastAsia="宋体" w:cs="宋体"/>
          <w:color w:val="auto"/>
          <w:kern w:val="0"/>
          <w:sz w:val="24"/>
          <w:szCs w:val="24"/>
          <w:u w:val="single"/>
        </w:rPr>
        <w:t>进行成果检查、论证</w:t>
      </w:r>
      <w:r>
        <w:rPr>
          <w:rFonts w:hint="eastAsia" w:ascii="宋体" w:hAnsi="宋体" w:eastAsia="宋体" w:cs="宋体"/>
          <w:color w:val="auto"/>
          <w:kern w:val="0"/>
          <w:sz w:val="24"/>
          <w:szCs w:val="24"/>
          <w:u w:val="single"/>
          <w:lang w:val="en-US" w:eastAsia="zh-CN"/>
        </w:rPr>
        <w:t>和评审</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最后完成数据建库和勘界立标</w:t>
      </w:r>
      <w:r>
        <w:rPr>
          <w:rFonts w:hint="eastAsia" w:ascii="宋体" w:hAnsi="宋体" w:eastAsia="宋体" w:cs="宋体"/>
          <w:color w:val="auto"/>
          <w:kern w:val="0"/>
          <w:sz w:val="24"/>
          <w:szCs w:val="24"/>
          <w:lang w:val="en-US" w:eastAsia="zh-CN"/>
        </w:rPr>
        <w:t>方案。</w:t>
      </w:r>
    </w:p>
    <w:p w14:paraId="12F52FF2">
      <w:pPr>
        <w:pStyle w:val="2"/>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2"/>
          <w:sz w:val="24"/>
          <w:szCs w:val="24"/>
          <w:highlight w:val="none"/>
          <w:lang w:val="en-US" w:eastAsia="zh-CN" w:bidi="ar-SA"/>
        </w:rPr>
        <w:t>3、</w:t>
      </w:r>
      <w:r>
        <w:rPr>
          <w:rFonts w:hint="eastAsia" w:hAnsi="宋体" w:cs="宋体"/>
          <w:color w:val="auto"/>
          <w:kern w:val="2"/>
          <w:sz w:val="24"/>
          <w:szCs w:val="24"/>
          <w:highlight w:val="none"/>
          <w:lang w:val="en-US" w:eastAsia="zh-CN" w:bidi="ar-SA"/>
        </w:rPr>
        <w:t>已入库</w:t>
      </w:r>
      <w:r>
        <w:rPr>
          <w:rFonts w:hint="default" w:ascii="宋体" w:hAnsi="宋体" w:cs="宋体"/>
          <w:color w:val="auto"/>
          <w:kern w:val="2"/>
          <w:sz w:val="24"/>
          <w:szCs w:val="24"/>
          <w:highlight w:val="none"/>
          <w:lang w:val="en-US" w:eastAsia="zh-CN" w:bidi="ar-SA"/>
        </w:rPr>
        <w:t>数据原则上不予变动。当自然保护地发生更名、区划调整、撤销等情况，经主管部门批复同意后，入库数据应及时更新。涉及区划调整的，需提交调整部分勘界成果。</w:t>
      </w:r>
    </w:p>
    <w:p w14:paraId="72CC8B4B">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4、数量</w:t>
      </w:r>
      <w:r>
        <w:rPr>
          <w:rFonts w:hint="eastAsia" w:ascii="宋体" w:hAnsi="宋体" w:cs="宋体"/>
          <w:color w:val="auto"/>
          <w:kern w:val="0"/>
          <w:sz w:val="24"/>
          <w:szCs w:val="24"/>
          <w:lang w:val="en-US" w:eastAsia="zh-CN"/>
        </w:rPr>
        <w:t>及材质</w:t>
      </w:r>
      <w:r>
        <w:rPr>
          <w:rFonts w:hint="eastAsia" w:ascii="宋体" w:hAnsi="宋体" w:eastAsia="宋体" w:cs="宋体"/>
          <w:color w:val="auto"/>
          <w:kern w:val="0"/>
          <w:sz w:val="24"/>
          <w:szCs w:val="24"/>
          <w:lang w:val="en-US" w:eastAsia="zh-CN"/>
        </w:rPr>
        <w:t>：园碑、界碑不少于7个，界桩不少于60个，标识牌不少于5个，宣传栏不少于2个。</w:t>
      </w:r>
    </w:p>
    <w:p w14:paraId="4172BD88">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标识材质</w:t>
      </w:r>
      <w:r>
        <w:rPr>
          <w:rFonts w:hint="eastAsia" w:ascii="宋体"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en-US" w:eastAsia="zh-CN"/>
        </w:rPr>
        <w:t>尺寸（以评审通过的勘界立标方案为准）：</w:t>
      </w:r>
    </w:p>
    <w:p w14:paraId="447A3D4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园碑（</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花岗岩贴面，内部为块石；尺寸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150cm*250cm*20cm）</w:t>
      </w:r>
    </w:p>
    <w:p w14:paraId="5A11B42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界碑（</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花岗岩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200cm*100cm*15cm）</w:t>
      </w:r>
    </w:p>
    <w:p w14:paraId="44BB16E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界桩（</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花岗岩，尺寸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160cm*15cm*15cm）</w:t>
      </w:r>
    </w:p>
    <w:p w14:paraId="3683485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标识牌（</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铝板，尺寸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120cm*80cm厚2mm）</w:t>
      </w:r>
    </w:p>
    <w:p w14:paraId="04A3374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宣传栏</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highlight w:val="none"/>
          <w:lang w:val="en-US" w:eastAsia="zh-CN"/>
        </w:rPr>
        <w:t>材质：</w:t>
      </w:r>
      <w:r>
        <w:rPr>
          <w:rFonts w:hint="eastAsia" w:ascii="宋体" w:hAnsi="宋体" w:cs="宋体"/>
          <w:color w:val="auto"/>
          <w:kern w:val="0"/>
          <w:sz w:val="24"/>
          <w:szCs w:val="24"/>
          <w:lang w:val="en-US" w:eastAsia="zh-CN"/>
        </w:rPr>
        <w:t>镀锌板，尺寸：不小于300cm*200cm）</w:t>
      </w:r>
    </w:p>
    <w:p w14:paraId="63B6214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注：所有标识尺寸材质由采购人确定，制作前初稿需经采购人确认同意后方可批量制作，否则造成损失由供应商自行承担。</w:t>
      </w:r>
    </w:p>
    <w:p w14:paraId="331A84BD">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bCs/>
          <w:i/>
          <w:iCs/>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、完成界碑、界桩等埋设</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后期</w:t>
      </w:r>
      <w:r>
        <w:rPr>
          <w:rFonts w:hint="eastAsia" w:ascii="宋体" w:hAnsi="宋体" w:eastAsia="宋体" w:cs="宋体"/>
          <w:color w:val="auto"/>
          <w:kern w:val="0"/>
          <w:sz w:val="24"/>
          <w:szCs w:val="24"/>
        </w:rPr>
        <w:t>实地复测</w:t>
      </w:r>
      <w:r>
        <w:rPr>
          <w:rFonts w:hint="eastAsia" w:ascii="宋体" w:hAnsi="宋体" w:cs="宋体"/>
          <w:color w:val="auto"/>
          <w:kern w:val="0"/>
          <w:sz w:val="24"/>
          <w:szCs w:val="24"/>
          <w:lang w:val="en-US" w:eastAsia="zh-CN"/>
        </w:rPr>
        <w:t>及</w:t>
      </w:r>
      <w:r>
        <w:rPr>
          <w:rFonts w:hint="eastAsia" w:ascii="宋体" w:hAnsi="宋体" w:eastAsia="宋体" w:cs="宋体"/>
          <w:color w:val="auto"/>
          <w:kern w:val="0"/>
          <w:sz w:val="24"/>
          <w:szCs w:val="24"/>
        </w:rPr>
        <w:t>第三方质检</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并</w:t>
      </w:r>
      <w:r>
        <w:rPr>
          <w:rFonts w:hint="eastAsia" w:ascii="宋体" w:hAnsi="宋体" w:eastAsia="宋体" w:cs="宋体"/>
          <w:color w:val="auto"/>
          <w:kern w:val="0"/>
          <w:sz w:val="24"/>
          <w:szCs w:val="24"/>
        </w:rPr>
        <w:t>最终</w:t>
      </w:r>
      <w:r>
        <w:rPr>
          <w:rFonts w:hint="eastAsia" w:ascii="宋体" w:hAnsi="宋体" w:eastAsia="宋体" w:cs="宋体"/>
          <w:color w:val="auto"/>
          <w:kern w:val="0"/>
          <w:sz w:val="24"/>
          <w:szCs w:val="24"/>
          <w:lang w:val="en-US" w:eastAsia="zh-CN"/>
        </w:rPr>
        <w:t>完成</w:t>
      </w:r>
      <w:r>
        <w:rPr>
          <w:rFonts w:hint="eastAsia" w:ascii="宋体" w:hAnsi="宋体" w:eastAsia="宋体" w:cs="宋体"/>
          <w:color w:val="auto"/>
          <w:kern w:val="0"/>
          <w:sz w:val="24"/>
          <w:szCs w:val="24"/>
        </w:rPr>
        <w:t>验收</w:t>
      </w:r>
      <w:r>
        <w:rPr>
          <w:rFonts w:hint="eastAsia" w:ascii="宋体" w:hAnsi="宋体" w:eastAsia="宋体" w:cs="宋体"/>
          <w:color w:val="auto"/>
          <w:kern w:val="0"/>
          <w:sz w:val="24"/>
          <w:szCs w:val="24"/>
          <w:lang w:eastAsia="zh-CN"/>
        </w:rPr>
        <w:t>。</w:t>
      </w:r>
    </w:p>
    <w:p w14:paraId="1BC73709">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三</w:t>
      </w:r>
      <w:r>
        <w:rPr>
          <w:rFonts w:hint="eastAsia" w:ascii="宋体" w:hAnsi="宋体" w:eastAsia="宋体" w:cs="宋体"/>
          <w:b/>
          <w:bCs/>
          <w:color w:val="auto"/>
          <w:kern w:val="0"/>
          <w:sz w:val="24"/>
          <w:szCs w:val="24"/>
          <w:lang w:val="en-US" w:eastAsia="zh-CN"/>
        </w:rPr>
        <w:t>、引用文件和技术标准</w:t>
      </w:r>
    </w:p>
    <w:p w14:paraId="5EF9D41C">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《自然保护区等自然保护地勘界立标工作规范》（办护字〔2019〕129 号）；</w:t>
      </w:r>
    </w:p>
    <w:p w14:paraId="0DEE0251">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国家标准</w:t>
      </w:r>
      <w:r>
        <w:rPr>
          <w:rFonts w:hint="eastAsia" w:ascii="宋体" w:hAnsi="宋体" w:eastAsia="宋体" w:cs="宋体"/>
          <w:color w:val="auto"/>
          <w:kern w:val="0"/>
          <w:sz w:val="24"/>
          <w:szCs w:val="24"/>
        </w:rPr>
        <w:t>《GB/T 39740-2020自然保护地勘界立标规范》</w:t>
      </w:r>
    </w:p>
    <w:p w14:paraId="1D5F4184">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浙江省</w:t>
      </w:r>
      <w:r>
        <w:rPr>
          <w:rFonts w:hint="eastAsia" w:ascii="宋体" w:hAnsi="宋体" w:eastAsia="宋体" w:cs="宋体"/>
          <w:color w:val="auto"/>
          <w:kern w:val="0"/>
          <w:sz w:val="24"/>
          <w:szCs w:val="24"/>
          <w:lang w:val="en-US" w:eastAsia="zh-CN"/>
        </w:rPr>
        <w:t>地方标准</w:t>
      </w:r>
      <w:r>
        <w:rPr>
          <w:rFonts w:hint="eastAsia" w:ascii="宋体" w:hAnsi="宋体" w:eastAsia="宋体" w:cs="宋体"/>
          <w:color w:val="auto"/>
          <w:kern w:val="0"/>
          <w:sz w:val="24"/>
          <w:szCs w:val="24"/>
        </w:rPr>
        <w:t>《DB33/T 2532.1-2022自然保护地勘界立标规范 第1部分：通用要求》</w:t>
      </w:r>
    </w:p>
    <w:p w14:paraId="4D94DC3B">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《全球定位系统实时动态测量（RTK）技术规范》（CH/T2009—2010）；</w:t>
      </w:r>
    </w:p>
    <w:p w14:paraId="74531D6D">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《1∶500 1∶1000 1∶2000 数字地形图测绘规范》（浙江省地方标准DB33/T552—2014）；</w:t>
      </w:r>
    </w:p>
    <w:p w14:paraId="2CCD4F78">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《1∶5000 1∶10000 数字地形图测绘规范》（浙江省地方 DB33/T552—2014）；</w:t>
      </w:r>
    </w:p>
    <w:p w14:paraId="636C5C57">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《国家基本比例尺地图图式 第 1 部分∶1∶500 1∶1000 1∶2000 地形图图式》（GB/T 20257.1—2017）；</w:t>
      </w:r>
    </w:p>
    <w:p w14:paraId="4B75BFDF">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《国家基本比例尺地图图式 第 2 部分∶1∶5000 1∶10000 地形图图式》（GB/T20257.2—2016）；</w:t>
      </w:r>
    </w:p>
    <w:p w14:paraId="7F39AFC3">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bookmarkStart w:id="64" w:name="OLE_LINK2"/>
      <w:r>
        <w:rPr>
          <w:rFonts w:hint="eastAsia" w:ascii="宋体" w:hAnsi="宋体" w:eastAsia="宋体" w:cs="宋体"/>
          <w:color w:val="auto"/>
          <w:kern w:val="0"/>
          <w:sz w:val="24"/>
          <w:szCs w:val="24"/>
        </w:rPr>
        <w:t>遥感影像平面图制作规范</w:t>
      </w:r>
      <w:bookmarkEnd w:id="64"/>
      <w:r>
        <w:rPr>
          <w:rFonts w:hint="eastAsia" w:ascii="宋体" w:hAnsi="宋体" w:eastAsia="宋体" w:cs="宋体"/>
          <w:color w:val="auto"/>
          <w:kern w:val="0"/>
          <w:sz w:val="24"/>
          <w:szCs w:val="24"/>
        </w:rPr>
        <w:t>》（GB/T 15968—2008）；</w:t>
      </w:r>
    </w:p>
    <w:p w14:paraId="2E4C6642">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rPr>
        <w:t>《</w:t>
      </w:r>
      <w:bookmarkStart w:id="65" w:name="OLE_LINK3"/>
      <w:r>
        <w:rPr>
          <w:rFonts w:hint="eastAsia" w:ascii="宋体" w:hAnsi="宋体" w:eastAsia="宋体" w:cs="宋体"/>
          <w:color w:val="auto"/>
          <w:kern w:val="0"/>
          <w:sz w:val="24"/>
          <w:szCs w:val="24"/>
        </w:rPr>
        <w:t>基础地理信息要素分</w:t>
      </w:r>
      <w:r>
        <w:rPr>
          <w:rFonts w:hint="eastAsia" w:ascii="宋体" w:hAnsi="宋体" w:eastAsia="宋体" w:cs="宋体"/>
          <w:kern w:val="0"/>
          <w:sz w:val="24"/>
          <w:szCs w:val="24"/>
        </w:rPr>
        <w:t>类与代码</w:t>
      </w:r>
      <w:bookmarkEnd w:id="65"/>
      <w:r>
        <w:rPr>
          <w:rFonts w:hint="eastAsia" w:ascii="宋体" w:hAnsi="宋体" w:eastAsia="宋体" w:cs="宋体"/>
          <w:kern w:val="0"/>
          <w:sz w:val="24"/>
          <w:szCs w:val="24"/>
        </w:rPr>
        <w:t>》（GB/T 13923—20</w:t>
      </w:r>
      <w:r>
        <w:rPr>
          <w:rFonts w:hint="eastAsia" w:ascii="宋体" w:hAnsi="宋体" w:cs="宋体"/>
          <w:kern w:val="0"/>
          <w:sz w:val="24"/>
          <w:szCs w:val="24"/>
          <w:lang w:val="en-US" w:eastAsia="zh-CN"/>
        </w:rPr>
        <w:t>22</w:t>
      </w:r>
      <w:r>
        <w:rPr>
          <w:rFonts w:hint="eastAsia" w:ascii="宋体" w:hAnsi="宋体" w:eastAsia="宋体" w:cs="宋体"/>
          <w:kern w:val="0"/>
          <w:sz w:val="24"/>
          <w:szCs w:val="24"/>
        </w:rPr>
        <w:t>）；</w:t>
      </w:r>
    </w:p>
    <w:p w14:paraId="134F6CB3">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kern w:val="0"/>
          <w:sz w:val="24"/>
          <w:szCs w:val="24"/>
        </w:rPr>
      </w:pPr>
      <w:bookmarkStart w:id="66" w:name="OLE_LINK5"/>
      <w:r>
        <w:rPr>
          <w:rFonts w:hint="eastAsia" w:ascii="宋体" w:hAnsi="宋体" w:eastAsia="宋体" w:cs="宋体"/>
          <w:kern w:val="0"/>
          <w:sz w:val="24"/>
          <w:szCs w:val="24"/>
        </w:rPr>
        <w:t>《</w:t>
      </w:r>
      <w:bookmarkStart w:id="67" w:name="OLE_LINK4"/>
      <w:r>
        <w:rPr>
          <w:rFonts w:hint="eastAsia" w:ascii="宋体" w:hAnsi="宋体" w:eastAsia="宋体" w:cs="宋体"/>
          <w:kern w:val="0"/>
          <w:sz w:val="24"/>
          <w:szCs w:val="24"/>
        </w:rPr>
        <w:t>地理信息元数据</w:t>
      </w:r>
      <w:bookmarkEnd w:id="67"/>
      <w:r>
        <w:rPr>
          <w:rFonts w:hint="eastAsia" w:ascii="宋体" w:hAnsi="宋体" w:eastAsia="宋体" w:cs="宋体"/>
          <w:kern w:val="0"/>
          <w:sz w:val="24"/>
          <w:szCs w:val="24"/>
        </w:rPr>
        <w:t>》（GB/T 19710—20</w:t>
      </w:r>
      <w:r>
        <w:rPr>
          <w:rFonts w:hint="eastAsia" w:ascii="宋体" w:hAnsi="宋体" w:cs="宋体"/>
          <w:kern w:val="0"/>
          <w:sz w:val="24"/>
          <w:szCs w:val="24"/>
          <w:lang w:val="en-US" w:eastAsia="zh-CN"/>
        </w:rPr>
        <w:t>23</w:t>
      </w:r>
      <w:r>
        <w:rPr>
          <w:rFonts w:hint="eastAsia" w:ascii="宋体" w:hAnsi="宋体" w:eastAsia="宋体" w:cs="宋体"/>
          <w:kern w:val="0"/>
          <w:sz w:val="24"/>
          <w:szCs w:val="24"/>
        </w:rPr>
        <w:t>）</w:t>
      </w:r>
      <w:bookmarkEnd w:id="66"/>
      <w:r>
        <w:rPr>
          <w:rFonts w:hint="eastAsia" w:ascii="宋体" w:hAnsi="宋体" w:eastAsia="宋体" w:cs="宋体"/>
          <w:kern w:val="0"/>
          <w:sz w:val="24"/>
          <w:szCs w:val="24"/>
        </w:rPr>
        <w:t>；</w:t>
      </w:r>
    </w:p>
    <w:p w14:paraId="42A00470">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《测绘成果质量检查与验收》（GB/T 24356-2023）。</w:t>
      </w:r>
    </w:p>
    <w:p w14:paraId="288FDD11">
      <w:pPr>
        <w:keepLines w:val="0"/>
        <w:pageBreakBefore w:val="0"/>
        <w:numPr>
          <w:ilvl w:val="-1"/>
          <w:numId w:val="0"/>
        </w:numPr>
        <w:tabs>
          <w:tab w:val="left" w:pos="0"/>
        </w:tabs>
        <w:kinsoku/>
        <w:wordWrap/>
        <w:overflowPunct/>
        <w:topLinePunct w:val="0"/>
        <w:bidi w:val="0"/>
        <w:snapToGrid/>
        <w:spacing w:line="360" w:lineRule="auto"/>
        <w:ind w:firstLine="480"/>
        <w:jc w:val="left"/>
        <w:textAlignment w:val="auto"/>
        <w:outlineLvl w:val="9"/>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rPr>
        <w:t>成果主要技术指标</w:t>
      </w:r>
    </w:p>
    <w:p w14:paraId="38F5DE83">
      <w:pPr>
        <w:keepLines w:val="0"/>
        <w:pageBreakBefore w:val="0"/>
        <w:numPr>
          <w:ilvl w:val="0"/>
          <w:numId w:val="0"/>
        </w:numPr>
        <w:kinsoku/>
        <w:wordWrap/>
        <w:overflowPunct/>
        <w:topLinePunct w:val="0"/>
        <w:bidi w:val="0"/>
        <w:snapToGrid w:val="0"/>
        <w:spacing w:line="360" w:lineRule="auto"/>
        <w:jc w:val="left"/>
        <w:textAlignment w:val="auto"/>
        <w:outlineLvl w:val="1"/>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1、任务</w:t>
      </w:r>
    </w:p>
    <w:p w14:paraId="280F1428">
      <w:pPr>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主要任务包括准备工作、边界点和定标点预设、定标点测绘、边界线更新、边界附图与走向说明编制、成果整理、报告编制、成果确认、立标和数据库建设等。</w:t>
      </w:r>
    </w:p>
    <w:p w14:paraId="08B0D474">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数学基础</w:t>
      </w:r>
    </w:p>
    <w:p w14:paraId="22E6823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坐标系：2000 国家大地坐标系（CGCS2000）。</w:t>
      </w:r>
    </w:p>
    <w:p w14:paraId="5FDD9A8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高程系统：正常高系统。</w:t>
      </w:r>
    </w:p>
    <w:p w14:paraId="0E901292">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高程基准：1985 国家高程基准（二期）。</w:t>
      </w:r>
    </w:p>
    <w:p w14:paraId="4912975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投影：高斯-克吕格投影，标准 3 度分带。</w:t>
      </w:r>
    </w:p>
    <w:p w14:paraId="386BFFB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平面坐标与高程单位为“米”。</w:t>
      </w:r>
    </w:p>
    <w:p w14:paraId="13CEDC82">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比例尺</w:t>
      </w:r>
    </w:p>
    <w:p w14:paraId="05560BC0">
      <w:pPr>
        <w:keepLines w:val="0"/>
        <w:pageBreakBefore w:val="0"/>
        <w:kinsoku/>
        <w:wordWrap/>
        <w:overflowPunct/>
        <w:topLinePunct w:val="0"/>
        <w:bidi w:val="0"/>
        <w:snapToGrid w:val="0"/>
        <w:spacing w:line="360" w:lineRule="auto"/>
        <w:ind w:left="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本项目调查基本比例尺和成图比例尺均</w:t>
      </w:r>
      <w:r>
        <w:rPr>
          <w:rFonts w:hint="eastAsia" w:ascii="宋体" w:hAnsi="宋体" w:cs="宋体"/>
          <w:sz w:val="24"/>
          <w:szCs w:val="24"/>
          <w:highlight w:val="none"/>
          <w:lang w:eastAsia="zh-CN"/>
        </w:rPr>
        <w:t>采用</w:t>
      </w:r>
      <w:r>
        <w:rPr>
          <w:rFonts w:hint="eastAsia" w:ascii="宋体" w:hAnsi="宋体" w:eastAsia="宋体" w:cs="宋体"/>
          <w:sz w:val="24"/>
          <w:szCs w:val="24"/>
          <w:highlight w:val="none"/>
        </w:rPr>
        <w:t xml:space="preserve"> 1：2000。</w:t>
      </w:r>
    </w:p>
    <w:p w14:paraId="17CDC85E">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精度指标</w:t>
      </w:r>
    </w:p>
    <w:p w14:paraId="5BDED857">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平面精度</w:t>
      </w:r>
    </w:p>
    <w:p w14:paraId="0DDC5A20">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default" w:ascii="宋体" w:hAnsi="宋体" w:eastAsia="宋体" w:cs="宋体"/>
          <w:sz w:val="24"/>
          <w:szCs w:val="24"/>
          <w:highlight w:val="none"/>
          <w:lang w:val="en-US" w:eastAsia="zh-CN"/>
        </w:rPr>
      </w:pPr>
      <w:bookmarkStart w:id="68" w:name="_Hlk34225671"/>
      <w:r>
        <w:rPr>
          <w:rFonts w:hint="eastAsia" w:ascii="宋体" w:hAnsi="宋体" w:cs="宋体"/>
          <w:sz w:val="24"/>
          <w:szCs w:val="24"/>
          <w:highlight w:val="none"/>
          <w:lang w:val="en-US" w:eastAsia="zh-CN"/>
        </w:rPr>
        <w:t>实测定标点平面精度适用表1，总点位中误差应不大于</w:t>
      </w:r>
      <w:r>
        <w:rPr>
          <w:rFonts w:hint="eastAsia" w:ascii="宋体" w:hAnsi="宋体" w:eastAsia="宋体" w:cs="宋体"/>
          <w:kern w:val="0"/>
          <w:sz w:val="24"/>
          <w:szCs w:val="24"/>
          <w:highlight w:val="none"/>
        </w:rPr>
        <w:t>±0.</w:t>
      </w:r>
      <w:r>
        <w:rPr>
          <w:rFonts w:hint="eastAsia" w:ascii="宋体" w:hAnsi="宋体" w:cs="宋体"/>
          <w:kern w:val="0"/>
          <w:sz w:val="24"/>
          <w:szCs w:val="24"/>
          <w:highlight w:val="none"/>
          <w:lang w:val="en-US" w:eastAsia="zh-CN"/>
        </w:rPr>
        <w:t>2米</w:t>
      </w:r>
    </w:p>
    <w:p w14:paraId="33439FD3">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表1 </w:t>
      </w:r>
      <w:r>
        <w:rPr>
          <w:rFonts w:hint="eastAsia" w:ascii="宋体" w:hAnsi="宋体" w:cs="宋体"/>
          <w:sz w:val="24"/>
          <w:szCs w:val="24"/>
          <w:highlight w:val="none"/>
          <w:lang w:val="en-US" w:eastAsia="zh-CN"/>
        </w:rPr>
        <w:t>实测定标点平面精度要求及</w:t>
      </w:r>
      <w:r>
        <w:rPr>
          <w:rFonts w:hint="eastAsia" w:ascii="宋体" w:hAnsi="宋体" w:eastAsia="宋体" w:cs="宋体"/>
          <w:sz w:val="24"/>
          <w:szCs w:val="24"/>
          <w:highlight w:val="none"/>
        </w:rPr>
        <w:t>适用范围</w:t>
      </w:r>
      <w:bookmarkEnd w:id="68"/>
    </w:p>
    <w:tbl>
      <w:tblPr>
        <w:tblStyle w:val="60"/>
        <w:tblW w:w="8623" w:type="dxa"/>
        <w:jc w:val="center"/>
        <w:tblLayout w:type="fixed"/>
        <w:tblCellMar>
          <w:top w:w="0" w:type="dxa"/>
          <w:left w:w="108" w:type="dxa"/>
          <w:bottom w:w="0" w:type="dxa"/>
          <w:right w:w="108" w:type="dxa"/>
        </w:tblCellMar>
      </w:tblPr>
      <w:tblGrid>
        <w:gridCol w:w="736"/>
        <w:gridCol w:w="1290"/>
        <w:gridCol w:w="1320"/>
        <w:gridCol w:w="5277"/>
      </w:tblGrid>
      <w:tr w14:paraId="542C1073">
        <w:tblPrEx>
          <w:tblCellMar>
            <w:top w:w="0" w:type="dxa"/>
            <w:left w:w="108" w:type="dxa"/>
            <w:bottom w:w="0" w:type="dxa"/>
            <w:right w:w="108" w:type="dxa"/>
          </w:tblCellMar>
        </w:tblPrEx>
        <w:trPr>
          <w:trHeight w:val="1039" w:hRule="exact"/>
          <w:jc w:val="center"/>
        </w:trPr>
        <w:tc>
          <w:tcPr>
            <w:tcW w:w="736" w:type="dxa"/>
            <w:vMerge w:val="restart"/>
            <w:tcBorders>
              <w:top w:val="single" w:color="auto" w:sz="4" w:space="0"/>
              <w:left w:val="single" w:color="auto" w:sz="4" w:space="0"/>
              <w:bottom w:val="single" w:color="000000" w:sz="4" w:space="0"/>
              <w:right w:val="single" w:color="auto" w:sz="4" w:space="0"/>
            </w:tcBorders>
            <w:noWrap w:val="0"/>
            <w:vAlign w:val="center"/>
          </w:tcPr>
          <w:p w14:paraId="4AB3968B">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类别</w:t>
            </w:r>
          </w:p>
        </w:tc>
        <w:tc>
          <w:tcPr>
            <w:tcW w:w="2610" w:type="dxa"/>
            <w:gridSpan w:val="2"/>
            <w:tcBorders>
              <w:top w:val="single" w:color="auto" w:sz="4" w:space="0"/>
              <w:left w:val="single" w:color="auto" w:sz="4" w:space="0"/>
              <w:bottom w:val="single" w:color="000000" w:sz="4" w:space="0"/>
              <w:right w:val="single" w:color="000000" w:sz="4" w:space="0"/>
            </w:tcBorders>
            <w:noWrap w:val="0"/>
            <w:vAlign w:val="center"/>
          </w:tcPr>
          <w:p w14:paraId="07D9B800">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相对</w:t>
            </w:r>
            <w:r>
              <w:rPr>
                <w:rFonts w:hint="eastAsia" w:ascii="宋体" w:hAnsi="宋体" w:cs="宋体"/>
                <w:kern w:val="0"/>
                <w:sz w:val="24"/>
                <w:szCs w:val="24"/>
                <w:highlight w:val="none"/>
                <w:lang w:val="en-US" w:eastAsia="zh-CN"/>
              </w:rPr>
              <w:t>于</w:t>
            </w:r>
            <w:r>
              <w:rPr>
                <w:rFonts w:hint="eastAsia" w:ascii="宋体" w:hAnsi="宋体" w:eastAsia="宋体" w:cs="宋体"/>
                <w:kern w:val="0"/>
                <w:sz w:val="24"/>
                <w:szCs w:val="24"/>
                <w:highlight w:val="none"/>
              </w:rPr>
              <w:t>邻近控制点的点位误差（m）</w:t>
            </w:r>
          </w:p>
        </w:tc>
        <w:tc>
          <w:tcPr>
            <w:tcW w:w="5277" w:type="dxa"/>
            <w:vMerge w:val="restart"/>
            <w:tcBorders>
              <w:top w:val="single" w:color="auto" w:sz="4" w:space="0"/>
              <w:left w:val="single" w:color="auto" w:sz="4" w:space="0"/>
              <w:right w:val="single" w:color="auto" w:sz="4" w:space="0"/>
            </w:tcBorders>
            <w:noWrap w:val="0"/>
            <w:vAlign w:val="center"/>
          </w:tcPr>
          <w:p w14:paraId="59DD1DBD">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适 用 范 围</w:t>
            </w:r>
          </w:p>
        </w:tc>
      </w:tr>
      <w:tr w14:paraId="5729E355">
        <w:tblPrEx>
          <w:tblCellMar>
            <w:top w:w="0" w:type="dxa"/>
            <w:left w:w="108" w:type="dxa"/>
            <w:bottom w:w="0" w:type="dxa"/>
            <w:right w:w="108" w:type="dxa"/>
          </w:tblCellMar>
        </w:tblPrEx>
        <w:trPr>
          <w:trHeight w:val="416" w:hRule="exact"/>
          <w:jc w:val="center"/>
        </w:trPr>
        <w:tc>
          <w:tcPr>
            <w:tcW w:w="736" w:type="dxa"/>
            <w:vMerge w:val="continue"/>
            <w:tcBorders>
              <w:top w:val="single" w:color="auto" w:sz="4" w:space="0"/>
              <w:left w:val="single" w:color="auto" w:sz="4" w:space="0"/>
              <w:bottom w:val="single" w:color="000000" w:sz="4" w:space="0"/>
              <w:right w:val="single" w:color="auto" w:sz="4" w:space="0"/>
            </w:tcBorders>
            <w:noWrap w:val="0"/>
            <w:vAlign w:val="center"/>
          </w:tcPr>
          <w:p w14:paraId="38D07A2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c>
          <w:tcPr>
            <w:tcW w:w="1290" w:type="dxa"/>
            <w:tcBorders>
              <w:top w:val="nil"/>
              <w:left w:val="nil"/>
              <w:bottom w:val="single" w:color="auto" w:sz="4" w:space="0"/>
              <w:right w:val="single" w:color="auto" w:sz="4" w:space="0"/>
            </w:tcBorders>
            <w:noWrap w:val="0"/>
            <w:vAlign w:val="center"/>
          </w:tcPr>
          <w:p w14:paraId="7FFF599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中误差</w:t>
            </w:r>
          </w:p>
        </w:tc>
        <w:tc>
          <w:tcPr>
            <w:tcW w:w="1320" w:type="dxa"/>
            <w:tcBorders>
              <w:top w:val="nil"/>
              <w:left w:val="nil"/>
              <w:bottom w:val="single" w:color="auto" w:sz="4" w:space="0"/>
              <w:right w:val="single" w:color="auto" w:sz="4" w:space="0"/>
            </w:tcBorders>
            <w:noWrap w:val="0"/>
            <w:vAlign w:val="center"/>
          </w:tcPr>
          <w:p w14:paraId="53A9B9B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限差</w:t>
            </w:r>
          </w:p>
        </w:tc>
        <w:tc>
          <w:tcPr>
            <w:tcW w:w="5277" w:type="dxa"/>
            <w:vMerge w:val="continue"/>
            <w:tcBorders>
              <w:left w:val="single" w:color="auto" w:sz="4" w:space="0"/>
              <w:bottom w:val="single" w:color="auto" w:sz="4" w:space="0"/>
              <w:right w:val="single" w:color="auto" w:sz="4" w:space="0"/>
            </w:tcBorders>
            <w:noWrap w:val="0"/>
            <w:vAlign w:val="center"/>
          </w:tcPr>
          <w:p w14:paraId="09823F9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r>
      <w:tr w14:paraId="498BA87F">
        <w:tblPrEx>
          <w:tblCellMar>
            <w:top w:w="0" w:type="dxa"/>
            <w:left w:w="108" w:type="dxa"/>
            <w:bottom w:w="0" w:type="dxa"/>
            <w:right w:w="108" w:type="dxa"/>
          </w:tblCellMar>
        </w:tblPrEx>
        <w:trPr>
          <w:trHeight w:val="567" w:hRule="exact"/>
          <w:jc w:val="center"/>
        </w:trPr>
        <w:tc>
          <w:tcPr>
            <w:tcW w:w="736" w:type="dxa"/>
            <w:tcBorders>
              <w:top w:val="nil"/>
              <w:left w:val="single" w:color="auto" w:sz="4" w:space="0"/>
              <w:bottom w:val="single" w:color="auto" w:sz="4" w:space="0"/>
              <w:right w:val="single" w:color="auto" w:sz="4" w:space="0"/>
            </w:tcBorders>
            <w:noWrap w:val="0"/>
            <w:vAlign w:val="center"/>
          </w:tcPr>
          <w:p w14:paraId="2F38408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1290" w:type="dxa"/>
            <w:tcBorders>
              <w:top w:val="nil"/>
              <w:left w:val="nil"/>
              <w:bottom w:val="single" w:color="auto" w:sz="4" w:space="0"/>
              <w:right w:val="single" w:color="auto" w:sz="4" w:space="0"/>
            </w:tcBorders>
            <w:noWrap w:val="0"/>
            <w:vAlign w:val="center"/>
          </w:tcPr>
          <w:p w14:paraId="2CE66D8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±0.15</w:t>
            </w:r>
          </w:p>
        </w:tc>
        <w:tc>
          <w:tcPr>
            <w:tcW w:w="1320" w:type="dxa"/>
            <w:tcBorders>
              <w:top w:val="nil"/>
              <w:left w:val="nil"/>
              <w:bottom w:val="single" w:color="auto" w:sz="4" w:space="0"/>
              <w:right w:val="single" w:color="auto" w:sz="4" w:space="0"/>
            </w:tcBorders>
            <w:noWrap w:val="0"/>
            <w:vAlign w:val="center"/>
          </w:tcPr>
          <w:p w14:paraId="4ABDFB06">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±0.3</w:t>
            </w:r>
          </w:p>
        </w:tc>
        <w:tc>
          <w:tcPr>
            <w:tcW w:w="5277" w:type="dxa"/>
            <w:tcBorders>
              <w:top w:val="nil"/>
              <w:left w:val="nil"/>
              <w:bottom w:val="single" w:color="auto" w:sz="4" w:space="0"/>
              <w:right w:val="single" w:color="auto" w:sz="4" w:space="0"/>
            </w:tcBorders>
            <w:noWrap w:val="0"/>
            <w:vAlign w:val="center"/>
          </w:tcPr>
          <w:p w14:paraId="103111B3">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实测法：观测条件良好的定标点</w:t>
            </w:r>
          </w:p>
        </w:tc>
      </w:tr>
      <w:tr w14:paraId="062396A0">
        <w:tblPrEx>
          <w:tblCellMar>
            <w:top w:w="0" w:type="dxa"/>
            <w:left w:w="108" w:type="dxa"/>
            <w:bottom w:w="0" w:type="dxa"/>
            <w:right w:w="108" w:type="dxa"/>
          </w:tblCellMar>
        </w:tblPrEx>
        <w:trPr>
          <w:trHeight w:val="567" w:hRule="exact"/>
          <w:jc w:val="center"/>
        </w:trPr>
        <w:tc>
          <w:tcPr>
            <w:tcW w:w="736" w:type="dxa"/>
            <w:tcBorders>
              <w:top w:val="nil"/>
              <w:left w:val="single" w:color="auto" w:sz="4" w:space="0"/>
              <w:bottom w:val="single" w:color="auto" w:sz="4" w:space="0"/>
              <w:right w:val="single" w:color="auto" w:sz="4" w:space="0"/>
            </w:tcBorders>
            <w:noWrap w:val="0"/>
            <w:vAlign w:val="center"/>
          </w:tcPr>
          <w:p w14:paraId="24E090B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1290" w:type="dxa"/>
            <w:tcBorders>
              <w:top w:val="nil"/>
              <w:left w:val="nil"/>
              <w:bottom w:val="single" w:color="auto" w:sz="4" w:space="0"/>
              <w:right w:val="single" w:color="auto" w:sz="4" w:space="0"/>
            </w:tcBorders>
            <w:noWrap w:val="0"/>
            <w:vAlign w:val="center"/>
          </w:tcPr>
          <w:p w14:paraId="404BD4D3">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±0.6</w:t>
            </w:r>
          </w:p>
        </w:tc>
        <w:tc>
          <w:tcPr>
            <w:tcW w:w="1320" w:type="dxa"/>
            <w:tcBorders>
              <w:top w:val="nil"/>
              <w:left w:val="nil"/>
              <w:bottom w:val="single" w:color="auto" w:sz="4" w:space="0"/>
              <w:right w:val="single" w:color="auto" w:sz="4" w:space="0"/>
            </w:tcBorders>
            <w:noWrap w:val="0"/>
            <w:vAlign w:val="center"/>
          </w:tcPr>
          <w:p w14:paraId="4AB9F79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5277" w:type="dxa"/>
            <w:tcBorders>
              <w:top w:val="nil"/>
              <w:left w:val="nil"/>
              <w:bottom w:val="single" w:color="auto" w:sz="4" w:space="0"/>
              <w:right w:val="single" w:color="auto" w:sz="4" w:space="0"/>
            </w:tcBorders>
            <w:noWrap w:val="0"/>
            <w:vAlign w:val="center"/>
          </w:tcPr>
          <w:p w14:paraId="77284EF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实测法：位置隐蔽、观测条件不佳的定标点</w:t>
            </w:r>
          </w:p>
        </w:tc>
      </w:tr>
      <w:tr w14:paraId="5E507DA4">
        <w:tblPrEx>
          <w:tblCellMar>
            <w:top w:w="0" w:type="dxa"/>
            <w:left w:w="108" w:type="dxa"/>
            <w:bottom w:w="0" w:type="dxa"/>
            <w:right w:w="108" w:type="dxa"/>
          </w:tblCellMar>
        </w:tblPrEx>
        <w:trPr>
          <w:trHeight w:val="720" w:hRule="exact"/>
          <w:jc w:val="center"/>
        </w:trPr>
        <w:tc>
          <w:tcPr>
            <w:tcW w:w="736" w:type="dxa"/>
            <w:tcBorders>
              <w:top w:val="nil"/>
              <w:left w:val="single" w:color="auto" w:sz="4" w:space="0"/>
              <w:bottom w:val="single" w:color="auto" w:sz="4" w:space="0"/>
              <w:right w:val="single" w:color="auto" w:sz="4" w:space="0"/>
            </w:tcBorders>
            <w:noWrap w:val="0"/>
            <w:vAlign w:val="center"/>
          </w:tcPr>
          <w:p w14:paraId="5E1C3D1C">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1290" w:type="dxa"/>
            <w:tcBorders>
              <w:top w:val="nil"/>
              <w:left w:val="nil"/>
              <w:bottom w:val="single" w:color="auto" w:sz="4" w:space="0"/>
              <w:right w:val="single" w:color="auto" w:sz="4" w:space="0"/>
            </w:tcBorders>
            <w:noWrap w:val="0"/>
            <w:vAlign w:val="center"/>
          </w:tcPr>
          <w:p w14:paraId="526F3C58">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1320" w:type="dxa"/>
            <w:tcBorders>
              <w:top w:val="nil"/>
              <w:left w:val="nil"/>
              <w:bottom w:val="single" w:color="auto" w:sz="4" w:space="0"/>
              <w:right w:val="single" w:color="auto" w:sz="4" w:space="0"/>
            </w:tcBorders>
            <w:noWrap w:val="0"/>
            <w:vAlign w:val="center"/>
          </w:tcPr>
          <w:p w14:paraId="549250DF">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w:t>
            </w:r>
          </w:p>
        </w:tc>
        <w:tc>
          <w:tcPr>
            <w:tcW w:w="5277" w:type="dxa"/>
            <w:tcBorders>
              <w:top w:val="nil"/>
              <w:left w:val="nil"/>
              <w:bottom w:val="single" w:color="auto" w:sz="4" w:space="0"/>
              <w:right w:val="single" w:color="auto" w:sz="4" w:space="0"/>
            </w:tcBorders>
            <w:noWrap w:val="0"/>
            <w:vAlign w:val="center"/>
          </w:tcPr>
          <w:p w14:paraId="2FF5B7B9">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测量条件不良，采用高清影像辨识确定的定标点</w:t>
            </w:r>
          </w:p>
        </w:tc>
      </w:tr>
    </w:tbl>
    <w:p w14:paraId="5E455FF7">
      <w:pPr>
        <w:keepLines w:val="0"/>
        <w:pageBreakBefore w:val="0"/>
        <w:kinsoku/>
        <w:wordWrap/>
        <w:overflowPunct/>
        <w:topLinePunct w:val="0"/>
        <w:bidi w:val="0"/>
        <w:snapToGrid w:val="0"/>
        <w:spacing w:line="360" w:lineRule="auto"/>
        <w:ind w:left="420"/>
        <w:jc w:val="left"/>
        <w:textAlignment w:val="auto"/>
        <w:rPr>
          <w:rFonts w:hint="eastAsia" w:ascii="宋体" w:hAnsi="宋体" w:eastAsia="宋体" w:cs="宋体"/>
          <w:sz w:val="24"/>
          <w:szCs w:val="24"/>
          <w:highlight w:val="none"/>
        </w:rPr>
      </w:pPr>
    </w:p>
    <w:p w14:paraId="06EF4CE7">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高程精度</w:t>
      </w:r>
    </w:p>
    <w:p w14:paraId="054F67B5">
      <w:pPr>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实测定标点高程采用省级大地精化水准面计算高程异常值。高程精度要求适用表2，总高程中误差应不大于</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2.0米</w:t>
      </w:r>
    </w:p>
    <w:p w14:paraId="173B6C3F">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表2</w:t>
      </w:r>
      <w:r>
        <w:rPr>
          <w:rFonts w:hint="eastAsia" w:ascii="宋体" w:hAnsi="宋体" w:cs="宋体"/>
          <w:sz w:val="24"/>
          <w:szCs w:val="24"/>
          <w:highlight w:val="none"/>
          <w:lang w:val="en-US" w:eastAsia="zh-CN"/>
        </w:rPr>
        <w:t xml:space="preserve"> 实测定标点高程精度要求</w:t>
      </w:r>
      <w:r>
        <w:rPr>
          <w:rFonts w:hint="eastAsia" w:ascii="宋体" w:hAnsi="宋体" w:eastAsia="宋体" w:cs="宋体"/>
          <w:sz w:val="24"/>
          <w:szCs w:val="24"/>
          <w:highlight w:val="none"/>
        </w:rPr>
        <w:t>及适用范围</w:t>
      </w:r>
    </w:p>
    <w:tbl>
      <w:tblPr>
        <w:tblStyle w:val="60"/>
        <w:tblW w:w="8755" w:type="dxa"/>
        <w:tblInd w:w="0" w:type="dxa"/>
        <w:tblLayout w:type="fixed"/>
        <w:tblCellMar>
          <w:top w:w="0" w:type="dxa"/>
          <w:left w:w="108" w:type="dxa"/>
          <w:bottom w:w="0" w:type="dxa"/>
          <w:right w:w="108" w:type="dxa"/>
        </w:tblCellMar>
      </w:tblPr>
      <w:tblGrid>
        <w:gridCol w:w="837"/>
        <w:gridCol w:w="1245"/>
        <w:gridCol w:w="1395"/>
        <w:gridCol w:w="5278"/>
      </w:tblGrid>
      <w:tr w14:paraId="0C57CE4D">
        <w:tblPrEx>
          <w:tblCellMar>
            <w:top w:w="0" w:type="dxa"/>
            <w:left w:w="108" w:type="dxa"/>
            <w:bottom w:w="0" w:type="dxa"/>
            <w:right w:w="108" w:type="dxa"/>
          </w:tblCellMar>
        </w:tblPrEx>
        <w:trPr>
          <w:trHeight w:val="990" w:hRule="exact"/>
        </w:trPr>
        <w:tc>
          <w:tcPr>
            <w:tcW w:w="837" w:type="dxa"/>
            <w:vMerge w:val="restart"/>
            <w:tcBorders>
              <w:top w:val="single" w:color="auto" w:sz="4" w:space="0"/>
              <w:left w:val="single" w:color="auto" w:sz="4" w:space="0"/>
              <w:bottom w:val="single" w:color="000000" w:sz="4" w:space="0"/>
              <w:right w:val="single" w:color="auto" w:sz="4" w:space="0"/>
            </w:tcBorders>
            <w:noWrap w:val="0"/>
            <w:vAlign w:val="center"/>
          </w:tcPr>
          <w:p w14:paraId="5D570690">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别</w:t>
            </w:r>
          </w:p>
        </w:tc>
        <w:tc>
          <w:tcPr>
            <w:tcW w:w="2640" w:type="dxa"/>
            <w:gridSpan w:val="2"/>
            <w:tcBorders>
              <w:top w:val="single" w:color="auto" w:sz="4" w:space="0"/>
              <w:left w:val="single" w:color="auto" w:sz="4" w:space="0"/>
              <w:bottom w:val="single" w:color="000000" w:sz="4" w:space="0"/>
              <w:right w:val="single" w:color="000000" w:sz="4" w:space="0"/>
            </w:tcBorders>
            <w:noWrap w:val="0"/>
            <w:vAlign w:val="center"/>
          </w:tcPr>
          <w:p w14:paraId="2C40213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相对于</w:t>
            </w:r>
            <w:r>
              <w:rPr>
                <w:rFonts w:hint="eastAsia" w:ascii="宋体" w:hAnsi="宋体" w:eastAsia="宋体" w:cs="宋体"/>
                <w:kern w:val="0"/>
                <w:sz w:val="24"/>
                <w:szCs w:val="24"/>
                <w:highlight w:val="none"/>
              </w:rPr>
              <w:t>邻近控制</w:t>
            </w:r>
            <w:r>
              <w:rPr>
                <w:rFonts w:hint="eastAsia" w:ascii="宋体" w:hAnsi="宋体" w:cs="宋体"/>
                <w:kern w:val="0"/>
                <w:sz w:val="24"/>
                <w:szCs w:val="24"/>
                <w:highlight w:val="none"/>
                <w:lang w:eastAsia="zh-CN"/>
              </w:rPr>
              <w:t>点的高程</w:t>
            </w:r>
            <w:r>
              <w:rPr>
                <w:rFonts w:hint="eastAsia" w:ascii="宋体" w:hAnsi="宋体" w:eastAsia="宋体" w:cs="宋体"/>
                <w:kern w:val="0"/>
                <w:sz w:val="24"/>
                <w:szCs w:val="24"/>
                <w:highlight w:val="none"/>
              </w:rPr>
              <w:t>误差（m）</w:t>
            </w:r>
          </w:p>
        </w:tc>
        <w:tc>
          <w:tcPr>
            <w:tcW w:w="5278" w:type="dxa"/>
            <w:vMerge w:val="restart"/>
            <w:tcBorders>
              <w:top w:val="single" w:color="auto" w:sz="4" w:space="0"/>
              <w:left w:val="single" w:color="auto" w:sz="4" w:space="0"/>
              <w:right w:val="single" w:color="auto" w:sz="4" w:space="0"/>
            </w:tcBorders>
            <w:noWrap w:val="0"/>
            <w:vAlign w:val="center"/>
          </w:tcPr>
          <w:p w14:paraId="38E68B5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适 用 范 围</w:t>
            </w:r>
          </w:p>
        </w:tc>
      </w:tr>
      <w:tr w14:paraId="52C352A0">
        <w:tblPrEx>
          <w:tblCellMar>
            <w:top w:w="0" w:type="dxa"/>
            <w:left w:w="108" w:type="dxa"/>
            <w:bottom w:w="0" w:type="dxa"/>
            <w:right w:w="108" w:type="dxa"/>
          </w:tblCellMar>
        </w:tblPrEx>
        <w:trPr>
          <w:trHeight w:val="449" w:hRule="exact"/>
        </w:trPr>
        <w:tc>
          <w:tcPr>
            <w:tcW w:w="837" w:type="dxa"/>
            <w:vMerge w:val="continue"/>
            <w:tcBorders>
              <w:top w:val="single" w:color="auto" w:sz="4" w:space="0"/>
              <w:left w:val="single" w:color="auto" w:sz="4" w:space="0"/>
              <w:bottom w:val="single" w:color="000000" w:sz="4" w:space="0"/>
              <w:right w:val="single" w:color="auto" w:sz="4" w:space="0"/>
            </w:tcBorders>
            <w:noWrap w:val="0"/>
            <w:vAlign w:val="center"/>
          </w:tcPr>
          <w:p w14:paraId="40A751A5">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p>
        </w:tc>
        <w:tc>
          <w:tcPr>
            <w:tcW w:w="1245" w:type="dxa"/>
            <w:tcBorders>
              <w:top w:val="nil"/>
              <w:left w:val="nil"/>
              <w:bottom w:val="single" w:color="auto" w:sz="4" w:space="0"/>
              <w:right w:val="single" w:color="auto" w:sz="4" w:space="0"/>
            </w:tcBorders>
            <w:noWrap w:val="0"/>
            <w:vAlign w:val="center"/>
          </w:tcPr>
          <w:p w14:paraId="0A80272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中误差</w:t>
            </w:r>
          </w:p>
        </w:tc>
        <w:tc>
          <w:tcPr>
            <w:tcW w:w="1395" w:type="dxa"/>
            <w:tcBorders>
              <w:top w:val="nil"/>
              <w:left w:val="nil"/>
              <w:bottom w:val="single" w:color="auto" w:sz="4" w:space="0"/>
              <w:right w:val="single" w:color="auto" w:sz="4" w:space="0"/>
            </w:tcBorders>
            <w:noWrap w:val="0"/>
            <w:vAlign w:val="center"/>
          </w:tcPr>
          <w:p w14:paraId="78E975A7">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最大误差</w:t>
            </w:r>
          </w:p>
        </w:tc>
        <w:tc>
          <w:tcPr>
            <w:tcW w:w="5278" w:type="dxa"/>
            <w:vMerge w:val="continue"/>
            <w:tcBorders>
              <w:left w:val="single" w:color="auto" w:sz="4" w:space="0"/>
              <w:bottom w:val="single" w:color="auto" w:sz="4" w:space="0"/>
              <w:right w:val="single" w:color="auto" w:sz="4" w:space="0"/>
            </w:tcBorders>
            <w:noWrap w:val="0"/>
            <w:vAlign w:val="center"/>
          </w:tcPr>
          <w:p w14:paraId="6B0D740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r>
      <w:tr w14:paraId="665D5293">
        <w:tblPrEx>
          <w:tblCellMar>
            <w:top w:w="0" w:type="dxa"/>
            <w:left w:w="108" w:type="dxa"/>
            <w:bottom w:w="0" w:type="dxa"/>
            <w:right w:w="108" w:type="dxa"/>
          </w:tblCellMar>
        </w:tblPrEx>
        <w:trPr>
          <w:trHeight w:val="567" w:hRule="exact"/>
        </w:trPr>
        <w:tc>
          <w:tcPr>
            <w:tcW w:w="837" w:type="dxa"/>
            <w:tcBorders>
              <w:top w:val="nil"/>
              <w:left w:val="single" w:color="auto" w:sz="4" w:space="0"/>
              <w:bottom w:val="single" w:color="auto" w:sz="4" w:space="0"/>
              <w:right w:val="single" w:color="auto" w:sz="4" w:space="0"/>
            </w:tcBorders>
            <w:noWrap w:val="0"/>
            <w:vAlign w:val="center"/>
          </w:tcPr>
          <w:p w14:paraId="40838C8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1245" w:type="dxa"/>
            <w:tcBorders>
              <w:top w:val="nil"/>
              <w:left w:val="nil"/>
              <w:bottom w:val="single" w:color="auto" w:sz="4" w:space="0"/>
              <w:right w:val="single" w:color="auto" w:sz="4" w:space="0"/>
            </w:tcBorders>
            <w:noWrap w:val="0"/>
            <w:vAlign w:val="center"/>
          </w:tcPr>
          <w:p w14:paraId="7E237A4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±0.15</w:t>
            </w:r>
          </w:p>
        </w:tc>
        <w:tc>
          <w:tcPr>
            <w:tcW w:w="1395" w:type="dxa"/>
            <w:tcBorders>
              <w:top w:val="nil"/>
              <w:left w:val="nil"/>
              <w:bottom w:val="single" w:color="auto" w:sz="4" w:space="0"/>
              <w:right w:val="single" w:color="auto" w:sz="4" w:space="0"/>
            </w:tcBorders>
            <w:noWrap w:val="0"/>
            <w:vAlign w:val="center"/>
          </w:tcPr>
          <w:p w14:paraId="52AC77A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±0.3</w:t>
            </w:r>
          </w:p>
        </w:tc>
        <w:tc>
          <w:tcPr>
            <w:tcW w:w="5278" w:type="dxa"/>
            <w:tcBorders>
              <w:top w:val="nil"/>
              <w:left w:val="nil"/>
              <w:bottom w:val="single" w:color="auto" w:sz="4" w:space="0"/>
              <w:right w:val="single" w:color="auto" w:sz="4" w:space="0"/>
            </w:tcBorders>
            <w:noWrap w:val="0"/>
            <w:vAlign w:val="center"/>
          </w:tcPr>
          <w:p w14:paraId="4A9A79B6">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实测法：观测条件良好的定标点</w:t>
            </w:r>
          </w:p>
        </w:tc>
      </w:tr>
      <w:tr w14:paraId="7BE618FD">
        <w:tblPrEx>
          <w:tblCellMar>
            <w:top w:w="0" w:type="dxa"/>
            <w:left w:w="108" w:type="dxa"/>
            <w:bottom w:w="0" w:type="dxa"/>
            <w:right w:w="108" w:type="dxa"/>
          </w:tblCellMar>
        </w:tblPrEx>
        <w:trPr>
          <w:trHeight w:val="876" w:hRule="exact"/>
        </w:trPr>
        <w:tc>
          <w:tcPr>
            <w:tcW w:w="837" w:type="dxa"/>
            <w:tcBorders>
              <w:top w:val="nil"/>
              <w:left w:val="single" w:color="auto" w:sz="4" w:space="0"/>
              <w:bottom w:val="single" w:color="auto" w:sz="4" w:space="0"/>
              <w:right w:val="single" w:color="auto" w:sz="4" w:space="0"/>
            </w:tcBorders>
            <w:noWrap w:val="0"/>
            <w:vAlign w:val="center"/>
          </w:tcPr>
          <w:p w14:paraId="34B41B7C">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1245" w:type="dxa"/>
            <w:tcBorders>
              <w:top w:val="nil"/>
              <w:left w:val="nil"/>
              <w:bottom w:val="single" w:color="auto" w:sz="4" w:space="0"/>
              <w:right w:val="single" w:color="auto" w:sz="4" w:space="0"/>
            </w:tcBorders>
            <w:noWrap w:val="0"/>
            <w:vAlign w:val="center"/>
          </w:tcPr>
          <w:p w14:paraId="2E73CD6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±0.6</w:t>
            </w:r>
          </w:p>
        </w:tc>
        <w:tc>
          <w:tcPr>
            <w:tcW w:w="1395" w:type="dxa"/>
            <w:tcBorders>
              <w:top w:val="nil"/>
              <w:left w:val="nil"/>
              <w:bottom w:val="single" w:color="auto" w:sz="4" w:space="0"/>
              <w:right w:val="single" w:color="auto" w:sz="4" w:space="0"/>
            </w:tcBorders>
            <w:noWrap w:val="0"/>
            <w:vAlign w:val="center"/>
          </w:tcPr>
          <w:p w14:paraId="1F80FAA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5278" w:type="dxa"/>
            <w:tcBorders>
              <w:top w:val="nil"/>
              <w:left w:val="nil"/>
              <w:bottom w:val="single" w:color="auto" w:sz="4" w:space="0"/>
              <w:right w:val="single" w:color="auto" w:sz="4" w:space="0"/>
            </w:tcBorders>
            <w:noWrap w:val="0"/>
            <w:vAlign w:val="center"/>
          </w:tcPr>
          <w:p w14:paraId="0D5581A2">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实测法：位置隐蔽、观测条件不佳或位于高山上的定标点</w:t>
            </w:r>
          </w:p>
        </w:tc>
      </w:tr>
      <w:tr w14:paraId="1C9C6A1F">
        <w:tblPrEx>
          <w:tblCellMar>
            <w:top w:w="0" w:type="dxa"/>
            <w:left w:w="108" w:type="dxa"/>
            <w:bottom w:w="0" w:type="dxa"/>
            <w:right w:w="108" w:type="dxa"/>
          </w:tblCellMar>
        </w:tblPrEx>
        <w:trPr>
          <w:trHeight w:val="792" w:hRule="exact"/>
        </w:trPr>
        <w:tc>
          <w:tcPr>
            <w:tcW w:w="837" w:type="dxa"/>
            <w:tcBorders>
              <w:top w:val="nil"/>
              <w:left w:val="single" w:color="auto" w:sz="4" w:space="0"/>
              <w:bottom w:val="single" w:color="auto" w:sz="4" w:space="0"/>
              <w:right w:val="single" w:color="auto" w:sz="4" w:space="0"/>
            </w:tcBorders>
            <w:noWrap w:val="0"/>
            <w:vAlign w:val="center"/>
          </w:tcPr>
          <w:p w14:paraId="4F45C169">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1245" w:type="dxa"/>
            <w:tcBorders>
              <w:top w:val="nil"/>
              <w:left w:val="nil"/>
              <w:bottom w:val="single" w:color="auto" w:sz="4" w:space="0"/>
              <w:right w:val="single" w:color="auto" w:sz="4" w:space="0"/>
            </w:tcBorders>
            <w:noWrap w:val="0"/>
            <w:vAlign w:val="center"/>
          </w:tcPr>
          <w:p w14:paraId="3C7A227D">
            <w:pPr>
              <w:keepLines w:val="0"/>
              <w:pageBreakBefore w:val="0"/>
              <w:kinsoku/>
              <w:wordWrap/>
              <w:overflowPunct/>
              <w:topLinePunct w:val="0"/>
              <w:bidi w:val="0"/>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2.0</w:t>
            </w:r>
          </w:p>
        </w:tc>
        <w:tc>
          <w:tcPr>
            <w:tcW w:w="1395" w:type="dxa"/>
            <w:tcBorders>
              <w:top w:val="nil"/>
              <w:left w:val="nil"/>
              <w:bottom w:val="single" w:color="auto" w:sz="4" w:space="0"/>
              <w:right w:val="single" w:color="auto" w:sz="4" w:space="0"/>
            </w:tcBorders>
            <w:noWrap w:val="0"/>
            <w:vAlign w:val="center"/>
          </w:tcPr>
          <w:p w14:paraId="6896FDB6">
            <w:pPr>
              <w:keepLines w:val="0"/>
              <w:pageBreakBefore w:val="0"/>
              <w:kinsoku/>
              <w:wordWrap/>
              <w:overflowPunct/>
              <w:topLinePunct w:val="0"/>
              <w:bidi w:val="0"/>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4.0</w:t>
            </w:r>
          </w:p>
        </w:tc>
        <w:tc>
          <w:tcPr>
            <w:tcW w:w="5278" w:type="dxa"/>
            <w:tcBorders>
              <w:top w:val="nil"/>
              <w:left w:val="nil"/>
              <w:bottom w:val="single" w:color="auto" w:sz="4" w:space="0"/>
              <w:right w:val="single" w:color="auto" w:sz="4" w:space="0"/>
            </w:tcBorders>
            <w:noWrap w:val="0"/>
            <w:vAlign w:val="center"/>
          </w:tcPr>
          <w:p w14:paraId="7F5F9E89">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测量条件不良，采用高清影像辨识确定的定标点</w:t>
            </w:r>
          </w:p>
        </w:tc>
      </w:tr>
    </w:tbl>
    <w:p w14:paraId="726E3436">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rPr>
        <w:t>面积单位</w:t>
      </w:r>
    </w:p>
    <w:p w14:paraId="45E1F87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面积单位为公顷，保留2位小数。</w:t>
      </w:r>
    </w:p>
    <w:p w14:paraId="26F9743C">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rPr>
        <w:t>经纬度记录格式</w:t>
      </w:r>
    </w:p>
    <w:p w14:paraId="741B3B4C">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记录格式采用度分秒格式：“度”为2位或3位整数；“分”为 2 位整数，无十位数时补 0；“秒”整数部分2位，无十位数时补 0，精度为小数点后保留3位，不足部分补0。如：120°21′9.45″记录为 120°21′09.450″。</w:t>
      </w:r>
    </w:p>
    <w:p w14:paraId="693288AC">
      <w:pPr>
        <w:keepLines w:val="0"/>
        <w:pageBreakBefore w:val="0"/>
        <w:numPr>
          <w:ilvl w:val="-1"/>
          <w:numId w:val="0"/>
        </w:numPr>
        <w:tabs>
          <w:tab w:val="left" w:pos="0"/>
        </w:tabs>
        <w:kinsoku/>
        <w:wordWrap/>
        <w:overflowPunct/>
        <w:topLinePunct w:val="0"/>
        <w:bidi w:val="0"/>
        <w:snapToGrid/>
        <w:spacing w:line="360" w:lineRule="auto"/>
        <w:ind w:firstLine="480"/>
        <w:jc w:val="left"/>
        <w:textAlignment w:val="auto"/>
        <w:outlineLvl w:val="9"/>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五、技术路线和技术流程</w:t>
      </w:r>
    </w:p>
    <w:p w14:paraId="4DDCCB48">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用航测遥感、GNSS和地理信息等现代化先进技术，收集自然保护地边界、基础测绘、行政区划界和国土调查等成果，制作勘界工作底图，预设边界点和定标点，实地踏勘测定定标点，确定边界，绘制边界附图，编写边界走向说明，通过边界成果确认、公示和论证后，进行现场立标，按全省统一的数据格式和数据标准建立自然保护地勘界立标数据库。具体流程见图1。</w:t>
      </w:r>
    </w:p>
    <w:p w14:paraId="043F818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drawing>
          <wp:inline distT="0" distB="0" distL="114300" distR="114300">
            <wp:extent cx="5757545" cy="6783705"/>
            <wp:effectExtent l="0" t="0" r="14605" b="1714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27"/>
                    <a:stretch>
                      <a:fillRect/>
                    </a:stretch>
                  </pic:blipFill>
                  <pic:spPr>
                    <a:xfrm>
                      <a:off x="0" y="0"/>
                      <a:ext cx="5757545" cy="6783705"/>
                    </a:xfrm>
                    <a:prstGeom prst="rect">
                      <a:avLst/>
                    </a:prstGeom>
                    <a:noFill/>
                    <a:ln>
                      <a:noFill/>
                    </a:ln>
                  </pic:spPr>
                </pic:pic>
              </a:graphicData>
            </a:graphic>
          </wp:inline>
        </w:drawing>
      </w:r>
    </w:p>
    <w:p w14:paraId="15A91D89">
      <w:pPr>
        <w:keepLines w:val="0"/>
        <w:pageBreakBefore w:val="0"/>
        <w:numPr>
          <w:ilvl w:val="-1"/>
          <w:numId w:val="0"/>
        </w:numPr>
        <w:tabs>
          <w:tab w:val="left" w:pos="0"/>
        </w:tabs>
        <w:kinsoku/>
        <w:wordWrap/>
        <w:overflowPunct/>
        <w:topLinePunct w:val="0"/>
        <w:bidi w:val="0"/>
        <w:snapToGrid/>
        <w:spacing w:line="360" w:lineRule="auto"/>
        <w:ind w:firstLine="480"/>
        <w:jc w:val="left"/>
        <w:textAlignment w:val="auto"/>
        <w:outlineLvl w:val="9"/>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六、</w:t>
      </w:r>
      <w:r>
        <w:rPr>
          <w:rFonts w:hint="eastAsia" w:ascii="宋体" w:hAnsi="宋体" w:eastAsia="宋体" w:cs="宋体"/>
          <w:b/>
          <w:bCs/>
          <w:kern w:val="0"/>
          <w:sz w:val="24"/>
          <w:szCs w:val="24"/>
          <w:lang w:eastAsia="zh-CN"/>
        </w:rPr>
        <w:t>定</w:t>
      </w:r>
      <w:r>
        <w:rPr>
          <w:rFonts w:hint="eastAsia" w:ascii="宋体" w:hAnsi="宋体" w:eastAsia="宋体" w:cs="宋体"/>
          <w:b/>
          <w:bCs/>
          <w:kern w:val="0"/>
          <w:sz w:val="24"/>
          <w:szCs w:val="24"/>
        </w:rPr>
        <w:t>标</w:t>
      </w:r>
      <w:r>
        <w:rPr>
          <w:rFonts w:hint="eastAsia" w:ascii="宋体" w:hAnsi="宋体" w:cs="宋体"/>
          <w:b/>
          <w:bCs/>
          <w:kern w:val="0"/>
          <w:sz w:val="24"/>
          <w:szCs w:val="24"/>
          <w:lang w:val="en-US" w:eastAsia="zh-CN"/>
        </w:rPr>
        <w:t>立标</w:t>
      </w:r>
      <w:r>
        <w:rPr>
          <w:rFonts w:hint="eastAsia" w:ascii="宋体" w:hAnsi="宋体" w:eastAsia="宋体" w:cs="宋体"/>
          <w:b/>
          <w:bCs/>
          <w:kern w:val="0"/>
          <w:sz w:val="24"/>
          <w:szCs w:val="24"/>
        </w:rPr>
        <w:t>要求</w:t>
      </w:r>
    </w:p>
    <w:p w14:paraId="4D597C0A">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资料收集与处理</w:t>
      </w:r>
    </w:p>
    <w:p w14:paraId="51456EAB">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（1）浙江桐庐南堡省级湿地公园申报、批复相关依据性文件、整合优化成果等资料； </w:t>
      </w:r>
    </w:p>
    <w:p w14:paraId="0AA9AE2A">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（2）控制成果、1:2000 比例尺地形图； </w:t>
      </w:r>
    </w:p>
    <w:p w14:paraId="14E5E19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（3）航空影像（优于 0.2 米）、高空间分辨率遥感影像（优于 1 米）； </w:t>
      </w:r>
    </w:p>
    <w:p w14:paraId="10FECFF7">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（4）村级及以上行政界线资料，勘界工作底图和边界附图；  </w:t>
      </w:r>
    </w:p>
    <w:p w14:paraId="6E12329C">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（5）对收集到的资料进行数字化、拼接融合、坐标转换、拓扑检查等处理。 </w:t>
      </w:r>
    </w:p>
    <w:p w14:paraId="76A5C46E">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勘界工作底图制作</w:t>
      </w:r>
      <w:r>
        <w:rPr>
          <w:rFonts w:hint="eastAsia" w:ascii="宋体" w:hAnsi="宋体" w:cs="宋体"/>
          <w:sz w:val="24"/>
          <w:szCs w:val="24"/>
          <w:highlight w:val="none"/>
          <w:lang w:val="en-US" w:eastAsia="zh-CN"/>
        </w:rPr>
        <w:t>及界线修正</w:t>
      </w:r>
    </w:p>
    <w:p w14:paraId="3224855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勘界工作底图宜采用数字底图，内容包括地形图、高分影像、边界线、边界点、定标点以及其它相关数据。地形图地物、地貌要素的符号和注记等级、规格和颜色标准等遵循GB/T 20257和GB/T 35822的要求。</w:t>
      </w:r>
    </w:p>
    <w:p w14:paraId="3AB2A05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通过高分遥感影像、小比例尺地形图、专项</w:t>
      </w:r>
      <w:r>
        <w:rPr>
          <w:rFonts w:hint="eastAsia" w:ascii="宋体" w:hAnsi="宋体" w:cs="宋体"/>
          <w:sz w:val="24"/>
          <w:szCs w:val="24"/>
          <w:highlight w:val="none"/>
          <w:lang w:eastAsia="zh-CN"/>
        </w:rPr>
        <w:t>调查</w:t>
      </w:r>
      <w:r>
        <w:rPr>
          <w:rFonts w:hint="eastAsia" w:ascii="宋体" w:hAnsi="宋体" w:eastAsia="宋体" w:cs="宋体"/>
          <w:sz w:val="24"/>
          <w:szCs w:val="24"/>
          <w:highlight w:val="none"/>
        </w:rPr>
        <w:t>数据等对已有界线进行修正，明确走向依据。走向依据优选现地能明确识别的地貌地物线,现地无明显地貌地物线或不连续的两地貌地物线间则采用直线或</w:t>
      </w:r>
      <w:r>
        <w:rPr>
          <w:rFonts w:hint="eastAsia" w:ascii="宋体" w:hAnsi="宋体" w:cs="宋体"/>
          <w:sz w:val="24"/>
          <w:szCs w:val="24"/>
          <w:highlight w:val="none"/>
          <w:lang w:eastAsia="zh-CN"/>
        </w:rPr>
        <w:t>折线</w:t>
      </w:r>
      <w:r>
        <w:rPr>
          <w:rFonts w:hint="eastAsia" w:ascii="宋体" w:hAnsi="宋体" w:eastAsia="宋体" w:cs="宋体"/>
          <w:sz w:val="24"/>
          <w:szCs w:val="24"/>
          <w:highlight w:val="none"/>
        </w:rPr>
        <w:t xml:space="preserve">:对于靠近住房等建筑的界线应留出适当的间隔距离:涉及永久基本农田保护红线的以该红线为依据。 </w:t>
      </w:r>
    </w:p>
    <w:p w14:paraId="5A52DF83">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边界点与定标点预设</w:t>
      </w:r>
    </w:p>
    <w:p w14:paraId="3C11251F">
      <w:pPr>
        <w:keepLines w:val="0"/>
        <w:pageBreakBefore w:val="0"/>
        <w:kinsoku/>
        <w:wordWrap/>
        <w:overflowPunct/>
        <w:topLinePunct w:val="0"/>
        <w:bidi w:val="0"/>
        <w:snapToGrid w:val="0"/>
        <w:spacing w:line="360" w:lineRule="auto"/>
        <w:jc w:val="left"/>
        <w:textAlignment w:val="auto"/>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3.1边界点</w:t>
      </w:r>
      <w:r>
        <w:rPr>
          <w:rFonts w:hint="eastAsia" w:ascii="宋体" w:hAnsi="宋体" w:cs="宋体"/>
          <w:sz w:val="24"/>
          <w:szCs w:val="24"/>
          <w:highlight w:val="none"/>
          <w:lang w:val="en-US" w:eastAsia="zh-CN"/>
        </w:rPr>
        <w:t>选取</w:t>
      </w:r>
    </w:p>
    <w:p w14:paraId="60BF661F">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边界点选取的基本原则为控制边界走向。边界走向因子包括</w:t>
      </w:r>
      <w:r>
        <w:rPr>
          <w:rFonts w:hint="eastAsia" w:ascii="宋体" w:hAnsi="宋体" w:cs="宋体"/>
          <w:sz w:val="24"/>
          <w:szCs w:val="24"/>
          <w:highlight w:val="none"/>
          <w:lang w:eastAsia="zh-CN"/>
        </w:rPr>
        <w:t>起讫</w:t>
      </w:r>
      <w:r>
        <w:rPr>
          <w:rFonts w:hint="eastAsia" w:ascii="宋体" w:hAnsi="宋体" w:eastAsia="宋体" w:cs="宋体"/>
          <w:sz w:val="24"/>
          <w:szCs w:val="24"/>
          <w:highlight w:val="none"/>
        </w:rPr>
        <w:t>点位置、走线依附、方位角、海拔升降、干支交汇等。根据界线描述及管理需要，可将边界点细分为拐点、转向点、警示点等。</w:t>
      </w:r>
    </w:p>
    <w:p w14:paraId="2B770098">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注1:拐点为同一走线依附的起讫点，一般作为控制界线最小分段。</w:t>
      </w:r>
    </w:p>
    <w:p w14:paraId="2E7D08E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注2:转向点为两拐点间对走线更精准控制的点，如界线走向的方位角、海拔升降、干支交汇的变化。</w:t>
      </w:r>
    </w:p>
    <w:p w14:paraId="17215D7A">
      <w:pPr>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注3:警示点一般指界线横穿道路交叉点，竖立界，起到</w:t>
      </w:r>
      <w:r>
        <w:rPr>
          <w:rFonts w:hint="eastAsia" w:ascii="宋体" w:hAnsi="宋体" w:cs="宋体"/>
          <w:sz w:val="24"/>
          <w:szCs w:val="24"/>
          <w:highlight w:val="none"/>
          <w:lang w:eastAsia="zh-CN"/>
        </w:rPr>
        <w:t>告知</w:t>
      </w:r>
      <w:r>
        <w:rPr>
          <w:rFonts w:hint="eastAsia" w:ascii="宋体" w:hAnsi="宋体" w:eastAsia="宋体" w:cs="宋体"/>
          <w:sz w:val="24"/>
          <w:szCs w:val="24"/>
          <w:highlight w:val="none"/>
        </w:rPr>
        <w:t xml:space="preserve">、警示作用。 </w:t>
      </w:r>
    </w:p>
    <w:p w14:paraId="06E693BC">
      <w:pPr>
        <w:keepLines w:val="0"/>
        <w:pageBreakBefore w:val="0"/>
        <w:kinsoku/>
        <w:wordWrap/>
        <w:overflowPunct/>
        <w:topLinePunct w:val="0"/>
        <w:bidi w:val="0"/>
        <w:snapToGrid w:val="0"/>
        <w:spacing w:line="360" w:lineRule="auto"/>
        <w:ind w:firstLine="240" w:firstLineChars="1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3.2定标点预设 </w:t>
      </w:r>
    </w:p>
    <w:p w14:paraId="3CD1DB59">
      <w:pPr>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结合地形图和高分影像对边界点进行研判，并遵循应测尽测的原则，预设定标点。定标点预设具体原则如下:</w:t>
      </w:r>
    </w:p>
    <w:p w14:paraId="15626F79">
      <w:pPr>
        <w:keepLines w:val="0"/>
        <w:pageBreakBefore w:val="0"/>
        <w:numPr>
          <w:ilvl w:val="0"/>
          <w:numId w:val="8"/>
        </w:numPr>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般陆上定标点间距控制在 1000米内，在偏远地段以山脊线或近山脊线的行政界线为依据的边界上可适当放宽，在居民生产生活区附近的边界上应根据实际情况进行加密</w:t>
      </w:r>
      <w:r>
        <w:rPr>
          <w:rFonts w:hint="eastAsia" w:ascii="宋体" w:hAnsi="宋体" w:cs="宋体"/>
          <w:sz w:val="24"/>
          <w:szCs w:val="24"/>
          <w:highlight w:val="none"/>
          <w:lang w:eastAsia="zh-CN"/>
        </w:rPr>
        <w:t>。</w:t>
      </w:r>
    </w:p>
    <w:p w14:paraId="1EACDBC2">
      <w:pPr>
        <w:keepLines w:val="0"/>
        <w:pageBreakBefore w:val="0"/>
        <w:numPr>
          <w:ilvl w:val="0"/>
          <w:numId w:val="8"/>
        </w:numPr>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边界点明显无法立标的情况下，研判周边人为活动多少，确定定标点的设置。人为活动少的边界点一般不设为定标点，人为活动多的边界点须就近预设定标点，设置的定标点应尽可能贴近边界线</w:t>
      </w:r>
      <w:r>
        <w:rPr>
          <w:rFonts w:hint="eastAsia" w:ascii="宋体" w:hAnsi="宋体" w:cs="宋体"/>
          <w:sz w:val="24"/>
          <w:szCs w:val="24"/>
          <w:highlight w:val="none"/>
          <w:lang w:eastAsia="zh-CN"/>
        </w:rPr>
        <w:t>。</w:t>
      </w:r>
    </w:p>
    <w:p w14:paraId="7B91CA51">
      <w:pPr>
        <w:keepLines w:val="0"/>
        <w:pageBreakBefore w:val="0"/>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拐点落在两条河流交汇点，应按三立界标模式预设定标;警示点须预设至少一个定标点。当该警示点落在高等级公路中线或河流与道路交叉点，应按双立界标模式预设定标点:</w:t>
      </w:r>
    </w:p>
    <w:p w14:paraId="229F8593">
      <w:pPr>
        <w:keepLines w:val="0"/>
        <w:pageBreakBefore w:val="0"/>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转向点一般不设为定标点。</w:t>
      </w:r>
    </w:p>
    <w:p w14:paraId="5CD82F81">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边界点与定标点实地踏勘</w:t>
      </w:r>
    </w:p>
    <w:p w14:paraId="6CC4B4D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根据修正后的边界线进行实地踏勘,查验走向依据实地一致性、自然保护地管控要求符合性等情况确认或微调界线。当存在边界权属不清的情况，应征求权益相关方意见，或邀请相关方实地参与。对高清影像不明显的界线，应实施走向测量作业。</w:t>
      </w:r>
    </w:p>
    <w:p w14:paraId="1703D5B7">
      <w:pPr>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一般按预设定标点实地踏</w:t>
      </w:r>
      <w:r>
        <w:rPr>
          <w:rFonts w:hint="eastAsia" w:ascii="宋体" w:hAnsi="宋体" w:eastAsia="宋体" w:cs="宋体"/>
          <w:color w:val="auto"/>
          <w:sz w:val="24"/>
          <w:szCs w:val="24"/>
          <w:highlight w:val="none"/>
        </w:rPr>
        <w:t>勘，充分考虑地形、权属、通视、地质、安全等因素，确定定标点实地位置和标识类型。边界线现场改动时应重新预设定标点再进行确定。预设的双立定标点和三立定标点现场确定定标点数量。定标点测量与登记</w:t>
      </w:r>
    </w:p>
    <w:p w14:paraId="6BB3019F">
      <w:pPr>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4.3定标点测量与登记按照GB/T 39740执行。测量采用基于CORS的网络RTK技术进行定标点测量，CORS网络信号较弱的地区可采用单基准站RTK测量技术进行测量，具体测量技术要求按照CH/T 2009执行。</w:t>
      </w:r>
    </w:p>
    <w:p w14:paraId="0F9E157D">
      <w:pPr>
        <w:pStyle w:val="2"/>
        <w:keepLines w:val="0"/>
        <w:pageBreakBefore w:val="0"/>
        <w:kinsoku/>
        <w:wordWrap/>
        <w:overflowPunct/>
        <w:topLinePunct w:val="0"/>
        <w:bidi w:val="0"/>
        <w:spacing w:line="360" w:lineRule="auto"/>
        <w:jc w:val="left"/>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成果整理</w:t>
      </w:r>
    </w:p>
    <w:p w14:paraId="1A0CFD79">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val="en-US" w:eastAsia="zh-CN"/>
        </w:rPr>
        <w:t>成果清单</w:t>
      </w:r>
      <w:r>
        <w:rPr>
          <w:rFonts w:hint="eastAsia" w:ascii="宋体" w:hAnsi="宋体" w:eastAsia="宋体" w:cs="宋体"/>
          <w:color w:val="auto"/>
          <w:sz w:val="24"/>
          <w:szCs w:val="24"/>
          <w:highlight w:val="none"/>
        </w:rPr>
        <w:t xml:space="preserve"> </w:t>
      </w:r>
    </w:p>
    <w:p w14:paraId="0B4DB30C">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bookmarkStart w:id="69" w:name="_bookmark36"/>
      <w:bookmarkEnd w:id="69"/>
      <w:bookmarkStart w:id="70" w:name="_Toc16729"/>
      <w:bookmarkStart w:id="71" w:name="_Toc22704"/>
      <w:r>
        <w:rPr>
          <w:rFonts w:hint="eastAsia" w:ascii="宋体" w:hAnsi="宋体" w:eastAsia="宋体" w:cs="宋体"/>
          <w:color w:val="auto"/>
          <w:sz w:val="24"/>
          <w:szCs w:val="24"/>
          <w:highlight w:val="none"/>
        </w:rPr>
        <w:t>一个自然保护地完整的勘界成果应包括以下独立内容:</w:t>
      </w:r>
    </w:p>
    <w:p w14:paraId="1D49653C">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hAnsi="宋体" w:cs="宋体"/>
          <w:color w:val="auto"/>
          <w:sz w:val="24"/>
          <w:szCs w:val="24"/>
          <w:highlight w:val="none"/>
          <w:lang w:val="en-US" w:eastAsia="zh-CN"/>
        </w:rPr>
        <w:t>通过论证的</w:t>
      </w:r>
      <w:r>
        <w:rPr>
          <w:rFonts w:hint="eastAsia" w:ascii="宋体" w:hAnsi="宋体" w:eastAsia="宋体" w:cs="宋体"/>
          <w:color w:val="auto"/>
          <w:sz w:val="24"/>
          <w:szCs w:val="24"/>
          <w:highlight w:val="none"/>
        </w:rPr>
        <w:t>勘界报告</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包含标识实物材质和尺寸</w:t>
      </w:r>
      <w:r>
        <w:rPr>
          <w:rFonts w:hint="eastAsia" w:hAnsi="宋体" w:cs="宋体"/>
          <w:color w:val="auto"/>
          <w:sz w:val="24"/>
          <w:szCs w:val="24"/>
          <w:highlight w:val="none"/>
          <w:lang w:eastAsia="zh-CN"/>
        </w:rPr>
        <w:t>）</w:t>
      </w:r>
    </w:p>
    <w:p w14:paraId="199AB07B">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边界点成果台账表</w:t>
      </w:r>
    </w:p>
    <w:p w14:paraId="20367D07">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定标点登记表</w:t>
      </w:r>
    </w:p>
    <w:p w14:paraId="7BED4A60">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边界附图</w:t>
      </w:r>
    </w:p>
    <w:p w14:paraId="6A39DFFA">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数据库</w:t>
      </w:r>
    </w:p>
    <w:p w14:paraId="3EDB7975">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 </w:t>
      </w:r>
      <w:bookmarkEnd w:id="70"/>
      <w:bookmarkEnd w:id="71"/>
      <w:r>
        <w:rPr>
          <w:rFonts w:hint="eastAsia" w:ascii="宋体" w:hAnsi="宋体" w:cs="宋体"/>
          <w:color w:val="auto"/>
          <w:sz w:val="24"/>
          <w:szCs w:val="24"/>
          <w:highlight w:val="none"/>
          <w:lang w:val="en-US" w:eastAsia="zh-CN"/>
        </w:rPr>
        <w:t>勘界报告编制</w:t>
      </w:r>
      <w:r>
        <w:rPr>
          <w:rFonts w:hint="eastAsia" w:ascii="宋体" w:hAnsi="宋体" w:eastAsia="宋体" w:cs="宋体"/>
          <w:color w:val="auto"/>
          <w:sz w:val="24"/>
          <w:szCs w:val="24"/>
          <w:highlight w:val="none"/>
        </w:rPr>
        <w:t xml:space="preserve"> </w:t>
      </w:r>
    </w:p>
    <w:p w14:paraId="0CFD2F9C">
      <w:pPr>
        <w:pStyle w:val="2"/>
        <w:keepLines w:val="0"/>
        <w:pageBreakBefore w:val="0"/>
        <w:kinsoku/>
        <w:wordWrap/>
        <w:overflowPunct/>
        <w:topLinePunct w:val="0"/>
        <w:bidi w:val="0"/>
        <w:spacing w:line="360" w:lineRule="auto"/>
        <w:ind w:left="0" w:firstLine="7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勘界报告以自然保护地为单元。边界点和定标点数量较少时，边界点成果台账表、定标点登记表宜编入报告，数量较多时宜单独汇编成册。边界点位置和边界走向说明是勘界报告的核心内容，编写要求按照GB/T 39740执行。 </w:t>
      </w:r>
    </w:p>
    <w:p w14:paraId="1BB19AE4">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bookmarkStart w:id="72" w:name="_bookmark37"/>
      <w:bookmarkEnd w:id="72"/>
      <w:bookmarkStart w:id="73" w:name="_Toc26266"/>
      <w:bookmarkStart w:id="74" w:name="_Toc19476"/>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.3 </w:t>
      </w:r>
      <w:bookmarkEnd w:id="73"/>
      <w:bookmarkEnd w:id="74"/>
      <w:r>
        <w:rPr>
          <w:rFonts w:hint="eastAsia" w:hAnsi="宋体" w:cs="宋体"/>
          <w:color w:val="auto"/>
          <w:sz w:val="24"/>
          <w:szCs w:val="24"/>
          <w:highlight w:val="none"/>
          <w:lang w:val="en-US" w:eastAsia="zh-CN"/>
        </w:rPr>
        <w:t>边界</w:t>
      </w:r>
      <w:r>
        <w:rPr>
          <w:rFonts w:hint="eastAsia" w:ascii="宋体" w:hAnsi="宋体" w:cs="宋体"/>
          <w:color w:val="auto"/>
          <w:sz w:val="24"/>
          <w:szCs w:val="24"/>
          <w:highlight w:val="none"/>
          <w:lang w:val="en-US" w:eastAsia="zh-CN"/>
        </w:rPr>
        <w:t>附图编制</w:t>
      </w:r>
      <w:r>
        <w:rPr>
          <w:rFonts w:hint="eastAsia" w:ascii="宋体" w:hAnsi="宋体" w:eastAsia="宋体" w:cs="宋体"/>
          <w:color w:val="auto"/>
          <w:sz w:val="24"/>
          <w:szCs w:val="24"/>
          <w:highlight w:val="none"/>
        </w:rPr>
        <w:t xml:space="preserve"> </w:t>
      </w:r>
    </w:p>
    <w:p w14:paraId="23CA57B0">
      <w:pPr>
        <w:pStyle w:val="2"/>
        <w:keepLines w:val="0"/>
        <w:pageBreakBefore w:val="0"/>
        <w:kinsoku/>
        <w:wordWrap/>
        <w:overflowPunct/>
        <w:topLinePunct w:val="0"/>
        <w:bidi w:val="0"/>
        <w:spacing w:line="360" w:lineRule="auto"/>
        <w:ind w:left="0" w:firstLine="7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边界附图可根据形状不同、面积大小等制定分幅方式，要求便于存档与查阅。制图内容和要求按照GB/T 39740执行，成果图应有参与人手签，并盖单位印章。 </w:t>
      </w:r>
    </w:p>
    <w:p w14:paraId="03546EEB">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default" w:ascii="宋体" w:hAnsi="宋体" w:eastAsia="宋体" w:cs="宋体"/>
          <w:color w:val="auto"/>
          <w:sz w:val="24"/>
          <w:szCs w:val="24"/>
          <w:highlight w:val="none"/>
          <w:lang w:val="en-US" w:eastAsia="zh-CN"/>
        </w:rPr>
      </w:pPr>
      <w:bookmarkStart w:id="75" w:name="_Toc31780"/>
      <w:bookmarkStart w:id="76" w:name="_Toc1387"/>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 </w:t>
      </w:r>
      <w:bookmarkEnd w:id="75"/>
      <w:bookmarkEnd w:id="76"/>
      <w:r>
        <w:rPr>
          <w:rFonts w:hint="eastAsia" w:ascii="宋体" w:hAnsi="宋体" w:cs="宋体"/>
          <w:color w:val="auto"/>
          <w:sz w:val="24"/>
          <w:szCs w:val="24"/>
          <w:highlight w:val="none"/>
          <w:lang w:val="en-US" w:eastAsia="zh-CN"/>
        </w:rPr>
        <w:t>数据库编制</w:t>
      </w:r>
    </w:p>
    <w:p w14:paraId="6470A865">
      <w:pPr>
        <w:keepLines w:val="0"/>
        <w:pageBreakBefore w:val="0"/>
        <w:kinsoku/>
        <w:wordWrap/>
        <w:overflowPunct/>
        <w:topLinePunct w:val="0"/>
        <w:bidi w:val="0"/>
        <w:snapToGrid w:val="0"/>
        <w:spacing w:line="360" w:lineRule="auto"/>
        <w:ind w:firstLine="420"/>
        <w:jc w:val="left"/>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数据库包括基本信息、区划、测量、标识、相关证明材料等数据以及元数据，编制要求按DB33/T2532.2</w:t>
      </w:r>
      <w:r>
        <w:rPr>
          <w:rFonts w:hint="eastAsia" w:ascii="宋体" w:hAnsi="宋体" w:cs="宋体"/>
          <w:color w:val="auto"/>
          <w:sz w:val="24"/>
          <w:szCs w:val="24"/>
          <w:highlight w:val="none"/>
          <w:lang w:eastAsia="zh-CN"/>
        </w:rPr>
        <w:t>。</w:t>
      </w:r>
    </w:p>
    <w:p w14:paraId="6547662A">
      <w:pPr>
        <w:pStyle w:val="2"/>
        <w:keepLines w:val="0"/>
        <w:pageBreakBefore w:val="0"/>
        <w:numPr>
          <w:ilvl w:val="0"/>
          <w:numId w:val="0"/>
        </w:numPr>
        <w:kinsoku/>
        <w:wordWrap/>
        <w:overflowPunct/>
        <w:topLinePunct w:val="0"/>
        <w:bidi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6、成果检查</w:t>
      </w:r>
    </w:p>
    <w:p w14:paraId="698F0887">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6.1检查方式</w:t>
      </w:r>
    </w:p>
    <w:p w14:paraId="7A40A105">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作业单位应对勘界成果进行100%自查(包括过程检查和最终检查)，编制技术总结报告，并将完整的成果材料提交自然保护地主管部门检查。检查内容由两部分组成，一是边界合理性审查，二是测绘成果专项检查。</w:t>
      </w:r>
    </w:p>
    <w:p w14:paraId="3AE2AD2A">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6.2边界合理性审查内容</w:t>
      </w:r>
    </w:p>
    <w:p w14:paraId="4A4F30B1">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合理性审查由省自然保护地主管部门组织技术审查组完成，主要审查内容包括:</w:t>
      </w:r>
    </w:p>
    <w:p w14:paraId="1F4CF8AD">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val="en-US" w:eastAsia="zh-CN" w:bidi="ar-SA"/>
        </w:rPr>
        <w:t>成果材料的完整性和编制规范性</w:t>
      </w:r>
      <w:r>
        <w:rPr>
          <w:rFonts w:hint="eastAsia" w:ascii="宋体" w:hAnsi="宋体" w:cs="宋体"/>
          <w:color w:val="auto"/>
          <w:kern w:val="2"/>
          <w:sz w:val="24"/>
          <w:szCs w:val="24"/>
          <w:highlight w:val="none"/>
          <w:lang w:val="en-US" w:eastAsia="zh-CN" w:bidi="ar-SA"/>
        </w:rPr>
        <w:t>；</w:t>
      </w:r>
    </w:p>
    <w:p w14:paraId="4CBFF3DE">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default" w:ascii="宋体" w:hAnsi="宋体" w:cs="宋体"/>
          <w:color w:val="auto"/>
          <w:kern w:val="2"/>
          <w:sz w:val="24"/>
          <w:szCs w:val="24"/>
          <w:highlight w:val="none"/>
          <w:lang w:val="en-US" w:eastAsia="zh-CN" w:bidi="ar-SA"/>
        </w:rPr>
        <w:t>边界点和定标点设置的完整性与合理性</w:t>
      </w:r>
      <w:r>
        <w:rPr>
          <w:rFonts w:hint="eastAsia" w:ascii="宋体" w:hAnsi="宋体" w:cs="宋体"/>
          <w:color w:val="auto"/>
          <w:kern w:val="2"/>
          <w:sz w:val="24"/>
          <w:szCs w:val="24"/>
          <w:highlight w:val="none"/>
          <w:lang w:val="en-US" w:eastAsia="zh-CN" w:bidi="ar-SA"/>
        </w:rPr>
        <w:t>；</w:t>
      </w:r>
    </w:p>
    <w:p w14:paraId="3254403D">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default" w:ascii="宋体" w:hAnsi="宋体" w:cs="宋体"/>
          <w:color w:val="auto"/>
          <w:kern w:val="2"/>
          <w:sz w:val="24"/>
          <w:szCs w:val="24"/>
          <w:highlight w:val="none"/>
          <w:lang w:val="en-US" w:eastAsia="zh-CN" w:bidi="ar-SA"/>
        </w:rPr>
        <w:t>走向说明的完整性、规范性及准确性</w:t>
      </w:r>
      <w:r>
        <w:rPr>
          <w:rFonts w:hint="eastAsia" w:ascii="宋体" w:hAnsi="宋体" w:cs="宋体"/>
          <w:color w:val="auto"/>
          <w:kern w:val="2"/>
          <w:sz w:val="24"/>
          <w:szCs w:val="24"/>
          <w:highlight w:val="none"/>
          <w:lang w:val="en-US" w:eastAsia="zh-CN" w:bidi="ar-SA"/>
        </w:rPr>
        <w:t>；</w:t>
      </w:r>
    </w:p>
    <w:p w14:paraId="59023DCA">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default" w:ascii="宋体" w:hAnsi="宋体" w:cs="宋体"/>
          <w:color w:val="auto"/>
          <w:kern w:val="2"/>
          <w:sz w:val="24"/>
          <w:szCs w:val="24"/>
          <w:highlight w:val="none"/>
          <w:lang w:val="en-US" w:eastAsia="zh-CN" w:bidi="ar-SA"/>
        </w:rPr>
        <w:t>边界附图的完整性与规范性</w:t>
      </w:r>
      <w:r>
        <w:rPr>
          <w:rFonts w:hint="eastAsia" w:ascii="宋体" w:hAnsi="宋体" w:cs="宋体"/>
          <w:color w:val="auto"/>
          <w:kern w:val="2"/>
          <w:sz w:val="24"/>
          <w:szCs w:val="24"/>
          <w:highlight w:val="none"/>
          <w:lang w:val="en-US" w:eastAsia="zh-CN" w:bidi="ar-SA"/>
        </w:rPr>
        <w:t>；</w:t>
      </w:r>
    </w:p>
    <w:p w14:paraId="22DEF130">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default" w:ascii="宋体" w:hAnsi="宋体" w:cs="宋体"/>
          <w:color w:val="auto"/>
          <w:kern w:val="2"/>
          <w:sz w:val="24"/>
          <w:szCs w:val="24"/>
          <w:highlight w:val="none"/>
          <w:lang w:val="en-US" w:eastAsia="zh-CN" w:bidi="ar-SA"/>
        </w:rPr>
        <w:t>数据库的完整性、一致性及逻辑性。</w:t>
      </w:r>
    </w:p>
    <w:p w14:paraId="3B9C58FD">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6.3测绘成果专项检查内容</w:t>
      </w:r>
    </w:p>
    <w:p w14:paraId="5245CCD4">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测绘成果专项检查内容按照GB/T 24356执行，并由检查单位出具检验报告</w:t>
      </w:r>
      <w:r>
        <w:rPr>
          <w:rFonts w:hint="eastAsia" w:ascii="宋体" w:hAnsi="宋体" w:cs="宋体"/>
          <w:color w:val="auto"/>
          <w:kern w:val="2"/>
          <w:sz w:val="24"/>
          <w:szCs w:val="24"/>
          <w:highlight w:val="none"/>
          <w:lang w:val="en-US" w:eastAsia="zh-CN" w:bidi="ar-SA"/>
        </w:rPr>
        <w:t>。</w:t>
      </w:r>
    </w:p>
    <w:p w14:paraId="0D24C373">
      <w:pPr>
        <w:pStyle w:val="2"/>
        <w:keepLines w:val="0"/>
        <w:pageBreakBefore w:val="0"/>
        <w:numPr>
          <w:ilvl w:val="0"/>
          <w:numId w:val="0"/>
        </w:numPr>
        <w:kinsoku/>
        <w:wordWrap/>
        <w:overflowPunct/>
        <w:topLinePunct w:val="0"/>
        <w:bidi w:val="0"/>
        <w:spacing w:line="360" w:lineRule="auto"/>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7、立标</w:t>
      </w:r>
    </w:p>
    <w:p w14:paraId="1047FB5E">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7.1一般要求</w:t>
      </w:r>
    </w:p>
    <w:p w14:paraId="6984276C">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标识制作与安装的一般要求如下：</w:t>
      </w:r>
    </w:p>
    <w:p w14:paraId="19190CBA">
      <w:pPr>
        <w:pStyle w:val="2"/>
        <w:keepLines w:val="0"/>
        <w:pageBreakBefore w:val="0"/>
        <w:numPr>
          <w:ilvl w:val="0"/>
          <w:numId w:val="9"/>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标识材质应具备防水</w:t>
      </w:r>
      <w:r>
        <w:rPr>
          <w:rFonts w:hint="default" w:ascii="宋体" w:hAnsi="宋体" w:cs="宋体"/>
          <w:kern w:val="2"/>
          <w:sz w:val="24"/>
          <w:szCs w:val="24"/>
          <w:highlight w:val="none"/>
          <w:lang w:val="en-US" w:eastAsia="zh-CN" w:bidi="ar-SA"/>
        </w:rPr>
        <w:t>、防晒、防浊、防冻、坚固等耐用特性，优先选用石材、金属等天然材料，也可选用水泥等无污染材料</w:t>
      </w:r>
      <w:r>
        <w:rPr>
          <w:rFonts w:hint="eastAsia" w:ascii="宋体" w:hAnsi="宋体" w:cs="宋体"/>
          <w:kern w:val="2"/>
          <w:sz w:val="24"/>
          <w:szCs w:val="24"/>
          <w:highlight w:val="none"/>
          <w:lang w:val="en-US" w:eastAsia="zh-CN" w:bidi="ar-SA"/>
        </w:rPr>
        <w:t>；</w:t>
      </w:r>
    </w:p>
    <w:p w14:paraId="2F6E0484">
      <w:pPr>
        <w:pStyle w:val="2"/>
        <w:keepLines w:val="0"/>
        <w:pageBreakBefore w:val="0"/>
        <w:numPr>
          <w:ilvl w:val="0"/>
          <w:numId w:val="9"/>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标识的形状、尺寸宜根据相关规范、周边环境、制作工艺和美观要求等情况合理设计。同一自然保护地的标识风格宜尽量统一</w:t>
      </w:r>
      <w:r>
        <w:rPr>
          <w:rFonts w:hint="eastAsia" w:ascii="宋体" w:hAnsi="宋体" w:cs="宋体"/>
          <w:kern w:val="2"/>
          <w:sz w:val="24"/>
          <w:szCs w:val="24"/>
          <w:highlight w:val="none"/>
          <w:lang w:val="en-US" w:eastAsia="zh-CN" w:bidi="ar-SA"/>
        </w:rPr>
        <w:t>；</w:t>
      </w:r>
    </w:p>
    <w:p w14:paraId="2D0D24EC">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标识的内容应准确、清晰、简洁。涉及图形符号时,要直观、易懂、解读性强,并符合 GB/T 16900表现规则、设计要求的规定，以及 GB/T 16903.1图形符号设计的规定。有条件的，标识可附二维码或自然保护地 1ogo，对标牌主要内容进行扩展</w:t>
      </w:r>
      <w:r>
        <w:rPr>
          <w:rFonts w:hint="eastAsia" w:ascii="宋体" w:hAnsi="宋体" w:cs="宋体"/>
          <w:kern w:val="2"/>
          <w:sz w:val="24"/>
          <w:szCs w:val="24"/>
          <w:highlight w:val="none"/>
          <w:lang w:val="en-US" w:eastAsia="zh-CN" w:bidi="ar-SA"/>
        </w:rPr>
        <w:t>；</w:t>
      </w:r>
    </w:p>
    <w:p w14:paraId="7FF5FBD8">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标识牌文字应规范、正确、工整。中文一般采用黑体、宋体或宋黑，西文和阿拉伯数字采用Times New Roman 字体。文字字号、间距、行距应与标识牌尺寸相协调。同类标识所用字体要统一</w:t>
      </w:r>
      <w:r>
        <w:rPr>
          <w:rFonts w:hint="eastAsia" w:ascii="宋体" w:hAnsi="宋体" w:cs="宋体"/>
          <w:kern w:val="2"/>
          <w:sz w:val="24"/>
          <w:szCs w:val="24"/>
          <w:highlight w:val="none"/>
          <w:lang w:val="en-US" w:eastAsia="zh-CN" w:bidi="ar-SA"/>
        </w:rPr>
        <w:t>；</w:t>
      </w:r>
    </w:p>
    <w:p w14:paraId="057A195D">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标识的色彩既要醒目突出，还要与环境相协调。基调色为棕色、绿色和蓝色，文字与图案颜色为黑色、白色、红色、黄色等，其中红色多用于禁止性标识，黄色多为警示性标识</w:t>
      </w:r>
      <w:r>
        <w:rPr>
          <w:rFonts w:hint="eastAsia" w:ascii="宋体" w:hAnsi="宋体" w:cs="宋体"/>
          <w:kern w:val="2"/>
          <w:sz w:val="24"/>
          <w:szCs w:val="24"/>
          <w:highlight w:val="none"/>
          <w:lang w:val="en-US" w:eastAsia="zh-CN" w:bidi="ar-SA"/>
        </w:rPr>
        <w:t>；</w:t>
      </w:r>
    </w:p>
    <w:p w14:paraId="4FC49189">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标识安装采取复位方式，原则上标识中心点应与定标点水平坐标间距离控制在极差(见表 1)内。因立标条件不良，间距大于极差的标识应对定标点登记表进行修改</w:t>
      </w:r>
      <w:r>
        <w:rPr>
          <w:rFonts w:hint="eastAsia" w:ascii="宋体" w:hAnsi="宋体" w:cs="宋体"/>
          <w:kern w:val="2"/>
          <w:sz w:val="24"/>
          <w:szCs w:val="24"/>
          <w:highlight w:val="none"/>
          <w:lang w:val="en-US" w:eastAsia="zh-CN" w:bidi="ar-SA"/>
        </w:rPr>
        <w:t>；</w:t>
      </w:r>
    </w:p>
    <w:p w14:paraId="1194E0D8">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标识的安装应牢固稳定、安全可靠，尽量避免对环境和原生植被的扰动和破坏，不应影响道路交通标志的识别及人员、车辆通行。</w:t>
      </w:r>
    </w:p>
    <w:p w14:paraId="0B832A22">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7.2标识类型选择</w:t>
      </w:r>
    </w:p>
    <w:p w14:paraId="7FC93BC7">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界址标识主要有界碑、界桩、特殊界标及标识牌,根据定标点所在位置合理选择标识类型进行布设</w:t>
      </w:r>
      <w:r>
        <w:rPr>
          <w:rFonts w:hint="eastAsia" w:ascii="宋体" w:hAnsi="宋体" w:cs="宋体"/>
          <w:kern w:val="2"/>
          <w:sz w:val="24"/>
          <w:szCs w:val="24"/>
          <w:highlight w:val="none"/>
          <w:lang w:val="en-US" w:eastAsia="zh-CN" w:bidi="ar-SA"/>
        </w:rPr>
        <w:t>，</w:t>
      </w:r>
      <w:r>
        <w:rPr>
          <w:rFonts w:hint="default" w:ascii="宋体" w:hAnsi="宋体" w:cs="宋体"/>
          <w:kern w:val="2"/>
          <w:sz w:val="24"/>
          <w:szCs w:val="24"/>
          <w:highlight w:val="none"/>
          <w:lang w:val="en-US" w:eastAsia="zh-CN" w:bidi="ar-SA"/>
        </w:rPr>
        <w:t>一般遵循以下原则:</w:t>
      </w:r>
    </w:p>
    <w:p w14:paraId="6FD9A90D">
      <w:pPr>
        <w:pStyle w:val="2"/>
        <w:keepLines w:val="0"/>
        <w:pageBreakBefore w:val="0"/>
        <w:numPr>
          <w:ilvl w:val="0"/>
          <w:numId w:val="1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界碑可分为区(园)碑和普通界碑两种。在自然保护地主入口可设置区(园)碑，在出入自然保护地的公路与边界交汇处设置普通界碑</w:t>
      </w:r>
      <w:r>
        <w:rPr>
          <w:rFonts w:hint="eastAsia" w:ascii="宋体" w:hAnsi="宋体" w:cs="宋体"/>
          <w:kern w:val="2"/>
          <w:sz w:val="24"/>
          <w:szCs w:val="24"/>
          <w:highlight w:val="none"/>
          <w:lang w:val="en-US" w:eastAsia="zh-CN" w:bidi="ar-SA"/>
        </w:rPr>
        <w:t>；</w:t>
      </w:r>
    </w:p>
    <w:p w14:paraId="6E9BCB45">
      <w:pPr>
        <w:pStyle w:val="2"/>
        <w:keepLines w:val="0"/>
        <w:pageBreakBefore w:val="0"/>
        <w:numPr>
          <w:ilvl w:val="0"/>
          <w:numId w:val="1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界桩按边界性质不同分为外围界桩、管控区桩和共用界桩三类，按尺寸可分为大界和小界桩。大界桩一般设置在人为活动明显区域，其它区域一般选用小界</w:t>
      </w:r>
      <w:r>
        <w:rPr>
          <w:rFonts w:hint="eastAsia" w:ascii="宋体" w:hAnsi="宋体" w:cs="宋体"/>
          <w:kern w:val="2"/>
          <w:sz w:val="24"/>
          <w:szCs w:val="24"/>
          <w:highlight w:val="none"/>
          <w:lang w:val="en-US" w:eastAsia="zh-CN" w:bidi="ar-SA"/>
        </w:rPr>
        <w:t>；</w:t>
      </w:r>
    </w:p>
    <w:p w14:paraId="5B1A5DE3">
      <w:pPr>
        <w:pStyle w:val="2"/>
        <w:keepLines w:val="0"/>
        <w:pageBreakBefore w:val="0"/>
        <w:numPr>
          <w:ilvl w:val="0"/>
          <w:numId w:val="1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特殊界标有地钉、浮标、永久性标志物、电子标识、虚拟电子标识等。在岩石、构筑物上可设置地钉:在水域中可设置浮标:电子标识含有点位信息储存，多与界配合使用:虚拟电子标识可用于海域</w:t>
      </w:r>
      <w:r>
        <w:rPr>
          <w:rFonts w:hint="eastAsia" w:ascii="宋体" w:hAnsi="宋体" w:cs="宋体"/>
          <w:kern w:val="2"/>
          <w:sz w:val="24"/>
          <w:szCs w:val="24"/>
          <w:highlight w:val="none"/>
          <w:lang w:val="en-US" w:eastAsia="zh-CN" w:bidi="ar-SA"/>
        </w:rPr>
        <w:t>；</w:t>
      </w:r>
    </w:p>
    <w:p w14:paraId="3E01BA27">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default" w:ascii="宋体" w:hAnsi="宋体" w:cs="宋体"/>
          <w:kern w:val="2"/>
          <w:sz w:val="24"/>
          <w:szCs w:val="24"/>
          <w:highlight w:val="none"/>
          <w:lang w:val="en-US" w:eastAsia="zh-CN" w:bidi="ar-SA"/>
        </w:rPr>
        <w:t>界址标识牌按展示内容不同可分为简介牌、禁令牌、境界说明牌、禁入警示牌。简介牌介绍自然保护地概况及展示功能区划图，一般设置于入口和村庄等人员聚集处。禁令牌明示区内禁止性的人为活动准则，一般也设置于入口和村庄等人员聚集处。境界说明牌图示边界走向、所在位置及相关警示语，多用于无法立桩，有人为活动的边界明显位置。禁入警示牌多与核心保护区界桩配合使用</w:t>
      </w:r>
      <w:r>
        <w:rPr>
          <w:rFonts w:hint="eastAsia" w:ascii="宋体" w:hAnsi="宋体" w:cs="宋体"/>
          <w:kern w:val="2"/>
          <w:sz w:val="24"/>
          <w:szCs w:val="24"/>
          <w:highlight w:val="none"/>
          <w:lang w:val="en-US" w:eastAsia="zh-CN" w:bidi="ar-SA"/>
        </w:rPr>
        <w:t>；</w:t>
      </w:r>
    </w:p>
    <w:p w14:paraId="5C27EFC2">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default" w:ascii="宋体" w:hAnsi="宋体" w:cs="宋体"/>
          <w:kern w:val="2"/>
          <w:sz w:val="24"/>
          <w:szCs w:val="24"/>
          <w:highlight w:val="none"/>
          <w:lang w:val="en-US" w:eastAsia="zh-CN" w:bidi="ar-SA"/>
        </w:rPr>
        <w:t>界碑、界桩、标识牌制作要求见</w:t>
      </w:r>
      <w:r>
        <w:rPr>
          <w:rFonts w:hint="eastAsia" w:ascii="宋体" w:hAnsi="宋体" w:cs="宋体"/>
          <w:kern w:val="2"/>
          <w:sz w:val="24"/>
          <w:szCs w:val="24"/>
          <w:highlight w:val="none"/>
          <w:lang w:val="en-US" w:eastAsia="zh-CN" w:bidi="ar-SA"/>
        </w:rPr>
        <w:t>《自然保护地勘界立标规范 第1部分：通用要求》</w:t>
      </w:r>
    </w:p>
    <w:p w14:paraId="51148DFA">
      <w:pPr>
        <w:pStyle w:val="2"/>
        <w:keepLines w:val="0"/>
        <w:pageBreakBefore w:val="0"/>
        <w:numPr>
          <w:ilvl w:val="0"/>
          <w:numId w:val="0"/>
        </w:numPr>
        <w:kinsoku/>
        <w:wordWrap/>
        <w:overflowPunct/>
        <w:topLinePunct w:val="0"/>
        <w:bidi w:val="0"/>
        <w:spacing w:line="360" w:lineRule="auto"/>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8、数据入库</w:t>
      </w:r>
    </w:p>
    <w:p w14:paraId="2D0E48C6">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8.1数据库管理平台</w:t>
      </w:r>
    </w:p>
    <w:p w14:paraId="27ACFF83">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数据库管理平台应在省林业一张图平台上架构，并满足全省自然保护地勘界立标数据存储、更新应用与发布。</w:t>
      </w:r>
    </w:p>
    <w:p w14:paraId="58F9F886">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8.2数据检查入库</w:t>
      </w:r>
    </w:p>
    <w:p w14:paraId="1CB5AF2B">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各自然保护地将勘界立标最终成果数据按要求整理提交</w:t>
      </w:r>
      <w:r>
        <w:rPr>
          <w:rFonts w:hint="eastAsia" w:ascii="宋体" w:hAnsi="宋体" w:cs="宋体"/>
          <w:kern w:val="2"/>
          <w:sz w:val="24"/>
          <w:szCs w:val="24"/>
          <w:highlight w:val="none"/>
          <w:lang w:val="en-US" w:eastAsia="zh-CN" w:bidi="ar-SA"/>
        </w:rPr>
        <w:t>，</w:t>
      </w:r>
      <w:r>
        <w:rPr>
          <w:rFonts w:hint="default" w:ascii="宋体" w:hAnsi="宋体" w:cs="宋体"/>
          <w:kern w:val="2"/>
          <w:sz w:val="24"/>
          <w:szCs w:val="24"/>
          <w:highlight w:val="none"/>
          <w:lang w:val="en-US" w:eastAsia="zh-CN" w:bidi="ar-SA"/>
        </w:rPr>
        <w:t>通过检查后入库保存,至此勘界立标结束。</w:t>
      </w:r>
    </w:p>
    <w:p w14:paraId="100FDEC4">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8.3入库数据管理</w:t>
      </w:r>
    </w:p>
    <w:p w14:paraId="7C3D7278">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已入库</w:t>
      </w:r>
      <w:r>
        <w:rPr>
          <w:rFonts w:hint="default" w:ascii="宋体" w:hAnsi="宋体" w:cs="宋体"/>
          <w:kern w:val="2"/>
          <w:sz w:val="24"/>
          <w:szCs w:val="24"/>
          <w:highlight w:val="none"/>
          <w:lang w:val="en-US" w:eastAsia="zh-CN" w:bidi="ar-SA"/>
        </w:rPr>
        <w:t>数据原则上不予变动。当自然保护地发生更名、区划调整、撤销等情况，经主管部门批复同意后，入库数据应及时更新。涉及区划调整的，需提交调整部分勘界成果。</w:t>
      </w:r>
    </w:p>
    <w:p w14:paraId="6B6759CC">
      <w:pPr>
        <w:pStyle w:val="2"/>
        <w:keepLines w:val="0"/>
        <w:pageBreakBefore w:val="0"/>
        <w:numPr>
          <w:ilvl w:val="0"/>
          <w:numId w:val="0"/>
        </w:numPr>
        <w:kinsoku/>
        <w:wordWrap/>
        <w:overflowPunct/>
        <w:topLinePunct w:val="0"/>
        <w:bidi w:val="0"/>
        <w:spacing w:line="360" w:lineRule="auto"/>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9、未尽事宜按《自然保护地勘界立标规范 第1部分：通用要求》执行。</w:t>
      </w:r>
    </w:p>
    <w:p w14:paraId="45367AD5">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七</w:t>
      </w:r>
      <w:r>
        <w:rPr>
          <w:rFonts w:hint="eastAsia" w:ascii="宋体" w:hAnsi="宋体" w:eastAsia="宋体" w:cs="宋体"/>
          <w:b/>
          <w:bCs/>
          <w:kern w:val="0"/>
          <w:sz w:val="24"/>
          <w:szCs w:val="24"/>
        </w:rPr>
        <w:t>、服务要求</w:t>
      </w:r>
    </w:p>
    <w:p w14:paraId="3B32AA33">
      <w:pPr>
        <w:pStyle w:val="2"/>
        <w:keepLines w:val="0"/>
        <w:pageBreakBefore w:val="0"/>
        <w:kinsoku/>
        <w:wordWrap/>
        <w:overflowPunct/>
        <w:topLinePunct w:val="0"/>
        <w:bidi w:val="0"/>
        <w:spacing w:line="360" w:lineRule="auto"/>
        <w:ind w:left="0" w:firstLine="420"/>
        <w:jc w:val="left"/>
        <w:textAlignment w:val="auto"/>
        <w:rPr>
          <w:rFonts w:hint="default" w:ascii="宋体" w:hAnsi="宋体" w:eastAsia="宋体" w:cs="仿宋_GB2312"/>
          <w:kern w:val="0"/>
          <w:sz w:val="24"/>
          <w:szCs w:val="24"/>
          <w:lang w:val="en-US" w:eastAsia="zh-CN"/>
        </w:rPr>
      </w:pPr>
      <w:r>
        <w:rPr>
          <w:rFonts w:hint="eastAsia" w:ascii="宋体" w:hAnsi="宋体" w:eastAsia="宋体" w:cs="宋体"/>
          <w:sz w:val="24"/>
          <w:szCs w:val="24"/>
          <w:highlight w:val="none"/>
          <w:lang w:eastAsia="zh-CN"/>
        </w:rPr>
        <w:t>1、</w:t>
      </w:r>
      <w:r>
        <w:rPr>
          <w:rFonts w:hint="eastAsia" w:ascii="宋体" w:hAnsi="宋体" w:eastAsia="宋体" w:cs="仿宋_GB2312"/>
          <w:kern w:val="0"/>
          <w:sz w:val="24"/>
          <w:szCs w:val="24"/>
          <w:highlight w:val="none"/>
          <w:lang w:val="en-US" w:eastAsia="zh-CN"/>
        </w:rPr>
        <w:t>质保期为3年</w:t>
      </w:r>
      <w:r>
        <w:rPr>
          <w:rFonts w:hint="eastAsia" w:ascii="宋体" w:hAnsi="宋体" w:eastAsia="宋体" w:cs="仿宋_GB2312"/>
          <w:kern w:val="0"/>
          <w:sz w:val="24"/>
          <w:szCs w:val="24"/>
          <w:lang w:val="en-US" w:eastAsia="zh-CN"/>
        </w:rPr>
        <w:t>（验收通过后开始，提供3年的质保服务）</w:t>
      </w:r>
      <w:r>
        <w:rPr>
          <w:rFonts w:hint="eastAsia" w:hAnsi="宋体" w:cs="仿宋_GB2312"/>
          <w:kern w:val="0"/>
          <w:sz w:val="24"/>
          <w:szCs w:val="24"/>
          <w:lang w:val="en-US" w:eastAsia="zh-CN"/>
        </w:rPr>
        <w:t>；</w:t>
      </w:r>
    </w:p>
    <w:p w14:paraId="68CDBA6B">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本次项目采购内容最终成果必须达到</w:t>
      </w:r>
      <w:r>
        <w:rPr>
          <w:rFonts w:hint="eastAsia" w:hAnsi="宋体" w:cs="宋体"/>
          <w:sz w:val="24"/>
          <w:szCs w:val="24"/>
          <w:highlight w:val="none"/>
          <w:lang w:val="en-US" w:eastAsia="zh-CN"/>
        </w:rPr>
        <w:t>浙江省地方标准《DB33/T 2532.1-2022》</w:t>
      </w:r>
      <w:r>
        <w:rPr>
          <w:rFonts w:hint="eastAsia" w:ascii="宋体" w:hAnsi="宋体" w:eastAsia="宋体" w:cs="宋体"/>
          <w:sz w:val="24"/>
          <w:szCs w:val="24"/>
          <w:highlight w:val="none"/>
        </w:rPr>
        <w:t>等文件</w:t>
      </w:r>
      <w:r>
        <w:rPr>
          <w:rFonts w:hint="eastAsia" w:ascii="宋体" w:hAnsi="宋体" w:eastAsia="宋体" w:cs="宋体"/>
          <w:sz w:val="24"/>
          <w:szCs w:val="24"/>
          <w:highlight w:val="none"/>
          <w:lang w:eastAsia="zh-CN"/>
        </w:rPr>
        <w:t>要求，</w:t>
      </w:r>
      <w:r>
        <w:rPr>
          <w:rFonts w:hint="eastAsia" w:hAnsi="宋体" w:cs="宋体"/>
          <w:sz w:val="24"/>
          <w:szCs w:val="24"/>
          <w:highlight w:val="none"/>
          <w:lang w:val="en-US" w:eastAsia="zh-CN"/>
        </w:rPr>
        <w:t>并通过验收。</w:t>
      </w:r>
      <w:r>
        <w:rPr>
          <w:rFonts w:hint="eastAsia" w:ascii="宋体" w:hAnsi="宋体" w:eastAsia="宋体" w:cs="宋体"/>
          <w:sz w:val="24"/>
          <w:szCs w:val="24"/>
          <w:highlight w:val="none"/>
          <w:lang w:eastAsia="zh-CN"/>
        </w:rPr>
        <w:t>如未达到相关规范要求，则中标方必须整改到位；</w:t>
      </w:r>
    </w:p>
    <w:p w14:paraId="1B1B4DCF">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、中标方有义务配合采购单位对本项目进行宣传教育，提供相关宣传手册、宣传视频及政策解读等资料；</w:t>
      </w:r>
    </w:p>
    <w:p w14:paraId="33AA41CD">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、中标方有义务对后期立标工程进行技术指导，确保达到相关规范要求；</w:t>
      </w:r>
    </w:p>
    <w:p w14:paraId="086810F2">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、中标方有义务配合将勘界定标相关数据纳入省林业局等部门的资源管理平台，配合做好成果的展示与运用。</w:t>
      </w:r>
    </w:p>
    <w:p w14:paraId="7564DD87">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rPr>
        <w:t>商务要求：</w:t>
      </w:r>
    </w:p>
    <w:p w14:paraId="391B3652">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付款方式：</w:t>
      </w:r>
      <w:r>
        <w:rPr>
          <w:rFonts w:hint="eastAsia" w:ascii="宋体" w:hAnsi="宋体" w:eastAsia="宋体" w:cs="宋体"/>
          <w:kern w:val="2"/>
          <w:sz w:val="24"/>
          <w:szCs w:val="24"/>
          <w:highlight w:val="none"/>
          <w:lang w:val="en-US" w:eastAsia="zh-CN" w:bidi="ar-SA"/>
        </w:rPr>
        <w:t>合同签订生效以及具备实施条件后7个工作日内支付合同金额的60%</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项目通过委托方最终验收后</w:t>
      </w:r>
      <w:r>
        <w:rPr>
          <w:rFonts w:hint="eastAsia" w:ascii="宋体" w:hAnsi="宋体" w:eastAsia="宋体" w:cs="宋体"/>
          <w:kern w:val="0"/>
          <w:sz w:val="24"/>
          <w:szCs w:val="24"/>
          <w:highlight w:val="none"/>
          <w:lang w:eastAsia="zh-CN"/>
        </w:rPr>
        <w:t>并</w:t>
      </w:r>
      <w:r>
        <w:rPr>
          <w:rFonts w:hint="eastAsia" w:ascii="宋体" w:hAnsi="宋体" w:eastAsia="宋体" w:cs="宋体"/>
          <w:kern w:val="0"/>
          <w:sz w:val="24"/>
          <w:szCs w:val="24"/>
          <w:highlight w:val="none"/>
        </w:rPr>
        <w:t>通过履约服务验收合格后支付剩余款项。</w:t>
      </w:r>
    </w:p>
    <w:p w14:paraId="2C33E6A5">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2.时间要求：中标人在2025年9月30日之前完成项目工作并提交项目完整资料成果，供委托方最终验收。</w:t>
      </w:r>
    </w:p>
    <w:p w14:paraId="447E40FD">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3.成果内容：项目完整资料成果是指完成项目工作所必须的所有成果资料</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包括但不限</w:t>
      </w:r>
      <w:r>
        <w:rPr>
          <w:rFonts w:hint="eastAsia" w:ascii="宋体" w:hAnsi="宋体" w:eastAsia="宋体" w:cs="宋体"/>
          <w:color w:val="auto"/>
          <w:kern w:val="0"/>
          <w:sz w:val="24"/>
          <w:szCs w:val="24"/>
          <w:highlight w:val="none"/>
          <w:lang w:val="en-US" w:eastAsia="zh-CN"/>
        </w:rPr>
        <w:t>于勘界报告、边界点成果台账表、定标点登记表、边界附图、数据库</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相关的评审</w:t>
      </w:r>
      <w:r>
        <w:rPr>
          <w:rFonts w:hint="eastAsia" w:ascii="宋体" w:hAnsi="宋体" w:cs="宋体"/>
          <w:color w:val="auto"/>
          <w:kern w:val="0"/>
          <w:sz w:val="24"/>
          <w:szCs w:val="24"/>
          <w:highlight w:val="none"/>
          <w:lang w:val="en-US" w:eastAsia="zh-CN"/>
        </w:rPr>
        <w:t>论证</w:t>
      </w:r>
      <w:r>
        <w:rPr>
          <w:rFonts w:hint="eastAsia" w:ascii="宋体" w:hAnsi="宋体" w:eastAsia="宋体" w:cs="宋体"/>
          <w:color w:val="auto"/>
          <w:kern w:val="0"/>
          <w:sz w:val="24"/>
          <w:szCs w:val="24"/>
          <w:highlight w:val="none"/>
          <w:lang w:val="en-US" w:eastAsia="zh-CN"/>
        </w:rPr>
        <w:t>报告、中标人</w:t>
      </w:r>
      <w:r>
        <w:rPr>
          <w:rFonts w:hint="eastAsia" w:ascii="宋体" w:hAnsi="宋体" w:cs="宋体"/>
          <w:color w:val="auto"/>
          <w:kern w:val="0"/>
          <w:sz w:val="24"/>
          <w:szCs w:val="24"/>
          <w:highlight w:val="none"/>
          <w:lang w:val="en-US" w:eastAsia="zh-CN"/>
        </w:rPr>
        <w:t>自查</w:t>
      </w:r>
      <w:r>
        <w:rPr>
          <w:rFonts w:hint="default" w:ascii="宋体" w:hAnsi="宋体" w:eastAsia="宋体" w:cs="宋体"/>
          <w:color w:val="auto"/>
          <w:kern w:val="0"/>
          <w:sz w:val="24"/>
          <w:szCs w:val="24"/>
          <w:highlight w:val="none"/>
          <w:lang w:val="en-US" w:eastAsia="zh-CN"/>
        </w:rPr>
        <w:t>技术总结报告</w:t>
      </w: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2"/>
          <w:sz w:val="24"/>
          <w:szCs w:val="24"/>
          <w:highlight w:val="none"/>
          <w:lang w:val="en-US" w:eastAsia="zh-CN" w:bidi="ar-SA"/>
        </w:rPr>
        <w:t>边界合理性审查</w:t>
      </w:r>
      <w:r>
        <w:rPr>
          <w:rFonts w:hint="eastAsia" w:ascii="宋体" w:hAnsi="宋体" w:cs="宋体"/>
          <w:color w:val="auto"/>
          <w:kern w:val="2"/>
          <w:sz w:val="24"/>
          <w:szCs w:val="24"/>
          <w:highlight w:val="none"/>
          <w:lang w:val="en-US" w:eastAsia="zh-CN" w:bidi="ar-SA"/>
        </w:rPr>
        <w:t>报告、</w:t>
      </w:r>
      <w:r>
        <w:rPr>
          <w:rFonts w:hint="default" w:ascii="宋体" w:hAnsi="宋体" w:eastAsia="宋体" w:cs="宋体"/>
          <w:color w:val="auto"/>
          <w:kern w:val="0"/>
          <w:sz w:val="24"/>
          <w:szCs w:val="24"/>
          <w:highlight w:val="none"/>
          <w:lang w:val="en-US" w:eastAsia="zh-CN"/>
        </w:rPr>
        <w:t>测绘成果专项检查</w:t>
      </w:r>
      <w:r>
        <w:rPr>
          <w:rFonts w:hint="eastAsia" w:ascii="宋体" w:hAnsi="宋体" w:cs="宋体"/>
          <w:color w:val="auto"/>
          <w:kern w:val="0"/>
          <w:sz w:val="24"/>
          <w:szCs w:val="24"/>
          <w:highlight w:val="none"/>
          <w:lang w:val="en-US" w:eastAsia="zh-CN"/>
        </w:rPr>
        <w:t>报告</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标识</w:t>
      </w:r>
      <w:r>
        <w:rPr>
          <w:rFonts w:hint="eastAsia" w:ascii="宋体" w:hAnsi="宋体" w:eastAsia="宋体" w:cs="宋体"/>
          <w:color w:val="auto"/>
          <w:kern w:val="0"/>
          <w:sz w:val="24"/>
          <w:szCs w:val="24"/>
          <w:highlight w:val="none"/>
          <w:lang w:val="en-US" w:eastAsia="zh-CN"/>
        </w:rPr>
        <w:t>第三方质检报告</w:t>
      </w:r>
      <w:r>
        <w:rPr>
          <w:rFonts w:hint="eastAsia" w:ascii="宋体" w:hAnsi="宋体" w:cs="宋体"/>
          <w:color w:val="auto"/>
          <w:kern w:val="0"/>
          <w:sz w:val="24"/>
          <w:szCs w:val="24"/>
          <w:highlight w:val="none"/>
          <w:lang w:val="en-US" w:eastAsia="zh-CN"/>
        </w:rPr>
        <w:t>等。</w:t>
      </w:r>
    </w:p>
    <w:p w14:paraId="5BD6E31C">
      <w:pPr>
        <w:keepNext w:val="0"/>
        <w:keepLines w:val="0"/>
        <w:pageBreakBefore w:val="0"/>
        <w:widowControl w:val="0"/>
        <w:numPr>
          <w:ilvl w:val="0"/>
          <w:numId w:val="0"/>
        </w:numPr>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val="en-US" w:eastAsia="zh-CN"/>
        </w:rPr>
        <w:t>、履约保证金：</w:t>
      </w:r>
    </w:p>
    <w:p w14:paraId="398138CC">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本项目不设置履约保证金。</w:t>
      </w:r>
    </w:p>
    <w:p w14:paraId="71780F69">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十</w:t>
      </w:r>
      <w:r>
        <w:rPr>
          <w:rFonts w:hint="eastAsia" w:ascii="宋体" w:hAnsi="宋体" w:eastAsia="宋体" w:cs="宋体"/>
          <w:b/>
          <w:bCs/>
          <w:color w:val="auto"/>
          <w:kern w:val="0"/>
          <w:sz w:val="24"/>
          <w:szCs w:val="24"/>
          <w:highlight w:val="none"/>
          <w:lang w:val="en-US" w:eastAsia="zh-CN"/>
        </w:rPr>
        <w:t>、报价要求：</w:t>
      </w:r>
    </w:p>
    <w:p w14:paraId="45C3067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本项目采用总价包干方式服务，供应商应根据项目要求合理报价。报价包括但不限于本合同资料收集、调研、成果编制、文本打印、专家审查费用（含专家评审费、住宿费、差旅费等）、人员工资、仪器设备费、奖金、交通、差旅、税费、利润、完成合同所需的一切本身和不可或缺的所有工作开支、政策性文件规定及合同包含的所有风险、责任等各项全部费用并承担一切风险责任。竞争性磋商文件未列明，而供应商认为必需的费用也需列入报价。</w:t>
      </w:r>
    </w:p>
    <w:p w14:paraId="52E43605">
      <w:pPr>
        <w:keepNext w:val="0"/>
        <w:keepLines w:val="0"/>
        <w:pageBreakBefore w:val="0"/>
        <w:widowControl w:val="0"/>
        <w:kinsoku/>
        <w:wordWrap/>
        <w:overflowPunct/>
        <w:topLinePunct w:val="0"/>
        <w:bidi w:val="0"/>
        <w:adjustRightInd w:val="0"/>
        <w:snapToGrid/>
        <w:spacing w:line="360" w:lineRule="auto"/>
        <w:textAlignment w:val="auto"/>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1"/>
      <w:bookmarkEnd w:id="62"/>
      <w:bookmarkStart w:id="77"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W w:w="5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533"/>
        <w:gridCol w:w="630"/>
        <w:gridCol w:w="1065"/>
        <w:gridCol w:w="1668"/>
      </w:tblGrid>
      <w:tr w14:paraId="752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3613155">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AD37EDC">
            <w:pPr>
              <w:keepNext w:val="0"/>
              <w:keepLines w:val="0"/>
              <w:pageBreakBefore w:val="0"/>
              <w:kinsoku/>
              <w:wordWrap/>
              <w:overflowPunct/>
              <w:topLinePunct w:val="0"/>
              <w:autoSpaceDE/>
              <w:autoSpaceDN/>
              <w:bidi w:val="0"/>
              <w:adjustRightInd/>
              <w:spacing w:line="360" w:lineRule="auto"/>
              <w:ind w:firstLine="1560" w:firstLineChars="65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FD680DB">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20AA1">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主观分/客观分属性</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0F888CB">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 *</w:t>
            </w:r>
          </w:p>
        </w:tc>
      </w:tr>
      <w:tr w14:paraId="3B7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C3BD610">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024945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年1月1日以来至今承担过类似项目成功案例的，每个得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分，最高得2分。</w:t>
            </w:r>
          </w:p>
          <w:p w14:paraId="522B094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提供业绩合同复印件，未提供的不得分。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C53A5B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2</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4DDEA">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3BB9E02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类似业绩</w:t>
            </w:r>
          </w:p>
        </w:tc>
      </w:tr>
      <w:tr w14:paraId="44AF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F84B974">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41C5C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供应商自</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1月1日</w:t>
            </w:r>
            <w:r>
              <w:rPr>
                <w:rFonts w:hint="eastAsia" w:ascii="宋体" w:hAnsi="宋体" w:eastAsia="宋体" w:cs="宋体"/>
                <w:sz w:val="24"/>
                <w:szCs w:val="24"/>
                <w:lang w:eastAsia="zh-CN"/>
              </w:rPr>
              <w:t>以来，获得</w:t>
            </w:r>
            <w:r>
              <w:rPr>
                <w:rFonts w:hint="eastAsia" w:ascii="宋体" w:hAnsi="宋体" w:eastAsia="宋体" w:cs="宋体"/>
                <w:sz w:val="24"/>
                <w:szCs w:val="24"/>
                <w:lang w:val="en-US" w:eastAsia="zh-CN"/>
              </w:rPr>
              <w:t>过</w:t>
            </w:r>
            <w:r>
              <w:rPr>
                <w:rFonts w:hint="eastAsia" w:ascii="宋体" w:hAnsi="宋体" w:eastAsia="宋体" w:cs="宋体"/>
                <w:sz w:val="24"/>
                <w:szCs w:val="24"/>
                <w:lang w:val="zh-CN" w:eastAsia="zh-CN"/>
              </w:rPr>
              <w:t>政府机构</w:t>
            </w:r>
            <w:r>
              <w:rPr>
                <w:rFonts w:hint="eastAsia" w:ascii="宋体" w:hAnsi="宋体" w:eastAsia="宋体" w:cs="宋体"/>
                <w:sz w:val="24"/>
                <w:szCs w:val="24"/>
                <w:lang w:eastAsia="zh-CN"/>
              </w:rPr>
              <w:t>颁发的</w:t>
            </w:r>
            <w:r>
              <w:rPr>
                <w:rFonts w:hint="eastAsia" w:ascii="宋体" w:hAnsi="宋体" w:eastAsia="宋体" w:cs="宋体"/>
                <w:sz w:val="24"/>
                <w:szCs w:val="24"/>
                <w:lang w:val="en-US" w:eastAsia="zh-CN"/>
              </w:rPr>
              <w:t>奖项（奖项内容需与本项目相</w:t>
            </w:r>
            <w:r>
              <w:rPr>
                <w:rFonts w:hint="eastAsia" w:ascii="宋体" w:hAnsi="宋体" w:cs="宋体"/>
                <w:sz w:val="24"/>
                <w:szCs w:val="24"/>
                <w:lang w:val="en-US" w:eastAsia="zh-CN"/>
              </w:rPr>
              <w:t>关</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省级及以上的每个得3分，市级</w:t>
            </w:r>
            <w:r>
              <w:rPr>
                <w:rFonts w:hint="eastAsia" w:ascii="宋体" w:hAnsi="宋体" w:eastAsia="宋体" w:cs="宋体"/>
                <w:sz w:val="24"/>
                <w:szCs w:val="24"/>
                <w:lang w:eastAsia="zh-CN"/>
              </w:rPr>
              <w:t>每个得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县级每个得1分，</w:t>
            </w:r>
            <w:r>
              <w:rPr>
                <w:rFonts w:hint="eastAsia" w:ascii="宋体" w:hAnsi="宋体" w:eastAsia="宋体" w:cs="宋体"/>
                <w:sz w:val="24"/>
                <w:szCs w:val="24"/>
                <w:lang w:val="zh-CN" w:eastAsia="zh-CN"/>
              </w:rPr>
              <w:t>本项最高得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124471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564B9A">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060AA60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荣誉</w:t>
            </w:r>
          </w:p>
        </w:tc>
      </w:tr>
      <w:tr w14:paraId="704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773B4E7A">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5A75C16E">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bidi="ar"/>
              </w:rPr>
              <w:t>供应商具有</w:t>
            </w:r>
            <w:r>
              <w:rPr>
                <w:rFonts w:hint="eastAsia" w:ascii="宋体" w:hAnsi="宋体" w:eastAsia="宋体" w:cs="宋体"/>
                <w:b w:val="0"/>
                <w:bCs w:val="0"/>
                <w:color w:val="auto"/>
                <w:kern w:val="0"/>
                <w:sz w:val="24"/>
                <w:szCs w:val="24"/>
                <w:highlight w:val="none"/>
                <w:lang w:val="en-US" w:eastAsia="zh-CN" w:bidi="ar"/>
              </w:rPr>
              <w:t>林业调查规划设计资质证书，丙级得1分，乙级得2分，甲级得3分。</w:t>
            </w:r>
          </w:p>
          <w:p w14:paraId="27D1BDB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4"/>
                <w:sz w:val="24"/>
                <w:szCs w:val="24"/>
                <w:highlight w:val="none"/>
              </w:rPr>
              <w:t>注：须提供相关证书复印件加盖投标供应商公章</w:t>
            </w:r>
            <w:r>
              <w:rPr>
                <w:rFonts w:hint="eastAsia" w:ascii="宋体" w:hAnsi="宋体" w:eastAsia="宋体" w:cs="宋体"/>
                <w:b w:val="0"/>
                <w:bCs w:val="0"/>
                <w:color w:val="auto"/>
                <w:spacing w:val="4"/>
                <w:sz w:val="24"/>
                <w:szCs w:val="24"/>
                <w:highlight w:val="none"/>
                <w:lang w:eastAsia="zh-CN"/>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34DC82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B34E7">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67DF2E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bidi="ar-SA"/>
              </w:rPr>
              <w:t>企业实力</w:t>
            </w:r>
          </w:p>
        </w:tc>
      </w:tr>
      <w:tr w14:paraId="3FE0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4E6B77C4">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83FA44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1、项目负责人：具有</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w:t>
            </w:r>
            <w:r>
              <w:rPr>
                <w:rFonts w:hint="eastAsia" w:ascii="宋体" w:hAnsi="宋体" w:eastAsia="宋体" w:cs="宋体"/>
                <w:sz w:val="24"/>
                <w:szCs w:val="24"/>
              </w:rPr>
              <w:t>高级及以上职称的得4分，具有</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或林业类中级</w:t>
            </w:r>
            <w:r>
              <w:rPr>
                <w:rFonts w:hint="eastAsia" w:ascii="宋体" w:hAnsi="宋体" w:eastAsia="宋体" w:cs="宋体"/>
                <w:sz w:val="24"/>
                <w:szCs w:val="24"/>
              </w:rPr>
              <w:t>职称的得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4FEC73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提供职称证书复印件及人员近期（近三个月内任意一个月）社保证明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退休人员提供退休证明文件及聘用合同</w:t>
            </w:r>
            <w:r>
              <w:rPr>
                <w:rFonts w:hint="eastAsia" w:ascii="宋体" w:hAnsi="宋体" w:eastAsia="宋体" w:cs="宋体"/>
                <w:sz w:val="24"/>
                <w:szCs w:val="24"/>
                <w:lang w:eastAsia="zh-CN"/>
              </w:rPr>
              <w:t>）</w:t>
            </w:r>
            <w:r>
              <w:rPr>
                <w:rFonts w:hint="eastAsia" w:ascii="宋体" w:hAnsi="宋体" w:eastAsia="宋体" w:cs="宋体"/>
                <w:sz w:val="24"/>
                <w:szCs w:val="24"/>
              </w:rPr>
              <w:t>等相关材料，不提供的不得分</w:t>
            </w:r>
            <w:r>
              <w:rPr>
                <w:rFonts w:hint="eastAsia" w:ascii="宋体" w:hAnsi="宋体" w:eastAsia="宋体" w:cs="宋体"/>
                <w:sz w:val="24"/>
                <w:szCs w:val="24"/>
                <w:lang w:eastAsia="zh-CN"/>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A3891B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EF32D3">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1EB7148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项目组人员情况</w:t>
            </w:r>
          </w:p>
        </w:tc>
      </w:tr>
      <w:tr w14:paraId="30C8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continue"/>
            <w:tcBorders>
              <w:left w:val="single" w:color="auto" w:sz="4" w:space="0"/>
              <w:bottom w:val="single" w:color="auto" w:sz="4" w:space="0"/>
              <w:right w:val="single" w:color="auto" w:sz="4" w:space="0"/>
            </w:tcBorders>
            <w:noWrap w:val="0"/>
            <w:vAlign w:val="center"/>
          </w:tcPr>
          <w:p w14:paraId="68845786">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187C310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2、项目组成员（不含项目负责人）：具备</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w:t>
            </w:r>
            <w:r>
              <w:rPr>
                <w:rFonts w:hint="eastAsia" w:ascii="宋体" w:hAnsi="宋体" w:eastAsia="宋体" w:cs="宋体"/>
                <w:sz w:val="24"/>
                <w:szCs w:val="24"/>
              </w:rPr>
              <w:t>高级</w:t>
            </w:r>
            <w:r>
              <w:rPr>
                <w:rFonts w:hint="eastAsia" w:ascii="宋体" w:hAnsi="宋体" w:eastAsia="宋体" w:cs="宋体"/>
                <w:sz w:val="24"/>
                <w:szCs w:val="24"/>
                <w:lang w:val="en-US" w:eastAsia="zh-CN"/>
              </w:rPr>
              <w:t>及以上</w:t>
            </w:r>
            <w:r>
              <w:rPr>
                <w:rFonts w:hint="eastAsia" w:ascii="宋体" w:hAnsi="宋体" w:eastAsia="宋体" w:cs="宋体"/>
                <w:sz w:val="24"/>
                <w:szCs w:val="24"/>
              </w:rPr>
              <w:t>职称每人计</w:t>
            </w:r>
            <w:r>
              <w:rPr>
                <w:rFonts w:hint="eastAsia" w:ascii="宋体" w:hAnsi="宋体" w:eastAsia="宋体" w:cs="宋体"/>
                <w:sz w:val="24"/>
                <w:szCs w:val="24"/>
                <w:lang w:val="en-US" w:eastAsia="zh-CN"/>
              </w:rPr>
              <w:t>2</w:t>
            </w:r>
            <w:r>
              <w:rPr>
                <w:rFonts w:hint="eastAsia" w:ascii="宋体" w:hAnsi="宋体" w:eastAsia="宋体" w:cs="宋体"/>
                <w:sz w:val="24"/>
                <w:szCs w:val="24"/>
              </w:rPr>
              <w:t>分；具备</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w:t>
            </w:r>
            <w:r>
              <w:rPr>
                <w:rFonts w:hint="eastAsia" w:ascii="宋体" w:hAnsi="宋体" w:eastAsia="宋体" w:cs="宋体"/>
                <w:sz w:val="24"/>
                <w:szCs w:val="24"/>
              </w:rPr>
              <w:t>中级职称每人计</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38BD079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提供职称证书复印件及人员近期（近三个月内任意一个月）社保证明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退休人员提供退休证明文件及聘用合同</w:t>
            </w:r>
            <w:r>
              <w:rPr>
                <w:rFonts w:hint="eastAsia" w:ascii="宋体" w:hAnsi="宋体" w:eastAsia="宋体" w:cs="宋体"/>
                <w:sz w:val="24"/>
                <w:szCs w:val="24"/>
                <w:lang w:eastAsia="zh-CN"/>
              </w:rPr>
              <w:t>）</w:t>
            </w:r>
            <w:r>
              <w:rPr>
                <w:rFonts w:hint="eastAsia" w:ascii="宋体" w:hAnsi="宋体" w:eastAsia="宋体" w:cs="宋体"/>
                <w:sz w:val="24"/>
                <w:szCs w:val="24"/>
              </w:rPr>
              <w:t>等相关材料，不提供的不得分</w:t>
            </w:r>
            <w:r>
              <w:rPr>
                <w:rFonts w:hint="eastAsia" w:ascii="宋体" w:hAnsi="宋体" w:eastAsia="宋体" w:cs="宋体"/>
                <w:sz w:val="24"/>
                <w:szCs w:val="24"/>
                <w:lang w:eastAsia="zh-CN"/>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3669B6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8</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D5A4D">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1336E9F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p>
        </w:tc>
      </w:tr>
      <w:tr w14:paraId="65C4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2E66949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2849DC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供应商对本项目背景、现状情况的认识及理解。对本项目背景、现状情况认识理解全面且表述清晰的得</w:t>
            </w:r>
            <w:r>
              <w:rPr>
                <w:rFonts w:hint="eastAsia" w:ascii="宋体" w:hAnsi="宋体" w:eastAsia="宋体" w:cs="宋体"/>
                <w:sz w:val="24"/>
                <w:szCs w:val="24"/>
                <w:lang w:val="en-US" w:eastAsia="zh-CN"/>
              </w:rPr>
              <w:t>4-6</w:t>
            </w:r>
            <w:r>
              <w:rPr>
                <w:rFonts w:hint="eastAsia" w:ascii="宋体" w:hAnsi="宋体" w:eastAsia="宋体" w:cs="宋体"/>
                <w:sz w:val="24"/>
                <w:szCs w:val="24"/>
              </w:rPr>
              <w:t>分，认识理解部分全面清晰的得</w:t>
            </w:r>
            <w:r>
              <w:rPr>
                <w:rFonts w:hint="eastAsia" w:ascii="宋体" w:hAnsi="宋体" w:eastAsia="宋体" w:cs="宋体"/>
                <w:sz w:val="24"/>
                <w:szCs w:val="24"/>
                <w:lang w:val="en-US" w:eastAsia="zh-CN"/>
              </w:rPr>
              <w:t>2-3.9</w:t>
            </w:r>
            <w:r>
              <w:rPr>
                <w:rFonts w:hint="eastAsia" w:ascii="宋体" w:hAnsi="宋体" w:eastAsia="宋体" w:cs="宋体"/>
                <w:sz w:val="24"/>
                <w:szCs w:val="24"/>
              </w:rPr>
              <w:t>分，严重不足的得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59D7AE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2E849">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6FEDD06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项目理解</w:t>
            </w:r>
          </w:p>
        </w:tc>
      </w:tr>
      <w:tr w14:paraId="0B56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078448F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80153AD">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根据供应商针对本项目制定施测方法进行评审；施测方法合理、可行且完全符合项目采购需求的得</w:t>
            </w:r>
            <w:r>
              <w:rPr>
                <w:rFonts w:hint="eastAsia" w:ascii="宋体" w:hAnsi="宋体" w:eastAsia="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right w:val="single" w:color="auto" w:sz="4" w:space="0"/>
            </w:tcBorders>
            <w:noWrap w:val="0"/>
            <w:vAlign w:val="center"/>
          </w:tcPr>
          <w:p w14:paraId="3F23238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65" w:type="dxa"/>
            <w:tcBorders>
              <w:top w:val="single" w:color="auto" w:sz="4" w:space="0"/>
              <w:left w:val="single" w:color="auto" w:sz="4" w:space="0"/>
              <w:right w:val="single" w:color="auto" w:sz="4" w:space="0"/>
            </w:tcBorders>
            <w:shd w:val="clear" w:color="auto" w:fill="auto"/>
            <w:noWrap w:val="0"/>
            <w:vAlign w:val="center"/>
          </w:tcPr>
          <w:p w14:paraId="2976335D">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restart"/>
            <w:tcBorders>
              <w:top w:val="single" w:color="auto" w:sz="4" w:space="0"/>
              <w:left w:val="single" w:color="auto" w:sz="4" w:space="0"/>
              <w:right w:val="single" w:color="auto" w:sz="4" w:space="0"/>
            </w:tcBorders>
            <w:noWrap w:val="0"/>
            <w:vAlign w:val="center"/>
          </w:tcPr>
          <w:p w14:paraId="30430C2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实施方案</w:t>
            </w:r>
          </w:p>
        </w:tc>
      </w:tr>
      <w:tr w14:paraId="1D20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right w:val="single" w:color="auto" w:sz="4" w:space="0"/>
            </w:tcBorders>
            <w:noWrap w:val="0"/>
            <w:vAlign w:val="center"/>
          </w:tcPr>
          <w:p w14:paraId="40C501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0A2F36A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2、根据供应商针对本项目制定</w:t>
            </w:r>
            <w:r>
              <w:rPr>
                <w:rFonts w:hint="eastAsia" w:ascii="宋体" w:hAnsi="宋体" w:eastAsia="宋体" w:cs="宋体"/>
                <w:sz w:val="24"/>
                <w:szCs w:val="24"/>
                <w:lang w:val="en-US" w:eastAsia="zh-CN"/>
              </w:rPr>
              <w:t>勘界立桩方案</w:t>
            </w:r>
            <w:r>
              <w:rPr>
                <w:rFonts w:hint="eastAsia" w:ascii="宋体" w:hAnsi="宋体" w:eastAsia="宋体" w:cs="宋体"/>
                <w:sz w:val="24"/>
                <w:szCs w:val="24"/>
              </w:rPr>
              <w:t>进行评审；管理方案内容合理、可行且完全符合项目采购需求的得</w:t>
            </w:r>
            <w:r>
              <w:rPr>
                <w:rFonts w:hint="eastAsia" w:ascii="宋体" w:hAnsi="宋体" w:eastAsia="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left w:val="single" w:color="auto" w:sz="4" w:space="0"/>
              <w:right w:val="single" w:color="auto" w:sz="4" w:space="0"/>
            </w:tcBorders>
            <w:noWrap w:val="0"/>
            <w:vAlign w:val="center"/>
          </w:tcPr>
          <w:p w14:paraId="0973B06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65" w:type="dxa"/>
            <w:tcBorders>
              <w:left w:val="single" w:color="auto" w:sz="4" w:space="0"/>
              <w:right w:val="single" w:color="auto" w:sz="4" w:space="0"/>
            </w:tcBorders>
            <w:shd w:val="clear" w:color="auto" w:fill="auto"/>
            <w:noWrap w:val="0"/>
            <w:vAlign w:val="center"/>
          </w:tcPr>
          <w:p w14:paraId="6E42C956">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right w:val="single" w:color="auto" w:sz="4" w:space="0"/>
            </w:tcBorders>
            <w:noWrap w:val="0"/>
            <w:vAlign w:val="center"/>
          </w:tcPr>
          <w:p w14:paraId="03F50FB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14:paraId="45E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right w:val="single" w:color="auto" w:sz="4" w:space="0"/>
            </w:tcBorders>
            <w:noWrap w:val="0"/>
            <w:vAlign w:val="center"/>
          </w:tcPr>
          <w:p w14:paraId="0EF32B0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2EBB93A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、根据供应商针对本项目制定管理方案进行评审；管理方案内容合理、可行且完全符合项目采购需求的得</w:t>
            </w:r>
            <w:r>
              <w:rPr>
                <w:rFonts w:hint="eastAsia" w:ascii="宋体" w:hAnsi="宋体" w:eastAsia="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left w:val="single" w:color="auto" w:sz="4" w:space="0"/>
              <w:right w:val="single" w:color="auto" w:sz="4" w:space="0"/>
            </w:tcBorders>
            <w:noWrap w:val="0"/>
            <w:vAlign w:val="center"/>
          </w:tcPr>
          <w:p w14:paraId="6F11121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65" w:type="dxa"/>
            <w:tcBorders>
              <w:left w:val="single" w:color="auto" w:sz="4" w:space="0"/>
              <w:right w:val="single" w:color="auto" w:sz="4" w:space="0"/>
            </w:tcBorders>
            <w:shd w:val="clear" w:color="auto" w:fill="auto"/>
            <w:noWrap w:val="0"/>
            <w:vAlign w:val="center"/>
          </w:tcPr>
          <w:p w14:paraId="25DF96E3">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right w:val="single" w:color="auto" w:sz="4" w:space="0"/>
            </w:tcBorders>
            <w:noWrap w:val="0"/>
            <w:vAlign w:val="center"/>
          </w:tcPr>
          <w:p w14:paraId="0444103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14:paraId="6B9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bottom w:val="single" w:color="auto" w:sz="4" w:space="0"/>
              <w:right w:val="single" w:color="auto" w:sz="4" w:space="0"/>
            </w:tcBorders>
            <w:noWrap w:val="0"/>
            <w:vAlign w:val="center"/>
          </w:tcPr>
          <w:p w14:paraId="5EF4A3E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2A9B9E7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4、根据供应商针对本项目制定安全技术措施方案进行评审；安全技术措施方案合理、可行且完全符合项目采购需求的得</w:t>
            </w:r>
            <w:r>
              <w:rPr>
                <w:rFonts w:hint="eastAsia" w:ascii="宋体" w:hAnsi="宋体" w:eastAsia="宋体" w:cs="宋体"/>
                <w:sz w:val="24"/>
                <w:szCs w:val="24"/>
                <w:lang w:val="en-US" w:eastAsia="zh-CN"/>
              </w:rPr>
              <w:t>4-</w:t>
            </w:r>
            <w:r>
              <w:rPr>
                <w:rFonts w:hint="eastAsia" w:ascii="宋体" w:hAnsi="宋体" w:eastAsia="宋体" w:cs="宋体"/>
                <w:sz w:val="24"/>
                <w:szCs w:val="24"/>
              </w:rPr>
              <w:t>5分，部分合理、可行的得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left w:val="single" w:color="auto" w:sz="4" w:space="0"/>
              <w:bottom w:val="single" w:color="auto" w:sz="4" w:space="0"/>
              <w:right w:val="single" w:color="auto" w:sz="4" w:space="0"/>
            </w:tcBorders>
            <w:noWrap w:val="0"/>
            <w:vAlign w:val="center"/>
          </w:tcPr>
          <w:p w14:paraId="33F2DD7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65" w:type="dxa"/>
            <w:tcBorders>
              <w:left w:val="single" w:color="auto" w:sz="4" w:space="0"/>
              <w:bottom w:val="single" w:color="auto" w:sz="4" w:space="0"/>
              <w:right w:val="single" w:color="auto" w:sz="4" w:space="0"/>
            </w:tcBorders>
            <w:shd w:val="clear" w:color="auto" w:fill="auto"/>
            <w:noWrap w:val="0"/>
            <w:vAlign w:val="center"/>
          </w:tcPr>
          <w:p w14:paraId="38F631F4">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bottom w:val="single" w:color="auto" w:sz="4" w:space="0"/>
              <w:right w:val="single" w:color="auto" w:sz="4" w:space="0"/>
            </w:tcBorders>
            <w:noWrap w:val="0"/>
            <w:vAlign w:val="center"/>
          </w:tcPr>
          <w:p w14:paraId="2BFA36D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14:paraId="6C4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67A7621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4B21F3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进行供应商针对本项目制定的进度安排进行综合评审</w:t>
            </w:r>
          </w:p>
          <w:p w14:paraId="48B22DF6">
            <w:pPr>
              <w:keepNext w:val="0"/>
              <w:keepLines w:val="0"/>
              <w:pageBreakBefore w:val="0"/>
              <w:numPr>
                <w:ilvl w:val="0"/>
                <w:numId w:val="11"/>
              </w:numPr>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具有健全的项目组织和明确的职责分配的得</w:t>
            </w:r>
            <w:r>
              <w:rPr>
                <w:rFonts w:hint="eastAsia" w:ascii="宋体" w:hAnsi="宋体" w:eastAsia="宋体" w:cs="宋体"/>
                <w:sz w:val="24"/>
                <w:szCs w:val="24"/>
                <w:lang w:val="en-US" w:eastAsia="zh-CN"/>
              </w:rPr>
              <w:t>3-5</w:t>
            </w:r>
            <w:r>
              <w:rPr>
                <w:rFonts w:hint="eastAsia" w:ascii="宋体" w:hAnsi="宋体" w:eastAsia="宋体" w:cs="宋体"/>
                <w:sz w:val="24"/>
                <w:szCs w:val="24"/>
              </w:rPr>
              <w:t>分；内容存在不足、职责分配不够明确的得</w:t>
            </w:r>
            <w:r>
              <w:rPr>
                <w:rFonts w:hint="eastAsia" w:ascii="宋体" w:hAnsi="宋体" w:eastAsia="宋体" w:cs="宋体"/>
                <w:sz w:val="24"/>
                <w:szCs w:val="24"/>
                <w:lang w:val="en-US" w:eastAsia="zh-CN"/>
              </w:rPr>
              <w:t>0-2.9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31BB49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FA339">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restart"/>
            <w:tcBorders>
              <w:top w:val="single" w:color="auto" w:sz="4" w:space="0"/>
              <w:left w:val="single" w:color="auto" w:sz="4" w:space="0"/>
              <w:right w:val="single" w:color="auto" w:sz="4" w:space="0"/>
            </w:tcBorders>
            <w:noWrap w:val="0"/>
            <w:vAlign w:val="center"/>
          </w:tcPr>
          <w:p w14:paraId="15D3D92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进度安排</w:t>
            </w:r>
          </w:p>
        </w:tc>
      </w:tr>
      <w:tr w14:paraId="3853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8" w:type="dxa"/>
            <w:vMerge w:val="continue"/>
            <w:tcBorders>
              <w:left w:val="single" w:color="auto" w:sz="4" w:space="0"/>
              <w:right w:val="single" w:color="auto" w:sz="4" w:space="0"/>
            </w:tcBorders>
            <w:noWrap w:val="0"/>
            <w:vAlign w:val="center"/>
          </w:tcPr>
          <w:p w14:paraId="038A62C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6FC6C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2、具有详细的施工进度计划符合采购需求的得</w:t>
            </w:r>
            <w:r>
              <w:rPr>
                <w:rFonts w:hint="eastAsia" w:ascii="宋体" w:hAnsi="宋体" w:eastAsia="宋体" w:cs="宋体"/>
                <w:sz w:val="24"/>
                <w:szCs w:val="24"/>
                <w:lang w:val="en-US" w:eastAsia="zh-CN"/>
              </w:rPr>
              <w:t>2-4</w:t>
            </w:r>
            <w:r>
              <w:rPr>
                <w:rFonts w:hint="eastAsia" w:ascii="宋体" w:hAnsi="宋体" w:eastAsia="宋体" w:cs="宋体"/>
                <w:sz w:val="24"/>
                <w:szCs w:val="24"/>
              </w:rPr>
              <w:t>分；内容存在不足、进度计划安排不够合理的得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F756C7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F44079">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right w:val="single" w:color="auto" w:sz="4" w:space="0"/>
            </w:tcBorders>
            <w:noWrap w:val="0"/>
            <w:vAlign w:val="center"/>
          </w:tcPr>
          <w:p w14:paraId="52841F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14:paraId="5C1A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07562C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59EF548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根据供应商针对重难点技术环节提出合理化建议进行评审；合理化建议确实能对项目的实施产生有益作用的得</w:t>
            </w:r>
            <w:r>
              <w:rPr>
                <w:rFonts w:hint="eastAsia" w:ascii="宋体" w:hAnsi="宋体" w:eastAsia="宋体" w:cs="宋体"/>
                <w:sz w:val="24"/>
                <w:szCs w:val="24"/>
                <w:lang w:val="en-US" w:eastAsia="zh-CN"/>
              </w:rPr>
              <w:t>4-5</w:t>
            </w:r>
            <w:r>
              <w:rPr>
                <w:rFonts w:hint="eastAsia" w:ascii="宋体" w:hAnsi="宋体" w:eastAsia="宋体" w:cs="宋体"/>
                <w:sz w:val="24"/>
                <w:szCs w:val="24"/>
              </w:rPr>
              <w:t>分；对项目实施产生有益作用不明显或有偏差的得</w:t>
            </w:r>
            <w:r>
              <w:rPr>
                <w:rFonts w:hint="eastAsia" w:ascii="宋体" w:hAnsi="宋体" w:eastAsia="宋体" w:cs="宋体"/>
                <w:sz w:val="24"/>
                <w:szCs w:val="24"/>
                <w:lang w:val="en-US" w:eastAsia="zh-CN"/>
              </w:rPr>
              <w:t>2-3.9</w:t>
            </w:r>
            <w:r>
              <w:rPr>
                <w:rFonts w:hint="eastAsia" w:ascii="宋体" w:hAnsi="宋体" w:eastAsia="宋体" w:cs="宋体"/>
                <w:sz w:val="24"/>
                <w:szCs w:val="24"/>
              </w:rPr>
              <w:t>分；严重不足的得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82E023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68D14">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03E89B4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合理化建议</w:t>
            </w:r>
          </w:p>
        </w:tc>
      </w:tr>
      <w:tr w14:paraId="211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85C0CD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433A4E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根据供应商针对本项目提出的质量保障措施进行评审；措施中有明确的服务质量目标、质量保障措施且表述清晰，合理可行的得</w:t>
            </w:r>
            <w:r>
              <w:rPr>
                <w:rFonts w:hint="eastAsia" w:ascii="宋体" w:hAnsi="宋体" w:eastAsia="宋体" w:cs="宋体"/>
                <w:sz w:val="24"/>
                <w:szCs w:val="24"/>
                <w:lang w:val="en-US" w:eastAsia="zh-CN"/>
              </w:rPr>
              <w:t>4-5</w:t>
            </w:r>
            <w:r>
              <w:rPr>
                <w:rFonts w:hint="eastAsia" w:ascii="宋体" w:hAnsi="宋体" w:eastAsia="宋体" w:cs="宋体"/>
                <w:sz w:val="24"/>
                <w:szCs w:val="24"/>
              </w:rPr>
              <w:t>分；质量目标质量措施不够明确或表述不够完整清晰、部分合理可行的得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分，内容严重缺失不足的得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26FF32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E2FD3">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364F84E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质量保障</w:t>
            </w:r>
          </w:p>
        </w:tc>
      </w:tr>
      <w:tr w14:paraId="5FA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CD8EE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07D043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对项目实施过程中可能遇到的各类突发事件及</w:t>
            </w:r>
            <w:r>
              <w:rPr>
                <w:rFonts w:hint="eastAsia" w:ascii="宋体" w:hAnsi="宋体" w:eastAsia="宋体" w:cs="宋体"/>
                <w:sz w:val="24"/>
                <w:szCs w:val="24"/>
                <w:lang w:eastAsia="zh-CN"/>
              </w:rPr>
              <w:t>问题</w:t>
            </w:r>
            <w:r>
              <w:rPr>
                <w:rFonts w:hint="eastAsia" w:ascii="宋体" w:hAnsi="宋体" w:eastAsia="宋体" w:cs="宋体"/>
                <w:sz w:val="24"/>
                <w:szCs w:val="24"/>
              </w:rPr>
              <w:t>制定其应对措施进行评审，根据运行服务保障应急预案全面、有针对性且有具体的应对措施的得</w:t>
            </w:r>
            <w:r>
              <w:rPr>
                <w:rFonts w:hint="eastAsia" w:ascii="宋体" w:hAnsi="宋体" w:eastAsia="宋体" w:cs="宋体"/>
                <w:sz w:val="24"/>
                <w:szCs w:val="24"/>
                <w:lang w:val="en-US" w:eastAsia="zh-CN"/>
              </w:rPr>
              <w:t>4-5</w:t>
            </w:r>
            <w:r>
              <w:rPr>
                <w:rFonts w:hint="eastAsia" w:ascii="宋体" w:hAnsi="宋体" w:eastAsia="宋体" w:cs="宋体"/>
                <w:sz w:val="24"/>
                <w:szCs w:val="24"/>
              </w:rPr>
              <w:t>分；应急预案不够全面、缺乏针对性、内容不够完善的得</w:t>
            </w:r>
            <w:r>
              <w:rPr>
                <w:rFonts w:hint="eastAsia" w:ascii="宋体" w:hAnsi="宋体" w:eastAsia="宋体" w:cs="宋体"/>
                <w:sz w:val="24"/>
                <w:szCs w:val="24"/>
                <w:lang w:val="en-US" w:eastAsia="zh-CN"/>
              </w:rPr>
              <w:t>2-3.9</w:t>
            </w:r>
            <w:r>
              <w:rPr>
                <w:rFonts w:hint="eastAsia" w:ascii="宋体" w:hAnsi="宋体" w:eastAsia="宋体" w:cs="宋体"/>
                <w:sz w:val="24"/>
                <w:szCs w:val="24"/>
              </w:rPr>
              <w:t>分；严重不足或内容明显没有针对性的得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AF6C8F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CEE8">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79AF42B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tc>
      </w:tr>
      <w:tr w14:paraId="198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439F0B7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0E0221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根据供应商提供的售后服务方案、售后服务承诺以及服务承诺落实的保障措施和后续技术支持进行评审；服务方案、服务承诺以及服务承诺落实的保障措施和后续技术支持内容完整、可行契合采购人要求的得</w:t>
            </w:r>
            <w:r>
              <w:rPr>
                <w:rFonts w:hint="eastAsia" w:ascii="宋体" w:hAnsi="宋体" w:eastAsia="宋体" w:cs="宋体"/>
                <w:sz w:val="24"/>
                <w:szCs w:val="24"/>
                <w:lang w:val="en-US" w:eastAsia="zh-CN"/>
              </w:rPr>
              <w:t>4-5</w:t>
            </w:r>
            <w:r>
              <w:rPr>
                <w:rFonts w:hint="eastAsia" w:ascii="宋体" w:hAnsi="宋体" w:eastAsia="宋体" w:cs="宋体"/>
                <w:sz w:val="24"/>
                <w:szCs w:val="24"/>
              </w:rPr>
              <w:t>分；内容不够完整、部分契合采购人要求的得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分；内容严重不足或缺失的得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98CABD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0F3857">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0C54DBB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售后服务方案</w:t>
            </w:r>
          </w:p>
        </w:tc>
      </w:tr>
      <w:tr w14:paraId="7E8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492E087">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533" w:type="dxa"/>
            <w:tcBorders>
              <w:top w:val="single" w:color="auto" w:sz="4" w:space="0"/>
              <w:left w:val="single" w:color="auto" w:sz="4" w:space="0"/>
              <w:bottom w:val="single" w:color="auto" w:sz="4" w:space="0"/>
              <w:right w:val="single" w:color="auto" w:sz="4" w:space="0"/>
            </w:tcBorders>
            <w:noWrap w:val="0"/>
            <w:vAlign w:val="top"/>
          </w:tcPr>
          <w:p w14:paraId="29A727DA">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有效投标报价的最低价作为评标基准价，其最低报价为满分；按［投标报价得分=（评标基准价/投标报价）*20］的计算公式计算。</w:t>
            </w:r>
          </w:p>
          <w:p w14:paraId="23FABC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7D7CF0A">
            <w:pPr>
              <w:keepNext w:val="0"/>
              <w:keepLines w:val="0"/>
              <w:pageBreakBefore w:val="0"/>
              <w:kinsoku/>
              <w:wordWrap/>
              <w:overflowPunct/>
              <w:topLinePunct w:val="0"/>
              <w:autoSpaceDE/>
              <w:autoSpaceDN/>
              <w:bidi w:val="0"/>
              <w:adjustRightInd/>
              <w:spacing w:line="360" w:lineRule="auto"/>
              <w:ind w:firstLine="120" w:firstLineChars="50"/>
              <w:textAlignment w:val="auto"/>
              <w:outlineLvl w:val="0"/>
              <w:rPr>
                <w:rFonts w:hint="eastAsia" w:ascii="宋体" w:hAnsi="宋体" w:eastAsia="宋体" w:cs="宋体"/>
                <w:sz w:val="24"/>
                <w:szCs w:val="24"/>
              </w:rPr>
            </w:pPr>
            <w:r>
              <w:rPr>
                <w:rFonts w:hint="eastAsia" w:ascii="宋体" w:hAnsi="宋体" w:eastAsia="宋体" w:cs="宋体"/>
                <w:sz w:val="24"/>
                <w:szCs w:val="24"/>
              </w:rPr>
              <w:t>20</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8C09E0D">
            <w:pPr>
              <w:keepNext w:val="0"/>
              <w:keepLines w:val="0"/>
              <w:pageBreakBefore w:val="0"/>
              <w:kinsoku/>
              <w:wordWrap/>
              <w:overflowPunct/>
              <w:topLinePunct w:val="0"/>
              <w:autoSpaceDE/>
              <w:autoSpaceDN/>
              <w:bidi w:val="0"/>
              <w:adjustRightInd/>
              <w:spacing w:line="360" w:lineRule="auto"/>
              <w:ind w:firstLine="120" w:firstLineChars="50"/>
              <w:textAlignment w:val="auto"/>
              <w:outlineLvl w:val="0"/>
              <w:rPr>
                <w:rFonts w:hint="eastAsia" w:ascii="宋体" w:hAnsi="宋体" w:eastAsia="宋体" w:cs="宋体"/>
                <w:sz w:val="24"/>
                <w:szCs w:val="24"/>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14:paraId="63ADDC04">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w:t>
            </w:r>
          </w:p>
        </w:tc>
      </w:tr>
    </w:tbl>
    <w:p w14:paraId="4374C3EF">
      <w:pPr>
        <w:pStyle w:val="393"/>
        <w:spacing w:before="0"/>
        <w:ind w:firstLine="643"/>
        <w:jc w:val="center"/>
        <w:rPr>
          <w:rFonts w:hint="eastAsia" w:cs="仿宋_GB2312" w:asciiTheme="minorEastAsia" w:hAnsiTheme="minorEastAsia" w:eastAsiaTheme="minorEastAsia"/>
          <w:b/>
          <w:color w:val="auto"/>
          <w:sz w:val="32"/>
        </w:rPr>
      </w:pPr>
    </w:p>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321FC0">
      <w:pPr>
        <w:pStyle w:val="393"/>
        <w:spacing w:before="0"/>
        <w:ind w:firstLine="480"/>
        <w:rPr>
          <w:rFonts w:asciiTheme="minorEastAsia" w:hAnsiTheme="minorEastAsia" w:eastAsiaTheme="minorEastAsia"/>
          <w:b/>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77"/>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78" w:name="第五部分"/>
      <w:bookmarkStart w:id="79" w:name="_Toc86217003"/>
    </w:p>
    <w:p w14:paraId="32285798">
      <w:pPr>
        <w:spacing w:line="360" w:lineRule="auto"/>
        <w:rPr>
          <w:rFonts w:asciiTheme="minorEastAsia" w:hAnsiTheme="minorEastAsia" w:eastAsiaTheme="minorEastAsia"/>
          <w:color w:val="auto"/>
          <w:sz w:val="24"/>
        </w:rPr>
      </w:pPr>
    </w:p>
    <w:p w14:paraId="1F33BE45">
      <w:pPr>
        <w:rPr>
          <w:rFonts w:ascii="宋体" w:hAnsi="宋体" w:cs="宋体"/>
          <w:sz w:val="24"/>
          <w:u w:val="single"/>
        </w:rPr>
      </w:pPr>
      <w:r>
        <w:rPr>
          <w:rFonts w:hint="eastAsia" w:ascii="宋体" w:hAnsi="宋体" w:cs="宋体"/>
          <w:sz w:val="24"/>
        </w:rPr>
        <w:t>合同编号：</w:t>
      </w:r>
    </w:p>
    <w:p w14:paraId="6A620178">
      <w:pPr>
        <w:spacing w:line="480" w:lineRule="auto"/>
        <w:jc w:val="both"/>
        <w:rPr>
          <w:rFonts w:ascii="宋体" w:hAnsi="宋体" w:cs="宋体"/>
          <w:b/>
          <w:sz w:val="24"/>
        </w:rPr>
      </w:pPr>
    </w:p>
    <w:p w14:paraId="22BA1D4F">
      <w:pPr>
        <w:spacing w:line="480" w:lineRule="auto"/>
        <w:jc w:val="center"/>
        <w:rPr>
          <w:rFonts w:ascii="宋体" w:hAnsi="宋体" w:cs="宋体"/>
          <w:b/>
          <w:sz w:val="40"/>
          <w:szCs w:val="40"/>
        </w:rPr>
      </w:pPr>
      <w:r>
        <w:rPr>
          <w:rFonts w:hint="eastAsia" w:ascii="宋体" w:hAnsi="宋体" w:cs="宋体"/>
          <w:b/>
          <w:sz w:val="40"/>
          <w:szCs w:val="40"/>
        </w:rPr>
        <w:t>政府采购合同</w:t>
      </w:r>
    </w:p>
    <w:p w14:paraId="6146DDAB">
      <w:pPr>
        <w:spacing w:line="480" w:lineRule="auto"/>
        <w:jc w:val="center"/>
        <w:rPr>
          <w:rFonts w:ascii="宋体" w:hAnsi="宋体" w:cs="宋体"/>
          <w:b/>
          <w:sz w:val="40"/>
          <w:szCs w:val="40"/>
        </w:rPr>
      </w:pPr>
      <w:r>
        <w:rPr>
          <w:rFonts w:hint="eastAsia" w:ascii="宋体" w:hAnsi="宋体" w:cs="宋体"/>
          <w:b/>
          <w:sz w:val="40"/>
          <w:szCs w:val="40"/>
        </w:rPr>
        <w:t>（服务类）</w:t>
      </w:r>
    </w:p>
    <w:p w14:paraId="4DA1387E">
      <w:pPr>
        <w:spacing w:before="120" w:line="22" w:lineRule="atLeast"/>
        <w:rPr>
          <w:rFonts w:ascii="宋体" w:hAnsi="宋体" w:cs="宋体"/>
          <w:sz w:val="28"/>
          <w:szCs w:val="28"/>
        </w:rPr>
      </w:pPr>
    </w:p>
    <w:p w14:paraId="2367A7D9">
      <w:pPr>
        <w:pStyle w:val="4"/>
        <w:numPr>
          <w:ilvl w:val="0"/>
          <w:numId w:val="0"/>
        </w:numPr>
        <w:ind w:leftChars="0"/>
        <w:rPr>
          <w:sz w:val="36"/>
          <w:szCs w:val="36"/>
        </w:rPr>
      </w:pPr>
    </w:p>
    <w:p w14:paraId="1F6F7D9D">
      <w:pPr>
        <w:spacing w:before="120" w:line="22" w:lineRule="atLeast"/>
        <w:ind w:left="96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val="en-US" w:eastAsia="zh-CN"/>
        </w:rPr>
        <w:t xml:space="preserve"> </w:t>
      </w:r>
    </w:p>
    <w:p w14:paraId="74D4B2BA">
      <w:pPr>
        <w:pStyle w:val="617"/>
        <w:spacing w:before="120" w:line="22" w:lineRule="atLeast"/>
        <w:rPr>
          <w:rFonts w:ascii="宋体" w:hAnsi="宋体" w:eastAsia="宋体" w:cs="宋体"/>
          <w:sz w:val="28"/>
          <w:szCs w:val="28"/>
        </w:rPr>
      </w:pPr>
    </w:p>
    <w:p w14:paraId="174D7CB6">
      <w:pPr>
        <w:pStyle w:val="617"/>
        <w:spacing w:before="120" w:line="22" w:lineRule="atLeast"/>
        <w:rPr>
          <w:rFonts w:ascii="宋体" w:hAnsi="宋体" w:eastAsia="宋体" w:cs="宋体"/>
          <w:sz w:val="28"/>
          <w:szCs w:val="28"/>
        </w:rPr>
      </w:pPr>
    </w:p>
    <w:p w14:paraId="6D3B1945">
      <w:pPr>
        <w:rPr>
          <w:rFonts w:ascii="宋体" w:hAnsi="宋体" w:cs="宋体"/>
          <w:sz w:val="28"/>
          <w:szCs w:val="28"/>
        </w:rPr>
      </w:pPr>
    </w:p>
    <w:p w14:paraId="3FD8E934">
      <w:pPr>
        <w:spacing w:before="120" w:line="22" w:lineRule="atLeast"/>
        <w:ind w:left="960"/>
        <w:rPr>
          <w:rFonts w:ascii="宋体" w:hAnsi="宋体" w:cs="宋体"/>
          <w:sz w:val="28"/>
          <w:szCs w:val="28"/>
          <w:u w:val="single"/>
        </w:rPr>
      </w:pPr>
      <w:r>
        <w:rPr>
          <w:rFonts w:hint="eastAsia" w:ascii="宋体" w:hAnsi="宋体" w:cs="宋体"/>
          <w:sz w:val="28"/>
          <w:szCs w:val="28"/>
        </w:rPr>
        <w:t>甲方：桐庐县森林湿地和自然保护地管理总站</w:t>
      </w:r>
    </w:p>
    <w:p w14:paraId="106B0761">
      <w:pPr>
        <w:spacing w:before="120" w:line="22" w:lineRule="atLeast"/>
        <w:rPr>
          <w:rFonts w:ascii="宋体" w:hAnsi="宋体" w:cs="宋体"/>
          <w:sz w:val="28"/>
          <w:szCs w:val="28"/>
        </w:rPr>
      </w:pPr>
    </w:p>
    <w:p w14:paraId="3EA6D436">
      <w:pPr>
        <w:spacing w:before="120" w:line="22" w:lineRule="atLeast"/>
        <w:ind w:left="960"/>
        <w:rPr>
          <w:rFonts w:hint="eastAsia" w:ascii="宋体" w:hAnsi="宋体" w:cs="宋体"/>
          <w:sz w:val="28"/>
          <w:szCs w:val="28"/>
        </w:rPr>
      </w:pPr>
    </w:p>
    <w:p w14:paraId="1AB7FD6C">
      <w:pPr>
        <w:spacing w:before="120" w:line="22" w:lineRule="atLeast"/>
        <w:ind w:left="960"/>
        <w:rPr>
          <w:rFonts w:ascii="宋体" w:hAnsi="宋体" w:cs="宋体"/>
          <w:sz w:val="28"/>
          <w:szCs w:val="28"/>
          <w:u w:val="single"/>
        </w:rPr>
      </w:pPr>
      <w:r>
        <w:rPr>
          <w:rFonts w:hint="eastAsia" w:ascii="宋体" w:hAnsi="宋体" w:cs="宋体"/>
          <w:sz w:val="28"/>
          <w:szCs w:val="28"/>
        </w:rPr>
        <w:t>乙方：</w:t>
      </w:r>
    </w:p>
    <w:p w14:paraId="58490863">
      <w:pPr>
        <w:spacing w:before="120" w:line="22" w:lineRule="atLeast"/>
        <w:rPr>
          <w:rFonts w:ascii="宋体" w:hAnsi="宋体" w:cs="宋体"/>
          <w:sz w:val="28"/>
          <w:szCs w:val="28"/>
        </w:rPr>
      </w:pPr>
    </w:p>
    <w:p w14:paraId="4269572E">
      <w:pPr>
        <w:spacing w:before="120" w:line="22" w:lineRule="atLeast"/>
        <w:ind w:firstLine="1120" w:firstLineChars="400"/>
        <w:rPr>
          <w:rFonts w:hint="eastAsia" w:ascii="宋体" w:hAnsi="宋体" w:cs="宋体"/>
          <w:sz w:val="28"/>
          <w:szCs w:val="28"/>
        </w:rPr>
      </w:pPr>
    </w:p>
    <w:p w14:paraId="250FF292">
      <w:pPr>
        <w:spacing w:before="120" w:line="22" w:lineRule="atLeast"/>
        <w:ind w:firstLine="1120" w:firstLineChars="400"/>
        <w:rPr>
          <w:rFonts w:hint="default" w:ascii="宋体" w:hAnsi="宋体" w:eastAsia="宋体" w:cs="宋体"/>
          <w:sz w:val="28"/>
          <w:szCs w:val="28"/>
          <w:u w:val="single"/>
          <w:lang w:val="en-US" w:eastAsia="zh-CN"/>
        </w:rPr>
      </w:pPr>
      <w:r>
        <w:rPr>
          <w:rFonts w:hint="eastAsia" w:ascii="宋体" w:hAnsi="宋体" w:cs="宋体"/>
          <w:sz w:val="28"/>
          <w:szCs w:val="28"/>
        </w:rPr>
        <w:t>签订地：</w:t>
      </w:r>
      <w:r>
        <w:rPr>
          <w:rFonts w:hint="eastAsia" w:ascii="宋体" w:hAnsi="宋体" w:cs="宋体"/>
          <w:sz w:val="28"/>
          <w:szCs w:val="28"/>
          <w:lang w:val="en-US" w:eastAsia="zh-CN"/>
        </w:rPr>
        <w:t xml:space="preserve"> </w:t>
      </w:r>
    </w:p>
    <w:p w14:paraId="11348CC8">
      <w:pPr>
        <w:spacing w:before="120" w:line="22" w:lineRule="atLeast"/>
        <w:rPr>
          <w:rFonts w:ascii="宋体" w:hAnsi="宋体" w:cs="宋体"/>
          <w:sz w:val="28"/>
          <w:szCs w:val="28"/>
        </w:rPr>
      </w:pPr>
    </w:p>
    <w:p w14:paraId="3269B10A">
      <w:pPr>
        <w:spacing w:before="120" w:line="22" w:lineRule="atLeast"/>
        <w:ind w:firstLine="1120" w:firstLineChars="400"/>
        <w:rPr>
          <w:rFonts w:hint="eastAsia" w:ascii="宋体" w:hAnsi="宋体" w:cs="宋体"/>
          <w:sz w:val="28"/>
          <w:szCs w:val="28"/>
        </w:rPr>
      </w:pPr>
    </w:p>
    <w:p w14:paraId="45E3756A">
      <w:pPr>
        <w:spacing w:before="120" w:line="22" w:lineRule="atLeast"/>
        <w:ind w:firstLine="1120" w:firstLineChars="400"/>
        <w:rPr>
          <w:rFonts w:ascii="宋体" w:hAnsi="宋体" w:cs="宋体"/>
          <w:kern w:val="0"/>
          <w:sz w:val="28"/>
          <w:szCs w:val="28"/>
        </w:rPr>
        <w:sectPr>
          <w:pgSz w:w="11907" w:h="16840"/>
          <w:pgMar w:top="1474" w:right="1814" w:bottom="1474" w:left="1814" w:header="851" w:footer="851" w:gutter="0"/>
          <w:cols w:space="720" w:num="1"/>
        </w:sectPr>
      </w:pPr>
      <w:r>
        <w:rPr>
          <w:rFonts w:hint="eastAsia" w:ascii="宋体" w:hAnsi="宋体" w:cs="宋体"/>
          <w:sz w:val="28"/>
          <w:szCs w:val="28"/>
        </w:rPr>
        <w:t>签订日期：</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6C2E7F3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hint="eastAsia" w:ascii="宋体" w:hAnsi="宋体"/>
          <w:sz w:val="24"/>
          <w:lang w:val="en-US" w:eastAsia="zh-CN"/>
        </w:rPr>
        <w:t>2025</w:t>
      </w:r>
      <w:r>
        <w:rPr>
          <w:rFonts w:hint="eastAsia" w:ascii="宋体" w:hAnsi="宋体" w:eastAsia="宋体"/>
          <w:sz w:val="24"/>
          <w:lang w:val="zh-CN"/>
        </w:rPr>
        <w:t>年</w:t>
      </w: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lang w:val="zh-CN"/>
        </w:rPr>
        <w:t>月</w:t>
      </w: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u w:val="single"/>
        </w:rPr>
        <w:t>桐庐县森林湿地和自然保护地管理总站</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w:t>
      </w:r>
      <w:r>
        <w:rPr>
          <w:rFonts w:hint="eastAsia" w:ascii="宋体" w:hAnsi="宋体" w:eastAsia="宋体"/>
          <w:sz w:val="24"/>
          <w:u w:val="single"/>
        </w:rPr>
        <w:t>竞争性磋商</w:t>
      </w:r>
      <w:r>
        <w:rPr>
          <w:rFonts w:ascii="宋体" w:hAnsi="宋体" w:eastAsia="宋体"/>
          <w:sz w:val="24"/>
          <w:u w:val="single"/>
        </w:rPr>
        <w:t xml:space="preserve">  </w:t>
      </w:r>
      <w:r>
        <w:rPr>
          <w:rFonts w:hint="eastAsia" w:ascii="宋体" w:hAnsi="宋体" w:eastAsia="宋体"/>
          <w:sz w:val="24"/>
        </w:rPr>
        <w:t>对</w:t>
      </w:r>
      <w:r>
        <w:rPr>
          <w:rFonts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rPr>
        <w:t>项目进行了采购。经</w:t>
      </w:r>
      <w:r>
        <w:rPr>
          <w:rFonts w:ascii="宋体" w:hAnsi="宋体" w:eastAsia="宋体"/>
          <w:sz w:val="24"/>
          <w:u w:val="single"/>
        </w:rPr>
        <w:t xml:space="preserve">  </w:t>
      </w:r>
      <w:r>
        <w:rPr>
          <w:rFonts w:hint="eastAsia" w:ascii="宋体" w:hAnsi="宋体"/>
          <w:sz w:val="24"/>
          <w:u w:val="single"/>
          <w:lang w:eastAsia="zh-CN"/>
        </w:rPr>
        <w:t>评审小组</w:t>
      </w:r>
      <w:r>
        <w:rPr>
          <w:rFonts w:ascii="宋体" w:hAnsi="宋体" w:eastAsia="宋体"/>
          <w:sz w:val="24"/>
          <w:u w:val="single"/>
        </w:rPr>
        <w:t xml:space="preserve">  </w:t>
      </w:r>
      <w:r>
        <w:rPr>
          <w:rFonts w:hint="eastAsia" w:ascii="宋体" w:hAnsi="宋体" w:eastAsia="宋体"/>
          <w:sz w:val="24"/>
        </w:rPr>
        <w:t>评定，</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为该项目中标供应商。现于中标通知书发出之日起</w:t>
      </w:r>
      <w:r>
        <w:rPr>
          <w:rFonts w:hint="eastAsia" w:ascii="宋体" w:hAnsi="宋体" w:eastAsia="宋体"/>
          <w:sz w:val="24"/>
          <w:lang w:val="en-US" w:eastAsia="zh-CN"/>
        </w:rPr>
        <w:t>七</w:t>
      </w:r>
      <w:r>
        <w:rPr>
          <w:rFonts w:hint="eastAsia" w:ascii="宋体" w:hAnsi="宋体" w:eastAsia="宋体"/>
          <w:sz w:val="24"/>
        </w:rPr>
        <w:t>日内，按照采购文件确定的事项签订本合同。</w:t>
      </w:r>
    </w:p>
    <w:p w14:paraId="34A8F69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hint="eastAsia" w:ascii="宋体" w:hAnsi="宋体" w:eastAsia="宋体"/>
          <w:sz w:val="24"/>
          <w:u w:val="single"/>
        </w:rPr>
        <w:t>桐庐县森林湿地和自然保护地管理总站</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4723F322">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0"/>
        <w:rPr>
          <w:rFonts w:ascii="宋体" w:hAnsi="宋体" w:eastAsia="宋体"/>
          <w:sz w:val="24"/>
        </w:rPr>
      </w:pPr>
      <w:bookmarkStart w:id="80" w:name="_Toc22967"/>
      <w:bookmarkStart w:id="81" w:name="_Toc15367"/>
      <w:bookmarkStart w:id="82" w:name="_Toc20421"/>
      <w:bookmarkStart w:id="83" w:name="_Toc28855"/>
      <w:bookmarkStart w:id="84" w:name="_Toc19273"/>
      <w:r>
        <w:rPr>
          <w:rFonts w:ascii="宋体" w:hAnsi="宋体" w:eastAsia="宋体"/>
          <w:b/>
          <w:sz w:val="24"/>
        </w:rPr>
        <w:t xml:space="preserve">1.1 </w:t>
      </w:r>
      <w:r>
        <w:rPr>
          <w:rFonts w:hint="eastAsia" w:ascii="宋体" w:hAnsi="宋体" w:eastAsia="宋体"/>
          <w:b/>
          <w:sz w:val="24"/>
        </w:rPr>
        <w:t>合同组成部分</w:t>
      </w:r>
      <w:bookmarkEnd w:id="80"/>
      <w:bookmarkEnd w:id="81"/>
      <w:bookmarkEnd w:id="82"/>
      <w:bookmarkEnd w:id="83"/>
      <w:bookmarkEnd w:id="84"/>
    </w:p>
    <w:p w14:paraId="0657008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C6FAC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2017B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9356C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19C6E8B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322682D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2161B3D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b/>
          <w:sz w:val="24"/>
          <w:highlight w:val="none"/>
        </w:rPr>
      </w:pPr>
      <w:r>
        <w:rPr>
          <w:rFonts w:hint="eastAsia" w:ascii="宋体" w:hAnsi="宋体"/>
          <w:b/>
          <w:sz w:val="24"/>
          <w:highlight w:val="none"/>
          <w:lang w:val="en-US" w:eastAsia="zh-CN"/>
        </w:rPr>
        <w:t>2.</w:t>
      </w:r>
      <w:r>
        <w:rPr>
          <w:rFonts w:ascii="宋体" w:hAnsi="宋体"/>
          <w:b/>
          <w:sz w:val="24"/>
          <w:highlight w:val="none"/>
        </w:rPr>
        <w:t>定义</w:t>
      </w:r>
    </w:p>
    <w:p w14:paraId="5ADE13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077667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2.1</w:t>
      </w:r>
      <w:r>
        <w:rPr>
          <w:rFonts w:ascii="宋体" w:hAnsi="宋体"/>
          <w:sz w:val="24"/>
          <w:highlight w:val="none"/>
        </w:rPr>
        <w:t>“合同”系指采购人和中标供应商签订的载明双方当事人所达成的协议，并包括所有的附件、附录和构成合同的其他文件。</w:t>
      </w:r>
    </w:p>
    <w:p w14:paraId="51BA27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26AB56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2.3</w:t>
      </w:r>
      <w:r>
        <w:rPr>
          <w:rFonts w:ascii="宋体" w:hAnsi="宋体"/>
          <w:sz w:val="24"/>
          <w:highlight w:val="none"/>
        </w:rPr>
        <w:t xml:space="preserve"> “</w:t>
      </w:r>
      <w:r>
        <w:rPr>
          <w:rFonts w:hint="eastAsia" w:ascii="宋体" w:hAnsi="宋体"/>
          <w:sz w:val="24"/>
          <w:highlight w:val="none"/>
        </w:rPr>
        <w:t>服务</w:t>
      </w:r>
      <w:r>
        <w:rPr>
          <w:rFonts w:ascii="宋体" w:hAnsi="宋体"/>
          <w:sz w:val="24"/>
          <w:highlight w:val="none"/>
        </w:rPr>
        <w:t>”系指</w:t>
      </w:r>
      <w:r>
        <w:rPr>
          <w:rFonts w:hint="eastAsia" w:ascii="宋体" w:hAnsi="宋体"/>
          <w:sz w:val="24"/>
          <w:highlight w:val="none"/>
        </w:rPr>
        <w:t>中标供应商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2E7BDB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5198A7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.5 “乙方”系指根据合同约定提供服务的中标供应商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7E17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highlight w:val="none"/>
        </w:rPr>
      </w:pPr>
      <w:r>
        <w:rPr>
          <w:rFonts w:hint="eastAsia" w:ascii="宋体" w:hAnsi="宋体"/>
          <w:sz w:val="24"/>
          <w:highlight w:val="none"/>
          <w:lang w:val="en-US" w:eastAsia="zh-CN"/>
        </w:rPr>
        <w:t>2</w:t>
      </w:r>
      <w:r>
        <w:rPr>
          <w:rFonts w:ascii="宋体" w:hAnsi="宋体"/>
          <w:sz w:val="24"/>
          <w:highlight w:val="none"/>
        </w:rPr>
        <w:t>.6 “现场”系指合同约定提供服务的地点。</w:t>
      </w:r>
    </w:p>
    <w:p w14:paraId="20B59A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b/>
          <w:sz w:val="24"/>
        </w:rPr>
      </w:pPr>
      <w:bookmarkStart w:id="85" w:name="_Toc18585"/>
      <w:bookmarkStart w:id="86" w:name="_Toc6773"/>
      <w:bookmarkStart w:id="87" w:name="_Toc6311"/>
      <w:bookmarkStart w:id="88" w:name="_Toc2918"/>
      <w:bookmarkStart w:id="89" w:name="_Toc22185"/>
      <w:r>
        <w:rPr>
          <w:rFonts w:hint="eastAsia" w:ascii="宋体" w:hAnsi="宋体"/>
          <w:b/>
          <w:sz w:val="24"/>
          <w:lang w:val="en-US" w:eastAsia="zh-CN"/>
        </w:rPr>
        <w:t>3.</w:t>
      </w:r>
      <w:r>
        <w:rPr>
          <w:rFonts w:hint="eastAsia" w:ascii="宋体" w:hAnsi="宋体"/>
          <w:b/>
          <w:sz w:val="24"/>
        </w:rPr>
        <w:t>标的</w:t>
      </w:r>
      <w:bookmarkEnd w:id="85"/>
      <w:bookmarkEnd w:id="86"/>
      <w:bookmarkEnd w:id="87"/>
      <w:bookmarkEnd w:id="88"/>
      <w:bookmarkEnd w:id="89"/>
    </w:p>
    <w:p w14:paraId="40487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3</w:t>
      </w:r>
      <w:r>
        <w:rPr>
          <w:rFonts w:ascii="宋体" w:hAnsi="宋体"/>
          <w:sz w:val="24"/>
        </w:rPr>
        <w:t xml:space="preserve">.1 </w:t>
      </w:r>
      <w:r>
        <w:rPr>
          <w:rFonts w:hint="eastAsia" w:ascii="宋体" w:hAnsi="宋体"/>
          <w:sz w:val="24"/>
        </w:rPr>
        <w:t>标的</w:t>
      </w:r>
      <w:r>
        <w:rPr>
          <w:rFonts w:ascii="宋体" w:hAnsi="宋体"/>
          <w:sz w:val="24"/>
        </w:rPr>
        <w:t>名称：</w:t>
      </w:r>
      <w:r>
        <w:rPr>
          <w:rFonts w:hint="eastAsia" w:ascii="宋体" w:hAnsi="宋体"/>
          <w:sz w:val="24"/>
          <w:u w:val="single"/>
          <w:lang w:val="en-US" w:eastAsia="zh-CN"/>
        </w:rPr>
        <w:t xml:space="preserve">                          </w:t>
      </w:r>
      <w:r>
        <w:rPr>
          <w:rFonts w:hint="eastAsia" w:ascii="宋体" w:hAnsi="宋体"/>
          <w:sz w:val="24"/>
        </w:rPr>
        <w:t>；</w:t>
      </w:r>
    </w:p>
    <w:p w14:paraId="20128C3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2</w:t>
      </w:r>
      <w:r>
        <w:rPr>
          <w:rFonts w:ascii="宋体" w:hAnsi="宋体"/>
          <w:sz w:val="24"/>
        </w:rPr>
        <w:t xml:space="preserve"> </w:t>
      </w:r>
      <w:r>
        <w:rPr>
          <w:rFonts w:hint="eastAsia" w:ascii="宋体" w:hAnsi="宋体"/>
          <w:sz w:val="24"/>
          <w:lang w:val="en-US" w:eastAsia="zh-CN"/>
        </w:rPr>
        <w:t>标的内容及提交成果要求：</w:t>
      </w:r>
    </w:p>
    <w:p w14:paraId="6291184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lang w:val="en-US" w:eastAsia="zh-CN"/>
        </w:rPr>
      </w:pPr>
      <w:r>
        <w:rPr>
          <w:rFonts w:hint="eastAsia" w:ascii="宋体" w:hAnsi="宋体"/>
          <w:sz w:val="24"/>
          <w:lang w:val="en-US" w:eastAsia="zh-CN"/>
        </w:rPr>
        <w:t>（按第四部分 采购需求相关规定）</w:t>
      </w:r>
    </w:p>
    <w:p w14:paraId="080338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b/>
          <w:sz w:val="24"/>
        </w:rPr>
      </w:pPr>
      <w:bookmarkStart w:id="90" w:name="_Toc5635"/>
      <w:bookmarkStart w:id="91" w:name="_Toc4929"/>
      <w:bookmarkStart w:id="92" w:name="_Toc1386"/>
      <w:bookmarkStart w:id="93" w:name="_Toc13918"/>
      <w:bookmarkStart w:id="94" w:name="_Toc21124"/>
      <w:r>
        <w:rPr>
          <w:rFonts w:hint="eastAsia" w:ascii="宋体" w:hAnsi="宋体"/>
          <w:b/>
          <w:sz w:val="24"/>
          <w:lang w:val="en-US" w:eastAsia="zh-CN"/>
        </w:rPr>
        <w:t>4.</w:t>
      </w:r>
      <w:r>
        <w:rPr>
          <w:rFonts w:ascii="宋体" w:hAnsi="宋体"/>
          <w:b/>
          <w:sz w:val="24"/>
        </w:rPr>
        <w:t>价款</w:t>
      </w:r>
      <w:bookmarkEnd w:id="90"/>
      <w:bookmarkEnd w:id="91"/>
      <w:bookmarkEnd w:id="92"/>
      <w:bookmarkEnd w:id="93"/>
      <w:bookmarkEnd w:id="94"/>
    </w:p>
    <w:p w14:paraId="7AD00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本合同总价为</w:t>
      </w:r>
      <w:r>
        <w:rPr>
          <w:rFonts w:hint="eastAsia" w:ascii="宋体" w:hAnsi="宋体"/>
          <w:sz w:val="24"/>
        </w:rPr>
        <w:t>：￥</w:t>
      </w:r>
      <w:r>
        <w:rPr>
          <w:rFonts w:hint="eastAsia" w:ascii="宋体" w:hAnsi="宋体"/>
          <w:sz w:val="24"/>
          <w:u w:val="single"/>
          <w:lang w:val="en-US" w:eastAsia="zh-CN"/>
        </w:rPr>
        <w:t xml:space="preserve">        </w:t>
      </w:r>
      <w:r>
        <w:rPr>
          <w:rFonts w:ascii="宋体" w:hAnsi="宋体"/>
          <w:sz w:val="24"/>
        </w:rPr>
        <w:t>元</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rPr>
        <w:t>元人民币）</w:t>
      </w:r>
      <w:r>
        <w:rPr>
          <w:rFonts w:ascii="宋体" w:hAnsi="宋体"/>
          <w:sz w:val="24"/>
        </w:rPr>
        <w:t>。</w:t>
      </w:r>
      <w:r>
        <w:rPr>
          <w:rFonts w:hint="eastAsia" w:ascii="宋体" w:hAnsi="宋体"/>
          <w:sz w:val="24"/>
          <w:lang w:val="en-US" w:eastAsia="zh-CN"/>
        </w:rPr>
        <w:t>本合同总价包含</w:t>
      </w:r>
      <w:r>
        <w:rPr>
          <w:rFonts w:hint="eastAsia" w:ascii="宋体" w:hAnsi="宋体"/>
          <w:sz w:val="24"/>
        </w:rPr>
        <w:t>有关本项目实施所需的所有费用（含项目招标代理费、税费、</w:t>
      </w:r>
      <w:r>
        <w:rPr>
          <w:rFonts w:hint="eastAsia" w:ascii="宋体" w:hAnsi="宋体"/>
          <w:sz w:val="24"/>
          <w:lang w:val="en-US" w:eastAsia="zh-CN"/>
        </w:rPr>
        <w:t>专家</w:t>
      </w:r>
      <w:r>
        <w:rPr>
          <w:rFonts w:hint="eastAsia" w:ascii="宋体" w:hAnsi="宋体"/>
          <w:sz w:val="24"/>
        </w:rPr>
        <w:t>评审费、资料收集费</w:t>
      </w:r>
      <w:r>
        <w:rPr>
          <w:rFonts w:hint="eastAsia" w:ascii="宋体" w:hAnsi="宋体"/>
          <w:sz w:val="24"/>
          <w:lang w:eastAsia="zh-CN"/>
        </w:rPr>
        <w:t>、</w:t>
      </w:r>
      <w:r>
        <w:rPr>
          <w:rFonts w:hint="eastAsia" w:ascii="宋体" w:hAnsi="宋体"/>
          <w:sz w:val="24"/>
          <w:lang w:val="en-US" w:eastAsia="zh-CN"/>
        </w:rPr>
        <w:t>外业调查费、内业处理费、成果装订费、成果修正费</w:t>
      </w:r>
      <w:r>
        <w:rPr>
          <w:rFonts w:hint="eastAsia" w:ascii="宋体" w:hAnsi="宋体"/>
          <w:sz w:val="24"/>
        </w:rPr>
        <w:t>及其它所有费用）。</w:t>
      </w:r>
    </w:p>
    <w:p w14:paraId="1C8260E2">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1B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74AD9E">
            <w:pPr>
              <w:pStyle w:val="623"/>
              <w:spacing w:line="560" w:lineRule="exact"/>
              <w:jc w:val="center"/>
              <w:rPr>
                <w:rFonts w:hAnsi="宋体"/>
                <w:sz w:val="24"/>
                <w:szCs w:val="24"/>
              </w:rPr>
            </w:pPr>
            <w:r>
              <w:rPr>
                <w:rFonts w:hAnsi="宋体"/>
                <w:sz w:val="24"/>
                <w:szCs w:val="24"/>
              </w:rPr>
              <w:t>序号</w:t>
            </w:r>
          </w:p>
        </w:tc>
        <w:tc>
          <w:tcPr>
            <w:tcW w:w="3402" w:type="dxa"/>
            <w:noWrap w:val="0"/>
            <w:vAlign w:val="center"/>
          </w:tcPr>
          <w:p w14:paraId="4BE68B74">
            <w:pPr>
              <w:pStyle w:val="623"/>
              <w:spacing w:line="560" w:lineRule="exact"/>
              <w:jc w:val="center"/>
              <w:rPr>
                <w:rFonts w:hAnsi="宋体"/>
                <w:sz w:val="24"/>
                <w:szCs w:val="24"/>
              </w:rPr>
            </w:pPr>
            <w:r>
              <w:rPr>
                <w:rFonts w:hint="eastAsia" w:hAnsi="宋体"/>
                <w:sz w:val="24"/>
                <w:szCs w:val="24"/>
              </w:rPr>
              <w:t>分项名称</w:t>
            </w:r>
          </w:p>
        </w:tc>
        <w:tc>
          <w:tcPr>
            <w:tcW w:w="2552" w:type="dxa"/>
            <w:noWrap w:val="0"/>
            <w:vAlign w:val="center"/>
          </w:tcPr>
          <w:p w14:paraId="1F7B18A0">
            <w:pPr>
              <w:pStyle w:val="623"/>
              <w:spacing w:line="560" w:lineRule="exact"/>
              <w:jc w:val="center"/>
              <w:rPr>
                <w:rFonts w:hAnsi="宋体"/>
                <w:sz w:val="24"/>
                <w:szCs w:val="24"/>
              </w:rPr>
            </w:pPr>
            <w:r>
              <w:rPr>
                <w:rFonts w:hAnsi="宋体"/>
                <w:sz w:val="24"/>
                <w:szCs w:val="24"/>
              </w:rPr>
              <w:t>分项价格</w:t>
            </w:r>
          </w:p>
        </w:tc>
      </w:tr>
      <w:tr w14:paraId="27C7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AB61220">
            <w:pPr>
              <w:pStyle w:val="623"/>
              <w:spacing w:line="560" w:lineRule="exact"/>
              <w:jc w:val="center"/>
              <w:rPr>
                <w:rFonts w:hint="eastAsia" w:hAnsi="宋体"/>
                <w:sz w:val="24"/>
                <w:szCs w:val="24"/>
              </w:rPr>
            </w:pPr>
            <w:r>
              <w:rPr>
                <w:rFonts w:hint="eastAsia" w:hAnsi="宋体"/>
                <w:sz w:val="24"/>
                <w:szCs w:val="24"/>
              </w:rPr>
              <w:t>1</w:t>
            </w:r>
          </w:p>
        </w:tc>
        <w:tc>
          <w:tcPr>
            <w:tcW w:w="3402" w:type="dxa"/>
            <w:noWrap w:val="0"/>
            <w:vAlign w:val="center"/>
          </w:tcPr>
          <w:p w14:paraId="7B8B0A48">
            <w:pPr>
              <w:pStyle w:val="6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eastAsia="宋体"/>
                <w:sz w:val="24"/>
                <w:szCs w:val="24"/>
                <w:lang w:eastAsia="zh-CN"/>
              </w:rPr>
            </w:pPr>
          </w:p>
        </w:tc>
        <w:tc>
          <w:tcPr>
            <w:tcW w:w="2552" w:type="dxa"/>
            <w:noWrap w:val="0"/>
            <w:vAlign w:val="center"/>
          </w:tcPr>
          <w:p w14:paraId="1C0622BE">
            <w:pPr>
              <w:pStyle w:val="623"/>
              <w:spacing w:line="560" w:lineRule="exact"/>
              <w:jc w:val="center"/>
              <w:rPr>
                <w:rFonts w:hint="default" w:hAnsi="宋体" w:eastAsia="宋体"/>
                <w:sz w:val="24"/>
                <w:szCs w:val="24"/>
                <w:lang w:val="en-US" w:eastAsia="zh-CN"/>
              </w:rPr>
            </w:pPr>
            <w:r>
              <w:rPr>
                <w:rFonts w:hint="eastAsia" w:hAnsi="宋体"/>
                <w:sz w:val="24"/>
                <w:szCs w:val="24"/>
                <w:lang w:val="en-US" w:eastAsia="zh-CN"/>
              </w:rPr>
              <w:t>元</w:t>
            </w:r>
          </w:p>
        </w:tc>
      </w:tr>
      <w:tr w14:paraId="5961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03" w:type="dxa"/>
            <w:gridSpan w:val="2"/>
            <w:noWrap w:val="0"/>
            <w:vAlign w:val="center"/>
          </w:tcPr>
          <w:p w14:paraId="7A6D8E22">
            <w:pPr>
              <w:pStyle w:val="623"/>
              <w:spacing w:line="560" w:lineRule="exact"/>
              <w:jc w:val="center"/>
              <w:rPr>
                <w:rFonts w:hAnsi="宋体"/>
                <w:sz w:val="24"/>
                <w:szCs w:val="24"/>
              </w:rPr>
            </w:pPr>
            <w:r>
              <w:rPr>
                <w:rFonts w:hint="eastAsia" w:hAnsi="宋体"/>
                <w:sz w:val="24"/>
                <w:szCs w:val="24"/>
              </w:rPr>
              <w:t>总价</w:t>
            </w:r>
          </w:p>
        </w:tc>
        <w:tc>
          <w:tcPr>
            <w:tcW w:w="2552" w:type="dxa"/>
            <w:noWrap w:val="0"/>
            <w:vAlign w:val="center"/>
          </w:tcPr>
          <w:p w14:paraId="232F4D47">
            <w:pPr>
              <w:pStyle w:val="623"/>
              <w:spacing w:line="560" w:lineRule="exact"/>
              <w:jc w:val="center"/>
              <w:rPr>
                <w:rFonts w:hint="default" w:hAnsi="宋体" w:eastAsia="宋体"/>
                <w:sz w:val="24"/>
                <w:szCs w:val="24"/>
                <w:lang w:val="en-US" w:eastAsia="zh-CN"/>
              </w:rPr>
            </w:pPr>
            <w:r>
              <w:rPr>
                <w:rFonts w:hint="eastAsia" w:hAnsi="宋体"/>
                <w:sz w:val="24"/>
                <w:szCs w:val="24"/>
                <w:lang w:val="en-US" w:eastAsia="zh-CN"/>
              </w:rPr>
              <w:t>元</w:t>
            </w:r>
          </w:p>
        </w:tc>
      </w:tr>
    </w:tbl>
    <w:p w14:paraId="5065170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bookmarkStart w:id="95" w:name="_Toc30506"/>
      <w:bookmarkStart w:id="96" w:name="_Toc26916"/>
      <w:bookmarkStart w:id="97" w:name="_Toc14993"/>
      <w:bookmarkStart w:id="98" w:name="_Toc3654"/>
      <w:bookmarkStart w:id="99" w:name="_Toc30158"/>
      <w:r>
        <w:rPr>
          <w:rFonts w:hint="eastAsia" w:ascii="宋体" w:hAnsi="宋体" w:eastAsia="宋体" w:cs="Times New Roman"/>
          <w:b/>
          <w:sz w:val="24"/>
          <w:lang w:val="en-US" w:eastAsia="zh-CN"/>
        </w:rPr>
        <w:t>5.付款方式和发票开</w:t>
      </w:r>
      <w:r>
        <w:rPr>
          <w:rFonts w:ascii="宋体" w:hAnsi="宋体"/>
          <w:b/>
          <w:sz w:val="24"/>
        </w:rPr>
        <w:t>具方式</w:t>
      </w:r>
      <w:bookmarkEnd w:id="95"/>
      <w:bookmarkEnd w:id="96"/>
      <w:bookmarkEnd w:id="97"/>
      <w:bookmarkEnd w:id="98"/>
      <w:bookmarkEnd w:id="99"/>
    </w:p>
    <w:p w14:paraId="370624B6">
      <w:pPr>
        <w:pStyle w:val="63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cs="Times New Roman"/>
        </w:rPr>
      </w:pPr>
      <w:r>
        <w:rPr>
          <w:rFonts w:hint="eastAsia" w:cs="Times New Roman"/>
          <w:lang w:val="en-US" w:eastAsia="zh-CN"/>
        </w:rPr>
        <w:t>5</w:t>
      </w:r>
      <w:r>
        <w:rPr>
          <w:rFonts w:cs="Times New Roman"/>
        </w:rPr>
        <w:t>.1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2BC7535D">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5.2资金支付的方式、时间和条件：合同签订7日内支付合同金额的60%，提交正式全部成果（经报批通过的）并通过履约服务验收合格后支付剩余款项。</w:t>
      </w:r>
    </w:p>
    <w:p w14:paraId="48EAABD4">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b/>
          <w:sz w:val="24"/>
        </w:rPr>
      </w:pPr>
      <w:bookmarkStart w:id="100" w:name="_Toc31421"/>
      <w:bookmarkStart w:id="101" w:name="_Toc8772"/>
      <w:bookmarkStart w:id="102" w:name="_Toc11108"/>
      <w:bookmarkStart w:id="103" w:name="_Toc3625"/>
      <w:bookmarkStart w:id="104" w:name="_Toc4760"/>
      <w:r>
        <w:rPr>
          <w:rFonts w:hint="eastAsia" w:ascii="宋体" w:hAnsi="宋体"/>
          <w:b/>
          <w:sz w:val="24"/>
          <w:lang w:val="en-US" w:eastAsia="zh-CN"/>
        </w:rPr>
        <w:t>6.</w:t>
      </w:r>
      <w:r>
        <w:rPr>
          <w:rFonts w:ascii="宋体" w:hAnsi="宋体"/>
          <w:b/>
          <w:sz w:val="24"/>
        </w:rPr>
        <w:t>履行期限</w:t>
      </w:r>
      <w:r>
        <w:rPr>
          <w:rFonts w:hint="eastAsia" w:ascii="宋体" w:hAnsi="宋体"/>
          <w:b/>
          <w:sz w:val="24"/>
        </w:rPr>
        <w:t>、地点</w:t>
      </w:r>
      <w:bookmarkEnd w:id="100"/>
      <w:bookmarkEnd w:id="101"/>
      <w:bookmarkEnd w:id="102"/>
      <w:bookmarkEnd w:id="103"/>
      <w:bookmarkEnd w:id="104"/>
    </w:p>
    <w:p w14:paraId="3B77EB5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u w:val="single"/>
        </w:rPr>
      </w:pPr>
      <w:r>
        <w:rPr>
          <w:rFonts w:hint="eastAsia" w:ascii="宋体" w:hAnsi="宋体"/>
          <w:sz w:val="24"/>
          <w:lang w:val="en-US" w:eastAsia="zh-CN"/>
        </w:rPr>
        <w:t>6</w:t>
      </w:r>
      <w:r>
        <w:rPr>
          <w:rFonts w:ascii="宋体" w:hAnsi="宋体"/>
          <w:sz w:val="24"/>
        </w:rPr>
        <w:t xml:space="preserve">.1 </w:t>
      </w:r>
      <w:r>
        <w:rPr>
          <w:rFonts w:hint="eastAsia" w:ascii="宋体" w:hAnsi="宋体"/>
          <w:sz w:val="24"/>
        </w:rPr>
        <w:t>履行期限</w:t>
      </w:r>
      <w:r>
        <w:rPr>
          <w:rFonts w:ascii="宋体" w:hAnsi="宋体"/>
          <w:sz w:val="24"/>
        </w:rPr>
        <w:t>：</w:t>
      </w:r>
      <w:r>
        <w:rPr>
          <w:rFonts w:hint="eastAsia" w:ascii="宋体" w:hAnsi="宋体" w:eastAsia="宋体" w:cs="宋体"/>
          <w:bCs/>
          <w:color w:val="auto"/>
          <w:sz w:val="24"/>
          <w:u w:val="single"/>
          <w:lang w:eastAsia="zh-CN"/>
        </w:rPr>
        <w:t>在</w:t>
      </w:r>
      <w:r>
        <w:rPr>
          <w:rFonts w:hint="eastAsia" w:ascii="宋体" w:hAnsi="宋体" w:eastAsia="宋体" w:cs="宋体"/>
          <w:bCs/>
          <w:color w:val="auto"/>
          <w:sz w:val="24"/>
          <w:u w:val="single"/>
          <w:lang w:val="en-US" w:eastAsia="zh-CN"/>
        </w:rPr>
        <w:t>2025</w:t>
      </w:r>
      <w:r>
        <w:rPr>
          <w:rFonts w:hint="eastAsia" w:ascii="宋体" w:hAnsi="宋体" w:eastAsia="宋体" w:cs="宋体"/>
          <w:bCs/>
          <w:color w:val="auto"/>
          <w:sz w:val="24"/>
          <w:u w:val="single"/>
          <w:lang w:eastAsia="zh-CN"/>
        </w:rPr>
        <w:t>年</w:t>
      </w:r>
      <w:r>
        <w:rPr>
          <w:rFonts w:hint="eastAsia" w:ascii="宋体" w:hAnsi="宋体" w:eastAsia="宋体" w:cs="宋体"/>
          <w:bCs/>
          <w:color w:val="auto"/>
          <w:sz w:val="24"/>
          <w:u w:val="single"/>
          <w:lang w:val="en-US" w:eastAsia="zh-CN"/>
        </w:rPr>
        <w:t>9</w:t>
      </w:r>
      <w:r>
        <w:rPr>
          <w:rFonts w:hint="eastAsia" w:ascii="宋体" w:hAnsi="宋体" w:eastAsia="宋体" w:cs="宋体"/>
          <w:bCs/>
          <w:color w:val="auto"/>
          <w:sz w:val="24"/>
          <w:u w:val="single"/>
          <w:lang w:eastAsia="zh-CN"/>
        </w:rPr>
        <w:t>月</w:t>
      </w:r>
      <w:r>
        <w:rPr>
          <w:rFonts w:hint="eastAsia" w:ascii="宋体" w:hAnsi="宋体" w:eastAsia="宋体" w:cs="宋体"/>
          <w:bCs/>
          <w:color w:val="auto"/>
          <w:sz w:val="24"/>
          <w:u w:val="single"/>
          <w:lang w:val="en-US" w:eastAsia="zh-CN"/>
        </w:rPr>
        <w:t>30</w:t>
      </w:r>
      <w:r>
        <w:rPr>
          <w:rFonts w:hint="eastAsia" w:ascii="宋体" w:hAnsi="宋体" w:eastAsia="宋体" w:cs="宋体"/>
          <w:bCs/>
          <w:color w:val="auto"/>
          <w:sz w:val="24"/>
          <w:u w:val="single"/>
          <w:lang w:eastAsia="zh-CN"/>
        </w:rPr>
        <w:t>日之前</w:t>
      </w:r>
      <w:r>
        <w:rPr>
          <w:rFonts w:hint="eastAsia" w:ascii="宋体" w:hAnsi="宋体" w:eastAsia="宋体" w:cs="宋体"/>
          <w:bCs/>
          <w:color w:val="auto"/>
          <w:sz w:val="24"/>
          <w:u w:val="single"/>
          <w:lang w:val="en-US" w:eastAsia="zh-CN"/>
        </w:rPr>
        <w:t>完成项目工作并</w:t>
      </w:r>
      <w:r>
        <w:rPr>
          <w:rFonts w:hint="eastAsia" w:ascii="宋体" w:hAnsi="宋体" w:eastAsia="宋体" w:cs="宋体"/>
          <w:bCs/>
          <w:color w:val="auto"/>
          <w:sz w:val="24"/>
          <w:u w:val="single"/>
          <w:lang w:eastAsia="zh-CN"/>
        </w:rPr>
        <w:t>提交项目完整</w:t>
      </w:r>
      <w:r>
        <w:rPr>
          <w:rFonts w:hint="eastAsia" w:ascii="宋体" w:hAnsi="宋体" w:eastAsia="宋体" w:cs="宋体"/>
          <w:bCs/>
          <w:color w:val="auto"/>
          <w:sz w:val="24"/>
          <w:u w:val="single"/>
          <w:lang w:val="en-US" w:eastAsia="zh-CN"/>
        </w:rPr>
        <w:t>资料</w:t>
      </w:r>
      <w:r>
        <w:rPr>
          <w:rFonts w:hint="eastAsia" w:ascii="宋体" w:hAnsi="宋体" w:eastAsia="宋体" w:cs="宋体"/>
          <w:bCs/>
          <w:color w:val="auto"/>
          <w:sz w:val="24"/>
          <w:u w:val="single"/>
          <w:lang w:eastAsia="zh-CN"/>
        </w:rPr>
        <w:t>成果，</w:t>
      </w:r>
      <w:r>
        <w:rPr>
          <w:rFonts w:hint="eastAsia" w:ascii="宋体" w:hAnsi="宋体" w:eastAsia="宋体" w:cs="宋体"/>
          <w:bCs/>
          <w:color w:val="auto"/>
          <w:sz w:val="24"/>
          <w:u w:val="single"/>
          <w:lang w:val="en-US" w:eastAsia="zh-CN"/>
        </w:rPr>
        <w:t>可供委托方最终验收</w:t>
      </w:r>
      <w:r>
        <w:rPr>
          <w:rFonts w:hint="eastAsia" w:ascii="宋体" w:hAnsi="宋体" w:eastAsia="宋体" w:cs="宋体"/>
          <w:bCs/>
          <w:color w:val="auto"/>
          <w:sz w:val="24"/>
          <w:u w:val="single"/>
          <w:lang w:eastAsia="zh-CN"/>
        </w:rPr>
        <w:t>。</w:t>
      </w:r>
    </w:p>
    <w:p w14:paraId="48D3D09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6</w:t>
      </w:r>
      <w:r>
        <w:rPr>
          <w:rFonts w:ascii="宋体" w:hAnsi="宋体"/>
          <w:sz w:val="24"/>
        </w:rPr>
        <w:t xml:space="preserve">.2 </w:t>
      </w:r>
      <w:r>
        <w:rPr>
          <w:rFonts w:hint="eastAsia" w:ascii="宋体" w:hAnsi="宋体"/>
          <w:sz w:val="24"/>
        </w:rPr>
        <w:t>履行地点</w:t>
      </w:r>
      <w:r>
        <w:rPr>
          <w:rFonts w:ascii="宋体" w:hAnsi="宋体"/>
          <w:sz w:val="24"/>
        </w:rPr>
        <w:t>：</w:t>
      </w:r>
      <w:r>
        <w:rPr>
          <w:rFonts w:hint="eastAsia" w:ascii="宋体" w:hAnsi="宋体" w:eastAsia="宋体" w:cs="Helvetica"/>
          <w:kern w:val="0"/>
          <w:sz w:val="24"/>
          <w:szCs w:val="24"/>
          <w:u w:val="single"/>
        </w:rPr>
        <w:t>桐庐县</w:t>
      </w:r>
      <w:r>
        <w:rPr>
          <w:rFonts w:hint="eastAsia" w:ascii="宋体" w:hAnsi="宋体" w:eastAsia="宋体" w:cs="Helvetica"/>
          <w:kern w:val="0"/>
          <w:sz w:val="24"/>
          <w:szCs w:val="24"/>
        </w:rPr>
        <w:t>；</w:t>
      </w:r>
    </w:p>
    <w:p w14:paraId="7835834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7.</w:t>
      </w:r>
      <w:r>
        <w:rPr>
          <w:rFonts w:ascii="宋体" w:hAnsi="宋体"/>
          <w:b/>
          <w:sz w:val="24"/>
        </w:rPr>
        <w:t>技术规范</w:t>
      </w:r>
    </w:p>
    <w:p w14:paraId="12E88EB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b/>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AD9B2D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8.</w:t>
      </w:r>
      <w:r>
        <w:rPr>
          <w:rFonts w:ascii="宋体" w:hAnsi="宋体"/>
          <w:b/>
          <w:sz w:val="24"/>
        </w:rPr>
        <w:t>知识产权</w:t>
      </w:r>
    </w:p>
    <w:p w14:paraId="47D90A4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60F69C9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.2 </w:t>
      </w:r>
      <w:r>
        <w:rPr>
          <w:rFonts w:hint="eastAsia" w:ascii="宋体" w:hAnsi="宋体" w:cs="宋体"/>
          <w:sz w:val="24"/>
        </w:rPr>
        <w:t>合同涉及技术成果的归属和收益归</w:t>
      </w:r>
      <w:r>
        <w:rPr>
          <w:rFonts w:hint="eastAsia" w:ascii="宋体" w:hAnsi="宋体" w:cs="宋体"/>
          <w:sz w:val="24"/>
          <w:lang w:val="en-US" w:eastAsia="zh-CN"/>
        </w:rPr>
        <w:t>甲方</w:t>
      </w:r>
      <w:r>
        <w:rPr>
          <w:rFonts w:hint="eastAsia" w:ascii="宋体" w:hAnsi="宋体" w:cs="宋体"/>
          <w:sz w:val="24"/>
        </w:rPr>
        <w:t>所有</w:t>
      </w:r>
      <w:r>
        <w:rPr>
          <w:rFonts w:ascii="宋体" w:hAnsi="宋体"/>
          <w:sz w:val="24"/>
        </w:rPr>
        <w:t>。</w:t>
      </w:r>
    </w:p>
    <w:p w14:paraId="61F77B7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9.</w:t>
      </w:r>
      <w:r>
        <w:rPr>
          <w:rFonts w:ascii="宋体" w:hAnsi="宋体"/>
          <w:b/>
          <w:sz w:val="24"/>
        </w:rPr>
        <w:t>技术资料和保密义务</w:t>
      </w:r>
    </w:p>
    <w:p w14:paraId="5D3BF04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.1 乙方有权依据合同约定和项目需要，向甲方了解有关情况，调阅有关资料等，甲方应予积极配合；</w:t>
      </w:r>
    </w:p>
    <w:p w14:paraId="4C864DE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 xml:space="preserve">.2 </w:t>
      </w:r>
      <w:r>
        <w:rPr>
          <w:rFonts w:hint="eastAsia" w:ascii="宋体" w:hAnsi="宋体"/>
          <w:sz w:val="24"/>
        </w:rPr>
        <w:t>乙方有义务妥善保管和保护由甲方提供的前款信息和资料等；</w:t>
      </w:r>
    </w:p>
    <w:p w14:paraId="31425BC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9</w:t>
      </w:r>
      <w:r>
        <w:rPr>
          <w:rFonts w:ascii="宋体" w:hAnsi="宋体"/>
          <w:sz w:val="24"/>
        </w:rPr>
        <w:t xml:space="preserve">.3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1A3E4F7">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10.</w:t>
      </w:r>
      <w:r>
        <w:rPr>
          <w:rFonts w:hint="eastAsia" w:ascii="宋体" w:hAnsi="宋体"/>
          <w:b/>
          <w:sz w:val="24"/>
        </w:rPr>
        <w:t>质量保证</w:t>
      </w:r>
    </w:p>
    <w:p w14:paraId="13F912C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.1 </w:t>
      </w:r>
      <w:r>
        <w:rPr>
          <w:rFonts w:hint="eastAsia" w:ascii="宋体" w:hAnsi="宋体"/>
          <w:sz w:val="24"/>
        </w:rPr>
        <w:t>乙方应建立和完善履行合同的内部质量保证体系，并提供相关内部规章制度给甲方，以便甲方进行监督检查；</w:t>
      </w:r>
    </w:p>
    <w:p w14:paraId="57717AA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.2 </w:t>
      </w:r>
      <w:r>
        <w:rPr>
          <w:rFonts w:hint="eastAsia" w:ascii="宋体" w:hAnsi="宋体"/>
          <w:sz w:val="24"/>
        </w:rPr>
        <w:t>乙方应保证履行合同的人员数量和素质、软件和硬件设备的配置、场地、环境和设施等满足全面履行合同的要求，并应接受甲方的监督检查。</w:t>
      </w:r>
    </w:p>
    <w:p w14:paraId="2BD30863">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11.</w:t>
      </w:r>
      <w:r>
        <w:rPr>
          <w:rFonts w:hint="eastAsia" w:ascii="宋体" w:hAnsi="宋体"/>
          <w:b/>
          <w:sz w:val="24"/>
        </w:rPr>
        <w:t>延迟履行</w:t>
      </w:r>
    </w:p>
    <w:p w14:paraId="2DED0EF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AF7A74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12.</w:t>
      </w:r>
      <w:r>
        <w:rPr>
          <w:rFonts w:hint="eastAsia" w:ascii="宋体" w:hAnsi="宋体"/>
          <w:b/>
          <w:sz w:val="24"/>
        </w:rPr>
        <w:t>合同变更</w:t>
      </w:r>
    </w:p>
    <w:p w14:paraId="2756756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E38D182">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13.</w:t>
      </w:r>
      <w:r>
        <w:rPr>
          <w:rFonts w:ascii="宋体" w:hAnsi="宋体"/>
          <w:b/>
          <w:sz w:val="24"/>
        </w:rPr>
        <w:t>合同转让和分包</w:t>
      </w:r>
    </w:p>
    <w:p w14:paraId="164B6E5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074AC52">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14.</w:t>
      </w:r>
      <w:r>
        <w:rPr>
          <w:rFonts w:ascii="宋体" w:hAnsi="宋体"/>
          <w:b/>
          <w:sz w:val="24"/>
        </w:rPr>
        <w:t>税费</w:t>
      </w:r>
    </w:p>
    <w:p w14:paraId="55A0CC6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92C75E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15.</w:t>
      </w:r>
      <w:r>
        <w:rPr>
          <w:rFonts w:ascii="宋体" w:hAnsi="宋体"/>
          <w:b/>
          <w:sz w:val="24"/>
        </w:rPr>
        <w:t>乙方破产</w:t>
      </w:r>
    </w:p>
    <w:p w14:paraId="4EB91AE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2FB4DB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16.</w:t>
      </w:r>
      <w:r>
        <w:rPr>
          <w:rFonts w:ascii="宋体" w:hAnsi="宋体"/>
          <w:b/>
          <w:sz w:val="24"/>
        </w:rPr>
        <w:t>合同中止、终止</w:t>
      </w:r>
    </w:p>
    <w:p w14:paraId="036901F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 xml:space="preserve">.1 </w:t>
      </w:r>
      <w:r>
        <w:rPr>
          <w:rFonts w:hint="eastAsia" w:ascii="宋体" w:hAnsi="宋体"/>
          <w:sz w:val="24"/>
        </w:rPr>
        <w:t>双方当事人不得擅自中止或者终止合同；</w:t>
      </w:r>
    </w:p>
    <w:p w14:paraId="60A9F2E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14:paraId="03B986C4">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17.</w:t>
      </w:r>
      <w:r>
        <w:rPr>
          <w:rFonts w:ascii="宋体" w:hAnsi="宋体"/>
          <w:b/>
          <w:sz w:val="24"/>
        </w:rPr>
        <w:t>检验和验收</w:t>
      </w:r>
    </w:p>
    <w:p w14:paraId="6EE52CBE">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.1 </w:t>
      </w:r>
      <w:r>
        <w:rPr>
          <w:rFonts w:hint="eastAsia" w:ascii="宋体" w:hAnsi="宋体"/>
          <w:sz w:val="24"/>
        </w:rPr>
        <w:t>乙方按照</w:t>
      </w:r>
      <w:r>
        <w:rPr>
          <w:rFonts w:hint="eastAsia" w:ascii="宋体" w:hAnsi="宋体" w:cs="宋体"/>
          <w:sz w:val="24"/>
        </w:rPr>
        <w:t>相关标准进行</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hint="eastAsia" w:ascii="宋体" w:hAnsi="宋体" w:cs="宋体"/>
          <w:sz w:val="24"/>
        </w:rPr>
        <w:t>按相关标准进行</w:t>
      </w:r>
      <w:r>
        <w:rPr>
          <w:rFonts w:ascii="宋体" w:hAnsi="宋体"/>
          <w:sz w:val="24"/>
        </w:rPr>
        <w:t>的约定进行定期验收</w:t>
      </w:r>
      <w:r>
        <w:rPr>
          <w:rFonts w:hint="eastAsia" w:ascii="宋体" w:hAnsi="宋体"/>
          <w:sz w:val="24"/>
        </w:rPr>
        <w:t>；</w:t>
      </w:r>
    </w:p>
    <w:p w14:paraId="11AF272C">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4A0271">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17</w:t>
      </w:r>
      <w:r>
        <w:rPr>
          <w:rFonts w:ascii="宋体" w:hAnsi="宋体"/>
          <w:sz w:val="24"/>
        </w:rPr>
        <w:t xml:space="preserve">.3 </w:t>
      </w:r>
      <w:r>
        <w:rPr>
          <w:rFonts w:hint="eastAsia" w:ascii="宋体" w:hAnsi="宋体"/>
          <w:sz w:val="24"/>
        </w:rPr>
        <w:t>检验和验收标准、程序等具体内容以及前述验收书的效力</w:t>
      </w:r>
      <w:r>
        <w:rPr>
          <w:rFonts w:hint="eastAsia" w:ascii="宋体" w:hAnsi="宋体" w:cs="宋体"/>
          <w:sz w:val="24"/>
          <w:lang w:val="en-US" w:eastAsia="zh-CN"/>
        </w:rPr>
        <w:t>按相关标准以及招标文件要求进行</w:t>
      </w:r>
      <w:r>
        <w:rPr>
          <w:rFonts w:hint="eastAsia" w:ascii="宋体" w:hAnsi="宋体"/>
          <w:i/>
          <w:sz w:val="24"/>
        </w:rPr>
        <w:t>。</w:t>
      </w:r>
    </w:p>
    <w:p w14:paraId="2AA5535E">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sz w:val="24"/>
          <w:u w:val="single"/>
        </w:rPr>
      </w:pPr>
      <w:bookmarkStart w:id="105" w:name="_Toc5698"/>
      <w:bookmarkStart w:id="106" w:name="_Toc3079"/>
      <w:bookmarkStart w:id="107" w:name="_Toc2375"/>
      <w:bookmarkStart w:id="108" w:name="_Toc24662"/>
      <w:bookmarkStart w:id="109" w:name="_Toc8586"/>
      <w:r>
        <w:rPr>
          <w:rFonts w:hint="eastAsia" w:ascii="宋体" w:hAnsi="宋体"/>
          <w:b/>
          <w:sz w:val="24"/>
          <w:lang w:val="en-US" w:eastAsia="zh-CN"/>
        </w:rPr>
        <w:t>18.</w:t>
      </w:r>
      <w:r>
        <w:rPr>
          <w:rFonts w:hint="eastAsia" w:ascii="宋体" w:hAnsi="宋体"/>
          <w:b/>
          <w:sz w:val="24"/>
        </w:rPr>
        <w:t>违约责任</w:t>
      </w:r>
      <w:bookmarkEnd w:id="105"/>
      <w:bookmarkEnd w:id="106"/>
      <w:bookmarkEnd w:id="107"/>
      <w:bookmarkEnd w:id="108"/>
      <w:bookmarkEnd w:id="109"/>
    </w:p>
    <w:p w14:paraId="38DE0F6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，违约金按每迟延履行一日的按本合同总价</w:t>
      </w:r>
      <w:r>
        <w:rPr>
          <w:rFonts w:ascii="宋体" w:hAnsi="宋体"/>
          <w:sz w:val="24"/>
        </w:rPr>
        <w:t>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p>
    <w:p w14:paraId="07EF79F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0944D2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w:t>
      </w:r>
      <w:r>
        <w:rPr>
          <w:rFonts w:hint="eastAsia" w:ascii="宋体" w:hAnsi="宋体"/>
          <w:sz w:val="24"/>
          <w:lang w:eastAsia="zh-CN"/>
        </w:rPr>
        <w:t>（</w:t>
      </w:r>
      <w:r>
        <w:rPr>
          <w:rFonts w:hint="eastAsia" w:ascii="宋体" w:hAnsi="宋体"/>
          <w:sz w:val="24"/>
          <w:lang w:val="en-US" w:eastAsia="zh-CN"/>
        </w:rPr>
        <w:t>合同金额的20%</w:t>
      </w:r>
      <w:r>
        <w:rPr>
          <w:rFonts w:hint="eastAsia" w:ascii="宋体" w:hAnsi="宋体"/>
          <w:sz w:val="24"/>
          <w:lang w:eastAsia="zh-CN"/>
        </w:rPr>
        <w:t>）</w:t>
      </w:r>
      <w:r>
        <w:rPr>
          <w:rFonts w:hint="eastAsia" w:ascii="宋体" w:hAnsi="宋体"/>
          <w:sz w:val="24"/>
        </w:rPr>
        <w:t>和按照己方实际损失情况要求违约方赔偿损失；</w:t>
      </w:r>
      <w:r>
        <w:rPr>
          <w:rFonts w:hint="eastAsia" w:ascii="宋体" w:hAnsi="宋体"/>
          <w:sz w:val="24"/>
          <w:lang w:val="en-US" w:eastAsia="zh-CN"/>
        </w:rPr>
        <w:t>如乙方违约结束本合同后，3日历天内返还已支付的预付款；</w:t>
      </w:r>
      <w:r>
        <w:rPr>
          <w:rFonts w:hint="eastAsia" w:ascii="宋体" w:hAnsi="宋体"/>
          <w:sz w:val="24"/>
        </w:rPr>
        <w:t>且守约方行使的任何权利救济方式均不视为其放弃了其他法定或者约定的权利救济方式；</w:t>
      </w:r>
    </w:p>
    <w:p w14:paraId="0C45391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B96DA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5如果出现政府采购监督管理部门在处理投诉事项期间，书面通知甲方暂停采购活动的情形，或者询问或质疑事项可能影响中标结果的，导致甲方中止履行合同的情形，均不视为甲方违约；</w:t>
      </w:r>
    </w:p>
    <w:p w14:paraId="2C4050CF">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19.</w:t>
      </w:r>
      <w:r>
        <w:rPr>
          <w:rFonts w:ascii="宋体" w:hAnsi="宋体"/>
          <w:b/>
          <w:sz w:val="24"/>
        </w:rPr>
        <w:t>不可抗力</w:t>
      </w:r>
    </w:p>
    <w:p w14:paraId="02036F1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47BD2D5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.2 </w:t>
      </w:r>
      <w:r>
        <w:rPr>
          <w:rFonts w:hint="eastAsia" w:ascii="宋体" w:hAnsi="宋体"/>
          <w:sz w:val="24"/>
        </w:rPr>
        <w:t>因不可抗力致使不能实现合同目的的，当事人可以解除合同；</w:t>
      </w:r>
    </w:p>
    <w:p w14:paraId="1DE5CA3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.3 </w:t>
      </w: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p w14:paraId="3699D44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19</w:t>
      </w:r>
      <w:r>
        <w:rPr>
          <w:rFonts w:ascii="宋体" w:hAnsi="宋体"/>
          <w:sz w:val="24"/>
        </w:rPr>
        <w:t>.4受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rPr>
        <w:t>5天</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rPr>
        <w:t>7天</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6EBB49DC">
      <w:pPr>
        <w:keepNext w:val="0"/>
        <w:keepLines w:val="0"/>
        <w:pageBreakBefore w:val="0"/>
        <w:kinsoku/>
        <w:wordWrap/>
        <w:overflowPunct/>
        <w:topLinePunct w:val="0"/>
        <w:autoSpaceDE/>
        <w:autoSpaceDN/>
        <w:bidi w:val="0"/>
        <w:adjustRightInd/>
        <w:spacing w:line="360" w:lineRule="auto"/>
        <w:ind w:right="-420" w:rightChars="-200" w:firstLine="482" w:firstLineChars="200"/>
        <w:textAlignment w:val="auto"/>
        <w:rPr>
          <w:rFonts w:ascii="宋体" w:hAnsi="宋体"/>
        </w:rPr>
      </w:pPr>
      <w:bookmarkStart w:id="110" w:name="_Toc32454"/>
      <w:bookmarkStart w:id="111" w:name="_Toc30329"/>
      <w:bookmarkStart w:id="112" w:name="_Toc9497"/>
      <w:bookmarkStart w:id="113" w:name="_Toc26807"/>
      <w:bookmarkStart w:id="114" w:name="_Toc18683"/>
      <w:r>
        <w:rPr>
          <w:rFonts w:hint="eastAsia" w:ascii="宋体" w:hAnsi="宋体"/>
          <w:b/>
          <w:sz w:val="24"/>
          <w:lang w:val="en-US" w:eastAsia="zh-CN"/>
        </w:rPr>
        <w:t>20.</w:t>
      </w:r>
      <w:r>
        <w:rPr>
          <w:rFonts w:hint="eastAsia" w:ascii="宋体" w:hAnsi="宋体"/>
          <w:b/>
          <w:sz w:val="24"/>
        </w:rPr>
        <w:t>合同</w:t>
      </w:r>
      <w:r>
        <w:rPr>
          <w:rFonts w:ascii="宋体" w:hAnsi="宋体"/>
          <w:b/>
          <w:sz w:val="24"/>
        </w:rPr>
        <w:t>争议的解决</w:t>
      </w:r>
      <w:bookmarkEnd w:id="110"/>
      <w:bookmarkEnd w:id="111"/>
      <w:bookmarkEnd w:id="112"/>
      <w:bookmarkEnd w:id="113"/>
      <w:bookmarkEnd w:id="114"/>
    </w:p>
    <w:p w14:paraId="522A4A36">
      <w:pPr>
        <w:keepNext w:val="0"/>
        <w:keepLines w:val="0"/>
        <w:pageBreakBefore w:val="0"/>
        <w:kinsoku/>
        <w:wordWrap/>
        <w:overflowPunct/>
        <w:topLinePunct w:val="0"/>
        <w:autoSpaceDE/>
        <w:autoSpaceDN/>
        <w:bidi w:val="0"/>
        <w:adjustRightInd/>
        <w:spacing w:line="360" w:lineRule="auto"/>
        <w:ind w:left="-61" w:leftChars="-29" w:right="-420" w:rightChars="-200" w:firstLine="480" w:firstLineChars="200"/>
        <w:textAlignment w:val="auto"/>
        <w:rPr>
          <w:rFonts w:hint="eastAsia" w:ascii="宋体" w:hAnsi="宋体" w:cs="宋体"/>
          <w:sz w:val="24"/>
          <w:lang w:eastAsia="zh-CN"/>
        </w:rPr>
      </w:pPr>
      <w:r>
        <w:rPr>
          <w:rFonts w:hint="eastAsia" w:ascii="宋体" w:hAnsi="宋体"/>
          <w:sz w:val="24"/>
        </w:rPr>
        <w:t>本合同履行过程中发生的任何争议，双方当事人均可通过和解或者调解解决；不愿和解、调解或者和解、调解不成的，</w:t>
      </w:r>
      <w:r>
        <w:rPr>
          <w:rFonts w:hint="eastAsia" w:ascii="宋体" w:hAnsi="宋体" w:cs="宋体"/>
          <w:sz w:val="24"/>
        </w:rPr>
        <w:t>向桐庐县人民法院起诉</w:t>
      </w:r>
      <w:r>
        <w:rPr>
          <w:rFonts w:hint="eastAsia" w:ascii="宋体" w:hAnsi="宋体" w:cs="宋体"/>
          <w:sz w:val="24"/>
          <w:lang w:eastAsia="zh-CN"/>
        </w:rPr>
        <w:t>。</w:t>
      </w:r>
    </w:p>
    <w:p w14:paraId="33655726">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21.</w:t>
      </w:r>
      <w:r>
        <w:rPr>
          <w:rFonts w:ascii="宋体" w:hAnsi="宋体"/>
          <w:b/>
          <w:sz w:val="24"/>
        </w:rPr>
        <w:t>通知和送达</w:t>
      </w:r>
    </w:p>
    <w:p w14:paraId="75817DB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.1</w:t>
      </w:r>
      <w:r>
        <w:rPr>
          <w:rFonts w:hint="eastAsia" w:ascii="宋体" w:hAnsi="宋体"/>
          <w:sz w:val="24"/>
        </w:rPr>
        <w:t>任何一方因履行合同而以</w:t>
      </w:r>
      <w:r>
        <w:rPr>
          <w:rFonts w:hint="eastAsia" w:ascii="宋体" w:hAnsi="宋体"/>
          <w:sz w:val="24"/>
          <w:lang w:val="en-US" w:eastAsia="zh-CN"/>
        </w:rPr>
        <w:t>双方约定的方式或地址</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B2CADC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71BC3F64">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22.</w:t>
      </w:r>
      <w:r>
        <w:rPr>
          <w:rFonts w:hint="eastAsia" w:ascii="宋体" w:hAnsi="宋体"/>
          <w:b/>
          <w:sz w:val="24"/>
        </w:rPr>
        <w:t>合同使用的文字和</w:t>
      </w:r>
      <w:r>
        <w:rPr>
          <w:rFonts w:ascii="宋体" w:hAnsi="宋体"/>
          <w:b/>
          <w:sz w:val="24"/>
        </w:rPr>
        <w:t>适用的法律</w:t>
      </w:r>
    </w:p>
    <w:p w14:paraId="07B17D8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.1 合同使用汉语书</w:t>
      </w:r>
      <w:r>
        <w:rPr>
          <w:rFonts w:hint="eastAsia" w:ascii="宋体" w:hAnsi="宋体"/>
          <w:sz w:val="24"/>
        </w:rPr>
        <w:t>写、</w:t>
      </w:r>
      <w:r>
        <w:rPr>
          <w:rFonts w:ascii="宋体" w:hAnsi="宋体"/>
          <w:sz w:val="24"/>
        </w:rPr>
        <w:t>变更和解释</w:t>
      </w:r>
      <w:r>
        <w:rPr>
          <w:rFonts w:hint="eastAsia" w:ascii="宋体" w:hAnsi="宋体"/>
          <w:sz w:val="24"/>
        </w:rPr>
        <w:t>；</w:t>
      </w:r>
    </w:p>
    <w:p w14:paraId="663E05C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 xml:space="preserve">.2 </w:t>
      </w:r>
      <w:r>
        <w:rPr>
          <w:rFonts w:hint="eastAsia" w:ascii="宋体" w:hAnsi="宋体"/>
          <w:sz w:val="24"/>
        </w:rPr>
        <w:t>合同适用</w:t>
      </w:r>
      <w:r>
        <w:rPr>
          <w:rFonts w:ascii="宋体" w:hAnsi="宋体"/>
          <w:sz w:val="24"/>
        </w:rPr>
        <w:t>中华人民共和国法律。</w:t>
      </w:r>
    </w:p>
    <w:p w14:paraId="150544A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23.</w:t>
      </w:r>
      <w:r>
        <w:rPr>
          <w:rFonts w:ascii="宋体" w:hAnsi="宋体"/>
          <w:b/>
          <w:sz w:val="24"/>
        </w:rPr>
        <w:t>履约保证金</w:t>
      </w:r>
    </w:p>
    <w:p w14:paraId="12E5285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eastAsia="宋体"/>
          <w:lang w:eastAsia="zh-CN"/>
        </w:rPr>
      </w:pPr>
      <w:r>
        <w:rPr>
          <w:rFonts w:hint="eastAsia" w:ascii="宋体" w:hAnsi="宋体" w:cs="宋体"/>
          <w:sz w:val="24"/>
        </w:rPr>
        <w:t>本项目不设置履约保证金</w:t>
      </w:r>
      <w:r>
        <w:rPr>
          <w:rFonts w:hint="eastAsia" w:ascii="宋体" w:hAnsi="宋体" w:cs="宋体"/>
          <w:sz w:val="24"/>
          <w:lang w:eastAsia="zh-CN"/>
        </w:rPr>
        <w:t>。</w:t>
      </w:r>
    </w:p>
    <w:p w14:paraId="10898FEE">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bookmarkStart w:id="115" w:name="_Toc26227"/>
      <w:bookmarkStart w:id="116" w:name="_Toc12273"/>
      <w:bookmarkStart w:id="117" w:name="_Toc23784"/>
      <w:bookmarkStart w:id="118" w:name="_Toc16417"/>
      <w:bookmarkStart w:id="119" w:name="_Toc15827"/>
      <w:r>
        <w:rPr>
          <w:rFonts w:hint="eastAsia" w:ascii="宋体" w:hAnsi="宋体"/>
          <w:b/>
          <w:sz w:val="24"/>
          <w:lang w:val="en-US" w:eastAsia="zh-CN"/>
        </w:rPr>
        <w:t>24.</w:t>
      </w:r>
      <w:r>
        <w:rPr>
          <w:rFonts w:ascii="宋体" w:hAnsi="宋体"/>
          <w:b/>
          <w:sz w:val="24"/>
        </w:rPr>
        <w:t>合同生效</w:t>
      </w:r>
      <w:bookmarkEnd w:id="115"/>
      <w:bookmarkEnd w:id="116"/>
      <w:bookmarkEnd w:id="117"/>
      <w:bookmarkEnd w:id="118"/>
      <w:bookmarkEnd w:id="119"/>
    </w:p>
    <w:p w14:paraId="7429A4F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（1）本合同经甲、乙双方签名并加盖单位公章后生效。</w:t>
      </w:r>
    </w:p>
    <w:p w14:paraId="400F0BD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）本合同一式八份，具有同等法律效力，甲、乙双方各执三份，采购代理机构一份，同级政府采购监督管理部门一份。</w:t>
      </w:r>
    </w:p>
    <w:p w14:paraId="5355110A">
      <w:pPr>
        <w:autoSpaceDE w:val="0"/>
        <w:autoSpaceDN w:val="0"/>
        <w:spacing w:line="560" w:lineRule="exact"/>
        <w:rPr>
          <w:rFonts w:ascii="宋体" w:hAnsi="宋体" w:eastAsia="宋体"/>
          <w:sz w:val="24"/>
          <w:lang w:val="zh-CN"/>
        </w:rPr>
      </w:pPr>
    </w:p>
    <w:tbl>
      <w:tblPr>
        <w:tblStyle w:val="60"/>
        <w:tblW w:w="9793" w:type="dxa"/>
        <w:tblInd w:w="-72" w:type="dxa"/>
        <w:tblLayout w:type="fixed"/>
        <w:tblCellMar>
          <w:top w:w="0" w:type="dxa"/>
          <w:left w:w="108" w:type="dxa"/>
          <w:bottom w:w="0" w:type="dxa"/>
          <w:right w:w="108" w:type="dxa"/>
        </w:tblCellMar>
      </w:tblPr>
      <w:tblGrid>
        <w:gridCol w:w="4784"/>
        <w:gridCol w:w="5009"/>
      </w:tblGrid>
      <w:tr w14:paraId="1F4D6A6C">
        <w:tblPrEx>
          <w:tblCellMar>
            <w:top w:w="0" w:type="dxa"/>
            <w:left w:w="108" w:type="dxa"/>
            <w:bottom w:w="0" w:type="dxa"/>
            <w:right w:w="108" w:type="dxa"/>
          </w:tblCellMar>
        </w:tblPrEx>
        <w:trPr>
          <w:trHeight w:val="5194" w:hRule="atLeast"/>
        </w:trPr>
        <w:tc>
          <w:tcPr>
            <w:tcW w:w="4784" w:type="dxa"/>
            <w:noWrap/>
            <w:vAlign w:val="top"/>
          </w:tcPr>
          <w:p w14:paraId="13644E79">
            <w:pPr>
              <w:adjustRightInd/>
              <w:snapToGrid w:val="0"/>
              <w:spacing w:line="800" w:lineRule="exact"/>
              <w:rPr>
                <w:rFonts w:ascii="宋体" w:hAnsi="宋体"/>
                <w:sz w:val="24"/>
              </w:rPr>
            </w:pPr>
            <w:r>
              <w:rPr>
                <w:rFonts w:hint="eastAsia" w:ascii="宋体" w:hAnsi="宋体"/>
                <w:sz w:val="24"/>
              </w:rPr>
              <w:t>甲方：（盖章）</w:t>
            </w:r>
          </w:p>
          <w:p w14:paraId="5E1F9DA4">
            <w:pPr>
              <w:adjustRightInd/>
              <w:snapToGrid w:val="0"/>
              <w:spacing w:line="800" w:lineRule="exact"/>
              <w:rPr>
                <w:rFonts w:ascii="宋体" w:hAnsi="宋体"/>
                <w:sz w:val="24"/>
              </w:rPr>
            </w:pPr>
            <w:r>
              <w:rPr>
                <w:rFonts w:ascii="宋体" w:hAnsi="宋体"/>
                <w:sz w:val="24"/>
              </w:rPr>
              <w:t>法定代表人</w:t>
            </w:r>
          </w:p>
          <w:p w14:paraId="125E01F9">
            <w:pPr>
              <w:adjustRightInd/>
              <w:snapToGrid w:val="0"/>
              <w:spacing w:line="800" w:lineRule="exact"/>
              <w:rPr>
                <w:rFonts w:ascii="宋体" w:hAnsi="宋体"/>
                <w:sz w:val="24"/>
              </w:rPr>
            </w:pPr>
            <w:r>
              <w:rPr>
                <w:rFonts w:hint="eastAsia" w:ascii="宋体" w:hAnsi="宋体"/>
                <w:sz w:val="24"/>
              </w:rPr>
              <w:t>或授权代表（签章）：</w:t>
            </w:r>
          </w:p>
          <w:p w14:paraId="0848F6AD">
            <w:pPr>
              <w:adjustRightInd/>
              <w:snapToGrid w:val="0"/>
              <w:spacing w:line="800" w:lineRule="exact"/>
              <w:rPr>
                <w:rFonts w:ascii="宋体" w:hAnsi="宋体"/>
                <w:sz w:val="24"/>
              </w:rPr>
            </w:pPr>
            <w:r>
              <w:rPr>
                <w:rFonts w:hint="eastAsia" w:ascii="宋体" w:hAnsi="宋体"/>
                <w:sz w:val="24"/>
              </w:rPr>
              <w:t>地址：</w:t>
            </w:r>
          </w:p>
          <w:p w14:paraId="568FF132">
            <w:pPr>
              <w:adjustRightInd/>
              <w:snapToGrid w:val="0"/>
              <w:spacing w:line="800" w:lineRule="exact"/>
            </w:pPr>
            <w:r>
              <w:rPr>
                <w:rFonts w:hint="eastAsia" w:ascii="宋体" w:hAnsi="宋体"/>
                <w:sz w:val="24"/>
              </w:rPr>
              <w:t>电    话：</w:t>
            </w:r>
          </w:p>
          <w:p w14:paraId="1B628DCF">
            <w:pPr>
              <w:adjustRightInd/>
              <w:snapToGrid w:val="0"/>
              <w:spacing w:line="800" w:lineRule="exact"/>
              <w:rPr>
                <w:rFonts w:ascii="宋体" w:hAnsi="宋体"/>
                <w:sz w:val="24"/>
              </w:rPr>
            </w:pPr>
            <w:r>
              <w:rPr>
                <w:rFonts w:hint="eastAsia" w:ascii="宋体" w:hAnsi="宋体"/>
                <w:sz w:val="24"/>
              </w:rPr>
              <w:t>日期：  年  月  日</w:t>
            </w:r>
          </w:p>
        </w:tc>
        <w:tc>
          <w:tcPr>
            <w:tcW w:w="5009" w:type="dxa"/>
            <w:noWrap/>
            <w:vAlign w:val="top"/>
          </w:tcPr>
          <w:p w14:paraId="4187888B">
            <w:pPr>
              <w:adjustRightInd/>
              <w:snapToGrid w:val="0"/>
              <w:spacing w:line="800" w:lineRule="exact"/>
              <w:rPr>
                <w:rFonts w:ascii="宋体" w:hAnsi="宋体"/>
                <w:sz w:val="24"/>
              </w:rPr>
            </w:pPr>
            <w:r>
              <w:rPr>
                <w:rFonts w:hint="eastAsia" w:ascii="宋体" w:hAnsi="宋体"/>
                <w:sz w:val="24"/>
              </w:rPr>
              <w:t>乙方：（盖章）</w:t>
            </w:r>
          </w:p>
          <w:p w14:paraId="7207F9F4">
            <w:pPr>
              <w:adjustRightInd/>
              <w:snapToGrid w:val="0"/>
              <w:spacing w:line="800" w:lineRule="exact"/>
              <w:rPr>
                <w:rFonts w:ascii="宋体" w:hAnsi="宋体"/>
                <w:sz w:val="24"/>
              </w:rPr>
            </w:pPr>
            <w:r>
              <w:rPr>
                <w:rFonts w:ascii="宋体" w:hAnsi="宋体"/>
                <w:sz w:val="24"/>
              </w:rPr>
              <w:t>法定代表人</w:t>
            </w:r>
          </w:p>
          <w:p w14:paraId="66ED2A8B">
            <w:pPr>
              <w:adjustRightInd/>
              <w:snapToGrid w:val="0"/>
              <w:spacing w:line="800" w:lineRule="exact"/>
              <w:rPr>
                <w:rFonts w:ascii="宋体" w:hAnsi="宋体"/>
                <w:sz w:val="24"/>
              </w:rPr>
            </w:pPr>
            <w:r>
              <w:rPr>
                <w:rFonts w:hint="eastAsia" w:ascii="宋体" w:hAnsi="宋体"/>
                <w:sz w:val="24"/>
              </w:rPr>
              <w:t>或授权代表（签章）：</w:t>
            </w:r>
          </w:p>
          <w:p w14:paraId="78F28CDD">
            <w:pPr>
              <w:adjustRightInd/>
              <w:snapToGrid w:val="0"/>
              <w:spacing w:line="800" w:lineRule="exact"/>
              <w:rPr>
                <w:rFonts w:ascii="宋体" w:hAnsi="宋体"/>
                <w:sz w:val="24"/>
              </w:rPr>
            </w:pPr>
            <w:r>
              <w:rPr>
                <w:rFonts w:hint="eastAsia" w:ascii="宋体" w:hAnsi="宋体"/>
                <w:sz w:val="24"/>
              </w:rPr>
              <w:t>地址：</w:t>
            </w:r>
          </w:p>
          <w:p w14:paraId="6408E81B">
            <w:pPr>
              <w:adjustRightInd/>
              <w:snapToGrid w:val="0"/>
              <w:spacing w:line="800" w:lineRule="exact"/>
              <w:rPr>
                <w:rFonts w:ascii="宋体" w:hAnsi="宋体"/>
                <w:sz w:val="24"/>
              </w:rPr>
            </w:pPr>
            <w:r>
              <w:rPr>
                <w:rFonts w:hint="eastAsia" w:ascii="宋体" w:hAnsi="宋体"/>
                <w:sz w:val="24"/>
              </w:rPr>
              <w:t>电    话：</w:t>
            </w:r>
          </w:p>
          <w:p w14:paraId="0382A824">
            <w:pPr>
              <w:adjustRightInd/>
              <w:snapToGrid w:val="0"/>
              <w:spacing w:line="800" w:lineRule="exact"/>
              <w:rPr>
                <w:rFonts w:ascii="宋体" w:hAnsi="宋体"/>
                <w:sz w:val="24"/>
              </w:rPr>
            </w:pPr>
            <w:r>
              <w:rPr>
                <w:rFonts w:hint="eastAsia" w:ascii="宋体" w:hAnsi="宋体"/>
                <w:sz w:val="24"/>
              </w:rPr>
              <w:t>日期：  年  月  日</w:t>
            </w:r>
          </w:p>
        </w:tc>
      </w:tr>
    </w:tbl>
    <w:p w14:paraId="2B806CBC">
      <w:pPr>
        <w:rPr>
          <w:rFonts w:hint="eastAsia" w:asciiTheme="majorEastAsia" w:hAnsiTheme="majorEastAsia" w:eastAsiaTheme="majorEastAsia" w:cstheme="majorEastAsia"/>
        </w:rPr>
      </w:pPr>
    </w:p>
    <w:p w14:paraId="3CDFD580">
      <w:pPr>
        <w:jc w:val="center"/>
        <w:rPr>
          <w:rFonts w:cs="仿宋_GB2312" w:asciiTheme="minorEastAsia" w:hAnsiTheme="minorEastAsia" w:eastAsiaTheme="minorEastAsia"/>
          <w:b/>
          <w:color w:val="auto"/>
          <w:sz w:val="36"/>
          <w:szCs w:val="20"/>
        </w:rPr>
      </w:pPr>
      <w:bookmarkStart w:id="120" w:name="_Toc372613886"/>
      <w:r>
        <w:rPr>
          <w:rFonts w:hint="eastAsia" w:asciiTheme="majorEastAsia" w:hAnsiTheme="majorEastAsia" w:eastAsiaTheme="majorEastAsia" w:cstheme="majorEastAsia"/>
          <w:b/>
        </w:rPr>
        <w:t>此仅为合同书样本，中标单位需根据实际情况和采购人签订相应的合同！</w:t>
      </w:r>
      <w:bookmarkEnd w:id="120"/>
      <w:r>
        <w:rPr>
          <w:rFonts w:hint="eastAsia" w:cs="仿宋_GB2312" w:asciiTheme="minorEastAsia" w:hAnsiTheme="minorEastAsia" w:eastAsiaTheme="minorEastAsia"/>
          <w:b/>
          <w:color w:val="auto"/>
          <w:sz w:val="36"/>
          <w:szCs w:val="20"/>
        </w:rPr>
        <w:br w:type="page"/>
      </w:r>
      <w:r>
        <w:rPr>
          <w:rFonts w:hint="eastAsia" w:cs="仿宋_GB2312" w:asciiTheme="minorEastAsia" w:hAnsiTheme="minorEastAsia" w:eastAsiaTheme="minorEastAsia"/>
          <w:b/>
          <w:color w:val="auto"/>
          <w:sz w:val="36"/>
          <w:szCs w:val="20"/>
        </w:rPr>
        <w:t>第七部分</w:t>
      </w:r>
      <w:bookmarkEnd w:id="78"/>
      <w:r>
        <w:rPr>
          <w:rFonts w:hint="eastAsia" w:cs="仿宋_GB2312" w:asciiTheme="minorEastAsia" w:hAnsiTheme="minorEastAsia" w:eastAsiaTheme="minorEastAsia"/>
          <w:b/>
          <w:color w:val="auto"/>
          <w:sz w:val="36"/>
          <w:szCs w:val="20"/>
        </w:rPr>
        <w:t xml:space="preserve">  </w:t>
      </w:r>
      <w:bookmarkEnd w:id="79"/>
      <w:r>
        <w:rPr>
          <w:rFonts w:hint="eastAsia" w:cs="仿宋_GB2312" w:asciiTheme="minorEastAsia" w:hAnsiTheme="minorEastAsia" w:eastAsiaTheme="minorEastAsia"/>
          <w:b/>
          <w:color w:val="auto"/>
          <w:sz w:val="36"/>
          <w:szCs w:val="20"/>
        </w:rPr>
        <w:t>应提交的有关格式范例</w:t>
      </w:r>
    </w:p>
    <w:p w14:paraId="0206DECA">
      <w:pPr>
        <w:spacing w:line="360" w:lineRule="auto"/>
        <w:jc w:val="center"/>
        <w:outlineLvl w:val="0"/>
        <w:rPr>
          <w:rFonts w:hint="eastAsia"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…………………………………………………（页码）</w:t>
      </w:r>
    </w:p>
    <w:p w14:paraId="6AABE1E4">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color w:val="auto"/>
          <w:sz w:val="24"/>
          <w:highlight w:val="none"/>
        </w:rPr>
        <w:t>…………………（页码）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color w:val="auto"/>
          <w:sz w:val="24"/>
          <w:highlight w:val="none"/>
        </w:rPr>
        <w:t>…………………………………（页码）</w:t>
      </w:r>
    </w:p>
    <w:p w14:paraId="27651B60">
      <w:pPr>
        <w:spacing w:line="360" w:lineRule="auto"/>
        <w:rPr>
          <w:rFonts w:hint="eastAsia" w:cs="仿宋_GB2312" w:asciiTheme="minorEastAsia" w:hAnsiTheme="minorEastAsia" w:eastAsiaTheme="minorEastAsia"/>
          <w:b/>
          <w:bCs/>
          <w:color w:val="auto"/>
          <w:sz w:val="24"/>
        </w:rPr>
      </w:pP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sz w:val="36"/>
          <w:szCs w:val="36"/>
        </w:rPr>
        <w:br w:type="page"/>
      </w:r>
    </w:p>
    <w:p w14:paraId="4F5D4B89">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D9CB7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FA64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906571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084B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DB157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58598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882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9A4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4557C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2E5C0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EB78E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3CB3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569B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0A6DE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89A97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9FE575">
      <w:pPr>
        <w:snapToGrid w:val="0"/>
        <w:spacing w:line="360" w:lineRule="auto"/>
        <w:ind w:right="480"/>
        <w:jc w:val="center"/>
        <w:rPr>
          <w:rFonts w:ascii="宋体" w:hAnsi="宋体" w:cs="宋体"/>
          <w:b/>
          <w:color w:val="auto"/>
          <w:kern w:val="0"/>
          <w:sz w:val="32"/>
          <w:szCs w:val="32"/>
          <w:highlight w:val="none"/>
        </w:rPr>
      </w:pPr>
    </w:p>
    <w:p w14:paraId="0ED67A00">
      <w:pPr>
        <w:snapToGrid w:val="0"/>
        <w:spacing w:line="360" w:lineRule="auto"/>
        <w:ind w:right="480"/>
        <w:jc w:val="center"/>
        <w:rPr>
          <w:rFonts w:ascii="宋体" w:hAnsi="宋体" w:cs="宋体"/>
          <w:b/>
          <w:color w:val="auto"/>
          <w:kern w:val="0"/>
          <w:sz w:val="32"/>
          <w:szCs w:val="32"/>
          <w:highlight w:val="none"/>
        </w:rPr>
      </w:pPr>
    </w:p>
    <w:p w14:paraId="66B4B3F7">
      <w:pPr>
        <w:snapToGrid w:val="0"/>
        <w:spacing w:line="360" w:lineRule="auto"/>
        <w:ind w:right="480"/>
        <w:jc w:val="center"/>
        <w:rPr>
          <w:rFonts w:ascii="宋体" w:hAnsi="宋体" w:cs="宋体"/>
          <w:b/>
          <w:color w:val="auto"/>
          <w:kern w:val="0"/>
          <w:sz w:val="32"/>
          <w:szCs w:val="32"/>
          <w:highlight w:val="none"/>
        </w:rPr>
      </w:pPr>
    </w:p>
    <w:p w14:paraId="5678E014">
      <w:pPr>
        <w:rPr>
          <w:rFonts w:ascii="宋体" w:hAnsi="宋体" w:cs="宋体"/>
          <w:color w:val="auto"/>
          <w:highlight w:val="none"/>
        </w:rPr>
      </w:pPr>
    </w:p>
    <w:p w14:paraId="7D44F9B5">
      <w:pPr>
        <w:snapToGrid w:val="0"/>
        <w:spacing w:line="360" w:lineRule="auto"/>
        <w:ind w:right="480"/>
        <w:jc w:val="center"/>
        <w:rPr>
          <w:rFonts w:ascii="宋体" w:hAnsi="宋体" w:cs="宋体"/>
          <w:b/>
          <w:color w:val="auto"/>
          <w:kern w:val="0"/>
          <w:sz w:val="32"/>
          <w:szCs w:val="32"/>
          <w:highlight w:val="none"/>
        </w:rPr>
      </w:pPr>
    </w:p>
    <w:p w14:paraId="0D3A1F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4B6B1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7F2BA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0273BD0">
      <w:pPr>
        <w:snapToGrid w:val="0"/>
        <w:spacing w:line="360" w:lineRule="auto"/>
        <w:ind w:right="480"/>
        <w:jc w:val="center"/>
        <w:rPr>
          <w:rFonts w:ascii="宋体" w:hAnsi="宋体" w:cs="宋体"/>
          <w:b/>
          <w:color w:val="auto"/>
          <w:kern w:val="0"/>
          <w:sz w:val="32"/>
          <w:szCs w:val="32"/>
          <w:highlight w:val="none"/>
        </w:rPr>
      </w:pPr>
    </w:p>
    <w:p w14:paraId="51A4787C">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三、营业执照</w:t>
      </w:r>
    </w:p>
    <w:p w14:paraId="1E838EE5">
      <w:pPr>
        <w:pStyle w:val="63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提供有效的营业执照复印件并加盖公司公章；事业单位的，则提供有效的《事业单位法人证书》副本复印件并加盖单位公章。</w:t>
      </w:r>
    </w:p>
    <w:p w14:paraId="45D6D23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cs="宋体" w:asciiTheme="minorEastAsia" w:hAnsiTheme="minorEastAsia" w:eastAsiaTheme="minorEastAsia"/>
          <w:color w:val="auto"/>
          <w:sz w:val="24"/>
          <w:lang w:val="en-US" w:eastAsia="zh-CN"/>
        </w:rPr>
      </w:pPr>
      <w:r>
        <w:rPr>
          <w:rFonts w:hint="eastAsia" w:ascii="宋体" w:hAnsi="宋体" w:eastAsia="宋体" w:cs="宋体"/>
          <w:snapToGrid w:val="0"/>
          <w:kern w:val="28"/>
          <w:sz w:val="24"/>
          <w:szCs w:val="20"/>
          <w:lang w:val="en-US" w:eastAsia="zh-CN"/>
        </w:rPr>
        <w:t>注：供应商如无独立法人资格的分支机构（金融、保险、通讯等特定行业的全国性企业所设立的区域性分支机构）参加投标的，如果已经依法办理了工商、税务和社保登记手续，并且获得总机构授权或能够提供房产权证或其他有效财产证明材料，证明其具备实际承担责任的能力和法定的缔结合同能力，可以允许其独立参加政府采购活动。（同一总机构的只能有一家隶属分支机构参加投标）</w:t>
      </w:r>
    </w:p>
    <w:p w14:paraId="37961164">
      <w:pPr>
        <w:snapToGrid w:val="0"/>
        <w:spacing w:line="360" w:lineRule="auto"/>
        <w:ind w:right="480"/>
        <w:jc w:val="center"/>
        <w:rPr>
          <w:rFonts w:ascii="宋体" w:hAnsi="宋体" w:cs="宋体"/>
          <w:b/>
          <w:color w:val="auto"/>
          <w:kern w:val="0"/>
          <w:sz w:val="32"/>
          <w:szCs w:val="32"/>
          <w:highlight w:val="none"/>
        </w:rPr>
      </w:pPr>
    </w:p>
    <w:p w14:paraId="38F511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、落实政府采购政策需满足的资格要求（如果有）</w:t>
      </w:r>
    </w:p>
    <w:p w14:paraId="00C90DD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6FFBA9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5C4345">
      <w:pPr>
        <w:widowControl/>
        <w:spacing w:line="360" w:lineRule="auto"/>
        <w:ind w:firstLine="480"/>
        <w:jc w:val="left"/>
        <w:rPr>
          <w:rFonts w:ascii="宋体" w:hAnsi="宋体" w:cs="宋体"/>
          <w:color w:val="auto"/>
          <w:sz w:val="24"/>
          <w:highlight w:val="none"/>
        </w:rPr>
      </w:pPr>
    </w:p>
    <w:p w14:paraId="3CED783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8F203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7AB76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D331AF">
      <w:pPr>
        <w:widowControl/>
        <w:spacing w:line="360" w:lineRule="auto"/>
        <w:ind w:left="150"/>
        <w:jc w:val="center"/>
        <w:rPr>
          <w:rFonts w:ascii="宋体" w:hAnsi="宋体" w:cs="宋体"/>
          <w:b/>
          <w:color w:val="auto"/>
          <w:kern w:val="0"/>
          <w:sz w:val="32"/>
          <w:szCs w:val="32"/>
          <w:highlight w:val="none"/>
        </w:rPr>
      </w:pPr>
    </w:p>
    <w:p w14:paraId="72AAA3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、本项目的特定资格要求（如果有）</w:t>
      </w:r>
    </w:p>
    <w:p w14:paraId="1F22A2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264CBA">
      <w:pPr>
        <w:rPr>
          <w:rFonts w:cs="仿宋_GB2312" w:asciiTheme="minorEastAsia" w:hAnsiTheme="minorEastAsia" w:eastAsiaTheme="minorEastAsia"/>
          <w:color w:val="auto"/>
          <w:kern w:val="2"/>
          <w:sz w:val="32"/>
          <w:szCs w:val="32"/>
        </w:rPr>
      </w:pPr>
      <w:r>
        <w:rPr>
          <w:rFonts w:cs="仿宋_GB2312" w:asciiTheme="minorEastAsia" w:hAnsiTheme="minorEastAsia" w:eastAsiaTheme="minorEastAsia"/>
          <w:color w:val="auto"/>
          <w:kern w:val="2"/>
          <w:sz w:val="32"/>
          <w:szCs w:val="32"/>
        </w:rPr>
        <w:br w:type="page"/>
      </w:r>
    </w:p>
    <w:p w14:paraId="3C0B4F94">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6513CB">
      <w:pPr>
        <w:numPr>
          <w:ilvl w:val="0"/>
          <w:numId w:val="0"/>
        </w:numPr>
        <w:snapToGrid w:val="0"/>
        <w:spacing w:line="360" w:lineRule="auto"/>
        <w:rPr>
          <w:rFonts w:hint="eastAsia" w:ascii="宋体" w:hAnsi="宋体" w:cs="宋体"/>
          <w:color w:val="auto"/>
          <w:highlight w:val="none"/>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rPr>
          <w:rFonts w:ascii="宋体" w:hAnsi="宋体" w:cs="宋体"/>
          <w:color w:val="auto"/>
          <w:highlight w:val="none"/>
        </w:rPr>
      </w:pPr>
      <w:r>
        <w:rPr>
          <w:rFonts w:ascii="宋体" w:hAnsi="宋体" w:eastAsia="宋体" w:cs="宋体"/>
          <w:color w:val="auto"/>
          <w:kern w:val="2"/>
          <w:sz w:val="21"/>
          <w:szCs w:val="24"/>
          <w:lang w:val="en-US" w:eastAsia="zh-CN" w:bidi="ar-SA"/>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4C1A1BA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CD46E5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4F0A00D1">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21" w:name="_Hlk101257010"/>
      <w:r>
        <w:rPr>
          <w:rFonts w:hint="eastAsia" w:ascii="宋体" w:hAnsi="宋体" w:cs="宋体"/>
          <w:color w:val="auto"/>
          <w:sz w:val="24"/>
          <w:highlight w:val="none"/>
        </w:rPr>
        <w:t>（如果有)</w:t>
      </w:r>
      <w:bookmarkEnd w:id="12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6FF218B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B8664A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61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61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61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764A9F5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6E8546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1"/>
        <w:rPr>
          <w:color w:val="auto"/>
          <w:highlight w:val="none"/>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77918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34CA36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pgNumType w:fmt="decimal"/>
          <w:cols w:space="720" w:num="1"/>
          <w:titlePg/>
          <w:docGrid w:linePitch="312" w:charSpace="0"/>
        </w:sectPr>
      </w:pPr>
    </w:p>
    <w:p w14:paraId="11B9D219">
      <w:pPr>
        <w:pStyle w:val="11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4F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A9CB40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671F42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D2802D3">
            <w:pPr>
              <w:spacing w:line="360" w:lineRule="auto"/>
              <w:jc w:val="center"/>
              <w:rPr>
                <w:rFonts w:ascii="宋体" w:hAnsi="宋体" w:cs="宋体"/>
                <w:b/>
                <w:sz w:val="24"/>
              </w:rPr>
            </w:pPr>
          </w:p>
          <w:p w14:paraId="1A13A8B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280049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19C6D85">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DDDA6AE">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C1FB19C">
            <w:pPr>
              <w:spacing w:line="360" w:lineRule="auto"/>
              <w:jc w:val="center"/>
              <w:rPr>
                <w:rFonts w:ascii="宋体" w:hAnsi="宋体" w:cs="宋体"/>
                <w:b/>
                <w:sz w:val="24"/>
              </w:rPr>
            </w:pPr>
          </w:p>
          <w:p w14:paraId="3A69534A">
            <w:pPr>
              <w:spacing w:line="360" w:lineRule="auto"/>
              <w:jc w:val="center"/>
              <w:rPr>
                <w:rFonts w:ascii="宋体" w:hAnsi="宋体" w:cs="宋体"/>
                <w:b/>
                <w:sz w:val="24"/>
              </w:rPr>
            </w:pPr>
            <w:r>
              <w:rPr>
                <w:rFonts w:hint="eastAsia" w:ascii="宋体" w:hAnsi="宋体" w:cs="宋体"/>
                <w:b/>
                <w:sz w:val="24"/>
                <w:highlight w:val="none"/>
              </w:rPr>
              <w:t>服务人数</w:t>
            </w:r>
          </w:p>
        </w:tc>
        <w:tc>
          <w:tcPr>
            <w:tcW w:w="2126" w:type="dxa"/>
            <w:vAlign w:val="center"/>
          </w:tcPr>
          <w:p w14:paraId="3598F183">
            <w:pPr>
              <w:spacing w:line="360" w:lineRule="auto"/>
              <w:jc w:val="center"/>
              <w:rPr>
                <w:rFonts w:ascii="宋体" w:hAnsi="宋体" w:cs="宋体"/>
                <w:b/>
                <w:sz w:val="24"/>
              </w:rPr>
            </w:pPr>
          </w:p>
          <w:p w14:paraId="56950053">
            <w:pPr>
              <w:spacing w:line="360" w:lineRule="auto"/>
              <w:jc w:val="center"/>
              <w:rPr>
                <w:rFonts w:ascii="宋体" w:hAnsi="宋体" w:cs="宋体"/>
                <w:b/>
                <w:sz w:val="24"/>
              </w:rPr>
            </w:pPr>
            <w:r>
              <w:rPr>
                <w:rFonts w:hint="eastAsia" w:ascii="宋体" w:hAnsi="宋体" w:cs="宋体"/>
                <w:b/>
                <w:sz w:val="24"/>
              </w:rPr>
              <w:t>备注（如果有）</w:t>
            </w:r>
          </w:p>
          <w:p w14:paraId="4FF5C15F">
            <w:pPr>
              <w:spacing w:line="360" w:lineRule="auto"/>
              <w:jc w:val="center"/>
              <w:rPr>
                <w:rFonts w:ascii="宋体" w:hAnsi="宋体" w:cs="宋体"/>
                <w:b/>
                <w:sz w:val="24"/>
              </w:rPr>
            </w:pPr>
          </w:p>
        </w:tc>
      </w:tr>
      <w:tr w14:paraId="71BE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CC598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EDB02A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6DD177A">
            <w:pPr>
              <w:snapToGrid w:val="0"/>
              <w:spacing w:line="360" w:lineRule="auto"/>
              <w:jc w:val="center"/>
              <w:rPr>
                <w:rFonts w:ascii="宋体" w:hAnsi="宋体" w:cs="宋体"/>
                <w:sz w:val="24"/>
              </w:rPr>
            </w:pPr>
          </w:p>
        </w:tc>
        <w:tc>
          <w:tcPr>
            <w:tcW w:w="2410" w:type="dxa"/>
            <w:vAlign w:val="center"/>
          </w:tcPr>
          <w:p w14:paraId="681E50A9">
            <w:pPr>
              <w:snapToGrid w:val="0"/>
              <w:spacing w:line="360" w:lineRule="auto"/>
              <w:jc w:val="center"/>
              <w:rPr>
                <w:rFonts w:ascii="宋体" w:hAnsi="宋体" w:cs="宋体"/>
                <w:sz w:val="24"/>
              </w:rPr>
            </w:pPr>
          </w:p>
        </w:tc>
        <w:tc>
          <w:tcPr>
            <w:tcW w:w="2268" w:type="dxa"/>
            <w:vAlign w:val="center"/>
          </w:tcPr>
          <w:p w14:paraId="63AFDCDE">
            <w:pPr>
              <w:snapToGrid w:val="0"/>
              <w:spacing w:line="360" w:lineRule="auto"/>
              <w:jc w:val="center"/>
              <w:rPr>
                <w:rFonts w:ascii="宋体" w:hAnsi="宋体" w:cs="宋体"/>
                <w:sz w:val="24"/>
              </w:rPr>
            </w:pPr>
          </w:p>
        </w:tc>
        <w:tc>
          <w:tcPr>
            <w:tcW w:w="2126" w:type="dxa"/>
            <w:vAlign w:val="center"/>
          </w:tcPr>
          <w:p w14:paraId="1E660F95">
            <w:pPr>
              <w:spacing w:line="360" w:lineRule="auto"/>
              <w:jc w:val="center"/>
              <w:rPr>
                <w:rFonts w:ascii="宋体" w:hAnsi="宋体" w:cs="宋体"/>
                <w:sz w:val="24"/>
              </w:rPr>
            </w:pPr>
          </w:p>
        </w:tc>
        <w:tc>
          <w:tcPr>
            <w:tcW w:w="2127" w:type="dxa"/>
          </w:tcPr>
          <w:p w14:paraId="61E2B3F6">
            <w:pPr>
              <w:spacing w:line="360" w:lineRule="auto"/>
              <w:jc w:val="center"/>
              <w:rPr>
                <w:rFonts w:ascii="宋体" w:hAnsi="宋体" w:cs="宋体"/>
                <w:sz w:val="24"/>
              </w:rPr>
            </w:pPr>
          </w:p>
        </w:tc>
        <w:tc>
          <w:tcPr>
            <w:tcW w:w="2126" w:type="dxa"/>
            <w:vAlign w:val="center"/>
          </w:tcPr>
          <w:p w14:paraId="518BBDA5">
            <w:pPr>
              <w:spacing w:line="360" w:lineRule="auto"/>
              <w:jc w:val="center"/>
              <w:rPr>
                <w:rFonts w:ascii="宋体" w:hAnsi="宋体" w:cs="宋体"/>
                <w:sz w:val="24"/>
              </w:rPr>
            </w:pPr>
          </w:p>
        </w:tc>
      </w:tr>
      <w:tr w14:paraId="5F7C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ADBEE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1A608B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6766A0">
            <w:pPr>
              <w:snapToGrid w:val="0"/>
              <w:spacing w:line="360" w:lineRule="auto"/>
              <w:jc w:val="center"/>
              <w:rPr>
                <w:rFonts w:ascii="宋体" w:hAnsi="宋体" w:cs="宋体"/>
                <w:sz w:val="24"/>
              </w:rPr>
            </w:pPr>
          </w:p>
        </w:tc>
        <w:tc>
          <w:tcPr>
            <w:tcW w:w="2410" w:type="dxa"/>
            <w:vAlign w:val="center"/>
          </w:tcPr>
          <w:p w14:paraId="0F29DE6B">
            <w:pPr>
              <w:snapToGrid w:val="0"/>
              <w:spacing w:line="360" w:lineRule="auto"/>
              <w:jc w:val="center"/>
              <w:rPr>
                <w:rFonts w:ascii="宋体" w:hAnsi="宋体" w:cs="宋体"/>
                <w:sz w:val="24"/>
              </w:rPr>
            </w:pPr>
          </w:p>
        </w:tc>
        <w:tc>
          <w:tcPr>
            <w:tcW w:w="2268" w:type="dxa"/>
            <w:vAlign w:val="center"/>
          </w:tcPr>
          <w:p w14:paraId="38762F6A">
            <w:pPr>
              <w:snapToGrid w:val="0"/>
              <w:spacing w:line="360" w:lineRule="auto"/>
              <w:jc w:val="center"/>
              <w:rPr>
                <w:rFonts w:ascii="宋体" w:hAnsi="宋体" w:cs="宋体"/>
                <w:sz w:val="24"/>
              </w:rPr>
            </w:pPr>
          </w:p>
        </w:tc>
        <w:tc>
          <w:tcPr>
            <w:tcW w:w="2126" w:type="dxa"/>
            <w:vAlign w:val="center"/>
          </w:tcPr>
          <w:p w14:paraId="549245EA">
            <w:pPr>
              <w:spacing w:line="360" w:lineRule="auto"/>
              <w:jc w:val="center"/>
              <w:rPr>
                <w:rFonts w:ascii="宋体" w:hAnsi="宋体" w:cs="宋体"/>
                <w:sz w:val="24"/>
              </w:rPr>
            </w:pPr>
          </w:p>
        </w:tc>
        <w:tc>
          <w:tcPr>
            <w:tcW w:w="2127" w:type="dxa"/>
          </w:tcPr>
          <w:p w14:paraId="62EDC358">
            <w:pPr>
              <w:spacing w:line="360" w:lineRule="auto"/>
              <w:jc w:val="center"/>
              <w:rPr>
                <w:rFonts w:ascii="宋体" w:hAnsi="宋体" w:cs="宋体"/>
                <w:sz w:val="24"/>
              </w:rPr>
            </w:pPr>
          </w:p>
        </w:tc>
        <w:tc>
          <w:tcPr>
            <w:tcW w:w="2126" w:type="dxa"/>
            <w:vAlign w:val="center"/>
          </w:tcPr>
          <w:p w14:paraId="030BCDA1">
            <w:pPr>
              <w:spacing w:line="360" w:lineRule="auto"/>
              <w:jc w:val="center"/>
              <w:rPr>
                <w:rFonts w:ascii="宋体" w:hAnsi="宋体" w:cs="宋体"/>
                <w:sz w:val="24"/>
              </w:rPr>
            </w:pPr>
          </w:p>
        </w:tc>
      </w:tr>
      <w:tr w14:paraId="4B0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EBC9C1">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79B9B834">
            <w:pPr>
              <w:snapToGrid w:val="0"/>
              <w:spacing w:line="360" w:lineRule="auto"/>
              <w:jc w:val="center"/>
              <w:rPr>
                <w:rFonts w:ascii="宋体" w:hAnsi="宋体" w:cs="宋体"/>
                <w:sz w:val="24"/>
              </w:rPr>
            </w:pPr>
          </w:p>
        </w:tc>
        <w:tc>
          <w:tcPr>
            <w:tcW w:w="2268" w:type="dxa"/>
            <w:vAlign w:val="center"/>
          </w:tcPr>
          <w:p w14:paraId="7CACF67E">
            <w:pPr>
              <w:snapToGrid w:val="0"/>
              <w:spacing w:line="360" w:lineRule="auto"/>
              <w:jc w:val="center"/>
              <w:rPr>
                <w:rFonts w:ascii="宋体" w:hAnsi="宋体" w:cs="宋体"/>
                <w:sz w:val="24"/>
              </w:rPr>
            </w:pPr>
          </w:p>
        </w:tc>
        <w:tc>
          <w:tcPr>
            <w:tcW w:w="2410" w:type="dxa"/>
            <w:vAlign w:val="center"/>
          </w:tcPr>
          <w:p w14:paraId="3BD55084">
            <w:pPr>
              <w:snapToGrid w:val="0"/>
              <w:spacing w:line="360" w:lineRule="auto"/>
              <w:jc w:val="center"/>
              <w:rPr>
                <w:rFonts w:ascii="宋体" w:hAnsi="宋体" w:cs="宋体"/>
                <w:sz w:val="24"/>
              </w:rPr>
            </w:pPr>
          </w:p>
        </w:tc>
        <w:tc>
          <w:tcPr>
            <w:tcW w:w="2268" w:type="dxa"/>
            <w:vAlign w:val="center"/>
          </w:tcPr>
          <w:p w14:paraId="29E92EB1">
            <w:pPr>
              <w:snapToGrid w:val="0"/>
              <w:spacing w:line="360" w:lineRule="auto"/>
              <w:jc w:val="center"/>
              <w:rPr>
                <w:rFonts w:ascii="宋体" w:hAnsi="宋体" w:cs="宋体"/>
                <w:sz w:val="24"/>
              </w:rPr>
            </w:pPr>
          </w:p>
        </w:tc>
        <w:tc>
          <w:tcPr>
            <w:tcW w:w="2126" w:type="dxa"/>
            <w:vAlign w:val="center"/>
          </w:tcPr>
          <w:p w14:paraId="0243656F">
            <w:pPr>
              <w:spacing w:line="360" w:lineRule="auto"/>
              <w:jc w:val="center"/>
              <w:rPr>
                <w:rFonts w:ascii="宋体" w:hAnsi="宋体" w:cs="宋体"/>
                <w:sz w:val="24"/>
              </w:rPr>
            </w:pPr>
          </w:p>
        </w:tc>
        <w:tc>
          <w:tcPr>
            <w:tcW w:w="2127" w:type="dxa"/>
          </w:tcPr>
          <w:p w14:paraId="64EBEE5B">
            <w:pPr>
              <w:spacing w:line="360" w:lineRule="auto"/>
              <w:jc w:val="center"/>
              <w:rPr>
                <w:rFonts w:ascii="宋体" w:hAnsi="宋体" w:cs="宋体"/>
                <w:sz w:val="24"/>
              </w:rPr>
            </w:pPr>
          </w:p>
        </w:tc>
        <w:tc>
          <w:tcPr>
            <w:tcW w:w="2126" w:type="dxa"/>
            <w:vAlign w:val="center"/>
          </w:tcPr>
          <w:p w14:paraId="67060CE3">
            <w:pPr>
              <w:spacing w:line="360" w:lineRule="auto"/>
              <w:jc w:val="center"/>
              <w:rPr>
                <w:rFonts w:ascii="宋体" w:hAnsi="宋体" w:cs="宋体"/>
                <w:sz w:val="24"/>
              </w:rPr>
            </w:pPr>
          </w:p>
        </w:tc>
      </w:tr>
      <w:tr w14:paraId="084D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8802F">
            <w:pPr>
              <w:spacing w:line="360" w:lineRule="auto"/>
              <w:jc w:val="center"/>
              <w:rPr>
                <w:rFonts w:ascii="宋体" w:hAnsi="宋体" w:cs="宋体"/>
                <w:sz w:val="24"/>
              </w:rPr>
            </w:pPr>
          </w:p>
        </w:tc>
        <w:tc>
          <w:tcPr>
            <w:tcW w:w="992" w:type="dxa"/>
            <w:vAlign w:val="center"/>
          </w:tcPr>
          <w:p w14:paraId="7F99809F">
            <w:pPr>
              <w:snapToGrid w:val="0"/>
              <w:spacing w:line="360" w:lineRule="auto"/>
              <w:jc w:val="center"/>
              <w:rPr>
                <w:rFonts w:ascii="宋体" w:hAnsi="宋体" w:cs="宋体"/>
                <w:sz w:val="24"/>
              </w:rPr>
            </w:pPr>
          </w:p>
        </w:tc>
        <w:tc>
          <w:tcPr>
            <w:tcW w:w="2268" w:type="dxa"/>
            <w:vAlign w:val="center"/>
          </w:tcPr>
          <w:p w14:paraId="381BCCD3">
            <w:pPr>
              <w:snapToGrid w:val="0"/>
              <w:spacing w:line="360" w:lineRule="auto"/>
              <w:jc w:val="center"/>
              <w:rPr>
                <w:rFonts w:ascii="宋体" w:hAnsi="宋体" w:cs="宋体"/>
                <w:sz w:val="24"/>
              </w:rPr>
            </w:pPr>
          </w:p>
        </w:tc>
        <w:tc>
          <w:tcPr>
            <w:tcW w:w="2410" w:type="dxa"/>
            <w:vAlign w:val="center"/>
          </w:tcPr>
          <w:p w14:paraId="6A19FD33">
            <w:pPr>
              <w:snapToGrid w:val="0"/>
              <w:spacing w:line="360" w:lineRule="auto"/>
              <w:jc w:val="center"/>
              <w:rPr>
                <w:rFonts w:ascii="宋体" w:hAnsi="宋体" w:cs="宋体"/>
                <w:sz w:val="24"/>
              </w:rPr>
            </w:pPr>
          </w:p>
        </w:tc>
        <w:tc>
          <w:tcPr>
            <w:tcW w:w="2268" w:type="dxa"/>
            <w:vAlign w:val="center"/>
          </w:tcPr>
          <w:p w14:paraId="437D9A2C">
            <w:pPr>
              <w:snapToGrid w:val="0"/>
              <w:spacing w:line="360" w:lineRule="auto"/>
              <w:jc w:val="center"/>
              <w:rPr>
                <w:rFonts w:ascii="宋体" w:hAnsi="宋体" w:cs="宋体"/>
                <w:sz w:val="24"/>
              </w:rPr>
            </w:pPr>
          </w:p>
        </w:tc>
        <w:tc>
          <w:tcPr>
            <w:tcW w:w="2126" w:type="dxa"/>
            <w:vAlign w:val="center"/>
          </w:tcPr>
          <w:p w14:paraId="4755BB12">
            <w:pPr>
              <w:spacing w:line="360" w:lineRule="auto"/>
              <w:jc w:val="center"/>
              <w:rPr>
                <w:rFonts w:ascii="宋体" w:hAnsi="宋体" w:cs="宋体"/>
                <w:sz w:val="24"/>
              </w:rPr>
            </w:pPr>
          </w:p>
        </w:tc>
        <w:tc>
          <w:tcPr>
            <w:tcW w:w="2127" w:type="dxa"/>
          </w:tcPr>
          <w:p w14:paraId="76235529">
            <w:pPr>
              <w:spacing w:line="360" w:lineRule="auto"/>
              <w:jc w:val="center"/>
              <w:rPr>
                <w:rFonts w:ascii="宋体" w:hAnsi="宋体" w:cs="宋体"/>
                <w:sz w:val="24"/>
              </w:rPr>
            </w:pPr>
          </w:p>
        </w:tc>
        <w:tc>
          <w:tcPr>
            <w:tcW w:w="2126" w:type="dxa"/>
            <w:vAlign w:val="center"/>
          </w:tcPr>
          <w:p w14:paraId="7041D1B1">
            <w:pPr>
              <w:spacing w:line="360" w:lineRule="auto"/>
              <w:jc w:val="center"/>
              <w:rPr>
                <w:rFonts w:ascii="宋体" w:hAnsi="宋体" w:cs="宋体"/>
                <w:sz w:val="24"/>
              </w:rPr>
            </w:pPr>
          </w:p>
        </w:tc>
      </w:tr>
      <w:tr w14:paraId="4CD8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8E53DF">
            <w:pPr>
              <w:spacing w:line="360" w:lineRule="auto"/>
              <w:jc w:val="center"/>
              <w:rPr>
                <w:rFonts w:ascii="宋体" w:hAnsi="宋体" w:cs="宋体"/>
                <w:sz w:val="24"/>
              </w:rPr>
            </w:pPr>
          </w:p>
        </w:tc>
        <w:tc>
          <w:tcPr>
            <w:tcW w:w="992" w:type="dxa"/>
            <w:vAlign w:val="center"/>
          </w:tcPr>
          <w:p w14:paraId="3B2DCFE7">
            <w:pPr>
              <w:snapToGrid w:val="0"/>
              <w:spacing w:line="360" w:lineRule="auto"/>
              <w:jc w:val="center"/>
              <w:rPr>
                <w:rFonts w:ascii="宋体" w:hAnsi="宋体" w:cs="宋体"/>
                <w:sz w:val="24"/>
              </w:rPr>
            </w:pPr>
          </w:p>
        </w:tc>
        <w:tc>
          <w:tcPr>
            <w:tcW w:w="2268" w:type="dxa"/>
            <w:vAlign w:val="center"/>
          </w:tcPr>
          <w:p w14:paraId="1D00C6D2">
            <w:pPr>
              <w:snapToGrid w:val="0"/>
              <w:spacing w:line="360" w:lineRule="auto"/>
              <w:jc w:val="center"/>
              <w:rPr>
                <w:rFonts w:ascii="宋体" w:hAnsi="宋体" w:cs="宋体"/>
                <w:sz w:val="24"/>
              </w:rPr>
            </w:pPr>
          </w:p>
        </w:tc>
        <w:tc>
          <w:tcPr>
            <w:tcW w:w="2410" w:type="dxa"/>
            <w:vAlign w:val="center"/>
          </w:tcPr>
          <w:p w14:paraId="4040A030">
            <w:pPr>
              <w:snapToGrid w:val="0"/>
              <w:spacing w:line="360" w:lineRule="auto"/>
              <w:jc w:val="center"/>
              <w:rPr>
                <w:rFonts w:ascii="宋体" w:hAnsi="宋体" w:cs="宋体"/>
                <w:sz w:val="24"/>
              </w:rPr>
            </w:pPr>
          </w:p>
        </w:tc>
        <w:tc>
          <w:tcPr>
            <w:tcW w:w="2268" w:type="dxa"/>
            <w:vAlign w:val="center"/>
          </w:tcPr>
          <w:p w14:paraId="24D6D70C">
            <w:pPr>
              <w:snapToGrid w:val="0"/>
              <w:spacing w:line="360" w:lineRule="auto"/>
              <w:jc w:val="center"/>
              <w:rPr>
                <w:rFonts w:ascii="宋体" w:hAnsi="宋体" w:cs="宋体"/>
                <w:sz w:val="24"/>
              </w:rPr>
            </w:pPr>
          </w:p>
        </w:tc>
        <w:tc>
          <w:tcPr>
            <w:tcW w:w="2126" w:type="dxa"/>
            <w:vAlign w:val="center"/>
          </w:tcPr>
          <w:p w14:paraId="6E3EB010">
            <w:pPr>
              <w:spacing w:line="360" w:lineRule="auto"/>
              <w:jc w:val="center"/>
              <w:rPr>
                <w:rFonts w:ascii="宋体" w:hAnsi="宋体" w:cs="宋体"/>
                <w:sz w:val="24"/>
              </w:rPr>
            </w:pPr>
          </w:p>
        </w:tc>
        <w:tc>
          <w:tcPr>
            <w:tcW w:w="2127" w:type="dxa"/>
          </w:tcPr>
          <w:p w14:paraId="02473E11">
            <w:pPr>
              <w:spacing w:line="360" w:lineRule="auto"/>
              <w:jc w:val="center"/>
              <w:rPr>
                <w:rFonts w:ascii="宋体" w:hAnsi="宋体" w:cs="宋体"/>
                <w:sz w:val="24"/>
              </w:rPr>
            </w:pPr>
          </w:p>
        </w:tc>
        <w:tc>
          <w:tcPr>
            <w:tcW w:w="2126" w:type="dxa"/>
            <w:vAlign w:val="center"/>
          </w:tcPr>
          <w:p w14:paraId="09595874">
            <w:pPr>
              <w:spacing w:line="360" w:lineRule="auto"/>
              <w:jc w:val="center"/>
              <w:rPr>
                <w:rFonts w:ascii="宋体" w:hAnsi="宋体" w:cs="宋体"/>
                <w:sz w:val="24"/>
              </w:rPr>
            </w:pPr>
          </w:p>
        </w:tc>
      </w:tr>
      <w:tr w14:paraId="424D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DD2DD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E63C566">
            <w:pPr>
              <w:spacing w:line="360" w:lineRule="auto"/>
              <w:jc w:val="center"/>
              <w:rPr>
                <w:rFonts w:ascii="宋体" w:hAnsi="宋体" w:cs="宋体"/>
                <w:sz w:val="24"/>
              </w:rPr>
            </w:pPr>
          </w:p>
        </w:tc>
      </w:tr>
      <w:tr w14:paraId="1191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AFD748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5AF4893">
            <w:pPr>
              <w:spacing w:line="360" w:lineRule="auto"/>
              <w:jc w:val="center"/>
              <w:rPr>
                <w:rFonts w:ascii="宋体" w:hAnsi="宋体" w:cs="宋体"/>
                <w:sz w:val="24"/>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CAC835E">
      <w:pPr>
        <w:snapToGrid w:val="0"/>
        <w:spacing w:line="360" w:lineRule="auto"/>
        <w:ind w:firstLine="480" w:firstLineChars="200"/>
        <w:jc w:val="left"/>
        <w:rPr>
          <w:rFonts w:hint="eastAsia" w:ascii="宋体" w:hAnsi="宋体" w:cs="宋体"/>
          <w:color w:val="auto"/>
          <w:kern w:val="0"/>
          <w:sz w:val="24"/>
          <w:highlight w:val="none"/>
          <w:lang w:val="zh-CN"/>
        </w:rPr>
        <w:sectPr>
          <w:pgSz w:w="16838" w:h="11906" w:orient="landscape"/>
          <w:pgMar w:top="1418" w:right="779" w:bottom="1418" w:left="468" w:header="851" w:footer="992" w:gutter="0"/>
          <w:pgNumType w:fmt="decimal"/>
          <w:cols w:space="720" w:num="1"/>
          <w:titlePg/>
          <w:docGrid w:linePitch="312" w:charSpace="0"/>
        </w:sect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995715E">
      <w:pPr>
        <w:pStyle w:val="11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632"/>
        <w:rPr>
          <w:rFonts w:hint="eastAsia" w:ascii="宋体" w:hAnsi="宋体" w:cs="宋体"/>
          <w:b/>
          <w:color w:val="auto"/>
          <w:sz w:val="24"/>
          <w:highlight w:val="none"/>
        </w:rPr>
      </w:pPr>
    </w:p>
    <w:p w14:paraId="1AA2EA6C">
      <w:pPr>
        <w:pStyle w:val="632"/>
        <w:rPr>
          <w:rFonts w:hint="eastAsia" w:ascii="宋体" w:hAnsi="宋体" w:cs="宋体"/>
          <w:b/>
          <w:color w:val="auto"/>
          <w:sz w:val="24"/>
          <w:highlight w:val="none"/>
        </w:rPr>
      </w:pPr>
    </w:p>
    <w:p w14:paraId="4AF87534">
      <w:pPr>
        <w:pStyle w:val="11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122" w:name="OLE_LINK14"/>
      <w:bookmarkStart w:id="123" w:name="OLE_LINK13"/>
      <w:r>
        <w:rPr>
          <w:rFonts w:hint="eastAsia" w:ascii="宋体" w:hAnsi="宋体" w:cs="宋体"/>
          <w:b/>
          <w:color w:val="auto"/>
          <w:spacing w:val="6"/>
          <w:sz w:val="32"/>
          <w:szCs w:val="32"/>
          <w:highlight w:val="none"/>
        </w:rPr>
        <w:t>残疾人福利性单位声明函</w:t>
      </w:r>
    </w:p>
    <w:bookmarkEnd w:id="122"/>
    <w:bookmarkEnd w:id="12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D9639D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9D35B8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3EE106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5AD9D38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2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2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2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2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2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2F1AC7D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16CFF11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23A84AE">
      <w:pPr>
        <w:pStyle w:val="25"/>
        <w:rPr>
          <w:rFonts w:hint="eastAsia"/>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B9A76">
                          <w:pPr>
                            <w:pStyle w:val="37"/>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EFB9A76">
                    <w:pPr>
                      <w:pStyle w:val="37"/>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7"/>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F90E4">
                          <w:pPr>
                            <w:pStyle w:val="37"/>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58F90E4">
                    <w:pPr>
                      <w:pStyle w:val="37"/>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7"/>
      <w:framePr w:wrap="around" w:vAnchor="text" w:hAnchor="margin" w:xAlign="right" w:y="1"/>
      <w:rPr>
        <w:rStyle w:val="64"/>
      </w:rPr>
    </w:pPr>
    <w:r>
      <w:fldChar w:fldCharType="begin"/>
    </w:r>
    <w:r>
      <w:rPr>
        <w:rStyle w:val="64"/>
      </w:rPr>
      <w:instrText xml:space="preserve">PAGE  </w:instrText>
    </w:r>
    <w:r>
      <w:fldChar w:fldCharType="end"/>
    </w:r>
  </w:p>
  <w:p w14:paraId="65FC6C0A">
    <w:pPr>
      <w:pStyle w:val="3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7"/>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C8232">
                          <w:pPr>
                            <w:pStyle w:val="37"/>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AC8232">
                    <w:pPr>
                      <w:pStyle w:val="37"/>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2C7B">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60B00">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B60B00">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AD8F">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C2D5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3C2D5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58C69">
                          <w:pPr>
                            <w:pStyle w:val="3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F58C69">
                    <w:pPr>
                      <w:pStyle w:val="3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CB74">
                          <w:pPr>
                            <w:pStyle w:val="3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F3CB74">
                    <w:pPr>
                      <w:pStyle w:val="3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C3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60BDF">
                          <w:pPr>
                            <w:pStyle w:val="37"/>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B60BDF">
                    <w:pPr>
                      <w:pStyle w:val="37"/>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1DD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CB5A3">
                          <w:pPr>
                            <w:pStyle w:val="37"/>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35CB5A3">
                    <w:pPr>
                      <w:pStyle w:val="37"/>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F2B10">
                          <w:pPr>
                            <w:pStyle w:val="37"/>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0BF2B10">
                    <w:pPr>
                      <w:pStyle w:val="37"/>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38"/>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38"/>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38"/>
    </w:pPr>
    <w:r>
      <w:t></w:t>
    </w:r>
    <w:r>
      <w:rPr>
        <w:rFonts w:hint="eastAsia"/>
      </w:rPr>
      <w:t xml:space="preserve">         </w:t>
    </w:r>
  </w:p>
  <w:p w14:paraId="6F97612A">
    <w:pPr>
      <w:pStyle w:val="38"/>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38"/>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38"/>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right"/>
      <w:rPr>
        <w:rFonts w:eastAsia="仿宋_GB2312"/>
      </w:rPr>
    </w:pPr>
    <w:r>
      <w:rPr>
        <w:rFonts w:hint="eastAsia" w:eastAsia="仿宋_GB2312"/>
        <w:i/>
        <w:iCs/>
      </w:rPr>
      <w:t>杭州市政府采购竞争性磋商文件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jc w:val="right"/>
      <w:rPr>
        <w:rFonts w:eastAsia="仿宋_GB2312"/>
      </w:rPr>
    </w:pPr>
    <w:r>
      <w:rPr>
        <w:rFonts w:hint="eastAsia" w:eastAsia="仿宋_GB2312"/>
        <w:i/>
        <w:iCs/>
      </w:rPr>
      <w:t>杭州市政府采购竞争性磋商文件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38"/>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F7BC0"/>
    <w:multiLevelType w:val="singleLevel"/>
    <w:tmpl w:val="D89F7BC0"/>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556F827"/>
    <w:multiLevelType w:val="singleLevel"/>
    <w:tmpl w:val="0556F827"/>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64162D7"/>
    <w:multiLevelType w:val="singleLevel"/>
    <w:tmpl w:val="464162D7"/>
    <w:lvl w:ilvl="0" w:tentative="0">
      <w:start w:val="1"/>
      <w:numFmt w:val="decimal"/>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171CE10"/>
    <w:multiLevelType w:val="singleLevel"/>
    <w:tmpl w:val="6171CE10"/>
    <w:lvl w:ilvl="0" w:tentative="0">
      <w:start w:val="1"/>
      <w:numFmt w:val="decimal"/>
      <w:suff w:val="nothing"/>
      <w:lvlText w:val="（%1）"/>
      <w:lvlJc w:val="left"/>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9"/>
  </w:num>
  <w:num w:numId="6">
    <w:abstractNumId w:val="12"/>
  </w:num>
  <w:num w:numId="7">
    <w:abstractNumId w:val="13"/>
  </w:num>
  <w:num w:numId="8">
    <w:abstractNumId w:val="11"/>
  </w:num>
  <w:num w:numId="9">
    <w:abstractNumId w:val="4"/>
  </w:num>
  <w:num w:numId="10">
    <w:abstractNumId w:val="0"/>
  </w:num>
  <w:num w:numId="11">
    <w:abstractNumId w:val="8"/>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MTU2YTY1NWEzZmQyNjhiNmE5ZDgyYTlkMmQyY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186A33"/>
    <w:rsid w:val="02A66735"/>
    <w:rsid w:val="02DA0C0E"/>
    <w:rsid w:val="02EB05EB"/>
    <w:rsid w:val="02FF3972"/>
    <w:rsid w:val="03290669"/>
    <w:rsid w:val="03525F75"/>
    <w:rsid w:val="03766107"/>
    <w:rsid w:val="03795BF7"/>
    <w:rsid w:val="03DD35E4"/>
    <w:rsid w:val="03EF1A15"/>
    <w:rsid w:val="04B36EE7"/>
    <w:rsid w:val="04F419D9"/>
    <w:rsid w:val="054B5371"/>
    <w:rsid w:val="058A7C48"/>
    <w:rsid w:val="064139CC"/>
    <w:rsid w:val="065A6178"/>
    <w:rsid w:val="069C6813"/>
    <w:rsid w:val="06B857B9"/>
    <w:rsid w:val="074E5106"/>
    <w:rsid w:val="075562B7"/>
    <w:rsid w:val="07564C31"/>
    <w:rsid w:val="07685043"/>
    <w:rsid w:val="0774548E"/>
    <w:rsid w:val="07AD40C1"/>
    <w:rsid w:val="07E8312C"/>
    <w:rsid w:val="07F6164B"/>
    <w:rsid w:val="0878022B"/>
    <w:rsid w:val="087A1B7A"/>
    <w:rsid w:val="08E65ADD"/>
    <w:rsid w:val="08ED64C0"/>
    <w:rsid w:val="08F06627"/>
    <w:rsid w:val="093525C0"/>
    <w:rsid w:val="096B2097"/>
    <w:rsid w:val="0978308C"/>
    <w:rsid w:val="097F383C"/>
    <w:rsid w:val="0A02431C"/>
    <w:rsid w:val="0A5B7E63"/>
    <w:rsid w:val="0A786C09"/>
    <w:rsid w:val="0A7964DD"/>
    <w:rsid w:val="0A93759F"/>
    <w:rsid w:val="0ACA55D0"/>
    <w:rsid w:val="0ACD4199"/>
    <w:rsid w:val="0B3C19E4"/>
    <w:rsid w:val="0B470389"/>
    <w:rsid w:val="0C1C7A68"/>
    <w:rsid w:val="0C272694"/>
    <w:rsid w:val="0C7451AE"/>
    <w:rsid w:val="0C87121B"/>
    <w:rsid w:val="0C9870EE"/>
    <w:rsid w:val="0CA57A5D"/>
    <w:rsid w:val="0CA710DF"/>
    <w:rsid w:val="0D2C7836"/>
    <w:rsid w:val="0D406E70"/>
    <w:rsid w:val="0DF702FE"/>
    <w:rsid w:val="0E3F698B"/>
    <w:rsid w:val="0E6C1257"/>
    <w:rsid w:val="0E9B2EC6"/>
    <w:rsid w:val="0F21508F"/>
    <w:rsid w:val="0F5A5835"/>
    <w:rsid w:val="0F816ACD"/>
    <w:rsid w:val="0FB94501"/>
    <w:rsid w:val="100B407B"/>
    <w:rsid w:val="10252FC2"/>
    <w:rsid w:val="108F25B6"/>
    <w:rsid w:val="10AC1E65"/>
    <w:rsid w:val="10B047CF"/>
    <w:rsid w:val="10BB47E2"/>
    <w:rsid w:val="10FC16EA"/>
    <w:rsid w:val="118963A1"/>
    <w:rsid w:val="11987B90"/>
    <w:rsid w:val="119C142F"/>
    <w:rsid w:val="11A433C1"/>
    <w:rsid w:val="11D24E50"/>
    <w:rsid w:val="121556F8"/>
    <w:rsid w:val="1235718D"/>
    <w:rsid w:val="127723A9"/>
    <w:rsid w:val="129A3494"/>
    <w:rsid w:val="12B40B75"/>
    <w:rsid w:val="13072A44"/>
    <w:rsid w:val="13262232"/>
    <w:rsid w:val="132F6A72"/>
    <w:rsid w:val="13897791"/>
    <w:rsid w:val="13DF5603"/>
    <w:rsid w:val="13F05A62"/>
    <w:rsid w:val="141075D0"/>
    <w:rsid w:val="142D34E3"/>
    <w:rsid w:val="145044FA"/>
    <w:rsid w:val="149F1820"/>
    <w:rsid w:val="14A625C4"/>
    <w:rsid w:val="14B24AC5"/>
    <w:rsid w:val="14B922F8"/>
    <w:rsid w:val="14D21850"/>
    <w:rsid w:val="14FB646C"/>
    <w:rsid w:val="15474F0A"/>
    <w:rsid w:val="157F52EF"/>
    <w:rsid w:val="15826B8D"/>
    <w:rsid w:val="15BB2B67"/>
    <w:rsid w:val="16163B51"/>
    <w:rsid w:val="16297D66"/>
    <w:rsid w:val="162D4D4B"/>
    <w:rsid w:val="16F5338F"/>
    <w:rsid w:val="17255A22"/>
    <w:rsid w:val="178642C9"/>
    <w:rsid w:val="179D7CAF"/>
    <w:rsid w:val="184F73DC"/>
    <w:rsid w:val="186742B0"/>
    <w:rsid w:val="18B74E5C"/>
    <w:rsid w:val="18D53478"/>
    <w:rsid w:val="19267830"/>
    <w:rsid w:val="19925ACB"/>
    <w:rsid w:val="19CD414F"/>
    <w:rsid w:val="1AF13750"/>
    <w:rsid w:val="1B043BA1"/>
    <w:rsid w:val="1B2A271F"/>
    <w:rsid w:val="1B4F3923"/>
    <w:rsid w:val="1B890139"/>
    <w:rsid w:val="1CBA0DC9"/>
    <w:rsid w:val="1CE95744"/>
    <w:rsid w:val="1D266CE1"/>
    <w:rsid w:val="1D344C11"/>
    <w:rsid w:val="1D3963AF"/>
    <w:rsid w:val="1D81597C"/>
    <w:rsid w:val="1DB55626"/>
    <w:rsid w:val="1DFA6FB2"/>
    <w:rsid w:val="1E253203"/>
    <w:rsid w:val="1E714A66"/>
    <w:rsid w:val="1E766B63"/>
    <w:rsid w:val="1E8C751D"/>
    <w:rsid w:val="1EA9518B"/>
    <w:rsid w:val="1EF65EF6"/>
    <w:rsid w:val="1F0A7915"/>
    <w:rsid w:val="1F6605F9"/>
    <w:rsid w:val="1F6B63EC"/>
    <w:rsid w:val="1F8B2AE2"/>
    <w:rsid w:val="1FA971A1"/>
    <w:rsid w:val="1FE868A9"/>
    <w:rsid w:val="200547B4"/>
    <w:rsid w:val="20280331"/>
    <w:rsid w:val="202F346E"/>
    <w:rsid w:val="204A2F8F"/>
    <w:rsid w:val="20735A50"/>
    <w:rsid w:val="20BE47F2"/>
    <w:rsid w:val="20F603D2"/>
    <w:rsid w:val="211E26D6"/>
    <w:rsid w:val="21283D08"/>
    <w:rsid w:val="21311468"/>
    <w:rsid w:val="21556F04"/>
    <w:rsid w:val="2195315C"/>
    <w:rsid w:val="21AB121A"/>
    <w:rsid w:val="21CB27F1"/>
    <w:rsid w:val="220821C8"/>
    <w:rsid w:val="230F7587"/>
    <w:rsid w:val="23621ECB"/>
    <w:rsid w:val="239A1546"/>
    <w:rsid w:val="24555570"/>
    <w:rsid w:val="24A81A41"/>
    <w:rsid w:val="25007ACF"/>
    <w:rsid w:val="25191329"/>
    <w:rsid w:val="258160E4"/>
    <w:rsid w:val="25B440B3"/>
    <w:rsid w:val="26137703"/>
    <w:rsid w:val="265359DC"/>
    <w:rsid w:val="267C3185"/>
    <w:rsid w:val="26BE19EF"/>
    <w:rsid w:val="26C37006"/>
    <w:rsid w:val="26EB5CD8"/>
    <w:rsid w:val="26F23447"/>
    <w:rsid w:val="27C0561D"/>
    <w:rsid w:val="27D8088F"/>
    <w:rsid w:val="27EB05C2"/>
    <w:rsid w:val="280D5870"/>
    <w:rsid w:val="28E74C36"/>
    <w:rsid w:val="28F84BBB"/>
    <w:rsid w:val="290707D5"/>
    <w:rsid w:val="29143B49"/>
    <w:rsid w:val="29514455"/>
    <w:rsid w:val="298A6197"/>
    <w:rsid w:val="299F0CB6"/>
    <w:rsid w:val="29D37560"/>
    <w:rsid w:val="29DF7CB3"/>
    <w:rsid w:val="2A5A37DD"/>
    <w:rsid w:val="2A930A9D"/>
    <w:rsid w:val="2AA1365A"/>
    <w:rsid w:val="2B30453E"/>
    <w:rsid w:val="2B434271"/>
    <w:rsid w:val="2BF13CCD"/>
    <w:rsid w:val="2C550700"/>
    <w:rsid w:val="2CCF6074"/>
    <w:rsid w:val="2CD56765"/>
    <w:rsid w:val="2D0B0DBF"/>
    <w:rsid w:val="2D143BBB"/>
    <w:rsid w:val="2D482013"/>
    <w:rsid w:val="2D4D2A86"/>
    <w:rsid w:val="2D4D661C"/>
    <w:rsid w:val="2D601FCA"/>
    <w:rsid w:val="2D8D21DF"/>
    <w:rsid w:val="2D994FB5"/>
    <w:rsid w:val="2DA57465"/>
    <w:rsid w:val="2DC25921"/>
    <w:rsid w:val="2DC46415"/>
    <w:rsid w:val="2DD15014"/>
    <w:rsid w:val="2DDB7535"/>
    <w:rsid w:val="2E782484"/>
    <w:rsid w:val="2E7F6628"/>
    <w:rsid w:val="2EF835C5"/>
    <w:rsid w:val="2F4A2072"/>
    <w:rsid w:val="2F6D5D61"/>
    <w:rsid w:val="2FB44A0F"/>
    <w:rsid w:val="2FD25781"/>
    <w:rsid w:val="3049232A"/>
    <w:rsid w:val="30CD2F5B"/>
    <w:rsid w:val="310B5831"/>
    <w:rsid w:val="319C6071"/>
    <w:rsid w:val="31A905EB"/>
    <w:rsid w:val="3216630D"/>
    <w:rsid w:val="322E1CFE"/>
    <w:rsid w:val="32633C7F"/>
    <w:rsid w:val="32737B32"/>
    <w:rsid w:val="32DB72BE"/>
    <w:rsid w:val="332D5F33"/>
    <w:rsid w:val="33AA7583"/>
    <w:rsid w:val="33FC5905"/>
    <w:rsid w:val="34034EE6"/>
    <w:rsid w:val="342E63AB"/>
    <w:rsid w:val="345D260B"/>
    <w:rsid w:val="34737FC2"/>
    <w:rsid w:val="34963664"/>
    <w:rsid w:val="350B5E00"/>
    <w:rsid w:val="357065AB"/>
    <w:rsid w:val="35753BC1"/>
    <w:rsid w:val="357853FC"/>
    <w:rsid w:val="36156A40"/>
    <w:rsid w:val="362B4280"/>
    <w:rsid w:val="364C2B74"/>
    <w:rsid w:val="365302AE"/>
    <w:rsid w:val="36AC3612"/>
    <w:rsid w:val="370945C1"/>
    <w:rsid w:val="37217B5C"/>
    <w:rsid w:val="37287589"/>
    <w:rsid w:val="37555A58"/>
    <w:rsid w:val="37584904"/>
    <w:rsid w:val="375872F6"/>
    <w:rsid w:val="37C24A54"/>
    <w:rsid w:val="37C87FD8"/>
    <w:rsid w:val="37F142D2"/>
    <w:rsid w:val="3836588A"/>
    <w:rsid w:val="383E029A"/>
    <w:rsid w:val="387E4B3B"/>
    <w:rsid w:val="38DE55D9"/>
    <w:rsid w:val="38E250CA"/>
    <w:rsid w:val="38E30E42"/>
    <w:rsid w:val="391D25A6"/>
    <w:rsid w:val="392C4597"/>
    <w:rsid w:val="39565C38"/>
    <w:rsid w:val="39A13F14"/>
    <w:rsid w:val="39BF3306"/>
    <w:rsid w:val="3A233BEC"/>
    <w:rsid w:val="3A383CB2"/>
    <w:rsid w:val="3A52627F"/>
    <w:rsid w:val="3AC9662A"/>
    <w:rsid w:val="3AFD1719"/>
    <w:rsid w:val="3B3168F3"/>
    <w:rsid w:val="3B6A5AD3"/>
    <w:rsid w:val="3B79C5FC"/>
    <w:rsid w:val="3C3A521C"/>
    <w:rsid w:val="3C5F759A"/>
    <w:rsid w:val="3C9506A5"/>
    <w:rsid w:val="3CFB29E7"/>
    <w:rsid w:val="3D5C78D4"/>
    <w:rsid w:val="3D8C1AA8"/>
    <w:rsid w:val="3D9B7F3D"/>
    <w:rsid w:val="3DBC05DF"/>
    <w:rsid w:val="3DEE31B7"/>
    <w:rsid w:val="3E533921"/>
    <w:rsid w:val="3E772758"/>
    <w:rsid w:val="3F3A2666"/>
    <w:rsid w:val="3F6C78B8"/>
    <w:rsid w:val="3FC203C9"/>
    <w:rsid w:val="3FD61700"/>
    <w:rsid w:val="3FE44323"/>
    <w:rsid w:val="3FFF72A6"/>
    <w:rsid w:val="40C477AB"/>
    <w:rsid w:val="40E165AE"/>
    <w:rsid w:val="41281AE7"/>
    <w:rsid w:val="41770CEE"/>
    <w:rsid w:val="41872CB2"/>
    <w:rsid w:val="42103979"/>
    <w:rsid w:val="42E1381E"/>
    <w:rsid w:val="42E47CD2"/>
    <w:rsid w:val="43362BE2"/>
    <w:rsid w:val="435272F0"/>
    <w:rsid w:val="43754D8C"/>
    <w:rsid w:val="43B81461"/>
    <w:rsid w:val="43C7383A"/>
    <w:rsid w:val="43FB717C"/>
    <w:rsid w:val="4453331F"/>
    <w:rsid w:val="44A665F1"/>
    <w:rsid w:val="44C61D43"/>
    <w:rsid w:val="44F2475C"/>
    <w:rsid w:val="451E447A"/>
    <w:rsid w:val="45345B76"/>
    <w:rsid w:val="458A0FC3"/>
    <w:rsid w:val="45B44352"/>
    <w:rsid w:val="45C407F8"/>
    <w:rsid w:val="46535859"/>
    <w:rsid w:val="46C73B51"/>
    <w:rsid w:val="46F612C3"/>
    <w:rsid w:val="46F669BE"/>
    <w:rsid w:val="470B1C8F"/>
    <w:rsid w:val="471425D5"/>
    <w:rsid w:val="47307808"/>
    <w:rsid w:val="47A3275F"/>
    <w:rsid w:val="47AF6EE1"/>
    <w:rsid w:val="47E726FC"/>
    <w:rsid w:val="485633DE"/>
    <w:rsid w:val="486F747C"/>
    <w:rsid w:val="48DF1625"/>
    <w:rsid w:val="49A40179"/>
    <w:rsid w:val="49EC3FFA"/>
    <w:rsid w:val="49F904C5"/>
    <w:rsid w:val="4A1C51FA"/>
    <w:rsid w:val="4A4F2DB8"/>
    <w:rsid w:val="4A841357"/>
    <w:rsid w:val="4AC62A0B"/>
    <w:rsid w:val="4AFB026D"/>
    <w:rsid w:val="4B64529E"/>
    <w:rsid w:val="4BC60A62"/>
    <w:rsid w:val="4D493511"/>
    <w:rsid w:val="4D5819A6"/>
    <w:rsid w:val="4D861CF6"/>
    <w:rsid w:val="4DD27803"/>
    <w:rsid w:val="4E4D5946"/>
    <w:rsid w:val="4E6F5B58"/>
    <w:rsid w:val="4EA604F0"/>
    <w:rsid w:val="4F161B19"/>
    <w:rsid w:val="4F637D7D"/>
    <w:rsid w:val="4FC75311"/>
    <w:rsid w:val="4FCD042A"/>
    <w:rsid w:val="50102E4D"/>
    <w:rsid w:val="50213B5F"/>
    <w:rsid w:val="50250266"/>
    <w:rsid w:val="502D757B"/>
    <w:rsid w:val="505A77E4"/>
    <w:rsid w:val="50947199"/>
    <w:rsid w:val="51087240"/>
    <w:rsid w:val="514364CA"/>
    <w:rsid w:val="51A0432A"/>
    <w:rsid w:val="51B86AD1"/>
    <w:rsid w:val="51BF0246"/>
    <w:rsid w:val="5207583A"/>
    <w:rsid w:val="520E0886"/>
    <w:rsid w:val="522E2CD6"/>
    <w:rsid w:val="527140E5"/>
    <w:rsid w:val="5292508F"/>
    <w:rsid w:val="52A96B6F"/>
    <w:rsid w:val="52B551A5"/>
    <w:rsid w:val="52BA27BB"/>
    <w:rsid w:val="5338205E"/>
    <w:rsid w:val="535B4061"/>
    <w:rsid w:val="53B92A73"/>
    <w:rsid w:val="53DD2C05"/>
    <w:rsid w:val="53E20440"/>
    <w:rsid w:val="542E3166"/>
    <w:rsid w:val="543E18F6"/>
    <w:rsid w:val="5453233C"/>
    <w:rsid w:val="545735C7"/>
    <w:rsid w:val="54930E84"/>
    <w:rsid w:val="549B40CD"/>
    <w:rsid w:val="54A84FC1"/>
    <w:rsid w:val="54E24F3E"/>
    <w:rsid w:val="550764A4"/>
    <w:rsid w:val="551926E0"/>
    <w:rsid w:val="5527238A"/>
    <w:rsid w:val="553D0290"/>
    <w:rsid w:val="55564C24"/>
    <w:rsid w:val="559E76F0"/>
    <w:rsid w:val="55DF6961"/>
    <w:rsid w:val="55EA33B8"/>
    <w:rsid w:val="561279B9"/>
    <w:rsid w:val="561F3061"/>
    <w:rsid w:val="56462CE4"/>
    <w:rsid w:val="564F5F12"/>
    <w:rsid w:val="56515F3B"/>
    <w:rsid w:val="565F3DA6"/>
    <w:rsid w:val="56682C5A"/>
    <w:rsid w:val="5676E2BD"/>
    <w:rsid w:val="56945064"/>
    <w:rsid w:val="56F95FA8"/>
    <w:rsid w:val="570B0881"/>
    <w:rsid w:val="572B71CA"/>
    <w:rsid w:val="57947A7F"/>
    <w:rsid w:val="57C245EC"/>
    <w:rsid w:val="57E958DA"/>
    <w:rsid w:val="57FD3E2B"/>
    <w:rsid w:val="58185E81"/>
    <w:rsid w:val="58AE4F0C"/>
    <w:rsid w:val="58D81BED"/>
    <w:rsid w:val="58DE7204"/>
    <w:rsid w:val="58F46A27"/>
    <w:rsid w:val="58FC3B2E"/>
    <w:rsid w:val="599864FB"/>
    <w:rsid w:val="59A64B68"/>
    <w:rsid w:val="59E3154C"/>
    <w:rsid w:val="5A2A7C7B"/>
    <w:rsid w:val="5A4237C2"/>
    <w:rsid w:val="5A6B0F6B"/>
    <w:rsid w:val="5AA24727"/>
    <w:rsid w:val="5ABF40D3"/>
    <w:rsid w:val="5BE02A4F"/>
    <w:rsid w:val="5C025177"/>
    <w:rsid w:val="5C3B671B"/>
    <w:rsid w:val="5C80234E"/>
    <w:rsid w:val="5CB12E81"/>
    <w:rsid w:val="5CF36FF6"/>
    <w:rsid w:val="5D40331D"/>
    <w:rsid w:val="5D573A29"/>
    <w:rsid w:val="5D964551"/>
    <w:rsid w:val="5DE07B6A"/>
    <w:rsid w:val="5DE80ECD"/>
    <w:rsid w:val="5DEA21A7"/>
    <w:rsid w:val="5E261785"/>
    <w:rsid w:val="5E47584B"/>
    <w:rsid w:val="5E4E141F"/>
    <w:rsid w:val="5E956320"/>
    <w:rsid w:val="5EDF3CD6"/>
    <w:rsid w:val="5F0C439F"/>
    <w:rsid w:val="5F28567D"/>
    <w:rsid w:val="5F8E3006"/>
    <w:rsid w:val="5FCC5339"/>
    <w:rsid w:val="5FE45AFE"/>
    <w:rsid w:val="5FE70807"/>
    <w:rsid w:val="5FFE112B"/>
    <w:rsid w:val="60365B77"/>
    <w:rsid w:val="603B318E"/>
    <w:rsid w:val="60730E9C"/>
    <w:rsid w:val="60E53485"/>
    <w:rsid w:val="60ED54D3"/>
    <w:rsid w:val="61054A27"/>
    <w:rsid w:val="611D2366"/>
    <w:rsid w:val="612A3574"/>
    <w:rsid w:val="61466840"/>
    <w:rsid w:val="614E5143"/>
    <w:rsid w:val="617F70AA"/>
    <w:rsid w:val="61EF4D33"/>
    <w:rsid w:val="61F950AE"/>
    <w:rsid w:val="620D0B5A"/>
    <w:rsid w:val="625247BE"/>
    <w:rsid w:val="626A1B08"/>
    <w:rsid w:val="62885958"/>
    <w:rsid w:val="62AC3ECF"/>
    <w:rsid w:val="62C2255D"/>
    <w:rsid w:val="62FB4E56"/>
    <w:rsid w:val="630E06E5"/>
    <w:rsid w:val="63543522"/>
    <w:rsid w:val="63C74D38"/>
    <w:rsid w:val="64436AB5"/>
    <w:rsid w:val="647B3B52"/>
    <w:rsid w:val="64A2464C"/>
    <w:rsid w:val="64A6459D"/>
    <w:rsid w:val="64AE26C6"/>
    <w:rsid w:val="64CE2EAA"/>
    <w:rsid w:val="65384140"/>
    <w:rsid w:val="6580759D"/>
    <w:rsid w:val="65F95FCF"/>
    <w:rsid w:val="662E75B1"/>
    <w:rsid w:val="66342C2E"/>
    <w:rsid w:val="663E784C"/>
    <w:rsid w:val="66CD49A5"/>
    <w:rsid w:val="674C7A59"/>
    <w:rsid w:val="67C63C85"/>
    <w:rsid w:val="680E1B3B"/>
    <w:rsid w:val="682B1D3A"/>
    <w:rsid w:val="68556DB7"/>
    <w:rsid w:val="685867EC"/>
    <w:rsid w:val="68A90854"/>
    <w:rsid w:val="68F465CF"/>
    <w:rsid w:val="69000A2F"/>
    <w:rsid w:val="690925C3"/>
    <w:rsid w:val="695B03FD"/>
    <w:rsid w:val="698E432E"/>
    <w:rsid w:val="6A1330E9"/>
    <w:rsid w:val="6ABE08EB"/>
    <w:rsid w:val="6AEF52A0"/>
    <w:rsid w:val="6AFD5FCC"/>
    <w:rsid w:val="6B9D3CB8"/>
    <w:rsid w:val="6BD66460"/>
    <w:rsid w:val="6BE935CE"/>
    <w:rsid w:val="6BED47D0"/>
    <w:rsid w:val="6BF608B1"/>
    <w:rsid w:val="6C830396"/>
    <w:rsid w:val="6D01030E"/>
    <w:rsid w:val="6D033285"/>
    <w:rsid w:val="6D093549"/>
    <w:rsid w:val="6D0F4353"/>
    <w:rsid w:val="6DB30807"/>
    <w:rsid w:val="6DDF7A9C"/>
    <w:rsid w:val="6E3F209B"/>
    <w:rsid w:val="6E8E12EF"/>
    <w:rsid w:val="6EF56BFD"/>
    <w:rsid w:val="6F347726"/>
    <w:rsid w:val="6FD71C4D"/>
    <w:rsid w:val="6FFB4B3D"/>
    <w:rsid w:val="70124EFA"/>
    <w:rsid w:val="708A15C7"/>
    <w:rsid w:val="71381023"/>
    <w:rsid w:val="71AD37BF"/>
    <w:rsid w:val="71CC6099"/>
    <w:rsid w:val="71D43752"/>
    <w:rsid w:val="71D84CE0"/>
    <w:rsid w:val="72847FD7"/>
    <w:rsid w:val="72A11F2B"/>
    <w:rsid w:val="72B648F6"/>
    <w:rsid w:val="72BE6102"/>
    <w:rsid w:val="72F01BB6"/>
    <w:rsid w:val="72FFFA5B"/>
    <w:rsid w:val="737C5B3F"/>
    <w:rsid w:val="73DD6243"/>
    <w:rsid w:val="73F456D6"/>
    <w:rsid w:val="741B2381"/>
    <w:rsid w:val="749A44CF"/>
    <w:rsid w:val="749C4185"/>
    <w:rsid w:val="74DD0860"/>
    <w:rsid w:val="75114065"/>
    <w:rsid w:val="752B3379"/>
    <w:rsid w:val="758919A7"/>
    <w:rsid w:val="758B3E18"/>
    <w:rsid w:val="75DA2C18"/>
    <w:rsid w:val="75FE0A8D"/>
    <w:rsid w:val="767C3D02"/>
    <w:rsid w:val="768A0573"/>
    <w:rsid w:val="76B455F0"/>
    <w:rsid w:val="76ED7D74"/>
    <w:rsid w:val="77144B96"/>
    <w:rsid w:val="775319EF"/>
    <w:rsid w:val="7756518C"/>
    <w:rsid w:val="77585F7B"/>
    <w:rsid w:val="779C055E"/>
    <w:rsid w:val="782D083A"/>
    <w:rsid w:val="790F1C77"/>
    <w:rsid w:val="79164340"/>
    <w:rsid w:val="79652BD2"/>
    <w:rsid w:val="79B55907"/>
    <w:rsid w:val="79CD2C51"/>
    <w:rsid w:val="7A140880"/>
    <w:rsid w:val="7A195E96"/>
    <w:rsid w:val="7A475776"/>
    <w:rsid w:val="7A67303B"/>
    <w:rsid w:val="7AA37E55"/>
    <w:rsid w:val="7AAB1D04"/>
    <w:rsid w:val="7ABA4368"/>
    <w:rsid w:val="7ACE4ED2"/>
    <w:rsid w:val="7AD149C3"/>
    <w:rsid w:val="7B257FFD"/>
    <w:rsid w:val="7B3804BA"/>
    <w:rsid w:val="7B694BFB"/>
    <w:rsid w:val="7BAA3CDA"/>
    <w:rsid w:val="7BF22E42"/>
    <w:rsid w:val="7C2B1DA5"/>
    <w:rsid w:val="7C4411C4"/>
    <w:rsid w:val="7C5A4544"/>
    <w:rsid w:val="7C605FFE"/>
    <w:rsid w:val="7C9F0343"/>
    <w:rsid w:val="7D2863F0"/>
    <w:rsid w:val="7D7B29C4"/>
    <w:rsid w:val="7DF4317E"/>
    <w:rsid w:val="7E1C41A7"/>
    <w:rsid w:val="7E462FD2"/>
    <w:rsid w:val="7E64308B"/>
    <w:rsid w:val="7EAA17B2"/>
    <w:rsid w:val="7EB60CAD"/>
    <w:rsid w:val="7EFDE7A7"/>
    <w:rsid w:val="7F5B2AAD"/>
    <w:rsid w:val="7F743B6E"/>
    <w:rsid w:val="7F912972"/>
    <w:rsid w:val="7FC71EF0"/>
    <w:rsid w:val="7FEE1B73"/>
    <w:rsid w:val="7FF52F01"/>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1"/>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614"/>
    <w:semiHidden/>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Indent"/>
    <w:basedOn w:val="1"/>
    <w:next w:val="15"/>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8"/>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2"/>
    <w:next w:val="22"/>
    <w:semiHidden/>
    <w:qFormat/>
    <w:uiPriority w:val="0"/>
    <w:rPr>
      <w:b/>
      <w:bCs/>
    </w:rPr>
  </w:style>
  <w:style w:type="paragraph" w:styleId="58">
    <w:name w:val="Body Text First Indent"/>
    <w:basedOn w:val="2"/>
    <w:next w:val="48"/>
    <w:link w:val="544"/>
    <w:qFormat/>
    <w:uiPriority w:val="0"/>
    <w:pPr>
      <w:ind w:firstLine="420"/>
    </w:pPr>
    <w:rPr>
      <w:szCs w:val="20"/>
    </w:rPr>
  </w:style>
  <w:style w:type="paragraph" w:styleId="59">
    <w:name w:val="Body Text First Indent 2"/>
    <w:basedOn w:val="25"/>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basedOn w:val="62"/>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8"/>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1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620"/>
    <w:link w:val="621"/>
    <w:qFormat/>
    <w:uiPriority w:val="0"/>
    <w:pPr>
      <w:adjustRightInd/>
    </w:pPr>
    <w:rPr>
      <w:rFonts w:ascii="宋体" w:hAnsi="Courier New"/>
      <w:szCs w:val="21"/>
    </w:rPr>
  </w:style>
  <w:style w:type="paragraph" w:customStyle="1" w:styleId="6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1">
    <w:name w:val="纯文本 Char_0"/>
    <w:link w:val="619"/>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NormalCharacter"/>
    <w:basedOn w:val="62"/>
    <w:qFormat/>
    <w:uiPriority w:val="0"/>
  </w:style>
  <w:style w:type="paragraph" w:customStyle="1" w:styleId="635">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8971</Words>
  <Characters>9594</Characters>
  <Lines>379</Lines>
  <Paragraphs>106</Paragraphs>
  <TotalTime>131</TotalTime>
  <ScaleCrop>false</ScaleCrop>
  <LinksUpToDate>false</LinksUpToDate>
  <CharactersWithSpaces>9928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开心妈咪</cp:lastModifiedBy>
  <cp:lastPrinted>2025-04-02T03:28:00Z</cp:lastPrinted>
  <dcterms:modified xsi:type="dcterms:W3CDTF">2025-07-03T11:24:35Z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50B4BF5B81FB67EEACC9BA67F7A46BBE_43</vt:lpwstr>
  </property>
  <property fmtid="{D5CDD505-2E9C-101B-9397-08002B2CF9AE}" pid="4" name="KSOTemplateDocerSaveRecord">
    <vt:lpwstr>eyJoZGlkIjoiYzNjMTkzM2Y3NWYyMzNmZWE1ZjFmYWE3MGZjOWQzYmYiLCJ1c2VySWQiOiI1MTM3NjE5NDIifQ==</vt:lpwstr>
  </property>
</Properties>
</file>