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仿宋" w:hAnsi="仿宋" w:eastAsia="仿宋" w:cs="仿宋"/>
          <w:b/>
          <w:color w:val="auto"/>
          <w:sz w:val="44"/>
          <w:szCs w:val="44"/>
        </w:rPr>
      </w:pPr>
    </w:p>
    <w:p>
      <w:pPr>
        <w:adjustRightInd/>
        <w:spacing w:line="48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杭州市公安局临平区分局2024年涉案人员等毛发毒品含量初筛检测委托服务项目</w:t>
      </w:r>
    </w:p>
    <w:p>
      <w:pPr>
        <w:adjustRightInd/>
        <w:spacing w:line="48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pPr>
        <w:adjustRightInd/>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48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TKZXCG-2024-029</w:t>
      </w:r>
    </w:p>
    <w:p>
      <w:pPr>
        <w:pStyle w:val="79"/>
        <w:rPr>
          <w:rFonts w:hint="eastAsia" w:ascii="仿宋" w:hAnsi="仿宋" w:eastAsia="仿宋" w:cs="仿宋"/>
          <w:color w:val="auto"/>
          <w:sz w:val="30"/>
          <w:szCs w:val="30"/>
          <w:lang w:eastAsia="zh-CN"/>
        </w:rPr>
      </w:pPr>
    </w:p>
    <w:p>
      <w:pPr>
        <w:pStyle w:val="79"/>
        <w:rPr>
          <w:rFonts w:hint="eastAsia" w:ascii="仿宋" w:hAnsi="仿宋" w:eastAsia="仿宋" w:cs="仿宋"/>
          <w:color w:val="auto"/>
          <w:sz w:val="30"/>
          <w:szCs w:val="30"/>
          <w:lang w:eastAsia="zh-CN"/>
        </w:rPr>
      </w:pPr>
    </w:p>
    <w:p>
      <w:pPr>
        <w:adjustRightInd/>
        <w:spacing w:line="480" w:lineRule="auto"/>
        <w:jc w:val="center"/>
        <w:rPr>
          <w:rFonts w:hint="eastAsia" w:ascii="仿宋" w:hAnsi="仿宋" w:eastAsia="仿宋" w:cs="仿宋"/>
          <w:color w:val="auto"/>
          <w:sz w:val="28"/>
          <w:szCs w:val="20"/>
        </w:rPr>
      </w:pPr>
      <w:r>
        <w:rPr>
          <w:rFonts w:hint="eastAsia" w:ascii="仿宋" w:hAnsi="仿宋" w:eastAsia="仿宋" w:cs="仿宋"/>
          <w:b/>
          <w:color w:val="auto"/>
          <w:sz w:val="44"/>
          <w:szCs w:val="44"/>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p>
    <w:p>
      <w:pPr>
        <w:spacing w:line="480" w:lineRule="auto"/>
        <w:jc w:val="center"/>
        <w:rPr>
          <w:rFonts w:hint="eastAsia" w:ascii="仿宋" w:hAnsi="仿宋" w:eastAsia="仿宋" w:cs="仿宋"/>
          <w:color w:val="auto"/>
          <w:sz w:val="32"/>
          <w:szCs w:val="32"/>
        </w:rPr>
      </w:pPr>
      <w:r>
        <w:rPr>
          <w:rFonts w:hint="eastAsia" w:ascii="仿宋" w:hAnsi="仿宋" w:eastAsia="仿宋" w:cs="仿宋"/>
          <w:b/>
          <w:color w:val="auto"/>
          <w:sz w:val="44"/>
          <w:szCs w:val="44"/>
        </w:rPr>
        <w:t xml:space="preserve"> </w:t>
      </w:r>
    </w:p>
    <w:p>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
          <w:color w:val="auto"/>
          <w:sz w:val="32"/>
          <w:szCs w:val="32"/>
          <w:lang w:eastAsia="zh-CN"/>
        </w:rPr>
        <w:t>杭州市公安局临平区分局</w:t>
      </w:r>
    </w:p>
    <w:p>
      <w:pPr>
        <w:snapToGrid w:val="0"/>
        <w:spacing w:line="480" w:lineRule="auto"/>
        <w:jc w:val="center"/>
        <w:rPr>
          <w:rFonts w:hint="eastAsia" w:ascii="仿宋" w:hAnsi="仿宋" w:eastAsia="仿宋" w:cs="仿宋"/>
          <w:bCs/>
          <w:color w:val="auto"/>
          <w:sz w:val="32"/>
          <w:szCs w:val="32"/>
          <w:lang w:eastAsia="zh-CN"/>
        </w:rPr>
      </w:pPr>
      <w:r>
        <w:rPr>
          <w:rFonts w:hint="eastAsia" w:ascii="仿宋" w:hAnsi="仿宋" w:eastAsia="仿宋" w:cs="仿宋_GB2312"/>
          <w:bCs/>
          <w:color w:val="auto"/>
          <w:sz w:val="32"/>
          <w:szCs w:val="32"/>
        </w:rPr>
        <w:t>采购代理机构：</w:t>
      </w:r>
      <w:r>
        <w:rPr>
          <w:rFonts w:hint="eastAsia" w:ascii="仿宋" w:hAnsi="仿宋" w:eastAsia="仿宋" w:cs="仿宋"/>
          <w:bCs/>
          <w:color w:val="auto"/>
          <w:sz w:val="32"/>
          <w:szCs w:val="32"/>
          <w:lang w:eastAsia="zh-CN"/>
        </w:rPr>
        <w:t>杭州天坤建设咨询有限公司</w:t>
      </w:r>
    </w:p>
    <w:p>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二〇二四</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pStyle w:val="635"/>
        <w:rPr>
          <w:rFonts w:hint="eastAsia" w:ascii="仿宋" w:hAnsi="仿宋" w:eastAsia="仿宋" w:cs="仿宋"/>
          <w:color w:val="auto"/>
        </w:rPr>
      </w:pPr>
    </w:p>
    <w:p>
      <w:pPr>
        <w:spacing w:line="48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48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2"/>
    <w:p>
      <w:pPr>
        <w:adjustRightInd/>
        <w:spacing w:line="480" w:lineRule="auto"/>
        <w:jc w:val="center"/>
        <w:outlineLvl w:val="0"/>
        <w:rPr>
          <w:rFonts w:hint="eastAsia" w:ascii="仿宋" w:hAnsi="仿宋" w:eastAsia="仿宋" w:cs="仿宋"/>
          <w:b/>
          <w:color w:val="auto"/>
          <w:sz w:val="36"/>
          <w:szCs w:val="20"/>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杭州市公安局临平区分局2024年涉案人员等毛发毒品含量初筛检测委托服务项目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https://www.zcygov.cn/）获取（下载）招标文件，并于202</w:t>
      </w:r>
      <w:r>
        <w:rPr>
          <w:rStyle w:val="76"/>
          <w:rFonts w:hint="eastAsia" w:ascii="仿宋" w:hAnsi="仿宋" w:eastAsia="仿宋" w:cs="仿宋"/>
          <w:snapToGrid/>
          <w:color w:val="auto"/>
          <w:kern w:val="2"/>
          <w:sz w:val="24"/>
          <w:szCs w:val="24"/>
          <w:lang w:val="en-US" w:eastAsia="zh-CN"/>
        </w:rPr>
        <w:t>4</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6月3日14</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TKZXCG-2024-029</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杭州市公安局临平区分局2024年涉案人员等毛发毒品含量初筛检测委托服务项目</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700000</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700000</w:t>
      </w:r>
      <w:r>
        <w:rPr>
          <w:rFonts w:hint="eastAsia" w:ascii="仿宋" w:hAnsi="仿宋" w:eastAsia="仿宋" w:cs="仿宋"/>
          <w:color w:val="auto"/>
          <w:sz w:val="24"/>
        </w:rPr>
        <w:t xml:space="preserve"> </w:t>
      </w:r>
    </w:p>
    <w:p>
      <w:pPr>
        <w:pStyle w:val="5"/>
        <w:spacing w:line="48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杭州市公安局临平区分局2024年涉案人员等毛发毒品含量初筛检测委托服务项目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具体内容和相关要求详见招标文件</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第三部分</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采购需求</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rPr>
        <w:t>，供应商可点击本公告下方“浏览采购文件”查看采购需求。</w:t>
      </w:r>
    </w:p>
    <w:p>
      <w:pPr>
        <w:pStyle w:val="129"/>
        <w:spacing w:line="480" w:lineRule="auto"/>
        <w:ind w:firstLine="482"/>
        <w:outlineLvl w:val="2"/>
        <w:rPr>
          <w:rFonts w:hint="default"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color w:val="auto"/>
        </w:rPr>
        <w:t xml:space="preserve"> </w:t>
      </w:r>
      <w:r>
        <w:rPr>
          <w:rFonts w:hint="eastAsia" w:ascii="仿宋" w:hAnsi="仿宋" w:eastAsia="仿宋" w:cs="仿宋"/>
          <w:color w:val="auto"/>
          <w:kern w:val="0"/>
          <w:sz w:val="24"/>
          <w:szCs w:val="24"/>
          <w:lang w:val="en-US" w:eastAsia="zh-CN" w:bidi="ar-SA"/>
        </w:rPr>
        <w:t>自合同签订生效起一年。</w:t>
      </w:r>
    </w:p>
    <w:p>
      <w:pPr>
        <w:pStyle w:val="5"/>
        <w:spacing w:line="48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48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spacing w:line="48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48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lang w:eastAsia="zh-CN"/>
        </w:rPr>
        <w:t>货物全部由符合政策要求的中小企业制造，提供中小企业声明函</w:t>
      </w:r>
      <w:r>
        <w:rPr>
          <w:rFonts w:hint="eastAsia" w:ascii="仿宋" w:hAnsi="仿宋" w:eastAsia="仿宋" w:cs="仿宋"/>
          <w:color w:val="auto"/>
          <w:sz w:val="24"/>
        </w:rPr>
        <w:t>；</w:t>
      </w:r>
    </w:p>
    <w:p>
      <w:pPr>
        <w:spacing w:line="48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lang w:eastAsia="zh-CN"/>
        </w:rPr>
        <w:t>货物全部由符合政策要求的小微企业制造，提供中小企业声明函</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6月3日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r>
        <w:rPr>
          <w:rFonts w:hint="eastAsia" w:ascii="仿宋" w:hAnsi="仿宋" w:eastAsia="仿宋" w:cs="仿宋"/>
          <w:b w:val="0"/>
          <w:bCs/>
          <w:color w:val="auto"/>
          <w:sz w:val="24"/>
        </w:rPr>
        <w:t xml:space="preserve">线上投标响应 </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 xml:space="preserve"> </w:t>
      </w:r>
    </w:p>
    <w:p>
      <w:pPr>
        <w:spacing w:line="480" w:lineRule="auto"/>
        <w:ind w:firstLine="482" w:firstLineChars="200"/>
        <w:rPr>
          <w:rFonts w:hint="eastAsia" w:ascii="仿宋" w:hAnsi="仿宋" w:eastAsia="仿宋" w:cs="仿宋"/>
          <w:bCs/>
          <w:color w:val="auto"/>
          <w:sz w:val="24"/>
          <w:u w:val="single"/>
          <w:lang w:eastAsia="zh-CN"/>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6月3日14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lang w:eastAsia="zh-CN"/>
        </w:rPr>
        <w:t>；</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b w:val="0"/>
          <w:bCs/>
          <w:color w:val="auto"/>
          <w:sz w:val="24"/>
        </w:rPr>
        <w:t>登陆</w:t>
      </w:r>
      <w:r>
        <w:rPr>
          <w:rFonts w:hint="eastAsia" w:ascii="仿宋" w:hAnsi="仿宋" w:eastAsia="仿宋" w:cs="仿宋"/>
          <w:color w:val="auto"/>
          <w:sz w:val="24"/>
        </w:rPr>
        <w:t>政采云平台（https://www.zcygov.cn/）开标大厅等候开标解密；</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组织机构线下开标地点：</w:t>
      </w:r>
      <w:r>
        <w:rPr>
          <w:rFonts w:hint="eastAsia" w:ascii="仿宋" w:hAnsi="仿宋" w:eastAsia="仿宋" w:cs="仿宋"/>
          <w:b w:val="0"/>
          <w:bCs/>
          <w:color w:val="auto"/>
          <w:sz w:val="24"/>
          <w:lang w:eastAsia="zh-CN"/>
        </w:rPr>
        <w:t>杭州市临平区顺风路535号</w:t>
      </w:r>
      <w:r>
        <w:rPr>
          <w:rFonts w:hint="eastAsia" w:ascii="仿宋" w:hAnsi="仿宋" w:eastAsia="仿宋" w:cs="仿宋"/>
          <w:b w:val="0"/>
          <w:bCs/>
          <w:color w:val="auto"/>
          <w:sz w:val="24"/>
          <w:lang w:val="en-US" w:eastAsia="zh-CN"/>
        </w:rPr>
        <w:t>万华低碳</w:t>
      </w:r>
      <w:r>
        <w:rPr>
          <w:rFonts w:hint="eastAsia" w:ascii="仿宋" w:hAnsi="仿宋" w:eastAsia="仿宋" w:cs="仿宋"/>
          <w:b w:val="0"/>
          <w:bCs/>
          <w:color w:val="auto"/>
          <w:sz w:val="24"/>
          <w:lang w:eastAsia="zh-CN"/>
        </w:rPr>
        <w:t>园4期14幢2楼</w:t>
      </w:r>
      <w:r>
        <w:rPr>
          <w:rFonts w:hint="eastAsia" w:ascii="仿宋" w:hAnsi="仿宋" w:eastAsia="仿宋" w:cs="仿宋"/>
          <w:color w:val="auto"/>
          <w:sz w:val="24"/>
        </w:rPr>
        <w:t>。</w:t>
      </w:r>
    </w:p>
    <w:p>
      <w:pPr>
        <w:spacing w:line="48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址：杭州市临平区南苑街道人民大道360号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项目联系人（询问）：朱永明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项目联系方式（询问）：0571-89261143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钟加成</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质疑联系方式：0571-89261067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48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杭州天坤建设咨询有限公司</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浙江省杭州市余杭区余杭街道智溢路136号3号楼3楼。</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：杨杨</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项目联系方式（询问）：13735806559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：陈先生</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15058137886 　</w:t>
      </w:r>
      <w:r>
        <w:rPr>
          <w:rFonts w:hint="eastAsia" w:ascii="仿宋" w:hAnsi="仿宋" w:eastAsia="仿宋" w:cs="仿宋"/>
          <w:color w:val="auto"/>
          <w:sz w:val="24"/>
          <w:lang w:val="en-US" w:eastAsia="zh-CN"/>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48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 xml:space="preserve"> 名    称：</w:t>
      </w:r>
      <w:r>
        <w:rPr>
          <w:rFonts w:hint="eastAsia" w:ascii="仿宋" w:hAnsi="仿宋" w:eastAsia="仿宋" w:cs="仿宋"/>
          <w:color w:val="auto"/>
          <w:sz w:val="24"/>
          <w:lang w:val="en-US" w:eastAsia="zh-CN"/>
        </w:rPr>
        <w:t>杭州市临平区财政局、浙江省政府采购行政裁决服务中心（杭州）</w:t>
      </w: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lang w:val="en-US"/>
        </w:rPr>
      </w:pPr>
      <w:r>
        <w:rPr>
          <w:rFonts w:hint="eastAsia" w:ascii="仿宋" w:hAnsi="仿宋" w:eastAsia="仿宋" w:cs="仿宋"/>
          <w:color w:val="auto"/>
          <w:sz w:val="24"/>
        </w:rPr>
        <w:t xml:space="preserve"> 地    址：</w:t>
      </w:r>
      <w:r>
        <w:rPr>
          <w:rFonts w:hint="eastAsia" w:ascii="仿宋" w:hAnsi="仿宋" w:eastAsia="仿宋" w:cs="仿宋"/>
          <w:color w:val="auto"/>
          <w:sz w:val="24"/>
          <w:lang w:val="en-US" w:eastAsia="zh-CN"/>
        </w:rPr>
        <w:t>杭州市上城区四季青街道新业路市民之家G03办公室（快递仅限ems或顺丰）</w:t>
      </w:r>
    </w:p>
    <w:p>
      <w:pPr>
        <w:spacing w:line="48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联系人 ：</w:t>
      </w:r>
      <w:r>
        <w:rPr>
          <w:rFonts w:hint="eastAsia" w:ascii="仿宋" w:hAnsi="仿宋" w:eastAsia="仿宋" w:cs="仿宋"/>
          <w:color w:val="auto"/>
          <w:sz w:val="24"/>
          <w:lang w:val="en-US" w:eastAsia="zh-CN"/>
        </w:rPr>
        <w:t>朱女士、王女士</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lang w:val="en-US" w:eastAsia="zh-CN"/>
        </w:rPr>
        <w:t>0571-85252453</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单一产品或核心产品为：</w:t>
            </w:r>
            <w:r>
              <w:rPr>
                <w:rFonts w:hint="eastAsia" w:ascii="仿宋" w:hAnsi="仿宋" w:eastAsia="仿宋" w:cs="仿宋"/>
                <w:color w:val="auto"/>
                <w:sz w:val="24"/>
                <w:u w:val="single"/>
                <w:lang w:val="en-US" w:eastAsia="zh-CN"/>
              </w:rPr>
              <w:t xml:space="preserve">  毛发毒品检测试剂  </w:t>
            </w:r>
            <w:r>
              <w:rPr>
                <w:rFonts w:hint="eastAsia" w:ascii="仿宋" w:hAnsi="仿宋" w:eastAsia="仿宋" w:cs="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毛发毒品检测试剂      </w:t>
            </w:r>
            <w:r>
              <w:rPr>
                <w:rFonts w:hint="eastAsia" w:ascii="仿宋" w:hAnsi="仿宋" w:eastAsia="仿宋" w:cs="仿宋"/>
                <w:color w:val="auto"/>
                <w:kern w:val="0"/>
                <w:sz w:val="24"/>
                <w:highlight w:val="none"/>
                <w:u w:val="none"/>
                <w:lang w:val="en-US" w:eastAsia="zh-CN"/>
              </w:rPr>
              <w:t>；</w:t>
            </w:r>
          </w:p>
          <w:p>
            <w:pPr>
              <w:numPr>
                <w:ilvl w:val="0"/>
                <w:numId w:val="0"/>
              </w:numPr>
              <w:snapToGrid w:val="0"/>
              <w:spacing w:line="264" w:lineRule="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color w:val="auto"/>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42545</wp:posOffset>
                  </wp:positionH>
                  <wp:positionV relativeFrom="page">
                    <wp:posOffset>500380</wp:posOffset>
                  </wp:positionV>
                  <wp:extent cx="3813810" cy="492760"/>
                  <wp:effectExtent l="0" t="0" r="15240" b="2540"/>
                  <wp:wrapTight wrapText="bothSides">
                    <wp:wrapPolygon>
                      <wp:start x="0" y="0"/>
                      <wp:lineTo x="0" y="20876"/>
                      <wp:lineTo x="21471" y="20876"/>
                      <wp:lineTo x="21471"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工业    </w:t>
            </w:r>
            <w:r>
              <w:rPr>
                <w:rFonts w:hint="eastAsia" w:ascii="仿宋" w:hAnsi="仿宋" w:eastAsia="仿宋" w:cs="仿宋"/>
                <w:color w:val="auto"/>
                <w:kern w:val="0"/>
                <w:sz w:val="24"/>
                <w:highlight w:val="none"/>
              </w:rPr>
              <w:t>；</w:t>
            </w:r>
          </w:p>
          <w:p>
            <w:pPr>
              <w:widowControl w:val="0"/>
              <w:numPr>
                <w:ilvl w:val="0"/>
                <w:numId w:val="0"/>
              </w:numPr>
              <w:wordWrap/>
              <w:adjustRightInd w:val="0"/>
              <w:snapToGrid w:val="0"/>
              <w:spacing w:line="264" w:lineRule="auto"/>
              <w:textAlignment w:val="auto"/>
              <w:rPr>
                <w:rFonts w:hint="eastAsia" w:ascii="仿宋" w:hAnsi="仿宋" w:eastAsia="仿宋" w:cs="仿宋"/>
                <w:b/>
                <w:bCs/>
                <w:color w:val="auto"/>
                <w:kern w:val="0"/>
                <w:sz w:val="21"/>
                <w:szCs w:val="21"/>
                <w:highlight w:val="none"/>
                <w:u w:val="single"/>
                <w:lang w:val="zh-CN" w:eastAsia="zh-CN"/>
              </w:rPr>
            </w:pPr>
            <w:r>
              <w:drawing>
                <wp:inline distT="0" distB="0" distL="114300" distR="114300">
                  <wp:extent cx="3832860" cy="305435"/>
                  <wp:effectExtent l="0" t="0" r="15240" b="184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8"/>
                          <a:stretch>
                            <a:fillRect/>
                          </a:stretch>
                        </pic:blipFill>
                        <pic:spPr>
                          <a:xfrm>
                            <a:off x="0" y="0"/>
                            <a:ext cx="3832860" cy="305435"/>
                          </a:xfrm>
                          <a:prstGeom prst="rect">
                            <a:avLst/>
                          </a:prstGeom>
                          <a:noFill/>
                          <a:ln>
                            <a:noFill/>
                          </a:ln>
                        </pic:spPr>
                      </pic:pic>
                    </a:graphicData>
                  </a:graphic>
                </wp:inline>
              </w:drawing>
            </w:r>
            <w:r>
              <w:rPr>
                <w:rFonts w:hint="eastAsia" w:ascii="仿宋" w:hAnsi="仿宋" w:eastAsia="仿宋" w:cs="仿宋"/>
                <w:b/>
                <w:bCs/>
                <w:color w:val="auto"/>
                <w:sz w:val="24"/>
                <w:highlight w:val="none"/>
                <w:shd w:val="clear" w:color="auto" w:fill="FFFFFF"/>
                <w:lang w:val="zh-CN" w:bidi="zh-CN"/>
              </w:rPr>
              <w:t xml:space="preserve">说明：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3.企业划分指标以现行统计制度为准。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5"/>
              <w:widowControl w:val="0"/>
              <w:tabs>
                <w:tab w:val="left" w:pos="1070"/>
              </w:tabs>
              <w:wordWrap/>
              <w:snapToGrid/>
              <w:spacing w:line="264" w:lineRule="auto"/>
              <w:ind w:right="52" w:firstLine="442" w:firstLineChars="200"/>
              <w:jc w:val="left"/>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3）资产总额，采用资产总计代替</w:t>
            </w:r>
            <w:r>
              <w:rPr>
                <w:rFonts w:hint="eastAsia" w:ascii="仿宋" w:hAnsi="仿宋" w:eastAsia="仿宋" w:cs="仿宋"/>
                <w:b/>
                <w:bCs/>
                <w:color w:val="auto"/>
                <w:kern w:val="0"/>
                <w:sz w:val="21"/>
                <w:szCs w:val="21"/>
                <w:highlight w:val="none"/>
                <w:u w:val="single"/>
                <w:lang w:val="zh-CN" w:eastAsia="zh-CN"/>
              </w:rPr>
              <w:t>。</w:t>
            </w:r>
          </w:p>
          <w:p>
            <w:pPr>
              <w:pStyle w:val="955"/>
              <w:widowControl w:val="0"/>
              <w:tabs>
                <w:tab w:val="left" w:pos="1070"/>
              </w:tabs>
              <w:wordWrap/>
              <w:snapToGrid/>
              <w:spacing w:line="264" w:lineRule="auto"/>
              <w:ind w:right="52"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根据《政府采购促进中小企业发展管理办法》（财库﹝2020﹞46 号）要求，</w:t>
            </w:r>
            <w:r>
              <w:rPr>
                <w:rFonts w:hint="eastAsia" w:ascii="仿宋" w:hAnsi="仿宋" w:eastAsia="仿宋" w:cs="仿宋"/>
                <w:b/>
                <w:bCs/>
                <w:color w:val="auto"/>
                <w:sz w:val="24"/>
                <w:szCs w:val="24"/>
                <w:highlight w:val="none"/>
                <w:lang w:eastAsia="zh-CN"/>
              </w:rPr>
              <w:t>本次采购为</w:t>
            </w:r>
            <w:r>
              <w:rPr>
                <w:rFonts w:hint="eastAsia" w:ascii="仿宋" w:hAnsi="仿宋" w:eastAsia="仿宋" w:cs="仿宋"/>
                <w:b/>
                <w:bCs/>
                <w:color w:val="auto"/>
                <w:sz w:val="24"/>
                <w:szCs w:val="24"/>
                <w:highlight w:val="none"/>
                <w:u w:val="single"/>
                <w:lang w:eastAsia="zh-CN"/>
              </w:rPr>
              <w:t>专门面向</w:t>
            </w:r>
            <w:r>
              <w:rPr>
                <w:rFonts w:hint="eastAsia" w:ascii="仿宋" w:hAnsi="仿宋" w:eastAsia="仿宋" w:cs="仿宋"/>
                <w:b/>
                <w:bCs/>
                <w:color w:val="auto"/>
                <w:sz w:val="24"/>
                <w:szCs w:val="24"/>
                <w:highlight w:val="none"/>
                <w:u w:val="single"/>
                <w:lang w:val="en-US" w:eastAsia="zh-CN"/>
              </w:rPr>
              <w:t>中</w:t>
            </w:r>
            <w:r>
              <w:rPr>
                <w:rFonts w:hint="eastAsia" w:ascii="仿宋" w:hAnsi="仿宋" w:eastAsia="仿宋" w:cs="仿宋"/>
                <w:b/>
                <w:bCs/>
                <w:color w:val="auto"/>
                <w:sz w:val="24"/>
                <w:szCs w:val="24"/>
                <w:highlight w:val="none"/>
                <w:u w:val="single"/>
                <w:lang w:eastAsia="zh-CN"/>
              </w:rPr>
              <w:t>小企业预留采购份额的采购项目</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对小型和微型企业的投标报价不予扣除评审。</w:t>
            </w:r>
          </w:p>
          <w:p>
            <w:pPr>
              <w:pStyle w:val="955"/>
              <w:widowControl w:val="0"/>
              <w:tabs>
                <w:tab w:val="left" w:pos="1070"/>
              </w:tabs>
              <w:wordWrap/>
              <w:snapToGrid/>
              <w:spacing w:line="264" w:lineRule="auto"/>
              <w:ind w:right="52" w:firstLine="236" w:firstLineChars="100"/>
              <w:textAlignment w:val="auto"/>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4</w:t>
            </w:r>
            <w:r>
              <w:rPr>
                <w:rFonts w:hint="eastAsia" w:ascii="仿宋" w:hAnsi="仿宋" w:eastAsia="仿宋" w:cs="仿宋"/>
                <w:b w:val="0"/>
                <w:bCs w:val="0"/>
                <w:color w:val="auto"/>
                <w:spacing w:val="-2"/>
                <w:sz w:val="24"/>
                <w:szCs w:val="24"/>
                <w:highlight w:val="none"/>
                <w:lang w:eastAsia="zh-CN"/>
              </w:rPr>
              <w:t>)符合小微企业划分标准的个体工商户，视同小微企</w:t>
            </w:r>
          </w:p>
          <w:p>
            <w:pPr>
              <w:pStyle w:val="955"/>
              <w:widowControl w:val="0"/>
              <w:tabs>
                <w:tab w:val="left" w:pos="1070"/>
              </w:tabs>
              <w:wordWrap/>
              <w:snapToGrid/>
              <w:spacing w:line="264" w:lineRule="auto"/>
              <w:ind w:right="52"/>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pacing w:val="-2"/>
                <w:sz w:val="24"/>
                <w:szCs w:val="24"/>
                <w:highlight w:val="none"/>
                <w:lang w:eastAsia="zh-CN"/>
              </w:rPr>
              <w:t>业</w:t>
            </w:r>
            <w:r>
              <w:rPr>
                <w:rFonts w:hint="eastAsia" w:ascii="仿宋" w:hAnsi="仿宋" w:eastAsia="仿宋" w:cs="仿宋"/>
                <w:b w:val="0"/>
                <w:bCs w:val="0"/>
                <w:color w:val="auto"/>
                <w:spacing w:val="-13"/>
                <w:sz w:val="24"/>
                <w:szCs w:val="24"/>
                <w:highlight w:val="none"/>
                <w:lang w:eastAsia="zh-CN"/>
              </w:rPr>
              <w:t>。</w:t>
            </w:r>
          </w:p>
          <w:p>
            <w:pPr>
              <w:pStyle w:val="3"/>
              <w:ind w:left="0" w:leftChars="0" w:firstLine="238" w:firstLineChars="100"/>
              <w:rPr>
                <w:rFonts w:hint="eastAsia" w:ascii="仿宋" w:hAnsi="仿宋" w:eastAsia="仿宋" w:cs="仿宋"/>
                <w:color w:val="auto"/>
                <w:lang w:val="en-US"/>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5</w:t>
            </w:r>
            <w:r>
              <w:rPr>
                <w:rFonts w:hint="eastAsia" w:ascii="仿宋" w:hAnsi="仿宋" w:eastAsia="仿宋" w:cs="仿宋"/>
                <w:b w:val="0"/>
                <w:bCs w:val="0"/>
                <w:color w:val="auto"/>
                <w:spacing w:val="-1"/>
                <w:sz w:val="24"/>
                <w:szCs w:val="24"/>
                <w:highlight w:val="none"/>
              </w:rPr>
              <w:t xml:space="preserve">)监狱企业和残疾人福利性单位视同小型、微型企业， </w:t>
            </w:r>
            <w:r>
              <w:rPr>
                <w:rFonts w:hint="eastAsia" w:ascii="仿宋" w:hAnsi="仿宋" w:eastAsia="仿宋" w:cs="仿宋"/>
                <w:b w:val="0"/>
                <w:bCs w:val="0"/>
                <w:color w:val="auto"/>
                <w:sz w:val="24"/>
                <w:szCs w:val="24"/>
                <w:highlight w:val="none"/>
              </w:rPr>
              <w:t>按《财政部 司法部关于政府采购支持监狱企业发展有关问题的通知》(财库〔2014〕68 号)、《财政部 民政部  中国残</w:t>
            </w:r>
            <w:r>
              <w:rPr>
                <w:rFonts w:hint="eastAsia" w:ascii="仿宋" w:hAnsi="仿宋" w:eastAsia="仿宋" w:cs="仿宋"/>
                <w:b w:val="0"/>
                <w:bCs w:val="0"/>
                <w:color w:val="auto"/>
                <w:spacing w:val="-2"/>
                <w:sz w:val="24"/>
                <w:szCs w:val="24"/>
                <w:highlight w:val="none"/>
              </w:rPr>
              <w:t>疾人联合会关于促进残疾人就业政府采购政策的通知》</w:t>
            </w:r>
            <w:r>
              <w:rPr>
                <w:rFonts w:hint="eastAsia" w:ascii="仿宋" w:hAnsi="仿宋" w:eastAsia="仿宋" w:cs="仿宋"/>
                <w:b w:val="0"/>
                <w:bCs w:val="0"/>
                <w:color w:val="auto"/>
                <w:sz w:val="24"/>
                <w:szCs w:val="24"/>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将通知未中标人在规定的时间内取回，逾期未取回的，采购人、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b w:val="0"/>
                <w:bCs w:val="0"/>
                <w:color w:val="auto"/>
                <w:kern w:val="0"/>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sz w:val="24"/>
                <w:szCs w:val="24"/>
                <w:u w:val="single"/>
              </w:rPr>
              <w:t>在投标截止时间前直接提交或者以邮政快递方式递交备份投标文件1份</w:t>
            </w:r>
            <w:r>
              <w:rPr>
                <w:rFonts w:hint="eastAsia" w:ascii="仿宋" w:hAnsi="仿宋" w:eastAsia="仿宋" w:cs="仿宋"/>
                <w:color w:val="auto"/>
                <w:sz w:val="24"/>
                <w:szCs w:val="24"/>
                <w:u w:val="single"/>
                <w:lang w:eastAsia="zh-CN"/>
              </w:rPr>
              <w:t>。</w:t>
            </w:r>
            <w:r>
              <w:rPr>
                <w:rFonts w:hint="eastAsia" w:ascii="仿宋" w:hAnsi="仿宋" w:eastAsia="仿宋" w:cs="仿宋"/>
                <w:color w:val="auto"/>
                <w:kern w:val="28"/>
                <w:sz w:val="24"/>
                <w:szCs w:val="24"/>
                <w:highlight w:val="none"/>
                <w:u w:val="single"/>
              </w:rPr>
              <w:t>（建议邮寄形式</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u w:val="single"/>
                <w:lang w:eastAsia="zh-CN"/>
              </w:rPr>
              <w:t>浙江省杭州市余杭区余杭街道智溢路136号3号楼3楼</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杨杨，13735806559</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以中标价为收费基数进行计取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pStyle w:val="3"/>
              <w:ind w:left="0" w:leftChars="0" w:firstLine="0" w:firstLineChars="0"/>
              <w:rPr>
                <w:rFonts w:hint="eastAsia" w:ascii="仿宋" w:hAnsi="仿宋" w:eastAsia="仿宋" w:cs="仿宋"/>
                <w:color w:val="auto"/>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480" w:lineRule="auto"/>
        <w:ind w:firstLine="3845" w:firstLineChars="1197"/>
        <w:outlineLvl w:val="0"/>
        <w:rPr>
          <w:rFonts w:hint="eastAsia" w:ascii="仿宋" w:hAnsi="仿宋" w:eastAsia="仿宋" w:cs="仿宋"/>
          <w:b/>
          <w:color w:val="auto"/>
          <w:sz w:val="32"/>
          <w:szCs w:val="20"/>
        </w:rPr>
      </w:pPr>
      <w:bookmarkStart w:id="10" w:name="_Toc164416483"/>
      <w:bookmarkStart w:id="11" w:name="第三部分"/>
      <w:r>
        <w:rPr>
          <w:rFonts w:hint="eastAsia" w:ascii="仿宋" w:hAnsi="仿宋" w:eastAsia="仿宋" w:cs="仿宋"/>
          <w:b/>
          <w:color w:val="auto"/>
          <w:sz w:val="32"/>
          <w:szCs w:val="20"/>
        </w:rPr>
        <w:t>一、总则</w:t>
      </w:r>
    </w:p>
    <w:p>
      <w:pPr>
        <w:snapToGrid w:val="0"/>
        <w:spacing w:line="48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w:t>
      </w:r>
      <w:r>
        <w:rPr>
          <w:rFonts w:hint="eastAsia" w:ascii="仿宋" w:hAnsi="仿宋" w:eastAsia="仿宋" w:cs="仿宋"/>
          <w:b/>
          <w:color w:val="auto"/>
          <w:sz w:val="24"/>
        </w:rPr>
        <w:t>适用范围</w:t>
      </w:r>
    </w:p>
    <w:p>
      <w:pPr>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48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w:t>
      </w:r>
      <w:r>
        <w:rPr>
          <w:rFonts w:hint="eastAsia" w:ascii="仿宋" w:hAnsi="仿宋" w:eastAsia="仿宋" w:cs="仿宋"/>
          <w:b/>
          <w:color w:val="auto"/>
          <w:sz w:val="24"/>
          <w:lang w:eastAsia="zh-CN"/>
        </w:rPr>
        <w:t>、</w:t>
      </w:r>
      <w:r>
        <w:rPr>
          <w:rFonts w:hint="eastAsia" w:ascii="仿宋" w:hAnsi="仿宋" w:eastAsia="仿宋" w:cs="仿宋"/>
          <w:b/>
          <w:color w:val="auto"/>
          <w:sz w:val="24"/>
        </w:rPr>
        <w:t>定义</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48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eastAsia="zh-CN"/>
        </w:rPr>
        <w:t>、</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48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sz w:val="24"/>
        </w:rPr>
        <w:t>询问、质疑、投诉</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8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3"/>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pPr>
        <w:pStyle w:val="5"/>
        <w:spacing w:line="48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48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3"/>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3"/>
        <w:spacing w:line="48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lang w:eastAsia="zh-CN"/>
        </w:rPr>
        <w:t>采购代理机构</w:t>
      </w:r>
      <w:r>
        <w:rPr>
          <w:rFonts w:hint="eastAsia" w:ascii="仿宋" w:hAnsi="仿宋" w:eastAsia="仿宋" w:cs="仿宋"/>
          <w:color w:val="auto"/>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887"/>
        <w:shd w:val="clear" w:color="auto" w:fill="FFFFFF"/>
        <w:snapToGrid w:val="0"/>
        <w:spacing w:after="240" w:afterAutospacing="0" w:line="48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887"/>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lang w:val="en-US" w:eastAsia="zh-CN"/>
        </w:rPr>
        <w:t>杭州市临平区政府采购项目投诉材料可寄送浙江省政府采购行政裁决服务中心（杭州），地址：杭州市上城区四季青街道新业路市民之家G03办公室（快递仅限ems或顺丰），收件人：朱女士、王女士 ，电话：0571-85252453</w:t>
      </w:r>
      <w:r>
        <w:rPr>
          <w:rFonts w:hint="eastAsia" w:ascii="仿宋" w:hAnsi="仿宋" w:eastAsia="仿宋" w:cs="仿宋"/>
          <w:color w:val="auto"/>
          <w:highlight w:val="none"/>
        </w:rPr>
        <w:t>。</w:t>
      </w:r>
    </w:p>
    <w:p>
      <w:pPr>
        <w:pStyle w:val="887"/>
        <w:shd w:val="clear" w:color="auto" w:fill="FFFFFF"/>
        <w:snapToGrid w:val="0"/>
        <w:spacing w:after="240" w:afterAutospacing="0" w:line="480" w:lineRule="auto"/>
        <w:ind w:firstLine="400"/>
        <w:contextualSpacing/>
        <w:rPr>
          <w:rFonts w:hint="eastAsia" w:ascii="仿宋" w:hAnsi="仿宋" w:eastAsia="仿宋" w:cs="仿宋"/>
          <w:b/>
          <w:color w:val="auto"/>
          <w:sz w:val="32"/>
          <w:szCs w:val="20"/>
        </w:rPr>
      </w:pPr>
      <w:r>
        <w:rPr>
          <w:rFonts w:hint="eastAsia" w:ascii="仿宋" w:hAnsi="仿宋" w:eastAsia="仿宋" w:cs="仿宋"/>
          <w:color w:val="auto"/>
        </w:rPr>
        <w:t>投诉书范本及制作说明详见附件3。</w:t>
      </w:r>
      <w:r>
        <w:rPr>
          <w:rFonts w:hint="eastAsia" w:ascii="仿宋" w:hAnsi="仿宋" w:eastAsia="仿宋" w:cs="仿宋"/>
          <w:b/>
          <w:color w:val="auto"/>
          <w:sz w:val="32"/>
          <w:szCs w:val="20"/>
        </w:rPr>
        <w:t xml:space="preserve">     </w:t>
      </w:r>
    </w:p>
    <w:p>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招标文件的构成</w:t>
      </w:r>
    </w:p>
    <w:p>
      <w:pPr>
        <w:pStyle w:val="33"/>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招标文件的澄清、修改</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 xml:space="preserve">6.2 </w:t>
      </w:r>
      <w:r>
        <w:rPr>
          <w:rFonts w:hint="eastAsia" w:ascii="仿宋" w:hAnsi="仿宋" w:eastAsia="仿宋" w:cs="仿宋"/>
          <w:color w:val="auto"/>
          <w:lang w:eastAsia="zh-CN"/>
        </w:rPr>
        <w:t>采购代理机构</w:t>
      </w:r>
      <w:r>
        <w:rPr>
          <w:rFonts w:hint="eastAsia" w:ascii="仿宋" w:hAnsi="仿宋" w:eastAsia="仿宋" w:cs="仿宋"/>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pacing w:line="480"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48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招标文件的获取</w:t>
      </w:r>
    </w:p>
    <w:p>
      <w:pPr>
        <w:spacing w:line="48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开标前答疑会或现场考察</w:t>
      </w:r>
    </w:p>
    <w:p>
      <w:pPr>
        <w:pStyle w:val="33"/>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48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w:t>
      </w:r>
      <w:r>
        <w:rPr>
          <w:rFonts w:hint="eastAsia" w:ascii="仿宋" w:hAnsi="仿宋" w:eastAsia="仿宋" w:cs="仿宋"/>
          <w:b/>
          <w:color w:val="auto"/>
          <w:kern w:val="28"/>
          <w:sz w:val="24"/>
          <w:szCs w:val="24"/>
          <w:lang w:eastAsia="zh-CN"/>
        </w:rPr>
        <w:t>、</w:t>
      </w:r>
      <w:r>
        <w:rPr>
          <w:rFonts w:hint="eastAsia" w:ascii="仿宋" w:hAnsi="仿宋" w:eastAsia="仿宋" w:cs="仿宋"/>
          <w:b/>
          <w:color w:val="auto"/>
          <w:kern w:val="28"/>
          <w:sz w:val="24"/>
          <w:szCs w:val="24"/>
        </w:rPr>
        <w:t>投标保证金</w:t>
      </w:r>
    </w:p>
    <w:p>
      <w:pPr>
        <w:pStyle w:val="5"/>
        <w:spacing w:line="48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w:t>
      </w:r>
    </w:p>
    <w:p>
      <w:pPr>
        <w:autoSpaceDE w:val="0"/>
        <w:autoSpaceDN w:val="0"/>
        <w:spacing w:line="48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投标文件的组成</w:t>
      </w:r>
    </w:p>
    <w:p>
      <w:pPr>
        <w:snapToGrid w:val="0"/>
        <w:spacing w:line="48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11.1.1符合参加政府采购活动应当具备的一般条件的承诺函；</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11.1.2</w:t>
      </w:r>
      <w:r>
        <w:rPr>
          <w:rFonts w:hint="eastAsia" w:ascii="仿宋" w:hAnsi="仿宋" w:eastAsia="仿宋" w:cs="仿宋"/>
          <w:b w:val="0"/>
          <w:bCs w:val="0"/>
          <w:snapToGrid w:val="0"/>
          <w:color w:val="auto"/>
          <w:kern w:val="28"/>
          <w:sz w:val="24"/>
          <w:szCs w:val="20"/>
        </w:rPr>
        <w:t>联合协议（如果有)；</w:t>
      </w:r>
    </w:p>
    <w:p>
      <w:pPr>
        <w:snapToGrid w:val="0"/>
        <w:spacing w:line="480" w:lineRule="auto"/>
        <w:ind w:left="718" w:leftChars="342" w:firstLine="240" w:firstLineChars="100"/>
        <w:rPr>
          <w:rFonts w:hint="eastAsia" w:ascii="仿宋" w:hAnsi="仿宋" w:eastAsia="仿宋" w:cs="仿宋"/>
          <w:b/>
          <w:bCs/>
          <w:color w:val="auto"/>
          <w:sz w:val="24"/>
        </w:rPr>
      </w:pPr>
      <w:r>
        <w:rPr>
          <w:rFonts w:hint="eastAsia" w:ascii="仿宋" w:hAnsi="仿宋" w:eastAsia="仿宋" w:cs="仿宋"/>
          <w:b w:val="0"/>
          <w:bCs w:val="0"/>
          <w:color w:val="auto"/>
          <w:sz w:val="24"/>
        </w:rPr>
        <w:t>11.1.3落实政府采购政策需满足的资格要求</w:t>
      </w:r>
      <w:r>
        <w:rPr>
          <w:rFonts w:hint="eastAsia" w:ascii="仿宋" w:hAnsi="仿宋" w:eastAsia="仿宋" w:cs="仿宋"/>
          <w:b w:val="0"/>
          <w:bCs w:val="0"/>
          <w:snapToGrid w:val="0"/>
          <w:color w:val="auto"/>
          <w:kern w:val="28"/>
          <w:sz w:val="24"/>
          <w:szCs w:val="20"/>
          <w:lang w:eastAsia="zh-CN"/>
        </w:rPr>
        <w:t>：</w:t>
      </w:r>
      <w:r>
        <w:rPr>
          <w:rFonts w:hint="eastAsia" w:ascii="仿宋" w:hAnsi="仿宋" w:eastAsia="仿宋" w:cs="仿宋"/>
          <w:b/>
          <w:bCs/>
          <w:color w:val="auto"/>
          <w:sz w:val="24"/>
          <w:highlight w:val="none"/>
          <w:lang w:eastAsia="zh-CN"/>
        </w:rPr>
        <w:t>本项目为专门面向中小企业采购的项目,投标单位应为中小微企业或监狱企业</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lang w:eastAsia="zh-CN"/>
        </w:rPr>
        <w:t>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rPr>
        <w:t>提供相应的中小企业声明函</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否则作无效标处理</w:t>
      </w:r>
      <w:r>
        <w:rPr>
          <w:rFonts w:hint="eastAsia" w:ascii="仿宋" w:hAnsi="仿宋" w:eastAsia="仿宋" w:cs="仿宋"/>
          <w:b/>
          <w:bCs/>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11.1.4本项目的特定资格要求</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pStyle w:val="3"/>
        <w:spacing w:line="480" w:lineRule="auto"/>
        <w:ind w:left="664" w:leftChars="316" w:firstLine="229" w:firstLineChars="9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lang w:val="en-US" w:eastAsia="zh-CN" w:bidi="ar-SA"/>
        </w:rPr>
        <w:t>。</w:t>
      </w:r>
    </w:p>
    <w:p>
      <w:pPr>
        <w:snapToGrid w:val="0"/>
        <w:spacing w:line="480" w:lineRule="auto"/>
        <w:ind w:firstLine="480" w:firstLineChars="2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 xml:space="preserve">  </w:t>
      </w:r>
      <w:r>
        <w:rPr>
          <w:rFonts w:hint="eastAsia" w:ascii="仿宋" w:hAnsi="仿宋" w:eastAsia="仿宋" w:cs="仿宋"/>
          <w:b w:val="0"/>
          <w:bCs w:val="0"/>
          <w:color w:val="auto"/>
          <w:sz w:val="24"/>
        </w:rPr>
        <w:t>商务技术</w:t>
      </w:r>
      <w:r>
        <w:rPr>
          <w:rFonts w:hint="eastAsia" w:ascii="仿宋" w:hAnsi="仿宋" w:eastAsia="仿宋" w:cs="仿宋"/>
          <w:b w:val="0"/>
          <w:bCs w:val="0"/>
          <w:color w:val="auto"/>
          <w:sz w:val="24"/>
          <w:lang w:val="zh-CN"/>
        </w:rPr>
        <w:t>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11.2.1投标函；</w:t>
      </w:r>
      <w:r>
        <w:rPr>
          <w:rFonts w:hint="eastAsia" w:ascii="仿宋" w:hAnsi="仿宋" w:eastAsia="仿宋" w:cs="仿宋"/>
          <w:b w:val="0"/>
          <w:bCs w:val="0"/>
          <w:color w:val="auto"/>
          <w:sz w:val="24"/>
          <w:lang w:val="zh-CN"/>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11.2.2授权委托书或法定代表人（单位负责人、自然人本人）身份证明；</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11.2.3分包意向协议</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11.2.4符合性审查资料；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11.2.5评标标准相应的商务技术资料；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11.2.6投标标的清单；</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11.2.7商务技术偏离表；</w:t>
      </w:r>
    </w:p>
    <w:p>
      <w:pPr>
        <w:snapToGrid w:val="0"/>
        <w:spacing w:line="480" w:lineRule="auto"/>
        <w:ind w:firstLine="960" w:firstLineChars="4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w:t>
      </w:r>
      <w:r>
        <w:rPr>
          <w:rFonts w:hint="eastAsia" w:ascii="仿宋" w:hAnsi="仿宋" w:eastAsia="仿宋" w:cs="仿宋"/>
          <w:b w:val="0"/>
          <w:bCs w:val="0"/>
          <w:color w:val="auto"/>
          <w:sz w:val="24"/>
        </w:rPr>
        <w:t>8</w:t>
      </w:r>
      <w:r>
        <w:rPr>
          <w:rFonts w:hint="eastAsia" w:ascii="仿宋" w:hAnsi="仿宋" w:eastAsia="仿宋" w:cs="仿宋"/>
          <w:b w:val="0"/>
          <w:bCs w:val="0"/>
          <w:color w:val="auto"/>
          <w:sz w:val="24"/>
          <w:lang w:val="zh-CN"/>
        </w:rPr>
        <w:t>政府采购供应商廉洁自律承诺书；</w:t>
      </w:r>
    </w:p>
    <w:p>
      <w:pPr>
        <w:pStyle w:val="79"/>
        <w:spacing w:line="480" w:lineRule="auto"/>
        <w:ind w:firstLine="960" w:firstLineChars="400"/>
        <w:rPr>
          <w:rFonts w:hint="default" w:eastAsia="仿宋"/>
          <w:color w:val="auto"/>
          <w:lang w:val="en-US" w:eastAsia="zh-CN"/>
        </w:rPr>
      </w:pPr>
      <w:r>
        <w:rPr>
          <w:rFonts w:hint="eastAsia" w:ascii="仿宋" w:hAnsi="仿宋" w:eastAsia="仿宋" w:cs="仿宋"/>
          <w:b w:val="0"/>
          <w:bCs w:val="0"/>
          <w:color w:val="auto"/>
          <w:sz w:val="24"/>
          <w:lang w:val="en-US" w:eastAsia="zh-CN"/>
        </w:rPr>
        <w:t>11.2.9</w:t>
      </w:r>
      <w:r>
        <w:rPr>
          <w:rFonts w:hint="eastAsia" w:ascii="仿宋" w:hAnsi="仿宋" w:eastAsia="仿宋" w:cs="仿宋"/>
          <w:b w:val="0"/>
          <w:bCs w:val="0"/>
          <w:color w:val="auto"/>
          <w:kern w:val="2"/>
          <w:sz w:val="24"/>
          <w:szCs w:val="24"/>
          <w:lang w:val="en-US" w:eastAsia="zh-CN" w:bidi="ar-SA"/>
        </w:rPr>
        <w:t>政府采购活动现场确认声明书；</w:t>
      </w:r>
    </w:p>
    <w:p>
      <w:pPr>
        <w:pStyle w:val="3"/>
        <w:spacing w:line="480" w:lineRule="auto"/>
        <w:ind w:left="664" w:leftChars="316" w:firstLine="229" w:firstLineChars="95"/>
        <w:rPr>
          <w:rFonts w:hint="eastAsia"/>
          <w:b/>
          <w:bCs/>
          <w:color w:val="auto"/>
          <w:lang w:val="zh-CN"/>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p>
    <w:p>
      <w:pPr>
        <w:snapToGrid w:val="0"/>
        <w:spacing w:line="48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11.3.1开标一览表（报价表）；</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11.3.2中小企业声明函。</w:t>
      </w:r>
    </w:p>
    <w:p>
      <w:pPr>
        <w:spacing w:line="480" w:lineRule="auto"/>
        <w:ind w:firstLine="964" w:firstLineChars="4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投标文件含有采购人不能接受的附加条件的，投标无效；</w:t>
      </w:r>
    </w:p>
    <w:p>
      <w:pPr>
        <w:spacing w:line="480" w:lineRule="auto"/>
        <w:ind w:firstLine="1446" w:firstLineChars="600"/>
        <w:rPr>
          <w:rFonts w:hint="eastAsia" w:ascii="仿宋" w:hAnsi="仿宋" w:eastAsia="仿宋" w:cs="仿宋"/>
          <w:b/>
          <w:bCs/>
          <w:color w:val="auto"/>
          <w:sz w:val="24"/>
          <w:szCs w:val="21"/>
        </w:rPr>
      </w:pPr>
      <w:r>
        <w:rPr>
          <w:rFonts w:hint="eastAsia" w:ascii="仿宋" w:hAnsi="仿宋" w:eastAsia="仿宋" w:cs="仿宋"/>
          <w:b/>
          <w:bCs/>
          <w:color w:val="auto"/>
          <w:sz w:val="24"/>
        </w:rPr>
        <w:t>投标人提供虚假材料投标的，投标无效。</w:t>
      </w:r>
    </w:p>
    <w:p>
      <w:pPr>
        <w:pStyle w:val="129"/>
        <w:snapToGrid w:val="0"/>
        <w:spacing w:before="0" w:line="480" w:lineRule="auto"/>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80" w:lineRule="auto"/>
        <w:rPr>
          <w:rFonts w:hint="eastAsia"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lang w:eastAsia="zh-CN"/>
        </w:rPr>
        <w:t>、</w:t>
      </w:r>
      <w:r>
        <w:rPr>
          <w:rFonts w:hint="eastAsia" w:ascii="仿宋" w:hAnsi="仿宋" w:eastAsia="仿宋" w:cs="仿宋"/>
          <w:b/>
          <w:color w:val="auto"/>
          <w:sz w:val="24"/>
        </w:rPr>
        <w:t>投标文件的签署、盖章</w:t>
      </w:r>
    </w:p>
    <w:p>
      <w:pPr>
        <w:pStyle w:val="129"/>
        <w:snapToGrid w:val="0"/>
        <w:spacing w:before="0" w:line="480" w:lineRule="auto"/>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480" w:lineRule="auto"/>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29"/>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14</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投标文件的提交、补充、修改、撤回</w:t>
      </w:r>
    </w:p>
    <w:p>
      <w:pPr>
        <w:pStyle w:val="129"/>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与投标人以前在投标截止期方面的全部权利、责任和义务，将适用于延长至新的投标截止期。</w:t>
      </w:r>
    </w:p>
    <w:p>
      <w:pPr>
        <w:pStyle w:val="33"/>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备份投标文件</w:t>
      </w:r>
    </w:p>
    <w:p>
      <w:pPr>
        <w:pStyle w:val="33"/>
        <w:spacing w:line="480" w:lineRule="auto"/>
        <w:ind w:firstLine="360" w:firstLineChars="15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rPr>
        <w:t>或者以邮政快递方式递交备份投标文件1份，但采购人、</w:t>
      </w:r>
      <w:r>
        <w:rPr>
          <w:rFonts w:hint="eastAsia" w:ascii="仿宋" w:hAnsi="仿宋" w:eastAsia="仿宋" w:cs="仿宋"/>
          <w:b w:val="0"/>
          <w:bCs w:val="0"/>
          <w:color w:val="auto"/>
          <w:sz w:val="24"/>
          <w:szCs w:val="24"/>
          <w:lang w:eastAsia="zh-CN"/>
        </w:rPr>
        <w:t>采购代理机构</w:t>
      </w:r>
      <w:r>
        <w:rPr>
          <w:rFonts w:hint="eastAsia" w:ascii="仿宋" w:hAnsi="仿宋" w:eastAsia="仿宋" w:cs="仿宋"/>
          <w:b w:val="0"/>
          <w:bCs w:val="0"/>
          <w:color w:val="auto"/>
          <w:sz w:val="24"/>
          <w:szCs w:val="24"/>
        </w:rPr>
        <w:t>不强制或变相强制投标人提交备份投标文件。</w:t>
      </w:r>
    </w:p>
    <w:p>
      <w:pPr>
        <w:pStyle w:val="33"/>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15.2备份投标文件须在“政采云投标客户端”制作生成，并储存在</w:t>
      </w:r>
      <w:r>
        <w:rPr>
          <w:rFonts w:hint="eastAsia" w:ascii="仿宋" w:hAnsi="仿宋" w:eastAsia="仿宋" w:cs="仿宋"/>
          <w:b w:val="0"/>
          <w:bCs w:val="0"/>
          <w:color w:val="auto"/>
          <w:sz w:val="24"/>
        </w:rPr>
        <w:t>DVD光盘</w:t>
      </w:r>
      <w:r>
        <w:rPr>
          <w:rFonts w:hint="eastAsia" w:ascii="仿宋" w:hAnsi="仿宋" w:eastAsia="仿宋" w:cs="仿宋"/>
          <w:b w:val="0"/>
          <w:bCs w:val="0"/>
          <w:color w:val="auto"/>
          <w:sz w:val="24"/>
          <w:lang w:val="en-US" w:eastAsia="zh-CN"/>
        </w:rPr>
        <w:t>等存储介质</w:t>
      </w:r>
      <w:r>
        <w:rPr>
          <w:rFonts w:hint="eastAsia" w:ascii="仿宋" w:hAnsi="仿宋" w:eastAsia="仿宋" w:cs="仿宋"/>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rPr>
        <w:t>不符合上述制作、</w:t>
      </w:r>
      <w:r>
        <w:rPr>
          <w:rFonts w:hint="eastAsia" w:ascii="仿宋" w:hAnsi="仿宋" w:eastAsia="仿宋" w:cs="仿宋"/>
          <w:b/>
          <w:bCs/>
          <w:color w:val="auto"/>
          <w:sz w:val="24"/>
          <w:szCs w:val="24"/>
        </w:rPr>
        <w:t>存储、密封规定的备份投标文件将被视为无效或者被拒绝接收。</w:t>
      </w:r>
    </w:p>
    <w:p>
      <w:pPr>
        <w:pStyle w:val="33"/>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pPr>
        <w:pStyle w:val="33"/>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pPr>
        <w:pStyle w:val="33"/>
        <w:spacing w:line="480" w:lineRule="auto"/>
        <w:ind w:firstLine="479" w:firstLineChars="19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15.5投标人仅提交备份投标文件，未在电子交易平台传输递交投标文件的，投标无效。</w:t>
      </w:r>
    </w:p>
    <w:p>
      <w:pPr>
        <w:pStyle w:val="129"/>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投标文件的无效处理</w:t>
      </w:r>
    </w:p>
    <w:p>
      <w:pPr>
        <w:pStyle w:val="24"/>
        <w:spacing w:line="48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29"/>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投标有效期</w:t>
      </w:r>
    </w:p>
    <w:p>
      <w:pPr>
        <w:spacing w:line="48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29"/>
        <w:spacing w:before="0" w:line="480" w:lineRule="auto"/>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29"/>
        <w:spacing w:before="0" w:line="480" w:lineRule="auto"/>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pPr>
        <w:pStyle w:val="129"/>
        <w:spacing w:before="0" w:line="480" w:lineRule="auto"/>
        <w:ind w:firstLine="643"/>
        <w:rPr>
          <w:rFonts w:hint="eastAsia" w:ascii="仿宋" w:hAnsi="仿宋" w:eastAsia="仿宋" w:cs="仿宋"/>
          <w:b/>
          <w:color w:val="auto"/>
          <w:sz w:val="32"/>
        </w:rPr>
      </w:pPr>
    </w:p>
    <w:p>
      <w:pPr>
        <w:pStyle w:val="129"/>
        <w:spacing w:before="0" w:line="480" w:lineRule="auto"/>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5"/>
        <w:spacing w:before="0" w:line="48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pPr>
        <w:pStyle w:val="555"/>
        <w:spacing w:before="0" w:line="48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pPr>
        <w:pStyle w:val="555"/>
        <w:spacing w:before="0" w:line="48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pPr>
        <w:pStyle w:val="555"/>
        <w:spacing w:before="0" w:line="480" w:lineRule="auto"/>
        <w:ind w:left="0" w:firstLine="241" w:firstLineChars="100"/>
        <w:contextualSpacing/>
        <w:rPr>
          <w:rFonts w:hint="eastAsia" w:ascii="仿宋" w:hAnsi="仿宋" w:eastAsia="仿宋" w:cs="仿宋"/>
          <w:b/>
          <w:bCs/>
          <w:color w:val="auto"/>
          <w:sz w:val="24"/>
        </w:rPr>
      </w:pPr>
      <w:r>
        <w:rPr>
          <w:rFonts w:hint="eastAsia" w:ascii="仿宋" w:hAnsi="仿宋" w:eastAsia="仿宋" w:cs="仿宋"/>
          <w:b/>
          <w:bCs/>
          <w:color w:val="auto"/>
          <w:sz w:val="24"/>
        </w:rPr>
        <w:t>　18.3投标文件未按时解密，投标人提供了备份投标文件的，以备份投标文件作为依据，否则视为投标文件撤回。投标文件已按时解密的，备份投标文件自动失效。</w:t>
      </w:r>
    </w:p>
    <w:p>
      <w:pPr>
        <w:widowControl/>
        <w:spacing w:before="100" w:beforeAutospacing="1" w:after="240" w:line="48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pPr>
        <w:pStyle w:val="129"/>
        <w:spacing w:before="0" w:line="480" w:lineRule="auto"/>
        <w:ind w:firstLine="480"/>
        <w:rPr>
          <w:rFonts w:hint="eastAsia" w:ascii="仿宋" w:hAnsi="仿宋" w:eastAsia="仿宋" w:cs="仿宋"/>
          <w:b/>
          <w:bCs/>
          <w:color w:val="auto"/>
        </w:rPr>
      </w:pPr>
      <w:r>
        <w:rPr>
          <w:rFonts w:hint="eastAsia" w:ascii="仿宋" w:hAnsi="仿宋" w:eastAsia="仿宋" w:cs="仿宋"/>
          <w:b/>
          <w:bCs/>
          <w:color w:val="auto"/>
          <w:kern w:val="0"/>
          <w:szCs w:val="24"/>
        </w:rPr>
        <w:t>19.</w:t>
      </w:r>
      <w:r>
        <w:rPr>
          <w:rFonts w:hint="eastAsia" w:ascii="仿宋" w:hAnsi="仿宋" w:eastAsia="仿宋" w:cs="仿宋"/>
          <w:b/>
          <w:bCs/>
          <w:color w:val="auto"/>
          <w:kern w:val="0"/>
          <w:szCs w:val="24"/>
          <w:lang w:val="en-US" w:eastAsia="zh-CN"/>
        </w:rPr>
        <w:t>2</w:t>
      </w:r>
      <w:r>
        <w:rPr>
          <w:rFonts w:hint="eastAsia" w:ascii="仿宋" w:hAnsi="仿宋" w:eastAsia="仿宋" w:cs="仿宋"/>
          <w:b/>
          <w:bCs/>
          <w:color w:val="auto"/>
          <w:kern w:val="0"/>
          <w:szCs w:val="24"/>
        </w:rPr>
        <w:t>投标人未按照招标文件要求提供与</w:t>
      </w:r>
      <w:r>
        <w:rPr>
          <w:rFonts w:hint="eastAsia" w:ascii="仿宋" w:hAnsi="仿宋" w:eastAsia="仿宋" w:cs="仿宋"/>
          <w:b/>
          <w:bCs/>
          <w:color w:val="auto"/>
        </w:rPr>
        <w:t>资格条件相应的</w:t>
      </w:r>
      <w:r>
        <w:rPr>
          <w:rFonts w:hint="eastAsia" w:ascii="仿宋" w:hAnsi="仿宋" w:eastAsia="仿宋" w:cs="仿宋"/>
          <w:b/>
          <w:bCs/>
          <w:color w:val="auto"/>
          <w:kern w:val="0"/>
          <w:szCs w:val="24"/>
        </w:rPr>
        <w:t>有效资格证明材料的，视为</w:t>
      </w:r>
      <w:r>
        <w:rPr>
          <w:rFonts w:hint="eastAsia" w:ascii="仿宋" w:hAnsi="仿宋" w:eastAsia="仿宋" w:cs="仿宋"/>
          <w:b/>
          <w:bCs/>
          <w:color w:val="auto"/>
        </w:rPr>
        <w:t>投标人不具备招标文件中规定的资格要求，其投标无效。</w:t>
      </w:r>
    </w:p>
    <w:p>
      <w:pPr>
        <w:pStyle w:val="129"/>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pPr>
        <w:pStyle w:val="129"/>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pPr>
        <w:pStyle w:val="129"/>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29"/>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将在资格审查时通过“信用中国”网站(www.creditchina.gov.cn)、中国政府采购网(www.ccgp.gov.cn)渠道查询投标人接受资格时的信用记录。</w:t>
      </w:r>
    </w:p>
    <w:p>
      <w:pPr>
        <w:pStyle w:val="129"/>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29"/>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29"/>
        <w:spacing w:before="0" w:line="480" w:lineRule="auto"/>
        <w:ind w:firstLine="0" w:firstLineChars="0"/>
        <w:rPr>
          <w:rFonts w:hint="eastAsia" w:ascii="仿宋" w:hAnsi="仿宋" w:eastAsia="仿宋" w:cs="仿宋"/>
          <w:color w:val="auto"/>
          <w:kern w:val="0"/>
          <w:szCs w:val="24"/>
        </w:rPr>
      </w:pPr>
    </w:p>
    <w:p>
      <w:pPr>
        <w:pStyle w:val="129"/>
        <w:spacing w:before="0" w:line="480" w:lineRule="auto"/>
        <w:ind w:firstLine="0" w:firstLineChars="0"/>
        <w:rPr>
          <w:rFonts w:hint="eastAsia" w:ascii="仿宋" w:hAnsi="仿宋" w:eastAsia="仿宋" w:cs="仿宋"/>
          <w:color w:val="auto"/>
          <w:kern w:val="0"/>
          <w:szCs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48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b/>
          <w:color w:val="auto"/>
          <w:sz w:val="24"/>
          <w:lang w:eastAsia="zh-CN"/>
        </w:rPr>
        <w:t>、</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480" w:lineRule="auto"/>
        <w:rPr>
          <w:rFonts w:hint="eastAsia" w:ascii="仿宋" w:hAnsi="仿宋" w:eastAsia="仿宋" w:cs="仿宋"/>
          <w:b/>
          <w:color w:val="auto"/>
          <w:sz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4"/>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22</w:t>
      </w:r>
      <w:r>
        <w:rPr>
          <w:rFonts w:hint="eastAsia" w:ascii="仿宋" w:hAnsi="仿宋" w:eastAsia="仿宋" w:cs="仿宋"/>
          <w:b/>
          <w:color w:val="auto"/>
          <w:lang w:eastAsia="zh-CN"/>
        </w:rPr>
        <w:t>、</w:t>
      </w:r>
      <w:r>
        <w:rPr>
          <w:rFonts w:hint="eastAsia" w:ascii="仿宋" w:hAnsi="仿宋" w:eastAsia="仿宋" w:cs="仿宋"/>
          <w:b/>
          <w:color w:val="auto"/>
        </w:rPr>
        <w:t>确定中标供应商</w:t>
      </w:r>
    </w:p>
    <w:p>
      <w:pPr>
        <w:pStyle w:val="129"/>
        <w:snapToGrid w:val="0"/>
        <w:spacing w:before="0" w:line="480" w:lineRule="auto"/>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23</w:t>
      </w:r>
      <w:r>
        <w:rPr>
          <w:rFonts w:hint="eastAsia" w:ascii="仿宋" w:hAnsi="仿宋" w:eastAsia="仿宋" w:cs="仿宋"/>
          <w:b/>
          <w:color w:val="auto"/>
          <w:szCs w:val="24"/>
          <w:lang w:eastAsia="zh-CN"/>
        </w:rPr>
        <w:t>、</w:t>
      </w:r>
      <w:r>
        <w:rPr>
          <w:rFonts w:hint="eastAsia" w:ascii="仿宋" w:hAnsi="仿宋" w:eastAsia="仿宋" w:cs="仿宋"/>
          <w:b/>
          <w:color w:val="auto"/>
          <w:szCs w:val="24"/>
        </w:rPr>
        <w:t xml:space="preserve"> 中标通知与中标结果公告</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通过电子交易平台向中标人发出中标通知书，同时编制发布采购结果公告。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也可以以纸质形式进行中标通知。</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pStyle w:val="3"/>
        <w:ind w:left="0" w:leftChars="0" w:firstLine="0" w:firstLineChars="0"/>
        <w:rPr>
          <w:rFonts w:hint="eastAsia"/>
          <w:color w:val="auto"/>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4"/>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b/>
          <w:color w:val="auto"/>
          <w:lang w:eastAsia="zh-CN"/>
        </w:rPr>
        <w:t>、</w:t>
      </w:r>
      <w:r>
        <w:rPr>
          <w:rFonts w:hint="eastAsia" w:ascii="仿宋" w:hAnsi="仿宋" w:eastAsia="仿宋" w:cs="仿宋"/>
          <w:color w:val="auto"/>
        </w:rPr>
        <w:t>合同主要条款详见第五部分拟签订的合同文本。</w:t>
      </w:r>
    </w:p>
    <w:p>
      <w:pPr>
        <w:pStyle w:val="24"/>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25</w:t>
      </w:r>
      <w:r>
        <w:rPr>
          <w:rFonts w:hint="eastAsia" w:ascii="仿宋" w:hAnsi="仿宋" w:eastAsia="仿宋" w:cs="仿宋"/>
          <w:b/>
          <w:color w:val="auto"/>
          <w:lang w:eastAsia="zh-CN"/>
        </w:rPr>
        <w:t>、</w:t>
      </w:r>
      <w:r>
        <w:rPr>
          <w:rFonts w:hint="eastAsia" w:ascii="仿宋" w:hAnsi="仿宋" w:eastAsia="仿宋" w:cs="仿宋"/>
          <w:b/>
          <w:color w:val="auto"/>
        </w:rPr>
        <w:t xml:space="preserve"> 合同的签订</w:t>
      </w:r>
    </w:p>
    <w:p>
      <w:pPr>
        <w:widowControl/>
        <w:shd w:val="clear" w:color="auto" w:fill="FFFFFF"/>
        <w:spacing w:line="48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line="48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480" w:lineRule="auto"/>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4"/>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26</w:t>
      </w:r>
      <w:r>
        <w:rPr>
          <w:rFonts w:hint="eastAsia" w:ascii="仿宋" w:hAnsi="仿宋" w:eastAsia="仿宋" w:cs="仿宋"/>
          <w:b/>
          <w:color w:val="auto"/>
          <w:lang w:eastAsia="zh-CN"/>
        </w:rPr>
        <w:t>、</w:t>
      </w:r>
      <w:r>
        <w:rPr>
          <w:rFonts w:hint="eastAsia" w:ascii="仿宋" w:hAnsi="仿宋" w:eastAsia="仿宋" w:cs="仿宋"/>
          <w:b/>
          <w:color w:val="auto"/>
        </w:rPr>
        <w:t>履约保证金</w:t>
      </w:r>
    </w:p>
    <w:p>
      <w:pPr>
        <w:tabs>
          <w:tab w:val="left" w:pos="0"/>
        </w:tabs>
        <w:spacing w:line="48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3"/>
        <w:spacing w:line="480" w:lineRule="auto"/>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color w:val="auto"/>
        </w:rPr>
      </w:pPr>
    </w:p>
    <w:p>
      <w:pPr>
        <w:snapToGrid w:val="0"/>
        <w:spacing w:line="48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29"/>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b/>
          <w:bCs/>
          <w:color w:val="auto"/>
          <w:sz w:val="24"/>
          <w:szCs w:val="20"/>
        </w:rPr>
        <w:t>2</w:t>
      </w:r>
      <w:r>
        <w:rPr>
          <w:rFonts w:hint="eastAsia" w:ascii="仿宋" w:hAnsi="仿宋" w:eastAsia="仿宋" w:cs="仿宋"/>
          <w:b/>
          <w:bCs/>
          <w:color w:val="auto"/>
          <w:sz w:val="24"/>
          <w:szCs w:val="24"/>
          <w:lang w:val="en-US" w:eastAsia="zh-CN"/>
        </w:rPr>
        <w:t>7</w:t>
      </w:r>
      <w:r>
        <w:rPr>
          <w:rFonts w:hint="eastAsia" w:ascii="仿宋" w:hAnsi="仿宋" w:eastAsia="仿宋" w:cs="仿宋"/>
          <w:b/>
          <w:color w:val="auto"/>
          <w:szCs w:val="24"/>
          <w:lang w:eastAsia="zh-CN"/>
        </w:rPr>
        <w:t>、</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.1电子交易平台发生故障而无法登录访问的； </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.2电子交易平台应用或数据库出现错误，不能进行正常操作的；</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.3电子交易平台发现严重安全漏洞，有潜在泄密危险的；</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.4病毒发作导致不能进行正常操作的； </w:t>
      </w:r>
    </w:p>
    <w:p>
      <w:pPr>
        <w:pStyle w:val="129"/>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.5其他无法保证电子交易的公平、公正和安全的情况。</w:t>
      </w:r>
    </w:p>
    <w:p>
      <w:pPr>
        <w:pStyle w:val="129"/>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color w:val="auto"/>
        </w:rPr>
        <w:t xml:space="preserve"> 2</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480" w:lineRule="auto"/>
        <w:ind w:firstLine="480"/>
        <w:rPr>
          <w:rFonts w:hint="eastAsia" w:ascii="仿宋" w:hAnsi="仿宋" w:eastAsia="仿宋" w:cs="仿宋"/>
          <w:color w:val="auto"/>
          <w:sz w:val="24"/>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4"/>
        <w:spacing w:line="48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29</w:t>
      </w:r>
      <w:r>
        <w:rPr>
          <w:rFonts w:hint="eastAsia" w:ascii="仿宋" w:hAnsi="仿宋" w:eastAsia="仿宋" w:cs="仿宋"/>
          <w:b/>
          <w:color w:val="auto"/>
          <w:lang w:eastAsia="zh-CN"/>
        </w:rPr>
        <w:t>、</w:t>
      </w:r>
      <w:r>
        <w:rPr>
          <w:rFonts w:hint="eastAsia" w:ascii="仿宋" w:hAnsi="仿宋" w:eastAsia="仿宋" w:cs="仿宋"/>
          <w:b/>
          <w:color w:val="auto"/>
        </w:rPr>
        <w:t>验收</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8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48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403820"/>
      <w:bookmarkEnd w:id="15"/>
      <w:bookmarkStart w:id="16" w:name="_Hlt75236290"/>
      <w:bookmarkEnd w:id="16"/>
      <w:bookmarkStart w:id="17" w:name="_Hlt68072998"/>
      <w:bookmarkEnd w:id="17"/>
      <w:bookmarkStart w:id="18" w:name="_Hlt68073093"/>
      <w:bookmarkEnd w:id="18"/>
      <w:bookmarkStart w:id="19" w:name="_Hlt68072990"/>
      <w:bookmarkEnd w:id="19"/>
      <w:bookmarkStart w:id="20" w:name="_Hlt68057669"/>
      <w:bookmarkEnd w:id="20"/>
      <w:bookmarkStart w:id="21" w:name="_Hlt74730295"/>
      <w:bookmarkEnd w:id="21"/>
      <w:bookmarkStart w:id="22" w:name="_Hlt75236101"/>
      <w:bookmarkEnd w:id="22"/>
      <w:bookmarkStart w:id="23" w:name="_Hlt74707468"/>
      <w:bookmarkEnd w:id="23"/>
      <w:bookmarkStart w:id="24" w:name="_Hlt74714665"/>
      <w:bookmarkEnd w:id="24"/>
      <w:bookmarkStart w:id="25" w:name="_Hlt74729768"/>
      <w:bookmarkEnd w:id="25"/>
    </w:p>
    <w:bookmarkEnd w:id="10"/>
    <w:bookmarkEnd w:id="11"/>
    <w:p>
      <w:pPr>
        <w:spacing w:line="360" w:lineRule="auto"/>
        <w:jc w:val="center"/>
        <w:outlineLvl w:val="0"/>
        <w:rPr>
          <w:rFonts w:hint="eastAsia" w:ascii="宋体" w:hAnsi="宋体" w:cs="宋体"/>
          <w:b/>
          <w:color w:val="auto"/>
          <w:sz w:val="36"/>
          <w:szCs w:val="36"/>
        </w:rPr>
      </w:pPr>
      <w:bookmarkStart w:id="26" w:name="第四部分"/>
      <w:r>
        <w:rPr>
          <w:rFonts w:hint="eastAsia" w:ascii="宋体" w:hAnsi="宋体" w:cs="宋体"/>
          <w:b/>
          <w:color w:val="auto"/>
          <w:sz w:val="36"/>
          <w:szCs w:val="36"/>
        </w:rPr>
        <w:t>第三部分   采购需求</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一、项目概述：</w:t>
      </w:r>
    </w:p>
    <w:p>
      <w:pPr>
        <w:widowControl w:val="0"/>
        <w:autoSpaceDE w:val="0"/>
        <w:autoSpaceDN w:val="0"/>
        <w:adjustRightInd w:val="0"/>
        <w:spacing w:line="360" w:lineRule="auto"/>
        <w:ind w:firstLine="420"/>
        <w:jc w:val="both"/>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本项目为“交钥匙”项目，采购内容包括采购清单中货物供货、安装调试、货物验收、培训、质保期内的售后服务等。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p>
    <w:p>
      <w:pPr>
        <w:numPr>
          <w:ilvl w:val="0"/>
          <w:numId w:val="2"/>
        </w:numPr>
        <w:adjustRightInd w:val="0"/>
        <w:snapToGrid w:val="0"/>
        <w:spacing w:line="360" w:lineRule="auto"/>
        <w:ind w:left="361" w:leftChars="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采购内容</w:t>
      </w:r>
    </w:p>
    <w:tbl>
      <w:tblPr>
        <w:tblStyle w:val="62"/>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3416"/>
        <w:gridCol w:w="205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序 号</w:t>
            </w:r>
          </w:p>
        </w:tc>
        <w:tc>
          <w:tcPr>
            <w:tcW w:w="341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品 名</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单价限价</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1</w:t>
            </w:r>
          </w:p>
        </w:tc>
        <w:tc>
          <w:tcPr>
            <w:tcW w:w="341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吗啡</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zh-CN" w:eastAsia="zh-CN" w:bidi="ar-SA"/>
              </w:rPr>
              <w:t>甲基安非他明</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zh-CN" w:eastAsia="zh-CN" w:bidi="ar-SA"/>
              </w:rPr>
              <w:t>氯胺酮</w:t>
            </w:r>
            <w:r>
              <w:rPr>
                <w:rFonts w:hint="eastAsia" w:ascii="宋体" w:hAnsi="宋体" w:cs="宋体"/>
                <w:snapToGrid w:val="0"/>
                <w:color w:val="auto"/>
                <w:kern w:val="2"/>
                <w:sz w:val="24"/>
                <w:szCs w:val="24"/>
                <w:highlight w:val="none"/>
                <w:lang w:val="en-US" w:eastAsia="zh-CN" w:bidi="ar-SA"/>
              </w:rPr>
              <w:t>三合一</w:t>
            </w:r>
            <w:r>
              <w:rPr>
                <w:rFonts w:hint="eastAsia" w:ascii="宋体" w:hAnsi="宋体" w:eastAsia="宋体" w:cs="宋体"/>
                <w:snapToGrid w:val="0"/>
                <w:color w:val="auto"/>
                <w:kern w:val="2"/>
                <w:sz w:val="24"/>
                <w:szCs w:val="24"/>
                <w:highlight w:val="none"/>
                <w:lang w:val="zh-CN" w:eastAsia="zh-CN" w:bidi="ar-SA"/>
              </w:rPr>
              <w:t>毛发荧光初筛检测试剂</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55</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2</w:t>
            </w:r>
          </w:p>
        </w:tc>
        <w:tc>
          <w:tcPr>
            <w:tcW w:w="341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四氢大麻酚毛发荧光初筛检测试剂</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25</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3</w:t>
            </w:r>
          </w:p>
        </w:tc>
        <w:tc>
          <w:tcPr>
            <w:tcW w:w="341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依托咪酯毛发荧光检测试剂</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35</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元/人份</w:t>
            </w:r>
          </w:p>
        </w:tc>
      </w:tr>
    </w:tbl>
    <w:p>
      <w:pPr>
        <w:bidi w:val="0"/>
        <w:rPr>
          <w:rFonts w:hint="eastAsia"/>
          <w:color w:val="auto"/>
          <w:lang w:val="zh-CN" w:eastAsia="zh-CN"/>
        </w:rPr>
      </w:pPr>
    </w:p>
    <w:p>
      <w:pPr>
        <w:numPr>
          <w:ilvl w:val="0"/>
          <w:numId w:val="0"/>
        </w:numPr>
        <w:adjustRightInd w:val="0"/>
        <w:snapToGrid w:val="0"/>
        <w:spacing w:line="360" w:lineRule="auto"/>
        <w:ind w:left="361" w:lef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采购清单及参数：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1.投标人需要向采购人提供：吗啡/甲基安非他明(冰毒）/氯胺酮三合一毛发检测试剂盒、四氢大麻酚（大麻）毛发检测试剂盒</w:t>
      </w:r>
      <w:r>
        <w:rPr>
          <w:rFonts w:hint="eastAsia" w:ascii="宋体" w:hAnsi="宋体" w:cs="宋体"/>
          <w:color w:val="auto"/>
          <w:sz w:val="24"/>
          <w:szCs w:val="24"/>
          <w:highlight w:val="none"/>
          <w:lang w:val="en-US" w:eastAsia="zh-CN"/>
        </w:rPr>
        <w:t>、依托咪酯毛发检测试剂盒</w:t>
      </w:r>
      <w:r>
        <w:rPr>
          <w:rFonts w:hint="eastAsia" w:ascii="宋体" w:hAnsi="宋体" w:eastAsia="宋体" w:cs="宋体"/>
          <w:color w:val="auto"/>
          <w:sz w:val="24"/>
          <w:szCs w:val="24"/>
          <w:highlight w:val="none"/>
          <w:lang w:val="en-US" w:eastAsia="zh-CN"/>
        </w:rPr>
        <w:t>及配套耗材，且产品技术参数满足采购人的相关技术要求（提供公安部检测机构出具的产品检测报告复印件证明材料）。</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2.投标人承诺提供的所有产品的产品保质期必须≥12个月。</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投标人承诺中标后提供毛发毒品检测专用配套设备≥</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台、毛发</w:t>
      </w:r>
      <w:r>
        <w:rPr>
          <w:rFonts w:hint="eastAsia" w:ascii="宋体" w:hAnsi="宋体" w:eastAsia="宋体" w:cs="宋体"/>
          <w:color w:val="auto"/>
          <w:sz w:val="24"/>
          <w:szCs w:val="24"/>
          <w:highlight w:val="none"/>
          <w:lang w:val="en-US" w:eastAsia="zh-CN"/>
        </w:rPr>
        <w:t>研磨</w:t>
      </w:r>
      <w:r>
        <w:rPr>
          <w:rFonts w:hint="eastAsia" w:ascii="宋体" w:hAnsi="宋体" w:eastAsia="宋体" w:cs="宋体"/>
          <w:color w:val="auto"/>
          <w:sz w:val="24"/>
          <w:szCs w:val="24"/>
          <w:highlight w:val="none"/>
        </w:rPr>
        <w:t>仪≥</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台供采购人无偿使用，</w:t>
      </w:r>
      <w:r>
        <w:rPr>
          <w:rFonts w:hint="eastAsia" w:ascii="宋体" w:hAnsi="宋体" w:eastAsia="宋体" w:cs="宋体"/>
          <w:color w:val="auto"/>
          <w:sz w:val="24"/>
          <w:szCs w:val="24"/>
          <w:highlight w:val="none"/>
          <w:lang w:val="en-US" w:eastAsia="zh-CN"/>
        </w:rPr>
        <w:t>产品技术参数均满足采购人的相关技术要求，</w:t>
      </w:r>
      <w:r>
        <w:rPr>
          <w:rFonts w:hint="eastAsia" w:ascii="宋体" w:hAnsi="宋体" w:eastAsia="宋体" w:cs="宋体"/>
          <w:color w:val="auto"/>
          <w:sz w:val="24"/>
          <w:szCs w:val="24"/>
          <w:highlight w:val="none"/>
        </w:rPr>
        <w:t>并且在服务期内保持设备系统和功能为最新版本，设备提供时间应不少于项目服务期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在服务期间如设备出现故障承诺免费维修或更换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应对复杂多变的毒情需要投标人应有能力向采购人提供包括但不仅限于招标需求之外的6-单乙酰吗啡毒品检测试剂盒、甲卡西酮毒品检测试剂盒、安非他明毛发检测试剂盒、合成大麻素UR144毛发检测试剂盒、合成大麻素K3毛发检测试剂盒、可卡因毛发检测试剂盒、曲马多毛发检测试剂盒、摇头丸毛发检测试剂盒等一些重难点检测试剂盒，并提供与产品对应的公安部有关检测机构出具的检测报告。</w:t>
      </w:r>
    </w:p>
    <w:p>
      <w:pPr>
        <w:keepNext/>
        <w:keepLines/>
        <w:pageBreakBefore w:val="0"/>
        <w:widowControl w:val="0"/>
        <w:tabs>
          <w:tab w:val="left" w:pos="432"/>
        </w:tabs>
        <w:kinsoku/>
        <w:wordWrap/>
        <w:overflowPunct/>
        <w:topLinePunct w:val="0"/>
        <w:autoSpaceDE/>
        <w:autoSpaceDN/>
        <w:bidi w:val="0"/>
        <w:adjustRightInd/>
        <w:spacing w:afterAutospacing="0" w:line="360" w:lineRule="auto"/>
        <w:ind w:left="432" w:hanging="432"/>
        <w:jc w:val="left"/>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5、产品技术参数要求</w:t>
      </w:r>
    </w:p>
    <w:p>
      <w:pPr>
        <w:keepNext/>
        <w:keepLines/>
        <w:pageBreakBefore w:val="0"/>
        <w:widowControl w:val="0"/>
        <w:tabs>
          <w:tab w:val="left" w:pos="900"/>
        </w:tabs>
        <w:kinsoku/>
        <w:wordWrap/>
        <w:overflowPunct/>
        <w:topLinePunct w:val="0"/>
        <w:autoSpaceDE/>
        <w:autoSpaceDN/>
        <w:bidi w:val="0"/>
        <w:adjustRightInd w:val="0"/>
        <w:spacing w:beforeAutospacing="0" w:afterAutospacing="0" w:line="360" w:lineRule="auto"/>
        <w:ind w:left="0" w:leftChars="0" w:firstLine="0" w:firstLineChars="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（1）氯胺酮&amp;甲基安非他明&amp;吗啡三合一毛发毒品痕量快速检测试剂盒参数</w:t>
      </w:r>
    </w:p>
    <w:p>
      <w:pPr>
        <w:pageBreakBefore w:val="0"/>
        <w:widowControl w:val="0"/>
        <w:kinsoku/>
        <w:wordWrap/>
        <w:overflowPunct/>
        <w:topLinePunct w:val="0"/>
        <w:autoSpaceDE/>
        <w:autoSpaceDN/>
        <w:bidi w:val="0"/>
        <w:adjustRightInd w:val="0"/>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1.★方法学：荧光免疫技术</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2.产品规格：检测试剂的膜条宽度≥4mm。</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3.移液速度：当在试剂卡，上滴加80μL的毛发裂解液时，试剂卡上的液体移动速度应大于等于50mm/min。</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4.未吸食者毛发毒品检测试验：将未吸食毒品者的毛发样本裂解后通过专用氯胺酮/甲基安非他明/吗啡三合一毛发毒品痕量快速检测试剂卡插入毛发毒品痕量快速分析仪进行检测，检测结果应显示为阴性。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氯胺酮&amp;甲基安非他明&amp;吗啡吸食者毛发样本检测试验：仪器对已确认的氯胺酮/甲基安非他明/吗啡吸食者的毛发样本裂解后通过专用氯胺酮/甲基安非他明/吗啡三合一毛发毒品痕量快速检测试剂卡插入毛发毒品痕量快速分析仪进行检测，检测结果应显示为吗啡阳性、甲基安非他明阳性和氯胺酮阳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6.可检测毒品种类：将滴注有80μL、浓度均为10ng/mL的氯胺酮/甲基安非他明/吗啡1:1:1 混合溶液的氯胺酮/甲基安非他明/吗啡三合一毛发毒品痕量快速检测试剂卡插入毛发毒品痕量快速分析仪进行检测，检测结果应显示为吗啡阳性、甲基安非他明阳性和氯胺酮阳性。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7.毒品检出限（灵敏度）：将滴注有80μL、浓度均为2ng/mL的氯胺酮/甲基安非他明/吗啡1:1:1 混合溶液的氯胺酮/甲基安非他明/吗啡三合一毛发毒品痕量快速检测试剂卡插入毛发毒品痕量快速分析仪进行检测，检测结果应显示为吗啡阳性、甲基安非他明阳性和氯胺酮阳性（相当于：氯胺酮检出限：0.16ng/mg、甲基安非他明检出限：0.16ng/mg、吗啡检出限：0.16ng/mg）。</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8.试剂卡重复项偏差：对同一批次的10张氯胺酮/甲基安非他明/吗啡三合一毛发毒品痕量快速.检测试剂卡进行检测，检测结果重复性偏差应小于等于20%。</w:t>
      </w:r>
    </w:p>
    <w:p>
      <w:pPr>
        <w:keepNext/>
        <w:keepLines/>
        <w:pageBreakBefore w:val="0"/>
        <w:widowControl w:val="0"/>
        <w:tabs>
          <w:tab w:val="left" w:pos="900"/>
        </w:tabs>
        <w:kinsoku/>
        <w:wordWrap/>
        <w:overflowPunct/>
        <w:topLinePunct w:val="0"/>
        <w:autoSpaceDE/>
        <w:autoSpaceDN/>
        <w:bidi w:val="0"/>
        <w:adjustRightInd w:val="0"/>
        <w:spacing w:before="260" w:after="260" w:line="360" w:lineRule="auto"/>
        <w:ind w:left="0" w:leftChars="0" w:firstLine="0" w:firstLineChars="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）大麻（四氢大麻酚）毛发毒品检测试剂参数</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①★方法学：荧光免疫技术</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②产品规格：检测试剂的膜条宽度≥4mm。</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③移液速度：当在试剂卡，上滴加80μL的毛发裂解液时，试剂卡，上的液体移动速度应大于等于50mm/min。</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④★灵敏度：将滴注有80μL、浓度为0. 5ng/mL的大麻（四氢大麻酚）溶液的大麻毛发毒品痕量快速检测试剂卡插入毛发毒品痕量快速分析仪进行检测，检测结果应显示为大麻阳性。（</w:t>
      </w:r>
      <w:r>
        <w:rPr>
          <w:rFonts w:hint="eastAsia" w:ascii="宋体" w:hAnsi="宋体" w:eastAsia="宋体" w:cs="宋体"/>
          <w:color w:val="auto"/>
          <w:sz w:val="24"/>
          <w:szCs w:val="24"/>
          <w:highlight w:val="none"/>
        </w:rPr>
        <w:t>等同于毛发检测灵敏度</w:t>
      </w:r>
      <w:r>
        <w:rPr>
          <w:rFonts w:hint="eastAsia" w:ascii="宋体" w:hAnsi="宋体" w:eastAsia="宋体" w:cs="宋体"/>
          <w:color w:val="auto"/>
          <w:sz w:val="24"/>
          <w:szCs w:val="24"/>
          <w:highlight w:val="none"/>
          <w:lang w:val="en-US" w:eastAsia="zh-CN"/>
        </w:rPr>
        <w:t>/检出限</w:t>
      </w:r>
      <w:r>
        <w:rPr>
          <w:rFonts w:hint="eastAsia" w:ascii="宋体" w:hAnsi="宋体" w:eastAsia="宋体" w:cs="宋体"/>
          <w:color w:val="auto"/>
          <w:sz w:val="24"/>
          <w:szCs w:val="24"/>
          <w:highlight w:val="none"/>
        </w:rPr>
        <w:t>达到0.</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ng/mg）</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⑤大麻吸食者毛发样本检测试验：仪器对已确认的大麻吸食者的毛发样本裂解后通过专用大麻毛发测定试剂卡插入毛发毒品痕量快速分析仪进行检测，检测结果应显示为大麻阳性。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⑥未吸食毒品者毛发样本检测试验：将未吸食毒品者的毛发样本裂解后通过专用大麻毛发测定试剂卡插入毛发毒品痕量快速分析仪进行检测，检测结果应显示为阴性。</w:t>
      </w:r>
    </w:p>
    <w:p>
      <w:pPr>
        <w:pageBreakBefore w:val="0"/>
        <w:widowControl w:val="0"/>
        <w:kinsoku/>
        <w:wordWrap/>
        <w:overflowPunct/>
        <w:topLinePunct w:val="0"/>
        <w:autoSpaceDE/>
        <w:autoSpaceDN/>
        <w:bidi w:val="0"/>
        <w:adjustRightInd w:val="0"/>
        <w:spacing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⑦产品保存温度：</w:t>
      </w:r>
      <w:r>
        <w:rPr>
          <w:rFonts w:hint="eastAsia" w:ascii="宋体" w:hAnsi="宋体" w:eastAsia="宋体" w:cs="宋体"/>
          <w:color w:val="auto"/>
          <w:sz w:val="24"/>
          <w:szCs w:val="24"/>
          <w:highlight w:val="none"/>
        </w:rPr>
        <w:t>可常温保存，温度在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0℃，不需冷链运输存储</w:t>
      </w:r>
      <w:r>
        <w:rPr>
          <w:rFonts w:hint="eastAsia" w:ascii="宋体" w:hAnsi="宋体" w:eastAsia="宋体" w:cs="宋体"/>
          <w:color w:val="auto"/>
          <w:sz w:val="24"/>
          <w:szCs w:val="24"/>
          <w:highlight w:val="none"/>
          <w:lang w:val="en-US" w:eastAsia="zh-CN"/>
        </w:rPr>
        <w:t>。</w:t>
      </w:r>
    </w:p>
    <w:p>
      <w:pPr>
        <w:keepNext/>
        <w:keepLines/>
        <w:pageBreakBefore w:val="0"/>
        <w:widowControl w:val="0"/>
        <w:numPr>
          <w:ilvl w:val="0"/>
          <w:numId w:val="3"/>
        </w:numPr>
        <w:tabs>
          <w:tab w:val="left" w:pos="900"/>
        </w:tabs>
        <w:kinsoku/>
        <w:wordWrap/>
        <w:overflowPunct/>
        <w:topLinePunct w:val="0"/>
        <w:autoSpaceDE/>
        <w:autoSpaceDN/>
        <w:bidi w:val="0"/>
        <w:adjustRightInd w:val="0"/>
        <w:spacing w:beforeAutospacing="0" w:afterAutospacing="0" w:line="360" w:lineRule="auto"/>
        <w:ind w:left="0" w:leftChars="0" w:firstLine="0" w:firstLineChars="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依托咪酯毛发毒品检测试剂盒</w:t>
      </w:r>
      <w:r>
        <w:rPr>
          <w:rFonts w:hint="eastAsia" w:ascii="宋体" w:hAnsi="宋体" w:eastAsia="宋体" w:cs="宋体"/>
          <w:b/>
          <w:bCs/>
          <w:color w:val="auto"/>
          <w:kern w:val="2"/>
          <w:sz w:val="24"/>
          <w:szCs w:val="24"/>
          <w:highlight w:val="none"/>
          <w:lang w:val="en-US" w:eastAsia="zh-CN" w:bidi="ar-SA"/>
        </w:rPr>
        <w:t>参数</w:t>
      </w:r>
    </w:p>
    <w:p>
      <w:pPr>
        <w:pageBreakBefore w:val="0"/>
        <w:widowControl w:val="0"/>
        <w:kinsoku/>
        <w:wordWrap/>
        <w:overflowPunct/>
        <w:topLinePunct w:val="0"/>
        <w:autoSpaceDE/>
        <w:autoSpaceDN/>
        <w:bidi w:val="0"/>
        <w:adjustRightInd w:val="0"/>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①★方法学：荧光免疫技术</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②产品规格：检测试剂的膜条宽度≥4mm。</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③移液速度：当在试剂卡，上滴加80μL的毛发裂解液时，试剂卡，上的液体移动速度应大于等于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0mm/min。</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④★灵敏度：在检出率大于等于90%前提下，将滴注有浓度为2ng/mL，进样量为80mL，进样质量为0.16ng的依托咪酷溶液的依托咪酯毛发测定试剂盒插入毒品检测仪进行检测，检测结果应显示为阳性。（</w:t>
      </w:r>
      <w:r>
        <w:rPr>
          <w:rFonts w:hint="eastAsia" w:ascii="宋体" w:hAnsi="宋体" w:eastAsia="宋体" w:cs="宋体"/>
          <w:color w:val="auto"/>
          <w:sz w:val="24"/>
          <w:szCs w:val="24"/>
          <w:highlight w:val="none"/>
        </w:rPr>
        <w:t>等同于毛发检测灵敏度</w:t>
      </w:r>
      <w:r>
        <w:rPr>
          <w:rFonts w:hint="eastAsia" w:ascii="宋体" w:hAnsi="宋体" w:eastAsia="宋体" w:cs="宋体"/>
          <w:color w:val="auto"/>
          <w:sz w:val="24"/>
          <w:szCs w:val="24"/>
          <w:highlight w:val="none"/>
          <w:lang w:val="en-US" w:eastAsia="zh-CN"/>
        </w:rPr>
        <w:t>/检出限</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ng/m</w:t>
      </w:r>
      <w:r>
        <w:rPr>
          <w:rFonts w:hint="eastAsia" w:ascii="宋体" w:hAnsi="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w:t>
      </w:r>
      <w:r>
        <w:rPr>
          <w:rFonts w:hint="eastAsia" w:ascii="宋体" w:hAnsi="宋体" w:cs="宋体"/>
          <w:color w:val="auto"/>
          <w:sz w:val="24"/>
          <w:szCs w:val="24"/>
          <w:highlight w:val="none"/>
          <w:lang w:val="en-US" w:eastAsia="zh-CN"/>
        </w:rPr>
        <w:t>依托咪酯</w:t>
      </w:r>
      <w:r>
        <w:rPr>
          <w:rFonts w:hint="eastAsia" w:ascii="宋体" w:hAnsi="宋体" w:eastAsia="宋体" w:cs="宋体"/>
          <w:color w:val="auto"/>
          <w:sz w:val="24"/>
          <w:szCs w:val="24"/>
          <w:highlight w:val="none"/>
          <w:lang w:val="en-US" w:eastAsia="zh-CN"/>
        </w:rPr>
        <w:t>吸食者毛发样本检测试验：将已确认的依托咪酯吸食者的毛发样本取样后毛发裂解液中裂解处理，处理后通过依托咪酯毛发测定试剂盒进行检测，检测结果应显示为阳性。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⑥未吸食毒品者毛发样本检测试验：将未吸食毒品者的毛发样本取样后加入毛发裂解液中裂解处理，处理后通过依托咪酯毛发测定试剂盒进行检测，检测结果应显示为阴性。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抗干扰能力测试：在浓度为 100yg'mL，进样量为 80mL,对下列药物及毒品干扰物进行测试，依托咪酷毛发测定试剂盒检测结果应显示为依托咪酯阴性:</w:t>
      </w:r>
    </w:p>
    <w:p>
      <w:pPr>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1、雷尼替丁(石四药盐酸雷尼替丁胶囊，以雷尼替丁计，150mg/片)，2、加替沙星，3、地西泮，4、曲马多，5、苯巴比妥，6、关沙酮</w:t>
      </w:r>
    </w:p>
    <w:p>
      <w:pPr>
        <w:pageBreakBefore w:val="0"/>
        <w:widowControl w:val="0"/>
        <w:kinsoku/>
        <w:wordWrap/>
        <w:overflowPunct/>
        <w:topLinePunct w:val="0"/>
        <w:autoSpaceDE/>
        <w:autoSpaceDN/>
        <w:bidi w:val="0"/>
        <w:adjustRightInd w:val="0"/>
        <w:spacing w:afterAutospacing="0" w:line="360" w:lineRule="auto"/>
        <w:textAlignment w:val="auto"/>
        <w:rPr>
          <w:rFonts w:hint="eastAsia"/>
          <w:color w:val="auto"/>
          <w:lang w:val="en-US" w:eastAsia="zh-CN"/>
        </w:rPr>
      </w:pPr>
      <w:r>
        <w:rPr>
          <w:rFonts w:hint="eastAsia" w:ascii="微软雅黑" w:hAnsi="微软雅黑" w:eastAsia="微软雅黑" w:cs="微软雅黑"/>
          <w:color w:val="auto"/>
          <w:sz w:val="24"/>
          <w:szCs w:val="24"/>
          <w:highlight w:val="none"/>
          <w:lang w:val="en-US" w:eastAsia="zh-CN"/>
        </w:rPr>
        <w:t>⑧</w:t>
      </w:r>
      <w:r>
        <w:rPr>
          <w:rFonts w:hint="eastAsia" w:ascii="宋体" w:hAnsi="宋体" w:eastAsia="宋体" w:cs="宋体"/>
          <w:color w:val="auto"/>
          <w:sz w:val="24"/>
          <w:szCs w:val="24"/>
          <w:highlight w:val="none"/>
          <w:lang w:val="en-US" w:eastAsia="zh-CN"/>
        </w:rPr>
        <w:t>产品保存温度：</w:t>
      </w:r>
      <w:r>
        <w:rPr>
          <w:rFonts w:hint="eastAsia" w:ascii="宋体" w:hAnsi="宋体" w:eastAsia="宋体" w:cs="宋体"/>
          <w:color w:val="auto"/>
          <w:sz w:val="24"/>
          <w:szCs w:val="24"/>
          <w:highlight w:val="none"/>
        </w:rPr>
        <w:t>可常温保存，温度在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0℃，不需冷链运输存储</w:t>
      </w:r>
      <w:r>
        <w:rPr>
          <w:rFonts w:hint="eastAsia" w:ascii="宋体" w:hAnsi="宋体" w:eastAsia="宋体" w:cs="宋体"/>
          <w:color w:val="auto"/>
          <w:sz w:val="24"/>
          <w:szCs w:val="24"/>
          <w:highlight w:val="none"/>
          <w:lang w:val="en-US" w:eastAsia="zh-CN"/>
        </w:rPr>
        <w:t>。</w:t>
      </w:r>
    </w:p>
    <w:p>
      <w:pPr>
        <w:keepNext/>
        <w:keepLines/>
        <w:pageBreakBefore w:val="0"/>
        <w:widowControl w:val="0"/>
        <w:numPr>
          <w:ilvl w:val="0"/>
          <w:numId w:val="0"/>
        </w:numPr>
        <w:tabs>
          <w:tab w:val="left" w:pos="900"/>
        </w:tabs>
        <w:kinsoku/>
        <w:wordWrap/>
        <w:overflowPunct/>
        <w:topLinePunct w:val="0"/>
        <w:autoSpaceDE/>
        <w:autoSpaceDN/>
        <w:bidi w:val="0"/>
        <w:adjustRightInd w:val="0"/>
        <w:spacing w:beforeAutospacing="0" w:afterAutospacing="0" w:line="360" w:lineRule="auto"/>
        <w:ind w:left="0" w:leftChars="0" w:firstLine="0" w:firstLineChars="0"/>
        <w:jc w:val="both"/>
        <w:textAlignment w:val="auto"/>
        <w:outlineLvl w:val="2"/>
        <w:rPr>
          <w:rFonts w:hint="eastAsia"/>
          <w:color w:val="auto"/>
          <w:lang w:val="en-US" w:eastAsia="zh-CN"/>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2"/>
          <w:sz w:val="24"/>
          <w:szCs w:val="24"/>
          <w:highlight w:val="none"/>
          <w:lang w:val="en-US" w:eastAsia="zh-CN" w:bidi="ar-SA"/>
        </w:rPr>
        <w:t>毛发毒品检测仪设备参数要求</w:t>
      </w:r>
    </w:p>
    <w:p>
      <w:pPr>
        <w:pageBreakBefore w:val="0"/>
        <w:widowControl w:val="0"/>
        <w:kinsoku/>
        <w:wordWrap/>
        <w:overflowPunct/>
        <w:topLinePunct w:val="0"/>
        <w:autoSpaceDE/>
        <w:autoSpaceDN/>
        <w:bidi w:val="0"/>
        <w:adjustRightInd w:val="0"/>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工作温度范围：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★仪器重量：台式≤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kg</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③仪器尺寸要求：仪器主机的外形尺寸应小于等于260mm(长) X232mm (宽) X 140mm (高)。</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④仪器冷启动时间：仪器的冷启动时间应小于等于30s</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重复性：</w:t>
      </w:r>
      <w:r>
        <w:rPr>
          <w:rFonts w:hint="eastAsia" w:ascii="宋体" w:hAnsi="宋体" w:eastAsia="宋体" w:cs="宋体"/>
          <w:color w:val="auto"/>
          <w:sz w:val="24"/>
          <w:szCs w:val="24"/>
          <w:highlight w:val="none"/>
          <w:lang w:val="en-US" w:eastAsia="zh-CN"/>
        </w:rPr>
        <w:t>重复性偏差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1%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⑥稳定性实验：仪器开机处于稳定工作状态后的第4h、第8h的测试结果与处于稳定工作状态.初始时的测试结果,其相对偏倚应在±5%范围内。</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⑦检测结果类型设置：仪器应支持：定性、定量、定性及定量三种检测结果类型设定</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rPr>
        <w:t>★设备应具有数据存储、检索、导出、打印功能，存储量：≥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0000条</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⑨设备应具有</w:t>
      </w:r>
      <w:r>
        <w:rPr>
          <w:rFonts w:hint="eastAsia" w:ascii="宋体" w:hAnsi="宋体" w:eastAsia="宋体" w:cs="宋体"/>
          <w:color w:val="auto"/>
          <w:sz w:val="24"/>
          <w:szCs w:val="24"/>
          <w:highlight w:val="none"/>
        </w:rPr>
        <w:t>自检、校准功能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故障诊断提示功能。</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⑩设备应具有</w:t>
      </w:r>
      <w:r>
        <w:rPr>
          <w:rFonts w:hint="eastAsia" w:ascii="宋体" w:hAnsi="宋体" w:eastAsia="宋体" w:cs="宋体"/>
          <w:color w:val="auto"/>
          <w:sz w:val="24"/>
          <w:szCs w:val="24"/>
          <w:highlight w:val="none"/>
        </w:rPr>
        <w:t>USB接口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支持数据导出、</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⑪★</w:t>
      </w:r>
      <w:r>
        <w:rPr>
          <w:rFonts w:hint="eastAsia" w:ascii="宋体" w:hAnsi="宋体" w:eastAsia="宋体" w:cs="宋体"/>
          <w:color w:val="auto"/>
          <w:sz w:val="24"/>
          <w:szCs w:val="24"/>
          <w:highlight w:val="none"/>
          <w:lang w:val="en-US" w:eastAsia="zh-CN"/>
        </w:rPr>
        <w:t>设备应内置身份证阅读器，且身份证阅读器应符合GA 450 -2013《台式居民身份证阅读器通用技术要求》的相关要求。且能通过内置身份证阅读器获取被测人员的信息，信息应包含姓名、性别、身份证号等。</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⑫★</w:t>
      </w:r>
      <w:r>
        <w:rPr>
          <w:rFonts w:hint="eastAsia" w:ascii="宋体" w:hAnsi="宋体" w:eastAsia="宋体" w:cs="宋体"/>
          <w:color w:val="auto"/>
          <w:sz w:val="24"/>
          <w:szCs w:val="24"/>
          <w:highlight w:val="none"/>
          <w:lang w:val="en-US" w:eastAsia="zh-CN"/>
        </w:rPr>
        <w:t>设备在检出率为100%的前提下， 浓度为10ng/ml， 进样量为80μL，进样质量为0.8ng时，仪器分别通过专项检测试剂卡,应能检测出以下毒品样品：1.吗啡、2.冰毒、 3.氯胺酮、4.摇头丸(MDMA)、5.可卡因、6. 单乙酰吗啡、7.大麻(四氢大麻酚)、8.甲卡西酮、9.合成大麻素K2、10.合成大麻素K3、11.曲马多；在检出率为100%的前提下，浓度为10ng/mL， 进样量为80μL，进样质量为0.8ng 时，仪器通过吗啡/冰毒/氯胺酮三合一检测试剂卡，应能检测出以下毒品样品: .1、吗啡2、冰毒.3、氯胺酮</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未吸食毒品者的毛发样本通过吗啡专项检测试剂卡、甲基安非他明专项检测试剂卡、氯胺酮专项检测试剂卡、大麻专项检测试剂卡、吗啡/甲基安非他明/氯胺酮三合一检测试剂卡、摇头丸（MDMA）专项检测试剂卡、可卡因专项检测试剂卡、单乙酰吗啡专项检测试剂卡、甲卡西酮专项检测试剂卡、合成大麻素K2专项检测试剂卡、合成大麻素K3专项检测试剂卡、曲马多专项检测试剂卡进行检测，检测结果显示阴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已确认的吗啡、甲基安非他明（冰毒）、氯胺酮、摇头丸（MDMA）、可卡因、单乙酰吗啡（海洛因）、大麻、甲卡西酮、合成大麻素K2、合成大麻素K3、曲马多毒品吸食者的毛发样本进行检测，检测结果分别显示为:吗啡阳性、甲基安非他明（冰毒）阳性、氯胺酮阳性、摇头丸（MDMA）阳性、可卡因阳性、单乙酰吗啡（海洛因）阳性、大麻阳性、甲卡西酮阳性、合成大麻素K2阳性、合成大麻素K3阳性、曲马多阳性。</w:t>
      </w:r>
    </w:p>
    <w:p>
      <w:pPr>
        <w:pageBreakBefore w:val="0"/>
        <w:widowControl w:val="0"/>
        <w:kinsoku/>
        <w:wordWrap/>
        <w:overflowPunct/>
        <w:topLinePunct w:val="0"/>
        <w:autoSpaceDE/>
        <w:autoSpaceDN/>
        <w:bidi w:val="0"/>
        <w:adjustRightInd w:val="0"/>
        <w:spacing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吗啡、冰毒、氯胺酮、摇头丸（MDMA）、甲卡西酮、合成大麻素K2、合成大麻素K3、曲马多样本进行检测；在检出率不小于90%的前提现，在检出率不小于90%的前提下，在进样量为80μL时，仪器通过对吗啡、冰毒、氯胺酮、摇头丸（MDMA）、甲卡西酮、合成大麻素K2、合成大麻素K3、曲马多专项检测试剂卡对浓度为2ng/mL的吗啡、冰毒、氯胺酮、摇头丸（MDMA）、甲卡西酮、合成大麻素K2、合成大麻素K3、曲马多样品进行采样分析，仪器的检测限应小于等于0. 16ng；仪器对可卡因样品进行采样分析，在浓度为5ng/mL,进样量为80 μL时仪器的检测限应≤0.4ng；仪器对大麻样品进行采样分析，在浓度为0.05ng/mL,进样量为80 μL时仪器的仪器的检测限应≤0.04ng。</w:t>
      </w:r>
    </w:p>
    <w:p>
      <w:pPr>
        <w:keepNext/>
        <w:keepLines/>
        <w:pageBreakBefore w:val="0"/>
        <w:widowControl w:val="0"/>
        <w:tabs>
          <w:tab w:val="left" w:pos="900"/>
        </w:tabs>
        <w:kinsoku/>
        <w:wordWrap/>
        <w:overflowPunct/>
        <w:topLinePunct w:val="0"/>
        <w:autoSpaceDE/>
        <w:autoSpaceDN/>
        <w:bidi w:val="0"/>
        <w:adjustRightInd w:val="0"/>
        <w:spacing w:beforeAutospacing="0" w:afterAutospacing="0" w:line="360" w:lineRule="auto"/>
        <w:ind w:left="0" w:leftChars="0" w:firstLine="0" w:firstLineChars="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）手持式毛发毒品痕量快速分析仪</w:t>
      </w:r>
    </w:p>
    <w:p>
      <w:pPr>
        <w:pageBreakBefore w:val="0"/>
        <w:widowControl w:val="0"/>
        <w:kinsoku/>
        <w:wordWrap/>
        <w:overflowPunct/>
        <w:topLinePunct w:val="0"/>
        <w:autoSpaceDE/>
        <w:autoSpaceDN/>
        <w:bidi w:val="0"/>
        <w:adjustRightInd w:val="0"/>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工作温度范围：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★仪器重量：台式≤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kg</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③仪器尺寸要求：仪器主机的外形尺寸应小于等于240mm(长) X100mm (宽) X 75mm (高)。</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④仪器冷启动时间：仪器的冷启动时间应小于等于40s</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重复性：</w:t>
      </w:r>
      <w:r>
        <w:rPr>
          <w:rFonts w:hint="eastAsia" w:ascii="宋体" w:hAnsi="宋体" w:eastAsia="宋体" w:cs="宋体"/>
          <w:color w:val="auto"/>
          <w:sz w:val="24"/>
          <w:szCs w:val="24"/>
          <w:highlight w:val="none"/>
          <w:lang w:val="en-US" w:eastAsia="zh-CN"/>
        </w:rPr>
        <w:t>重复性偏差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1%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⑥稳定性实验：仪器开机处于稳定工作状态后的第4h、第8h的测试结果与处于稳定工作状态.初始时的测试结果,其相对偏倚应在±5%范围内。</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⑦拍照取证功能：仪器应具备摄像头，能支持拍摄彩色照片并保存至对应的检测结果中。</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rPr>
        <w:t>★设备应具有数据存储、检索、导出、打印功能，存储量：≥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0000条</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bookmarkStart w:id="27" w:name="OLE_LINK1"/>
      <w:r>
        <w:rPr>
          <w:rFonts w:hint="eastAsia" w:ascii="宋体" w:hAnsi="宋体" w:eastAsia="宋体" w:cs="宋体"/>
          <w:color w:val="auto"/>
          <w:sz w:val="24"/>
          <w:szCs w:val="24"/>
          <w:highlight w:val="none"/>
          <w:lang w:val="en-US" w:eastAsia="zh-CN"/>
        </w:rPr>
        <w:t>⑨设备应具有</w:t>
      </w:r>
      <w:r>
        <w:rPr>
          <w:rFonts w:hint="eastAsia" w:ascii="宋体" w:hAnsi="宋体" w:eastAsia="宋体" w:cs="宋体"/>
          <w:color w:val="auto"/>
          <w:sz w:val="24"/>
          <w:szCs w:val="24"/>
          <w:highlight w:val="none"/>
        </w:rPr>
        <w:t>自检、校准功能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故障提示功能。</w:t>
      </w:r>
      <w:bookmarkEnd w:id="27"/>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⑩设备应具有</w:t>
      </w:r>
      <w:r>
        <w:rPr>
          <w:rFonts w:hint="eastAsia" w:ascii="宋体" w:hAnsi="宋体" w:eastAsia="宋体" w:cs="宋体"/>
          <w:color w:val="auto"/>
          <w:sz w:val="24"/>
          <w:szCs w:val="24"/>
          <w:highlight w:val="none"/>
        </w:rPr>
        <w:t>USB接口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支持数据导出。</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⑪</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设备应内置身份证阅读器，且身份证阅读器应符合GA 450 -2013《台式居民身份证阅读器通用技术要求》的相关要求。且能通过内置身份证阅读器获取被测人员的信息，信息应包含姓名、性别、身份证号等。</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设备在检出率为100%的前提下， 浓度为10ng/ml， 进样量为80μL，进样质量为0.8ng时，仪器分别通过专项检测试剂卡,应能检测出以下毒品样品：1.吗啡、2.冰毒 、3.氯胺酮、4.摇头丸(MDMA)、5.可卡因、6. 单乙酰吗啡、7.大麻(四氢大麻酚)、8.甲卡西酮、9.吗啡/冰毒/氯胺酮三合一检测试剂卡、10.合成大麻素K2、11.合成大麻素K3、12.曲马多、13.安非他明、14.羟考酮。</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仪器可对未吸食毒品者的毛发样本进行检测，检测结果显示阴性。</w:t>
      </w:r>
    </w:p>
    <w:p>
      <w:pPr>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已确认的吗啡、甲基安非他明（冰毒）、氯胺酮、摇头丸（MDMA）、可卡因、单乙酰吗啡（海洛因）、大麻、甲卡西酮、合成大麻素K2、合成大麻素K3、曲马多、安非他明、羟考酮毒品吸食者的毛发样本进行检测，检测结果分别显示为：吗啡阳性、甲基安非他明（冰毒）阳性、氯胺酮阳性、摇头丸（MDMA）阳性、可卡因阳性、单乙酰吗啡（海洛因）阳性、大麻阳性、甲卡西酮阳性、合成大麻素K2阳性、合成大麻素K3阳性、曲马多阳性、安非他明阳性、羟考酮阳性。</w:t>
      </w:r>
    </w:p>
    <w:p>
      <w:pPr>
        <w:pageBreakBefore w:val="0"/>
        <w:widowControl w:val="0"/>
        <w:kinsoku/>
        <w:wordWrap/>
        <w:overflowPunct/>
        <w:topLinePunct w:val="0"/>
        <w:autoSpaceDE/>
        <w:autoSpaceDN/>
        <w:bidi w:val="0"/>
        <w:adjustRightInd w:val="0"/>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仪器可对吗啡、冰毒、氯胺酮、摇头丸（MDMA）、甲卡西酮样本进行检测；在检出率不小于90%的前提现，在检出率不小于90%的前提下，在进样量为80μL时，仪器通过对吗啡、冰毒、氯胺酮、摇头丸（MDMA）、甲卡西酮、合成大麻素K2、合成大麻素K3、曲马多、安非他明、羟考酮专项检测试剂卡对浓度为2ng/mL的吗啡、冰毒、氯胺酮、摇头丸（MDMA）、甲卡西酮、合成大麻素K2、合成大麻素K3、曲马多、安非他明、羟考酮样品进行采样分析，仪器的检测限应小于等于0. 2ng；仪器对可卡因样品进行采样分析，在浓度为5ng/mL,进样量为80 μL时仪器的检测限应≤0.5ng；仪器对大麻样品进行采样分析，在浓度为0.5ng/mL,进样量为80 μL时仪器的仪器的检测限应≤0.05ng。</w:t>
      </w:r>
    </w:p>
    <w:p>
      <w:pPr>
        <w:keepNext/>
        <w:keepLines/>
        <w:pageBreakBefore w:val="0"/>
        <w:widowControl w:val="0"/>
        <w:tabs>
          <w:tab w:val="left" w:pos="900"/>
        </w:tabs>
        <w:kinsoku/>
        <w:wordWrap/>
        <w:overflowPunct/>
        <w:topLinePunct w:val="0"/>
        <w:autoSpaceDE/>
        <w:autoSpaceDN/>
        <w:bidi w:val="0"/>
        <w:adjustRightInd w:val="0"/>
        <w:spacing w:beforeAutospacing="0" w:afterAutospacing="0" w:line="360" w:lineRule="auto"/>
        <w:ind w:left="0" w:leftChars="0" w:firstLine="0" w:firstLineChars="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）检测灵敏度相关证明</w:t>
      </w:r>
    </w:p>
    <w:p>
      <w:pPr>
        <w:pageBreakBefore w:val="0"/>
        <w:widowControl w:val="0"/>
        <w:kinsoku/>
        <w:wordWrap/>
        <w:overflowPunct/>
        <w:topLinePunct w:val="0"/>
        <w:autoSpaceDE/>
        <w:autoSpaceDN/>
        <w:bidi w:val="0"/>
        <w:adjustRightInd w:val="0"/>
        <w:spacing w:before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投标人有以下各类难点检测试剂盒且满足检出限技术要求，并提供公安部相关检测中心认可的检验报告复印件</w:t>
      </w:r>
      <w:r>
        <w:rPr>
          <w:rFonts w:hint="eastAsia" w:ascii="宋体" w:hAnsi="宋体" w:eastAsia="宋体" w:cs="宋体"/>
          <w:color w:val="auto"/>
          <w:sz w:val="24"/>
          <w:szCs w:val="24"/>
          <w:highlight w:val="none"/>
          <w:lang w:eastAsia="zh-CN"/>
        </w:rPr>
        <w:t>。</w:t>
      </w:r>
    </w:p>
    <w:tbl>
      <w:tblPr>
        <w:tblStyle w:val="6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3812"/>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产品名称</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6-单乙酰吗啡毛发检测试剂盒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检测灵敏度达到1.6ng/mL（等同于毒品检出限：0.16ng）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甲卡西酮毛发检测试剂盒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检测灵敏度达到1.6ng/mL（等同于毒品检出限：0.16ng）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可卡因毛发检测试剂盒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检测灵敏度达到4ng/mL（等同于毒品检出限：0.4ng）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曲马多毛发检测试剂盒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检测灵敏度达到1.6ng/mL（等同于毒品检出限：0.16ng）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摇头丸毛发检测试剂盒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检测灵敏度达到1.6ng/mL（等同于毒品检出限：0.16ng）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安非他明毛发检测试剂盒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检测灵敏度达到2ng/mL（等同于毒品检出限：0.2ng）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合成大麻素UR144毛发检测试剂盒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检测灵敏度达到0.4ng/mL（等同于毒品检出限：0.04ng）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c>
          <w:tcPr>
            <w:tcW w:w="3812"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合成大麻素K3毛发检测试剂盒</w:t>
            </w:r>
          </w:p>
        </w:tc>
        <w:tc>
          <w:tcPr>
            <w:tcW w:w="4131" w:type="dxa"/>
            <w:noWrap w:val="0"/>
            <w:vAlign w:val="center"/>
          </w:tcPr>
          <w:p>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50" w:firstLineChars="21"/>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检测灵敏度达到1.6ng/mL（等同于毒品检出限：0.16ng）</w:t>
            </w:r>
          </w:p>
        </w:tc>
      </w:tr>
    </w:tbl>
    <w:p>
      <w:pPr>
        <w:rPr>
          <w:color w:val="auto"/>
        </w:rPr>
      </w:pPr>
    </w:p>
    <w:p>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五、供货期间：</w:t>
      </w:r>
      <w:r>
        <w:rPr>
          <w:rFonts w:hint="eastAsia" w:ascii="宋体" w:hAnsi="宋体" w:cs="宋体"/>
          <w:color w:val="auto"/>
          <w:sz w:val="24"/>
          <w:szCs w:val="24"/>
          <w:highlight w:val="none"/>
          <w:lang w:val="en-US" w:eastAsia="zh-CN"/>
        </w:rPr>
        <w:t>自合同签订之日起一年</w:t>
      </w:r>
      <w:r>
        <w:rPr>
          <w:rFonts w:hint="eastAsia" w:ascii="宋体" w:hAnsi="宋体" w:eastAsia="宋体" w:cs="宋体"/>
          <w:color w:val="auto"/>
          <w:sz w:val="24"/>
          <w:szCs w:val="24"/>
          <w:highlight w:val="none"/>
          <w:lang w:val="en-US" w:eastAsia="zh-CN"/>
        </w:rPr>
        <w:t>。</w:t>
      </w:r>
    </w:p>
    <w:p>
      <w:pPr>
        <w:spacing w:line="360" w:lineRule="auto"/>
        <w:jc w:val="center"/>
        <w:rPr>
          <w:rFonts w:hint="eastAsia" w:ascii="仿宋" w:hAnsi="仿宋" w:eastAsia="仿宋" w:cs="仿宋"/>
          <w:b/>
          <w:color w:val="auto"/>
          <w:sz w:val="36"/>
          <w:szCs w:val="36"/>
        </w:rPr>
      </w:pPr>
      <w:r>
        <w:rPr>
          <w:rFonts w:hint="eastAsia" w:ascii="宋体" w:hAnsi="宋体" w:eastAsia="宋体" w:cs="宋体"/>
          <w:color w:val="auto"/>
          <w:sz w:val="24"/>
          <w:szCs w:val="24"/>
          <w:highlight w:val="none"/>
          <w:lang w:val="en-US" w:eastAsia="zh-CN"/>
        </w:rPr>
        <w:t>六、付款方式：中标后15个工作日内支付合同金额的50%的预付款，剩余金额每季度按实际送货量结算一次，结算时中标人须提供正式税务发票。</w:t>
      </w: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4431"/>
      <w:bookmarkEnd w:id="28"/>
      <w:bookmarkStart w:id="29" w:name="_Toc184314467"/>
      <w:bookmarkEnd w:id="29"/>
      <w:bookmarkStart w:id="30" w:name="_Toc184313283"/>
      <w:bookmarkEnd w:id="30"/>
      <w:bookmarkStart w:id="31" w:name="_Toc184313255"/>
      <w:bookmarkEnd w:id="31"/>
      <w:bookmarkStart w:id="32" w:name="_Toc184314430"/>
      <w:bookmarkEnd w:id="32"/>
      <w:bookmarkStart w:id="33" w:name="_Toc184312108"/>
      <w:bookmarkEnd w:id="33"/>
      <w:bookmarkStart w:id="34" w:name="_Toc184312092"/>
      <w:bookmarkEnd w:id="34"/>
      <w:bookmarkStart w:id="35" w:name="_Toc184314480"/>
      <w:bookmarkEnd w:id="35"/>
      <w:bookmarkStart w:id="36" w:name="_Toc184308086"/>
      <w:bookmarkEnd w:id="36"/>
      <w:bookmarkStart w:id="37" w:name="_Toc184313301"/>
      <w:bookmarkEnd w:id="37"/>
      <w:bookmarkStart w:id="38" w:name="_Toc184310328"/>
      <w:bookmarkEnd w:id="38"/>
      <w:bookmarkStart w:id="39" w:name="_Toc184312100"/>
      <w:bookmarkEnd w:id="39"/>
      <w:bookmarkStart w:id="40" w:name="_Toc184314425"/>
      <w:bookmarkEnd w:id="40"/>
      <w:bookmarkStart w:id="41" w:name="_Toc184312120"/>
      <w:bookmarkEnd w:id="41"/>
      <w:bookmarkStart w:id="42" w:name="_Toc184308050"/>
      <w:bookmarkEnd w:id="42"/>
      <w:bookmarkStart w:id="43" w:name="_Toc184310274"/>
      <w:bookmarkEnd w:id="43"/>
      <w:bookmarkStart w:id="44" w:name="_Toc184314417"/>
      <w:bookmarkEnd w:id="44"/>
      <w:bookmarkStart w:id="45" w:name="_Toc184310298"/>
      <w:bookmarkEnd w:id="45"/>
      <w:bookmarkStart w:id="46" w:name="_Toc184313261"/>
      <w:bookmarkEnd w:id="46"/>
      <w:bookmarkStart w:id="47" w:name="_Toc184314441"/>
      <w:bookmarkEnd w:id="47"/>
      <w:bookmarkStart w:id="48" w:name="_Toc184308055"/>
      <w:bookmarkEnd w:id="48"/>
      <w:bookmarkStart w:id="49" w:name="_Toc184310290"/>
      <w:bookmarkEnd w:id="49"/>
      <w:bookmarkStart w:id="50" w:name="_Toc184313258"/>
      <w:bookmarkEnd w:id="50"/>
      <w:bookmarkStart w:id="51" w:name="_Toc184310310"/>
      <w:bookmarkEnd w:id="51"/>
      <w:bookmarkStart w:id="52" w:name="_Toc184314463"/>
      <w:bookmarkEnd w:id="52"/>
      <w:bookmarkStart w:id="53" w:name="_Toc184308093"/>
      <w:bookmarkEnd w:id="53"/>
      <w:bookmarkStart w:id="54" w:name="_Toc184313242"/>
      <w:bookmarkEnd w:id="54"/>
      <w:bookmarkStart w:id="55" w:name="_Toc184314426"/>
      <w:bookmarkEnd w:id="55"/>
      <w:bookmarkStart w:id="56" w:name="_Toc184312068"/>
      <w:bookmarkEnd w:id="56"/>
      <w:bookmarkStart w:id="57" w:name="_Toc184308052"/>
      <w:bookmarkEnd w:id="57"/>
      <w:bookmarkStart w:id="58" w:name="_Toc184312134"/>
      <w:bookmarkEnd w:id="58"/>
      <w:bookmarkStart w:id="59" w:name="_Toc184310308"/>
      <w:bookmarkEnd w:id="59"/>
      <w:bookmarkStart w:id="60" w:name="_Toc184308087"/>
      <w:bookmarkEnd w:id="60"/>
      <w:bookmarkStart w:id="61" w:name="_Toc184310297"/>
      <w:bookmarkEnd w:id="61"/>
      <w:bookmarkStart w:id="62" w:name="_Toc184312081"/>
      <w:bookmarkEnd w:id="62"/>
      <w:bookmarkStart w:id="63" w:name="_Toc184308062"/>
      <w:bookmarkEnd w:id="63"/>
      <w:bookmarkStart w:id="64" w:name="_Toc184308067"/>
      <w:bookmarkEnd w:id="64"/>
      <w:bookmarkStart w:id="65" w:name="_Toc184314443"/>
      <w:bookmarkEnd w:id="65"/>
      <w:bookmarkStart w:id="66" w:name="_Toc184308075"/>
      <w:bookmarkEnd w:id="66"/>
      <w:bookmarkStart w:id="67" w:name="_Toc184313308"/>
      <w:bookmarkEnd w:id="67"/>
      <w:bookmarkStart w:id="68" w:name="_Toc184312111"/>
      <w:bookmarkEnd w:id="68"/>
      <w:bookmarkStart w:id="69" w:name="_Toc184312103"/>
      <w:bookmarkEnd w:id="69"/>
      <w:bookmarkStart w:id="70" w:name="_Toc184310316"/>
      <w:bookmarkEnd w:id="70"/>
      <w:bookmarkStart w:id="71" w:name="_Toc184308038"/>
      <w:bookmarkEnd w:id="71"/>
      <w:bookmarkStart w:id="72" w:name="_Toc184314416"/>
      <w:bookmarkEnd w:id="72"/>
      <w:bookmarkStart w:id="73" w:name="_Toc184310335"/>
      <w:bookmarkEnd w:id="73"/>
      <w:bookmarkStart w:id="74" w:name="_Toc184308102"/>
      <w:bookmarkEnd w:id="74"/>
      <w:bookmarkStart w:id="75" w:name="_Toc184313267"/>
      <w:bookmarkEnd w:id="75"/>
      <w:bookmarkStart w:id="76" w:name="_Toc184313238"/>
      <w:bookmarkEnd w:id="76"/>
      <w:bookmarkStart w:id="77" w:name="_Toc184310281"/>
      <w:bookmarkEnd w:id="77"/>
      <w:bookmarkStart w:id="78" w:name="_Toc184310337"/>
      <w:bookmarkEnd w:id="78"/>
      <w:bookmarkStart w:id="79" w:name="_Toc184310277"/>
      <w:bookmarkEnd w:id="79"/>
      <w:bookmarkStart w:id="80" w:name="_Toc184314422"/>
      <w:bookmarkEnd w:id="80"/>
      <w:bookmarkStart w:id="81" w:name="_Toc184310306"/>
      <w:bookmarkEnd w:id="81"/>
      <w:bookmarkStart w:id="82" w:name="_Toc184313245"/>
      <w:bookmarkEnd w:id="82"/>
      <w:bookmarkStart w:id="83" w:name="_Toc184310333"/>
      <w:bookmarkEnd w:id="83"/>
      <w:bookmarkStart w:id="84" w:name="_Toc184310313"/>
      <w:bookmarkEnd w:id="84"/>
      <w:bookmarkStart w:id="85" w:name="_Toc184313271"/>
      <w:bookmarkEnd w:id="85"/>
      <w:bookmarkStart w:id="86" w:name="_Toc184314451"/>
      <w:bookmarkEnd w:id="86"/>
      <w:bookmarkStart w:id="87" w:name="_Toc184310292"/>
      <w:bookmarkEnd w:id="87"/>
      <w:bookmarkStart w:id="88" w:name="_Toc184308097"/>
      <w:bookmarkEnd w:id="88"/>
      <w:bookmarkStart w:id="89" w:name="_Toc184312106"/>
      <w:bookmarkEnd w:id="89"/>
      <w:bookmarkStart w:id="90" w:name="_Toc184313287"/>
      <w:bookmarkEnd w:id="90"/>
      <w:bookmarkStart w:id="91" w:name="_Toc184314470"/>
      <w:bookmarkEnd w:id="91"/>
      <w:bookmarkStart w:id="92" w:name="_Toc184310282"/>
      <w:bookmarkEnd w:id="92"/>
      <w:bookmarkStart w:id="93" w:name="_Toc184313281"/>
      <w:bookmarkEnd w:id="93"/>
      <w:bookmarkStart w:id="94" w:name="_Toc184310293"/>
      <w:bookmarkEnd w:id="94"/>
      <w:bookmarkStart w:id="95" w:name="_Toc184312116"/>
      <w:bookmarkEnd w:id="95"/>
      <w:bookmarkStart w:id="96" w:name="_Toc184313298"/>
      <w:bookmarkEnd w:id="96"/>
      <w:bookmarkStart w:id="97" w:name="_Toc184312079"/>
      <w:bookmarkEnd w:id="97"/>
      <w:bookmarkStart w:id="98" w:name="_Toc184308053"/>
      <w:bookmarkEnd w:id="98"/>
      <w:bookmarkStart w:id="99" w:name="_Toc184312080"/>
      <w:bookmarkEnd w:id="99"/>
      <w:bookmarkStart w:id="100" w:name="_Toc184313274"/>
      <w:bookmarkEnd w:id="100"/>
      <w:bookmarkStart w:id="101" w:name="_Toc184312073"/>
      <w:bookmarkEnd w:id="101"/>
      <w:bookmarkStart w:id="102" w:name="_Toc184312113"/>
      <w:bookmarkEnd w:id="102"/>
      <w:bookmarkStart w:id="103" w:name="_Toc184313309"/>
      <w:bookmarkEnd w:id="103"/>
      <w:bookmarkStart w:id="104" w:name="_Toc184308048"/>
      <w:bookmarkEnd w:id="104"/>
      <w:bookmarkStart w:id="105" w:name="_Toc184313265"/>
      <w:bookmarkEnd w:id="105"/>
      <w:bookmarkStart w:id="106" w:name="_Toc184310289"/>
      <w:bookmarkEnd w:id="106"/>
      <w:bookmarkStart w:id="107" w:name="_Toc184314410"/>
      <w:bookmarkEnd w:id="107"/>
      <w:bookmarkStart w:id="108" w:name="_Toc184310317"/>
      <w:bookmarkEnd w:id="108"/>
      <w:bookmarkStart w:id="109" w:name="_Toc184312083"/>
      <w:bookmarkEnd w:id="109"/>
      <w:bookmarkStart w:id="110" w:name="_Toc184308083"/>
      <w:bookmarkEnd w:id="110"/>
      <w:bookmarkStart w:id="111" w:name="_Toc184314462"/>
      <w:bookmarkEnd w:id="111"/>
      <w:bookmarkStart w:id="112" w:name="_Toc184313243"/>
      <w:bookmarkEnd w:id="112"/>
      <w:bookmarkStart w:id="113" w:name="_Toc184313297"/>
      <w:bookmarkEnd w:id="113"/>
      <w:bookmarkStart w:id="114" w:name="_Toc184312098"/>
      <w:bookmarkEnd w:id="114"/>
      <w:bookmarkStart w:id="115" w:name="_Toc184313288"/>
      <w:bookmarkEnd w:id="115"/>
      <w:bookmarkStart w:id="116" w:name="_Toc184308089"/>
      <w:bookmarkEnd w:id="116"/>
      <w:bookmarkStart w:id="117" w:name="_Toc184312085"/>
      <w:bookmarkEnd w:id="117"/>
      <w:bookmarkStart w:id="118" w:name="_Toc184310325"/>
      <w:bookmarkEnd w:id="118"/>
      <w:bookmarkStart w:id="119" w:name="_Toc184312074"/>
      <w:bookmarkEnd w:id="119"/>
      <w:bookmarkStart w:id="120" w:name="_Toc184313292"/>
      <w:bookmarkEnd w:id="120"/>
      <w:bookmarkStart w:id="121" w:name="_Toc184312109"/>
      <w:bookmarkEnd w:id="121"/>
      <w:bookmarkStart w:id="122" w:name="_Toc184314465"/>
      <w:bookmarkEnd w:id="122"/>
      <w:bookmarkStart w:id="123" w:name="_Toc184313268"/>
      <w:bookmarkEnd w:id="123"/>
      <w:bookmarkStart w:id="124" w:name="_Toc184310295"/>
      <w:bookmarkEnd w:id="124"/>
      <w:bookmarkStart w:id="125" w:name="_Toc184314432"/>
      <w:bookmarkEnd w:id="125"/>
      <w:bookmarkStart w:id="126" w:name="_Toc184313294"/>
      <w:bookmarkEnd w:id="126"/>
      <w:bookmarkStart w:id="127" w:name="_Toc184313262"/>
      <w:bookmarkEnd w:id="127"/>
      <w:bookmarkStart w:id="128" w:name="_Toc184313252"/>
      <w:bookmarkEnd w:id="128"/>
      <w:bookmarkStart w:id="129" w:name="_Toc184308040"/>
      <w:bookmarkEnd w:id="129"/>
      <w:bookmarkStart w:id="130" w:name="_Toc184313257"/>
      <w:bookmarkEnd w:id="130"/>
      <w:bookmarkStart w:id="131" w:name="_Toc184313260"/>
      <w:bookmarkEnd w:id="131"/>
      <w:bookmarkStart w:id="132" w:name="_Toc184310299"/>
      <w:bookmarkEnd w:id="132"/>
      <w:bookmarkStart w:id="133" w:name="_Toc184312123"/>
      <w:bookmarkEnd w:id="133"/>
      <w:bookmarkStart w:id="134" w:name="_Toc184308084"/>
      <w:bookmarkEnd w:id="134"/>
      <w:bookmarkStart w:id="135" w:name="_Toc184313303"/>
      <w:bookmarkEnd w:id="135"/>
      <w:bookmarkStart w:id="136" w:name="_Toc184310318"/>
      <w:bookmarkEnd w:id="136"/>
      <w:bookmarkStart w:id="137" w:name="_Toc184312102"/>
      <w:bookmarkEnd w:id="137"/>
      <w:bookmarkStart w:id="138" w:name="_Toc184312137"/>
      <w:bookmarkEnd w:id="138"/>
      <w:bookmarkStart w:id="139" w:name="_Toc184313266"/>
      <w:bookmarkEnd w:id="139"/>
      <w:bookmarkStart w:id="140" w:name="_Toc184314439"/>
      <w:bookmarkEnd w:id="140"/>
      <w:bookmarkStart w:id="141" w:name="_Toc184314482"/>
      <w:bookmarkEnd w:id="141"/>
      <w:bookmarkStart w:id="142" w:name="_Toc184310276"/>
      <w:bookmarkEnd w:id="142"/>
      <w:bookmarkStart w:id="143" w:name="_Toc184310286"/>
      <w:bookmarkEnd w:id="143"/>
      <w:bookmarkStart w:id="144" w:name="_Toc184312072"/>
      <w:bookmarkEnd w:id="144"/>
      <w:bookmarkStart w:id="145" w:name="_Toc184313264"/>
      <w:bookmarkEnd w:id="145"/>
      <w:bookmarkStart w:id="146" w:name="_Toc184308103"/>
      <w:bookmarkEnd w:id="146"/>
      <w:bookmarkStart w:id="147" w:name="_Toc184314457"/>
      <w:bookmarkEnd w:id="147"/>
      <w:bookmarkStart w:id="148" w:name="_Toc184313254"/>
      <w:bookmarkEnd w:id="148"/>
      <w:bookmarkStart w:id="149" w:name="_Toc184310344"/>
      <w:bookmarkEnd w:id="149"/>
      <w:bookmarkStart w:id="150" w:name="_Toc184308096"/>
      <w:bookmarkEnd w:id="150"/>
      <w:bookmarkStart w:id="151" w:name="_Toc184310326"/>
      <w:bookmarkEnd w:id="151"/>
      <w:bookmarkStart w:id="152" w:name="_Toc184308042"/>
      <w:bookmarkEnd w:id="152"/>
      <w:bookmarkStart w:id="153" w:name="_Toc184308091"/>
      <w:bookmarkEnd w:id="153"/>
      <w:bookmarkStart w:id="154" w:name="_Toc184314461"/>
      <w:bookmarkEnd w:id="154"/>
      <w:bookmarkStart w:id="155" w:name="_Toc184313259"/>
      <w:bookmarkEnd w:id="155"/>
      <w:bookmarkStart w:id="156" w:name="_Toc184308105"/>
      <w:bookmarkEnd w:id="156"/>
      <w:bookmarkStart w:id="157" w:name="_Toc184313270"/>
      <w:bookmarkEnd w:id="157"/>
      <w:bookmarkStart w:id="158" w:name="_Toc184308043"/>
      <w:bookmarkEnd w:id="158"/>
      <w:bookmarkStart w:id="159" w:name="_Toc184308071"/>
      <w:bookmarkEnd w:id="159"/>
      <w:bookmarkStart w:id="160" w:name="_Toc184310301"/>
      <w:bookmarkEnd w:id="160"/>
      <w:bookmarkStart w:id="161" w:name="_Toc184310322"/>
      <w:bookmarkEnd w:id="161"/>
      <w:bookmarkStart w:id="162" w:name="_Toc184314473"/>
      <w:bookmarkEnd w:id="162"/>
      <w:bookmarkStart w:id="163" w:name="_Toc184312125"/>
      <w:bookmarkEnd w:id="163"/>
      <w:bookmarkStart w:id="164" w:name="_Toc184314477"/>
      <w:bookmarkEnd w:id="164"/>
      <w:bookmarkStart w:id="165" w:name="_Toc184314479"/>
      <w:bookmarkEnd w:id="165"/>
      <w:bookmarkStart w:id="166" w:name="_Toc184308106"/>
      <w:bookmarkEnd w:id="166"/>
      <w:bookmarkStart w:id="167" w:name="_Toc184314474"/>
      <w:bookmarkEnd w:id="167"/>
      <w:bookmarkStart w:id="168" w:name="_Toc184313273"/>
      <w:bookmarkEnd w:id="168"/>
      <w:bookmarkStart w:id="169" w:name="_Toc184313272"/>
      <w:bookmarkEnd w:id="169"/>
      <w:bookmarkStart w:id="170" w:name="_Toc184314456"/>
      <w:bookmarkEnd w:id="170"/>
      <w:bookmarkStart w:id="171" w:name="_Toc184310278"/>
      <w:bookmarkEnd w:id="171"/>
      <w:bookmarkStart w:id="172" w:name="_Toc184314468"/>
      <w:bookmarkEnd w:id="172"/>
      <w:bookmarkStart w:id="173" w:name="_Toc184312087"/>
      <w:bookmarkEnd w:id="173"/>
      <w:bookmarkStart w:id="174" w:name="_Toc184314458"/>
      <w:bookmarkEnd w:id="174"/>
      <w:bookmarkStart w:id="175" w:name="_Toc184314453"/>
      <w:bookmarkEnd w:id="175"/>
      <w:bookmarkStart w:id="176" w:name="_Toc184308037"/>
      <w:bookmarkEnd w:id="176"/>
      <w:bookmarkStart w:id="177" w:name="_Toc184312069"/>
      <w:bookmarkEnd w:id="177"/>
      <w:bookmarkStart w:id="178" w:name="_Toc184308044"/>
      <w:bookmarkEnd w:id="178"/>
      <w:bookmarkStart w:id="179" w:name="_Toc184308057"/>
      <w:bookmarkEnd w:id="179"/>
      <w:bookmarkStart w:id="180" w:name="_Toc184310331"/>
      <w:bookmarkEnd w:id="180"/>
      <w:bookmarkStart w:id="181" w:name="_Toc184308090"/>
      <w:bookmarkEnd w:id="181"/>
      <w:bookmarkStart w:id="182" w:name="_Toc184308066"/>
      <w:bookmarkEnd w:id="182"/>
      <w:bookmarkStart w:id="183" w:name="_Toc184310288"/>
      <w:bookmarkEnd w:id="183"/>
      <w:bookmarkStart w:id="184" w:name="_Toc184314447"/>
      <w:bookmarkEnd w:id="184"/>
      <w:bookmarkStart w:id="185" w:name="_Toc184314449"/>
      <w:bookmarkEnd w:id="185"/>
      <w:bookmarkStart w:id="186" w:name="_Toc184314454"/>
      <w:bookmarkEnd w:id="186"/>
      <w:bookmarkStart w:id="187" w:name="_Toc184313241"/>
      <w:bookmarkEnd w:id="187"/>
      <w:bookmarkStart w:id="188" w:name="_Toc184313256"/>
      <w:bookmarkEnd w:id="188"/>
      <w:bookmarkStart w:id="189" w:name="_Toc184308061"/>
      <w:bookmarkEnd w:id="189"/>
      <w:bookmarkStart w:id="190" w:name="_Toc184313290"/>
      <w:bookmarkEnd w:id="190"/>
      <w:bookmarkStart w:id="191" w:name="_Toc184313248"/>
      <w:bookmarkEnd w:id="191"/>
      <w:bookmarkStart w:id="192" w:name="_Toc184314459"/>
      <w:bookmarkEnd w:id="192"/>
      <w:bookmarkStart w:id="193" w:name="_Toc184314481"/>
      <w:bookmarkEnd w:id="193"/>
      <w:bookmarkStart w:id="194" w:name="_Toc184308059"/>
      <w:bookmarkEnd w:id="194"/>
      <w:bookmarkStart w:id="195" w:name="_Toc184312133"/>
      <w:bookmarkEnd w:id="195"/>
      <w:bookmarkStart w:id="196" w:name="_Toc184314440"/>
      <w:bookmarkEnd w:id="196"/>
      <w:bookmarkStart w:id="197" w:name="_Toc184312097"/>
      <w:bookmarkEnd w:id="197"/>
      <w:bookmarkStart w:id="198" w:name="_Toc184310342"/>
      <w:bookmarkEnd w:id="198"/>
      <w:bookmarkStart w:id="199" w:name="_Toc184312084"/>
      <w:bookmarkEnd w:id="199"/>
      <w:bookmarkStart w:id="200" w:name="_Toc184310279"/>
      <w:bookmarkEnd w:id="200"/>
      <w:bookmarkStart w:id="201" w:name="_Toc184308088"/>
      <w:bookmarkEnd w:id="201"/>
      <w:bookmarkStart w:id="202" w:name="_Toc184312071"/>
      <w:bookmarkEnd w:id="202"/>
      <w:bookmarkStart w:id="203" w:name="_Toc184314421"/>
      <w:bookmarkEnd w:id="203"/>
      <w:bookmarkStart w:id="204" w:name="_Toc184314437"/>
      <w:bookmarkEnd w:id="204"/>
      <w:bookmarkStart w:id="205" w:name="_Toc184310275"/>
      <w:bookmarkEnd w:id="205"/>
      <w:bookmarkStart w:id="206" w:name="_Toc184312082"/>
      <w:bookmarkEnd w:id="206"/>
      <w:bookmarkStart w:id="207" w:name="_Toc184312114"/>
      <w:bookmarkEnd w:id="207"/>
      <w:bookmarkStart w:id="208" w:name="_Toc184308064"/>
      <w:bookmarkEnd w:id="208"/>
      <w:bookmarkStart w:id="209" w:name="_Toc184313300"/>
      <w:bookmarkEnd w:id="209"/>
      <w:bookmarkStart w:id="210" w:name="_Toc184312089"/>
      <w:bookmarkEnd w:id="210"/>
      <w:bookmarkStart w:id="211" w:name="_Toc184312121"/>
      <w:bookmarkEnd w:id="211"/>
      <w:bookmarkStart w:id="212" w:name="_Toc184310311"/>
      <w:bookmarkEnd w:id="212"/>
      <w:bookmarkStart w:id="213" w:name="_Toc184308041"/>
      <w:bookmarkEnd w:id="213"/>
      <w:bookmarkStart w:id="214" w:name="_Toc184308094"/>
      <w:bookmarkEnd w:id="214"/>
      <w:bookmarkStart w:id="215" w:name="_Toc184314428"/>
      <w:bookmarkEnd w:id="215"/>
      <w:bookmarkStart w:id="216" w:name="_Toc184310291"/>
      <w:bookmarkEnd w:id="216"/>
      <w:bookmarkStart w:id="217" w:name="_Toc184312139"/>
      <w:bookmarkEnd w:id="217"/>
      <w:bookmarkStart w:id="218" w:name="_Toc184313307"/>
      <w:bookmarkEnd w:id="218"/>
      <w:bookmarkStart w:id="219" w:name="_Toc184314434"/>
      <w:bookmarkEnd w:id="219"/>
      <w:bookmarkStart w:id="220" w:name="_Toc184310341"/>
      <w:bookmarkEnd w:id="220"/>
      <w:bookmarkStart w:id="221" w:name="_Toc184308101"/>
      <w:bookmarkEnd w:id="221"/>
      <w:bookmarkStart w:id="222" w:name="_Toc184313251"/>
      <w:bookmarkEnd w:id="222"/>
      <w:bookmarkStart w:id="223" w:name="_Toc184308076"/>
      <w:bookmarkEnd w:id="223"/>
      <w:bookmarkStart w:id="224" w:name="_Toc184314412"/>
      <w:bookmarkEnd w:id="224"/>
      <w:bookmarkStart w:id="225" w:name="_Toc184308060"/>
      <w:bookmarkEnd w:id="225"/>
      <w:bookmarkStart w:id="226" w:name="_Toc184313249"/>
      <w:bookmarkEnd w:id="226"/>
      <w:bookmarkStart w:id="227" w:name="_Toc184312095"/>
      <w:bookmarkEnd w:id="227"/>
      <w:bookmarkStart w:id="228" w:name="_Toc184310303"/>
      <w:bookmarkEnd w:id="228"/>
      <w:bookmarkStart w:id="229" w:name="_Toc184314445"/>
      <w:bookmarkEnd w:id="229"/>
      <w:bookmarkStart w:id="230" w:name="_Toc184310339"/>
      <w:bookmarkEnd w:id="230"/>
      <w:bookmarkStart w:id="231" w:name="_Toc184314436"/>
      <w:bookmarkEnd w:id="231"/>
      <w:bookmarkStart w:id="232" w:name="_Toc184308065"/>
      <w:bookmarkEnd w:id="232"/>
      <w:bookmarkStart w:id="233" w:name="_Toc184312077"/>
      <w:bookmarkEnd w:id="233"/>
      <w:bookmarkStart w:id="234" w:name="_Toc184314466"/>
      <w:bookmarkEnd w:id="234"/>
      <w:bookmarkStart w:id="235" w:name="_Toc184313239"/>
      <w:bookmarkEnd w:id="235"/>
      <w:bookmarkStart w:id="236" w:name="_Toc184314414"/>
      <w:bookmarkEnd w:id="236"/>
      <w:bookmarkStart w:id="237" w:name="_Toc184313299"/>
      <w:bookmarkEnd w:id="237"/>
      <w:bookmarkStart w:id="238" w:name="_Toc184310272"/>
      <w:bookmarkEnd w:id="238"/>
      <w:bookmarkStart w:id="239" w:name="_Toc184308058"/>
      <w:bookmarkEnd w:id="239"/>
      <w:bookmarkStart w:id="240" w:name="_Toc184313253"/>
      <w:bookmarkEnd w:id="240"/>
      <w:bookmarkStart w:id="241" w:name="_Toc184308081"/>
      <w:bookmarkEnd w:id="241"/>
      <w:bookmarkStart w:id="242" w:name="_Toc184313263"/>
      <w:bookmarkEnd w:id="242"/>
      <w:bookmarkStart w:id="243" w:name="_Toc184313302"/>
      <w:bookmarkEnd w:id="243"/>
      <w:bookmarkStart w:id="244" w:name="_Toc184312138"/>
      <w:bookmarkEnd w:id="244"/>
      <w:bookmarkStart w:id="245" w:name="_Toc184314411"/>
      <w:bookmarkEnd w:id="245"/>
      <w:bookmarkStart w:id="246" w:name="_Toc184312075"/>
      <w:bookmarkEnd w:id="246"/>
      <w:bookmarkStart w:id="247" w:name="_Toc184312090"/>
      <w:bookmarkEnd w:id="247"/>
      <w:bookmarkStart w:id="248" w:name="_Toc184314433"/>
      <w:bookmarkEnd w:id="248"/>
      <w:bookmarkStart w:id="249" w:name="_Toc184314478"/>
      <w:bookmarkEnd w:id="249"/>
      <w:bookmarkStart w:id="250" w:name="_Toc184310283"/>
      <w:bookmarkEnd w:id="250"/>
      <w:bookmarkStart w:id="251" w:name="_Toc184310285"/>
      <w:bookmarkEnd w:id="251"/>
      <w:bookmarkStart w:id="252" w:name="_Toc184308074"/>
      <w:bookmarkEnd w:id="252"/>
      <w:bookmarkStart w:id="253" w:name="_Toc184314438"/>
      <w:bookmarkEnd w:id="253"/>
      <w:bookmarkStart w:id="254" w:name="_Toc184312099"/>
      <w:bookmarkEnd w:id="254"/>
      <w:bookmarkStart w:id="255" w:name="_Toc184312127"/>
      <w:bookmarkEnd w:id="255"/>
      <w:bookmarkStart w:id="256" w:name="_Toc184312128"/>
      <w:bookmarkEnd w:id="256"/>
      <w:bookmarkStart w:id="257" w:name="_Toc184310336"/>
      <w:bookmarkEnd w:id="257"/>
      <w:bookmarkStart w:id="258" w:name="_Toc184314464"/>
      <w:bookmarkEnd w:id="258"/>
      <w:bookmarkStart w:id="259" w:name="_Toc184314418"/>
      <w:bookmarkEnd w:id="259"/>
      <w:bookmarkStart w:id="260" w:name="_Toc184310338"/>
      <w:bookmarkEnd w:id="260"/>
      <w:bookmarkStart w:id="261" w:name="_Toc184308104"/>
      <w:bookmarkEnd w:id="261"/>
      <w:bookmarkStart w:id="262" w:name="_Toc184310315"/>
      <w:bookmarkEnd w:id="262"/>
      <w:bookmarkStart w:id="263" w:name="_Toc184314419"/>
      <w:bookmarkEnd w:id="263"/>
      <w:bookmarkStart w:id="264" w:name="_Toc184310321"/>
      <w:bookmarkEnd w:id="264"/>
      <w:bookmarkStart w:id="265" w:name="_Toc184312122"/>
      <w:bookmarkEnd w:id="265"/>
      <w:bookmarkStart w:id="266" w:name="_Toc184310287"/>
      <w:bookmarkEnd w:id="266"/>
      <w:bookmarkStart w:id="267" w:name="_Toc184310330"/>
      <w:bookmarkEnd w:id="267"/>
      <w:bookmarkStart w:id="268" w:name="_Toc184313280"/>
      <w:bookmarkEnd w:id="268"/>
      <w:bookmarkStart w:id="269" w:name="_Toc184308107"/>
      <w:bookmarkEnd w:id="269"/>
      <w:bookmarkStart w:id="270" w:name="_Toc184314469"/>
      <w:bookmarkEnd w:id="270"/>
      <w:bookmarkStart w:id="271" w:name="_Toc184314442"/>
      <w:bookmarkEnd w:id="271"/>
      <w:bookmarkStart w:id="272" w:name="_Toc184310309"/>
      <w:bookmarkEnd w:id="272"/>
      <w:bookmarkStart w:id="273" w:name="_Toc184312094"/>
      <w:bookmarkEnd w:id="273"/>
      <w:bookmarkStart w:id="274" w:name="_Toc184313293"/>
      <w:bookmarkEnd w:id="274"/>
      <w:bookmarkStart w:id="275" w:name="_Toc184312091"/>
      <w:bookmarkEnd w:id="275"/>
      <w:bookmarkStart w:id="276" w:name="_Toc184312130"/>
      <w:bookmarkEnd w:id="276"/>
      <w:bookmarkStart w:id="277" w:name="_Toc184310273"/>
      <w:bookmarkEnd w:id="277"/>
      <w:bookmarkStart w:id="278" w:name="_Toc184308080"/>
      <w:bookmarkEnd w:id="278"/>
      <w:bookmarkStart w:id="279" w:name="_Toc184310340"/>
      <w:bookmarkEnd w:id="279"/>
      <w:bookmarkStart w:id="280" w:name="_Toc184308056"/>
      <w:bookmarkEnd w:id="280"/>
      <w:bookmarkStart w:id="281" w:name="_Toc184313304"/>
      <w:bookmarkEnd w:id="281"/>
      <w:bookmarkStart w:id="282" w:name="_Toc184308070"/>
      <w:bookmarkEnd w:id="282"/>
      <w:bookmarkStart w:id="283" w:name="_Toc184310302"/>
      <w:bookmarkEnd w:id="283"/>
      <w:bookmarkStart w:id="284" w:name="_Toc184314415"/>
      <w:bookmarkEnd w:id="284"/>
      <w:bookmarkStart w:id="285" w:name="_Toc184312118"/>
      <w:bookmarkEnd w:id="285"/>
      <w:bookmarkStart w:id="286" w:name="_Toc184310296"/>
      <w:bookmarkEnd w:id="286"/>
      <w:bookmarkStart w:id="287" w:name="_Toc184310312"/>
      <w:bookmarkEnd w:id="287"/>
      <w:bookmarkStart w:id="288" w:name="_Toc184310294"/>
      <w:bookmarkEnd w:id="288"/>
      <w:bookmarkStart w:id="289" w:name="_Toc184313286"/>
      <w:bookmarkEnd w:id="289"/>
      <w:bookmarkStart w:id="290" w:name="_Toc184313291"/>
      <w:bookmarkEnd w:id="290"/>
      <w:bookmarkStart w:id="291" w:name="_Toc184314420"/>
      <w:bookmarkEnd w:id="291"/>
      <w:bookmarkStart w:id="292" w:name="_Toc184313246"/>
      <w:bookmarkEnd w:id="292"/>
      <w:bookmarkStart w:id="293" w:name="_Toc184312078"/>
      <w:bookmarkEnd w:id="293"/>
      <w:bookmarkStart w:id="294" w:name="_Toc184314435"/>
      <w:bookmarkEnd w:id="294"/>
      <w:bookmarkStart w:id="295" w:name="_Toc184308069"/>
      <w:bookmarkEnd w:id="295"/>
      <w:bookmarkStart w:id="296" w:name="_Toc184312129"/>
      <w:bookmarkEnd w:id="296"/>
      <w:bookmarkStart w:id="297" w:name="_Toc184308072"/>
      <w:bookmarkEnd w:id="297"/>
      <w:bookmarkStart w:id="298" w:name="_Toc184308100"/>
      <w:bookmarkEnd w:id="298"/>
      <w:bookmarkStart w:id="299" w:name="_Toc184310307"/>
      <w:bookmarkEnd w:id="299"/>
      <w:bookmarkStart w:id="300" w:name="_Toc184312104"/>
      <w:bookmarkEnd w:id="300"/>
      <w:bookmarkStart w:id="301" w:name="_Toc184308095"/>
      <w:bookmarkEnd w:id="301"/>
      <w:bookmarkStart w:id="302" w:name="_Toc184308068"/>
      <w:bookmarkEnd w:id="302"/>
      <w:bookmarkStart w:id="303" w:name="_Toc184312112"/>
      <w:bookmarkEnd w:id="303"/>
      <w:bookmarkStart w:id="304" w:name="_Toc184308077"/>
      <w:bookmarkEnd w:id="304"/>
      <w:bookmarkStart w:id="305" w:name="_Toc184312136"/>
      <w:bookmarkEnd w:id="305"/>
      <w:bookmarkStart w:id="306" w:name="_Toc184312126"/>
      <w:bookmarkEnd w:id="306"/>
      <w:bookmarkStart w:id="307" w:name="_Toc184310329"/>
      <w:bookmarkEnd w:id="307"/>
      <w:bookmarkStart w:id="308" w:name="_Toc184313247"/>
      <w:bookmarkEnd w:id="308"/>
      <w:bookmarkStart w:id="309" w:name="_Toc184308099"/>
      <w:bookmarkEnd w:id="309"/>
      <w:bookmarkStart w:id="310" w:name="_Toc184312101"/>
      <w:bookmarkEnd w:id="310"/>
      <w:bookmarkStart w:id="311" w:name="_Toc184314448"/>
      <w:bookmarkEnd w:id="311"/>
      <w:bookmarkStart w:id="312" w:name="_Toc184313285"/>
      <w:bookmarkEnd w:id="312"/>
      <w:bookmarkStart w:id="313" w:name="_Toc184313244"/>
      <w:bookmarkEnd w:id="313"/>
      <w:bookmarkStart w:id="314" w:name="_Toc184312093"/>
      <w:bookmarkEnd w:id="314"/>
      <w:bookmarkStart w:id="315" w:name="_Toc184310319"/>
      <w:bookmarkEnd w:id="315"/>
      <w:bookmarkStart w:id="316" w:name="_Toc184313310"/>
      <w:bookmarkEnd w:id="316"/>
      <w:bookmarkStart w:id="317" w:name="_Toc184313276"/>
      <w:bookmarkEnd w:id="317"/>
      <w:bookmarkStart w:id="318" w:name="_Toc184314429"/>
      <w:bookmarkEnd w:id="318"/>
      <w:bookmarkStart w:id="319" w:name="_Toc184313275"/>
      <w:bookmarkEnd w:id="319"/>
      <w:bookmarkStart w:id="320" w:name="_Toc184314423"/>
      <w:bookmarkEnd w:id="320"/>
      <w:bookmarkStart w:id="321" w:name="_Toc184308054"/>
      <w:bookmarkEnd w:id="321"/>
      <w:bookmarkStart w:id="322" w:name="_Toc184313250"/>
      <w:bookmarkEnd w:id="322"/>
      <w:bookmarkStart w:id="323" w:name="_Toc184312119"/>
      <w:bookmarkEnd w:id="323"/>
      <w:bookmarkStart w:id="324" w:name="_Toc184308092"/>
      <w:bookmarkEnd w:id="324"/>
      <w:bookmarkStart w:id="325" w:name="_Toc184312067"/>
      <w:bookmarkEnd w:id="325"/>
      <w:bookmarkStart w:id="326" w:name="_Toc184314444"/>
      <w:bookmarkEnd w:id="326"/>
      <w:bookmarkStart w:id="327" w:name="_Toc184310334"/>
      <w:bookmarkEnd w:id="327"/>
      <w:bookmarkStart w:id="328" w:name="_Toc184314450"/>
      <w:bookmarkEnd w:id="328"/>
      <w:bookmarkStart w:id="329" w:name="_Toc184313279"/>
      <w:bookmarkEnd w:id="329"/>
      <w:bookmarkStart w:id="330" w:name="_Toc184314460"/>
      <w:bookmarkEnd w:id="330"/>
      <w:bookmarkStart w:id="331" w:name="_Toc184308039"/>
      <w:bookmarkEnd w:id="331"/>
      <w:bookmarkStart w:id="332" w:name="_Toc184310324"/>
      <w:bookmarkEnd w:id="332"/>
      <w:bookmarkStart w:id="333" w:name="_Toc184310314"/>
      <w:bookmarkEnd w:id="333"/>
      <w:bookmarkStart w:id="334" w:name="_Toc184314427"/>
      <w:bookmarkEnd w:id="334"/>
      <w:bookmarkStart w:id="335" w:name="_Toc184314446"/>
      <w:bookmarkEnd w:id="335"/>
      <w:bookmarkStart w:id="336" w:name="_Toc184312124"/>
      <w:bookmarkEnd w:id="336"/>
      <w:bookmarkStart w:id="337" w:name="_Toc184312132"/>
      <w:bookmarkEnd w:id="337"/>
      <w:bookmarkStart w:id="338" w:name="_Toc184312086"/>
      <w:bookmarkEnd w:id="338"/>
      <w:bookmarkStart w:id="339" w:name="_Toc184310284"/>
      <w:bookmarkEnd w:id="339"/>
      <w:bookmarkStart w:id="340" w:name="_Toc184308036"/>
      <w:bookmarkEnd w:id="340"/>
      <w:bookmarkStart w:id="341" w:name="_Toc184308078"/>
      <w:bookmarkEnd w:id="341"/>
      <w:bookmarkStart w:id="342" w:name="_Toc184308051"/>
      <w:bookmarkEnd w:id="342"/>
      <w:bookmarkStart w:id="343" w:name="_Toc184312088"/>
      <w:bookmarkEnd w:id="343"/>
      <w:bookmarkStart w:id="344" w:name="_Toc184312076"/>
      <w:bookmarkEnd w:id="344"/>
      <w:bookmarkStart w:id="345" w:name="_Toc184313306"/>
      <w:bookmarkEnd w:id="345"/>
      <w:bookmarkStart w:id="346" w:name="_Toc184308098"/>
      <w:bookmarkEnd w:id="346"/>
      <w:bookmarkStart w:id="347" w:name="_Toc184308073"/>
      <w:bookmarkEnd w:id="347"/>
      <w:bookmarkStart w:id="348" w:name="_Toc184310332"/>
      <w:bookmarkEnd w:id="348"/>
      <w:bookmarkStart w:id="349" w:name="_Toc184310320"/>
      <w:bookmarkEnd w:id="349"/>
      <w:bookmarkStart w:id="350" w:name="_Toc184312110"/>
      <w:bookmarkEnd w:id="350"/>
      <w:bookmarkStart w:id="351" w:name="_Toc184310305"/>
      <w:bookmarkEnd w:id="351"/>
      <w:bookmarkStart w:id="352" w:name="_Toc184310304"/>
      <w:bookmarkEnd w:id="352"/>
      <w:bookmarkStart w:id="353" w:name="_Toc184310323"/>
      <w:bookmarkEnd w:id="353"/>
      <w:bookmarkStart w:id="354" w:name="_Toc184313295"/>
      <w:bookmarkEnd w:id="354"/>
      <w:bookmarkStart w:id="355" w:name="_Toc184312117"/>
      <w:bookmarkEnd w:id="355"/>
      <w:bookmarkStart w:id="356" w:name="_Toc184308079"/>
      <w:bookmarkEnd w:id="356"/>
      <w:bookmarkStart w:id="357" w:name="_Toc184313296"/>
      <w:bookmarkEnd w:id="357"/>
      <w:bookmarkStart w:id="358" w:name="_Toc184314476"/>
      <w:bookmarkEnd w:id="358"/>
      <w:bookmarkStart w:id="359" w:name="_Toc184308046"/>
      <w:bookmarkEnd w:id="359"/>
      <w:bookmarkStart w:id="360" w:name="_Toc184314452"/>
      <w:bookmarkEnd w:id="360"/>
      <w:bookmarkStart w:id="361" w:name="_Toc184313240"/>
      <w:bookmarkEnd w:id="361"/>
      <w:bookmarkStart w:id="362" w:name="_Toc184308063"/>
      <w:bookmarkEnd w:id="362"/>
      <w:bookmarkStart w:id="363" w:name="_Toc184313278"/>
      <w:bookmarkEnd w:id="363"/>
      <w:bookmarkStart w:id="364" w:name="_Toc184314424"/>
      <w:bookmarkEnd w:id="364"/>
      <w:bookmarkStart w:id="365" w:name="_Toc184308108"/>
      <w:bookmarkEnd w:id="365"/>
      <w:bookmarkStart w:id="366" w:name="_Toc184313284"/>
      <w:bookmarkEnd w:id="366"/>
      <w:bookmarkStart w:id="367" w:name="_Toc184314455"/>
      <w:bookmarkEnd w:id="367"/>
      <w:bookmarkStart w:id="368" w:name="_Toc184312115"/>
      <w:bookmarkEnd w:id="368"/>
      <w:bookmarkStart w:id="369" w:name="_Toc184312105"/>
      <w:bookmarkEnd w:id="369"/>
      <w:bookmarkStart w:id="370" w:name="_Toc184313277"/>
      <w:bookmarkEnd w:id="370"/>
      <w:bookmarkStart w:id="371" w:name="_Toc184314471"/>
      <w:bookmarkEnd w:id="371"/>
      <w:bookmarkStart w:id="372" w:name="_Toc184313305"/>
      <w:bookmarkEnd w:id="372"/>
      <w:bookmarkStart w:id="373" w:name="_Toc184308047"/>
      <w:bookmarkEnd w:id="373"/>
      <w:bookmarkStart w:id="374" w:name="_Toc184313289"/>
      <w:bookmarkEnd w:id="374"/>
      <w:bookmarkStart w:id="375" w:name="_Toc184308049"/>
      <w:bookmarkEnd w:id="375"/>
      <w:bookmarkStart w:id="376" w:name="_Toc184308085"/>
      <w:bookmarkEnd w:id="376"/>
      <w:bookmarkStart w:id="377" w:name="_Toc184308082"/>
      <w:bookmarkEnd w:id="377"/>
      <w:bookmarkStart w:id="378" w:name="_Toc184313282"/>
      <w:bookmarkEnd w:id="378"/>
      <w:bookmarkStart w:id="379" w:name="_Toc184312107"/>
      <w:bookmarkEnd w:id="379"/>
      <w:bookmarkStart w:id="380" w:name="_Toc184310327"/>
      <w:bookmarkEnd w:id="380"/>
      <w:bookmarkStart w:id="381" w:name="_Toc184312096"/>
      <w:bookmarkEnd w:id="381"/>
      <w:bookmarkStart w:id="382" w:name="_Toc184312135"/>
      <w:bookmarkEnd w:id="382"/>
      <w:bookmarkStart w:id="383" w:name="_Toc184310343"/>
      <w:bookmarkEnd w:id="383"/>
      <w:bookmarkStart w:id="384" w:name="_Toc184310280"/>
      <w:bookmarkEnd w:id="384"/>
      <w:bookmarkStart w:id="385" w:name="_Toc184314472"/>
      <w:bookmarkEnd w:id="385"/>
      <w:bookmarkStart w:id="386" w:name="_Toc184312131"/>
      <w:bookmarkEnd w:id="386"/>
      <w:bookmarkStart w:id="387" w:name="_Toc184314475"/>
      <w:bookmarkEnd w:id="387"/>
      <w:bookmarkStart w:id="388" w:name="_Toc184314413"/>
      <w:bookmarkEnd w:id="388"/>
      <w:bookmarkStart w:id="389" w:name="_Toc184310300"/>
      <w:bookmarkEnd w:id="389"/>
      <w:bookmarkStart w:id="390" w:name="_Toc184312070"/>
      <w:bookmarkEnd w:id="390"/>
      <w:bookmarkStart w:id="391" w:name="_Toc184308045"/>
      <w:bookmarkEnd w:id="391"/>
      <w:bookmarkStart w:id="392" w:name="_Toc184313269"/>
      <w:bookmarkEnd w:id="392"/>
      <w:r>
        <w:rPr>
          <w:rFonts w:hint="eastAsia" w:ascii="仿宋" w:hAnsi="仿宋" w:eastAsia="仿宋" w:cs="仿宋"/>
          <w:b/>
          <w:color w:val="auto"/>
          <w:sz w:val="36"/>
          <w:szCs w:val="36"/>
        </w:rPr>
        <w:t>评标办法</w:t>
      </w:r>
    </w:p>
    <w:p>
      <w:pPr>
        <w:snapToGrid w:val="0"/>
        <w:spacing w:line="48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1、评标办法前附表</w:t>
      </w:r>
    </w:p>
    <w:p>
      <w:pPr>
        <w:pStyle w:val="129"/>
        <w:spacing w:before="0" w:line="480" w:lineRule="auto"/>
        <w:ind w:firstLine="482"/>
        <w:rPr>
          <w:rFonts w:ascii="仿宋" w:hAnsi="仿宋" w:eastAsia="仿宋" w:cs="仿宋"/>
          <w:color w:val="auto"/>
          <w:szCs w:val="24"/>
        </w:rPr>
      </w:pPr>
      <w:bookmarkStart w:id="393" w:name="_Toc441007124"/>
      <w:bookmarkStart w:id="394" w:name="_Toc443415649"/>
      <w:bookmarkStart w:id="395" w:name="_Toc4121"/>
      <w:r>
        <w:rPr>
          <w:rFonts w:hint="eastAsia" w:ascii="仿宋" w:hAnsi="仿宋" w:eastAsia="仿宋" w:cs="仿宋"/>
          <w:b/>
          <w:color w:val="auto"/>
          <w:szCs w:val="24"/>
        </w:rPr>
        <w:t>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napToGrid w:val="0"/>
        <w:spacing w:line="48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各投标人的综合得分为：投标价格得分+技术商务得分之和，总</w:t>
      </w:r>
      <w:bookmarkStart w:id="557" w:name="_GoBack"/>
      <w:bookmarkEnd w:id="557"/>
      <w:r>
        <w:rPr>
          <w:rFonts w:hint="eastAsia" w:ascii="仿宋" w:hAnsi="仿宋" w:eastAsia="仿宋" w:cs="仿宋"/>
          <w:b/>
          <w:color w:val="auto"/>
          <w:sz w:val="24"/>
          <w:szCs w:val="24"/>
        </w:rPr>
        <w:t>和为100分，其中：投标价格得分</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0分，商务技术得分</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0分。</w:t>
      </w:r>
    </w:p>
    <w:bookmarkEnd w:id="393"/>
    <w:bookmarkEnd w:id="394"/>
    <w:bookmarkEnd w:id="395"/>
    <w:tbl>
      <w:tblPr>
        <w:tblStyle w:val="63"/>
        <w:tblW w:w="10245"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135"/>
        <w:gridCol w:w="885"/>
        <w:gridCol w:w="11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13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88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170" w:type="dxa"/>
            <w:noWrap w:val="0"/>
            <w:vAlign w:val="center"/>
          </w:tcPr>
          <w:p>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主观分/客观分属性</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135" w:type="dxa"/>
            <w:noWrap w:val="0"/>
            <w:vAlign w:val="center"/>
          </w:tcPr>
          <w:p>
            <w:pPr>
              <w:numPr>
                <w:ilvl w:val="0"/>
                <w:numId w:val="4"/>
              </w:numPr>
              <w:bidi w:val="0"/>
              <w:rPr>
                <w:rFonts w:hint="eastAsia" w:ascii="仿宋" w:hAnsi="仿宋" w:eastAsia="仿宋" w:cs="仿宋"/>
                <w:color w:val="auto"/>
                <w:sz w:val="24"/>
                <w:szCs w:val="24"/>
              </w:rPr>
            </w:pPr>
            <w:r>
              <w:rPr>
                <w:rFonts w:hint="eastAsia" w:ascii="仿宋" w:hAnsi="仿宋" w:eastAsia="仿宋" w:cs="仿宋"/>
                <w:color w:val="auto"/>
                <w:sz w:val="24"/>
                <w:szCs w:val="24"/>
              </w:rPr>
              <w:t>投标人或产品生产企业取得医疗器械质量管理体系认证证书、质量管理体系认证、环境管理体系认证、职业健康安全管理体系认证，每一个得1分，最高得4分。</w:t>
            </w:r>
          </w:p>
          <w:p>
            <w:pPr>
              <w:numPr>
                <w:ilvl w:val="0"/>
                <w:numId w:val="4"/>
              </w:numPr>
              <w:bidi w:val="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供应商或产品生产企业2023年公安部毛发现场快筛器材检测能力比对通过名单7项物质全部通过的，满足要求得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分。（投标文件中提供国家公安部发布的能力比对结果证明文件复印件，不提供不得分。）</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.2019年1月1日以来在全国范围内与本项目类似的项目相关业绩情况，每一个成功案例得1分，最高3分。（投标时需提供合同复印件</w:t>
            </w:r>
            <w:r>
              <w:rPr>
                <w:rFonts w:hint="eastAsia" w:ascii="仿宋" w:hAnsi="仿宋" w:eastAsia="仿宋" w:cs="仿宋"/>
                <w:color w:val="auto"/>
                <w:sz w:val="24"/>
                <w:szCs w:val="24"/>
                <w:lang w:val="en-US" w:eastAsia="zh-CN"/>
              </w:rPr>
              <w:t>及发票复印件，两者都要提供提供不全的不得分</w:t>
            </w:r>
            <w:r>
              <w:rPr>
                <w:rFonts w:hint="eastAsia" w:ascii="仿宋" w:hAnsi="仿宋" w:eastAsia="仿宋" w:cs="仿宋"/>
                <w:color w:val="auto"/>
                <w:sz w:val="24"/>
                <w:szCs w:val="24"/>
              </w:rPr>
              <w:t>）。</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0-9</w:t>
            </w:r>
          </w:p>
        </w:tc>
        <w:tc>
          <w:tcPr>
            <w:tcW w:w="1170"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135" w:type="dxa"/>
            <w:noWrap w:val="0"/>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产品性能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对应于招标文件技术指标的偏离度：全部满足且</w:t>
            </w:r>
            <w:r>
              <w:rPr>
                <w:rFonts w:hint="eastAsia" w:ascii="仿宋" w:hAnsi="仿宋" w:eastAsia="仿宋" w:cs="仿宋"/>
                <w:color w:val="auto"/>
                <w:sz w:val="24"/>
                <w:szCs w:val="24"/>
                <w:lang w:val="en-US" w:eastAsia="zh-CN"/>
              </w:rPr>
              <w:t>有权威第三方出具的产品检测报告中能够找到实质性响应的</w:t>
            </w:r>
            <w:r>
              <w:rPr>
                <w:rFonts w:hint="eastAsia" w:ascii="仿宋" w:hAnsi="仿宋" w:eastAsia="仿宋" w:cs="仿宋"/>
                <w:color w:val="auto"/>
                <w:sz w:val="24"/>
                <w:szCs w:val="24"/>
              </w:rPr>
              <w:t>得20分，每项一般需求负偏离扣1分，带★条款负偏离扣2分，扣完为止。（投标人在投标时必须在投标响应文件中提供</w:t>
            </w:r>
            <w:r>
              <w:rPr>
                <w:rFonts w:hint="eastAsia" w:ascii="仿宋" w:hAnsi="仿宋" w:eastAsia="仿宋" w:cs="仿宋"/>
                <w:color w:val="auto"/>
                <w:sz w:val="24"/>
                <w:szCs w:val="24"/>
                <w:lang w:val="en-US" w:eastAsia="zh-CN"/>
              </w:rPr>
              <w:t>加盖产品生产企业鲜章的</w:t>
            </w:r>
            <w:r>
              <w:rPr>
                <w:rFonts w:hint="eastAsia" w:ascii="仿宋" w:hAnsi="仿宋" w:eastAsia="仿宋" w:cs="仿宋"/>
                <w:color w:val="auto"/>
                <w:sz w:val="24"/>
                <w:szCs w:val="24"/>
              </w:rPr>
              <w:t>检测报告复印件，未提供或报告中未能响应的不得分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检测报告原件在签订合同时备查，如发现提供虚假材料作废标处理</w:t>
            </w:r>
            <w:r>
              <w:rPr>
                <w:rFonts w:hint="eastAsia" w:ascii="仿宋" w:hAnsi="仿宋" w:eastAsia="仿宋" w:cs="仿宋"/>
                <w:color w:val="auto"/>
                <w:sz w:val="24"/>
                <w:szCs w:val="24"/>
              </w:rPr>
              <w:t>。）</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0-20</w:t>
            </w:r>
          </w:p>
        </w:tc>
        <w:tc>
          <w:tcPr>
            <w:tcW w:w="1170"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客观分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135" w:type="dxa"/>
            <w:noWrap w:val="0"/>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投标方案合理性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投标方案的合理性、科学性、全面性（根据对投标项目的 理解程度、总体设计、组织实施、独到优势等情况综合评</w:t>
            </w:r>
            <w:r>
              <w:rPr>
                <w:rFonts w:hint="eastAsia" w:ascii="仿宋" w:hAnsi="仿宋" w:eastAsia="仿宋" w:cs="仿宋"/>
                <w:color w:val="auto"/>
                <w:sz w:val="24"/>
                <w:szCs w:val="24"/>
                <w:lang w:val="en-US" w:eastAsia="zh-CN"/>
              </w:rPr>
              <w:t>分。方案好，可操作性强，可实施性好的得8分，方案一般，可操作性一般，可实施性一般的得5分，不满足采购需求得不得分。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0-8</w:t>
            </w:r>
          </w:p>
        </w:tc>
        <w:tc>
          <w:tcPr>
            <w:tcW w:w="1170"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135" w:type="dxa"/>
            <w:noWrap w:val="0"/>
            <w:vAlign w:val="center"/>
          </w:tcPr>
          <w:p>
            <w:pPr>
              <w:bidi w:val="0"/>
              <w:rPr>
                <w:rFonts w:hint="eastAsia" w:ascii="仿宋" w:hAnsi="仿宋" w:eastAsia="仿宋" w:cs="仿宋"/>
                <w:color w:val="auto"/>
                <w:sz w:val="24"/>
                <w:szCs w:val="24"/>
                <w:lang w:val="en-US"/>
              </w:rPr>
            </w:pPr>
            <w:r>
              <w:rPr>
                <w:rFonts w:hint="eastAsia" w:ascii="仿宋" w:hAnsi="仿宋" w:eastAsia="仿宋" w:cs="仿宋"/>
                <w:color w:val="auto"/>
                <w:sz w:val="24"/>
                <w:szCs w:val="24"/>
              </w:rPr>
              <w:t>交货保证措施：交货保证措施完成到位、有效进行综合评分，措施合理方便，全面性，可操作性好的得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分，措施较合理方便，全面性，可操作性较好的得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分，措施较合理方便，全面性一般，可操作性一般的得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分，不满足采购需求的不得分。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0-7</w:t>
            </w:r>
          </w:p>
        </w:tc>
        <w:tc>
          <w:tcPr>
            <w:tcW w:w="1170"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135" w:type="dxa"/>
            <w:noWrap w:val="0"/>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管理措施及计划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对投标人提供的质量管理措施、设备、材料组织供应计划等方面进行</w:t>
            </w:r>
            <w:r>
              <w:rPr>
                <w:rFonts w:hint="eastAsia" w:ascii="仿宋" w:hAnsi="仿宋" w:eastAsia="仿宋" w:cs="仿宋"/>
                <w:color w:val="auto"/>
                <w:sz w:val="24"/>
                <w:szCs w:val="24"/>
                <w:lang w:val="en-US" w:eastAsia="zh-CN"/>
              </w:rPr>
              <w:t>打分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管理措施合理，设备材料先进，计划实施性高的得8分，管理措施较合理，设备材料较先进，计划实施性一般的得5分，不满足采购需求得不得分。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0-8</w:t>
            </w:r>
          </w:p>
        </w:tc>
        <w:tc>
          <w:tcPr>
            <w:tcW w:w="1170"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135" w:type="dxa"/>
            <w:noWrap w:val="0"/>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售后服务方案：投标人提供的售后服务方案、维护人员和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机构等情况，服务承诺的可行性、完整性以及服务承诺落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实的保障措施，后续技术支持和维护能力情况等进行打分。</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投标人售后服务方案合理的得8分，较为合理的得5分，存在欠缺但基本合理的得3分，不提供不得分。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0-8</w:t>
            </w:r>
          </w:p>
        </w:tc>
        <w:tc>
          <w:tcPr>
            <w:tcW w:w="1170"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135" w:type="dxa"/>
            <w:noWrap w:val="0"/>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服务承诺：</w:t>
            </w:r>
            <w:r>
              <w:rPr>
                <w:rFonts w:hint="eastAsia" w:ascii="仿宋" w:hAnsi="仿宋" w:eastAsia="仿宋" w:cs="仿宋"/>
                <w:color w:val="auto"/>
                <w:sz w:val="24"/>
                <w:szCs w:val="24"/>
              </w:rPr>
              <w:t>承诺中标后免费提供配套的毛发毒品便携式检测仪（含配套检测箱）至少15台，毛发研磨仪至少15台，不承诺不得分（提供公安部相关检测单位出具的检测报告，不提供的不得分。）（0-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0-2</w:t>
            </w:r>
          </w:p>
        </w:tc>
        <w:tc>
          <w:tcPr>
            <w:tcW w:w="1170"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135" w:type="dxa"/>
            <w:noWrap w:val="0"/>
            <w:vAlign w:val="center"/>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GB"/>
              </w:rPr>
              <w:t>针对本项目提供的增值服务（可为禁毒工作提供情报分析相关的专业技术仪器及配套技术服务</w:t>
            </w:r>
            <w:r>
              <w:rPr>
                <w:rFonts w:hint="eastAsia" w:ascii="仿宋" w:hAnsi="仿宋" w:eastAsia="仿宋" w:cs="仿宋"/>
                <w:color w:val="auto"/>
                <w:sz w:val="24"/>
                <w:szCs w:val="24"/>
                <w:lang w:val="en-US" w:eastAsia="zh-CN"/>
              </w:rPr>
              <w:t>等进行综合评分</w:t>
            </w:r>
            <w:r>
              <w:rPr>
                <w:rFonts w:hint="eastAsia" w:ascii="仿宋" w:hAnsi="仿宋" w:eastAsia="仿宋" w:cs="仿宋"/>
                <w:color w:val="auto"/>
                <w:sz w:val="24"/>
                <w:szCs w:val="24"/>
                <w:lang w:val="en-GB"/>
              </w:rPr>
              <w:t>，认定为实质性优惠条件的</w:t>
            </w:r>
            <w:r>
              <w:rPr>
                <w:rFonts w:hint="eastAsia" w:ascii="仿宋" w:hAnsi="仿宋" w:eastAsia="仿宋" w:cs="仿宋"/>
                <w:color w:val="auto"/>
                <w:sz w:val="24"/>
                <w:szCs w:val="24"/>
                <w:lang w:val="en-US" w:eastAsia="zh-CN"/>
              </w:rPr>
              <w:t>且可行有效高的得8分，</w:t>
            </w:r>
            <w:r>
              <w:rPr>
                <w:rFonts w:hint="eastAsia" w:ascii="仿宋" w:hAnsi="仿宋" w:eastAsia="仿宋" w:cs="仿宋"/>
                <w:color w:val="auto"/>
                <w:sz w:val="24"/>
                <w:szCs w:val="24"/>
                <w:lang w:val="en-GB"/>
              </w:rPr>
              <w:t>认定为实质性优惠条件的</w:t>
            </w:r>
            <w:r>
              <w:rPr>
                <w:rFonts w:hint="eastAsia" w:ascii="仿宋" w:hAnsi="仿宋" w:eastAsia="仿宋" w:cs="仿宋"/>
                <w:color w:val="auto"/>
                <w:sz w:val="24"/>
                <w:szCs w:val="24"/>
                <w:lang w:val="en-US" w:eastAsia="zh-CN"/>
              </w:rPr>
              <w:t>且可行有效一般的得3分，</w:t>
            </w:r>
            <w:r>
              <w:rPr>
                <w:rFonts w:hint="eastAsia" w:ascii="仿宋" w:hAnsi="仿宋" w:eastAsia="仿宋" w:cs="仿宋"/>
                <w:color w:val="auto"/>
                <w:sz w:val="24"/>
                <w:szCs w:val="24"/>
                <w:lang w:val="en-GB"/>
              </w:rPr>
              <w:t>不提供不得分。（0-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en-GB"/>
              </w:rPr>
              <w:t>分）</w:t>
            </w:r>
          </w:p>
        </w:tc>
        <w:tc>
          <w:tcPr>
            <w:tcW w:w="885" w:type="dxa"/>
            <w:noWrap w:val="0"/>
            <w:vAlign w:val="center"/>
          </w:tcPr>
          <w:p>
            <w:pPr>
              <w:adjustRightIn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c>
          <w:tcPr>
            <w:tcW w:w="1170" w:type="dxa"/>
            <w:noWrap w:val="0"/>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1320" w:type="dxa"/>
            <w:noWrap w:val="0"/>
            <w:vAlign w:val="top"/>
          </w:tcPr>
          <w:p>
            <w:pPr>
              <w:snapToGrid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auto"/>
              <w:jc w:val="center"/>
              <w:rPr>
                <w:rFonts w:hint="eastAsia" w:ascii="仿宋" w:hAnsi="仿宋" w:eastAsia="仿宋" w:cs="仿宋"/>
                <w:color w:val="auto"/>
                <w:sz w:val="24"/>
                <w:szCs w:val="24"/>
                <w:lang w:val="en-US" w:eastAsia="zh-CN"/>
              </w:rPr>
            </w:pPr>
          </w:p>
        </w:tc>
        <w:tc>
          <w:tcPr>
            <w:tcW w:w="6135" w:type="dxa"/>
            <w:noWrap w:val="0"/>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］的计算公式计算。</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%的扣除，用扣除后的价格参加评审。</w:t>
            </w:r>
          </w:p>
        </w:tc>
        <w:tc>
          <w:tcPr>
            <w:tcW w:w="885" w:type="dxa"/>
            <w:noWrap w:val="0"/>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170" w:type="dxa"/>
            <w:noWrap w:val="0"/>
            <w:vAlign w:val="center"/>
          </w:tcPr>
          <w:p>
            <w:pPr>
              <w:spacing w:line="360" w:lineRule="auto"/>
              <w:jc w:val="center"/>
              <w:outlineLvl w:val="0"/>
              <w:rPr>
                <w:rFonts w:hint="eastAsia" w:ascii="仿宋" w:hAnsi="仿宋" w:eastAsia="仿宋" w:cs="仿宋"/>
                <w:color w:val="auto"/>
                <w:sz w:val="24"/>
                <w:szCs w:val="24"/>
              </w:rPr>
            </w:pPr>
          </w:p>
        </w:tc>
        <w:tc>
          <w:tcPr>
            <w:tcW w:w="1320" w:type="dxa"/>
            <w:noWrap w:val="0"/>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48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48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48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48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48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29"/>
        <w:spacing w:before="0" w:line="480" w:lineRule="auto"/>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8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29"/>
        <w:spacing w:before="0" w:line="480" w:lineRule="auto"/>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48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48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48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3"/>
        <w:spacing w:line="480" w:lineRule="auto"/>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4"/>
        <w:snapToGrid w:val="0"/>
        <w:spacing w:line="48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pPr>
        <w:pStyle w:val="24"/>
        <w:snapToGrid w:val="0"/>
        <w:spacing w:line="48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pPr>
        <w:pStyle w:val="24"/>
        <w:snapToGrid w:val="0"/>
        <w:spacing w:line="48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4"/>
        <w:snapToGrid w:val="0"/>
        <w:spacing w:line="48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outlineLvl w:val="0"/>
        <w:rPr>
          <w:rFonts w:hint="eastAsia" w:ascii="仿宋" w:hAnsi="仿宋" w:eastAsia="仿宋" w:cs="仿宋"/>
          <w:color w:val="auto"/>
        </w:rPr>
      </w:pPr>
      <w:bookmarkStart w:id="396" w:name="第五部分"/>
      <w:bookmarkStart w:id="397" w:name="_Toc86217003"/>
      <w:r>
        <w:rPr>
          <w:rFonts w:hint="eastAsia" w:ascii="仿宋" w:hAnsi="仿宋" w:eastAsia="仿宋" w:cs="仿宋"/>
          <w:b/>
          <w:color w:val="auto"/>
          <w:sz w:val="36"/>
          <w:szCs w:val="36"/>
        </w:rPr>
        <w:t xml:space="preserve">  </w:t>
      </w:r>
    </w:p>
    <w:p>
      <w:pPr>
        <w:widowControl/>
        <w:adjustRightInd/>
        <w:jc w:val="left"/>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700"/>
        <w:ind w:left="0" w:leftChars="0" w:firstLine="0" w:firstLineChars="0"/>
        <w:rPr>
          <w:rFonts w:hint="eastAsia" w:ascii="仿宋" w:hAnsi="仿宋" w:eastAsia="仿宋" w:cs="仿宋"/>
          <w:color w:val="auto"/>
          <w:szCs w:val="24"/>
        </w:rPr>
      </w:pPr>
    </w:p>
    <w:p>
      <w:pPr>
        <w:pStyle w:val="700"/>
        <w:jc w:val="center"/>
        <w:rPr>
          <w:rFonts w:hint="eastAsia" w:ascii="仿宋" w:hAnsi="仿宋" w:eastAsia="仿宋" w:cs="仿宋"/>
          <w:color w:val="auto"/>
          <w:szCs w:val="24"/>
        </w:rPr>
      </w:pPr>
    </w:p>
    <w:p>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700"/>
        <w:rPr>
          <w:rFonts w:hint="eastAsia" w:ascii="仿宋" w:hAnsi="仿宋" w:eastAsia="仿宋" w:cs="仿宋"/>
          <w:color w:val="auto"/>
          <w:szCs w:val="24"/>
        </w:rPr>
      </w:pPr>
    </w:p>
    <w:p>
      <w:pPr>
        <w:pStyle w:val="700"/>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7"/>
        <w:spacing w:before="120" w:line="22" w:lineRule="atLeast"/>
        <w:rPr>
          <w:rFonts w:hint="eastAsia" w:ascii="仿宋" w:hAnsi="仿宋" w:eastAsia="仿宋" w:cs="仿宋"/>
          <w:color w:val="auto"/>
          <w:szCs w:val="24"/>
        </w:rPr>
      </w:pPr>
    </w:p>
    <w:p>
      <w:pPr>
        <w:pStyle w:val="597"/>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8" w:name="_Toc3029"/>
      <w:bookmarkStart w:id="399" w:name="_Toc24059"/>
      <w:bookmarkStart w:id="400" w:name="_Toc2232"/>
      <w:r>
        <w:rPr>
          <w:rFonts w:hint="eastAsia" w:ascii="仿宋" w:hAnsi="仿宋" w:eastAsia="仿宋" w:cs="仿宋"/>
          <w:b/>
          <w:color w:val="auto"/>
          <w:sz w:val="24"/>
        </w:rPr>
        <w:t>1.1 合同组成部分</w:t>
      </w:r>
      <w:bookmarkEnd w:id="398"/>
      <w:bookmarkEnd w:id="399"/>
      <w:bookmarkEnd w:id="40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401" w:name="_Toc21295"/>
      <w:bookmarkStart w:id="402" w:name="_Toc27126"/>
      <w:bookmarkStart w:id="403" w:name="_Toc24300"/>
      <w:r>
        <w:rPr>
          <w:rFonts w:hint="eastAsia" w:ascii="仿宋" w:hAnsi="仿宋" w:eastAsia="仿宋" w:cs="仿宋"/>
          <w:b/>
          <w:color w:val="auto"/>
          <w:sz w:val="24"/>
        </w:rPr>
        <w:t>1.2 货物</w:t>
      </w:r>
      <w:bookmarkEnd w:id="401"/>
      <w:bookmarkEnd w:id="402"/>
      <w:bookmarkEnd w:id="403"/>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w:t>
      </w:r>
    </w:p>
    <w:p>
      <w:pPr>
        <w:spacing w:line="560" w:lineRule="exact"/>
        <w:ind w:firstLine="482" w:firstLineChars="200"/>
        <w:outlineLvl w:val="0"/>
        <w:rPr>
          <w:rFonts w:hint="eastAsia" w:ascii="仿宋" w:hAnsi="仿宋" w:eastAsia="仿宋" w:cs="仿宋"/>
          <w:b/>
          <w:color w:val="auto"/>
          <w:sz w:val="24"/>
        </w:rPr>
      </w:pPr>
      <w:bookmarkStart w:id="404" w:name="_Toc21631"/>
      <w:bookmarkStart w:id="405" w:name="_Toc21551"/>
      <w:bookmarkStart w:id="406" w:name="_Toc23292"/>
      <w:r>
        <w:rPr>
          <w:rFonts w:hint="eastAsia" w:ascii="仿宋" w:hAnsi="仿宋" w:eastAsia="仿宋" w:cs="仿宋"/>
          <w:b/>
          <w:color w:val="auto"/>
          <w:sz w:val="24"/>
        </w:rPr>
        <w:t>1.3 价款</w:t>
      </w:r>
      <w:bookmarkEnd w:id="404"/>
      <w:bookmarkEnd w:id="405"/>
      <w:bookmarkEnd w:id="40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rPr>
            </w:pPr>
          </w:p>
        </w:tc>
      </w:tr>
    </w:tbl>
    <w:p>
      <w:pPr>
        <w:pStyle w:val="958"/>
        <w:spacing w:before="0" w:beforeAutospacing="0" w:after="0" w:afterAutospacing="0" w:line="360" w:lineRule="auto"/>
        <w:ind w:firstLine="480"/>
        <w:rPr>
          <w:rFonts w:hint="eastAsia" w:ascii="仿宋" w:hAnsi="仿宋" w:eastAsia="仿宋" w:cs="仿宋"/>
          <w:b/>
          <w:color w:val="auto"/>
        </w:rPr>
      </w:pPr>
      <w:bookmarkStart w:id="407" w:name="_Toc1814"/>
      <w:bookmarkStart w:id="408" w:name="_Toc22618"/>
      <w:bookmarkStart w:id="409" w:name="_Toc10340"/>
      <w:r>
        <w:rPr>
          <w:rFonts w:hint="eastAsia" w:ascii="仿宋" w:hAnsi="仿宋" w:eastAsia="仿宋" w:cs="仿宋"/>
          <w:b/>
          <w:color w:val="auto"/>
        </w:rPr>
        <w:t>1.4履约保证金</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3"/>
        <w:tabs>
          <w:tab w:val="left" w:pos="0"/>
          <w:tab w:val="clear" w:pos="432"/>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rPr>
      </w:pPr>
      <w:r>
        <w:rPr>
          <w:rFonts w:hint="eastAsia" w:ascii="仿宋" w:hAnsi="仿宋" w:eastAsia="仿宋" w:cs="仿宋"/>
          <w:color w:val="auto"/>
          <w:kern w:val="0"/>
          <w:sz w:val="24"/>
        </w:rPr>
        <w:t>1.4.4 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07"/>
      <w:bookmarkEnd w:id="408"/>
      <w:bookmarkEnd w:id="409"/>
      <w:r>
        <w:rPr>
          <w:rFonts w:hint="eastAsia" w:ascii="仿宋" w:hAnsi="仿宋" w:eastAsia="仿宋" w:cs="仿宋"/>
          <w:b/>
          <w:color w:val="auto"/>
          <w:sz w:val="24"/>
        </w:rPr>
        <w:t>预付款</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0" w:name="_Toc32071"/>
      <w:bookmarkStart w:id="411" w:name="_Toc2846"/>
      <w:bookmarkStart w:id="412" w:name="_Toc19304"/>
      <w:r>
        <w:rPr>
          <w:rFonts w:hint="eastAsia" w:ascii="仿宋" w:hAnsi="仿宋" w:eastAsia="仿宋" w:cs="仿宋"/>
          <w:b/>
          <w:color w:val="auto"/>
          <w:sz w:val="24"/>
        </w:rPr>
        <w:t>1.7货物交付期限、地点和方式</w:t>
      </w:r>
      <w:bookmarkEnd w:id="410"/>
      <w:bookmarkEnd w:id="411"/>
      <w:bookmarkEnd w:id="412"/>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3" w:name="_Toc19554"/>
      <w:bookmarkStart w:id="414" w:name="_Toc21423"/>
      <w:bookmarkStart w:id="415" w:name="_Toc27250"/>
      <w:r>
        <w:rPr>
          <w:rFonts w:hint="eastAsia" w:ascii="仿宋" w:hAnsi="仿宋" w:eastAsia="仿宋" w:cs="仿宋"/>
          <w:b/>
          <w:color w:val="auto"/>
          <w:sz w:val="24"/>
        </w:rPr>
        <w:t>1.8违约责任</w:t>
      </w:r>
      <w:bookmarkEnd w:id="413"/>
      <w:bookmarkEnd w:id="414"/>
      <w:bookmarkEnd w:id="41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6" w:name="_Toc16021"/>
      <w:bookmarkStart w:id="417" w:name="_Toc28375"/>
      <w:bookmarkStart w:id="418" w:name="_Toc15583"/>
      <w:r>
        <w:rPr>
          <w:rFonts w:hint="eastAsia" w:ascii="仿宋" w:hAnsi="仿宋" w:eastAsia="仿宋" w:cs="仿宋"/>
          <w:b/>
          <w:color w:val="auto"/>
          <w:sz w:val="24"/>
        </w:rPr>
        <w:t>1.9合同争议的解决</w:t>
      </w:r>
      <w:bookmarkEnd w:id="416"/>
      <w:bookmarkEnd w:id="417"/>
      <w:bookmarkEnd w:id="418"/>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9" w:name="_Toc15322"/>
      <w:bookmarkStart w:id="420" w:name="_Toc7245"/>
      <w:bookmarkStart w:id="421" w:name="_Toc11173"/>
      <w:r>
        <w:rPr>
          <w:rFonts w:hint="eastAsia" w:ascii="仿宋" w:hAnsi="仿宋" w:eastAsia="仿宋" w:cs="仿宋"/>
          <w:b/>
          <w:color w:val="auto"/>
          <w:sz w:val="24"/>
        </w:rPr>
        <w:t>2.0 合同生效</w:t>
      </w:r>
      <w:bookmarkEnd w:id="419"/>
      <w:bookmarkEnd w:id="420"/>
      <w:bookmarkEnd w:id="421"/>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color w:val="auto"/>
        </w:rPr>
      </w:pPr>
    </w:p>
    <w:p>
      <w:pPr>
        <w:rPr>
          <w:rFonts w:hint="eastAsia" w:ascii="仿宋" w:hAnsi="仿宋" w:eastAsia="仿宋" w:cs="仿宋"/>
          <w:color w:val="auto"/>
          <w:sz w:val="24"/>
        </w:rPr>
      </w:pPr>
    </w:p>
    <w:p>
      <w:pPr>
        <w:pStyle w:val="700"/>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22" w:name="_Toc19614"/>
      <w:bookmarkStart w:id="423" w:name="_Ref467379205"/>
      <w:bookmarkStart w:id="424" w:name="_Ref467378499"/>
      <w:bookmarkStart w:id="425" w:name="_Ref467378463"/>
      <w:bookmarkStart w:id="426" w:name="_Toc279701240"/>
      <w:bookmarkStart w:id="427" w:name="_Toc487900349"/>
      <w:bookmarkStart w:id="428" w:name="_Toc259093669"/>
      <w:bookmarkStart w:id="429" w:name="_Toc28763"/>
      <w:bookmarkStart w:id="430" w:name="_Ref467379101"/>
      <w:bookmarkStart w:id="431" w:name="_Toc16917"/>
      <w:bookmarkStart w:id="432" w:name="_Ref467378404"/>
      <w:bookmarkStart w:id="433" w:name="_Ref467379109"/>
      <w:bookmarkStart w:id="434" w:name="_Ref467379225"/>
      <w:bookmarkStart w:id="435" w:name="_Ref467379214"/>
      <w:bookmarkStart w:id="436" w:name="_Ref467379195"/>
      <w:bookmarkStart w:id="437" w:name="_Ref467379094"/>
      <w:r>
        <w:rPr>
          <w:rFonts w:hint="eastAsia" w:ascii="仿宋" w:hAnsi="仿宋" w:eastAsia="仿宋" w:cs="仿宋"/>
          <w:b/>
          <w:color w:val="auto"/>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38" w:name="_Ref467378840"/>
      <w:r>
        <w:rPr>
          <w:rFonts w:hint="eastAsia" w:ascii="仿宋" w:hAnsi="仿宋" w:eastAsia="仿宋" w:cs="仿宋"/>
          <w:color w:val="auto"/>
          <w:sz w:val="24"/>
        </w:rPr>
        <w:t>2.1.4 “甲方”系指与中标或成交供应商签署合同的采购人</w:t>
      </w:r>
      <w:bookmarkEnd w:id="438"/>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39" w:name="_Ref467379400"/>
      <w:r>
        <w:rPr>
          <w:rFonts w:hint="eastAsia" w:ascii="仿宋" w:hAnsi="仿宋" w:eastAsia="仿宋" w:cs="仿宋"/>
          <w:color w:val="auto"/>
          <w:sz w:val="24"/>
        </w:rPr>
        <w:t>2.1.5 “乙方”系指根据合同约定交付货物的中标或成交供应商</w:t>
      </w:r>
      <w:bookmarkEnd w:id="439"/>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40" w:name="_Ref467379436"/>
      <w:r>
        <w:rPr>
          <w:rFonts w:hint="eastAsia" w:ascii="仿宋" w:hAnsi="仿宋" w:eastAsia="仿宋" w:cs="仿宋"/>
          <w:color w:val="auto"/>
          <w:sz w:val="24"/>
        </w:rPr>
        <w:t>2.1.6 “现场”系指合同约定货物将要运至或者安装的地点。</w:t>
      </w:r>
      <w:bookmarkEnd w:id="440"/>
    </w:p>
    <w:p>
      <w:pPr>
        <w:spacing w:line="560" w:lineRule="exact"/>
        <w:ind w:firstLine="482" w:firstLineChars="200"/>
        <w:outlineLvl w:val="0"/>
        <w:rPr>
          <w:rFonts w:hint="eastAsia" w:ascii="仿宋" w:hAnsi="仿宋" w:eastAsia="仿宋" w:cs="仿宋"/>
          <w:b/>
          <w:color w:val="auto"/>
          <w:sz w:val="24"/>
        </w:rPr>
      </w:pPr>
      <w:bookmarkStart w:id="441" w:name="_Toc259093670"/>
      <w:bookmarkStart w:id="442" w:name="_Toc487900350"/>
      <w:bookmarkStart w:id="443" w:name="_Toc13336"/>
      <w:bookmarkStart w:id="444" w:name="_Toc32504"/>
      <w:bookmarkStart w:id="445" w:name="_Toc279701241"/>
      <w:bookmarkStart w:id="446" w:name="_Toc27635"/>
      <w:r>
        <w:rPr>
          <w:rFonts w:hint="eastAsia" w:ascii="仿宋" w:hAnsi="仿宋" w:eastAsia="仿宋" w:cs="仿宋"/>
          <w:b/>
          <w:color w:val="auto"/>
          <w:sz w:val="24"/>
        </w:rPr>
        <w:t>2.2 技术规范</w:t>
      </w:r>
      <w:bookmarkEnd w:id="441"/>
      <w:bookmarkEnd w:id="442"/>
      <w:bookmarkEnd w:id="443"/>
      <w:bookmarkEnd w:id="444"/>
      <w:bookmarkEnd w:id="445"/>
      <w:bookmarkEnd w:id="44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47" w:name="_Toc31634"/>
      <w:bookmarkStart w:id="448" w:name="_Toc279701242"/>
      <w:bookmarkStart w:id="449" w:name="_Toc9829"/>
      <w:bookmarkStart w:id="450" w:name="_Toc259093671"/>
      <w:bookmarkStart w:id="451" w:name="_Toc487900351"/>
      <w:bookmarkStart w:id="452" w:name="_Toc27853"/>
      <w:r>
        <w:rPr>
          <w:rFonts w:hint="eastAsia" w:ascii="仿宋" w:hAnsi="仿宋" w:eastAsia="仿宋" w:cs="仿宋"/>
          <w:b/>
          <w:color w:val="auto"/>
          <w:sz w:val="24"/>
        </w:rPr>
        <w:t>2.3 知识产权</w:t>
      </w:r>
      <w:bookmarkEnd w:id="447"/>
      <w:bookmarkEnd w:id="448"/>
      <w:bookmarkEnd w:id="449"/>
      <w:bookmarkEnd w:id="450"/>
      <w:bookmarkEnd w:id="451"/>
      <w:bookmarkEnd w:id="45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3" w:name="_Toc4194"/>
      <w:bookmarkStart w:id="454" w:name="_Toc11932"/>
      <w:bookmarkStart w:id="455" w:name="_Toc29149"/>
      <w:r>
        <w:rPr>
          <w:rFonts w:hint="eastAsia" w:ascii="仿宋" w:hAnsi="仿宋" w:eastAsia="仿宋" w:cs="仿宋"/>
          <w:b/>
          <w:color w:val="auto"/>
          <w:sz w:val="24"/>
        </w:rPr>
        <w:t>2.4 包装和装运</w:t>
      </w:r>
      <w:bookmarkEnd w:id="453"/>
      <w:bookmarkEnd w:id="454"/>
      <w:bookmarkEnd w:id="45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2.4.3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6" w:name="_Toc279701245"/>
      <w:bookmarkStart w:id="457" w:name="_Ref467378591"/>
      <w:bookmarkStart w:id="458" w:name="_Ref467379527"/>
      <w:bookmarkStart w:id="459" w:name="_Ref467379536"/>
      <w:bookmarkStart w:id="460" w:name="_Toc487900354"/>
      <w:bookmarkStart w:id="461" w:name="_Toc259093674"/>
      <w:bookmarkStart w:id="462" w:name="_Ref467378541"/>
      <w:bookmarkStart w:id="463" w:name="_Ref467379542"/>
      <w:bookmarkStart w:id="464" w:name="_Toc19074"/>
      <w:bookmarkStart w:id="465" w:name="_Toc26182"/>
      <w:bookmarkStart w:id="466" w:name="_Toc30272"/>
      <w:r>
        <w:rPr>
          <w:rFonts w:hint="eastAsia" w:ascii="仿宋" w:hAnsi="仿宋" w:eastAsia="仿宋" w:cs="仿宋"/>
          <w:b/>
          <w:color w:val="auto"/>
          <w:sz w:val="24"/>
        </w:rPr>
        <w:t>2.</w:t>
      </w:r>
      <w:bookmarkEnd w:id="456"/>
      <w:bookmarkEnd w:id="457"/>
      <w:bookmarkEnd w:id="458"/>
      <w:bookmarkEnd w:id="459"/>
      <w:bookmarkEnd w:id="460"/>
      <w:bookmarkEnd w:id="461"/>
      <w:bookmarkEnd w:id="462"/>
      <w:bookmarkEnd w:id="463"/>
      <w:r>
        <w:rPr>
          <w:rFonts w:hint="eastAsia" w:ascii="仿宋" w:hAnsi="仿宋" w:eastAsia="仿宋" w:cs="仿宋"/>
          <w:b/>
          <w:color w:val="auto"/>
          <w:sz w:val="24"/>
        </w:rPr>
        <w:t>5 履约检查和问题反馈</w:t>
      </w:r>
      <w:bookmarkEnd w:id="464"/>
      <w:bookmarkEnd w:id="465"/>
      <w:bookmarkEnd w:id="466"/>
    </w:p>
    <w:p>
      <w:pPr>
        <w:spacing w:line="560" w:lineRule="exact"/>
        <w:ind w:firstLine="480" w:firstLineChars="200"/>
        <w:rPr>
          <w:rFonts w:hint="eastAsia" w:ascii="仿宋" w:hAnsi="仿宋" w:eastAsia="仿宋" w:cs="仿宋"/>
          <w:color w:val="auto"/>
          <w:sz w:val="24"/>
        </w:rPr>
      </w:pPr>
      <w:bookmarkStart w:id="467" w:name="_Ref467379657"/>
      <w:r>
        <w:rPr>
          <w:rFonts w:hint="eastAsia" w:ascii="仿宋" w:hAnsi="仿宋" w:eastAsia="仿宋" w:cs="仿宋"/>
          <w:color w:val="auto"/>
          <w:sz w:val="24"/>
        </w:rPr>
        <w:t>2.5.1</w:t>
      </w:r>
      <w:bookmarkEnd w:id="467"/>
      <w:bookmarkStart w:id="468" w:name="_Toc186431854"/>
      <w:bookmarkStart w:id="469" w:name="_Ref467379793"/>
      <w:bookmarkStart w:id="470" w:name="_Toc487900357"/>
      <w:bookmarkStart w:id="471" w:name="_Toc259093676"/>
      <w:bookmarkStart w:id="472" w:name="_Toc279701247"/>
      <w:bookmarkStart w:id="473"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8"/>
      <w:bookmarkStart w:id="474" w:name="_Toc186431855"/>
      <w:r>
        <w:rPr>
          <w:rFonts w:hint="eastAsia" w:ascii="仿宋" w:hAnsi="仿宋" w:eastAsia="仿宋" w:cs="仿宋"/>
          <w:color w:val="auto"/>
          <w:sz w:val="24"/>
        </w:rPr>
        <w:t>。</w:t>
      </w:r>
    </w:p>
    <w:bookmarkEnd w:id="469"/>
    <w:bookmarkEnd w:id="470"/>
    <w:bookmarkEnd w:id="471"/>
    <w:bookmarkEnd w:id="472"/>
    <w:bookmarkEnd w:id="473"/>
    <w:bookmarkEnd w:id="474"/>
    <w:p>
      <w:pPr>
        <w:spacing w:line="560" w:lineRule="exact"/>
        <w:ind w:firstLine="482" w:firstLineChars="200"/>
        <w:outlineLvl w:val="0"/>
        <w:rPr>
          <w:rFonts w:hint="eastAsia" w:ascii="仿宋" w:hAnsi="仿宋" w:eastAsia="仿宋" w:cs="仿宋"/>
          <w:b/>
          <w:color w:val="auto"/>
          <w:sz w:val="24"/>
        </w:rPr>
      </w:pPr>
      <w:bookmarkStart w:id="475" w:name="_Ref467379923"/>
      <w:bookmarkStart w:id="476" w:name="_Ref467379852"/>
      <w:bookmarkStart w:id="477" w:name="_Toc279701248"/>
      <w:bookmarkStart w:id="478" w:name="_Toc259093677"/>
      <w:bookmarkStart w:id="479" w:name="_Ref467379863"/>
      <w:bookmarkStart w:id="480" w:name="_Toc487900358"/>
      <w:bookmarkStart w:id="481" w:name="_Toc774"/>
      <w:bookmarkStart w:id="482" w:name="_Toc3225"/>
      <w:bookmarkStart w:id="483" w:name="_Toc16110"/>
      <w:r>
        <w:rPr>
          <w:rFonts w:hint="eastAsia" w:ascii="仿宋" w:hAnsi="仿宋" w:eastAsia="仿宋" w:cs="仿宋"/>
          <w:b/>
          <w:color w:val="auto"/>
          <w:sz w:val="24"/>
        </w:rPr>
        <w:t>2.6 技术资料</w:t>
      </w:r>
      <w:bookmarkEnd w:id="475"/>
      <w:bookmarkEnd w:id="476"/>
      <w:bookmarkEnd w:id="477"/>
      <w:bookmarkEnd w:id="478"/>
      <w:bookmarkEnd w:id="479"/>
      <w:bookmarkEnd w:id="480"/>
      <w:r>
        <w:rPr>
          <w:rFonts w:hint="eastAsia" w:ascii="仿宋" w:hAnsi="仿宋" w:eastAsia="仿宋" w:cs="仿宋"/>
          <w:b/>
          <w:color w:val="auto"/>
          <w:sz w:val="24"/>
        </w:rPr>
        <w:t>和保密义务</w:t>
      </w:r>
      <w:bookmarkEnd w:id="481"/>
      <w:bookmarkEnd w:id="482"/>
      <w:bookmarkEnd w:id="48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84" w:name="_Toc7860"/>
      <w:r>
        <w:rPr>
          <w:rFonts w:hint="eastAsia" w:ascii="仿宋" w:hAnsi="仿宋" w:eastAsia="仿宋" w:cs="仿宋"/>
          <w:b/>
          <w:color w:val="auto"/>
          <w:sz w:val="24"/>
        </w:rPr>
        <w:t>2.7 质量保证</w:t>
      </w:r>
      <w:bookmarkEnd w:id="48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85" w:name="_Toc17244"/>
      <w:bookmarkStart w:id="486" w:name="_Toc487900362"/>
      <w:bookmarkStart w:id="487" w:name="_Toc279701252"/>
      <w:bookmarkStart w:id="488" w:name="_Toc259093681"/>
      <w:r>
        <w:rPr>
          <w:rFonts w:hint="eastAsia" w:ascii="仿宋" w:hAnsi="仿宋" w:eastAsia="仿宋" w:cs="仿宋"/>
          <w:b/>
          <w:color w:val="auto"/>
          <w:sz w:val="24"/>
        </w:rPr>
        <w:t>2.8 货物的风险负担</w:t>
      </w:r>
      <w:bookmarkEnd w:id="485"/>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9" w:name="_Toc14055"/>
      <w:r>
        <w:rPr>
          <w:rFonts w:hint="eastAsia" w:ascii="仿宋" w:hAnsi="仿宋" w:eastAsia="仿宋" w:cs="仿宋"/>
          <w:b/>
          <w:color w:val="auto"/>
          <w:sz w:val="24"/>
        </w:rPr>
        <w:t>2.9 延迟交货</w:t>
      </w:r>
      <w:bookmarkEnd w:id="486"/>
      <w:bookmarkEnd w:id="487"/>
      <w:bookmarkEnd w:id="488"/>
      <w:bookmarkEnd w:id="48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90" w:name="_Toc7502"/>
      <w:bookmarkStart w:id="491" w:name="_Ref467378121"/>
      <w:bookmarkStart w:id="492" w:name="_Toc259093683"/>
      <w:bookmarkStart w:id="493" w:name="_Toc279701254"/>
      <w:bookmarkStart w:id="494" w:name="_Toc487900364"/>
      <w:r>
        <w:rPr>
          <w:rFonts w:hint="eastAsia" w:ascii="仿宋" w:hAnsi="仿宋" w:eastAsia="仿宋" w:cs="仿宋"/>
          <w:b/>
          <w:color w:val="auto"/>
          <w:sz w:val="24"/>
        </w:rPr>
        <w:t>2.10 合同变更</w:t>
      </w:r>
      <w:bookmarkEnd w:id="49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pPr>
        <w:spacing w:line="560" w:lineRule="exact"/>
        <w:ind w:firstLine="482" w:firstLineChars="200"/>
        <w:outlineLvl w:val="0"/>
        <w:rPr>
          <w:rFonts w:hint="eastAsia" w:ascii="仿宋" w:hAnsi="仿宋" w:eastAsia="仿宋" w:cs="仿宋"/>
          <w:b/>
          <w:color w:val="auto"/>
          <w:sz w:val="24"/>
        </w:rPr>
      </w:pPr>
      <w:bookmarkStart w:id="498" w:name="_Toc15237"/>
      <w:bookmarkStart w:id="499" w:name="_Toc10366"/>
      <w:bookmarkStart w:id="500" w:name="_Toc22955"/>
      <w:r>
        <w:rPr>
          <w:rFonts w:hint="eastAsia" w:ascii="仿宋" w:hAnsi="仿宋" w:eastAsia="仿宋" w:cs="仿宋"/>
          <w:b/>
          <w:color w:val="auto"/>
          <w:sz w:val="24"/>
        </w:rPr>
        <w:t>2.11 合同转让</w:t>
      </w:r>
      <w:bookmarkEnd w:id="495"/>
      <w:bookmarkEnd w:id="496"/>
      <w:bookmarkEnd w:id="497"/>
      <w:r>
        <w:rPr>
          <w:rFonts w:hint="eastAsia" w:ascii="仿宋" w:hAnsi="仿宋" w:eastAsia="仿宋" w:cs="仿宋"/>
          <w:b/>
          <w:color w:val="auto"/>
          <w:sz w:val="24"/>
        </w:rPr>
        <w:t>和分包</w:t>
      </w:r>
      <w:bookmarkEnd w:id="498"/>
      <w:bookmarkEnd w:id="499"/>
      <w:bookmarkEnd w:id="50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501" w:name="_Toc14066"/>
      <w:bookmarkStart w:id="502" w:name="_Toc16508"/>
      <w:bookmarkStart w:id="503" w:name="_Toc13566"/>
      <w:r>
        <w:rPr>
          <w:rFonts w:hint="eastAsia" w:ascii="仿宋" w:hAnsi="仿宋" w:eastAsia="仿宋" w:cs="仿宋"/>
          <w:b/>
          <w:color w:val="auto"/>
          <w:sz w:val="24"/>
        </w:rPr>
        <w:t>2.12 不可抗力</w:t>
      </w:r>
      <w:bookmarkEnd w:id="501"/>
      <w:bookmarkEnd w:id="502"/>
      <w:bookmarkEnd w:id="50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04" w:name="_Toc30676"/>
      <w:bookmarkStart w:id="505" w:name="_Toc487900365"/>
      <w:bookmarkStart w:id="506" w:name="_Toc6969"/>
      <w:bookmarkStart w:id="507" w:name="_Toc279701255"/>
      <w:bookmarkStart w:id="508" w:name="_Toc259093684"/>
      <w:bookmarkStart w:id="509" w:name="_Toc689"/>
      <w:r>
        <w:rPr>
          <w:rFonts w:hint="eastAsia" w:ascii="仿宋" w:hAnsi="仿宋" w:eastAsia="仿宋" w:cs="仿宋"/>
          <w:b/>
          <w:color w:val="auto"/>
          <w:sz w:val="24"/>
        </w:rPr>
        <w:t>2.13 税费</w:t>
      </w:r>
      <w:bookmarkEnd w:id="504"/>
      <w:bookmarkEnd w:id="505"/>
      <w:bookmarkEnd w:id="506"/>
      <w:bookmarkEnd w:id="507"/>
      <w:bookmarkEnd w:id="508"/>
      <w:bookmarkEnd w:id="50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10" w:name="_Toc16959"/>
      <w:bookmarkStart w:id="511" w:name="_Toc279701258"/>
      <w:bookmarkStart w:id="512" w:name="_Toc7102"/>
      <w:bookmarkStart w:id="513" w:name="_Toc8298"/>
      <w:bookmarkStart w:id="514" w:name="_Toc259093687"/>
      <w:bookmarkStart w:id="515" w:name="_Toc487900368"/>
      <w:r>
        <w:rPr>
          <w:rFonts w:hint="eastAsia" w:ascii="仿宋" w:hAnsi="仿宋" w:eastAsia="仿宋" w:cs="仿宋"/>
          <w:b/>
          <w:color w:val="auto"/>
          <w:sz w:val="24"/>
        </w:rPr>
        <w:t>2.14乙方破产</w:t>
      </w:r>
      <w:bookmarkEnd w:id="510"/>
      <w:bookmarkEnd w:id="511"/>
      <w:bookmarkEnd w:id="512"/>
      <w:bookmarkEnd w:id="513"/>
      <w:bookmarkEnd w:id="514"/>
      <w:bookmarkEnd w:id="51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16" w:name="_Toc6134"/>
      <w:bookmarkStart w:id="517" w:name="_Toc15387"/>
      <w:bookmarkStart w:id="518" w:name="_Toc29333"/>
      <w:r>
        <w:rPr>
          <w:rFonts w:hint="eastAsia" w:ascii="仿宋" w:hAnsi="仿宋" w:eastAsia="仿宋" w:cs="仿宋"/>
          <w:b/>
          <w:color w:val="auto"/>
          <w:sz w:val="24"/>
        </w:rPr>
        <w:t>2.15 合同中止、终止</w:t>
      </w:r>
      <w:bookmarkEnd w:id="516"/>
      <w:bookmarkEnd w:id="517"/>
      <w:bookmarkEnd w:id="51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19" w:name="_Toc1125"/>
      <w:bookmarkStart w:id="520" w:name="_Toc6596"/>
      <w:bookmarkStart w:id="521" w:name="_Toc14563"/>
      <w:r>
        <w:rPr>
          <w:rFonts w:hint="eastAsia" w:ascii="仿宋" w:hAnsi="仿宋" w:eastAsia="仿宋" w:cs="仿宋"/>
          <w:b/>
          <w:color w:val="auto"/>
          <w:sz w:val="24"/>
        </w:rPr>
        <w:t>2.16检验和验收</w:t>
      </w:r>
      <w:bookmarkEnd w:id="519"/>
      <w:bookmarkEnd w:id="520"/>
      <w:bookmarkEnd w:id="521"/>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91"/>
    <w:bookmarkEnd w:id="492"/>
    <w:bookmarkEnd w:id="493"/>
    <w:bookmarkEnd w:id="494"/>
    <w:p>
      <w:pPr>
        <w:spacing w:line="560" w:lineRule="exact"/>
        <w:ind w:firstLine="482" w:firstLineChars="200"/>
        <w:outlineLvl w:val="0"/>
        <w:rPr>
          <w:rFonts w:hint="eastAsia" w:ascii="仿宋" w:hAnsi="仿宋" w:eastAsia="仿宋" w:cs="仿宋"/>
          <w:b/>
          <w:color w:val="auto"/>
          <w:sz w:val="24"/>
        </w:rPr>
      </w:pPr>
      <w:bookmarkStart w:id="522" w:name="_Toc279701261"/>
      <w:bookmarkStart w:id="523" w:name="_Toc259093690"/>
      <w:bookmarkStart w:id="524" w:name="_Toc487900371"/>
      <w:bookmarkStart w:id="525" w:name="_Toc11284"/>
      <w:bookmarkStart w:id="526" w:name="_Toc19604"/>
      <w:bookmarkStart w:id="527" w:name="_Toc25182"/>
      <w:r>
        <w:rPr>
          <w:rFonts w:hint="eastAsia" w:ascii="仿宋" w:hAnsi="仿宋" w:eastAsia="仿宋" w:cs="仿宋"/>
          <w:b/>
          <w:color w:val="auto"/>
          <w:sz w:val="24"/>
        </w:rPr>
        <w:t>2.17 通知</w:t>
      </w:r>
      <w:bookmarkEnd w:id="522"/>
      <w:bookmarkEnd w:id="523"/>
      <w:bookmarkEnd w:id="524"/>
      <w:r>
        <w:rPr>
          <w:rFonts w:hint="eastAsia" w:ascii="仿宋" w:hAnsi="仿宋" w:eastAsia="仿宋" w:cs="仿宋"/>
          <w:b/>
          <w:color w:val="auto"/>
          <w:sz w:val="24"/>
        </w:rPr>
        <w:t>和送达</w:t>
      </w:r>
      <w:bookmarkEnd w:id="525"/>
      <w:bookmarkEnd w:id="526"/>
      <w:bookmarkEnd w:id="527"/>
    </w:p>
    <w:p>
      <w:pPr>
        <w:spacing w:line="560" w:lineRule="exact"/>
        <w:ind w:firstLine="480" w:firstLineChars="200"/>
        <w:rPr>
          <w:rFonts w:hint="eastAsia" w:ascii="仿宋" w:hAnsi="仿宋" w:eastAsia="仿宋" w:cs="仿宋"/>
          <w:color w:val="auto"/>
          <w:sz w:val="24"/>
        </w:rPr>
      </w:pPr>
      <w:bookmarkStart w:id="528" w:name="_Toc6698"/>
      <w:bookmarkStart w:id="529" w:name="_Toc3135"/>
      <w:bookmarkStart w:id="530" w:name="_Toc259093691"/>
      <w:bookmarkStart w:id="531" w:name="_Toc279701262"/>
      <w:bookmarkStart w:id="532" w:name="_Toc48790037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hint="eastAsia" w:ascii="仿宋" w:hAnsi="仿宋" w:eastAsia="仿宋" w:cs="仿宋"/>
          <w:color w:val="auto"/>
          <w:sz w:val="24"/>
        </w:rPr>
      </w:pPr>
      <w:bookmarkStart w:id="533" w:name="_Toc23128"/>
      <w:bookmarkStart w:id="534"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hint="eastAsia" w:ascii="仿宋" w:hAnsi="仿宋" w:eastAsia="仿宋" w:cs="仿宋"/>
          <w:b/>
          <w:color w:val="auto"/>
          <w:sz w:val="24"/>
        </w:rPr>
      </w:pPr>
      <w:bookmarkStart w:id="535" w:name="_Toc4355"/>
      <w:bookmarkStart w:id="536" w:name="_Toc18540"/>
      <w:bookmarkStart w:id="537" w:name="_Toc30599"/>
      <w:r>
        <w:rPr>
          <w:rFonts w:hint="eastAsia" w:ascii="仿宋" w:hAnsi="仿宋" w:eastAsia="仿宋" w:cs="仿宋"/>
          <w:b/>
          <w:color w:val="auto"/>
          <w:sz w:val="24"/>
        </w:rPr>
        <w:t>2.18 计量单位</w:t>
      </w:r>
      <w:bookmarkEnd w:id="530"/>
      <w:bookmarkEnd w:id="531"/>
      <w:bookmarkEnd w:id="532"/>
      <w:bookmarkEnd w:id="535"/>
      <w:bookmarkEnd w:id="536"/>
      <w:bookmarkEnd w:id="53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38" w:name="_Toc279701263"/>
      <w:bookmarkStart w:id="539" w:name="_Toc18567"/>
      <w:bookmarkStart w:id="540" w:name="_Toc10330"/>
      <w:bookmarkStart w:id="541" w:name="_Toc259093692"/>
      <w:bookmarkStart w:id="542" w:name="_Toc12773"/>
      <w:bookmarkStart w:id="543" w:name="_Toc487900373"/>
      <w:r>
        <w:rPr>
          <w:rFonts w:hint="eastAsia" w:ascii="仿宋" w:hAnsi="仿宋" w:eastAsia="仿宋" w:cs="仿宋"/>
          <w:b/>
          <w:color w:val="auto"/>
          <w:sz w:val="24"/>
        </w:rPr>
        <w:t>2.19 合同使用的文字和适用的法律</w:t>
      </w:r>
      <w:bookmarkEnd w:id="538"/>
      <w:bookmarkEnd w:id="539"/>
      <w:bookmarkEnd w:id="540"/>
      <w:bookmarkEnd w:id="541"/>
      <w:bookmarkEnd w:id="542"/>
      <w:bookmarkEnd w:id="54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44" w:name="_Toc14001"/>
      <w:bookmarkStart w:id="545" w:name="_Toc19890"/>
      <w:bookmarkStart w:id="546" w:name="_Toc6885"/>
      <w:r>
        <w:rPr>
          <w:rFonts w:hint="eastAsia" w:ascii="仿宋" w:hAnsi="仿宋" w:eastAsia="仿宋" w:cs="仿宋"/>
          <w:b/>
          <w:color w:val="auto"/>
          <w:sz w:val="24"/>
        </w:rPr>
        <w:t>2.20 合同份数</w:t>
      </w:r>
      <w:bookmarkEnd w:id="544"/>
      <w:bookmarkEnd w:id="545"/>
      <w:bookmarkEnd w:id="54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adjustRightInd/>
        <w:spacing w:line="360" w:lineRule="auto"/>
        <w:ind w:firstLine="2513" w:firstLineChars="1197"/>
        <w:outlineLvl w:val="0"/>
        <w:rPr>
          <w:rFonts w:hint="eastAsia" w:ascii="仿宋" w:hAnsi="仿宋" w:eastAsia="仿宋" w:cs="仿宋"/>
          <w:b/>
          <w:color w:val="auto"/>
        </w:rPr>
      </w:pPr>
      <w:r>
        <w:rPr>
          <w:rFonts w:hint="eastAsia" w:ascii="仿宋" w:hAnsi="仿宋" w:eastAsia="仿宋" w:cs="仿宋"/>
          <w:color w:val="auto"/>
          <w:kern w:val="0"/>
        </w:rPr>
        <w:br w:type="page"/>
      </w:r>
      <w:r>
        <w:rPr>
          <w:rFonts w:hint="eastAsia" w:ascii="仿宋" w:hAnsi="仿宋" w:eastAsia="仿宋" w:cs="仿宋"/>
          <w:b/>
          <w:color w:val="auto"/>
          <w:sz w:val="32"/>
          <w:szCs w:val="20"/>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534"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1.5.2 </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1.8.6</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4534" w:type="pct"/>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453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2.20 </w:t>
            </w:r>
          </w:p>
        </w:tc>
        <w:tc>
          <w:tcPr>
            <w:tcW w:w="4534" w:type="pct"/>
            <w:vAlign w:val="center"/>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color w:val="auto"/>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widowControl/>
        <w:adjustRightInd/>
        <w:spacing w:line="48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6"/>
      <w:r>
        <w:rPr>
          <w:rFonts w:hint="eastAsia" w:ascii="仿宋" w:hAnsi="仿宋" w:eastAsia="仿宋" w:cs="仿宋"/>
          <w:b/>
          <w:color w:val="auto"/>
          <w:sz w:val="36"/>
          <w:szCs w:val="20"/>
        </w:rPr>
        <w:t xml:space="preserve"> </w:t>
      </w:r>
      <w:bookmarkEnd w:id="397"/>
      <w:r>
        <w:rPr>
          <w:rFonts w:hint="eastAsia" w:ascii="仿宋" w:hAnsi="仿宋" w:eastAsia="仿宋" w:cs="仿宋"/>
          <w:b/>
          <w:color w:val="auto"/>
          <w:sz w:val="36"/>
          <w:szCs w:val="20"/>
        </w:rPr>
        <w:t>应提交的有关格式范例</w:t>
      </w: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48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48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48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】政府采购活动，郑重承诺：</w:t>
      </w:r>
    </w:p>
    <w:p>
      <w:pPr>
        <w:snapToGrid w:val="0"/>
        <w:spacing w:line="48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48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pStyle w:val="3"/>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w:t>
      </w:r>
    </w:p>
    <w:p>
      <w:pPr>
        <w:snapToGrid w:val="0"/>
        <w:spacing w:before="50" w:after="50" w:line="360" w:lineRule="auto"/>
        <w:jc w:val="left"/>
        <w:rPr>
          <w:rFonts w:hint="eastAsia" w:ascii="仿宋" w:hAnsi="仿宋" w:eastAsia="仿宋" w:cs="仿宋"/>
          <w:b/>
          <w:color w:val="auto"/>
          <w:sz w:val="24"/>
        </w:rPr>
      </w:pP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.专门面向中小企业，货物全部由符合政策要求的中小企业（或小微企业）制造的，提供相应的中小企业声明函（附件7）。</w:t>
      </w:r>
      <w:r>
        <w:rPr>
          <w:rFonts w:hint="eastAsia" w:ascii="宋体" w:hAnsi="宋体" w:cs="宋体"/>
          <w:color w:val="auto"/>
          <w:sz w:val="24"/>
        </w:rPr>
        <w:t xml:space="preserve"> </w:t>
      </w:r>
      <w:r>
        <w:rPr>
          <w:rFonts w:hint="eastAsia" w:ascii="仿宋" w:hAnsi="仿宋" w:eastAsia="仿宋" w:cs="仿宋"/>
          <w:color w:val="auto"/>
          <w:sz w:val="24"/>
        </w:rPr>
        <w:t xml:space="preserve"> </w:t>
      </w:r>
      <w:r>
        <w:rPr>
          <w:rFonts w:hint="eastAsia" w:ascii="微软雅黑" w:hAnsi="微软雅黑" w:eastAsia="微软雅黑" w:cs="微软雅黑"/>
          <w:color w:val="auto"/>
          <w:sz w:val="24"/>
        </w:rPr>
        <w:t>★</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本项目必须提供，否则作无效投标）</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p>
    <w:p>
      <w:pPr>
        <w:spacing w:line="48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480" w:lineRule="auto"/>
        <w:jc w:val="center"/>
        <w:outlineLvl w:val="0"/>
        <w:rPr>
          <w:rFonts w:hint="eastAsia" w:ascii="仿宋" w:hAnsi="仿宋" w:eastAsia="仿宋" w:cs="仿宋"/>
          <w:b/>
          <w:color w:val="auto"/>
          <w:kern w:val="0"/>
          <w:sz w:val="24"/>
        </w:rPr>
      </w:pPr>
    </w:p>
    <w:p>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48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1"/>
          <w:szCs w:val="21"/>
          <w:highlight w:val="none"/>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pPr>
        <w:pStyle w:val="3"/>
        <w:rPr>
          <w:rFonts w:hint="eastAsia" w:ascii="仿宋" w:hAnsi="仿宋" w:eastAsia="仿宋" w:cs="仿宋"/>
          <w:color w:val="auto"/>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47" w:name="_Hlk101257010"/>
      <w:r>
        <w:rPr>
          <w:rFonts w:hint="eastAsia" w:ascii="仿宋" w:hAnsi="仿宋" w:eastAsia="仿宋" w:cs="仿宋"/>
          <w:color w:val="auto"/>
          <w:sz w:val="24"/>
        </w:rPr>
        <w:t>（如果有)</w:t>
      </w:r>
      <w:bookmarkEnd w:id="547"/>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420" w:leftChars="200" w:firstLine="480" w:firstLineChars="200"/>
        <w:rPr>
          <w:rFonts w:hint="default" w:eastAsia="仿宋"/>
          <w:color w:val="auto"/>
          <w:lang w:val="en-US" w:eastAsia="zh-CN"/>
        </w:rPr>
      </w:pPr>
      <w:r>
        <w:rPr>
          <w:rFonts w:hint="eastAsia" w:ascii="仿宋" w:hAnsi="仿宋" w:eastAsia="仿宋" w:cs="仿宋"/>
          <w:color w:val="auto"/>
          <w:sz w:val="24"/>
          <w:lang w:val="en-US" w:eastAsia="zh-CN"/>
        </w:rPr>
        <w:t>2.2.9</w:t>
      </w:r>
      <w:r>
        <w:rPr>
          <w:rFonts w:hint="eastAsia" w:ascii="仿宋" w:hAnsi="仿宋" w:eastAsia="仿宋" w:cs="仿宋"/>
          <w:b w:val="0"/>
          <w:bCs w:val="0"/>
          <w:color w:val="auto"/>
          <w:kern w:val="2"/>
          <w:sz w:val="24"/>
          <w:szCs w:val="24"/>
          <w:lang w:val="en-US" w:eastAsia="zh-CN" w:bidi="ar-SA"/>
        </w:rPr>
        <w:t>政府采购活动现场确认声明书；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3"/>
        <w:rPr>
          <w:rFonts w:hint="eastAsia" w:ascii="仿宋" w:hAnsi="仿宋" w:eastAsia="仿宋" w:cs="仿宋"/>
          <w:color w:val="auto"/>
          <w:lang w:val="en-US"/>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7"/>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p>
    <w:p>
      <w:pPr>
        <w:snapToGrid w:val="0"/>
        <w:spacing w:line="48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48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pStyle w:val="3"/>
        <w:rPr>
          <w:rFonts w:hint="eastAsia"/>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both"/>
              <w:rPr>
                <w:rFonts w:hint="eastAsia" w:ascii="仿宋" w:hAnsi="仿宋" w:eastAsia="仿宋" w:cs="仿宋"/>
                <w:color w:val="auto"/>
                <w:sz w:val="24"/>
              </w:rPr>
            </w:pPr>
          </w:p>
          <w:p>
            <w:pPr>
              <w:jc w:val="both"/>
              <w:rPr>
                <w:rFonts w:hint="eastAsia" w:ascii="仿宋" w:hAnsi="仿宋" w:eastAsia="仿宋" w:cs="仿宋"/>
                <w:color w:val="auto"/>
                <w:sz w:val="24"/>
              </w:rPr>
            </w:pPr>
            <w:r>
              <w:rPr>
                <w:rFonts w:hint="eastAsia" w:ascii="仿宋" w:hAnsi="仿宋" w:eastAsia="仿宋" w:cs="仿宋"/>
                <w:color w:val="auto"/>
                <w:sz w:val="24"/>
              </w:rPr>
              <w:t>见投标文件</w:t>
            </w:r>
          </w:p>
          <w:p>
            <w:pPr>
              <w:jc w:val="both"/>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spacing w:line="48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48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投标标的清单</w:t>
      </w:r>
    </w:p>
    <w:p>
      <w:pPr>
        <w:pStyle w:val="3"/>
        <w:numPr>
          <w:ilvl w:val="0"/>
          <w:numId w:val="0"/>
        </w:numPr>
        <w:ind w:leftChars="0"/>
        <w:rPr>
          <w:rFonts w:hint="eastAsia"/>
          <w:color w:val="auto"/>
        </w:rPr>
      </w:pP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369"/>
        <w:gridCol w:w="1114"/>
        <w:gridCol w:w="1260"/>
        <w:gridCol w:w="277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p>
      <w:pPr>
        <w:pStyle w:val="3"/>
        <w:numPr>
          <w:ilvl w:val="0"/>
          <w:numId w:val="0"/>
        </w:numPr>
        <w:ind w:leftChars="900"/>
        <w:rPr>
          <w:rFonts w:hint="eastAsia"/>
          <w:color w:val="auto"/>
        </w:rPr>
      </w:pPr>
    </w:p>
    <w:tbl>
      <w:tblPr>
        <w:tblStyle w:val="63"/>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683"/>
        <w:gridCol w:w="35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345"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345"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b/>
          <w:bCs/>
          <w:color w:val="auto"/>
          <w:sz w:val="32"/>
          <w:szCs w:val="32"/>
        </w:rPr>
      </w:pPr>
      <w:r>
        <w:rPr>
          <w:rFonts w:hint="eastAsia" w:ascii="仿宋" w:hAnsi="仿宋" w:eastAsia="仿宋" w:cs="仿宋"/>
          <w:color w:val="auto"/>
          <w:sz w:val="24"/>
        </w:rPr>
        <w:t>注：按本格式和要求提供。</w:t>
      </w: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3"/>
        <w:rPr>
          <w:rFonts w:hint="eastAsia" w:ascii="仿宋" w:hAnsi="仿宋" w:eastAsia="仿宋" w:cs="仿宋"/>
          <w:b/>
          <w:bCs/>
          <w:color w:val="auto"/>
          <w:sz w:val="24"/>
        </w:rPr>
      </w:pPr>
    </w:p>
    <w:p>
      <w:pPr>
        <w:pStyle w:val="3"/>
        <w:ind w:left="0" w:leftChars="0" w:firstLine="0" w:firstLineChars="0"/>
        <w:rPr>
          <w:rFonts w:hint="eastAsia" w:ascii="仿宋" w:hAnsi="仿宋" w:eastAsia="仿宋" w:cs="仿宋"/>
          <w:b/>
          <w:bCs/>
          <w:color w:val="auto"/>
          <w:sz w:val="24"/>
          <w:lang w:val="en-US" w:eastAsia="zh-CN"/>
        </w:rPr>
      </w:pPr>
    </w:p>
    <w:p>
      <w:pPr>
        <w:rPr>
          <w:rFonts w:hint="eastAsia" w:ascii="仿宋" w:hAnsi="仿宋" w:eastAsia="仿宋" w:cs="仿宋"/>
          <w:color w:val="auto"/>
          <w:lang w:val="en-US" w:eastAsia="zh-CN"/>
        </w:rPr>
      </w:pPr>
    </w:p>
    <w:p>
      <w:pPr>
        <w:pStyle w:val="963"/>
        <w:numPr>
          <w:ilvl w:val="0"/>
          <w:numId w:val="0"/>
        </w:numPr>
        <w:snapToGrid w:val="0"/>
        <w:spacing w:before="120" w:after="120"/>
        <w:jc w:val="both"/>
        <w:rPr>
          <w:rFonts w:hint="eastAsia" w:ascii="仿宋" w:hAnsi="仿宋" w:eastAsia="仿宋" w:cs="仿宋"/>
          <w:b/>
          <w:color w:val="auto"/>
          <w:sz w:val="28"/>
          <w:szCs w:val="28"/>
          <w:highlight w:val="none"/>
        </w:rPr>
      </w:pPr>
    </w:p>
    <w:p>
      <w:pPr>
        <w:pStyle w:val="963"/>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pPr>
        <w:pStyle w:val="963"/>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pPr>
        <w:pStyle w:val="963"/>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pPr>
        <w:pStyle w:val="963"/>
        <w:snapToGrid w:val="0"/>
        <w:spacing w:before="120" w:after="120"/>
        <w:jc w:val="center"/>
        <w:rPr>
          <w:rFonts w:hint="eastAsia" w:ascii="仿宋" w:hAnsi="仿宋" w:eastAsia="仿宋" w:cs="仿宋"/>
          <w:b/>
          <w:color w:val="auto"/>
          <w:sz w:val="32"/>
          <w:szCs w:val="32"/>
          <w:highlight w:val="none"/>
        </w:rPr>
      </w:pPr>
    </w:p>
    <w:p>
      <w:pPr>
        <w:pStyle w:val="963"/>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963"/>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963"/>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964"/>
        <w:widowControl/>
        <w:numPr>
          <w:ilvl w:val="0"/>
          <w:numId w:val="5"/>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964"/>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963"/>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963"/>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963"/>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964"/>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pPr>
        <w:pStyle w:val="964"/>
        <w:widowControl/>
        <w:numPr>
          <w:ilvl w:val="0"/>
          <w:numId w:val="6"/>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pPr>
        <w:pStyle w:val="963"/>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pPr>
        <w:pStyle w:val="963"/>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pPr>
        <w:rPr>
          <w:rFonts w:hint="eastAsia" w:ascii="仿宋" w:hAnsi="仿宋" w:eastAsia="仿宋" w:cs="仿宋"/>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48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杭州市公安局临平区分局</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5"/>
        <w:gridCol w:w="2287"/>
        <w:gridCol w:w="1450"/>
        <w:gridCol w:w="2288"/>
        <w:gridCol w:w="2750"/>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065"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8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450" w:type="dxa"/>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单位</w:t>
            </w:r>
          </w:p>
        </w:tc>
        <w:tc>
          <w:tcPr>
            <w:tcW w:w="228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275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2477"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06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zh-CN" w:eastAsia="zh-CN"/>
              </w:rPr>
              <w:t>吗啡</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eastAsia="zh-CN"/>
              </w:rPr>
              <w:t>甲基安非他明</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eastAsia="zh-CN"/>
              </w:rPr>
              <w:t>氯胺酮</w:t>
            </w:r>
            <w:r>
              <w:rPr>
                <w:rFonts w:hint="eastAsia" w:ascii="仿宋" w:hAnsi="仿宋" w:eastAsia="仿宋" w:cs="仿宋"/>
                <w:color w:val="auto"/>
                <w:sz w:val="24"/>
                <w:lang w:val="en-US" w:eastAsia="zh-CN"/>
              </w:rPr>
              <w:t>三合一</w:t>
            </w:r>
            <w:r>
              <w:rPr>
                <w:rFonts w:hint="eastAsia" w:ascii="仿宋" w:hAnsi="仿宋" w:eastAsia="仿宋" w:cs="仿宋"/>
                <w:color w:val="auto"/>
                <w:sz w:val="24"/>
                <w:lang w:val="zh-CN" w:eastAsia="zh-CN"/>
              </w:rPr>
              <w:t>毛发荧光初筛检测试剂</w:t>
            </w:r>
          </w:p>
        </w:tc>
        <w:tc>
          <w:tcPr>
            <w:tcW w:w="2287" w:type="dxa"/>
            <w:vAlign w:val="center"/>
          </w:tcPr>
          <w:p>
            <w:pPr>
              <w:snapToGrid w:val="0"/>
              <w:spacing w:line="360" w:lineRule="auto"/>
              <w:jc w:val="center"/>
              <w:rPr>
                <w:rFonts w:hint="eastAsia" w:ascii="仿宋" w:hAnsi="仿宋" w:eastAsia="仿宋" w:cs="仿宋"/>
                <w:color w:val="auto"/>
                <w:sz w:val="24"/>
              </w:rPr>
            </w:pPr>
          </w:p>
        </w:tc>
        <w:tc>
          <w:tcPr>
            <w:tcW w:w="1450" w:type="dxa"/>
            <w:vAlign w:val="center"/>
          </w:tcPr>
          <w:p>
            <w:pPr>
              <w:snapToGrid w:val="0"/>
              <w:spacing w:line="360" w:lineRule="auto"/>
              <w:jc w:val="center"/>
              <w:rPr>
                <w:rFonts w:hint="eastAsia" w:ascii="仿宋" w:hAnsi="仿宋" w:eastAsia="仿宋" w:cs="仿宋"/>
                <w:color w:val="auto"/>
                <w:sz w:val="24"/>
              </w:rPr>
            </w:pPr>
            <w:r>
              <w:rPr>
                <w:rFonts w:hint="eastAsia" w:ascii="宋体" w:hAnsi="宋体" w:eastAsia="宋体" w:cs="宋体"/>
                <w:snapToGrid w:val="0"/>
                <w:color w:val="auto"/>
                <w:kern w:val="2"/>
                <w:sz w:val="24"/>
                <w:szCs w:val="24"/>
                <w:highlight w:val="none"/>
                <w:lang w:val="zh-CN" w:eastAsia="zh-CN" w:bidi="ar-SA"/>
              </w:rPr>
              <w:t>元/人份</w:t>
            </w:r>
          </w:p>
        </w:tc>
        <w:tc>
          <w:tcPr>
            <w:tcW w:w="2288" w:type="dxa"/>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750" w:type="dxa"/>
            <w:vAlign w:val="center"/>
          </w:tcPr>
          <w:p>
            <w:pPr>
              <w:spacing w:line="360" w:lineRule="auto"/>
              <w:jc w:val="center"/>
              <w:rPr>
                <w:rFonts w:hint="eastAsia" w:ascii="仿宋" w:hAnsi="仿宋" w:eastAsia="仿宋" w:cs="仿宋"/>
                <w:color w:val="auto"/>
                <w:sz w:val="24"/>
              </w:rPr>
            </w:pPr>
          </w:p>
        </w:tc>
        <w:tc>
          <w:tcPr>
            <w:tcW w:w="247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06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四氢大麻酚毛发荧光初筛检测试剂</w:t>
            </w:r>
          </w:p>
        </w:tc>
        <w:tc>
          <w:tcPr>
            <w:tcW w:w="2287" w:type="dxa"/>
            <w:vAlign w:val="center"/>
          </w:tcPr>
          <w:p>
            <w:pPr>
              <w:snapToGrid w:val="0"/>
              <w:spacing w:line="360" w:lineRule="auto"/>
              <w:jc w:val="center"/>
              <w:rPr>
                <w:rFonts w:hint="eastAsia" w:ascii="仿宋" w:hAnsi="仿宋" w:eastAsia="仿宋" w:cs="仿宋"/>
                <w:color w:val="auto"/>
                <w:sz w:val="24"/>
              </w:rPr>
            </w:pPr>
          </w:p>
        </w:tc>
        <w:tc>
          <w:tcPr>
            <w:tcW w:w="1450" w:type="dxa"/>
            <w:vAlign w:val="center"/>
          </w:tcPr>
          <w:p>
            <w:pPr>
              <w:snapToGrid w:val="0"/>
              <w:spacing w:line="360" w:lineRule="auto"/>
              <w:jc w:val="center"/>
              <w:rPr>
                <w:rFonts w:hint="eastAsia" w:ascii="仿宋" w:hAnsi="仿宋" w:eastAsia="仿宋" w:cs="仿宋"/>
                <w:color w:val="auto"/>
                <w:sz w:val="24"/>
              </w:rPr>
            </w:pPr>
            <w:r>
              <w:rPr>
                <w:rFonts w:hint="eastAsia" w:ascii="宋体" w:hAnsi="宋体" w:eastAsia="宋体" w:cs="宋体"/>
                <w:snapToGrid w:val="0"/>
                <w:color w:val="auto"/>
                <w:kern w:val="2"/>
                <w:sz w:val="24"/>
                <w:szCs w:val="24"/>
                <w:highlight w:val="none"/>
                <w:lang w:val="zh-CN" w:eastAsia="zh-CN" w:bidi="ar-SA"/>
              </w:rPr>
              <w:t>元/人份</w:t>
            </w:r>
          </w:p>
        </w:tc>
        <w:tc>
          <w:tcPr>
            <w:tcW w:w="2288" w:type="dxa"/>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750" w:type="dxa"/>
            <w:vAlign w:val="center"/>
          </w:tcPr>
          <w:p>
            <w:pPr>
              <w:spacing w:line="360" w:lineRule="auto"/>
              <w:jc w:val="center"/>
              <w:rPr>
                <w:rFonts w:hint="eastAsia" w:ascii="仿宋" w:hAnsi="仿宋" w:eastAsia="仿宋" w:cs="仿宋"/>
                <w:color w:val="auto"/>
                <w:sz w:val="24"/>
              </w:rPr>
            </w:pPr>
          </w:p>
        </w:tc>
        <w:tc>
          <w:tcPr>
            <w:tcW w:w="247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Align w:val="center"/>
          </w:tcPr>
          <w:p>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306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依托咪酯毛发荧光检测试剂</w:t>
            </w:r>
          </w:p>
        </w:tc>
        <w:tc>
          <w:tcPr>
            <w:tcW w:w="2287" w:type="dxa"/>
            <w:vAlign w:val="center"/>
          </w:tcPr>
          <w:p>
            <w:pPr>
              <w:snapToGrid w:val="0"/>
              <w:spacing w:line="360" w:lineRule="auto"/>
              <w:jc w:val="center"/>
              <w:rPr>
                <w:rFonts w:hint="eastAsia" w:ascii="仿宋" w:hAnsi="仿宋" w:eastAsia="仿宋" w:cs="仿宋"/>
                <w:color w:val="auto"/>
                <w:sz w:val="24"/>
              </w:rPr>
            </w:pPr>
          </w:p>
        </w:tc>
        <w:tc>
          <w:tcPr>
            <w:tcW w:w="1450" w:type="dxa"/>
            <w:vAlign w:val="center"/>
          </w:tcPr>
          <w:p>
            <w:pPr>
              <w:snapToGrid w:val="0"/>
              <w:spacing w:line="360" w:lineRule="auto"/>
              <w:jc w:val="center"/>
              <w:rPr>
                <w:rFonts w:hint="eastAsia" w:ascii="仿宋" w:hAnsi="仿宋" w:eastAsia="仿宋" w:cs="仿宋"/>
                <w:color w:val="auto"/>
                <w:sz w:val="24"/>
              </w:rPr>
            </w:pPr>
            <w:r>
              <w:rPr>
                <w:rFonts w:hint="eastAsia" w:ascii="宋体" w:hAnsi="宋体" w:eastAsia="宋体" w:cs="宋体"/>
                <w:snapToGrid w:val="0"/>
                <w:color w:val="auto"/>
                <w:kern w:val="2"/>
                <w:sz w:val="24"/>
                <w:szCs w:val="24"/>
                <w:highlight w:val="none"/>
                <w:lang w:val="zh-CN" w:eastAsia="zh-CN" w:bidi="ar-SA"/>
              </w:rPr>
              <w:t>元/人份</w:t>
            </w:r>
          </w:p>
        </w:tc>
        <w:tc>
          <w:tcPr>
            <w:tcW w:w="2288" w:type="dxa"/>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750" w:type="dxa"/>
            <w:vAlign w:val="center"/>
          </w:tcPr>
          <w:p>
            <w:pPr>
              <w:spacing w:line="360" w:lineRule="auto"/>
              <w:jc w:val="center"/>
              <w:rPr>
                <w:rFonts w:hint="eastAsia" w:ascii="仿宋" w:hAnsi="仿宋" w:eastAsia="仿宋" w:cs="仿宋"/>
                <w:color w:val="auto"/>
                <w:sz w:val="24"/>
              </w:rPr>
            </w:pPr>
          </w:p>
        </w:tc>
        <w:tc>
          <w:tcPr>
            <w:tcW w:w="2477"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19"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515" w:type="dxa"/>
            <w:gridSpan w:val="3"/>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19"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515" w:type="dxa"/>
            <w:gridSpan w:val="3"/>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61" w:firstLineChars="50"/>
        <w:jc w:val="center"/>
        <w:rPr>
          <w:rFonts w:hint="eastAsia" w:ascii="仿宋" w:hAnsi="仿宋" w:eastAsia="仿宋" w:cs="仿宋"/>
          <w:b/>
          <w:bCs/>
          <w:color w:val="auto"/>
          <w:sz w:val="24"/>
        </w:rPr>
      </w:pPr>
      <w:r>
        <w:rPr>
          <w:rFonts w:hint="eastAsia" w:ascii="仿宋" w:hAnsi="仿宋" w:eastAsia="仿宋" w:cs="仿宋"/>
          <w:b/>
          <w:bCs/>
          <w:color w:val="auto"/>
          <w:kern w:val="2"/>
          <w:sz w:val="32"/>
          <w:szCs w:val="32"/>
        </w:rPr>
        <w:t>二、</w:t>
      </w:r>
      <w:r>
        <w:rPr>
          <w:rFonts w:hint="eastAsia" w:ascii="仿宋" w:hAnsi="仿宋" w:eastAsia="仿宋" w:cs="仿宋"/>
          <w:b/>
          <w:bCs/>
          <w:color w:val="auto"/>
          <w:sz w:val="32"/>
          <w:szCs w:val="32"/>
        </w:rPr>
        <w:t>中小企业声明函</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格式详见附件7</w:t>
      </w:r>
      <w:r>
        <w:rPr>
          <w:rFonts w:hint="eastAsia" w:ascii="仿宋" w:hAnsi="仿宋" w:eastAsia="仿宋" w:cs="仿宋"/>
          <w:b w:val="0"/>
          <w:color w:val="auto"/>
          <w:sz w:val="32"/>
          <w:szCs w:val="32"/>
          <w:lang w:eastAsia="zh-CN"/>
        </w:rPr>
        <w:t>）</w:t>
      </w: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48" w:name="OLE_LINK14"/>
      <w:bookmarkStart w:id="549" w:name="OLE_LINK13"/>
      <w:r>
        <w:rPr>
          <w:rFonts w:hint="eastAsia" w:ascii="仿宋" w:hAnsi="仿宋" w:eastAsia="仿宋" w:cs="仿宋"/>
          <w:b/>
          <w:color w:val="auto"/>
          <w:spacing w:val="6"/>
          <w:sz w:val="32"/>
          <w:szCs w:val="32"/>
        </w:rPr>
        <w:t>残疾人福利性单位声明函</w:t>
      </w:r>
    </w:p>
    <w:bookmarkEnd w:id="548"/>
    <w:bookmarkEnd w:id="549"/>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杭州市公安局临平区分局2024年涉案人员等毛发毒品含量初筛检测委托服务项目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杭州天坤建设咨询有限公司</w:t>
      </w:r>
      <w:r>
        <w:rPr>
          <w:rFonts w:hint="eastAsia" w:ascii="仿宋" w:hAnsi="仿宋" w:eastAsia="仿宋" w:cs="仿宋"/>
          <w:color w:val="auto"/>
          <w:sz w:val="24"/>
          <w:u w:val="single"/>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50" w:name="_Hlk101131882"/>
      <w:r>
        <w:rPr>
          <w:rFonts w:hint="eastAsia" w:ascii="仿宋" w:hAnsi="仿宋" w:eastAsia="仿宋" w:cs="仿宋"/>
          <w:color w:val="auto"/>
          <w:kern w:val="0"/>
          <w:sz w:val="24"/>
          <w:u w:val="single"/>
        </w:rPr>
        <w:t>联合体成员X,……</w:t>
      </w:r>
      <w:bookmarkEnd w:id="550"/>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51"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51"/>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52"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52"/>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spacing w:val="6"/>
          <w:sz w:val="32"/>
          <w:szCs w:val="32"/>
        </w:rPr>
      </w:pPr>
    </w:p>
    <w:p>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杭州市公安局临平区分局2024年涉案人员等毛发毒品含量初筛检测委托服务项目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TKZXCG-2024-029</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pacing w:line="360" w:lineRule="auto"/>
        <w:jc w:val="left"/>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pPr>
        <w:spacing w:line="360" w:lineRule="auto"/>
        <w:jc w:val="center"/>
        <w:rPr>
          <w:rFonts w:hint="eastAsia" w:ascii="仿宋" w:hAnsi="仿宋" w:eastAsia="仿宋" w:cs="仿宋"/>
          <w:color w:val="auto"/>
          <w:sz w:val="24"/>
          <w:u w:val="single"/>
        </w:rPr>
      </w:pPr>
    </w:p>
    <w:p>
      <w:pPr>
        <w:spacing w:line="48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杭州市公安局临平区分局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的 </w:t>
      </w:r>
      <w:r>
        <w:rPr>
          <w:rFonts w:hint="eastAsia" w:ascii="仿宋" w:hAnsi="仿宋" w:eastAsia="仿宋" w:cs="仿宋"/>
          <w:color w:val="auto"/>
          <w:sz w:val="24"/>
          <w:u w:val="single"/>
          <w:lang w:eastAsia="zh-CN"/>
        </w:rPr>
        <w:t>杭州市公安局临平区分局2024年涉案人员等毛发毒品含量初筛检测委托服务项目</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48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48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8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p>
      <w:pPr>
        <w:pStyle w:val="3"/>
        <w:rPr>
          <w:rFonts w:hint="eastAsia" w:ascii="仿宋" w:hAnsi="仿宋" w:eastAsia="仿宋" w:cs="仿宋"/>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ascii="仿宋" w:hAnsi="仿宋" w:eastAsia="仿宋" w:cs="仿宋"/>
          <w:color w:val="auto"/>
        </w:rPr>
        <w:sectPr>
          <w:pgSz w:w="16838" w:h="11906" w:orient="landscape"/>
          <w:pgMar w:top="1418" w:right="1276" w:bottom="1418" w:left="1247" w:header="851" w:footer="992" w:gutter="0"/>
          <w:cols w:space="720" w:num="1"/>
          <w:titlePg/>
          <w:docGrid w:linePitch="312" w:charSpace="0"/>
        </w:sectPr>
      </w:pPr>
    </w:p>
    <w:p>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附件8（中标后提供）：</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pP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杭州天坤建设咨询有限公司 </w:t>
      </w:r>
      <w:r>
        <w:rPr>
          <w:rFonts w:hint="eastAsia" w:ascii="仿宋" w:hAnsi="仿宋" w:eastAsia="仿宋" w:cs="仿宋"/>
          <w:color w:val="auto"/>
          <w:sz w:val="30"/>
          <w:szCs w:val="30"/>
          <w:highlight w:val="none"/>
        </w:rPr>
        <w:t>：</w:t>
      </w:r>
    </w:p>
    <w:p>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杭州市公安局临平区分局2024年涉案人员等毛发毒品含量初筛检测委托服务项目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pPr>
        <w:spacing w:line="780" w:lineRule="exact"/>
        <w:ind w:firstLine="450" w:firstLineChars="150"/>
        <w:rPr>
          <w:rFonts w:hint="eastAsia" w:ascii="仿宋" w:hAnsi="仿宋" w:eastAsia="仿宋" w:cs="仿宋"/>
          <w:color w:val="auto"/>
          <w:sz w:val="30"/>
          <w:szCs w:val="30"/>
          <w:highlight w:val="none"/>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rPr>
          <w:rFonts w:hint="eastAsia" w:ascii="仿宋" w:hAnsi="仿宋" w:eastAsia="仿宋" w:cs="仿宋"/>
          <w:color w:val="auto"/>
          <w:sz w:val="30"/>
          <w:szCs w:val="30"/>
          <w:highlight w:val="none"/>
        </w:rPr>
      </w:pPr>
    </w:p>
    <w:p>
      <w:pPr>
        <w:spacing w:line="360" w:lineRule="auto"/>
        <w:rPr>
          <w:rFonts w:hint="eastAsia" w:ascii="仿宋" w:hAnsi="仿宋" w:eastAsia="仿宋" w:cs="仿宋"/>
          <w:bCs/>
          <w:color w:val="auto"/>
          <w:sz w:val="24"/>
          <w:highlight w:val="none"/>
        </w:rPr>
      </w:pPr>
    </w:p>
    <w:p>
      <w:pPr>
        <w:pStyle w:val="3"/>
        <w:rPr>
          <w:rFonts w:hint="eastAsia" w:ascii="仿宋" w:hAnsi="仿宋" w:eastAsia="仿宋" w:cs="仿宋"/>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4" name="图片 14"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szCs w:val="24"/>
      </w:rPr>
    </w:pPr>
    <w:r>
      <w:rPr>
        <w:sz w:val="18"/>
      </w:rPr>
      <w:drawing>
        <wp:inline distT="0" distB="0" distL="114300" distR="114300">
          <wp:extent cx="1943735" cy="170180"/>
          <wp:effectExtent l="0" t="0" r="18415" b="1270"/>
          <wp:docPr id="15" name="图片 15"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3" name="图片 13"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3" w:name="_Toc36110187"/>
    <w:bookmarkStart w:id="554" w:name="_Toc91899912"/>
    <w:bookmarkStart w:id="555" w:name="_Toc131845147"/>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8" name="图片 8"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7" name="图片 7"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10" name="图片 10"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9" name="图片 9"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sz w:val="18"/>
      </w:rPr>
      <w:drawing>
        <wp:inline distT="0" distB="0" distL="114300" distR="114300">
          <wp:extent cx="1943735" cy="170180"/>
          <wp:effectExtent l="0" t="0" r="18415" b="1270"/>
          <wp:docPr id="12" name="图片 1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r>
      <w:rPr>
        <w:sz w:val="18"/>
      </w:rPr>
      <w:drawing>
        <wp:inline distT="0" distB="0" distL="114300" distR="114300">
          <wp:extent cx="1943735" cy="170180"/>
          <wp:effectExtent l="0" t="0" r="18415" b="1270"/>
          <wp:docPr id="11" name="图片 1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28B44"/>
    <w:multiLevelType w:val="singleLevel"/>
    <w:tmpl w:val="9BE28B44"/>
    <w:lvl w:ilvl="0" w:tentative="0">
      <w:start w:val="1"/>
      <w:numFmt w:val="decimal"/>
      <w:suff w:val="space"/>
      <w:lvlText w:val="%1."/>
      <w:lvlJc w:val="left"/>
    </w:lvl>
  </w:abstractNum>
  <w:abstractNum w:abstractNumId="1">
    <w:nsid w:val="CB2707B1"/>
    <w:multiLevelType w:val="singleLevel"/>
    <w:tmpl w:val="CB2707B1"/>
    <w:lvl w:ilvl="0" w:tentative="0">
      <w:start w:val="3"/>
      <w:numFmt w:val="decimal"/>
      <w:suff w:val="nothing"/>
      <w:lvlText w:val="（%1）"/>
      <w:lvlJc w:val="left"/>
    </w:lvl>
  </w:abstractNum>
  <w:abstractNum w:abstractNumId="2">
    <w:nsid w:val="E1C45B52"/>
    <w:multiLevelType w:val="singleLevel"/>
    <w:tmpl w:val="E1C45B52"/>
    <w:lvl w:ilvl="0" w:tentative="0">
      <w:start w:val="2"/>
      <w:numFmt w:val="chineseCounting"/>
      <w:suff w:val="nothing"/>
      <w:lvlText w:val="%1、"/>
      <w:lvlJc w:val="left"/>
      <w:rPr>
        <w:rFonts w:hint="eastAsia"/>
      </w:rPr>
    </w:lvl>
  </w:abstractNum>
  <w:abstractNum w:abstractNumId="3">
    <w:nsid w:val="4A1F23E9"/>
    <w:multiLevelType w:val="singleLevel"/>
    <w:tmpl w:val="4A1F23E9"/>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FD1976"/>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0333E"/>
    <w:rsid w:val="12255233"/>
    <w:rsid w:val="12530213"/>
    <w:rsid w:val="127723A9"/>
    <w:rsid w:val="12862074"/>
    <w:rsid w:val="12883966"/>
    <w:rsid w:val="129E45B4"/>
    <w:rsid w:val="12D81596"/>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C5477"/>
    <w:rsid w:val="1D266CE1"/>
    <w:rsid w:val="1D3963AF"/>
    <w:rsid w:val="1D6A673C"/>
    <w:rsid w:val="1D9247AE"/>
    <w:rsid w:val="1DB567EC"/>
    <w:rsid w:val="1DF51A98"/>
    <w:rsid w:val="1E3608EF"/>
    <w:rsid w:val="1E3D060F"/>
    <w:rsid w:val="1E3F7D2E"/>
    <w:rsid w:val="1E4134E4"/>
    <w:rsid w:val="1E5062B3"/>
    <w:rsid w:val="1E523514"/>
    <w:rsid w:val="1E714A66"/>
    <w:rsid w:val="1E802593"/>
    <w:rsid w:val="1E8B6156"/>
    <w:rsid w:val="1EA703CC"/>
    <w:rsid w:val="1EB7330C"/>
    <w:rsid w:val="1EDA3137"/>
    <w:rsid w:val="1F0A0FF3"/>
    <w:rsid w:val="1F550E6F"/>
    <w:rsid w:val="1F5771FF"/>
    <w:rsid w:val="1FD52DD5"/>
    <w:rsid w:val="1FE868A9"/>
    <w:rsid w:val="20034907"/>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A7590"/>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32EE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5405EA"/>
    <w:rsid w:val="319C6071"/>
    <w:rsid w:val="31AC537E"/>
    <w:rsid w:val="31E3679B"/>
    <w:rsid w:val="31E732FD"/>
    <w:rsid w:val="31EA317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3651E5"/>
    <w:rsid w:val="3A451DB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0B1EB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63A4C"/>
    <w:rsid w:val="4F47354A"/>
    <w:rsid w:val="4F7725F0"/>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A6B8C"/>
    <w:rsid w:val="56D44689"/>
    <w:rsid w:val="57032A2C"/>
    <w:rsid w:val="570F3A2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AE011A"/>
    <w:rsid w:val="64055776"/>
    <w:rsid w:val="64240056"/>
    <w:rsid w:val="643E143A"/>
    <w:rsid w:val="64491666"/>
    <w:rsid w:val="648B6EEF"/>
    <w:rsid w:val="64C158BF"/>
    <w:rsid w:val="64CE2EAA"/>
    <w:rsid w:val="653C3090"/>
    <w:rsid w:val="65854376"/>
    <w:rsid w:val="658767BE"/>
    <w:rsid w:val="65892531"/>
    <w:rsid w:val="65C14BB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D38AE"/>
    <w:rsid w:val="6CCF5389"/>
    <w:rsid w:val="6D167928"/>
    <w:rsid w:val="6D26299B"/>
    <w:rsid w:val="6D4772EC"/>
    <w:rsid w:val="6D9078AF"/>
    <w:rsid w:val="6DAA3FEF"/>
    <w:rsid w:val="6DC0172B"/>
    <w:rsid w:val="6DCB690C"/>
    <w:rsid w:val="6DD41A5B"/>
    <w:rsid w:val="6DF43C2E"/>
    <w:rsid w:val="6DF51CA3"/>
    <w:rsid w:val="6E7F06E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5190"/>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58694D"/>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119"/>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23"/>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5"/>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lain Text"/>
    <w:basedOn w:val="1"/>
    <w:qFormat/>
    <w:uiPriority w:val="0"/>
    <w:pPr>
      <w:spacing w:before="156" w:beforeLines="50" w:after="156" w:afterLines="50" w:line="400" w:lineRule="exact"/>
    </w:pPr>
    <w:rPr>
      <w:rFonts w:ascii="宋体" w:hAnsi="Courier New"/>
      <w:sz w:val="24"/>
    </w:rPr>
  </w:style>
  <w:style w:type="paragraph" w:customStyle="1" w:styleId="96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33104</Words>
  <Characters>35420</Characters>
  <Lines>281</Lines>
  <Paragraphs>79</Paragraphs>
  <TotalTime>6</TotalTime>
  <ScaleCrop>false</ScaleCrop>
  <LinksUpToDate>false</LinksUpToDate>
  <CharactersWithSpaces>41266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杨杨</cp:lastModifiedBy>
  <cp:lastPrinted>2021-12-27T03:06:00Z</cp:lastPrinted>
  <dcterms:modified xsi:type="dcterms:W3CDTF">2024-05-14T09:37:10Z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6A4828E3E79547658A150292E8489AD9_13</vt:lpwstr>
  </property>
</Properties>
</file>