
<file path=[Content_Types].xml><?xml version="1.0" encoding="utf-8"?>
<Types xmlns="http://schemas.openxmlformats.org/package/2006/content-types">
  <Default ContentType="image/jpeg" Extension="jpeg"/>
  <Default ContentType="image/.jpg" Extension="jpg"/>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er+xml" PartName="/word/footer5.xml"/>
  <Override ContentType="application/vnd.openxmlformats-officedocument.wordprocessingml.footer+xml" PartName="/word/footer6.xml"/>
  <Override ContentType="application/vnd.openxmlformats-officedocument.wordprocessingml.footer+xml" PartName="/word/footer7.xml"/>
  <Override ContentType="application/vnd.openxmlformats-officedocument.wordprocessingml.footer+xml" PartName="/word/footer8.xml"/>
  <Override ContentType="application/vnd.openxmlformats-officedocument.wordprocessingml.footer+xml" PartName="/word/footer9.xml"/>
  <Override ContentType="application/vnd.openxmlformats-officedocument.wordprocessingml.footer+xml" PartName="/word/footer10.xml"/>
  <Override ContentType="application/vnd.openxmlformats-officedocument.wordprocessingml.footer+xml" PartName="/word/footer11.xml"/>
  <Override ContentType="application/vnd.openxmlformats-officedocument.wordprocessingml.footer+xml" PartName="/word/footer12.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header+xml" PartName="/word/header4.xml"/>
  <Override ContentType="application/vnd.openxmlformats-officedocument.wordprocessingml.header+xml" PartName="/word/header5.xml"/>
  <Override ContentType="application/vnd.openxmlformats-officedocument.wordprocessingml.header+xml" PartName="/word/header6.xml"/>
  <Override ContentType="application/vnd.openxmlformats-officedocument.wordprocessingml.header+xml" PartName="/word/header7.xml"/>
  <Override ContentType="application/vnd.openxmlformats-officedocument.wordprocessingml.header+xml" PartName="/word/header8.xml"/>
  <Override ContentType="application/vnd.openxmlformats-officedocument.wordprocessingml.header+xml" PartName="/word/header9.xml"/>
  <Override ContentType="application/vnd.openxmlformats-officedocument.wordprocessingml.header+xml" PartName="/word/header10.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Types>
</file>

<file path=_rels/.rels><?xml version="1.0" encoding="UTF-8" standalone="yes"?><Relationships xmlns="http://schemas.openxmlformats.org/package/2006/relationships"><Relationship Id="rId1" Target="docProps/app.xml" Type="http://schemas.openxmlformats.org/officeDocument/2006/relationships/extended-properties"/><Relationship Id="rId2" Target="docProps/core.xml" Type="http://schemas.openxmlformats.org/package/2006/relationships/metadata/core-properties"/><Relationship Id="rId3" Target="docProps/custom.xml" Type="http://schemas.openxmlformats.org/officeDocument/2006/relationships/custom-properties"/><Relationship Id="rId4" Target="word/document.xml" Type="http://schemas.openxmlformats.org/officeDocument/2006/relationships/officeDocument"/></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djustRightInd/>
        <w:spacing w:line="480" w:lineRule="auto"/>
        <w:jc w:val="both"/>
        <w:rPr>
          <w:rFonts w:hint="eastAsia" w:ascii="仿宋" w:hAnsi="仿宋" w:eastAsia="仿宋" w:cs="仿宋"/>
          <w:b/>
          <w:color w:val="auto"/>
          <w:sz w:val="48"/>
          <w:szCs w:val="48"/>
          <w:highlight w:val="none"/>
        </w:rPr>
      </w:pPr>
    </w:p>
    <w:p>
      <w:pPr>
        <w:adjustRightInd/>
        <w:spacing w:line="480" w:lineRule="auto"/>
        <w:jc w:val="center"/>
        <w:rPr>
          <w:rFonts w:hint="eastAsia" w:ascii="仿宋" w:hAnsi="仿宋" w:eastAsia="仿宋" w:cs="仿宋"/>
          <w:color w:val="auto"/>
          <w:sz w:val="44"/>
          <w:szCs w:val="44"/>
          <w:highlight w:val="none"/>
          <w:lang w:eastAsia="zh-CN"/>
        </w:rPr>
      </w:pPr>
      <w:r>
        <w:rPr>
          <w:rFonts w:hint="eastAsia" w:ascii="仿宋" w:hAnsi="仿宋" w:eastAsia="仿宋" w:cs="仿宋"/>
          <w:color w:val="auto"/>
          <w:sz w:val="44"/>
          <w:szCs w:val="44"/>
          <w:highlight w:val="none"/>
          <w:lang w:eastAsia="zh-CN"/>
        </w:rPr>
        <w:t>余杭街道</w:t>
      </w:r>
      <w:r>
        <w:rPr>
          <w:rFonts w:hint="eastAsia" w:ascii="仿宋" w:hAnsi="仿宋" w:eastAsia="仿宋" w:cs="仿宋"/>
          <w:color w:val="auto"/>
          <w:sz w:val="44"/>
          <w:szCs w:val="44"/>
          <w:highlight w:val="none"/>
          <w:lang w:val="en-US" w:eastAsia="zh-CN"/>
        </w:rPr>
        <w:t>2023年</w:t>
      </w:r>
      <w:r>
        <w:rPr>
          <w:rFonts w:hint="eastAsia" w:ascii="仿宋" w:hAnsi="仿宋" w:eastAsia="仿宋" w:cs="仿宋"/>
          <w:color w:val="auto"/>
          <w:sz w:val="44"/>
          <w:szCs w:val="44"/>
          <w:highlight w:val="none"/>
          <w:lang w:eastAsia="zh-CN"/>
        </w:rPr>
        <w:t>区域性微型消防救援站</w:t>
      </w:r>
    </w:p>
    <w:p>
      <w:pPr>
        <w:adjustRightInd/>
        <w:spacing w:line="480" w:lineRule="auto"/>
        <w:jc w:val="center"/>
        <w:rPr>
          <w:rFonts w:hint="eastAsia" w:ascii="仿宋" w:hAnsi="仿宋" w:eastAsia="仿宋" w:cs="仿宋"/>
          <w:color w:val="auto"/>
          <w:sz w:val="44"/>
          <w:szCs w:val="44"/>
          <w:highlight w:val="none"/>
          <w:lang w:eastAsia="zh-CN"/>
        </w:rPr>
      </w:pPr>
      <w:r>
        <w:rPr>
          <w:rFonts w:hint="eastAsia" w:ascii="仿宋" w:hAnsi="仿宋" w:eastAsia="仿宋" w:cs="仿宋"/>
          <w:color w:val="auto"/>
          <w:sz w:val="44"/>
          <w:szCs w:val="44"/>
          <w:highlight w:val="none"/>
          <w:lang w:eastAsia="zh-CN"/>
        </w:rPr>
        <w:t>服务外包项目</w:t>
      </w:r>
    </w:p>
    <w:p>
      <w:pPr>
        <w:adjustRightInd/>
        <w:spacing w:line="480" w:lineRule="auto"/>
        <w:jc w:val="center"/>
        <w:rPr>
          <w:rFonts w:hint="eastAsia" w:ascii="仿宋" w:hAnsi="仿宋" w:eastAsia="仿宋" w:cs="仿宋"/>
          <w:color w:val="auto"/>
          <w:sz w:val="44"/>
          <w:szCs w:val="44"/>
          <w:highlight w:val="none"/>
        </w:rPr>
      </w:pPr>
      <w:r>
        <w:rPr>
          <w:rFonts w:hint="eastAsia" w:ascii="仿宋" w:hAnsi="仿宋" w:eastAsia="仿宋" w:cs="仿宋"/>
          <w:color w:val="auto"/>
          <w:sz w:val="44"/>
          <w:szCs w:val="44"/>
          <w:highlight w:val="none"/>
        </w:rPr>
        <w:t xml:space="preserve">招标文件 </w:t>
      </w:r>
    </w:p>
    <w:p>
      <w:pPr>
        <w:adjustRightInd/>
        <w:spacing w:line="480" w:lineRule="auto"/>
        <w:jc w:val="center"/>
        <w:rPr>
          <w:rFonts w:hint="eastAsia" w:ascii="仿宋" w:hAnsi="仿宋" w:eastAsia="仿宋" w:cs="仿宋"/>
          <w:b/>
          <w:color w:val="auto"/>
          <w:sz w:val="44"/>
          <w:szCs w:val="44"/>
          <w:highlight w:val="none"/>
        </w:rPr>
      </w:pPr>
      <w:r>
        <w:rPr>
          <w:rFonts w:hint="eastAsia" w:ascii="仿宋" w:hAnsi="仿宋" w:eastAsia="仿宋" w:cs="仿宋"/>
          <w:b/>
          <w:color w:val="auto"/>
          <w:sz w:val="44"/>
          <w:szCs w:val="44"/>
          <w:highlight w:val="none"/>
        </w:rPr>
        <w:t xml:space="preserve"> （电子招投标）</w:t>
      </w:r>
    </w:p>
    <w:p>
      <w:pPr>
        <w:snapToGrid w:val="0"/>
        <w:spacing w:line="480" w:lineRule="auto"/>
        <w:jc w:val="center"/>
        <w:rPr>
          <w:rFonts w:hint="eastAsia" w:ascii="仿宋" w:hAnsi="仿宋" w:eastAsia="仿宋" w:cs="仿宋"/>
          <w:color w:val="auto"/>
          <w:sz w:val="30"/>
          <w:szCs w:val="30"/>
          <w:highlight w:val="none"/>
        </w:rPr>
      </w:pPr>
    </w:p>
    <w:p>
      <w:pPr>
        <w:snapToGrid w:val="0"/>
        <w:spacing w:line="480" w:lineRule="auto"/>
        <w:jc w:val="center"/>
        <w:rPr>
          <w:rFonts w:hint="eastAsia" w:ascii="仿宋" w:hAnsi="仿宋" w:eastAsia="仿宋" w:cs="仿宋"/>
          <w:color w:val="auto"/>
          <w:sz w:val="30"/>
          <w:szCs w:val="30"/>
          <w:highlight w:val="none"/>
          <w:lang w:eastAsia="zh-CN"/>
        </w:rPr>
      </w:pPr>
      <w:r>
        <w:rPr>
          <w:rFonts w:hint="eastAsia" w:ascii="仿宋" w:hAnsi="仿宋" w:eastAsia="仿宋" w:cs="仿宋"/>
          <w:color w:val="auto"/>
          <w:sz w:val="30"/>
          <w:szCs w:val="30"/>
          <w:highlight w:val="none"/>
        </w:rPr>
        <w:t>编号:</w:t>
      </w:r>
      <w:r>
        <w:rPr>
          <w:rFonts w:hint="eastAsia" w:ascii="仿宋" w:hAnsi="仿宋" w:eastAsia="仿宋" w:cs="仿宋"/>
          <w:color w:val="auto"/>
          <w:sz w:val="30"/>
          <w:szCs w:val="30"/>
          <w:highlight w:val="none"/>
          <w:lang w:eastAsia="zh-CN"/>
        </w:rPr>
        <w:t>TKZXCG-2023-034-1</w:t>
      </w:r>
    </w:p>
    <w:p>
      <w:pPr>
        <w:pStyle w:val="79"/>
        <w:rPr>
          <w:rFonts w:hint="eastAsia" w:ascii="仿宋" w:hAnsi="仿宋" w:eastAsia="仿宋" w:cs="仿宋"/>
          <w:color w:val="auto"/>
          <w:sz w:val="30"/>
          <w:szCs w:val="30"/>
          <w:highlight w:val="none"/>
          <w:lang w:eastAsia="zh-CN"/>
        </w:rPr>
      </w:pPr>
    </w:p>
    <w:p>
      <w:pPr>
        <w:pStyle w:val="79"/>
        <w:rPr>
          <w:rFonts w:hint="eastAsia" w:ascii="仿宋" w:hAnsi="仿宋" w:eastAsia="仿宋" w:cs="仿宋"/>
          <w:color w:val="auto"/>
          <w:sz w:val="30"/>
          <w:szCs w:val="30"/>
          <w:highlight w:val="none"/>
          <w:lang w:eastAsia="zh-CN"/>
        </w:rPr>
      </w:pPr>
    </w:p>
    <w:p>
      <w:pPr>
        <w:adjustRightInd/>
        <w:spacing w:line="480" w:lineRule="auto"/>
        <w:jc w:val="center"/>
        <w:rPr>
          <w:rFonts w:hint="eastAsia" w:ascii="仿宋" w:hAnsi="仿宋" w:eastAsia="仿宋" w:cs="仿宋"/>
          <w:color w:val="auto"/>
          <w:sz w:val="28"/>
          <w:szCs w:val="20"/>
          <w:highlight w:val="none"/>
        </w:rPr>
      </w:pPr>
      <w:r>
        <w:rPr>
          <w:rFonts w:hint="eastAsia" w:ascii="仿宋" w:hAnsi="仿宋" w:eastAsia="仿宋" w:cs="仿宋"/>
          <w:b/>
          <w:color w:val="auto"/>
          <w:kern w:val="2"/>
          <w:sz w:val="44"/>
          <w:szCs w:val="44"/>
          <w:highlight w:val="none"/>
          <w:lang w:val="en-US" w:eastAsia="zh-CN" w:bidi="ar-SA"/>
        </w:rPr>
        <w:drawing>
          <wp:inline distT="0" distB="0" distL="114300" distR="114300">
            <wp:extent cx="4740910" cy="1256030"/>
            <wp:effectExtent l="0" t="0" r="8890" b="127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26">
                      <a:lum/>
                    </a:blip>
                    <a:stretch>
                      <a:fillRect/>
                    </a:stretch>
                  </pic:blipFill>
                  <pic:spPr>
                    <a:xfrm>
                      <a:off x="0" y="0"/>
                      <a:ext cx="4740910" cy="1256030"/>
                    </a:xfrm>
                    <a:prstGeom prst="rect">
                      <a:avLst/>
                    </a:prstGeom>
                    <a:noFill/>
                    <a:ln>
                      <a:noFill/>
                    </a:ln>
                  </pic:spPr>
                </pic:pic>
              </a:graphicData>
            </a:graphic>
          </wp:inline>
        </w:drawing>
      </w:r>
    </w:p>
    <w:p>
      <w:pPr>
        <w:spacing w:line="480" w:lineRule="auto"/>
        <w:jc w:val="center"/>
        <w:rPr>
          <w:rFonts w:hint="eastAsia" w:ascii="仿宋" w:hAnsi="仿宋" w:eastAsia="仿宋" w:cs="仿宋"/>
          <w:color w:val="auto"/>
          <w:sz w:val="24"/>
          <w:highlight w:val="none"/>
        </w:rPr>
      </w:pPr>
      <w:r>
        <w:rPr>
          <w:rFonts w:hint="eastAsia" w:ascii="仿宋" w:hAnsi="仿宋" w:eastAsia="仿宋" w:cs="仿宋"/>
          <w:b/>
          <w:color w:val="auto"/>
          <w:sz w:val="44"/>
          <w:szCs w:val="44"/>
          <w:highlight w:val="none"/>
        </w:rPr>
        <w:t xml:space="preserve"> </w:t>
      </w:r>
    </w:p>
    <w:p>
      <w:pPr>
        <w:spacing w:line="480" w:lineRule="auto"/>
        <w:rPr>
          <w:rFonts w:hint="eastAsia" w:ascii="仿宋" w:hAnsi="仿宋" w:eastAsia="仿宋" w:cs="仿宋"/>
          <w:color w:val="auto"/>
          <w:sz w:val="32"/>
          <w:szCs w:val="32"/>
          <w:highlight w:val="none"/>
        </w:rPr>
      </w:pPr>
    </w:p>
    <w:p>
      <w:pPr>
        <w:snapToGrid w:val="0"/>
        <w:spacing w:line="480" w:lineRule="auto"/>
        <w:jc w:val="center"/>
        <w:rPr>
          <w:rFonts w:hint="eastAsia" w:ascii="仿宋" w:hAnsi="仿宋" w:eastAsia="仿宋" w:cs="仿宋"/>
          <w:color w:val="auto"/>
          <w:sz w:val="32"/>
          <w:szCs w:val="32"/>
          <w:highlight w:val="none"/>
          <w:lang w:eastAsia="zh-CN"/>
        </w:rPr>
      </w:pPr>
      <w:r>
        <w:rPr>
          <w:rFonts w:hint="eastAsia" w:ascii="仿宋" w:hAnsi="仿宋" w:eastAsia="仿宋" w:cs="仿宋"/>
          <w:color w:val="auto"/>
          <w:sz w:val="32"/>
          <w:szCs w:val="32"/>
          <w:highlight w:val="none"/>
          <w:lang w:val="en-US" w:eastAsia="zh-CN"/>
        </w:rPr>
        <w:t>采购人：</w:t>
      </w:r>
      <w:r>
        <w:rPr>
          <w:rFonts w:hint="eastAsia" w:ascii="仿宋" w:hAnsi="仿宋" w:eastAsia="仿宋" w:cs="仿宋"/>
          <w:color w:val="auto"/>
          <w:sz w:val="32"/>
          <w:szCs w:val="32"/>
          <w:highlight w:val="none"/>
          <w:lang w:eastAsia="zh-CN"/>
        </w:rPr>
        <w:t>杭州市余杭区人民政府余杭街道办事处</w:t>
      </w:r>
    </w:p>
    <w:p>
      <w:pPr>
        <w:spacing w:line="480" w:lineRule="auto"/>
        <w:jc w:val="center"/>
        <w:rPr>
          <w:rFonts w:hint="eastAsia" w:ascii="仿宋" w:hAnsi="仿宋" w:eastAsia="仿宋" w:cs="仿宋"/>
          <w:bCs/>
          <w:color w:val="auto"/>
          <w:sz w:val="32"/>
          <w:szCs w:val="32"/>
          <w:highlight w:val="none"/>
          <w:lang w:eastAsia="zh-CN"/>
        </w:rPr>
      </w:pPr>
      <w:r>
        <w:rPr>
          <w:rFonts w:hint="eastAsia" w:ascii="仿宋" w:hAnsi="仿宋" w:eastAsia="仿宋" w:cs="仿宋"/>
          <w:bCs/>
          <w:color w:val="auto"/>
          <w:sz w:val="32"/>
          <w:szCs w:val="32"/>
          <w:highlight w:val="none"/>
          <w:lang w:val="en-US" w:eastAsia="zh-CN"/>
        </w:rPr>
        <w:t>采购代理机构：</w:t>
      </w:r>
      <w:r>
        <w:rPr>
          <w:rFonts w:hint="eastAsia" w:ascii="仿宋" w:hAnsi="仿宋" w:eastAsia="仿宋" w:cs="仿宋"/>
          <w:bCs/>
          <w:color w:val="auto"/>
          <w:sz w:val="32"/>
          <w:szCs w:val="32"/>
          <w:highlight w:val="none"/>
          <w:lang w:eastAsia="zh-CN"/>
        </w:rPr>
        <w:t>杭州天坤建设咨询有限公司</w:t>
      </w:r>
    </w:p>
    <w:p>
      <w:pPr>
        <w:snapToGrid w:val="0"/>
        <w:spacing w:line="480" w:lineRule="auto"/>
        <w:jc w:val="center"/>
        <w:rPr>
          <w:rFonts w:hint="eastAsia" w:ascii="仿宋" w:hAnsi="仿宋" w:eastAsia="仿宋" w:cs="仿宋"/>
          <w:bCs/>
          <w:color w:val="auto"/>
          <w:sz w:val="32"/>
          <w:szCs w:val="32"/>
          <w:highlight w:val="none"/>
        </w:rPr>
      </w:pPr>
      <w:r>
        <w:rPr>
          <w:rFonts w:hint="eastAsia" w:ascii="仿宋" w:hAnsi="仿宋" w:eastAsia="仿宋" w:cs="仿宋"/>
          <w:bCs/>
          <w:color w:val="auto"/>
          <w:sz w:val="32"/>
          <w:szCs w:val="32"/>
          <w:highlight w:val="none"/>
        </w:rPr>
        <w:t>二〇二</w:t>
      </w:r>
      <w:r>
        <w:rPr>
          <w:rFonts w:hint="eastAsia" w:ascii="仿宋" w:hAnsi="仿宋" w:eastAsia="仿宋" w:cs="仿宋"/>
          <w:bCs/>
          <w:color w:val="auto"/>
          <w:sz w:val="32"/>
          <w:szCs w:val="32"/>
          <w:highlight w:val="none"/>
          <w:lang w:val="en-US" w:eastAsia="zh-CN"/>
        </w:rPr>
        <w:t>三</w:t>
      </w:r>
      <w:r>
        <w:rPr>
          <w:rFonts w:hint="eastAsia" w:ascii="仿宋" w:hAnsi="仿宋" w:eastAsia="仿宋" w:cs="仿宋"/>
          <w:bCs/>
          <w:color w:val="auto"/>
          <w:sz w:val="32"/>
          <w:szCs w:val="32"/>
          <w:highlight w:val="none"/>
        </w:rPr>
        <w:t>年</w:t>
      </w:r>
      <w:r>
        <w:rPr>
          <w:rFonts w:hint="eastAsia" w:ascii="仿宋" w:hAnsi="仿宋" w:eastAsia="仿宋" w:cs="仿宋"/>
          <w:bCs/>
          <w:color w:val="auto"/>
          <w:sz w:val="32"/>
          <w:szCs w:val="32"/>
          <w:highlight w:val="none"/>
          <w:lang w:val="en-US" w:eastAsia="zh-CN"/>
        </w:rPr>
        <w:t>八</w:t>
      </w:r>
      <w:r>
        <w:rPr>
          <w:rFonts w:hint="eastAsia" w:ascii="仿宋" w:hAnsi="仿宋" w:eastAsia="仿宋" w:cs="仿宋"/>
          <w:bCs/>
          <w:color w:val="auto"/>
          <w:sz w:val="32"/>
          <w:szCs w:val="32"/>
          <w:highlight w:val="none"/>
        </w:rPr>
        <w:t>月</w:t>
      </w:r>
      <w:r>
        <w:rPr>
          <w:rFonts w:hint="eastAsia" w:ascii="仿宋" w:hAnsi="仿宋" w:eastAsia="仿宋" w:cs="仿宋"/>
          <w:bCs/>
          <w:color w:val="auto"/>
          <w:sz w:val="32"/>
          <w:szCs w:val="32"/>
          <w:highlight w:val="none"/>
          <w:lang w:val="en-US" w:eastAsia="zh-CN"/>
        </w:rPr>
        <w:t>二十三</w:t>
      </w:r>
      <w:r>
        <w:rPr>
          <w:rFonts w:hint="eastAsia" w:ascii="仿宋" w:hAnsi="仿宋" w:eastAsia="仿宋" w:cs="仿宋"/>
          <w:bCs/>
          <w:color w:val="auto"/>
          <w:sz w:val="32"/>
          <w:szCs w:val="32"/>
          <w:highlight w:val="none"/>
        </w:rPr>
        <w:t>日</w:t>
      </w:r>
    </w:p>
    <w:p>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br w:type="page"/>
      </w:r>
      <w:bookmarkStart w:id="0" w:name="_Hlt67893495"/>
      <w:bookmarkEnd w:id="0"/>
    </w:p>
    <w:p>
      <w:pPr>
        <w:pStyle w:val="320"/>
        <w:rPr>
          <w:rFonts w:hint="eastAsia" w:ascii="仿宋" w:hAnsi="仿宋" w:eastAsia="仿宋" w:cs="仿宋"/>
          <w:color w:val="auto"/>
          <w:highlight w:val="none"/>
        </w:rPr>
      </w:pPr>
    </w:p>
    <w:p>
      <w:pPr>
        <w:spacing w:line="480" w:lineRule="auto"/>
        <w:jc w:val="center"/>
        <w:rPr>
          <w:rFonts w:hint="eastAsia" w:ascii="仿宋" w:hAnsi="仿宋" w:eastAsia="仿宋" w:cs="仿宋"/>
          <w:b/>
          <w:color w:val="auto"/>
          <w:sz w:val="48"/>
          <w:szCs w:val="48"/>
          <w:highlight w:val="none"/>
        </w:rPr>
      </w:pPr>
      <w:r>
        <w:rPr>
          <w:rFonts w:hint="eastAsia" w:ascii="仿宋" w:hAnsi="仿宋" w:eastAsia="仿宋" w:cs="仿宋"/>
          <w:b/>
          <w:color w:val="auto"/>
          <w:sz w:val="48"/>
          <w:szCs w:val="48"/>
          <w:highlight w:val="none"/>
        </w:rPr>
        <w:t>目  录</w:t>
      </w:r>
    </w:p>
    <w:p>
      <w:pPr>
        <w:spacing w:line="480" w:lineRule="auto"/>
        <w:rPr>
          <w:rFonts w:hint="eastAsia" w:ascii="仿宋" w:hAnsi="仿宋" w:eastAsia="仿宋" w:cs="仿宋"/>
          <w:color w:val="auto"/>
          <w:sz w:val="32"/>
          <w:szCs w:val="32"/>
          <w:highlight w:val="none"/>
        </w:rPr>
      </w:pPr>
    </w:p>
    <w:p>
      <w:pPr>
        <w:spacing w:line="480" w:lineRule="auto"/>
        <w:rPr>
          <w:rFonts w:hint="eastAsia" w:ascii="仿宋" w:hAnsi="仿宋" w:eastAsia="仿宋" w:cs="仿宋"/>
          <w:color w:val="auto"/>
          <w:sz w:val="32"/>
          <w:szCs w:val="32"/>
          <w:highlight w:val="none"/>
        </w:rPr>
      </w:pPr>
    </w:p>
    <w:p>
      <w:pPr>
        <w:spacing w:line="480" w:lineRule="auto"/>
        <w:ind w:firstLine="1280" w:firstLineChars="400"/>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第一部分      招标公告</w:t>
      </w:r>
    </w:p>
    <w:p>
      <w:pPr>
        <w:spacing w:line="480" w:lineRule="auto"/>
        <w:ind w:firstLine="1280" w:firstLineChars="400"/>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第二部分      投标人须知</w:t>
      </w:r>
    </w:p>
    <w:p>
      <w:pPr>
        <w:spacing w:line="480" w:lineRule="auto"/>
        <w:ind w:firstLine="1280" w:firstLineChars="400"/>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第三部分      采购需求</w:t>
      </w:r>
    </w:p>
    <w:p>
      <w:pPr>
        <w:spacing w:line="480" w:lineRule="auto"/>
        <w:ind w:firstLine="1280" w:firstLineChars="400"/>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第四部分      评标办法</w:t>
      </w:r>
    </w:p>
    <w:p>
      <w:pPr>
        <w:spacing w:line="480" w:lineRule="auto"/>
        <w:ind w:firstLine="1280" w:firstLineChars="400"/>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第五部分      拟签订的合同文本</w:t>
      </w:r>
    </w:p>
    <w:p>
      <w:pPr>
        <w:spacing w:line="480" w:lineRule="auto"/>
        <w:ind w:firstLine="1280" w:firstLineChars="400"/>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第六部分      应提交的有关格式范例</w:t>
      </w:r>
    </w:p>
    <w:p>
      <w:pPr>
        <w:spacing w:line="480" w:lineRule="auto"/>
        <w:ind w:firstLine="549" w:firstLineChars="229"/>
        <w:rPr>
          <w:rFonts w:hint="eastAsia" w:ascii="仿宋" w:hAnsi="仿宋" w:eastAsia="仿宋" w:cs="仿宋"/>
          <w:color w:val="auto"/>
          <w:sz w:val="24"/>
          <w:highlight w:val="none"/>
        </w:rPr>
      </w:pPr>
      <w:bookmarkStart w:id="1" w:name="_Hlt91233176"/>
      <w:bookmarkEnd w:id="1"/>
      <w:bookmarkStart w:id="2" w:name="_Toc91899869"/>
    </w:p>
    <w:p>
      <w:pPr>
        <w:spacing w:line="360" w:lineRule="auto"/>
        <w:ind w:firstLine="549" w:firstLineChars="229"/>
        <w:rPr>
          <w:rFonts w:hint="eastAsia" w:ascii="仿宋" w:hAnsi="仿宋" w:eastAsia="仿宋" w:cs="仿宋"/>
          <w:color w:val="auto"/>
          <w:sz w:val="24"/>
          <w:highlight w:val="none"/>
        </w:rPr>
      </w:pPr>
    </w:p>
    <w:p>
      <w:pPr>
        <w:spacing w:line="360" w:lineRule="auto"/>
        <w:ind w:firstLine="549" w:firstLineChars="229"/>
        <w:rPr>
          <w:rFonts w:hint="eastAsia" w:ascii="仿宋" w:hAnsi="仿宋" w:eastAsia="仿宋" w:cs="仿宋"/>
          <w:color w:val="auto"/>
          <w:sz w:val="24"/>
          <w:highlight w:val="none"/>
        </w:rPr>
      </w:pPr>
    </w:p>
    <w:p>
      <w:pPr>
        <w:spacing w:line="360" w:lineRule="auto"/>
        <w:ind w:firstLine="549" w:firstLineChars="229"/>
        <w:rPr>
          <w:rFonts w:hint="eastAsia" w:ascii="仿宋" w:hAnsi="仿宋" w:eastAsia="仿宋" w:cs="仿宋"/>
          <w:color w:val="auto"/>
          <w:sz w:val="24"/>
          <w:highlight w:val="none"/>
        </w:rPr>
      </w:pPr>
    </w:p>
    <w:p>
      <w:pPr>
        <w:spacing w:line="360" w:lineRule="auto"/>
        <w:ind w:firstLine="549" w:firstLineChars="229"/>
        <w:rPr>
          <w:rFonts w:hint="eastAsia" w:ascii="仿宋" w:hAnsi="仿宋" w:eastAsia="仿宋" w:cs="仿宋"/>
          <w:color w:val="auto"/>
          <w:sz w:val="24"/>
          <w:highlight w:val="none"/>
        </w:rPr>
      </w:pPr>
    </w:p>
    <w:p>
      <w:pPr>
        <w:spacing w:line="360" w:lineRule="auto"/>
        <w:ind w:firstLine="549" w:firstLineChars="229"/>
        <w:rPr>
          <w:rFonts w:hint="eastAsia" w:ascii="仿宋" w:hAnsi="仿宋" w:eastAsia="仿宋" w:cs="仿宋"/>
          <w:color w:val="auto"/>
          <w:sz w:val="24"/>
          <w:highlight w:val="none"/>
        </w:rPr>
      </w:pPr>
    </w:p>
    <w:p>
      <w:pPr>
        <w:spacing w:line="360" w:lineRule="auto"/>
        <w:ind w:firstLine="549" w:firstLineChars="229"/>
        <w:rPr>
          <w:rFonts w:hint="eastAsia" w:ascii="仿宋" w:hAnsi="仿宋" w:eastAsia="仿宋" w:cs="仿宋"/>
          <w:color w:val="auto"/>
          <w:sz w:val="24"/>
          <w:highlight w:val="none"/>
        </w:rPr>
      </w:pPr>
    </w:p>
    <w:p>
      <w:pPr>
        <w:spacing w:line="360" w:lineRule="auto"/>
        <w:ind w:firstLine="549" w:firstLineChars="229"/>
        <w:rPr>
          <w:rFonts w:hint="eastAsia" w:ascii="仿宋" w:hAnsi="仿宋" w:eastAsia="仿宋" w:cs="仿宋"/>
          <w:color w:val="auto"/>
          <w:sz w:val="24"/>
          <w:highlight w:val="none"/>
        </w:rPr>
      </w:pPr>
    </w:p>
    <w:p>
      <w:pPr>
        <w:spacing w:line="360" w:lineRule="auto"/>
        <w:ind w:firstLine="549" w:firstLineChars="229"/>
        <w:rPr>
          <w:rFonts w:hint="eastAsia" w:ascii="仿宋" w:hAnsi="仿宋" w:eastAsia="仿宋" w:cs="仿宋"/>
          <w:color w:val="auto"/>
          <w:sz w:val="24"/>
          <w:highlight w:val="none"/>
        </w:rPr>
      </w:pPr>
    </w:p>
    <w:p>
      <w:pPr>
        <w:spacing w:line="360" w:lineRule="auto"/>
        <w:ind w:firstLine="549" w:firstLineChars="229"/>
        <w:rPr>
          <w:rFonts w:hint="eastAsia" w:ascii="仿宋" w:hAnsi="仿宋" w:eastAsia="仿宋" w:cs="仿宋"/>
          <w:color w:val="auto"/>
          <w:sz w:val="24"/>
          <w:highlight w:val="none"/>
        </w:rPr>
      </w:pPr>
    </w:p>
    <w:p>
      <w:pPr>
        <w:spacing w:line="360" w:lineRule="auto"/>
        <w:ind w:firstLine="549" w:firstLineChars="229"/>
        <w:rPr>
          <w:rFonts w:hint="eastAsia" w:ascii="仿宋" w:hAnsi="仿宋" w:eastAsia="仿宋" w:cs="仿宋"/>
          <w:color w:val="auto"/>
          <w:sz w:val="24"/>
          <w:highlight w:val="none"/>
        </w:rPr>
      </w:pPr>
    </w:p>
    <w:p>
      <w:pPr>
        <w:spacing w:line="360" w:lineRule="auto"/>
        <w:ind w:firstLine="549" w:firstLineChars="229"/>
        <w:rPr>
          <w:rFonts w:hint="eastAsia" w:ascii="仿宋" w:hAnsi="仿宋" w:eastAsia="仿宋" w:cs="仿宋"/>
          <w:color w:val="auto"/>
          <w:sz w:val="24"/>
          <w:highlight w:val="none"/>
        </w:rPr>
      </w:pPr>
    </w:p>
    <w:bookmarkEnd w:id="2"/>
    <w:p>
      <w:pPr>
        <w:adjustRightInd/>
        <w:spacing w:line="480" w:lineRule="auto"/>
        <w:jc w:val="center"/>
        <w:outlineLvl w:val="0"/>
        <w:rPr>
          <w:rFonts w:hint="eastAsia" w:ascii="仿宋" w:hAnsi="仿宋" w:eastAsia="仿宋" w:cs="仿宋"/>
          <w:b/>
          <w:color w:val="auto"/>
          <w:sz w:val="36"/>
          <w:szCs w:val="20"/>
          <w:highlight w:val="none"/>
        </w:rPr>
      </w:pPr>
      <w:bookmarkStart w:id="3" w:name="_Hlt74649545"/>
      <w:bookmarkEnd w:id="3"/>
      <w:bookmarkStart w:id="4" w:name="_Hlt74728647"/>
      <w:bookmarkEnd w:id="4"/>
      <w:bookmarkStart w:id="5" w:name="_Hlt74707423"/>
      <w:bookmarkEnd w:id="5"/>
      <w:bookmarkStart w:id="6" w:name="_Hlt74729822"/>
      <w:bookmarkEnd w:id="6"/>
      <w:bookmarkStart w:id="7" w:name="第二部分"/>
      <w:bookmarkStart w:id="8" w:name="_Toc91899870"/>
      <w:bookmarkStart w:id="9" w:name="_Toc91899871"/>
      <w:r>
        <w:rPr>
          <w:rFonts w:hint="eastAsia" w:ascii="仿宋" w:hAnsi="仿宋" w:eastAsia="仿宋" w:cs="仿宋"/>
          <w:b/>
          <w:color w:val="auto"/>
          <w:sz w:val="36"/>
          <w:szCs w:val="20"/>
          <w:highlight w:val="none"/>
        </w:rPr>
        <w:t>第一部分 招标公告</w:t>
      </w:r>
    </w:p>
    <w:p>
      <w:pPr>
        <w:pBdr>
          <w:top w:val="single" w:color="auto" w:sz="4" w:space="1"/>
          <w:left w:val="single" w:color="auto" w:sz="4" w:space="4"/>
          <w:bottom w:val="single" w:color="auto" w:sz="4" w:space="1"/>
          <w:right w:val="single" w:color="auto" w:sz="4" w:space="4"/>
        </w:pBdr>
        <w:spacing w:line="48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项目概况</w:t>
      </w:r>
    </w:p>
    <w:p>
      <w:pPr>
        <w:pBdr>
          <w:top w:val="single" w:color="auto" w:sz="4" w:space="1"/>
          <w:left w:val="single" w:color="auto" w:sz="4" w:space="4"/>
          <w:bottom w:val="single" w:color="auto" w:sz="4" w:space="1"/>
          <w:right w:val="single" w:color="auto" w:sz="4" w:space="4"/>
        </w:pBdr>
        <w:spacing w:line="480" w:lineRule="auto"/>
        <w:ind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u w:val="single"/>
          <w:lang w:eastAsia="zh-CN"/>
        </w:rPr>
        <w:t>余杭街道</w:t>
      </w:r>
      <w:r>
        <w:rPr>
          <w:rFonts w:hint="eastAsia" w:ascii="仿宋" w:hAnsi="仿宋" w:eastAsia="仿宋" w:cs="仿宋"/>
          <w:color w:val="auto"/>
          <w:sz w:val="24"/>
          <w:highlight w:val="none"/>
          <w:u w:val="single"/>
          <w:lang w:val="en-US" w:eastAsia="zh-CN"/>
        </w:rPr>
        <w:t>2023年</w:t>
      </w:r>
      <w:r>
        <w:rPr>
          <w:rFonts w:hint="eastAsia" w:ascii="仿宋" w:hAnsi="仿宋" w:eastAsia="仿宋" w:cs="仿宋"/>
          <w:color w:val="auto"/>
          <w:sz w:val="24"/>
          <w:highlight w:val="none"/>
          <w:u w:val="single"/>
          <w:lang w:eastAsia="zh-CN"/>
        </w:rPr>
        <w:t>区域性微型消防救援站服务外包项目</w:t>
      </w:r>
      <w:r>
        <w:rPr>
          <w:rFonts w:hint="eastAsia" w:ascii="仿宋" w:hAnsi="仿宋" w:eastAsia="仿宋" w:cs="仿宋"/>
          <w:color w:val="auto"/>
          <w:sz w:val="24"/>
          <w:highlight w:val="none"/>
        </w:rPr>
        <w:t>招标项目的潜在投标人应在政采云平台（</w:t>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HYPERLINK "https://www.zcygov.cn/）获取（下载）招标文件，并于202%20年%20月%20日%20点%20分00秒" </w:instrText>
      </w:r>
      <w:r>
        <w:rPr>
          <w:rFonts w:hint="eastAsia" w:ascii="仿宋" w:hAnsi="仿宋" w:eastAsia="仿宋" w:cs="仿宋"/>
          <w:color w:val="auto"/>
          <w:highlight w:val="none"/>
        </w:rPr>
        <w:fldChar w:fldCharType="separate"/>
      </w:r>
      <w:r>
        <w:rPr>
          <w:rStyle w:val="76"/>
          <w:rFonts w:hint="eastAsia" w:ascii="仿宋" w:hAnsi="仿宋" w:eastAsia="仿宋" w:cs="仿宋"/>
          <w:color w:val="auto"/>
          <w:kern w:val="2"/>
          <w:sz w:val="24"/>
          <w:szCs w:val="24"/>
          <w:highlight w:val="none"/>
        </w:rPr>
        <w:t>https://www.zcygov.cn/）获取（下载）招标文件，并于202</w:t>
      </w:r>
      <w:r>
        <w:rPr>
          <w:rStyle w:val="76"/>
          <w:rFonts w:hint="eastAsia" w:ascii="仿宋" w:hAnsi="仿宋" w:eastAsia="仿宋" w:cs="仿宋"/>
          <w:color w:val="auto"/>
          <w:kern w:val="2"/>
          <w:sz w:val="24"/>
          <w:szCs w:val="24"/>
          <w:highlight w:val="none"/>
          <w:lang w:val="en-US" w:eastAsia="zh-CN"/>
        </w:rPr>
        <w:t>3</w:t>
      </w:r>
      <w:r>
        <w:rPr>
          <w:rStyle w:val="76"/>
          <w:rFonts w:hint="eastAsia" w:ascii="仿宋" w:hAnsi="仿宋" w:eastAsia="仿宋" w:cs="仿宋"/>
          <w:color w:val="auto"/>
          <w:kern w:val="2"/>
          <w:sz w:val="24"/>
          <w:szCs w:val="24"/>
          <w:highlight w:val="none"/>
        </w:rPr>
        <w:t>年</w:t>
      </w:r>
      <w:r>
        <w:rPr>
          <w:rStyle w:val="76"/>
          <w:rFonts w:hint="eastAsia" w:ascii="仿宋" w:hAnsi="仿宋" w:eastAsia="仿宋" w:cs="仿宋"/>
          <w:color w:val="auto"/>
          <w:kern w:val="2"/>
          <w:sz w:val="24"/>
          <w:szCs w:val="24"/>
          <w:highlight w:val="none"/>
          <w:lang w:val="en-US" w:eastAsia="zh-CN"/>
        </w:rPr>
        <w:t>9</w:t>
      </w:r>
      <w:r>
        <w:rPr>
          <w:rStyle w:val="76"/>
          <w:rFonts w:hint="eastAsia" w:ascii="仿宋" w:hAnsi="仿宋" w:eastAsia="仿宋" w:cs="仿宋"/>
          <w:color w:val="auto"/>
          <w:kern w:val="2"/>
          <w:sz w:val="24"/>
          <w:szCs w:val="24"/>
          <w:highlight w:val="none"/>
        </w:rPr>
        <w:t>月</w:t>
      </w:r>
      <w:r>
        <w:rPr>
          <w:rStyle w:val="76"/>
          <w:rFonts w:hint="eastAsia" w:ascii="仿宋" w:hAnsi="仿宋" w:eastAsia="仿宋" w:cs="仿宋"/>
          <w:color w:val="auto"/>
          <w:kern w:val="2"/>
          <w:sz w:val="24"/>
          <w:szCs w:val="24"/>
          <w:highlight w:val="none"/>
          <w:lang w:val="en-US" w:eastAsia="zh-CN"/>
        </w:rPr>
        <w:t>12</w:t>
      </w:r>
      <w:r>
        <w:rPr>
          <w:rStyle w:val="76"/>
          <w:rFonts w:hint="eastAsia" w:ascii="仿宋" w:hAnsi="仿宋" w:eastAsia="仿宋" w:cs="仿宋"/>
          <w:color w:val="auto"/>
          <w:kern w:val="2"/>
          <w:sz w:val="24"/>
          <w:szCs w:val="24"/>
          <w:highlight w:val="none"/>
        </w:rPr>
        <w:t>日</w:t>
      </w:r>
      <w:r>
        <w:rPr>
          <w:rStyle w:val="76"/>
          <w:rFonts w:hint="eastAsia" w:ascii="仿宋" w:hAnsi="仿宋" w:eastAsia="仿宋" w:cs="仿宋"/>
          <w:color w:val="auto"/>
          <w:kern w:val="2"/>
          <w:sz w:val="24"/>
          <w:szCs w:val="24"/>
          <w:highlight w:val="none"/>
          <w:lang w:val="en-US" w:eastAsia="zh-CN"/>
        </w:rPr>
        <w:t>13</w:t>
      </w:r>
      <w:r>
        <w:rPr>
          <w:rStyle w:val="76"/>
          <w:rFonts w:hint="eastAsia" w:ascii="仿宋" w:hAnsi="仿宋" w:eastAsia="仿宋" w:cs="仿宋"/>
          <w:color w:val="auto"/>
          <w:kern w:val="2"/>
          <w:sz w:val="24"/>
          <w:szCs w:val="24"/>
          <w:highlight w:val="none"/>
        </w:rPr>
        <w:t>点</w:t>
      </w:r>
      <w:r>
        <w:rPr>
          <w:rStyle w:val="76"/>
          <w:rFonts w:hint="eastAsia" w:ascii="仿宋" w:hAnsi="仿宋" w:eastAsia="仿宋" w:cs="仿宋"/>
          <w:color w:val="auto"/>
          <w:kern w:val="2"/>
          <w:sz w:val="24"/>
          <w:szCs w:val="24"/>
          <w:highlight w:val="none"/>
          <w:lang w:val="en-US" w:eastAsia="zh-CN"/>
        </w:rPr>
        <w:t>30</w:t>
      </w:r>
      <w:r>
        <w:rPr>
          <w:rStyle w:val="76"/>
          <w:rFonts w:hint="eastAsia" w:ascii="仿宋" w:hAnsi="仿宋" w:eastAsia="仿宋" w:cs="仿宋"/>
          <w:color w:val="auto"/>
          <w:kern w:val="2"/>
          <w:sz w:val="24"/>
          <w:szCs w:val="24"/>
          <w:highlight w:val="none"/>
        </w:rPr>
        <w:t>分</w:t>
      </w:r>
      <w:r>
        <w:rPr>
          <w:rStyle w:val="76"/>
          <w:rFonts w:hint="eastAsia" w:ascii="仿宋" w:hAnsi="仿宋" w:eastAsia="仿宋" w:cs="仿宋"/>
          <w:bCs/>
          <w:color w:val="auto"/>
          <w:kern w:val="2"/>
          <w:sz w:val="24"/>
          <w:szCs w:val="24"/>
          <w:highlight w:val="none"/>
        </w:rPr>
        <w:t>00秒</w:t>
      </w:r>
      <w:r>
        <w:rPr>
          <w:rStyle w:val="76"/>
          <w:rFonts w:hint="eastAsia" w:ascii="仿宋" w:hAnsi="仿宋" w:eastAsia="仿宋" w:cs="仿宋"/>
          <w:bCs/>
          <w:color w:val="auto"/>
          <w:kern w:val="2"/>
          <w:sz w:val="24"/>
          <w:szCs w:val="24"/>
          <w:highlight w:val="none"/>
        </w:rPr>
        <w:fldChar w:fldCharType="end"/>
      </w:r>
      <w:r>
        <w:rPr>
          <w:rFonts w:hint="eastAsia" w:ascii="仿宋" w:hAnsi="仿宋" w:eastAsia="仿宋" w:cs="仿宋"/>
          <w:bCs/>
          <w:color w:val="auto"/>
          <w:sz w:val="24"/>
          <w:highlight w:val="none"/>
        </w:rPr>
        <w:t>（北京时间）前</w:t>
      </w:r>
      <w:r>
        <w:rPr>
          <w:rFonts w:hint="eastAsia" w:ascii="仿宋" w:hAnsi="仿宋" w:eastAsia="仿宋" w:cs="仿宋"/>
          <w:color w:val="auto"/>
          <w:sz w:val="24"/>
          <w:highlight w:val="none"/>
        </w:rPr>
        <w:t>递交（上传）投标文件。</w:t>
      </w:r>
    </w:p>
    <w:p>
      <w:pPr>
        <w:spacing w:line="48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 xml:space="preserve">一、项目基本情况                                            </w:t>
      </w:r>
    </w:p>
    <w:p>
      <w:pPr>
        <w:spacing w:line="480" w:lineRule="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 xml:space="preserve">    </w:t>
      </w:r>
      <w:r>
        <w:rPr>
          <w:rFonts w:hint="eastAsia" w:ascii="仿宋" w:hAnsi="仿宋" w:eastAsia="仿宋" w:cs="仿宋"/>
          <w:b/>
          <w:color w:val="auto"/>
          <w:sz w:val="24"/>
          <w:highlight w:val="none"/>
        </w:rPr>
        <w:t>项目编号：</w:t>
      </w:r>
      <w:r>
        <w:rPr>
          <w:rFonts w:hint="eastAsia" w:ascii="仿宋" w:hAnsi="仿宋" w:eastAsia="仿宋" w:cs="仿宋"/>
          <w:color w:val="auto"/>
          <w:sz w:val="24"/>
          <w:highlight w:val="none"/>
          <w:lang w:eastAsia="zh-CN"/>
        </w:rPr>
        <w:t>TKZXCG-2023-034-1</w:t>
      </w:r>
    </w:p>
    <w:p>
      <w:pPr>
        <w:spacing w:line="480" w:lineRule="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 xml:space="preserve">   </w:t>
      </w:r>
      <w:r>
        <w:rPr>
          <w:rFonts w:hint="eastAsia" w:ascii="仿宋" w:hAnsi="仿宋" w:eastAsia="仿宋" w:cs="仿宋"/>
          <w:b/>
          <w:color w:val="auto"/>
          <w:sz w:val="24"/>
          <w:highlight w:val="none"/>
        </w:rPr>
        <w:t xml:space="preserve"> 项目名称：</w:t>
      </w:r>
      <w:r>
        <w:rPr>
          <w:rFonts w:hint="eastAsia" w:ascii="仿宋" w:hAnsi="仿宋" w:eastAsia="仿宋" w:cs="仿宋"/>
          <w:color w:val="auto"/>
          <w:sz w:val="24"/>
          <w:highlight w:val="none"/>
          <w:lang w:eastAsia="zh-CN"/>
        </w:rPr>
        <w:t>余杭街道2023年区域性微型消防救援站服务外包项目</w:t>
      </w:r>
    </w:p>
    <w:p>
      <w:pPr>
        <w:spacing w:line="480" w:lineRule="auto"/>
        <w:rPr>
          <w:rFonts w:hint="default" w:ascii="仿宋" w:hAnsi="仿宋" w:eastAsia="仿宋" w:cs="仿宋"/>
          <w:color w:val="auto"/>
          <w:sz w:val="24"/>
          <w:highlight w:val="none"/>
          <w:lang w:val="en-US"/>
        </w:rPr>
      </w:pPr>
      <w:r>
        <w:rPr>
          <w:rFonts w:hint="eastAsia" w:ascii="仿宋" w:hAnsi="仿宋" w:eastAsia="仿宋" w:cs="仿宋"/>
          <w:color w:val="auto"/>
          <w:sz w:val="24"/>
          <w:highlight w:val="none"/>
        </w:rPr>
        <w:t xml:space="preserve">   </w:t>
      </w:r>
      <w:r>
        <w:rPr>
          <w:rFonts w:hint="eastAsia" w:ascii="仿宋" w:hAnsi="仿宋" w:eastAsia="仿宋" w:cs="仿宋"/>
          <w:b/>
          <w:color w:val="auto"/>
          <w:sz w:val="24"/>
          <w:highlight w:val="none"/>
        </w:rPr>
        <w:t xml:space="preserve"> 预算金额（元）：</w:t>
      </w:r>
      <w:r>
        <w:rPr>
          <w:rFonts w:hint="eastAsia" w:ascii="仿宋" w:hAnsi="仿宋" w:eastAsia="仿宋" w:cs="仿宋"/>
          <w:b/>
          <w:color w:val="auto"/>
          <w:sz w:val="24"/>
          <w:highlight w:val="none"/>
          <w:lang w:val="en-US" w:eastAsia="zh-CN"/>
        </w:rPr>
        <w:t>9680000</w:t>
      </w:r>
    </w:p>
    <w:p>
      <w:pPr>
        <w:spacing w:line="480" w:lineRule="auto"/>
        <w:ind w:firstLine="480"/>
        <w:rPr>
          <w:rFonts w:hint="eastAsia" w:ascii="仿宋" w:hAnsi="仿宋" w:eastAsia="仿宋" w:cs="仿宋"/>
          <w:color w:val="auto"/>
          <w:sz w:val="24"/>
          <w:highlight w:val="none"/>
        </w:rPr>
      </w:pPr>
      <w:r>
        <w:rPr>
          <w:rFonts w:hint="eastAsia" w:ascii="仿宋" w:hAnsi="仿宋" w:eastAsia="仿宋" w:cs="仿宋"/>
          <w:b/>
          <w:color w:val="auto"/>
          <w:sz w:val="24"/>
          <w:highlight w:val="none"/>
        </w:rPr>
        <w:t>最高限价（元）：</w:t>
      </w:r>
      <w:r>
        <w:rPr>
          <w:rFonts w:hint="eastAsia" w:ascii="仿宋" w:hAnsi="仿宋" w:eastAsia="仿宋" w:cs="仿宋"/>
          <w:b/>
          <w:color w:val="auto"/>
          <w:sz w:val="24"/>
          <w:highlight w:val="none"/>
          <w:lang w:val="en-US" w:eastAsia="zh-CN"/>
        </w:rPr>
        <w:t>9680000</w:t>
      </w:r>
    </w:p>
    <w:p>
      <w:pPr>
        <w:pStyle w:val="5"/>
        <w:spacing w:line="480" w:lineRule="auto"/>
        <w:ind w:firstLine="480"/>
        <w:rPr>
          <w:rFonts w:hint="eastAsia" w:ascii="仿宋" w:hAnsi="仿宋" w:eastAsia="仿宋" w:cs="仿宋"/>
          <w:bCs/>
          <w:color w:val="auto"/>
          <w:kern w:val="2"/>
          <w:sz w:val="24"/>
          <w:szCs w:val="24"/>
          <w:highlight w:val="none"/>
        </w:rPr>
      </w:pPr>
      <w:r>
        <w:rPr>
          <w:rFonts w:hint="eastAsia" w:ascii="仿宋" w:hAnsi="仿宋" w:eastAsia="仿宋" w:cs="仿宋"/>
          <w:b/>
          <w:color w:val="auto"/>
          <w:sz w:val="24"/>
          <w:highlight w:val="none"/>
        </w:rPr>
        <w:t>采购需求：</w:t>
      </w:r>
      <w:r>
        <w:rPr>
          <w:rFonts w:hint="eastAsia" w:ascii="仿宋" w:hAnsi="仿宋" w:eastAsia="仿宋" w:cs="仿宋"/>
          <w:bCs/>
          <w:color w:val="auto"/>
          <w:kern w:val="2"/>
          <w:sz w:val="24"/>
          <w:szCs w:val="24"/>
          <w:highlight w:val="none"/>
          <w:lang w:eastAsia="zh-CN"/>
        </w:rPr>
        <w:t>余杭街道</w:t>
      </w:r>
      <w:r>
        <w:rPr>
          <w:rFonts w:hint="eastAsia" w:ascii="仿宋" w:hAnsi="仿宋" w:eastAsia="仿宋" w:cs="仿宋"/>
          <w:bCs/>
          <w:color w:val="auto"/>
          <w:kern w:val="2"/>
          <w:sz w:val="24"/>
          <w:szCs w:val="24"/>
          <w:highlight w:val="none"/>
          <w:lang w:val="en-US" w:eastAsia="zh-CN"/>
        </w:rPr>
        <w:t>2023年</w:t>
      </w:r>
      <w:r>
        <w:rPr>
          <w:rFonts w:hint="eastAsia" w:ascii="仿宋" w:hAnsi="仿宋" w:eastAsia="仿宋" w:cs="仿宋"/>
          <w:bCs/>
          <w:color w:val="auto"/>
          <w:kern w:val="2"/>
          <w:sz w:val="24"/>
          <w:szCs w:val="24"/>
          <w:highlight w:val="none"/>
          <w:lang w:eastAsia="zh-CN"/>
        </w:rPr>
        <w:t>区域性微型消防救援站服务外包项目</w:t>
      </w:r>
      <w:r>
        <w:rPr>
          <w:rFonts w:hint="eastAsia" w:ascii="仿宋" w:hAnsi="仿宋" w:eastAsia="仿宋" w:cs="仿宋"/>
          <w:bCs/>
          <w:color w:val="auto"/>
          <w:kern w:val="2"/>
          <w:sz w:val="24"/>
          <w:szCs w:val="24"/>
          <w:highlight w:val="none"/>
        </w:rPr>
        <w:t>。</w:t>
      </w:r>
      <w:r>
        <w:rPr>
          <w:rFonts w:hint="eastAsia" w:ascii="仿宋" w:hAnsi="仿宋" w:eastAsia="仿宋" w:cs="仿宋"/>
          <w:color w:val="auto"/>
          <w:kern w:val="2"/>
          <w:sz w:val="24"/>
          <w:szCs w:val="24"/>
          <w:highlight w:val="none"/>
        </w:rPr>
        <w:t>具体内容和相关要求详见招标文件</w:t>
      </w:r>
      <w:r>
        <w:rPr>
          <w:rFonts w:hint="eastAsia" w:ascii="仿宋" w:hAnsi="仿宋" w:eastAsia="仿宋" w:cs="仿宋"/>
          <w:color w:val="auto"/>
          <w:kern w:val="2"/>
          <w:sz w:val="24"/>
          <w:szCs w:val="24"/>
          <w:highlight w:val="none"/>
          <w:lang w:eastAsia="zh-CN"/>
        </w:rPr>
        <w:t>“</w:t>
      </w:r>
      <w:r>
        <w:rPr>
          <w:rFonts w:hint="eastAsia" w:ascii="仿宋" w:hAnsi="仿宋" w:eastAsia="仿宋" w:cs="仿宋"/>
          <w:color w:val="auto"/>
          <w:kern w:val="2"/>
          <w:sz w:val="24"/>
          <w:szCs w:val="24"/>
          <w:highlight w:val="none"/>
        </w:rPr>
        <w:t>第三部分</w:t>
      </w:r>
      <w:r>
        <w:rPr>
          <w:rFonts w:hint="eastAsia" w:ascii="仿宋" w:hAnsi="仿宋" w:eastAsia="仿宋" w:cs="仿宋"/>
          <w:color w:val="auto"/>
          <w:kern w:val="2"/>
          <w:sz w:val="24"/>
          <w:szCs w:val="24"/>
          <w:highlight w:val="none"/>
          <w:lang w:val="en-US" w:eastAsia="zh-CN"/>
        </w:rPr>
        <w:t xml:space="preserve"> </w:t>
      </w:r>
      <w:r>
        <w:rPr>
          <w:rFonts w:hint="eastAsia" w:ascii="仿宋" w:hAnsi="仿宋" w:eastAsia="仿宋" w:cs="仿宋"/>
          <w:color w:val="auto"/>
          <w:kern w:val="2"/>
          <w:sz w:val="24"/>
          <w:szCs w:val="24"/>
          <w:highlight w:val="none"/>
        </w:rPr>
        <w:t>采购需求</w:t>
      </w:r>
      <w:r>
        <w:rPr>
          <w:rFonts w:hint="eastAsia" w:ascii="仿宋" w:hAnsi="仿宋" w:eastAsia="仿宋" w:cs="仿宋"/>
          <w:color w:val="auto"/>
          <w:kern w:val="2"/>
          <w:sz w:val="24"/>
          <w:szCs w:val="24"/>
          <w:highlight w:val="none"/>
          <w:lang w:eastAsia="zh-CN"/>
        </w:rPr>
        <w:t>”</w:t>
      </w:r>
      <w:r>
        <w:rPr>
          <w:rFonts w:hint="eastAsia" w:ascii="仿宋" w:hAnsi="仿宋" w:eastAsia="仿宋" w:cs="仿宋"/>
          <w:color w:val="auto"/>
          <w:kern w:val="2"/>
          <w:sz w:val="24"/>
          <w:szCs w:val="24"/>
          <w:highlight w:val="none"/>
        </w:rPr>
        <w:t>，供应商可点击本公告下方“浏览采购文件”查看采购需求。</w:t>
      </w:r>
    </w:p>
    <w:p>
      <w:pPr>
        <w:pStyle w:val="33"/>
        <w:snapToGrid w:val="0"/>
        <w:spacing w:before="120" w:beforeLines="50" w:after="120" w:afterLines="50" w:line="360" w:lineRule="auto"/>
        <w:ind w:firstLine="422" w:firstLineChars="200"/>
        <w:rPr>
          <w:rFonts w:hint="eastAsia" w:ascii="仿宋" w:hAnsi="仿宋" w:eastAsia="仿宋" w:cs="仿宋"/>
          <w:color w:val="auto"/>
          <w:highlight w:val="none"/>
        </w:rPr>
      </w:pPr>
      <w:r>
        <w:rPr>
          <w:rFonts w:hint="eastAsia" w:ascii="仿宋" w:hAnsi="仿宋" w:eastAsia="仿宋" w:cs="仿宋"/>
          <w:b/>
          <w:color w:val="auto"/>
          <w:highlight w:val="none"/>
        </w:rPr>
        <w:t>合同履约期限：</w:t>
      </w:r>
      <w:r>
        <w:rPr>
          <w:rFonts w:hint="eastAsia" w:ascii="仿宋" w:hAnsi="仿宋" w:eastAsia="仿宋" w:cs="仿宋"/>
          <w:color w:val="auto"/>
          <w:kern w:val="0"/>
          <w:sz w:val="24"/>
          <w:szCs w:val="24"/>
          <w:highlight w:val="none"/>
          <w:lang w:val="en-US" w:eastAsia="zh-CN" w:bidi="ar-SA"/>
        </w:rPr>
        <w:t>自合同签订之日起开始计算，合同期为壹年。</w:t>
      </w:r>
      <w:r>
        <w:rPr>
          <w:rFonts w:hint="eastAsia" w:ascii="仿宋" w:hAnsi="仿宋" w:eastAsia="仿宋" w:cs="仿宋"/>
          <w:color w:val="auto"/>
          <w:highlight w:val="none"/>
        </w:rPr>
        <w:t xml:space="preserve"> </w:t>
      </w:r>
    </w:p>
    <w:p>
      <w:pPr>
        <w:pStyle w:val="5"/>
        <w:spacing w:line="480" w:lineRule="auto"/>
        <w:ind w:firstLine="480"/>
        <w:rPr>
          <w:rFonts w:hint="eastAsia" w:ascii="仿宋" w:hAnsi="仿宋" w:eastAsia="仿宋" w:cs="仿宋"/>
          <w:b/>
          <w:color w:val="auto"/>
          <w:highlight w:val="none"/>
        </w:rPr>
      </w:pPr>
      <w:r>
        <w:rPr>
          <w:rFonts w:hint="eastAsia" w:ascii="仿宋" w:hAnsi="仿宋" w:eastAsia="仿宋" w:cs="仿宋"/>
          <w:b/>
          <w:color w:val="auto"/>
          <w:sz w:val="24"/>
          <w:highlight w:val="none"/>
        </w:rPr>
        <w:t>本项目接受联合体投标：</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rPr>
        <w:sym w:font="Wingdings" w:char="F0FE"/>
      </w:r>
      <w:r>
        <w:rPr>
          <w:rFonts w:hint="eastAsia" w:ascii="仿宋" w:hAnsi="仿宋" w:eastAsia="仿宋" w:cs="仿宋"/>
          <w:b/>
          <w:color w:val="auto"/>
          <w:sz w:val="24"/>
          <w:highlight w:val="none"/>
        </w:rPr>
        <w:t>是；</w:t>
      </w:r>
      <w:r>
        <w:rPr>
          <w:rFonts w:hint="eastAsia" w:ascii="仿宋" w:hAnsi="仿宋" w:eastAsia="仿宋" w:cs="仿宋"/>
          <w:color w:val="auto"/>
          <w:kern w:val="0"/>
          <w:sz w:val="24"/>
          <w:highlight w:val="none"/>
        </w:rPr>
        <w:t>☐</w:t>
      </w:r>
      <w:r>
        <w:rPr>
          <w:rFonts w:hint="eastAsia" w:ascii="仿宋" w:hAnsi="仿宋" w:eastAsia="仿宋" w:cs="仿宋"/>
          <w:b/>
          <w:color w:val="auto"/>
          <w:sz w:val="24"/>
          <w:highlight w:val="none"/>
        </w:rPr>
        <w:t>否</w:t>
      </w:r>
      <w:r>
        <w:rPr>
          <w:rFonts w:hint="eastAsia" w:ascii="仿宋" w:hAnsi="仿宋" w:eastAsia="仿宋" w:cs="仿宋"/>
          <w:color w:val="auto"/>
          <w:kern w:val="0"/>
          <w:sz w:val="24"/>
          <w:highlight w:val="none"/>
        </w:rPr>
        <w:t>。</w:t>
      </w:r>
    </w:p>
    <w:p>
      <w:pPr>
        <w:spacing w:line="48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二、申请人的资格要求：</w:t>
      </w:r>
    </w:p>
    <w:p>
      <w:pPr>
        <w:spacing w:line="480" w:lineRule="auto"/>
        <w:ind w:firstLine="480"/>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1. 满足《中华人民共和国政府采购法》第二十二条规定；未被“信用中国”（www.creditchina.gov.cn)、中国政府采购网（www.ccgp.gov.cn）列入失信被执行人、重大税收违法案件当事人名单、政府采购严重违法失信行为记录名单；</w:t>
      </w:r>
    </w:p>
    <w:p>
      <w:pPr>
        <w:spacing w:line="480" w:lineRule="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 xml:space="preserve">    2.</w:t>
      </w:r>
      <w:r>
        <w:rPr>
          <w:rFonts w:hint="eastAsia" w:ascii="仿宋" w:hAnsi="仿宋" w:eastAsia="仿宋" w:cs="仿宋"/>
          <w:color w:val="auto"/>
          <w:highlight w:val="none"/>
        </w:rPr>
        <w:t xml:space="preserve"> </w:t>
      </w:r>
      <w:r>
        <w:rPr>
          <w:rFonts w:hint="eastAsia" w:ascii="仿宋" w:hAnsi="仿宋" w:eastAsia="仿宋" w:cs="仿宋"/>
          <w:snapToGrid w:val="0"/>
          <w:color w:val="auto"/>
          <w:kern w:val="28"/>
          <w:sz w:val="24"/>
          <w:szCs w:val="20"/>
          <w:highlight w:val="none"/>
        </w:rPr>
        <w:t>以联合体形式投标的，提供联合协议(本项目不接受联合体投标或者投标人不以联合体形式投标的，则不需要提供) ；</w:t>
      </w:r>
    </w:p>
    <w:p>
      <w:pPr>
        <w:spacing w:line="480" w:lineRule="auto"/>
        <w:ind w:firstLine="480" w:firstLineChars="200"/>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3.落实政府采购政策需满足的资格要求：</w:t>
      </w:r>
    </w:p>
    <w:p>
      <w:pPr>
        <w:spacing w:line="48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无</w:t>
      </w:r>
      <w:r>
        <w:rPr>
          <w:rFonts w:hint="eastAsia" w:ascii="仿宋" w:hAnsi="仿宋" w:eastAsia="仿宋" w:cs="仿宋"/>
          <w:snapToGrid w:val="0"/>
          <w:color w:val="auto"/>
          <w:kern w:val="28"/>
          <w:sz w:val="24"/>
          <w:szCs w:val="20"/>
          <w:highlight w:val="none"/>
        </w:rPr>
        <w:t>（注：不得限制大中型企业与小微企业组成联合体参与投标）；</w:t>
      </w:r>
    </w:p>
    <w:p>
      <w:pPr>
        <w:spacing w:line="480" w:lineRule="auto"/>
        <w:ind w:firstLine="480" w:firstLineChars="200"/>
        <w:rPr>
          <w:rFonts w:hint="eastAsia" w:ascii="仿宋" w:hAnsi="仿宋" w:eastAsia="仿宋" w:cs="仿宋"/>
          <w:color w:val="auto"/>
          <w:sz w:val="24"/>
          <w:highlight w:val="none"/>
        </w:rPr>
      </w:pPr>
      <w:r>
        <w:rPr>
          <w:rFonts w:hint="eastAsia" w:ascii="Wingdings" w:hAnsi="Wingdings" w:eastAsia="仿宋" w:cs="仿宋"/>
          <w:color w:val="auto"/>
          <w:kern w:val="0"/>
          <w:sz w:val="24"/>
          <w:szCs w:val="24"/>
          <w:highlight w:val="none"/>
          <w:lang w:val="en-US" w:eastAsia="zh-CN" w:bidi="ar-SA"/>
        </w:rPr>
        <w:t>þ</w:t>
      </w:r>
      <w:r>
        <w:rPr>
          <w:rFonts w:hint="eastAsia" w:ascii="仿宋" w:hAnsi="仿宋" w:eastAsia="仿宋" w:cs="仿宋"/>
          <w:color w:val="auto"/>
          <w:kern w:val="0"/>
          <w:sz w:val="24"/>
          <w:highlight w:val="none"/>
        </w:rPr>
        <w:t>专</w:t>
      </w:r>
      <w:r>
        <w:rPr>
          <w:rFonts w:hint="eastAsia" w:ascii="仿宋" w:hAnsi="仿宋" w:eastAsia="仿宋" w:cs="仿宋"/>
          <w:color w:val="auto"/>
          <w:sz w:val="24"/>
          <w:highlight w:val="none"/>
        </w:rPr>
        <w:t>门面向中小企业</w:t>
      </w:r>
    </w:p>
    <w:p>
      <w:pPr>
        <w:spacing w:line="480" w:lineRule="auto"/>
        <w:ind w:firstLine="897" w:firstLineChars="374"/>
        <w:rPr>
          <w:rFonts w:hint="eastAsia" w:ascii="仿宋" w:hAnsi="仿宋" w:eastAsia="仿宋" w:cs="仿宋"/>
          <w:color w:val="auto"/>
          <w:sz w:val="24"/>
          <w:highlight w:val="none"/>
        </w:rPr>
      </w:pPr>
      <w:r>
        <w:rPr>
          <w:rFonts w:hint="eastAsia" w:ascii="Wingdings" w:hAnsi="Wingdings" w:eastAsia="仿宋" w:cs="仿宋"/>
          <w:color w:val="auto"/>
          <w:kern w:val="0"/>
          <w:sz w:val="24"/>
          <w:szCs w:val="24"/>
          <w:highlight w:val="none"/>
          <w:lang w:val="en-US" w:eastAsia="zh-CN" w:bidi="ar-SA"/>
        </w:rPr>
        <w:t>þ</w:t>
      </w:r>
      <w:r>
        <w:rPr>
          <w:rFonts w:hint="eastAsia" w:ascii="仿宋" w:hAnsi="仿宋" w:eastAsia="仿宋" w:cs="仿宋"/>
          <w:color w:val="auto"/>
          <w:sz w:val="24"/>
          <w:highlight w:val="none"/>
        </w:rPr>
        <w:t>服务全部由符合政策要求的中小企业承接，提供中小企业声明函；</w:t>
      </w:r>
    </w:p>
    <w:p>
      <w:pPr>
        <w:spacing w:line="480" w:lineRule="auto"/>
        <w:ind w:firstLine="897" w:firstLineChars="374"/>
        <w:rPr>
          <w:rFonts w:hint="eastAsia" w:ascii="仿宋" w:hAnsi="仿宋" w:eastAsia="仿宋" w:cs="仿宋"/>
          <w:color w:val="auto"/>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服务全部由符合政策要求的小微企业承接，提供中小企业声明函；</w:t>
      </w:r>
    </w:p>
    <w:p>
      <w:pPr>
        <w:spacing w:line="48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要求以联合体形式参加，提供联合协议和中小企业声明函，联合协议中中小企业合同金额应当达到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%，其中小微企业合同金额应当达到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spacing w:val="8"/>
          <w:kern w:val="0"/>
          <w:sz w:val="24"/>
          <w:highlight w:val="none"/>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color w:val="auto"/>
          <w:sz w:val="24"/>
          <w:highlight w:val="none"/>
        </w:rPr>
        <w:t>；</w:t>
      </w:r>
    </w:p>
    <w:p>
      <w:pPr>
        <w:spacing w:line="48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要求合同分包，提供分包意向协议和中小企业声明函，分包意向协议中中小企业合同金额应当达到达到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，其中小微企业合同金额应当达到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w:t>
      </w:r>
      <w:r>
        <w:rPr>
          <w:rFonts w:hint="eastAsia" w:ascii="仿宋" w:hAnsi="仿宋" w:eastAsia="仿宋" w:cs="仿宋"/>
          <w:color w:val="auto"/>
          <w:spacing w:val="8"/>
          <w:kern w:val="0"/>
          <w:sz w:val="24"/>
          <w:highlight w:val="none"/>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color w:val="auto"/>
          <w:sz w:val="24"/>
          <w:highlight w:val="none"/>
        </w:rPr>
        <w:t>；</w:t>
      </w:r>
    </w:p>
    <w:p>
      <w:pPr>
        <w:spacing w:line="48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4.本项目的特定资格要求：</w:t>
      </w:r>
      <w:r>
        <w:rPr>
          <w:rFonts w:hint="eastAsia" w:ascii="仿宋" w:hAnsi="仿宋" w:eastAsia="仿宋" w:cs="仿宋"/>
          <w:color w:val="auto"/>
          <w:sz w:val="24"/>
          <w:highlight w:val="none"/>
          <w:lang w:val="en-US" w:eastAsia="zh-CN"/>
        </w:rPr>
        <w:t>无</w:t>
      </w:r>
      <w:r>
        <w:rPr>
          <w:rFonts w:hint="eastAsia" w:ascii="仿宋" w:hAnsi="仿宋" w:eastAsia="仿宋" w:cs="仿宋"/>
          <w:color w:val="auto"/>
          <w:sz w:val="24"/>
          <w:highlight w:val="none"/>
        </w:rPr>
        <w:t>；</w:t>
      </w:r>
    </w:p>
    <w:p>
      <w:pPr>
        <w:snapToGrid w:val="0"/>
        <w:spacing w:line="48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pPr>
        <w:spacing w:line="48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 xml:space="preserve">三、获取招标文件 </w:t>
      </w:r>
    </w:p>
    <w:p>
      <w:pPr>
        <w:spacing w:line="480" w:lineRule="auto"/>
        <w:ind w:firstLine="482" w:firstLineChars="200"/>
        <w:rPr>
          <w:rFonts w:hint="eastAsia" w:ascii="仿宋" w:hAnsi="仿宋" w:eastAsia="仿宋" w:cs="仿宋"/>
          <w:color w:val="auto"/>
          <w:sz w:val="24"/>
          <w:highlight w:val="none"/>
        </w:rPr>
      </w:pPr>
      <w:r>
        <w:rPr>
          <w:rFonts w:hint="eastAsia" w:ascii="仿宋" w:hAnsi="仿宋" w:eastAsia="仿宋" w:cs="仿宋"/>
          <w:b/>
          <w:color w:val="auto"/>
          <w:sz w:val="24"/>
          <w:highlight w:val="none"/>
        </w:rPr>
        <w:t>时间：</w:t>
      </w:r>
      <w:r>
        <w:rPr>
          <w:rFonts w:hint="eastAsia" w:ascii="仿宋" w:hAnsi="仿宋" w:eastAsia="仿宋" w:cs="仿宋"/>
          <w:color w:val="auto"/>
          <w:sz w:val="24"/>
          <w:highlight w:val="none"/>
        </w:rPr>
        <w:t>/至</w:t>
      </w:r>
      <w:r>
        <w:rPr>
          <w:rFonts w:hint="eastAsia" w:ascii="仿宋" w:hAnsi="仿宋" w:eastAsia="仿宋" w:cs="仿宋"/>
          <w:color w:val="auto"/>
          <w:sz w:val="24"/>
          <w:highlight w:val="none"/>
          <w:u w:val="single"/>
        </w:rPr>
        <w:t>202</w:t>
      </w:r>
      <w:r>
        <w:rPr>
          <w:rFonts w:hint="eastAsia" w:ascii="仿宋" w:hAnsi="仿宋" w:eastAsia="仿宋" w:cs="仿宋"/>
          <w:color w:val="auto"/>
          <w:sz w:val="24"/>
          <w:highlight w:val="none"/>
          <w:u w:val="single"/>
          <w:lang w:val="en-US" w:eastAsia="zh-CN"/>
        </w:rPr>
        <w:t>3</w:t>
      </w:r>
      <w:r>
        <w:rPr>
          <w:rFonts w:hint="eastAsia" w:ascii="仿宋" w:hAnsi="仿宋" w:eastAsia="仿宋" w:cs="仿宋"/>
          <w:color w:val="auto"/>
          <w:sz w:val="24"/>
          <w:highlight w:val="none"/>
          <w:u w:val="single"/>
        </w:rPr>
        <w:t>年</w:t>
      </w:r>
      <w:r>
        <w:rPr>
          <w:rFonts w:hint="eastAsia" w:ascii="仿宋" w:hAnsi="仿宋" w:eastAsia="仿宋" w:cs="仿宋"/>
          <w:color w:val="auto"/>
          <w:sz w:val="24"/>
          <w:highlight w:val="none"/>
          <w:u w:val="single"/>
          <w:lang w:val="en-US" w:eastAsia="zh-CN"/>
        </w:rPr>
        <w:t>9</w:t>
      </w:r>
      <w:r>
        <w:rPr>
          <w:rFonts w:hint="eastAsia" w:ascii="仿宋" w:hAnsi="仿宋" w:eastAsia="仿宋" w:cs="仿宋"/>
          <w:color w:val="auto"/>
          <w:sz w:val="24"/>
          <w:highlight w:val="none"/>
          <w:u w:val="single"/>
        </w:rPr>
        <w:t>月</w:t>
      </w:r>
      <w:r>
        <w:rPr>
          <w:rFonts w:hint="eastAsia" w:ascii="仿宋" w:hAnsi="仿宋" w:eastAsia="仿宋" w:cs="仿宋"/>
          <w:color w:val="auto"/>
          <w:sz w:val="24"/>
          <w:highlight w:val="none"/>
          <w:u w:val="single"/>
          <w:lang w:val="en-US" w:eastAsia="zh-CN"/>
        </w:rPr>
        <w:t>12</w:t>
      </w:r>
      <w:r>
        <w:rPr>
          <w:rFonts w:hint="eastAsia" w:ascii="仿宋" w:hAnsi="仿宋" w:eastAsia="仿宋" w:cs="仿宋"/>
          <w:color w:val="auto"/>
          <w:sz w:val="24"/>
          <w:highlight w:val="none"/>
          <w:u w:val="single"/>
        </w:rPr>
        <w:t>日</w:t>
      </w:r>
      <w:r>
        <w:rPr>
          <w:rFonts w:hint="eastAsia" w:ascii="仿宋" w:hAnsi="仿宋" w:eastAsia="仿宋" w:cs="仿宋"/>
          <w:color w:val="auto"/>
          <w:sz w:val="24"/>
          <w:highlight w:val="none"/>
        </w:rPr>
        <w:t>，每天上午00:00至12:00 ，下午12:00至23:59（北京时间，线上获取法定节假日均可，线下获取文件法定节假日除外）</w:t>
      </w:r>
    </w:p>
    <w:p>
      <w:pPr>
        <w:spacing w:line="480" w:lineRule="auto"/>
        <w:ind w:firstLine="482" w:firstLineChars="200"/>
        <w:rPr>
          <w:rFonts w:hint="eastAsia" w:ascii="仿宋" w:hAnsi="仿宋" w:eastAsia="仿宋" w:cs="仿宋"/>
          <w:color w:val="auto"/>
          <w:sz w:val="24"/>
          <w:highlight w:val="none"/>
        </w:rPr>
      </w:pPr>
      <w:r>
        <w:rPr>
          <w:rFonts w:hint="eastAsia" w:ascii="仿宋" w:hAnsi="仿宋" w:eastAsia="仿宋" w:cs="仿宋"/>
          <w:b/>
          <w:color w:val="auto"/>
          <w:sz w:val="24"/>
          <w:highlight w:val="none"/>
        </w:rPr>
        <w:t>地点（网址）：</w:t>
      </w:r>
      <w:r>
        <w:rPr>
          <w:rFonts w:hint="eastAsia" w:ascii="仿宋" w:hAnsi="仿宋" w:eastAsia="仿宋" w:cs="仿宋"/>
          <w:color w:val="auto"/>
          <w:sz w:val="24"/>
          <w:highlight w:val="none"/>
        </w:rPr>
        <w:t xml:space="preserve">政采云平台（https://www.zcygov.cn/） </w:t>
      </w:r>
    </w:p>
    <w:p>
      <w:pPr>
        <w:spacing w:line="480" w:lineRule="auto"/>
        <w:ind w:firstLine="482" w:firstLineChars="200"/>
        <w:rPr>
          <w:rFonts w:hint="eastAsia" w:ascii="仿宋" w:hAnsi="仿宋" w:eastAsia="仿宋" w:cs="仿宋"/>
          <w:color w:val="auto"/>
          <w:sz w:val="24"/>
          <w:highlight w:val="none"/>
        </w:rPr>
      </w:pPr>
      <w:r>
        <w:rPr>
          <w:rFonts w:hint="eastAsia" w:ascii="仿宋" w:hAnsi="仿宋" w:eastAsia="仿宋" w:cs="仿宋"/>
          <w:b/>
          <w:color w:val="auto"/>
          <w:sz w:val="24"/>
          <w:highlight w:val="none"/>
        </w:rPr>
        <w:t>方式：</w:t>
      </w:r>
      <w:r>
        <w:rPr>
          <w:rFonts w:hint="eastAsia" w:ascii="仿宋" w:hAnsi="仿宋" w:eastAsia="仿宋" w:cs="仿宋"/>
          <w:color w:val="auto"/>
          <w:sz w:val="24"/>
          <w:highlight w:val="none"/>
        </w:rPr>
        <w:t xml:space="preserve">供应商登录政采云平台https://www.zcygov.cn/在线申请获取采购文件（进入“项目采购”应用，在获取采购文件菜单中选择项目，申请获取采购文件）。 </w:t>
      </w:r>
    </w:p>
    <w:p>
      <w:pPr>
        <w:spacing w:line="480" w:lineRule="auto"/>
        <w:ind w:firstLine="482" w:firstLineChars="200"/>
        <w:rPr>
          <w:rFonts w:hint="eastAsia" w:ascii="仿宋" w:hAnsi="仿宋" w:eastAsia="仿宋" w:cs="仿宋"/>
          <w:color w:val="auto"/>
          <w:sz w:val="24"/>
          <w:highlight w:val="none"/>
        </w:rPr>
      </w:pPr>
      <w:r>
        <w:rPr>
          <w:rFonts w:hint="eastAsia" w:ascii="仿宋" w:hAnsi="仿宋" w:eastAsia="仿宋" w:cs="仿宋"/>
          <w:b/>
          <w:color w:val="auto"/>
          <w:sz w:val="24"/>
          <w:highlight w:val="none"/>
        </w:rPr>
        <w:t>售价（元）：</w:t>
      </w:r>
      <w:r>
        <w:rPr>
          <w:rFonts w:hint="eastAsia" w:ascii="仿宋" w:hAnsi="仿宋" w:eastAsia="仿宋" w:cs="仿宋"/>
          <w:color w:val="auto"/>
          <w:sz w:val="24"/>
          <w:highlight w:val="none"/>
        </w:rPr>
        <w:t xml:space="preserve">0 </w:t>
      </w:r>
      <w:r>
        <w:rPr>
          <w:rFonts w:hint="eastAsia" w:ascii="仿宋" w:hAnsi="仿宋" w:eastAsia="仿宋" w:cs="仿宋"/>
          <w:color w:val="auto"/>
          <w:sz w:val="24"/>
          <w:highlight w:val="none"/>
        </w:rPr>
        <w:tab/>
      </w:r>
    </w:p>
    <w:p>
      <w:pPr>
        <w:spacing w:line="48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四、提交投标文件截止时间、开标时间和地点</w:t>
      </w:r>
    </w:p>
    <w:p>
      <w:pPr>
        <w:spacing w:line="480" w:lineRule="auto"/>
        <w:ind w:firstLine="482" w:firstLineChars="200"/>
        <w:rPr>
          <w:rFonts w:hint="eastAsia" w:ascii="仿宋" w:hAnsi="仿宋" w:eastAsia="仿宋" w:cs="仿宋"/>
          <w:color w:val="auto"/>
          <w:sz w:val="24"/>
          <w:highlight w:val="none"/>
        </w:rPr>
      </w:pPr>
      <w:r>
        <w:rPr>
          <w:rFonts w:hint="eastAsia" w:ascii="仿宋" w:hAnsi="仿宋" w:eastAsia="仿宋" w:cs="仿宋"/>
          <w:b/>
          <w:color w:val="auto"/>
          <w:sz w:val="24"/>
          <w:highlight w:val="none"/>
        </w:rPr>
        <w:t>提交投标文件截止时间：</w:t>
      </w:r>
      <w:r>
        <w:rPr>
          <w:rFonts w:hint="eastAsia" w:ascii="仿宋" w:hAnsi="仿宋" w:eastAsia="仿宋" w:cs="仿宋"/>
          <w:color w:val="auto"/>
          <w:sz w:val="24"/>
          <w:highlight w:val="none"/>
          <w:u w:val="single"/>
        </w:rPr>
        <w:t xml:space="preserve"> 202</w:t>
      </w:r>
      <w:r>
        <w:rPr>
          <w:rFonts w:hint="eastAsia" w:ascii="仿宋" w:hAnsi="仿宋" w:eastAsia="仿宋" w:cs="仿宋"/>
          <w:color w:val="auto"/>
          <w:sz w:val="24"/>
          <w:highlight w:val="none"/>
          <w:u w:val="single"/>
          <w:lang w:val="en-US" w:eastAsia="zh-CN"/>
        </w:rPr>
        <w:t>3</w:t>
      </w:r>
      <w:r>
        <w:rPr>
          <w:rFonts w:hint="eastAsia" w:ascii="仿宋" w:hAnsi="仿宋" w:eastAsia="仿宋" w:cs="仿宋"/>
          <w:color w:val="auto"/>
          <w:sz w:val="24"/>
          <w:highlight w:val="none"/>
          <w:u w:val="single"/>
        </w:rPr>
        <w:t>年</w:t>
      </w:r>
      <w:r>
        <w:rPr>
          <w:rFonts w:hint="eastAsia" w:ascii="仿宋" w:hAnsi="仿宋" w:eastAsia="仿宋" w:cs="仿宋"/>
          <w:color w:val="auto"/>
          <w:sz w:val="24"/>
          <w:highlight w:val="none"/>
          <w:u w:val="single"/>
          <w:lang w:val="en-US" w:eastAsia="zh-CN"/>
        </w:rPr>
        <w:t>9</w:t>
      </w:r>
      <w:r>
        <w:rPr>
          <w:rFonts w:hint="eastAsia" w:ascii="仿宋" w:hAnsi="仿宋" w:eastAsia="仿宋" w:cs="仿宋"/>
          <w:color w:val="auto"/>
          <w:sz w:val="24"/>
          <w:highlight w:val="none"/>
          <w:u w:val="single"/>
        </w:rPr>
        <w:t>月</w:t>
      </w:r>
      <w:r>
        <w:rPr>
          <w:rFonts w:hint="eastAsia" w:ascii="仿宋" w:hAnsi="仿宋" w:eastAsia="仿宋" w:cs="仿宋"/>
          <w:color w:val="auto"/>
          <w:sz w:val="24"/>
          <w:highlight w:val="none"/>
          <w:u w:val="single"/>
          <w:lang w:val="en-US" w:eastAsia="zh-CN"/>
        </w:rPr>
        <w:t>12</w:t>
      </w:r>
      <w:r>
        <w:rPr>
          <w:rFonts w:hint="eastAsia" w:ascii="仿宋" w:hAnsi="仿宋" w:eastAsia="仿宋" w:cs="仿宋"/>
          <w:color w:val="auto"/>
          <w:sz w:val="24"/>
          <w:highlight w:val="none"/>
          <w:u w:val="single"/>
        </w:rPr>
        <w:t>日</w:t>
      </w:r>
      <w:r>
        <w:rPr>
          <w:rFonts w:hint="eastAsia" w:ascii="仿宋" w:hAnsi="仿宋" w:eastAsia="仿宋" w:cs="仿宋"/>
          <w:color w:val="auto"/>
          <w:sz w:val="24"/>
          <w:highlight w:val="none"/>
          <w:u w:val="single"/>
          <w:lang w:val="en-US" w:eastAsia="zh-CN"/>
        </w:rPr>
        <w:t>13</w:t>
      </w:r>
      <w:r>
        <w:rPr>
          <w:rFonts w:hint="eastAsia" w:ascii="仿宋" w:hAnsi="仿宋" w:eastAsia="仿宋" w:cs="仿宋"/>
          <w:color w:val="auto"/>
          <w:sz w:val="24"/>
          <w:highlight w:val="none"/>
          <w:u w:val="single"/>
        </w:rPr>
        <w:t>点</w:t>
      </w:r>
      <w:r>
        <w:rPr>
          <w:rFonts w:hint="eastAsia" w:ascii="仿宋" w:hAnsi="仿宋" w:eastAsia="仿宋" w:cs="仿宋"/>
          <w:color w:val="auto"/>
          <w:sz w:val="24"/>
          <w:highlight w:val="none"/>
          <w:u w:val="single"/>
          <w:lang w:val="en-US" w:eastAsia="zh-CN"/>
        </w:rPr>
        <w:t>30</w:t>
      </w:r>
      <w:r>
        <w:rPr>
          <w:rFonts w:hint="eastAsia" w:ascii="仿宋" w:hAnsi="仿宋" w:eastAsia="仿宋" w:cs="仿宋"/>
          <w:color w:val="auto"/>
          <w:sz w:val="24"/>
          <w:highlight w:val="none"/>
          <w:u w:val="single"/>
        </w:rPr>
        <w:t>分00秒</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highlight w:val="none"/>
        </w:rPr>
        <w:t>（北京时间）</w:t>
      </w:r>
    </w:p>
    <w:p>
      <w:pPr>
        <w:spacing w:line="480" w:lineRule="auto"/>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投标地点（网址）：</w:t>
      </w:r>
      <w:r>
        <w:rPr>
          <w:rFonts w:hint="eastAsia" w:ascii="仿宋" w:hAnsi="仿宋" w:eastAsia="仿宋" w:cs="仿宋"/>
          <w:color w:val="auto"/>
          <w:sz w:val="24"/>
          <w:highlight w:val="none"/>
        </w:rPr>
        <w:t>政采云平台（https://www.zcygov.cn/）</w:t>
      </w:r>
      <w:r>
        <w:rPr>
          <w:rFonts w:hint="eastAsia" w:ascii="仿宋" w:hAnsi="仿宋" w:eastAsia="仿宋" w:cs="仿宋"/>
          <w:b w:val="0"/>
          <w:bCs/>
          <w:color w:val="auto"/>
          <w:sz w:val="24"/>
          <w:highlight w:val="none"/>
        </w:rPr>
        <w:t xml:space="preserve">线上投标响应 </w:t>
      </w:r>
      <w:r>
        <w:rPr>
          <w:rFonts w:hint="eastAsia" w:ascii="仿宋" w:hAnsi="仿宋" w:eastAsia="仿宋" w:cs="仿宋"/>
          <w:b w:val="0"/>
          <w:bCs/>
          <w:color w:val="auto"/>
          <w:sz w:val="24"/>
          <w:highlight w:val="none"/>
          <w:lang w:val="en-US" w:eastAsia="zh-CN"/>
        </w:rPr>
        <w:t>；</w:t>
      </w:r>
      <w:r>
        <w:rPr>
          <w:rFonts w:hint="eastAsia" w:ascii="仿宋" w:hAnsi="仿宋" w:eastAsia="仿宋" w:cs="仿宋"/>
          <w:b w:val="0"/>
          <w:bCs/>
          <w:color w:val="auto"/>
          <w:sz w:val="24"/>
          <w:highlight w:val="none"/>
        </w:rPr>
        <w:t xml:space="preserve"> </w:t>
      </w:r>
    </w:p>
    <w:p>
      <w:pPr>
        <w:spacing w:line="480" w:lineRule="auto"/>
        <w:ind w:firstLine="482" w:firstLineChars="200"/>
        <w:rPr>
          <w:rFonts w:hint="eastAsia" w:ascii="仿宋" w:hAnsi="仿宋" w:eastAsia="仿宋" w:cs="仿宋"/>
          <w:bCs/>
          <w:color w:val="auto"/>
          <w:sz w:val="24"/>
          <w:highlight w:val="none"/>
          <w:u w:val="single"/>
          <w:lang w:eastAsia="zh-CN"/>
        </w:rPr>
      </w:pPr>
      <w:r>
        <w:rPr>
          <w:rFonts w:hint="eastAsia" w:ascii="仿宋" w:hAnsi="仿宋" w:eastAsia="仿宋" w:cs="仿宋"/>
          <w:b/>
          <w:color w:val="auto"/>
          <w:sz w:val="24"/>
          <w:highlight w:val="none"/>
        </w:rPr>
        <w:t>开标时间：</w:t>
      </w:r>
      <w:r>
        <w:rPr>
          <w:rFonts w:hint="eastAsia" w:ascii="仿宋" w:hAnsi="仿宋" w:eastAsia="仿宋" w:cs="仿宋"/>
          <w:color w:val="auto"/>
          <w:sz w:val="24"/>
          <w:highlight w:val="none"/>
          <w:u w:val="single"/>
        </w:rPr>
        <w:t xml:space="preserve"> 202</w:t>
      </w:r>
      <w:r>
        <w:rPr>
          <w:rFonts w:hint="eastAsia" w:ascii="仿宋" w:hAnsi="仿宋" w:eastAsia="仿宋" w:cs="仿宋"/>
          <w:color w:val="auto"/>
          <w:sz w:val="24"/>
          <w:highlight w:val="none"/>
          <w:u w:val="single"/>
          <w:lang w:val="en-US" w:eastAsia="zh-CN"/>
        </w:rPr>
        <w:t>3</w:t>
      </w:r>
      <w:r>
        <w:rPr>
          <w:rFonts w:hint="eastAsia" w:ascii="仿宋" w:hAnsi="仿宋" w:eastAsia="仿宋" w:cs="仿宋"/>
          <w:color w:val="auto"/>
          <w:sz w:val="24"/>
          <w:highlight w:val="none"/>
          <w:u w:val="single"/>
        </w:rPr>
        <w:t>年</w:t>
      </w:r>
      <w:r>
        <w:rPr>
          <w:rFonts w:hint="eastAsia" w:ascii="仿宋" w:hAnsi="仿宋" w:eastAsia="仿宋" w:cs="仿宋"/>
          <w:color w:val="auto"/>
          <w:sz w:val="24"/>
          <w:highlight w:val="none"/>
          <w:u w:val="single"/>
          <w:lang w:val="en-US" w:eastAsia="zh-CN"/>
        </w:rPr>
        <w:t>9</w:t>
      </w:r>
      <w:r>
        <w:rPr>
          <w:rFonts w:hint="eastAsia" w:ascii="仿宋" w:hAnsi="仿宋" w:eastAsia="仿宋" w:cs="仿宋"/>
          <w:color w:val="auto"/>
          <w:sz w:val="24"/>
          <w:highlight w:val="none"/>
          <w:u w:val="single"/>
        </w:rPr>
        <w:t>月</w:t>
      </w:r>
      <w:r>
        <w:rPr>
          <w:rFonts w:hint="eastAsia" w:ascii="仿宋" w:hAnsi="仿宋" w:eastAsia="仿宋" w:cs="仿宋"/>
          <w:color w:val="auto"/>
          <w:sz w:val="24"/>
          <w:highlight w:val="none"/>
          <w:u w:val="single"/>
          <w:lang w:val="en-US" w:eastAsia="zh-CN"/>
        </w:rPr>
        <w:t>12</w:t>
      </w:r>
      <w:bookmarkStart w:id="522" w:name="_GoBack"/>
      <w:bookmarkEnd w:id="522"/>
      <w:r>
        <w:rPr>
          <w:rFonts w:hint="eastAsia" w:ascii="仿宋" w:hAnsi="仿宋" w:eastAsia="仿宋" w:cs="仿宋"/>
          <w:color w:val="auto"/>
          <w:sz w:val="24"/>
          <w:highlight w:val="none"/>
          <w:u w:val="single"/>
        </w:rPr>
        <w:t>日</w:t>
      </w:r>
      <w:r>
        <w:rPr>
          <w:rFonts w:hint="eastAsia" w:ascii="仿宋" w:hAnsi="仿宋" w:eastAsia="仿宋" w:cs="仿宋"/>
          <w:color w:val="auto"/>
          <w:sz w:val="24"/>
          <w:highlight w:val="none"/>
          <w:u w:val="single"/>
          <w:lang w:val="en-US" w:eastAsia="zh-CN"/>
        </w:rPr>
        <w:t>13</w:t>
      </w:r>
      <w:r>
        <w:rPr>
          <w:rFonts w:hint="eastAsia" w:ascii="仿宋" w:hAnsi="仿宋" w:eastAsia="仿宋" w:cs="仿宋"/>
          <w:color w:val="auto"/>
          <w:sz w:val="24"/>
          <w:highlight w:val="none"/>
          <w:u w:val="single"/>
        </w:rPr>
        <w:t>点</w:t>
      </w:r>
      <w:r>
        <w:rPr>
          <w:rFonts w:hint="eastAsia" w:ascii="仿宋" w:hAnsi="仿宋" w:eastAsia="仿宋" w:cs="仿宋"/>
          <w:color w:val="auto"/>
          <w:sz w:val="24"/>
          <w:highlight w:val="none"/>
          <w:u w:val="single"/>
          <w:lang w:val="en-US" w:eastAsia="zh-CN"/>
        </w:rPr>
        <w:t>30</w:t>
      </w:r>
      <w:r>
        <w:rPr>
          <w:rFonts w:hint="eastAsia" w:ascii="仿宋" w:hAnsi="仿宋" w:eastAsia="仿宋" w:cs="仿宋"/>
          <w:color w:val="auto"/>
          <w:sz w:val="24"/>
          <w:highlight w:val="none"/>
          <w:u w:val="single"/>
        </w:rPr>
        <w:t>分00秒</w:t>
      </w:r>
      <w:r>
        <w:rPr>
          <w:rFonts w:hint="eastAsia" w:ascii="仿宋" w:hAnsi="仿宋" w:eastAsia="仿宋" w:cs="仿宋"/>
          <w:bCs/>
          <w:color w:val="auto"/>
          <w:sz w:val="24"/>
          <w:highlight w:val="none"/>
          <w:u w:val="single"/>
          <w:lang w:eastAsia="zh-CN"/>
        </w:rPr>
        <w:t>；</w:t>
      </w:r>
    </w:p>
    <w:p>
      <w:pPr>
        <w:spacing w:line="480" w:lineRule="auto"/>
        <w:ind w:firstLine="482" w:firstLineChars="200"/>
        <w:rPr>
          <w:rFonts w:hint="eastAsia" w:ascii="仿宋" w:hAnsi="仿宋" w:eastAsia="仿宋" w:cs="仿宋"/>
          <w:color w:val="auto"/>
          <w:sz w:val="24"/>
          <w:highlight w:val="none"/>
        </w:rPr>
      </w:pPr>
      <w:r>
        <w:rPr>
          <w:rFonts w:hint="eastAsia" w:ascii="仿宋" w:hAnsi="仿宋" w:eastAsia="仿宋" w:cs="仿宋"/>
          <w:b/>
          <w:color w:val="auto"/>
          <w:sz w:val="24"/>
          <w:highlight w:val="none"/>
        </w:rPr>
        <w:t>开标地点（网址）：</w:t>
      </w:r>
      <w:r>
        <w:rPr>
          <w:rFonts w:hint="eastAsia" w:ascii="仿宋" w:hAnsi="仿宋" w:eastAsia="仿宋" w:cs="仿宋"/>
          <w:b w:val="0"/>
          <w:bCs/>
          <w:color w:val="auto"/>
          <w:sz w:val="24"/>
          <w:highlight w:val="none"/>
        </w:rPr>
        <w:t>登陆</w:t>
      </w:r>
      <w:r>
        <w:rPr>
          <w:rFonts w:hint="eastAsia" w:ascii="仿宋" w:hAnsi="仿宋" w:eastAsia="仿宋" w:cs="仿宋"/>
          <w:color w:val="auto"/>
          <w:sz w:val="24"/>
          <w:highlight w:val="none"/>
        </w:rPr>
        <w:t>政采云平台（https://www.zcygov.cn/）开标大厅等候开标解密；</w:t>
      </w:r>
    </w:p>
    <w:p>
      <w:pPr>
        <w:spacing w:line="480" w:lineRule="auto"/>
        <w:ind w:firstLine="480"/>
        <w:rPr>
          <w:rFonts w:hint="eastAsia" w:ascii="仿宋" w:hAnsi="仿宋" w:eastAsia="仿宋" w:cs="仿宋"/>
          <w:color w:val="auto"/>
          <w:sz w:val="24"/>
          <w:highlight w:val="none"/>
        </w:rPr>
      </w:pPr>
      <w:r>
        <w:rPr>
          <w:rFonts w:hint="eastAsia" w:ascii="仿宋" w:hAnsi="仿宋" w:eastAsia="仿宋" w:cs="仿宋"/>
          <w:b/>
          <w:color w:val="auto"/>
          <w:sz w:val="24"/>
          <w:highlight w:val="none"/>
        </w:rPr>
        <w:t>组织机构线下开标地点：</w:t>
      </w:r>
      <w:r>
        <w:rPr>
          <w:rFonts w:hint="eastAsia" w:ascii="仿宋" w:hAnsi="仿宋" w:eastAsia="仿宋" w:cs="仿宋"/>
          <w:color w:val="auto"/>
          <w:sz w:val="24"/>
          <w:highlight w:val="none"/>
          <w:lang w:eastAsia="zh-CN"/>
        </w:rPr>
        <w:t>杭州市余杭区余杭街道禹航路66号德裕科技1110室</w:t>
      </w:r>
      <w:r>
        <w:rPr>
          <w:rFonts w:hint="eastAsia" w:ascii="仿宋" w:hAnsi="仿宋" w:eastAsia="仿宋" w:cs="仿宋"/>
          <w:color w:val="auto"/>
          <w:sz w:val="24"/>
          <w:highlight w:val="none"/>
        </w:rPr>
        <w:t>。</w:t>
      </w:r>
    </w:p>
    <w:p>
      <w:pPr>
        <w:spacing w:line="480" w:lineRule="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 xml:space="preserve">五、公告期限 </w:t>
      </w:r>
    </w:p>
    <w:p>
      <w:pPr>
        <w:spacing w:line="48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自本公告发布之日起5个工作日。</w:t>
      </w:r>
    </w:p>
    <w:p>
      <w:pPr>
        <w:spacing w:line="48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六、其他补充事宜</w:t>
      </w:r>
    </w:p>
    <w:p>
      <w:pPr>
        <w:spacing w:line="48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p>
    <w:p>
      <w:pPr>
        <w:spacing w:line="48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spacing w:line="48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pPr>
        <w:spacing w:line="48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还可以在投标截止时间前直接提交或者以邮政快递方式递交备份投标文件1份。备份投标文件的制作、存储、密封详见招标文件第二部分第15点—“备份投标文件”；⑨投标文件的解密：投标人按照平台提示和招标文件的规定在半小时内完成在线解密。通过“政府采购云平台”上传递交的投标文件无法按时解密，投标供应商递交了备份投标文件的，以备份投标文件为依据，否则视为投标文件撤回。通过“政府采购云平台”上传递交的投标文件已按时解密的，备份投标文件自动失效。投标人仅提交备份投标文件，未在电子交易平台传输递交投标文件的，投标无效；⑩具体操作指南：详见政采云平台“服务中心-帮助文档-项目采购-操作流程-电子招投标-政府采购项目电子交易管理操作指南-供应商”。（3）招标文件公告期限与招标公告的公告期限一致。</w:t>
      </w:r>
    </w:p>
    <w:p>
      <w:pPr>
        <w:spacing w:line="48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七、对本次采购提出询问、质疑、投诉，请按以下方式联系</w:t>
      </w:r>
    </w:p>
    <w:p>
      <w:pPr>
        <w:spacing w:line="48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1.采购人信息</w:t>
      </w:r>
    </w:p>
    <w:p>
      <w:pPr>
        <w:spacing w:line="48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名    称：</w:t>
      </w:r>
      <w:r>
        <w:rPr>
          <w:rFonts w:hint="eastAsia" w:ascii="仿宋" w:hAnsi="仿宋" w:eastAsia="仿宋" w:cs="仿宋"/>
          <w:color w:val="auto"/>
          <w:sz w:val="24"/>
          <w:highlight w:val="none"/>
          <w:lang w:eastAsia="zh-CN"/>
        </w:rPr>
        <w:t>杭州市余杭区人民政府余杭街道办事处</w:t>
      </w:r>
      <w:r>
        <w:rPr>
          <w:rFonts w:hint="eastAsia" w:ascii="仿宋" w:hAnsi="仿宋" w:eastAsia="仿宋" w:cs="仿宋"/>
          <w:color w:val="auto"/>
          <w:sz w:val="24"/>
          <w:highlight w:val="none"/>
        </w:rPr>
        <w:t xml:space="preserve"> </w:t>
      </w:r>
    </w:p>
    <w:p>
      <w:pPr>
        <w:spacing w:line="48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地    址：</w:t>
      </w:r>
      <w:r>
        <w:rPr>
          <w:rFonts w:hint="eastAsia" w:ascii="仿宋" w:hAnsi="仿宋" w:eastAsia="仿宋" w:cs="仿宋_GB2312"/>
          <w:color w:val="auto"/>
          <w:sz w:val="24"/>
          <w:highlight w:val="none"/>
        </w:rPr>
        <w:t>杭州市余杭区余杭街道城南路9号</w:t>
      </w:r>
      <w:r>
        <w:rPr>
          <w:rFonts w:hint="eastAsia" w:ascii="仿宋" w:hAnsi="仿宋" w:eastAsia="仿宋" w:cs="仿宋"/>
          <w:color w:val="auto"/>
          <w:sz w:val="24"/>
          <w:highlight w:val="none"/>
        </w:rPr>
        <w:t xml:space="preserve">       </w:t>
      </w:r>
    </w:p>
    <w:p>
      <w:pPr>
        <w:spacing w:line="480" w:lineRule="auto"/>
        <w:ind w:firstLine="48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rPr>
        <w:t>项目联系人（询问）：盛国春</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 xml:space="preserve"> </w:t>
      </w:r>
      <w:r>
        <w:rPr>
          <w:rFonts w:hint="eastAsia" w:ascii="仿宋" w:hAnsi="仿宋" w:eastAsia="仿宋" w:cs="仿宋"/>
          <w:color w:val="auto"/>
          <w:sz w:val="24"/>
          <w:highlight w:val="none"/>
          <w:lang w:val="en-US" w:eastAsia="zh-CN"/>
        </w:rPr>
        <w:t xml:space="preserve">   </w:t>
      </w:r>
    </w:p>
    <w:p>
      <w:pPr>
        <w:spacing w:line="480" w:lineRule="auto"/>
        <w:ind w:firstLine="240" w:firstLineChars="100"/>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项目联系方式（询问）：0571-89053520</w:t>
      </w:r>
      <w:r>
        <w:rPr>
          <w:rFonts w:hint="eastAsia" w:ascii="仿宋" w:hAnsi="仿宋" w:eastAsia="仿宋" w:cs="仿宋"/>
          <w:color w:val="auto"/>
          <w:sz w:val="24"/>
          <w:highlight w:val="none"/>
          <w:lang w:val="en-US" w:eastAsia="zh-CN"/>
        </w:rPr>
        <w:t xml:space="preserve"> </w:t>
      </w:r>
    </w:p>
    <w:p>
      <w:pPr>
        <w:spacing w:line="480" w:lineRule="auto"/>
        <w:ind w:firstLine="48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rPr>
        <w:t>质疑联系人：姚旭东</w:t>
      </w:r>
      <w:r>
        <w:rPr>
          <w:rFonts w:hint="eastAsia" w:ascii="仿宋" w:hAnsi="仿宋" w:eastAsia="仿宋" w:cs="仿宋"/>
          <w:color w:val="auto"/>
          <w:sz w:val="24"/>
          <w:highlight w:val="none"/>
          <w:lang w:val="en-US" w:eastAsia="zh-CN"/>
        </w:rPr>
        <w:t xml:space="preserve">                   </w:t>
      </w:r>
    </w:p>
    <w:p>
      <w:pPr>
        <w:spacing w:line="480" w:lineRule="auto"/>
        <w:ind w:firstLine="240" w:firstLineChars="100"/>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质疑联系方式：0571-88668884</w:t>
      </w:r>
      <w:r>
        <w:rPr>
          <w:rFonts w:hint="eastAsia" w:ascii="仿宋" w:hAnsi="仿宋" w:eastAsia="仿宋" w:cs="仿宋"/>
          <w:color w:val="auto"/>
          <w:sz w:val="24"/>
          <w:highlight w:val="none"/>
          <w:lang w:val="en-US" w:eastAsia="zh-CN"/>
        </w:rPr>
        <w:t xml:space="preserve"> </w:t>
      </w:r>
    </w:p>
    <w:p>
      <w:pPr>
        <w:spacing w:line="48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2.采购代理机构信息            </w:t>
      </w:r>
    </w:p>
    <w:p>
      <w:pPr>
        <w:spacing w:line="480" w:lineRule="auto"/>
        <w:ind w:firstLine="480"/>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名    称：</w:t>
      </w:r>
      <w:r>
        <w:rPr>
          <w:rFonts w:hint="eastAsia" w:ascii="仿宋" w:hAnsi="仿宋" w:eastAsia="仿宋" w:cs="仿宋"/>
          <w:color w:val="auto"/>
          <w:sz w:val="24"/>
          <w:highlight w:val="none"/>
          <w:lang w:eastAsia="zh-CN"/>
        </w:rPr>
        <w:t>杭州天坤建设咨询有限公司</w:t>
      </w:r>
    </w:p>
    <w:p>
      <w:pPr>
        <w:spacing w:line="480" w:lineRule="auto"/>
        <w:ind w:firstLine="48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lang w:eastAsia="zh-CN"/>
        </w:rPr>
        <w:t>杭州市余杭区余杭街道禹航路66号德裕科技1110室</w:t>
      </w:r>
    </w:p>
    <w:p>
      <w:pPr>
        <w:spacing w:line="480" w:lineRule="auto"/>
        <w:ind w:firstLine="48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rPr>
        <w:t>项目联系人（询问）</w:t>
      </w:r>
      <w:r>
        <w:rPr>
          <w:rFonts w:hint="eastAsia" w:ascii="仿宋" w:hAnsi="仿宋" w:eastAsia="仿宋" w:cs="仿宋"/>
          <w:color w:val="auto"/>
          <w:sz w:val="24"/>
          <w:highlight w:val="none"/>
          <w:lang w:eastAsia="zh-CN"/>
        </w:rPr>
        <w:t>：杨杨</w:t>
      </w:r>
      <w:r>
        <w:rPr>
          <w:rFonts w:hint="eastAsia" w:ascii="仿宋" w:hAnsi="仿宋" w:eastAsia="仿宋" w:cs="仿宋"/>
          <w:color w:val="auto"/>
          <w:sz w:val="24"/>
          <w:highlight w:val="none"/>
          <w:lang w:val="en-US" w:eastAsia="zh-CN"/>
        </w:rPr>
        <w:t xml:space="preserve">         </w:t>
      </w:r>
    </w:p>
    <w:p>
      <w:pPr>
        <w:spacing w:line="480" w:lineRule="auto"/>
        <w:ind w:firstLine="480"/>
        <w:rPr>
          <w:rFonts w:hint="eastAsia" w:ascii="仿宋" w:hAnsi="仿宋" w:eastAsia="仿宋" w:cs="仿宋"/>
          <w:color w:val="auto"/>
          <w:sz w:val="24"/>
          <w:highlight w:val="none"/>
        </w:rPr>
      </w:pPr>
      <w:r>
        <w:rPr>
          <w:rFonts w:hint="eastAsia" w:ascii="仿宋" w:hAnsi="仿宋" w:eastAsia="仿宋" w:cs="仿宋"/>
          <w:color w:val="auto"/>
          <w:sz w:val="24"/>
          <w:highlight w:val="none"/>
        </w:rPr>
        <w:t>项目联系方式（询问）：13735806559 </w:t>
      </w:r>
    </w:p>
    <w:p>
      <w:pPr>
        <w:spacing w:line="480" w:lineRule="auto"/>
        <w:ind w:firstLine="48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rPr>
        <w:t>质疑联系人</w:t>
      </w:r>
      <w:r>
        <w:rPr>
          <w:rFonts w:hint="eastAsia" w:ascii="仿宋" w:hAnsi="仿宋" w:eastAsia="仿宋" w:cs="仿宋"/>
          <w:color w:val="auto"/>
          <w:sz w:val="24"/>
          <w:highlight w:val="none"/>
          <w:lang w:eastAsia="zh-CN"/>
        </w:rPr>
        <w:t>：陈先生</w:t>
      </w:r>
      <w:r>
        <w:rPr>
          <w:rFonts w:hint="eastAsia" w:ascii="仿宋" w:hAnsi="仿宋" w:eastAsia="仿宋" w:cs="仿宋"/>
          <w:color w:val="auto"/>
          <w:sz w:val="24"/>
          <w:highlight w:val="none"/>
          <w:lang w:val="en-US" w:eastAsia="zh-CN"/>
        </w:rPr>
        <w:t xml:space="preserve">               </w:t>
      </w:r>
    </w:p>
    <w:p>
      <w:pPr>
        <w:spacing w:line="480" w:lineRule="auto"/>
        <w:ind w:firstLine="480"/>
        <w:rPr>
          <w:rFonts w:hint="eastAsia" w:ascii="仿宋" w:hAnsi="仿宋" w:eastAsia="仿宋" w:cs="仿宋"/>
          <w:color w:val="auto"/>
          <w:sz w:val="24"/>
          <w:highlight w:val="none"/>
          <w:lang w:val="en-US"/>
        </w:rPr>
      </w:pPr>
      <w:r>
        <w:rPr>
          <w:rFonts w:hint="eastAsia" w:ascii="仿宋" w:hAnsi="仿宋" w:eastAsia="仿宋" w:cs="仿宋"/>
          <w:color w:val="auto"/>
          <w:sz w:val="24"/>
          <w:highlight w:val="none"/>
        </w:rPr>
        <w:t>质疑联系方式：</w:t>
      </w:r>
      <w:r>
        <w:rPr>
          <w:rFonts w:hint="eastAsia" w:ascii="仿宋" w:hAnsi="仿宋" w:eastAsia="仿宋" w:cs="仿宋"/>
          <w:color w:val="auto"/>
          <w:sz w:val="24"/>
          <w:highlight w:val="none"/>
          <w:lang w:eastAsia="zh-CN"/>
        </w:rPr>
        <w:t>15058137886 　</w:t>
      </w:r>
      <w:r>
        <w:rPr>
          <w:rFonts w:hint="eastAsia" w:ascii="仿宋" w:hAnsi="仿宋" w:eastAsia="仿宋" w:cs="仿宋"/>
          <w:color w:val="auto"/>
          <w:sz w:val="24"/>
          <w:highlight w:val="none"/>
          <w:lang w:val="en-US" w:eastAsia="zh-CN"/>
        </w:rPr>
        <w:t xml:space="preserve">  </w:t>
      </w:r>
    </w:p>
    <w:p>
      <w:pPr>
        <w:spacing w:line="48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w:t>
      </w:r>
    </w:p>
    <w:p>
      <w:pPr>
        <w:spacing w:line="480" w:lineRule="auto"/>
        <w:ind w:firstLine="480" w:firstLineChars="200"/>
        <w:rPr>
          <w:rFonts w:hint="eastAsia" w:ascii="仿宋" w:hAnsi="仿宋" w:eastAsia="仿宋" w:cs="仿宋"/>
          <w:color w:val="auto"/>
          <w:sz w:val="24"/>
          <w:highlight w:val="none"/>
        </w:rPr>
      </w:pPr>
    </w:p>
    <w:p>
      <w:pPr>
        <w:spacing w:line="48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3.同级政府采购监督管理部门            </w:t>
      </w:r>
    </w:p>
    <w:p>
      <w:pPr>
        <w:spacing w:line="480" w:lineRule="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 xml:space="preserve">   </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名    称：</w:t>
      </w:r>
      <w:r>
        <w:rPr>
          <w:rFonts w:hint="eastAsia" w:ascii="仿宋" w:hAnsi="仿宋" w:eastAsia="仿宋" w:cs="仿宋"/>
          <w:color w:val="auto"/>
          <w:sz w:val="24"/>
          <w:highlight w:val="none"/>
          <w:lang w:eastAsia="zh-CN"/>
        </w:rPr>
        <w:t>杭州市余杭区财政局 </w:t>
      </w:r>
    </w:p>
    <w:p>
      <w:pPr>
        <w:spacing w:line="480" w:lineRule="auto"/>
        <w:rPr>
          <w:rFonts w:hint="eastAsia" w:ascii="仿宋" w:hAnsi="仿宋" w:eastAsia="仿宋" w:cs="仿宋"/>
          <w:color w:val="auto"/>
          <w:sz w:val="24"/>
          <w:highlight w:val="none"/>
          <w:lang w:val="en-US"/>
        </w:rPr>
      </w:pPr>
      <w:r>
        <w:rPr>
          <w:rFonts w:hint="eastAsia" w:ascii="仿宋" w:hAnsi="仿宋" w:eastAsia="仿宋" w:cs="仿宋"/>
          <w:color w:val="auto"/>
          <w:sz w:val="24"/>
          <w:highlight w:val="none"/>
        </w:rPr>
        <w:t xml:space="preserve">    地    址：</w:t>
      </w:r>
      <w:r>
        <w:rPr>
          <w:rFonts w:hint="eastAsia" w:ascii="仿宋" w:hAnsi="仿宋" w:eastAsia="仿宋" w:cs="仿宋"/>
          <w:color w:val="auto"/>
          <w:sz w:val="24"/>
          <w:highlight w:val="none"/>
          <w:lang w:eastAsia="zh-CN"/>
        </w:rPr>
        <w:t>杭州市余杭区文一西路1500号8号楼1201</w:t>
      </w:r>
      <w:r>
        <w:rPr>
          <w:rFonts w:hint="eastAsia" w:ascii="仿宋" w:hAnsi="仿宋" w:eastAsia="仿宋" w:cs="仿宋"/>
          <w:color w:val="auto"/>
          <w:sz w:val="24"/>
          <w:highlight w:val="none"/>
          <w:lang w:val="en-US" w:eastAsia="zh-CN"/>
        </w:rPr>
        <w:t>室</w:t>
      </w:r>
    </w:p>
    <w:p>
      <w:pPr>
        <w:spacing w:line="480" w:lineRule="auto"/>
        <w:ind w:firstLine="48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rPr>
        <w:t>联系人 ：</w:t>
      </w:r>
      <w:r>
        <w:rPr>
          <w:rFonts w:hint="eastAsia" w:ascii="仿宋" w:hAnsi="仿宋" w:eastAsia="仿宋" w:cs="仿宋"/>
          <w:color w:val="auto"/>
          <w:sz w:val="24"/>
          <w:highlight w:val="none"/>
          <w:lang w:val="en-US" w:eastAsia="zh-CN"/>
        </w:rPr>
        <w:t xml:space="preserve">储女士                </w:t>
      </w:r>
    </w:p>
    <w:p>
      <w:pPr>
        <w:spacing w:line="48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监督投诉电话：</w:t>
      </w:r>
      <w:r>
        <w:rPr>
          <w:rFonts w:hint="eastAsia" w:ascii="仿宋" w:hAnsi="仿宋" w:eastAsia="仿宋" w:cs="仿宋"/>
          <w:color w:val="auto"/>
          <w:sz w:val="24"/>
          <w:highlight w:val="none"/>
          <w:lang w:eastAsia="zh-CN"/>
        </w:rPr>
        <w:t xml:space="preserve">0571-88728858 </w:t>
      </w:r>
      <w:r>
        <w:rPr>
          <w:rFonts w:hint="eastAsia" w:ascii="仿宋" w:hAnsi="仿宋" w:eastAsia="仿宋" w:cs="仿宋"/>
          <w:color w:val="auto"/>
          <w:sz w:val="24"/>
          <w:highlight w:val="none"/>
        </w:rPr>
        <w:t xml:space="preserve">  </w:t>
      </w:r>
    </w:p>
    <w:p>
      <w:pPr>
        <w:spacing w:line="480" w:lineRule="auto"/>
        <w:ind w:firstLine="480"/>
        <w:rPr>
          <w:rFonts w:hint="eastAsia" w:ascii="仿宋" w:hAnsi="仿宋" w:eastAsia="仿宋" w:cs="仿宋"/>
          <w:color w:val="auto"/>
          <w:sz w:val="24"/>
          <w:highlight w:val="none"/>
        </w:rPr>
      </w:pPr>
    </w:p>
    <w:p>
      <w:pPr>
        <w:spacing w:line="480" w:lineRule="auto"/>
        <w:ind w:firstLine="480"/>
        <w:rPr>
          <w:rFonts w:hint="eastAsia" w:ascii="仿宋" w:hAnsi="仿宋" w:eastAsia="仿宋" w:cs="仿宋"/>
          <w:color w:val="auto"/>
          <w:sz w:val="24"/>
          <w:highlight w:val="none"/>
        </w:rPr>
      </w:pPr>
      <w:r>
        <w:rPr>
          <w:rFonts w:hint="eastAsia" w:ascii="仿宋" w:hAnsi="仿宋" w:eastAsia="仿宋" w:cs="仿宋"/>
          <w:color w:val="auto"/>
          <w:sz w:val="24"/>
          <w:highlight w:val="none"/>
        </w:rPr>
        <w:t>若对项目采购电子交易系统操作有疑问，可登录政采云（https://www.zcygov.cn/），点击右侧咨询小采，获取采小蜜智能服务管家帮助，或拨打政采云服务热线95763获取热线服务帮助。</w:t>
      </w:r>
    </w:p>
    <w:p>
      <w:pPr>
        <w:spacing w:line="48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CA问题联系电话（人工）：汇信CA 400-888-4636；天谷CA 400-087-8198。</w:t>
      </w:r>
    </w:p>
    <w:p>
      <w:pPr>
        <w:widowControl/>
        <w:adjustRightInd/>
        <w:jc w:val="left"/>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br w:type="page"/>
      </w:r>
    </w:p>
    <w:p>
      <w:pPr>
        <w:adjustRightInd/>
        <w:spacing w:line="360" w:lineRule="auto"/>
        <w:jc w:val="center"/>
        <w:outlineLvl w:val="0"/>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第二部分</w:t>
      </w:r>
      <w:bookmarkEnd w:id="7"/>
      <w:r>
        <w:rPr>
          <w:rFonts w:hint="eastAsia" w:ascii="仿宋" w:hAnsi="仿宋" w:eastAsia="仿宋" w:cs="仿宋"/>
          <w:b/>
          <w:color w:val="auto"/>
          <w:sz w:val="36"/>
          <w:szCs w:val="20"/>
          <w:highlight w:val="none"/>
        </w:rPr>
        <w:t xml:space="preserve"> 投标人须知</w:t>
      </w:r>
      <w:bookmarkEnd w:id="8"/>
    </w:p>
    <w:p>
      <w:pPr>
        <w:adjustRightInd/>
        <w:spacing w:line="360" w:lineRule="auto"/>
        <w:ind w:firstLine="3845" w:firstLineChars="1197"/>
        <w:outlineLvl w:val="0"/>
        <w:rPr>
          <w:rFonts w:hint="eastAsia" w:ascii="仿宋" w:hAnsi="仿宋" w:eastAsia="仿宋" w:cs="仿宋"/>
          <w:b/>
          <w:color w:val="auto"/>
          <w:sz w:val="32"/>
          <w:szCs w:val="20"/>
          <w:highlight w:val="none"/>
        </w:rPr>
      </w:pPr>
      <w:r>
        <w:rPr>
          <w:rFonts w:hint="eastAsia" w:ascii="仿宋" w:hAnsi="仿宋" w:eastAsia="仿宋" w:cs="仿宋"/>
          <w:b/>
          <w:color w:val="auto"/>
          <w:sz w:val="32"/>
          <w:szCs w:val="20"/>
          <w:highlight w:val="none"/>
        </w:rPr>
        <w:t>前附表</w:t>
      </w:r>
    </w:p>
    <w:tbl>
      <w:tblPr>
        <w:tblStyle w:val="62"/>
        <w:tblW w:w="8567" w:type="dxa"/>
        <w:tblInd w:w="108"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28" w:type="dxa"/>
          <w:bottom w:w="0" w:type="dxa"/>
          <w:right w:w="28" w:type="dxa"/>
        </w:tblCellMar>
      </w:tblPr>
      <w:tblGrid>
        <w:gridCol w:w="629"/>
        <w:gridCol w:w="1843"/>
        <w:gridCol w:w="6095"/>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0" w:hRule="atLeast"/>
          <w:tblHeader/>
        </w:trPr>
        <w:tc>
          <w:tcPr>
            <w:tcW w:w="629" w:type="dxa"/>
            <w:tcBorders>
              <w:top w:val="single" w:color="auto" w:sz="4" w:space="0"/>
              <w:left w:val="single" w:color="auto" w:sz="4" w:space="0"/>
              <w:bottom w:val="single" w:color="auto" w:sz="4" w:space="0"/>
              <w:right w:val="single" w:color="auto" w:sz="4" w:space="0"/>
            </w:tcBorders>
            <w:vAlign w:val="top"/>
          </w:tcPr>
          <w:p>
            <w:pPr>
              <w:snapToGrid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1843" w:type="dxa"/>
            <w:tcBorders>
              <w:top w:val="single" w:color="000000" w:sz="8" w:space="0"/>
              <w:left w:val="single" w:color="auto" w:sz="4" w:space="0"/>
              <w:bottom w:val="single" w:color="000000" w:sz="8" w:space="0"/>
              <w:right w:val="single" w:color="000000" w:sz="8" w:space="0"/>
            </w:tcBorders>
            <w:vAlign w:val="center"/>
          </w:tcPr>
          <w:p>
            <w:pPr>
              <w:snapToGrid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事项</w:t>
            </w:r>
          </w:p>
        </w:tc>
        <w:tc>
          <w:tcPr>
            <w:tcW w:w="6095" w:type="dxa"/>
            <w:tcBorders>
              <w:top w:val="single" w:color="000000" w:sz="8" w:space="0"/>
              <w:left w:val="single" w:color="000000" w:sz="2" w:space="0"/>
              <w:bottom w:val="single" w:color="000000" w:sz="8" w:space="0"/>
              <w:right w:val="single" w:color="000000" w:sz="8" w:space="0"/>
            </w:tcBorders>
            <w:vAlign w:val="center"/>
          </w:tcPr>
          <w:p>
            <w:pPr>
              <w:snapToGrid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本项目的特别规定</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38" w:hRule="atLeast"/>
          <w:tblHeader/>
        </w:trPr>
        <w:tc>
          <w:tcPr>
            <w:tcW w:w="629"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1843" w:type="dxa"/>
            <w:tcBorders>
              <w:top w:val="single" w:color="000000" w:sz="8" w:space="0"/>
              <w:left w:val="single" w:color="auto" w:sz="4" w:space="0"/>
              <w:bottom w:val="single" w:color="000000" w:sz="8" w:space="0"/>
              <w:right w:val="single" w:color="000000" w:sz="8" w:space="0"/>
            </w:tcBorders>
            <w:vAlign w:val="center"/>
          </w:tcPr>
          <w:p>
            <w:pPr>
              <w:snapToGrid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项目属性</w:t>
            </w:r>
          </w:p>
        </w:tc>
        <w:tc>
          <w:tcPr>
            <w:tcW w:w="6095" w:type="dxa"/>
            <w:tcBorders>
              <w:top w:val="single" w:color="000000" w:sz="8" w:space="0"/>
              <w:left w:val="single" w:color="000000" w:sz="2" w:space="0"/>
              <w:bottom w:val="single" w:color="000000" w:sz="8" w:space="0"/>
              <w:right w:val="single" w:color="000000" w:sz="8"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服务类。</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105" w:hRule="atLeast"/>
          <w:tblHeader/>
        </w:trPr>
        <w:tc>
          <w:tcPr>
            <w:tcW w:w="629"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1843" w:type="dxa"/>
            <w:tcBorders>
              <w:top w:val="single" w:color="000000" w:sz="8" w:space="0"/>
              <w:left w:val="single" w:color="auto" w:sz="4" w:space="0"/>
              <w:bottom w:val="single" w:color="000000" w:sz="8" w:space="0"/>
              <w:right w:val="single" w:color="000000" w:sz="8" w:space="0"/>
            </w:tcBorders>
            <w:vAlign w:val="center"/>
          </w:tcPr>
          <w:p>
            <w:pPr>
              <w:snapToGrid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采购标的及其对应的中小企业划分标准所属行业</w:t>
            </w:r>
          </w:p>
        </w:tc>
        <w:tc>
          <w:tcPr>
            <w:tcW w:w="6095" w:type="dxa"/>
            <w:tcBorders>
              <w:top w:val="single" w:color="000000" w:sz="8" w:space="0"/>
              <w:left w:val="single" w:color="000000" w:sz="2" w:space="0"/>
              <w:bottom w:val="single" w:color="000000" w:sz="8" w:space="0"/>
              <w:right w:val="single" w:color="000000" w:sz="8" w:space="0"/>
            </w:tcBorders>
            <w:vAlign w:val="center"/>
          </w:tcPr>
          <w:p>
            <w:pPr>
              <w:numPr>
                <w:ilvl w:val="0"/>
                <w:numId w:val="1"/>
              </w:numPr>
              <w:snapToGrid w:val="0"/>
              <w:spacing w:line="264"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标的：</w:t>
            </w:r>
            <w:r>
              <w:rPr>
                <w:rFonts w:hint="eastAsia" w:ascii="仿宋" w:hAnsi="仿宋" w:eastAsia="仿宋" w:cs="仿宋"/>
                <w:color w:val="auto"/>
                <w:kern w:val="0"/>
                <w:sz w:val="24"/>
                <w:highlight w:val="none"/>
                <w:u w:val="single"/>
                <w:lang w:val="en-US" w:eastAsia="zh-CN"/>
              </w:rPr>
              <w:t xml:space="preserve"> </w:t>
            </w:r>
            <w:r>
              <w:rPr>
                <w:rFonts w:hint="eastAsia" w:ascii="仿宋" w:hAnsi="仿宋" w:eastAsia="仿宋" w:cs="仿宋"/>
                <w:color w:val="auto"/>
                <w:sz w:val="24"/>
                <w:highlight w:val="none"/>
                <w:u w:val="single"/>
                <w:lang w:eastAsia="zh-CN"/>
              </w:rPr>
              <w:t>区域性微型消防救援站服务外包项目</w:t>
            </w:r>
            <w:r>
              <w:rPr>
                <w:rFonts w:hint="eastAsia" w:ascii="仿宋" w:hAnsi="仿宋" w:eastAsia="仿宋" w:cs="仿宋"/>
                <w:color w:val="auto"/>
                <w:kern w:val="0"/>
                <w:sz w:val="24"/>
                <w:highlight w:val="none"/>
                <w:u w:val="none"/>
                <w:lang w:val="en-US" w:eastAsia="zh-CN"/>
              </w:rPr>
              <w:t>；</w:t>
            </w:r>
          </w:p>
          <w:p>
            <w:pPr>
              <w:numPr>
                <w:ilvl w:val="0"/>
                <w:numId w:val="0"/>
              </w:numPr>
              <w:snapToGrid w:val="0"/>
              <w:spacing w:line="264" w:lineRule="auto"/>
              <w:rPr>
                <w:rFonts w:hint="eastAsia" w:ascii="仿宋" w:hAnsi="仿宋" w:eastAsia="仿宋" w:cs="仿宋"/>
                <w:b/>
                <w:bCs/>
                <w:color w:val="auto"/>
                <w:kern w:val="0"/>
                <w:sz w:val="21"/>
                <w:szCs w:val="21"/>
                <w:highlight w:val="none"/>
                <w:u w:val="single"/>
                <w:lang w:val="zh-CN" w:eastAsia="zh-CN"/>
              </w:rPr>
            </w:pPr>
            <w:r>
              <w:rPr>
                <w:rFonts w:hint="eastAsia" w:ascii="仿宋" w:hAnsi="仿宋" w:eastAsia="仿宋" w:cs="仿宋"/>
                <w:color w:val="auto"/>
                <w:kern w:val="0"/>
                <w:sz w:val="24"/>
                <w:szCs w:val="22"/>
                <w:highlight w:val="none"/>
                <w:lang w:val="en-US" w:eastAsia="en-US" w:bidi="ar-SA"/>
              </w:rPr>
              <w:drawing>
                <wp:anchor distT="0" distB="0" distL="0" distR="0" simplePos="0" relativeHeight="251661312" behindDoc="1" locked="0" layoutInCell="1" allowOverlap="1">
                  <wp:simplePos x="0" y="0"/>
                  <wp:positionH relativeFrom="column">
                    <wp:posOffset>42545</wp:posOffset>
                  </wp:positionH>
                  <wp:positionV relativeFrom="page">
                    <wp:posOffset>500380</wp:posOffset>
                  </wp:positionV>
                  <wp:extent cx="3813810" cy="492760"/>
                  <wp:effectExtent l="0" t="0" r="8890" b="2540"/>
                  <wp:wrapTight wrapText="bothSides">
                    <wp:wrapPolygon>
                      <wp:start x="0" y="0"/>
                      <wp:lineTo x="0" y="20876"/>
                      <wp:lineTo x="21471" y="20876"/>
                      <wp:lineTo x="21471" y="0"/>
                      <wp:lineTo x="0" y="0"/>
                    </wp:wrapPolygon>
                  </wp:wrapTight>
                  <wp:docPr id="3"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1"/>
                          <pic:cNvPicPr>
                            <a:picLocks noChangeAspect="1"/>
                          </pic:cNvPicPr>
                        </pic:nvPicPr>
                        <pic:blipFill>
                          <a:blip r:embed="rId27">
                            <a:lum/>
                          </a:blip>
                          <a:stretch>
                            <a:fillRect/>
                          </a:stretch>
                        </pic:blipFill>
                        <pic:spPr>
                          <a:xfrm>
                            <a:off x="0" y="0"/>
                            <a:ext cx="3813810" cy="492760"/>
                          </a:xfrm>
                          <a:prstGeom prst="rect">
                            <a:avLst/>
                          </a:prstGeom>
                          <a:noFill/>
                          <a:ln>
                            <a:noFill/>
                          </a:ln>
                        </pic:spPr>
                      </pic:pic>
                    </a:graphicData>
                  </a:graphic>
                </wp:anchor>
              </w:drawing>
            </w: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lang w:val="en-US" w:eastAsia="zh-CN"/>
              </w:rPr>
              <w:t>2</w:t>
            </w: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属于</w:t>
            </w: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u w:val="single"/>
                <w:lang w:val="en-US" w:eastAsia="zh-CN"/>
              </w:rPr>
              <w:t xml:space="preserve"> </w:t>
            </w:r>
            <w:r>
              <w:rPr>
                <w:rFonts w:hint="eastAsia" w:ascii="仿宋_GB2312" w:hAnsi="仿宋_GB2312" w:eastAsia="仿宋_GB2312" w:cs="仿宋_GB2312"/>
                <w:b w:val="0"/>
                <w:bCs w:val="0"/>
                <w:color w:val="auto"/>
                <w:spacing w:val="-7"/>
                <w:sz w:val="24"/>
                <w:highlight w:val="none"/>
                <w:u w:val="single"/>
              </w:rPr>
              <w:t>租赁和商务服务业</w:t>
            </w:r>
            <w:r>
              <w:rPr>
                <w:rFonts w:hint="eastAsia" w:ascii="仿宋" w:hAnsi="仿宋" w:eastAsia="仿宋" w:cs="仿宋"/>
                <w:color w:val="auto"/>
                <w:kern w:val="0"/>
                <w:sz w:val="24"/>
                <w:highlight w:val="none"/>
                <w:u w:val="single"/>
                <w:lang w:val="en-US" w:eastAsia="zh-CN"/>
              </w:rPr>
              <w:t xml:space="preserve">                 </w:t>
            </w:r>
            <w:r>
              <w:rPr>
                <w:rFonts w:hint="eastAsia" w:ascii="仿宋" w:hAnsi="仿宋" w:eastAsia="仿宋" w:cs="仿宋"/>
                <w:color w:val="auto"/>
                <w:kern w:val="0"/>
                <w:sz w:val="24"/>
                <w:highlight w:val="none"/>
              </w:rPr>
              <w:t>；</w:t>
            </w:r>
          </w:p>
          <w:p>
            <w:pPr>
              <w:widowControl w:val="0"/>
              <w:numPr>
                <w:ilvl w:val="0"/>
                <w:numId w:val="0"/>
              </w:numPr>
              <w:wordWrap/>
              <w:adjustRightInd w:val="0"/>
              <w:snapToGrid w:val="0"/>
              <w:spacing w:line="264" w:lineRule="auto"/>
              <w:textAlignment w:val="auto"/>
              <w:rPr>
                <w:rFonts w:hint="eastAsia" w:ascii="仿宋" w:hAnsi="仿宋" w:eastAsia="仿宋" w:cs="仿宋"/>
                <w:b/>
                <w:bCs/>
                <w:color w:val="auto"/>
                <w:kern w:val="0"/>
                <w:sz w:val="21"/>
                <w:szCs w:val="21"/>
                <w:highlight w:val="none"/>
                <w:u w:val="single"/>
                <w:lang w:val="zh-CN" w:eastAsia="zh-CN"/>
              </w:rPr>
            </w:pPr>
            <w:r>
              <w:rPr>
                <w:rFonts w:hint="eastAsia" w:ascii="仿宋" w:hAnsi="仿宋" w:eastAsia="仿宋" w:cs="仿宋"/>
                <w:b/>
                <w:bCs/>
                <w:color w:val="auto"/>
                <w:kern w:val="2"/>
                <w:sz w:val="24"/>
                <w:szCs w:val="24"/>
                <w:highlight w:val="none"/>
                <w:shd w:val="clear" w:color="auto" w:fill="FFFFFF"/>
                <w:lang w:val="zh-CN" w:eastAsia="zh-CN" w:bidi="zh-CN"/>
              </w:rPr>
              <w:drawing>
                <wp:inline distT="0" distB="0" distL="114300" distR="114300">
                  <wp:extent cx="3755390" cy="243205"/>
                  <wp:effectExtent l="0" t="0" r="3810" b="10795"/>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28">
                            <a:lum/>
                          </a:blip>
                          <a:stretch>
                            <a:fillRect/>
                          </a:stretch>
                        </pic:blipFill>
                        <pic:spPr>
                          <a:xfrm>
                            <a:off x="0" y="0"/>
                            <a:ext cx="3755390" cy="243205"/>
                          </a:xfrm>
                          <a:prstGeom prst="rect">
                            <a:avLst/>
                          </a:prstGeom>
                          <a:noFill/>
                          <a:ln>
                            <a:noFill/>
                          </a:ln>
                        </pic:spPr>
                      </pic:pic>
                    </a:graphicData>
                  </a:graphic>
                </wp:inline>
              </w:drawing>
            </w:r>
            <w:r>
              <w:rPr>
                <w:rFonts w:hint="eastAsia" w:ascii="仿宋" w:hAnsi="仿宋" w:eastAsia="仿宋" w:cs="仿宋"/>
                <w:b/>
                <w:bCs/>
                <w:color w:val="auto"/>
                <w:sz w:val="24"/>
                <w:highlight w:val="none"/>
                <w:shd w:val="clear" w:color="auto" w:fill="FFFFFF"/>
                <w:lang w:val="zh-CN" w:bidi="zh-CN"/>
              </w:rPr>
              <w:t xml:space="preserve">说明： </w:t>
            </w:r>
          </w:p>
          <w:p>
            <w:pPr>
              <w:widowControl w:val="0"/>
              <w:numPr>
                <w:ilvl w:val="0"/>
                <w:numId w:val="0"/>
              </w:numPr>
              <w:wordWrap/>
              <w:adjustRightInd w:val="0"/>
              <w:snapToGrid w:val="0"/>
              <w:spacing w:line="264" w:lineRule="auto"/>
              <w:ind w:firstLine="442" w:firstLineChars="200"/>
              <w:textAlignment w:val="auto"/>
              <w:rPr>
                <w:rFonts w:hint="eastAsia" w:ascii="仿宋" w:hAnsi="仿宋" w:eastAsia="仿宋" w:cs="仿宋"/>
                <w:b/>
                <w:bCs/>
                <w:color w:val="auto"/>
                <w:kern w:val="0"/>
                <w:sz w:val="22"/>
                <w:szCs w:val="22"/>
                <w:highlight w:val="none"/>
                <w:u w:val="single"/>
                <w:lang w:val="zh-CN" w:eastAsia="zh-CN"/>
              </w:rPr>
            </w:pPr>
            <w:r>
              <w:rPr>
                <w:rFonts w:hint="eastAsia" w:ascii="仿宋" w:hAnsi="仿宋" w:eastAsia="仿宋" w:cs="仿宋"/>
                <w:b/>
                <w:bCs/>
                <w:color w:val="auto"/>
                <w:kern w:val="0"/>
                <w:sz w:val="22"/>
                <w:szCs w:val="22"/>
                <w:highlight w:val="none"/>
                <w:u w:val="single"/>
                <w:lang w:val="zh-CN" w:eastAsia="zh-CN"/>
              </w:rPr>
              <w:t>1.大型、中型和小型企业须同时满足所列指标的下限，否则下划一档；微型企业只须满足所列指标中的一项即可。 　　</w:t>
            </w:r>
          </w:p>
          <w:p>
            <w:pPr>
              <w:widowControl w:val="0"/>
              <w:numPr>
                <w:ilvl w:val="0"/>
                <w:numId w:val="0"/>
              </w:numPr>
              <w:wordWrap/>
              <w:adjustRightInd w:val="0"/>
              <w:snapToGrid w:val="0"/>
              <w:spacing w:line="264" w:lineRule="auto"/>
              <w:ind w:firstLine="442" w:firstLineChars="200"/>
              <w:textAlignment w:val="auto"/>
              <w:rPr>
                <w:rFonts w:hint="eastAsia" w:ascii="仿宋" w:hAnsi="仿宋" w:eastAsia="仿宋" w:cs="仿宋"/>
                <w:b/>
                <w:bCs/>
                <w:color w:val="auto"/>
                <w:kern w:val="0"/>
                <w:sz w:val="22"/>
                <w:szCs w:val="22"/>
                <w:highlight w:val="none"/>
                <w:u w:val="single"/>
                <w:lang w:val="zh-CN" w:eastAsia="zh-CN"/>
              </w:rPr>
            </w:pPr>
            <w:r>
              <w:rPr>
                <w:rFonts w:hint="eastAsia" w:ascii="仿宋" w:hAnsi="仿宋" w:eastAsia="仿宋" w:cs="仿宋"/>
                <w:b/>
                <w:bCs/>
                <w:color w:val="auto"/>
                <w:kern w:val="0"/>
                <w:sz w:val="22"/>
                <w:szCs w:val="22"/>
                <w:highlight w:val="none"/>
                <w:u w:val="single"/>
                <w:lang w:val="zh-CN" w:eastAsia="zh-CN"/>
              </w:rPr>
              <w:t>2.附表中各行业的范围以《国民经济行业分类》（GB/T4754-2017）为准。</w:t>
            </w:r>
          </w:p>
          <w:p>
            <w:pPr>
              <w:widowControl w:val="0"/>
              <w:numPr>
                <w:ilvl w:val="0"/>
                <w:numId w:val="0"/>
              </w:numPr>
              <w:wordWrap/>
              <w:adjustRightInd w:val="0"/>
              <w:snapToGrid w:val="0"/>
              <w:spacing w:line="264" w:lineRule="auto"/>
              <w:ind w:firstLine="442" w:firstLineChars="200"/>
              <w:textAlignment w:val="auto"/>
              <w:rPr>
                <w:rFonts w:hint="eastAsia" w:ascii="仿宋" w:hAnsi="仿宋" w:eastAsia="仿宋" w:cs="仿宋"/>
                <w:b/>
                <w:bCs/>
                <w:color w:val="auto"/>
                <w:kern w:val="0"/>
                <w:sz w:val="22"/>
                <w:szCs w:val="22"/>
                <w:highlight w:val="none"/>
                <w:u w:val="single"/>
                <w:lang w:val="zh-CN" w:eastAsia="zh-CN"/>
              </w:rPr>
            </w:pPr>
            <w:r>
              <w:rPr>
                <w:rFonts w:hint="eastAsia" w:ascii="仿宋" w:hAnsi="仿宋" w:eastAsia="仿宋" w:cs="仿宋"/>
                <w:b/>
                <w:bCs/>
                <w:color w:val="auto"/>
                <w:kern w:val="0"/>
                <w:sz w:val="22"/>
                <w:szCs w:val="22"/>
                <w:highlight w:val="none"/>
                <w:u w:val="single"/>
                <w:lang w:val="zh-CN" w:eastAsia="zh-CN"/>
              </w:rPr>
              <w:t>3.企业划分指标以现行统计制度为准。</w:t>
            </w:r>
          </w:p>
          <w:p>
            <w:pPr>
              <w:widowControl w:val="0"/>
              <w:numPr>
                <w:ilvl w:val="0"/>
                <w:numId w:val="0"/>
              </w:numPr>
              <w:wordWrap/>
              <w:adjustRightInd w:val="0"/>
              <w:snapToGrid w:val="0"/>
              <w:spacing w:line="264" w:lineRule="auto"/>
              <w:ind w:firstLine="442" w:firstLineChars="200"/>
              <w:textAlignment w:val="auto"/>
              <w:rPr>
                <w:rFonts w:hint="eastAsia" w:ascii="仿宋" w:hAnsi="仿宋" w:eastAsia="仿宋" w:cs="仿宋"/>
                <w:b/>
                <w:bCs/>
                <w:color w:val="auto"/>
                <w:kern w:val="0"/>
                <w:sz w:val="22"/>
                <w:szCs w:val="22"/>
                <w:highlight w:val="none"/>
                <w:u w:val="single"/>
                <w:lang w:val="zh-CN" w:eastAsia="zh-CN"/>
              </w:rPr>
            </w:pPr>
            <w:r>
              <w:rPr>
                <w:rFonts w:hint="eastAsia" w:ascii="仿宋" w:hAnsi="仿宋" w:eastAsia="仿宋" w:cs="仿宋"/>
                <w:b/>
                <w:bCs/>
                <w:color w:val="auto"/>
                <w:kern w:val="0"/>
                <w:sz w:val="22"/>
                <w:szCs w:val="22"/>
                <w:highlight w:val="none"/>
                <w:u w:val="single"/>
                <w:lang w:val="zh-CN" w:eastAsia="zh-CN"/>
              </w:rPr>
              <w:t>1）从业人员，是指期末从业人员数，没有期末从业人员数的，采用全年平均人员数代替。</w:t>
            </w:r>
          </w:p>
          <w:p>
            <w:pPr>
              <w:widowControl w:val="0"/>
              <w:numPr>
                <w:ilvl w:val="0"/>
                <w:numId w:val="0"/>
              </w:numPr>
              <w:wordWrap/>
              <w:adjustRightInd w:val="0"/>
              <w:snapToGrid w:val="0"/>
              <w:spacing w:line="264" w:lineRule="auto"/>
              <w:ind w:firstLine="442" w:firstLineChars="200"/>
              <w:textAlignment w:val="auto"/>
              <w:rPr>
                <w:rFonts w:hint="eastAsia" w:ascii="仿宋" w:hAnsi="仿宋" w:eastAsia="仿宋" w:cs="仿宋"/>
                <w:b/>
                <w:bCs/>
                <w:color w:val="auto"/>
                <w:kern w:val="0"/>
                <w:sz w:val="22"/>
                <w:szCs w:val="22"/>
                <w:highlight w:val="none"/>
                <w:u w:val="single"/>
                <w:lang w:val="zh-CN" w:eastAsia="zh-CN"/>
              </w:rPr>
            </w:pPr>
            <w:r>
              <w:rPr>
                <w:rFonts w:hint="eastAsia" w:ascii="仿宋" w:hAnsi="仿宋" w:eastAsia="仿宋" w:cs="仿宋"/>
                <w:b/>
                <w:bCs/>
                <w:color w:val="auto"/>
                <w:kern w:val="0"/>
                <w:sz w:val="22"/>
                <w:szCs w:val="22"/>
                <w:highlight w:val="none"/>
                <w:u w:val="single"/>
                <w:lang w:val="zh-CN" w:eastAsia="zh-CN"/>
              </w:rPr>
              <w:t>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pPr>
              <w:pStyle w:val="614"/>
              <w:widowControl w:val="0"/>
              <w:tabs>
                <w:tab w:val="left" w:pos="1070"/>
              </w:tabs>
              <w:wordWrap/>
              <w:snapToGrid/>
              <w:spacing w:line="264" w:lineRule="auto"/>
              <w:ind w:right="52" w:firstLine="442" w:firstLineChars="200"/>
              <w:jc w:val="left"/>
              <w:textAlignment w:val="auto"/>
              <w:rPr>
                <w:rFonts w:hint="eastAsia" w:ascii="仿宋" w:hAnsi="仿宋" w:eastAsia="仿宋" w:cs="仿宋"/>
                <w:b/>
                <w:bCs/>
                <w:color w:val="auto"/>
                <w:kern w:val="0"/>
                <w:sz w:val="21"/>
                <w:szCs w:val="21"/>
                <w:highlight w:val="none"/>
                <w:u w:val="single"/>
                <w:lang w:val="zh-CN" w:eastAsia="zh-CN"/>
              </w:rPr>
            </w:pPr>
            <w:r>
              <w:rPr>
                <w:rFonts w:hint="eastAsia" w:ascii="仿宋" w:hAnsi="仿宋" w:eastAsia="仿宋" w:cs="仿宋"/>
                <w:b/>
                <w:bCs/>
                <w:color w:val="auto"/>
                <w:kern w:val="0"/>
                <w:sz w:val="22"/>
                <w:szCs w:val="22"/>
                <w:highlight w:val="none"/>
                <w:u w:val="single"/>
                <w:lang w:val="zh-CN" w:eastAsia="zh-CN"/>
              </w:rPr>
              <w:t>3）资产总额，采用资产总计代替</w:t>
            </w:r>
            <w:r>
              <w:rPr>
                <w:rFonts w:hint="eastAsia" w:ascii="仿宋" w:hAnsi="仿宋" w:eastAsia="仿宋" w:cs="仿宋"/>
                <w:b/>
                <w:bCs/>
                <w:color w:val="auto"/>
                <w:kern w:val="0"/>
                <w:sz w:val="21"/>
                <w:szCs w:val="21"/>
                <w:highlight w:val="none"/>
                <w:u w:val="single"/>
                <w:lang w:val="zh-CN" w:eastAsia="zh-CN"/>
              </w:rPr>
              <w:t>。</w:t>
            </w:r>
          </w:p>
          <w:p>
            <w:pPr>
              <w:pStyle w:val="614"/>
              <w:widowControl w:val="0"/>
              <w:tabs>
                <w:tab w:val="left" w:pos="1070"/>
              </w:tabs>
              <w:wordWrap/>
              <w:snapToGrid/>
              <w:spacing w:line="264" w:lineRule="auto"/>
              <w:ind w:right="52" w:firstLine="240" w:firstLineChars="100"/>
              <w:textAlignment w:val="auto"/>
              <w:rPr>
                <w:rFonts w:hint="eastAsia" w:ascii="仿宋" w:hAnsi="仿宋" w:eastAsia="仿宋" w:cs="仿宋"/>
                <w:b/>
                <w:bCs/>
                <w:color w:val="auto"/>
                <w:sz w:val="24"/>
                <w:szCs w:val="24"/>
                <w:highlight w:val="none"/>
                <w:lang w:val="en-US" w:eastAsia="zh-CN"/>
              </w:rPr>
            </w:pPr>
            <w:r>
              <w:rPr>
                <w:rFonts w:hint="eastAsia" w:ascii="仿宋" w:hAnsi="仿宋" w:eastAsia="仿宋" w:cs="仿宋"/>
                <w:b w:val="0"/>
                <w:bCs w:val="0"/>
                <w:color w:val="auto"/>
                <w:sz w:val="24"/>
                <w:szCs w:val="24"/>
                <w:highlight w:val="none"/>
                <w:lang w:eastAsia="zh-CN"/>
              </w:rPr>
              <w:t>（</w:t>
            </w:r>
            <w:r>
              <w:rPr>
                <w:rFonts w:hint="eastAsia" w:ascii="仿宋" w:hAnsi="仿宋" w:eastAsia="仿宋" w:cs="仿宋"/>
                <w:b w:val="0"/>
                <w:bCs w:val="0"/>
                <w:color w:val="auto"/>
                <w:sz w:val="24"/>
                <w:szCs w:val="24"/>
                <w:highlight w:val="none"/>
                <w:lang w:val="en-US" w:eastAsia="zh-CN"/>
              </w:rPr>
              <w:t>3）</w:t>
            </w:r>
            <w:r>
              <w:rPr>
                <w:rFonts w:hint="eastAsia" w:ascii="仿宋" w:hAnsi="仿宋" w:eastAsia="仿宋" w:cs="仿宋"/>
                <w:b w:val="0"/>
                <w:bCs w:val="0"/>
                <w:color w:val="auto"/>
                <w:sz w:val="24"/>
                <w:szCs w:val="24"/>
                <w:highlight w:val="none"/>
                <w:lang w:eastAsia="zh-CN"/>
              </w:rPr>
              <w:t>根据《政府采购促进中小企业发展管理办法》（财库﹝2020﹞46 号）要求，</w:t>
            </w:r>
            <w:r>
              <w:rPr>
                <w:rFonts w:hint="eastAsia" w:ascii="仿宋" w:hAnsi="仿宋" w:eastAsia="仿宋" w:cs="仿宋"/>
                <w:b/>
                <w:bCs/>
                <w:color w:val="auto"/>
                <w:sz w:val="24"/>
                <w:szCs w:val="24"/>
                <w:highlight w:val="none"/>
                <w:lang w:eastAsia="zh-CN"/>
              </w:rPr>
              <w:t>本次采购为</w:t>
            </w:r>
            <w:r>
              <w:rPr>
                <w:rFonts w:hint="eastAsia" w:ascii="仿宋" w:hAnsi="仿宋" w:eastAsia="仿宋" w:cs="仿宋"/>
                <w:b/>
                <w:bCs/>
                <w:color w:val="auto"/>
                <w:sz w:val="24"/>
                <w:szCs w:val="24"/>
                <w:highlight w:val="none"/>
                <w:u w:val="single"/>
                <w:lang w:eastAsia="zh-CN"/>
              </w:rPr>
              <w:t>专门面向</w:t>
            </w:r>
            <w:r>
              <w:rPr>
                <w:rFonts w:hint="eastAsia" w:ascii="仿宋" w:hAnsi="仿宋" w:eastAsia="仿宋" w:cs="仿宋"/>
                <w:b/>
                <w:bCs/>
                <w:color w:val="auto"/>
                <w:sz w:val="24"/>
                <w:szCs w:val="24"/>
                <w:highlight w:val="none"/>
                <w:u w:val="single"/>
                <w:lang w:val="en-US" w:eastAsia="zh-CN"/>
              </w:rPr>
              <w:t>中</w:t>
            </w:r>
            <w:r>
              <w:rPr>
                <w:rFonts w:hint="eastAsia" w:ascii="仿宋" w:hAnsi="仿宋" w:eastAsia="仿宋" w:cs="仿宋"/>
                <w:b/>
                <w:bCs/>
                <w:color w:val="auto"/>
                <w:sz w:val="24"/>
                <w:szCs w:val="24"/>
                <w:highlight w:val="none"/>
                <w:u w:val="single"/>
                <w:lang w:eastAsia="zh-CN"/>
              </w:rPr>
              <w:t>小企业预留采购份额的采购项目</w:t>
            </w:r>
            <w:r>
              <w:rPr>
                <w:rFonts w:hint="eastAsia" w:ascii="仿宋" w:hAnsi="仿宋" w:eastAsia="仿宋" w:cs="仿宋"/>
                <w:b/>
                <w:bCs/>
                <w:color w:val="auto"/>
                <w:sz w:val="24"/>
                <w:szCs w:val="24"/>
                <w:highlight w:val="none"/>
                <w:lang w:eastAsia="zh-CN"/>
              </w:rPr>
              <w:t>。</w:t>
            </w:r>
            <w:r>
              <w:rPr>
                <w:rFonts w:hint="eastAsia" w:ascii="仿宋" w:hAnsi="仿宋" w:eastAsia="仿宋" w:cs="仿宋"/>
                <w:b/>
                <w:bCs/>
                <w:color w:val="auto"/>
                <w:sz w:val="24"/>
                <w:szCs w:val="24"/>
                <w:highlight w:val="none"/>
                <w:lang w:val="en-US" w:eastAsia="zh-CN"/>
              </w:rPr>
              <w:t>对小型和微型企业的投标报价不予扣除评审。</w:t>
            </w:r>
          </w:p>
          <w:p>
            <w:pPr>
              <w:pStyle w:val="614"/>
              <w:widowControl w:val="0"/>
              <w:tabs>
                <w:tab w:val="left" w:pos="1070"/>
              </w:tabs>
              <w:wordWrap/>
              <w:snapToGrid/>
              <w:spacing w:line="264" w:lineRule="auto"/>
              <w:ind w:right="52" w:firstLine="236" w:firstLineChars="100"/>
              <w:textAlignment w:val="auto"/>
              <w:rPr>
                <w:rFonts w:hint="eastAsia" w:ascii="仿宋" w:hAnsi="仿宋" w:eastAsia="仿宋" w:cs="仿宋"/>
                <w:b w:val="0"/>
                <w:bCs w:val="0"/>
                <w:color w:val="auto"/>
                <w:spacing w:val="-2"/>
                <w:sz w:val="24"/>
                <w:szCs w:val="24"/>
                <w:highlight w:val="none"/>
                <w:lang w:eastAsia="zh-CN"/>
              </w:rPr>
            </w:pPr>
            <w:r>
              <w:rPr>
                <w:rFonts w:hint="eastAsia" w:ascii="仿宋" w:hAnsi="仿宋" w:eastAsia="仿宋" w:cs="仿宋"/>
                <w:b w:val="0"/>
                <w:bCs w:val="0"/>
                <w:color w:val="auto"/>
                <w:spacing w:val="-2"/>
                <w:sz w:val="24"/>
                <w:szCs w:val="24"/>
                <w:highlight w:val="none"/>
                <w:lang w:eastAsia="zh-CN"/>
              </w:rPr>
              <w:t>(</w:t>
            </w:r>
            <w:r>
              <w:rPr>
                <w:rFonts w:hint="eastAsia" w:ascii="仿宋" w:hAnsi="仿宋" w:eastAsia="仿宋" w:cs="仿宋"/>
                <w:b w:val="0"/>
                <w:bCs w:val="0"/>
                <w:color w:val="auto"/>
                <w:spacing w:val="-2"/>
                <w:sz w:val="24"/>
                <w:szCs w:val="24"/>
                <w:highlight w:val="none"/>
                <w:lang w:val="en-US" w:eastAsia="zh-CN"/>
              </w:rPr>
              <w:t>4</w:t>
            </w:r>
            <w:r>
              <w:rPr>
                <w:rFonts w:hint="eastAsia" w:ascii="仿宋" w:hAnsi="仿宋" w:eastAsia="仿宋" w:cs="仿宋"/>
                <w:b w:val="0"/>
                <w:bCs w:val="0"/>
                <w:color w:val="auto"/>
                <w:spacing w:val="-2"/>
                <w:sz w:val="24"/>
                <w:szCs w:val="24"/>
                <w:highlight w:val="none"/>
                <w:lang w:eastAsia="zh-CN"/>
              </w:rPr>
              <w:t>)符合小微企业划分标准的个体工商户，视同小微企</w:t>
            </w:r>
          </w:p>
          <w:p>
            <w:pPr>
              <w:pStyle w:val="614"/>
              <w:widowControl w:val="0"/>
              <w:tabs>
                <w:tab w:val="left" w:pos="1070"/>
              </w:tabs>
              <w:wordWrap/>
              <w:snapToGrid/>
              <w:spacing w:line="264" w:lineRule="auto"/>
              <w:ind w:right="52"/>
              <w:textAlignment w:val="auto"/>
              <w:rPr>
                <w:rFonts w:hint="eastAsia" w:ascii="仿宋" w:hAnsi="仿宋" w:eastAsia="仿宋" w:cs="仿宋"/>
                <w:b w:val="0"/>
                <w:bCs w:val="0"/>
                <w:color w:val="auto"/>
                <w:sz w:val="24"/>
                <w:szCs w:val="24"/>
                <w:highlight w:val="none"/>
                <w:lang w:eastAsia="zh-CN"/>
              </w:rPr>
            </w:pPr>
            <w:r>
              <w:rPr>
                <w:rFonts w:hint="eastAsia" w:ascii="仿宋" w:hAnsi="仿宋" w:eastAsia="仿宋" w:cs="仿宋"/>
                <w:b w:val="0"/>
                <w:bCs w:val="0"/>
                <w:color w:val="auto"/>
                <w:spacing w:val="-2"/>
                <w:sz w:val="24"/>
                <w:szCs w:val="24"/>
                <w:highlight w:val="none"/>
                <w:lang w:eastAsia="zh-CN"/>
              </w:rPr>
              <w:t>业</w:t>
            </w:r>
            <w:r>
              <w:rPr>
                <w:rFonts w:hint="eastAsia" w:ascii="仿宋" w:hAnsi="仿宋" w:eastAsia="仿宋" w:cs="仿宋"/>
                <w:b w:val="0"/>
                <w:bCs w:val="0"/>
                <w:color w:val="auto"/>
                <w:spacing w:val="-13"/>
                <w:sz w:val="24"/>
                <w:szCs w:val="24"/>
                <w:highlight w:val="none"/>
                <w:lang w:eastAsia="zh-CN"/>
              </w:rPr>
              <w:t>。</w:t>
            </w:r>
          </w:p>
          <w:p>
            <w:pPr>
              <w:pStyle w:val="4"/>
              <w:ind w:left="0" w:leftChars="0" w:firstLine="238" w:firstLineChars="100"/>
              <w:rPr>
                <w:rFonts w:hint="eastAsia" w:ascii="仿宋" w:hAnsi="仿宋" w:eastAsia="仿宋" w:cs="仿宋"/>
                <w:color w:val="auto"/>
                <w:highlight w:val="none"/>
                <w:lang w:val="en-US"/>
              </w:rPr>
            </w:pPr>
            <w:r>
              <w:rPr>
                <w:rFonts w:hint="eastAsia" w:ascii="仿宋" w:hAnsi="仿宋" w:eastAsia="仿宋" w:cs="仿宋"/>
                <w:b w:val="0"/>
                <w:bCs w:val="0"/>
                <w:color w:val="auto"/>
                <w:spacing w:val="-1"/>
                <w:sz w:val="24"/>
                <w:szCs w:val="24"/>
                <w:highlight w:val="none"/>
              </w:rPr>
              <w:t>(</w:t>
            </w:r>
            <w:r>
              <w:rPr>
                <w:rFonts w:hint="eastAsia" w:ascii="仿宋" w:hAnsi="仿宋" w:eastAsia="仿宋" w:cs="仿宋"/>
                <w:b w:val="0"/>
                <w:bCs w:val="0"/>
                <w:color w:val="auto"/>
                <w:spacing w:val="-1"/>
                <w:sz w:val="24"/>
                <w:szCs w:val="24"/>
                <w:highlight w:val="none"/>
                <w:lang w:val="en-US" w:eastAsia="zh-CN"/>
              </w:rPr>
              <w:t>5</w:t>
            </w:r>
            <w:r>
              <w:rPr>
                <w:rFonts w:hint="eastAsia" w:ascii="仿宋" w:hAnsi="仿宋" w:eastAsia="仿宋" w:cs="仿宋"/>
                <w:b w:val="0"/>
                <w:bCs w:val="0"/>
                <w:color w:val="auto"/>
                <w:spacing w:val="-1"/>
                <w:sz w:val="24"/>
                <w:szCs w:val="24"/>
                <w:highlight w:val="none"/>
              </w:rPr>
              <w:t xml:space="preserve">)监狱企业和残疾人福利性单位视同小型、微型企业， </w:t>
            </w:r>
            <w:r>
              <w:rPr>
                <w:rFonts w:hint="eastAsia" w:ascii="仿宋" w:hAnsi="仿宋" w:eastAsia="仿宋" w:cs="仿宋"/>
                <w:b w:val="0"/>
                <w:bCs w:val="0"/>
                <w:color w:val="auto"/>
                <w:sz w:val="24"/>
                <w:szCs w:val="24"/>
                <w:highlight w:val="none"/>
              </w:rPr>
              <w:t>按《财政部 司法部关于政府采购支持监狱企业发展有关问题的通知》(财库〔2014〕68 号)、《财政部 民政部  中国残</w:t>
            </w:r>
            <w:r>
              <w:rPr>
                <w:rFonts w:hint="eastAsia" w:ascii="仿宋" w:hAnsi="仿宋" w:eastAsia="仿宋" w:cs="仿宋"/>
                <w:b w:val="0"/>
                <w:bCs w:val="0"/>
                <w:color w:val="auto"/>
                <w:spacing w:val="-2"/>
                <w:sz w:val="24"/>
                <w:szCs w:val="24"/>
                <w:highlight w:val="none"/>
              </w:rPr>
              <w:t>疾人联合会关于促进残疾人就业政府采购政策的通知》</w:t>
            </w:r>
            <w:r>
              <w:rPr>
                <w:rFonts w:hint="eastAsia" w:ascii="仿宋" w:hAnsi="仿宋" w:eastAsia="仿宋" w:cs="仿宋"/>
                <w:b w:val="0"/>
                <w:bCs w:val="0"/>
                <w:color w:val="auto"/>
                <w:sz w:val="24"/>
                <w:szCs w:val="24"/>
                <w:highlight w:val="none"/>
              </w:rPr>
              <w:t>（财库〔2017〕141 号）的规定执行。</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355" w:hRule="atLeast"/>
          <w:tblHeader/>
        </w:trPr>
        <w:tc>
          <w:tcPr>
            <w:tcW w:w="629"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p>
        </w:tc>
        <w:tc>
          <w:tcPr>
            <w:tcW w:w="1843" w:type="dxa"/>
            <w:tcBorders>
              <w:top w:val="single" w:color="000000" w:sz="8" w:space="0"/>
              <w:left w:val="single" w:color="auto" w:sz="4" w:space="0"/>
              <w:bottom w:val="single" w:color="000000" w:sz="8" w:space="0"/>
              <w:right w:val="single" w:color="000000" w:sz="8" w:space="0"/>
            </w:tcBorders>
            <w:vAlign w:val="center"/>
          </w:tcPr>
          <w:p>
            <w:pPr>
              <w:snapToGrid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是否允许采购进口产品</w:t>
            </w:r>
          </w:p>
        </w:tc>
        <w:tc>
          <w:tcPr>
            <w:tcW w:w="6095" w:type="dxa"/>
            <w:tcBorders>
              <w:top w:val="single" w:color="000000" w:sz="8" w:space="0"/>
              <w:left w:val="single" w:color="000000" w:sz="2" w:space="0"/>
              <w:bottom w:val="single" w:color="000000" w:sz="8" w:space="0"/>
              <w:right w:val="single" w:color="000000" w:sz="8" w:space="0"/>
            </w:tcBorders>
            <w:vAlign w:val="center"/>
          </w:tcPr>
          <w:p>
            <w:pPr>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sym w:font="Wingdings" w:char="F0FE"/>
            </w:r>
            <w:r>
              <w:rPr>
                <w:rFonts w:hint="eastAsia" w:ascii="仿宋" w:hAnsi="仿宋" w:eastAsia="仿宋" w:cs="仿宋"/>
                <w:color w:val="auto"/>
                <w:kern w:val="0"/>
                <w:sz w:val="24"/>
                <w:highlight w:val="none"/>
              </w:rPr>
              <w:t>本项目不允许采购进口产品。</w:t>
            </w:r>
          </w:p>
          <w:p>
            <w:pPr>
              <w:spacing w:line="360" w:lineRule="auto"/>
              <w:rPr>
                <w:rFonts w:hint="eastAsia" w:ascii="仿宋" w:hAnsi="仿宋" w:eastAsia="仿宋" w:cs="仿宋"/>
                <w:color w:val="auto"/>
                <w:highlight w:val="none"/>
              </w:rPr>
            </w:pPr>
            <w:r>
              <w:rPr>
                <w:rFonts w:hint="eastAsia" w:ascii="仿宋" w:hAnsi="仿宋" w:eastAsia="仿宋" w:cs="仿宋"/>
                <w:color w:val="auto"/>
                <w:kern w:val="0"/>
                <w:sz w:val="24"/>
                <w:highlight w:val="none"/>
              </w:rPr>
              <w:t>☐可以就</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采购进口产品。</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105" w:hRule="atLeast"/>
          <w:tblHeader/>
        </w:trPr>
        <w:tc>
          <w:tcPr>
            <w:tcW w:w="629"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p>
        </w:tc>
        <w:tc>
          <w:tcPr>
            <w:tcW w:w="1843" w:type="dxa"/>
            <w:tcBorders>
              <w:top w:val="single" w:color="000000" w:sz="8" w:space="0"/>
              <w:left w:val="single" w:color="auto" w:sz="4" w:space="0"/>
              <w:bottom w:val="single" w:color="000000" w:sz="8" w:space="0"/>
              <w:right w:val="single" w:color="000000" w:sz="8" w:space="0"/>
            </w:tcBorders>
            <w:vAlign w:val="center"/>
          </w:tcPr>
          <w:p>
            <w:pPr>
              <w:snapToGrid w:val="0"/>
              <w:spacing w:line="360" w:lineRule="auto"/>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分包</w:t>
            </w:r>
          </w:p>
        </w:tc>
        <w:tc>
          <w:tcPr>
            <w:tcW w:w="6095" w:type="dxa"/>
            <w:tcBorders>
              <w:top w:val="single" w:color="000000" w:sz="8" w:space="0"/>
              <w:left w:val="single" w:color="000000" w:sz="2" w:space="0"/>
              <w:bottom w:val="single" w:color="000000" w:sz="8" w:space="0"/>
              <w:right w:val="single" w:color="000000" w:sz="8"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kern w:val="0"/>
                <w:sz w:val="24"/>
                <w:szCs w:val="24"/>
                <w:highlight w:val="none"/>
                <w:lang w:val="en-US" w:eastAsia="zh-CN" w:bidi="ar-SA"/>
              </w:rPr>
              <w:t>☐</w:t>
            </w:r>
            <w:r>
              <w:rPr>
                <w:rFonts w:hint="eastAsia" w:ascii="仿宋" w:hAnsi="仿宋" w:eastAsia="仿宋" w:cs="仿宋"/>
                <w:color w:val="auto"/>
                <w:kern w:val="0"/>
                <w:sz w:val="24"/>
                <w:highlight w:val="none"/>
              </w:rPr>
              <w:t xml:space="preserve"> A</w:t>
            </w:r>
            <w:r>
              <w:rPr>
                <w:rFonts w:hint="eastAsia" w:ascii="仿宋" w:hAnsi="仿宋" w:eastAsia="仿宋" w:cs="仿宋"/>
                <w:color w:val="auto"/>
                <w:sz w:val="24"/>
                <w:highlight w:val="none"/>
              </w:rPr>
              <w:t>同意将非主体、非关键性的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工作分包。</w:t>
            </w:r>
            <w:r>
              <w:rPr>
                <w:rFonts w:hint="eastAsia" w:ascii="Wingdings" w:hAnsi="Wingdings" w:eastAsia="仿宋" w:cs="仿宋"/>
                <w:color w:val="auto"/>
                <w:kern w:val="0"/>
                <w:sz w:val="24"/>
                <w:szCs w:val="24"/>
                <w:highlight w:val="none"/>
                <w:lang w:val="en-US" w:eastAsia="zh-CN" w:bidi="ar-SA"/>
              </w:rPr>
              <w:t>þ</w:t>
            </w:r>
            <w:r>
              <w:rPr>
                <w:rFonts w:hint="eastAsia" w:ascii="仿宋" w:hAnsi="仿宋" w:eastAsia="仿宋" w:cs="仿宋"/>
                <w:color w:val="auto"/>
                <w:kern w:val="0"/>
                <w:sz w:val="24"/>
                <w:highlight w:val="none"/>
              </w:rPr>
              <w:t xml:space="preserve"> B</w:t>
            </w:r>
            <w:r>
              <w:rPr>
                <w:rFonts w:hint="eastAsia" w:ascii="仿宋" w:hAnsi="仿宋" w:eastAsia="仿宋" w:cs="仿宋"/>
                <w:color w:val="auto"/>
                <w:sz w:val="24"/>
                <w:highlight w:val="none"/>
              </w:rPr>
              <w:t>不同意分包。</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注：不得限制大中型企业向小微企业合理分包。</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105" w:hRule="atLeast"/>
          <w:tblHeader/>
        </w:trPr>
        <w:tc>
          <w:tcPr>
            <w:tcW w:w="629" w:type="dxa"/>
            <w:tcBorders>
              <w:top w:val="single" w:color="auto" w:sz="4" w:space="0"/>
              <w:left w:val="single" w:color="auto" w:sz="4" w:space="0"/>
              <w:bottom w:val="single" w:color="auto" w:sz="4" w:space="0"/>
              <w:right w:val="single" w:color="auto" w:sz="4" w:space="0"/>
            </w:tcBorders>
            <w:vAlign w:val="top"/>
          </w:tcPr>
          <w:p>
            <w:pPr>
              <w:snapToGrid w:val="0"/>
              <w:spacing w:line="360" w:lineRule="auto"/>
              <w:jc w:val="center"/>
              <w:rPr>
                <w:rFonts w:hint="eastAsia" w:ascii="仿宋" w:hAnsi="仿宋" w:eastAsia="仿宋" w:cs="仿宋"/>
                <w:color w:val="auto"/>
                <w:sz w:val="24"/>
                <w:highlight w:val="none"/>
              </w:rPr>
            </w:pPr>
          </w:p>
          <w:p>
            <w:pPr>
              <w:snapToGrid w:val="0"/>
              <w:spacing w:line="360" w:lineRule="auto"/>
              <w:jc w:val="center"/>
              <w:rPr>
                <w:rFonts w:hint="eastAsia" w:ascii="仿宋" w:hAnsi="仿宋" w:eastAsia="仿宋" w:cs="仿宋"/>
                <w:color w:val="auto"/>
                <w:sz w:val="24"/>
                <w:highlight w:val="none"/>
              </w:rPr>
            </w:pPr>
          </w:p>
          <w:p>
            <w:pPr>
              <w:snapToGrid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p>
        </w:tc>
        <w:tc>
          <w:tcPr>
            <w:tcW w:w="1843" w:type="dxa"/>
            <w:tcBorders>
              <w:top w:val="single" w:color="000000" w:sz="8" w:space="0"/>
              <w:left w:val="single" w:color="auto" w:sz="4" w:space="0"/>
              <w:bottom w:val="single" w:color="000000" w:sz="8" w:space="0"/>
              <w:right w:val="single" w:color="000000" w:sz="8" w:space="0"/>
            </w:tcBorders>
            <w:vAlign w:val="center"/>
          </w:tcPr>
          <w:p>
            <w:pPr>
              <w:snapToGrid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开标前答疑会或现场考察</w:t>
            </w:r>
          </w:p>
        </w:tc>
        <w:tc>
          <w:tcPr>
            <w:tcW w:w="6095" w:type="dxa"/>
            <w:tcBorders>
              <w:top w:val="single" w:color="000000" w:sz="8" w:space="0"/>
              <w:left w:val="single" w:color="000000" w:sz="2" w:space="0"/>
              <w:bottom w:val="single" w:color="000000" w:sz="8" w:space="0"/>
              <w:right w:val="single" w:color="000000" w:sz="8" w:space="0"/>
            </w:tcBorders>
            <w:vAlign w:val="center"/>
          </w:tcPr>
          <w:p>
            <w:pPr>
              <w:spacing w:line="360" w:lineRule="auto"/>
              <w:rPr>
                <w:rFonts w:hint="eastAsia" w:ascii="仿宋" w:hAnsi="仿宋" w:eastAsia="仿宋" w:cs="仿宋"/>
                <w:color w:val="auto"/>
                <w:sz w:val="24"/>
                <w:highlight w:val="none"/>
              </w:rPr>
            </w:pPr>
            <w:r>
              <w:rPr>
                <w:rFonts w:hint="eastAsia" w:ascii="Wingdings" w:hAnsi="Wingdings" w:eastAsia="仿宋" w:cs="仿宋"/>
                <w:color w:val="auto"/>
                <w:kern w:val="0"/>
                <w:sz w:val="24"/>
                <w:szCs w:val="24"/>
                <w:highlight w:val="none"/>
                <w:lang w:val="en-US" w:eastAsia="zh-CN" w:bidi="ar-SA"/>
              </w:rPr>
              <w:t>þ</w:t>
            </w:r>
            <w:r>
              <w:rPr>
                <w:rFonts w:hint="eastAsia" w:ascii="仿宋" w:hAnsi="仿宋" w:eastAsia="仿宋" w:cs="仿宋"/>
                <w:color w:val="auto"/>
                <w:sz w:val="24"/>
                <w:highlight w:val="none"/>
              </w:rPr>
              <w:t>不组织。</w:t>
            </w:r>
          </w:p>
          <w:p>
            <w:pPr>
              <w:spacing w:line="360" w:lineRule="auto"/>
              <w:rPr>
                <w:rFonts w:hint="eastAsia" w:ascii="仿宋" w:hAnsi="仿宋" w:eastAsia="仿宋" w:cs="仿宋"/>
                <w:color w:val="auto"/>
                <w:sz w:val="24"/>
                <w:szCs w:val="20"/>
                <w:highlight w:val="none"/>
              </w:rPr>
            </w:pPr>
            <w:r>
              <w:rPr>
                <w:rFonts w:hint="eastAsia" w:ascii="仿宋" w:hAnsi="仿宋" w:eastAsia="仿宋" w:cs="仿宋"/>
                <w:color w:val="auto"/>
                <w:kern w:val="0"/>
                <w:sz w:val="24"/>
                <w:highlight w:val="none"/>
              </w:rPr>
              <w:t>☐B组织，</w:t>
            </w:r>
            <w:r>
              <w:rPr>
                <w:rFonts w:hint="eastAsia" w:ascii="仿宋" w:hAnsi="仿宋" w:eastAsia="仿宋" w:cs="仿宋"/>
                <w:color w:val="auto"/>
                <w:sz w:val="24"/>
                <w:highlight w:val="none"/>
              </w:rPr>
              <w:t>时间：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,地点：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，联系方式：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szCs w:val="20"/>
                <w:highlight w:val="none"/>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105" w:hRule="atLeast"/>
          <w:tblHeader/>
        </w:trPr>
        <w:tc>
          <w:tcPr>
            <w:tcW w:w="629"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6</w:t>
            </w:r>
          </w:p>
        </w:tc>
        <w:tc>
          <w:tcPr>
            <w:tcW w:w="1843" w:type="dxa"/>
            <w:tcBorders>
              <w:top w:val="single" w:color="000000" w:sz="8" w:space="0"/>
              <w:left w:val="single" w:color="auto" w:sz="4" w:space="0"/>
              <w:bottom w:val="single" w:color="000000" w:sz="8" w:space="0"/>
              <w:right w:val="single" w:color="000000" w:sz="8" w:space="0"/>
            </w:tcBorders>
            <w:vAlign w:val="center"/>
          </w:tcPr>
          <w:p>
            <w:pPr>
              <w:snapToGrid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样品提供</w:t>
            </w:r>
          </w:p>
        </w:tc>
        <w:tc>
          <w:tcPr>
            <w:tcW w:w="6095" w:type="dxa"/>
            <w:tcBorders>
              <w:top w:val="single" w:color="000000" w:sz="8" w:space="0"/>
              <w:left w:val="single" w:color="000000" w:sz="2" w:space="0"/>
              <w:bottom w:val="single" w:color="000000" w:sz="8" w:space="0"/>
              <w:right w:val="single" w:color="000000" w:sz="8" w:space="0"/>
            </w:tcBorders>
            <w:vAlign w:val="center"/>
          </w:tcPr>
          <w:p>
            <w:pPr>
              <w:spacing w:line="360" w:lineRule="auto"/>
              <w:rPr>
                <w:rFonts w:hint="eastAsia" w:ascii="仿宋" w:hAnsi="仿宋" w:eastAsia="仿宋" w:cs="仿宋"/>
                <w:color w:val="auto"/>
                <w:sz w:val="24"/>
                <w:highlight w:val="none"/>
              </w:rPr>
            </w:pPr>
            <w:r>
              <w:rPr>
                <w:rFonts w:hint="eastAsia" w:ascii="Wingdings" w:hAnsi="Wingdings" w:eastAsia="仿宋" w:cs="仿宋"/>
                <w:color w:val="auto"/>
                <w:kern w:val="0"/>
                <w:sz w:val="24"/>
                <w:szCs w:val="24"/>
                <w:highlight w:val="none"/>
                <w:lang w:val="en-US" w:eastAsia="zh-CN" w:bidi="ar-SA"/>
              </w:rPr>
              <w:t>þ</w:t>
            </w:r>
            <w:r>
              <w:rPr>
                <w:rFonts w:hint="eastAsia" w:ascii="仿宋" w:hAnsi="仿宋" w:eastAsia="仿宋" w:cs="仿宋"/>
                <w:color w:val="auto"/>
                <w:sz w:val="24"/>
                <w:highlight w:val="none"/>
              </w:rPr>
              <w:t>不要求提供。</w:t>
            </w:r>
          </w:p>
          <w:p>
            <w:pPr>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☐B要求提供，</w:t>
            </w:r>
          </w:p>
          <w:p>
            <w:pPr>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w:t>
            </w:r>
            <w:r>
              <w:rPr>
                <w:rFonts w:hint="eastAsia" w:ascii="仿宋" w:hAnsi="仿宋" w:eastAsia="仿宋" w:cs="仿宋"/>
                <w:snapToGrid w:val="0"/>
                <w:color w:val="auto"/>
                <w:kern w:val="28"/>
                <w:sz w:val="24"/>
                <w:highlight w:val="none"/>
              </w:rPr>
              <w:t>样品：</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pPr>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w:t>
            </w:r>
            <w:r>
              <w:rPr>
                <w:rFonts w:hint="eastAsia" w:ascii="仿宋" w:hAnsi="仿宋" w:eastAsia="仿宋" w:cs="仿宋"/>
                <w:snapToGrid w:val="0"/>
                <w:color w:val="auto"/>
                <w:kern w:val="28"/>
                <w:sz w:val="24"/>
                <w:highlight w:val="none"/>
              </w:rPr>
              <w:t>样品制作的标准和要求：</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pPr>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（3）样品的评审方法以及评审标准</w:t>
            </w:r>
            <w:r>
              <w:rPr>
                <w:rFonts w:hint="eastAsia" w:ascii="仿宋" w:hAnsi="仿宋" w:eastAsia="仿宋" w:cs="仿宋"/>
                <w:snapToGrid w:val="0"/>
                <w:color w:val="auto"/>
                <w:kern w:val="28"/>
                <w:sz w:val="24"/>
                <w:highlight w:val="none"/>
              </w:rPr>
              <w:t>：详见</w:t>
            </w:r>
            <w:r>
              <w:rPr>
                <w:rFonts w:hint="eastAsia" w:ascii="仿宋" w:hAnsi="仿宋" w:eastAsia="仿宋" w:cs="仿宋"/>
                <w:color w:val="auto"/>
                <w:sz w:val="24"/>
                <w:highlight w:val="none"/>
                <w:u w:val="single"/>
              </w:rPr>
              <w:t>评标办法</w:t>
            </w:r>
            <w:r>
              <w:rPr>
                <w:rFonts w:hint="eastAsia" w:ascii="仿宋" w:hAnsi="仿宋" w:eastAsia="仿宋" w:cs="仿宋"/>
                <w:color w:val="auto"/>
                <w:kern w:val="0"/>
                <w:sz w:val="24"/>
                <w:highlight w:val="none"/>
              </w:rPr>
              <w:t>；</w:t>
            </w:r>
          </w:p>
          <w:p>
            <w:pPr>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（4）是否需要随样品提交检测报告：☐否；☐是，检测机构的要求</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；检测内容</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（5）提供样品的时间：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；地点：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；联系人</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28"/>
                <w:sz w:val="24"/>
                <w:highlight w:val="none"/>
              </w:rPr>
              <w:t>联系电话：</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。请投标人在上述时间内提供样品并按规定位置安装完毕。超过截止时间的，采购人或采购代理机构将不予接收，并将清场并封闭样品现场。</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(6)采购活动结束后，对于未中标人提供的样品，采购人、</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将通知未中标人在规定的时间内取回，逾期未取回的，采购人、</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不负保管义务；对于中标人提供的样品，采购人将进行保管、封存，并作为履约验收的参考。</w:t>
            </w:r>
          </w:p>
          <w:p>
            <w:pPr>
              <w:spacing w:line="360" w:lineRule="auto"/>
              <w:rPr>
                <w:rFonts w:hint="eastAsia" w:ascii="仿宋" w:hAnsi="仿宋" w:eastAsia="仿宋" w:cs="仿宋"/>
                <w:b/>
                <w:color w:val="auto"/>
                <w:sz w:val="24"/>
                <w:highlight w:val="none"/>
              </w:rPr>
            </w:pPr>
            <w:r>
              <w:rPr>
                <w:rFonts w:hint="eastAsia" w:ascii="仿宋" w:hAnsi="仿宋" w:eastAsia="仿宋" w:cs="仿宋"/>
                <w:color w:val="auto"/>
                <w:sz w:val="24"/>
                <w:highlight w:val="none"/>
              </w:rPr>
              <w:t>（7）制作、运输、安装和保管样品所发生的一切费用由投标人自理。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105" w:hRule="atLeast"/>
          <w:tblHeader/>
        </w:trPr>
        <w:tc>
          <w:tcPr>
            <w:tcW w:w="629"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7</w:t>
            </w:r>
          </w:p>
        </w:tc>
        <w:tc>
          <w:tcPr>
            <w:tcW w:w="1843" w:type="dxa"/>
            <w:tcBorders>
              <w:top w:val="single" w:color="000000" w:sz="8" w:space="0"/>
              <w:left w:val="single" w:color="auto" w:sz="4" w:space="0"/>
              <w:bottom w:val="single" w:color="000000" w:sz="8" w:space="0"/>
              <w:right w:val="single" w:color="000000" w:sz="8" w:space="0"/>
            </w:tcBorders>
            <w:vAlign w:val="center"/>
          </w:tcPr>
          <w:p>
            <w:pPr>
              <w:snapToGrid w:val="0"/>
              <w:spacing w:line="360" w:lineRule="auto"/>
              <w:jc w:val="center"/>
              <w:rPr>
                <w:rFonts w:hint="eastAsia" w:ascii="仿宋" w:hAnsi="仿宋" w:eastAsia="仿宋" w:cs="仿宋"/>
                <w:bCs/>
                <w:color w:val="auto"/>
                <w:sz w:val="24"/>
                <w:highlight w:val="none"/>
              </w:rPr>
            </w:pPr>
            <w:r>
              <w:rPr>
                <w:rFonts w:hint="eastAsia" w:ascii="仿宋" w:hAnsi="仿宋" w:eastAsia="仿宋" w:cs="仿宋"/>
                <w:b/>
                <w:color w:val="auto"/>
                <w:sz w:val="24"/>
                <w:highlight w:val="none"/>
              </w:rPr>
              <w:t>方案讲解演示</w:t>
            </w:r>
          </w:p>
        </w:tc>
        <w:tc>
          <w:tcPr>
            <w:tcW w:w="6095" w:type="dxa"/>
            <w:tcBorders>
              <w:top w:val="single" w:color="000000" w:sz="8" w:space="0"/>
              <w:left w:val="single" w:color="000000" w:sz="2" w:space="0"/>
              <w:bottom w:val="single" w:color="000000" w:sz="8" w:space="0"/>
              <w:right w:val="single" w:color="000000" w:sz="8" w:space="0"/>
            </w:tcBorders>
            <w:vAlign w:val="center"/>
          </w:tcPr>
          <w:p>
            <w:pPr>
              <w:spacing w:line="360" w:lineRule="auto"/>
              <w:rPr>
                <w:rFonts w:hint="eastAsia" w:ascii="仿宋" w:hAnsi="仿宋" w:eastAsia="仿宋" w:cs="仿宋"/>
                <w:color w:val="auto"/>
                <w:sz w:val="24"/>
                <w:highlight w:val="none"/>
              </w:rPr>
            </w:pPr>
            <w:r>
              <w:rPr>
                <w:rFonts w:hint="eastAsia" w:ascii="Wingdings" w:hAnsi="Wingdings" w:eastAsia="仿宋" w:cs="仿宋"/>
                <w:color w:val="auto"/>
                <w:kern w:val="0"/>
                <w:sz w:val="24"/>
                <w:szCs w:val="24"/>
                <w:highlight w:val="none"/>
                <w:lang w:val="en-US" w:eastAsia="zh-CN" w:bidi="ar-SA"/>
              </w:rPr>
              <w:t>þ</w:t>
            </w:r>
            <w:r>
              <w:rPr>
                <w:rFonts w:hint="eastAsia" w:ascii="仿宋" w:hAnsi="仿宋" w:eastAsia="仿宋" w:cs="仿宋"/>
                <w:color w:val="auto"/>
                <w:sz w:val="24"/>
                <w:highlight w:val="none"/>
              </w:rPr>
              <w:t>不组织。</w:t>
            </w:r>
          </w:p>
          <w:p>
            <w:pPr>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☐B组织。</w:t>
            </w:r>
          </w:p>
          <w:p>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（1）在评标时安排每个投标人进行方案讲解演示。每个投标人时间不超过</w:t>
            </w:r>
            <w:r>
              <w:rPr>
                <w:rFonts w:hint="eastAsia" w:ascii="仿宋" w:hAnsi="仿宋" w:eastAsia="仿宋" w:cs="仿宋"/>
                <w:color w:val="auto"/>
                <w:kern w:val="0"/>
                <w:sz w:val="24"/>
                <w:highlight w:val="none"/>
                <w:u w:val="single"/>
              </w:rPr>
              <w:t>20</w:t>
            </w:r>
            <w:r>
              <w:rPr>
                <w:rFonts w:hint="eastAsia" w:ascii="仿宋" w:hAnsi="仿宋" w:eastAsia="仿宋" w:cs="仿宋"/>
                <w:color w:val="auto"/>
                <w:kern w:val="0"/>
                <w:sz w:val="24"/>
                <w:highlight w:val="none"/>
                <w:u w:val="single"/>
                <w:lang w:eastAsia="zh-CN"/>
              </w:rPr>
              <w:t>（</w:t>
            </w:r>
            <w:r>
              <w:rPr>
                <w:rFonts w:hint="eastAsia" w:ascii="仿宋" w:hAnsi="仿宋" w:eastAsia="仿宋" w:cs="仿宋"/>
                <w:color w:val="auto"/>
                <w:kern w:val="0"/>
                <w:sz w:val="24"/>
                <w:highlight w:val="none"/>
                <w:u w:val="single"/>
                <w:lang w:val="en-US" w:eastAsia="zh-CN"/>
              </w:rPr>
              <w:t>编制时可根据项目情况进行调整</w:t>
            </w:r>
            <w:r>
              <w:rPr>
                <w:rFonts w:hint="eastAsia" w:ascii="仿宋" w:hAnsi="仿宋" w:eastAsia="仿宋" w:cs="仿宋"/>
                <w:color w:val="auto"/>
                <w:kern w:val="0"/>
                <w:sz w:val="24"/>
                <w:highlight w:val="none"/>
                <w:u w:val="single"/>
                <w:lang w:eastAsia="zh-CN"/>
              </w:rPr>
              <w:t>）</w:t>
            </w:r>
            <w:r>
              <w:rPr>
                <w:rFonts w:hint="eastAsia" w:ascii="仿宋" w:hAnsi="仿宋" w:eastAsia="仿宋" w:cs="仿宋"/>
                <w:color w:val="auto"/>
                <w:kern w:val="0"/>
                <w:sz w:val="24"/>
                <w:highlight w:val="none"/>
              </w:rPr>
              <w:t>分钟，讲解次序以投标文件解密时间先后次序为准，讲解演示人员不超过</w:t>
            </w:r>
            <w:r>
              <w:rPr>
                <w:rFonts w:hint="eastAsia" w:ascii="仿宋" w:hAnsi="仿宋" w:eastAsia="仿宋" w:cs="仿宋"/>
                <w:color w:val="auto"/>
                <w:kern w:val="0"/>
                <w:sz w:val="24"/>
                <w:highlight w:val="none"/>
                <w:u w:val="single"/>
              </w:rPr>
              <w:t>3</w:t>
            </w:r>
            <w:r>
              <w:rPr>
                <w:rFonts w:hint="eastAsia" w:ascii="仿宋" w:hAnsi="仿宋" w:eastAsia="仿宋" w:cs="仿宋"/>
                <w:color w:val="auto"/>
                <w:kern w:val="0"/>
                <w:sz w:val="24"/>
                <w:highlight w:val="none"/>
                <w:u w:val="single"/>
                <w:lang w:eastAsia="zh-CN"/>
              </w:rPr>
              <w:t>（</w:t>
            </w:r>
            <w:r>
              <w:rPr>
                <w:rFonts w:hint="eastAsia" w:ascii="仿宋" w:hAnsi="仿宋" w:eastAsia="仿宋" w:cs="仿宋"/>
                <w:color w:val="auto"/>
                <w:kern w:val="0"/>
                <w:sz w:val="24"/>
                <w:highlight w:val="none"/>
                <w:u w:val="single"/>
                <w:lang w:val="en-US" w:eastAsia="zh-CN"/>
              </w:rPr>
              <w:t>编制时可根据项目情况进行调整</w:t>
            </w:r>
            <w:r>
              <w:rPr>
                <w:rFonts w:hint="eastAsia" w:ascii="仿宋" w:hAnsi="仿宋" w:eastAsia="仿宋" w:cs="仿宋"/>
                <w:color w:val="auto"/>
                <w:kern w:val="0"/>
                <w:sz w:val="24"/>
                <w:highlight w:val="none"/>
                <w:u w:val="single"/>
                <w:lang w:eastAsia="zh-CN"/>
              </w:rPr>
              <w:t>）</w:t>
            </w:r>
            <w:r>
              <w:rPr>
                <w:rFonts w:hint="eastAsia" w:ascii="仿宋" w:hAnsi="仿宋" w:eastAsia="仿宋" w:cs="仿宋"/>
                <w:color w:val="auto"/>
                <w:kern w:val="0"/>
                <w:sz w:val="24"/>
                <w:highlight w:val="none"/>
              </w:rPr>
              <w:t>人。讲解演示结束后按要求解答评标委员会提问。</w:t>
            </w:r>
          </w:p>
          <w:p>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（2）方案讲解演示可选择以下其中一种方式：</w:t>
            </w:r>
          </w:p>
          <w:p>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方式一：政采云平台在线讲解演示。政采云平台在线讲解需投标人根据政采云平台操作要求做好准备工作，提前完善软硬件配置环境。</w:t>
            </w:r>
          </w:p>
          <w:p>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方式二：交易中心现场讲解演示。现场讲解地点为</w:t>
            </w:r>
            <w:r>
              <w:rPr>
                <w:rFonts w:hint="eastAsia" w:ascii="仿宋" w:hAnsi="仿宋" w:eastAsia="仿宋" w:cs="仿宋"/>
                <w:b w:val="0"/>
                <w:bCs w:val="0"/>
                <w:color w:val="auto"/>
                <w:kern w:val="0"/>
                <w:sz w:val="24"/>
                <w:highlight w:val="none"/>
                <w:u w:val="single"/>
              </w:rPr>
              <w:t xml:space="preserve">     </w:t>
            </w:r>
            <w:r>
              <w:rPr>
                <w:rFonts w:hint="eastAsia" w:ascii="仿宋" w:hAnsi="仿宋" w:eastAsia="仿宋" w:cs="仿宋"/>
                <w:color w:val="auto"/>
                <w:kern w:val="0"/>
                <w:sz w:val="24"/>
                <w:highlight w:val="none"/>
              </w:rPr>
              <w:t>，讲解演示所用电脑等设备由投标人自备。现场讲解演示人员进场时提供讲解人员名单（加盖公章或授权代表签名）及身份证明，否则不得讲解演示。</w:t>
            </w:r>
          </w:p>
          <w:p>
            <w:pPr>
              <w:snapToGrid w:val="0"/>
              <w:spacing w:line="360" w:lineRule="auto"/>
              <w:rPr>
                <w:rFonts w:hint="eastAsia"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rPr>
              <w:t>注：因投标人自身原因导致无法演示或者演示效果不理想的，责任自负。因平台原因导致本项目方案讲解演示环节无法顺利开展，按照《浙江省政府采购项目电子交易管理暂行办法》相关规定执行。</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461" w:hRule="atLeast"/>
          <w:tblHeader/>
        </w:trPr>
        <w:tc>
          <w:tcPr>
            <w:tcW w:w="629" w:type="dxa"/>
            <w:vMerge w:val="restart"/>
            <w:tcBorders>
              <w:top w:val="single" w:color="auto" w:sz="4" w:space="0"/>
              <w:left w:val="single" w:color="auto" w:sz="4" w:space="0"/>
              <w:right w:val="single" w:color="auto" w:sz="4" w:space="0"/>
            </w:tcBorders>
            <w:vAlign w:val="center"/>
          </w:tcPr>
          <w:p>
            <w:pPr>
              <w:snapToGrid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8</w:t>
            </w:r>
          </w:p>
        </w:tc>
        <w:tc>
          <w:tcPr>
            <w:tcW w:w="1843" w:type="dxa"/>
            <w:vMerge w:val="restart"/>
            <w:tcBorders>
              <w:top w:val="single" w:color="000000" w:sz="8" w:space="0"/>
              <w:left w:val="single" w:color="auto" w:sz="4" w:space="0"/>
              <w:right w:val="single" w:color="000000" w:sz="8" w:space="0"/>
            </w:tcBorders>
            <w:vAlign w:val="center"/>
          </w:tcPr>
          <w:p>
            <w:pPr>
              <w:snapToGrid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投标人应当提供的资格、资信证明文件</w:t>
            </w:r>
          </w:p>
        </w:tc>
        <w:tc>
          <w:tcPr>
            <w:tcW w:w="6095" w:type="dxa"/>
            <w:tcBorders>
              <w:top w:val="single" w:color="000000" w:sz="8" w:space="0"/>
              <w:left w:val="single" w:color="000000" w:sz="2" w:space="0"/>
              <w:bottom w:val="single" w:color="auto" w:sz="4" w:space="0"/>
              <w:right w:val="single" w:color="000000" w:sz="8"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（1）资格证明文件：见招标文件第二部分11.1。</w:t>
            </w:r>
          </w:p>
          <w:p>
            <w:pPr>
              <w:spacing w:line="360" w:lineRule="auto"/>
              <w:rPr>
                <w:rFonts w:hint="eastAsia" w:ascii="仿宋" w:hAnsi="仿宋" w:eastAsia="仿宋" w:cs="仿宋"/>
                <w:snapToGrid w:val="0"/>
                <w:color w:val="auto"/>
                <w:kern w:val="0"/>
                <w:szCs w:val="21"/>
                <w:highlight w:val="none"/>
              </w:rPr>
            </w:pPr>
            <w:r>
              <w:rPr>
                <w:rFonts w:hint="eastAsia" w:ascii="仿宋" w:hAnsi="仿宋" w:eastAsia="仿宋" w:cs="仿宋"/>
                <w:color w:val="auto"/>
                <w:kern w:val="0"/>
                <w:sz w:val="24"/>
                <w:highlight w:val="none"/>
                <w:lang w:val="zh-CN"/>
              </w:rPr>
              <w:t>投标人未提供有效的资格证明文件的，视为投标人不具备招标文件中规定的资格要求，投标无效。</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031" w:hRule="atLeast"/>
          <w:tblHeader/>
        </w:trPr>
        <w:tc>
          <w:tcPr>
            <w:tcW w:w="629" w:type="dxa"/>
            <w:vMerge w:val="continue"/>
            <w:tcBorders>
              <w:left w:val="single" w:color="auto" w:sz="4" w:space="0"/>
              <w:bottom w:val="single" w:color="auto" w:sz="4" w:space="0"/>
              <w:right w:val="single" w:color="auto" w:sz="4" w:space="0"/>
            </w:tcBorders>
            <w:vAlign w:val="top"/>
          </w:tcPr>
          <w:p>
            <w:pPr>
              <w:snapToGrid w:val="0"/>
              <w:spacing w:line="360" w:lineRule="auto"/>
              <w:jc w:val="center"/>
              <w:rPr>
                <w:rFonts w:hint="eastAsia" w:ascii="仿宋" w:hAnsi="仿宋" w:eastAsia="仿宋" w:cs="仿宋"/>
                <w:color w:val="auto"/>
                <w:sz w:val="24"/>
                <w:highlight w:val="none"/>
              </w:rPr>
            </w:pPr>
          </w:p>
        </w:tc>
        <w:tc>
          <w:tcPr>
            <w:tcW w:w="1843" w:type="dxa"/>
            <w:vMerge w:val="continue"/>
            <w:tcBorders>
              <w:left w:val="single" w:color="auto" w:sz="4" w:space="0"/>
              <w:bottom w:val="single" w:color="000000" w:sz="8" w:space="0"/>
              <w:right w:val="single" w:color="000000" w:sz="8" w:space="0"/>
            </w:tcBorders>
            <w:vAlign w:val="center"/>
          </w:tcPr>
          <w:p>
            <w:pPr>
              <w:snapToGrid w:val="0"/>
              <w:spacing w:line="360" w:lineRule="auto"/>
              <w:jc w:val="center"/>
              <w:rPr>
                <w:rFonts w:hint="eastAsia" w:ascii="仿宋" w:hAnsi="仿宋" w:eastAsia="仿宋" w:cs="仿宋"/>
                <w:b/>
                <w:color w:val="auto"/>
                <w:sz w:val="24"/>
                <w:highlight w:val="none"/>
              </w:rPr>
            </w:pPr>
          </w:p>
        </w:tc>
        <w:tc>
          <w:tcPr>
            <w:tcW w:w="6095" w:type="dxa"/>
            <w:tcBorders>
              <w:top w:val="single" w:color="auto" w:sz="4" w:space="0"/>
              <w:left w:val="single" w:color="000000" w:sz="2" w:space="0"/>
              <w:bottom w:val="single" w:color="000000" w:sz="8" w:space="0"/>
              <w:right w:val="single" w:color="000000" w:sz="8"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（2）资信证明文件：根据招标文件第四部分评标标准提供。</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86" w:hRule="atLeast"/>
          <w:tblHeader/>
        </w:trPr>
        <w:tc>
          <w:tcPr>
            <w:tcW w:w="629" w:type="dxa"/>
            <w:tcBorders>
              <w:top w:val="single" w:color="auto" w:sz="4" w:space="0"/>
              <w:left w:val="single" w:color="000000" w:sz="8" w:space="0"/>
              <w:bottom w:val="single" w:color="auto" w:sz="4" w:space="0"/>
              <w:right w:val="single" w:color="000000" w:sz="2" w:space="0"/>
            </w:tcBorders>
            <w:vAlign w:val="center"/>
          </w:tcPr>
          <w:p>
            <w:pPr>
              <w:snapToGrid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9</w:t>
            </w:r>
          </w:p>
        </w:tc>
        <w:tc>
          <w:tcPr>
            <w:tcW w:w="1843" w:type="dxa"/>
            <w:tcBorders>
              <w:top w:val="single" w:color="000000" w:sz="8" w:space="0"/>
              <w:left w:val="single" w:color="000000" w:sz="2" w:space="0"/>
              <w:bottom w:val="single" w:color="000000" w:sz="8" w:space="0"/>
              <w:right w:val="single" w:color="000000" w:sz="8" w:space="0"/>
            </w:tcBorders>
            <w:vAlign w:val="center"/>
          </w:tcPr>
          <w:p>
            <w:pPr>
              <w:snapToGrid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节能产品、环境标志产品</w:t>
            </w:r>
          </w:p>
        </w:tc>
        <w:tc>
          <w:tcPr>
            <w:tcW w:w="6095" w:type="dxa"/>
            <w:tcBorders>
              <w:top w:val="single" w:color="000000" w:sz="8" w:space="0"/>
              <w:left w:val="single" w:color="000000" w:sz="2" w:space="0"/>
              <w:bottom w:val="single" w:color="000000" w:sz="8" w:space="0"/>
              <w:right w:val="single" w:color="000000" w:sz="8" w:space="0"/>
            </w:tcBorders>
            <w:vAlign w:val="center"/>
          </w:tcPr>
          <w:p>
            <w:pPr>
              <w:snapToGrid w:val="0"/>
              <w:spacing w:line="360" w:lineRule="auto"/>
              <w:rPr>
                <w:rFonts w:hint="eastAsia" w:ascii="仿宋" w:hAnsi="仿宋" w:eastAsia="仿宋" w:cs="仿宋"/>
                <w:color w:val="auto"/>
                <w:highlight w:val="none"/>
              </w:rPr>
            </w:pPr>
            <w:r>
              <w:rPr>
                <w:rFonts w:hint="eastAsia" w:ascii="仿宋" w:hAnsi="仿宋" w:eastAsia="仿宋" w:cs="仿宋"/>
                <w:color w:val="auto"/>
                <w:kern w:val="0"/>
                <w:sz w:val="24"/>
                <w:highlight w:val="none"/>
              </w:rPr>
              <w:t>采购人拟采购的产品属于品目清单范围的，采购人及其委托的采购代理机构将依据国家确定的认证机构出具的、处于有效期之内的节能产品、环境标志产品认证证书，对获得证书的产品实施政府优先采购或强制采购。</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86" w:hRule="atLeast"/>
          <w:tblHeader/>
        </w:trPr>
        <w:tc>
          <w:tcPr>
            <w:tcW w:w="629" w:type="dxa"/>
            <w:tcBorders>
              <w:top w:val="single" w:color="auto" w:sz="4" w:space="0"/>
              <w:left w:val="single" w:color="000000" w:sz="8" w:space="0"/>
              <w:bottom w:val="single" w:color="auto" w:sz="4" w:space="0"/>
              <w:right w:val="single" w:color="000000" w:sz="2" w:space="0"/>
            </w:tcBorders>
            <w:vAlign w:val="center"/>
          </w:tcPr>
          <w:p>
            <w:pPr>
              <w:snapToGrid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10</w:t>
            </w:r>
          </w:p>
        </w:tc>
        <w:tc>
          <w:tcPr>
            <w:tcW w:w="1843" w:type="dxa"/>
            <w:tcBorders>
              <w:top w:val="single" w:color="000000" w:sz="8" w:space="0"/>
              <w:left w:val="single" w:color="000000" w:sz="2" w:space="0"/>
              <w:bottom w:val="single" w:color="000000" w:sz="8" w:space="0"/>
              <w:right w:val="single" w:color="000000" w:sz="8" w:space="0"/>
            </w:tcBorders>
            <w:vAlign w:val="center"/>
          </w:tcPr>
          <w:p>
            <w:pPr>
              <w:snapToGrid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报价要求</w:t>
            </w:r>
          </w:p>
        </w:tc>
        <w:tc>
          <w:tcPr>
            <w:tcW w:w="6095" w:type="dxa"/>
            <w:tcBorders>
              <w:top w:val="single" w:color="000000" w:sz="8" w:space="0"/>
              <w:left w:val="single" w:color="000000" w:sz="2" w:space="0"/>
              <w:bottom w:val="single" w:color="000000" w:sz="8" w:space="0"/>
              <w:right w:val="single" w:color="000000" w:sz="8" w:space="0"/>
            </w:tcBorders>
            <w:vAlign w:val="center"/>
          </w:tcPr>
          <w:p>
            <w:pPr>
              <w:snapToGrid w:val="0"/>
              <w:spacing w:line="360" w:lineRule="auto"/>
              <w:ind w:firstLine="480" w:firstLineChars="200"/>
              <w:jc w:val="left"/>
              <w:rPr>
                <w:rFonts w:hint="eastAsia"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lang w:val="zh-CN"/>
              </w:rPr>
              <w:t>有关本项目实施所需的所有费用（含税费）均计入报价。</w:t>
            </w:r>
            <w:r>
              <w:rPr>
                <w:rFonts w:hint="eastAsia" w:ascii="仿宋" w:hAnsi="仿宋" w:eastAsia="仿宋" w:cs="仿宋"/>
                <w:b/>
                <w:bCs/>
                <w:color w:val="auto"/>
                <w:kern w:val="0"/>
                <w:sz w:val="24"/>
                <w:highlight w:val="none"/>
                <w:lang w:val="zh-CN"/>
              </w:rPr>
              <w:t>投标文件</w:t>
            </w:r>
            <w:r>
              <w:rPr>
                <w:rFonts w:hint="eastAsia" w:ascii="仿宋" w:hAnsi="仿宋" w:eastAsia="仿宋" w:cs="仿宋"/>
                <w:b/>
                <w:bCs/>
                <w:color w:val="auto"/>
                <w:sz w:val="24"/>
                <w:highlight w:val="none"/>
              </w:rPr>
              <w:t>开标一览表（报价表）是报价的唯一载体，如投标人在政府采购云平台填写的投标报价与投标文件报价文件中开标一览表（报价表）不一致的，以报价文件中开标一览表（报价表）为准。</w:t>
            </w:r>
            <w:r>
              <w:rPr>
                <w:rFonts w:hint="eastAsia" w:ascii="仿宋" w:hAnsi="仿宋" w:eastAsia="仿宋" w:cs="仿宋"/>
                <w:color w:val="auto"/>
                <w:kern w:val="0"/>
                <w:sz w:val="24"/>
                <w:highlight w:val="none"/>
                <w:lang w:val="zh-CN"/>
              </w:rPr>
              <w:t>投标文件中价格全部采用人民币报价。招标文件未列明，而投标人认为必需的费用也需列入报价。</w:t>
            </w:r>
            <w:r>
              <w:rPr>
                <w:rFonts w:hint="eastAsia" w:ascii="仿宋" w:hAnsi="仿宋" w:eastAsia="仿宋" w:cs="仿宋"/>
                <w:b/>
                <w:color w:val="auto"/>
                <w:kern w:val="0"/>
                <w:sz w:val="24"/>
                <w:highlight w:val="none"/>
                <w:lang w:val="zh-CN"/>
              </w:rPr>
              <w:t>提醒：验收时检测费用由采购人承担，不包含在投标总价中。</w:t>
            </w:r>
          </w:p>
          <w:p>
            <w:pPr>
              <w:snapToGrid w:val="0"/>
              <w:spacing w:line="360" w:lineRule="auto"/>
              <w:jc w:val="left"/>
              <w:rPr>
                <w:rFonts w:hint="eastAsia"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投标报价出现下列情形的，投标无效：</w:t>
            </w:r>
          </w:p>
          <w:p>
            <w:pPr>
              <w:snapToGrid w:val="0"/>
              <w:spacing w:line="360" w:lineRule="auto"/>
              <w:ind w:firstLine="482" w:firstLineChars="200"/>
              <w:jc w:val="left"/>
              <w:rPr>
                <w:rFonts w:hint="eastAsia"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投标文件出现不是唯一的、有选择性投标报价的；</w:t>
            </w:r>
          </w:p>
          <w:p>
            <w:pPr>
              <w:snapToGrid w:val="0"/>
              <w:spacing w:line="360" w:lineRule="auto"/>
              <w:ind w:firstLine="482" w:firstLineChars="200"/>
              <w:jc w:val="left"/>
              <w:rPr>
                <w:rFonts w:hint="eastAsia" w:ascii="仿宋" w:hAnsi="仿宋" w:eastAsia="仿宋" w:cs="仿宋"/>
                <w:color w:val="auto"/>
                <w:kern w:val="0"/>
                <w:sz w:val="24"/>
                <w:highlight w:val="none"/>
                <w:lang w:val="zh-CN"/>
              </w:rPr>
            </w:pPr>
            <w:r>
              <w:rPr>
                <w:rFonts w:hint="eastAsia" w:ascii="仿宋" w:hAnsi="仿宋" w:eastAsia="仿宋" w:cs="仿宋"/>
                <w:b/>
                <w:color w:val="auto"/>
                <w:kern w:val="0"/>
                <w:sz w:val="24"/>
                <w:highlight w:val="none"/>
                <w:lang w:val="zh-CN"/>
              </w:rPr>
              <w:t>投标报价超过招标文件中规定的预算金额或者最高限价的;</w:t>
            </w:r>
          </w:p>
          <w:p>
            <w:pPr>
              <w:spacing w:line="360" w:lineRule="auto"/>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kern w:val="0"/>
                <w:sz w:val="24"/>
                <w:highlight w:val="none"/>
              </w:rPr>
              <w:t>报价明显低于其他通过符合性审查投标人的报价，有可能影响产品质量或者不能诚信履约的，未能按要求提供书面说明或者提交相关证明材料证明其报价合理性的</w:t>
            </w:r>
            <w:r>
              <w:rPr>
                <w:rFonts w:hint="eastAsia" w:ascii="仿宋" w:hAnsi="仿宋" w:eastAsia="仿宋" w:cs="仿宋"/>
                <w:b/>
                <w:color w:val="auto"/>
                <w:sz w:val="24"/>
                <w:szCs w:val="21"/>
                <w:highlight w:val="none"/>
              </w:rPr>
              <w:t>;</w:t>
            </w:r>
          </w:p>
          <w:p>
            <w:pPr>
              <w:spacing w:line="360" w:lineRule="auto"/>
              <w:ind w:firstLine="482" w:firstLineChars="200"/>
              <w:rPr>
                <w:rFonts w:hint="eastAsia" w:ascii="仿宋" w:hAnsi="仿宋" w:eastAsia="仿宋" w:cs="仿宋"/>
                <w:color w:val="auto"/>
                <w:sz w:val="24"/>
                <w:highlight w:val="none"/>
              </w:rPr>
            </w:pPr>
            <w:r>
              <w:rPr>
                <w:rFonts w:hint="eastAsia" w:ascii="仿宋" w:hAnsi="仿宋" w:eastAsia="仿宋" w:cs="仿宋"/>
                <w:b/>
                <w:color w:val="auto"/>
                <w:kern w:val="0"/>
                <w:sz w:val="24"/>
                <w:highlight w:val="none"/>
              </w:rPr>
              <w:t>投标人对根据修正原则修正后的报价不确认的</w:t>
            </w:r>
            <w:r>
              <w:rPr>
                <w:rFonts w:hint="eastAsia" w:ascii="仿宋" w:hAnsi="仿宋" w:eastAsia="仿宋" w:cs="仿宋"/>
                <w:b/>
                <w:color w:val="auto"/>
                <w:sz w:val="24"/>
                <w:highlight w:val="none"/>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3498" w:hRule="atLeast"/>
          <w:tblHeader/>
        </w:trPr>
        <w:tc>
          <w:tcPr>
            <w:tcW w:w="629" w:type="dxa"/>
            <w:tcBorders>
              <w:top w:val="single" w:color="auto" w:sz="4" w:space="0"/>
              <w:left w:val="single" w:color="000000" w:sz="8" w:space="0"/>
              <w:right w:val="single" w:color="000000" w:sz="2" w:space="0"/>
            </w:tcBorders>
            <w:vAlign w:val="center"/>
          </w:tcPr>
          <w:p>
            <w:pPr>
              <w:snapToGrid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11</w:t>
            </w:r>
          </w:p>
        </w:tc>
        <w:tc>
          <w:tcPr>
            <w:tcW w:w="1843" w:type="dxa"/>
            <w:tcBorders>
              <w:top w:val="single" w:color="000000" w:sz="8" w:space="0"/>
              <w:left w:val="single" w:color="000000" w:sz="2" w:space="0"/>
              <w:right w:val="single" w:color="000000" w:sz="8" w:space="0"/>
            </w:tcBorders>
            <w:vAlign w:val="center"/>
          </w:tcPr>
          <w:p>
            <w:pPr>
              <w:snapToGrid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中小企业信用融资</w:t>
            </w:r>
          </w:p>
        </w:tc>
        <w:tc>
          <w:tcPr>
            <w:tcW w:w="6095" w:type="dxa"/>
            <w:tcBorders>
              <w:top w:val="single" w:color="000000" w:sz="8" w:space="0"/>
              <w:left w:val="single" w:color="000000" w:sz="2" w:space="0"/>
              <w:right w:val="single" w:color="000000" w:sz="8" w:space="0"/>
            </w:tcBorders>
            <w:vAlign w:val="center"/>
          </w:tcPr>
          <w:p>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snapToGrid w:val="0"/>
                <w:color w:val="auto"/>
                <w:kern w:val="28"/>
                <w:sz w:val="24"/>
                <w:highlight w:val="none"/>
              </w:rPr>
              <w:t>供应商中标后也可在“政采云”平台申请政采贷：操作路径：登录政采云平台 - 金融服务中心 -【融资服务】，可在热门申请中选择产品直接申请，也可点击云智贷匹配适合产品进行申请，或者在可申请项目中根据该项目进行申请。</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734" w:hRule="atLeast"/>
          <w:tblHeader/>
        </w:trPr>
        <w:tc>
          <w:tcPr>
            <w:tcW w:w="629" w:type="dxa"/>
            <w:tcBorders>
              <w:top w:val="single" w:color="auto" w:sz="4" w:space="0"/>
              <w:left w:val="single" w:color="000000" w:sz="8" w:space="0"/>
              <w:bottom w:val="single" w:color="auto" w:sz="4" w:space="0"/>
              <w:right w:val="single" w:color="000000" w:sz="2" w:space="0"/>
            </w:tcBorders>
            <w:vAlign w:val="center"/>
          </w:tcPr>
          <w:p>
            <w:pPr>
              <w:snapToGrid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12</w:t>
            </w:r>
          </w:p>
        </w:tc>
        <w:tc>
          <w:tcPr>
            <w:tcW w:w="1843" w:type="dxa"/>
            <w:tcBorders>
              <w:top w:val="single" w:color="000000" w:sz="8" w:space="0"/>
              <w:left w:val="single" w:color="000000" w:sz="2" w:space="0"/>
              <w:bottom w:val="single" w:color="auto" w:sz="4" w:space="0"/>
              <w:right w:val="single" w:color="000000" w:sz="8" w:space="0"/>
            </w:tcBorders>
            <w:vAlign w:val="center"/>
          </w:tcPr>
          <w:p>
            <w:pPr>
              <w:snapToGrid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 xml:space="preserve">备份投标文件送达地点和签收人员 </w:t>
            </w:r>
          </w:p>
        </w:tc>
        <w:tc>
          <w:tcPr>
            <w:tcW w:w="6095" w:type="dxa"/>
            <w:tcBorders>
              <w:top w:val="single" w:color="000000" w:sz="8" w:space="0"/>
              <w:left w:val="single" w:color="000000" w:sz="2" w:space="0"/>
              <w:bottom w:val="single" w:color="000000" w:sz="8" w:space="0"/>
              <w:right w:val="single" w:color="000000" w:sz="8" w:space="0"/>
            </w:tcBorders>
            <w:vAlign w:val="center"/>
          </w:tcPr>
          <w:p>
            <w:pPr>
              <w:pStyle w:val="33"/>
              <w:spacing w:line="360" w:lineRule="auto"/>
              <w:ind w:firstLine="480" w:firstLineChars="200"/>
              <w:rPr>
                <w:rFonts w:hint="eastAsia" w:ascii="仿宋" w:hAnsi="仿宋" w:eastAsia="仿宋" w:cs="仿宋"/>
                <w:color w:val="auto"/>
                <w:kern w:val="28"/>
                <w:sz w:val="24"/>
                <w:highlight w:val="none"/>
              </w:rPr>
            </w:pPr>
            <w:r>
              <w:rPr>
                <w:rFonts w:hint="eastAsia" w:ascii="仿宋" w:hAnsi="仿宋" w:eastAsia="仿宋" w:cs="仿宋"/>
                <w:color w:val="auto"/>
                <w:kern w:val="28"/>
                <w:sz w:val="24"/>
                <w:szCs w:val="24"/>
                <w:highlight w:val="none"/>
              </w:rPr>
              <w:t>备份投标文件送达地点：</w:t>
            </w:r>
            <w:r>
              <w:rPr>
                <w:rFonts w:hint="eastAsia" w:ascii="仿宋" w:hAnsi="仿宋" w:eastAsia="仿宋" w:cs="仿宋"/>
                <w:color w:val="auto"/>
                <w:kern w:val="28"/>
                <w:sz w:val="24"/>
                <w:szCs w:val="24"/>
                <w:highlight w:val="none"/>
                <w:u w:val="single"/>
              </w:rPr>
              <w:t>密封包装后</w:t>
            </w:r>
            <w:r>
              <w:rPr>
                <w:rFonts w:hint="eastAsia" w:ascii="仿宋" w:hAnsi="仿宋" w:eastAsia="仿宋" w:cs="仿宋"/>
                <w:color w:val="auto"/>
                <w:kern w:val="28"/>
                <w:sz w:val="24"/>
                <w:szCs w:val="24"/>
                <w:highlight w:val="none"/>
                <w:u w:val="single"/>
                <w:lang w:eastAsia="zh-CN"/>
              </w:rPr>
              <w:t>，</w:t>
            </w:r>
            <w:r>
              <w:rPr>
                <w:rFonts w:hint="eastAsia" w:ascii="仿宋" w:hAnsi="仿宋" w:eastAsia="仿宋" w:cs="仿宋"/>
                <w:color w:val="auto"/>
                <w:sz w:val="24"/>
                <w:szCs w:val="24"/>
                <w:highlight w:val="none"/>
                <w:u w:val="single"/>
              </w:rPr>
              <w:t>在投标截止时间前直接提交或者以邮政快递方式递交备份投标文件1份</w:t>
            </w:r>
            <w:r>
              <w:rPr>
                <w:rFonts w:hint="eastAsia" w:ascii="仿宋" w:hAnsi="仿宋" w:eastAsia="仿宋" w:cs="仿宋"/>
                <w:color w:val="auto"/>
                <w:sz w:val="24"/>
                <w:szCs w:val="24"/>
                <w:highlight w:val="none"/>
                <w:u w:val="single"/>
                <w:lang w:eastAsia="zh-CN"/>
              </w:rPr>
              <w:t>。</w:t>
            </w:r>
            <w:r>
              <w:rPr>
                <w:rFonts w:hint="eastAsia" w:ascii="仿宋" w:hAnsi="仿宋" w:eastAsia="仿宋" w:cs="仿宋"/>
                <w:color w:val="auto"/>
                <w:kern w:val="28"/>
                <w:sz w:val="24"/>
                <w:szCs w:val="24"/>
                <w:highlight w:val="none"/>
                <w:u w:val="single"/>
              </w:rPr>
              <w:t>（建议邮寄形式</w:t>
            </w:r>
            <w:r>
              <w:rPr>
                <w:rFonts w:hint="eastAsia" w:ascii="仿宋" w:hAnsi="仿宋" w:eastAsia="仿宋" w:cs="仿宋"/>
                <w:color w:val="auto"/>
                <w:kern w:val="28"/>
                <w:sz w:val="24"/>
                <w:szCs w:val="24"/>
                <w:highlight w:val="none"/>
                <w:u w:val="single"/>
                <w:lang w:eastAsia="zh-CN"/>
              </w:rPr>
              <w:t>）</w:t>
            </w:r>
            <w:r>
              <w:rPr>
                <w:rFonts w:hint="eastAsia" w:ascii="仿宋" w:hAnsi="仿宋" w:eastAsia="仿宋" w:cs="仿宋"/>
                <w:color w:val="auto"/>
                <w:kern w:val="28"/>
                <w:sz w:val="24"/>
                <w:szCs w:val="24"/>
                <w:highlight w:val="none"/>
                <w:u w:val="single"/>
              </w:rPr>
              <w:t>邮寄地址：</w:t>
            </w:r>
            <w:r>
              <w:rPr>
                <w:rFonts w:hint="eastAsia" w:ascii="仿宋" w:hAnsi="仿宋" w:eastAsia="仿宋" w:cs="仿宋"/>
                <w:color w:val="auto"/>
                <w:sz w:val="24"/>
                <w:highlight w:val="none"/>
                <w:u w:val="single"/>
                <w:lang w:eastAsia="zh-CN"/>
              </w:rPr>
              <w:t>杭州市余杭区余杭街道禹航路66号德裕科技1110室</w:t>
            </w:r>
            <w:r>
              <w:rPr>
                <w:rFonts w:hint="eastAsia" w:ascii="仿宋" w:hAnsi="仿宋" w:eastAsia="仿宋" w:cs="仿宋"/>
                <w:color w:val="auto"/>
                <w:kern w:val="28"/>
                <w:sz w:val="24"/>
                <w:szCs w:val="24"/>
                <w:highlight w:val="none"/>
              </w:rPr>
              <w:t>；备份投标文件签收人员联系电话：</w:t>
            </w:r>
            <w:r>
              <w:rPr>
                <w:rFonts w:hint="eastAsia" w:ascii="仿宋" w:hAnsi="仿宋" w:eastAsia="仿宋" w:cs="仿宋"/>
                <w:color w:val="auto"/>
                <w:sz w:val="24"/>
                <w:highlight w:val="none"/>
                <w:u w:val="single"/>
                <w:lang w:val="en-US" w:eastAsia="zh-CN"/>
              </w:rPr>
              <w:t>杨杨，13735806559</w:t>
            </w:r>
            <w:r>
              <w:rPr>
                <w:rFonts w:hint="eastAsia" w:ascii="仿宋" w:hAnsi="仿宋" w:eastAsia="仿宋" w:cs="仿宋"/>
                <w:color w:val="auto"/>
                <w:sz w:val="24"/>
                <w:szCs w:val="24"/>
                <w:highlight w:val="none"/>
              </w:rPr>
              <w:t>。</w:t>
            </w:r>
            <w:r>
              <w:rPr>
                <w:rFonts w:hint="eastAsia" w:ascii="仿宋" w:hAnsi="仿宋" w:eastAsia="仿宋" w:cs="仿宋"/>
                <w:b/>
                <w:color w:val="auto"/>
                <w:sz w:val="24"/>
                <w:szCs w:val="24"/>
                <w:highlight w:val="none"/>
              </w:rPr>
              <w:t>采购人、</w:t>
            </w:r>
            <w:r>
              <w:rPr>
                <w:rFonts w:hint="eastAsia" w:ascii="仿宋" w:hAnsi="仿宋" w:eastAsia="仿宋" w:cs="仿宋"/>
                <w:b/>
                <w:color w:val="auto"/>
                <w:sz w:val="24"/>
                <w:szCs w:val="24"/>
                <w:highlight w:val="none"/>
                <w:lang w:eastAsia="zh-CN"/>
              </w:rPr>
              <w:t>采购代理机构</w:t>
            </w:r>
            <w:r>
              <w:rPr>
                <w:rFonts w:hint="eastAsia" w:ascii="仿宋" w:hAnsi="仿宋" w:eastAsia="仿宋" w:cs="仿宋"/>
                <w:b/>
                <w:color w:val="auto"/>
                <w:sz w:val="24"/>
                <w:szCs w:val="24"/>
                <w:highlight w:val="none"/>
              </w:rPr>
              <w:t>不强制或变相强制投标人提交备份投标文件。</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35" w:hRule="atLeast"/>
          <w:tblHeader/>
        </w:trPr>
        <w:tc>
          <w:tcPr>
            <w:tcW w:w="629" w:type="dxa"/>
            <w:vMerge w:val="restart"/>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13</w:t>
            </w:r>
          </w:p>
        </w:tc>
        <w:tc>
          <w:tcPr>
            <w:tcW w:w="1843" w:type="dxa"/>
            <w:vMerge w:val="restart"/>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特别说明</w:t>
            </w:r>
          </w:p>
        </w:tc>
        <w:tc>
          <w:tcPr>
            <w:tcW w:w="6095" w:type="dxa"/>
            <w:tcBorders>
              <w:top w:val="single" w:color="000000" w:sz="8" w:space="0"/>
              <w:left w:val="single" w:color="auto" w:sz="4" w:space="0"/>
              <w:bottom w:val="single" w:color="000000" w:sz="8" w:space="0"/>
              <w:right w:val="single" w:color="000000" w:sz="8" w:space="0"/>
            </w:tcBorders>
            <w:vAlign w:val="center"/>
          </w:tcPr>
          <w:p>
            <w:pPr>
              <w:spacing w:line="360" w:lineRule="auto"/>
              <w:rPr>
                <w:rFonts w:hint="eastAsia" w:ascii="仿宋" w:hAnsi="仿宋" w:eastAsia="仿宋" w:cs="仿宋"/>
                <w:snapToGrid w:val="0"/>
                <w:color w:val="auto"/>
                <w:kern w:val="28"/>
                <w:sz w:val="24"/>
                <w:highlight w:val="none"/>
              </w:rPr>
            </w:pPr>
            <w:r>
              <w:rPr>
                <w:rFonts w:hint="eastAsia" w:ascii="仿宋" w:hAnsi="仿宋" w:eastAsia="仿宋" w:cs="仿宋"/>
                <w:snapToGrid w:val="0"/>
                <w:color w:val="auto"/>
                <w:kern w:val="28"/>
                <w:sz w:val="24"/>
                <w:highlight w:val="none"/>
              </w:rPr>
              <w:t>联合体投标的，联合体各方分别提供与联合体协议中规定的分工内容相应的业绩证明材料，业绩数量以提供材料较少的一方为准。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35" w:hRule="atLeast"/>
          <w:tblHeader/>
        </w:trPr>
        <w:tc>
          <w:tcPr>
            <w:tcW w:w="629" w:type="dxa"/>
            <w:vMerge w:val="continue"/>
            <w:tcBorders>
              <w:top w:val="single" w:color="auto" w:sz="4" w:space="0"/>
              <w:left w:val="single" w:color="auto" w:sz="4" w:space="0"/>
              <w:bottom w:val="single" w:color="auto" w:sz="4" w:space="0"/>
              <w:right w:val="single" w:color="auto" w:sz="4" w:space="0"/>
            </w:tcBorders>
            <w:vAlign w:val="top"/>
          </w:tcPr>
          <w:p>
            <w:pPr>
              <w:snapToGrid w:val="0"/>
              <w:spacing w:line="360" w:lineRule="auto"/>
              <w:jc w:val="center"/>
              <w:rPr>
                <w:rFonts w:hint="eastAsia" w:ascii="仿宋" w:hAnsi="仿宋" w:eastAsia="仿宋" w:cs="仿宋"/>
                <w:color w:val="auto"/>
                <w:sz w:val="24"/>
                <w:highlight w:val="none"/>
              </w:rPr>
            </w:pPr>
          </w:p>
        </w:tc>
        <w:tc>
          <w:tcPr>
            <w:tcW w:w="1843" w:type="dxa"/>
            <w:vMerge w:val="continue"/>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hint="eastAsia" w:ascii="仿宋" w:hAnsi="仿宋" w:eastAsia="仿宋" w:cs="仿宋"/>
                <w:b/>
                <w:color w:val="auto"/>
                <w:sz w:val="24"/>
                <w:highlight w:val="none"/>
              </w:rPr>
            </w:pPr>
          </w:p>
        </w:tc>
        <w:tc>
          <w:tcPr>
            <w:tcW w:w="6095" w:type="dxa"/>
            <w:tcBorders>
              <w:top w:val="single" w:color="000000" w:sz="8" w:space="0"/>
              <w:left w:val="single" w:color="auto" w:sz="4" w:space="0"/>
              <w:bottom w:val="single" w:color="000000" w:sz="8" w:space="0"/>
              <w:right w:val="single" w:color="000000" w:sz="8" w:space="0"/>
            </w:tcBorders>
            <w:vAlign w:val="center"/>
          </w:tcPr>
          <w:p>
            <w:pPr>
              <w:spacing w:line="360" w:lineRule="auto"/>
              <w:rPr>
                <w:rFonts w:hint="eastAsia" w:ascii="仿宋" w:hAnsi="仿宋" w:eastAsia="仿宋" w:cs="仿宋"/>
                <w:snapToGrid w:val="0"/>
                <w:color w:val="auto"/>
                <w:kern w:val="28"/>
                <w:sz w:val="24"/>
                <w:highlight w:val="none"/>
              </w:rPr>
            </w:pPr>
            <w:r>
              <w:rPr>
                <w:rFonts w:hint="eastAsia" w:ascii="仿宋" w:hAnsi="仿宋" w:eastAsia="仿宋" w:cs="仿宋"/>
                <w:color w:val="auto"/>
                <w:kern w:val="0"/>
                <w:sz w:val="24"/>
                <w:highlight w:val="none"/>
              </w:rPr>
              <w:t>☐</w:t>
            </w:r>
            <w:r>
              <w:rPr>
                <w:rFonts w:hint="eastAsia" w:ascii="仿宋" w:hAnsi="仿宋" w:eastAsia="仿宋" w:cs="仿宋"/>
                <w:snapToGrid w:val="0"/>
                <w:color w:val="auto"/>
                <w:kern w:val="28"/>
                <w:sz w:val="24"/>
                <w:highlight w:val="none"/>
              </w:rPr>
              <w:t>联合体投标的，联合体各方均需按招标文件第四部分评标标准要求提供资信证明文件，否则视为不符合相关要求。</w:t>
            </w:r>
          </w:p>
          <w:p>
            <w:pPr>
              <w:spacing w:line="360" w:lineRule="auto"/>
              <w:rPr>
                <w:rFonts w:hint="eastAsia" w:ascii="仿宋" w:hAnsi="仿宋" w:eastAsia="仿宋" w:cs="仿宋"/>
                <w:snapToGrid w:val="0"/>
                <w:color w:val="auto"/>
                <w:kern w:val="28"/>
                <w:sz w:val="24"/>
                <w:highlight w:val="none"/>
              </w:rPr>
            </w:pPr>
            <w:r>
              <w:rPr>
                <w:rFonts w:hint="eastAsia" w:ascii="仿宋" w:hAnsi="仿宋" w:eastAsia="仿宋" w:cs="仿宋"/>
                <w:color w:val="auto"/>
                <w:kern w:val="0"/>
                <w:sz w:val="24"/>
                <w:highlight w:val="none"/>
              </w:rPr>
              <w:sym w:font="Wingdings" w:char="F0FE"/>
            </w:r>
            <w:r>
              <w:rPr>
                <w:rFonts w:hint="eastAsia" w:ascii="仿宋" w:hAnsi="仿宋" w:eastAsia="仿宋" w:cs="仿宋"/>
                <w:snapToGrid w:val="0"/>
                <w:color w:val="auto"/>
                <w:kern w:val="28"/>
                <w:sz w:val="24"/>
                <w:highlight w:val="none"/>
              </w:rPr>
              <w:t>联合体投标的，联合体中有一方或者联合体成员根据分工按招标文件第四部分评标标准要求提供资信证明文件的，视为符合了相关要求。</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8632" w:hRule="atLeast"/>
          <w:tblHeader/>
        </w:trPr>
        <w:tc>
          <w:tcPr>
            <w:tcW w:w="629"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14</w:t>
            </w:r>
          </w:p>
        </w:tc>
        <w:tc>
          <w:tcPr>
            <w:tcW w:w="1843"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hint="eastAsia" w:ascii="仿宋" w:hAnsi="仿宋" w:eastAsia="仿宋" w:cs="仿宋"/>
                <w:b/>
                <w:color w:val="auto"/>
                <w:sz w:val="24"/>
                <w:highlight w:val="none"/>
              </w:rPr>
            </w:pPr>
            <w:r>
              <w:rPr>
                <w:rFonts w:hint="eastAsia" w:ascii="仿宋" w:hAnsi="仿宋" w:eastAsia="仿宋" w:cs="仿宋"/>
                <w:b/>
                <w:bCs/>
                <w:color w:val="auto"/>
                <w:sz w:val="24"/>
                <w:szCs w:val="24"/>
                <w:highlight w:val="none"/>
              </w:rPr>
              <w:t>招标服务费</w:t>
            </w:r>
          </w:p>
        </w:tc>
        <w:tc>
          <w:tcPr>
            <w:tcW w:w="6095" w:type="dxa"/>
            <w:tcBorders>
              <w:top w:val="single" w:color="000000" w:sz="8" w:space="0"/>
              <w:left w:val="single" w:color="auto" w:sz="4" w:space="0"/>
              <w:bottom w:val="single" w:color="000000" w:sz="8" w:space="0"/>
              <w:right w:val="single" w:color="000000" w:sz="8" w:space="0"/>
            </w:tcBorders>
            <w:vAlign w:val="center"/>
          </w:tcPr>
          <w:p>
            <w:pPr>
              <w:spacing w:line="360" w:lineRule="auto"/>
              <w:ind w:firstLine="480" w:firstLineChars="20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本次招标代理服务费由中标人支付，招标代理服务费按照国家计委印发的《招标代理服务收费管理暂行办法》计价格[2002]1980号</w:t>
            </w:r>
            <w:r>
              <w:rPr>
                <w:rFonts w:hint="eastAsia" w:ascii="仿宋" w:hAnsi="仿宋" w:eastAsia="仿宋" w:cs="仿宋"/>
                <w:color w:val="auto"/>
                <w:sz w:val="24"/>
                <w:szCs w:val="24"/>
                <w:highlight w:val="none"/>
                <w:lang w:val="en-US" w:eastAsia="zh-CN"/>
              </w:rPr>
              <w:t>文件</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以预算金额为收费基数进行计取</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 xml:space="preserve">      </w:t>
            </w:r>
          </w:p>
          <w:p>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由中标人在领取中标通知书前支付给招标代理机构，各投标人应在投标报价中予以考虑，不单独列项报价。</w:t>
            </w:r>
          </w:p>
          <w:p>
            <w:pPr>
              <w:pStyle w:val="4"/>
              <w:ind w:left="433" w:leftChars="202" w:hanging="9" w:hangingChars="4"/>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kern w:val="2"/>
                <w:sz w:val="24"/>
                <w:szCs w:val="24"/>
                <w:highlight w:val="none"/>
                <w:lang w:val="en-US" w:eastAsia="zh-CN" w:bidi="ar-SA"/>
              </w:rPr>
              <w:t>中标服务费的交纳方式：以转帐的形式支付；</w:t>
            </w:r>
          </w:p>
          <w:p>
            <w:pPr>
              <w:pStyle w:val="4"/>
              <w:ind w:left="433" w:leftChars="202" w:hanging="9" w:hangingChars="4"/>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kern w:val="2"/>
                <w:sz w:val="24"/>
                <w:szCs w:val="24"/>
                <w:highlight w:val="none"/>
                <w:lang w:val="en-US" w:eastAsia="zh-CN" w:bidi="ar-SA"/>
              </w:rPr>
              <w:t>开户行名称：台州银行余杭凤新路小微企业专营支行；</w:t>
            </w:r>
          </w:p>
          <w:p>
            <w:pPr>
              <w:pStyle w:val="4"/>
              <w:ind w:left="433" w:leftChars="202" w:hanging="9" w:hangingChars="4"/>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kern w:val="2"/>
                <w:sz w:val="24"/>
                <w:szCs w:val="24"/>
                <w:highlight w:val="none"/>
                <w:lang w:val="en-US" w:eastAsia="zh-CN" w:bidi="ar-SA"/>
              </w:rPr>
              <w:t>帐号：550884964700015；</w:t>
            </w:r>
          </w:p>
          <w:p>
            <w:pPr>
              <w:pStyle w:val="4"/>
              <w:ind w:left="433" w:leftChars="202" w:hanging="9" w:hangingChars="4"/>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kern w:val="2"/>
                <w:sz w:val="24"/>
                <w:szCs w:val="24"/>
                <w:highlight w:val="none"/>
                <w:lang w:val="en-US" w:eastAsia="zh-CN" w:bidi="ar-SA"/>
              </w:rPr>
              <w:t>收款单位（账户名称）：杭州天坤建设咨询有限公司；</w:t>
            </w:r>
          </w:p>
          <w:p>
            <w:pPr>
              <w:pStyle w:val="4"/>
              <w:ind w:left="433" w:leftChars="202" w:hanging="9" w:hangingChars="4"/>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kern w:val="2"/>
                <w:sz w:val="24"/>
                <w:szCs w:val="24"/>
                <w:highlight w:val="none"/>
                <w:lang w:val="en-US" w:eastAsia="zh-CN" w:bidi="ar-SA"/>
              </w:rPr>
              <w:t>中标单位需在领取中标通知书时缴纳中标服务费，缴</w:t>
            </w:r>
          </w:p>
          <w:p>
            <w:pPr>
              <w:pStyle w:val="4"/>
              <w:ind w:left="0" w:leftChars="0" w:firstLine="0" w:firstLineChars="0"/>
              <w:rPr>
                <w:rFonts w:hint="eastAsia" w:ascii="仿宋" w:hAnsi="仿宋" w:eastAsia="仿宋" w:cs="仿宋"/>
                <w:color w:val="auto"/>
                <w:highlight w:val="none"/>
              </w:rPr>
            </w:pPr>
            <w:r>
              <w:rPr>
                <w:rFonts w:hint="eastAsia" w:ascii="仿宋" w:hAnsi="仿宋" w:eastAsia="仿宋" w:cs="仿宋"/>
                <w:b w:val="0"/>
                <w:bCs w:val="0"/>
                <w:color w:val="auto"/>
                <w:kern w:val="2"/>
                <w:sz w:val="24"/>
                <w:szCs w:val="24"/>
                <w:highlight w:val="none"/>
                <w:lang w:val="en-US" w:eastAsia="zh-CN" w:bidi="ar-SA"/>
              </w:rPr>
              <w:t>纳时</w:t>
            </w:r>
            <w:r>
              <w:rPr>
                <w:rFonts w:hint="eastAsia" w:ascii="仿宋" w:hAnsi="仿宋" w:eastAsia="仿宋" w:cs="仿宋"/>
                <w:b w:val="0"/>
                <w:bCs w:val="0"/>
                <w:color w:val="auto"/>
                <w:kern w:val="2"/>
                <w:sz w:val="24"/>
                <w:szCs w:val="24"/>
                <w:highlight w:val="none"/>
                <w:lang w:val="en-US" w:eastAsia="zh-CN" w:bidi="ar-SA"/>
              </w:rPr>
              <w:drawing>
                <wp:anchor distT="0" distB="0" distL="114300" distR="114300" simplePos="0" relativeHeight="251662336" behindDoc="0" locked="0" layoutInCell="1" allowOverlap="1">
                  <wp:simplePos x="0" y="0"/>
                  <wp:positionH relativeFrom="column">
                    <wp:posOffset>99695</wp:posOffset>
                  </wp:positionH>
                  <wp:positionV relativeFrom="paragraph">
                    <wp:posOffset>314960</wp:posOffset>
                  </wp:positionV>
                  <wp:extent cx="3604260" cy="2195830"/>
                  <wp:effectExtent l="0" t="0" r="2540" b="1270"/>
                  <wp:wrapSquare wrapText="bothSides"/>
                  <wp:docPr id="4"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6"/>
                          <pic:cNvPicPr>
                            <a:picLocks noChangeAspect="1"/>
                          </pic:cNvPicPr>
                        </pic:nvPicPr>
                        <pic:blipFill>
                          <a:blip r:embed="rId29">
                            <a:lum/>
                          </a:blip>
                          <a:stretch>
                            <a:fillRect/>
                          </a:stretch>
                        </pic:blipFill>
                        <pic:spPr>
                          <a:xfrm>
                            <a:off x="0" y="0"/>
                            <a:ext cx="3604260" cy="2195830"/>
                          </a:xfrm>
                          <a:prstGeom prst="rect">
                            <a:avLst/>
                          </a:prstGeom>
                          <a:noFill/>
                          <a:ln>
                            <a:noFill/>
                          </a:ln>
                        </pic:spPr>
                      </pic:pic>
                    </a:graphicData>
                  </a:graphic>
                </wp:anchor>
              </w:drawing>
            </w:r>
            <w:r>
              <w:rPr>
                <w:rFonts w:hint="eastAsia" w:ascii="仿宋" w:hAnsi="仿宋" w:eastAsia="仿宋" w:cs="仿宋"/>
                <w:b w:val="0"/>
                <w:bCs w:val="0"/>
                <w:color w:val="auto"/>
                <w:kern w:val="2"/>
                <w:sz w:val="24"/>
                <w:szCs w:val="24"/>
                <w:highlight w:val="none"/>
                <w:lang w:val="en-US" w:eastAsia="zh-CN" w:bidi="ar-SA"/>
              </w:rPr>
              <w:t>注明招标编号。</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75" w:hRule="atLeast"/>
          <w:tblHeader/>
        </w:trPr>
        <w:tc>
          <w:tcPr>
            <w:tcW w:w="629"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15</w:t>
            </w:r>
          </w:p>
        </w:tc>
        <w:tc>
          <w:tcPr>
            <w:tcW w:w="1843"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hint="eastAsia" w:ascii="仿宋" w:hAnsi="仿宋" w:eastAsia="仿宋" w:cs="仿宋"/>
                <w:b/>
                <w:bCs/>
                <w:color w:val="auto"/>
                <w:kern w:val="2"/>
                <w:sz w:val="24"/>
                <w:szCs w:val="24"/>
                <w:highlight w:val="none"/>
                <w:lang w:val="en-US" w:eastAsia="zh-CN" w:bidi="ar-SA"/>
              </w:rPr>
            </w:pPr>
            <w:r>
              <w:rPr>
                <w:rFonts w:hint="eastAsia" w:ascii="仿宋" w:hAnsi="仿宋" w:eastAsia="仿宋" w:cs="仿宋"/>
                <w:b/>
                <w:bCs/>
                <w:color w:val="auto"/>
                <w:sz w:val="24"/>
                <w:szCs w:val="24"/>
                <w:highlight w:val="none"/>
                <w:lang w:val="en-US" w:eastAsia="zh-CN"/>
              </w:rPr>
              <w:t>其他要求</w:t>
            </w:r>
          </w:p>
        </w:tc>
        <w:tc>
          <w:tcPr>
            <w:tcW w:w="6095" w:type="dxa"/>
            <w:tcBorders>
              <w:top w:val="single" w:color="000000" w:sz="8" w:space="0"/>
              <w:left w:val="single" w:color="auto" w:sz="4" w:space="0"/>
              <w:bottom w:val="single" w:color="000000" w:sz="8" w:space="0"/>
              <w:right w:val="single" w:color="000000" w:sz="8" w:space="0"/>
            </w:tcBorders>
            <w:vAlign w:val="center"/>
          </w:tcPr>
          <w:p>
            <w:pPr>
              <w:snapToGrid w:val="0"/>
              <w:spacing w:line="360" w:lineRule="auto"/>
              <w:ind w:firstLine="0" w:firstLineChars="0"/>
              <w:jc w:val="left"/>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sz w:val="24"/>
                <w:szCs w:val="24"/>
                <w:highlight w:val="none"/>
                <w:lang w:val="en-US" w:eastAsia="zh-CN"/>
              </w:rPr>
              <w:t>中标单位在领取中标通知书时，提供承诺书和加盖公章的纸质版投标文件（正本一份，副本二份）。</w:t>
            </w:r>
          </w:p>
        </w:tc>
      </w:tr>
    </w:tbl>
    <w:p>
      <w:pPr>
        <w:snapToGrid w:val="0"/>
        <w:spacing w:line="360" w:lineRule="auto"/>
        <w:jc w:val="center"/>
        <w:rPr>
          <w:rFonts w:hint="eastAsia" w:ascii="仿宋" w:hAnsi="仿宋" w:eastAsia="仿宋" w:cs="仿宋"/>
          <w:b/>
          <w:color w:val="auto"/>
          <w:sz w:val="32"/>
          <w:szCs w:val="20"/>
          <w:highlight w:val="none"/>
        </w:rPr>
      </w:pPr>
    </w:p>
    <w:bookmarkEnd w:id="9"/>
    <w:p>
      <w:pPr>
        <w:adjustRightInd/>
        <w:spacing w:line="480" w:lineRule="auto"/>
        <w:ind w:firstLine="3845" w:firstLineChars="1197"/>
        <w:outlineLvl w:val="0"/>
        <w:rPr>
          <w:rFonts w:hint="eastAsia" w:ascii="仿宋" w:hAnsi="仿宋" w:eastAsia="仿宋" w:cs="仿宋"/>
          <w:b/>
          <w:color w:val="auto"/>
          <w:sz w:val="32"/>
          <w:szCs w:val="20"/>
          <w:highlight w:val="none"/>
        </w:rPr>
      </w:pPr>
      <w:bookmarkStart w:id="10" w:name="_Toc164416483"/>
      <w:bookmarkStart w:id="11" w:name="第三部分"/>
      <w:r>
        <w:rPr>
          <w:rFonts w:hint="eastAsia" w:ascii="仿宋" w:hAnsi="仿宋" w:eastAsia="仿宋" w:cs="仿宋"/>
          <w:b/>
          <w:color w:val="auto"/>
          <w:sz w:val="32"/>
          <w:szCs w:val="20"/>
          <w:highlight w:val="none"/>
        </w:rPr>
        <w:t>一、总则</w:t>
      </w:r>
    </w:p>
    <w:p>
      <w:pPr>
        <w:snapToGrid w:val="0"/>
        <w:spacing w:line="480" w:lineRule="auto"/>
        <w:ind w:firstLine="361" w:firstLineChars="150"/>
        <w:jc w:val="left"/>
        <w:outlineLvl w:val="1"/>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w:t>
      </w:r>
      <w:r>
        <w:rPr>
          <w:rFonts w:hint="eastAsia" w:ascii="仿宋" w:hAnsi="仿宋" w:eastAsia="仿宋" w:cs="仿宋"/>
          <w:b/>
          <w:color w:val="auto"/>
          <w:sz w:val="24"/>
          <w:highlight w:val="none"/>
          <w:lang w:eastAsia="zh-CN"/>
        </w:rPr>
        <w:t>、</w:t>
      </w:r>
      <w:r>
        <w:rPr>
          <w:rFonts w:hint="eastAsia" w:ascii="仿宋" w:hAnsi="仿宋" w:eastAsia="仿宋" w:cs="仿宋"/>
          <w:b/>
          <w:color w:val="auto"/>
          <w:sz w:val="24"/>
          <w:highlight w:val="none"/>
        </w:rPr>
        <w:t>适用范围</w:t>
      </w:r>
    </w:p>
    <w:p>
      <w:pPr>
        <w:snapToGrid w:val="0"/>
        <w:spacing w:line="48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本招标文件适用于该项目的招标、投标、开标、资格审查及信用信息查询、评标、定标、合同、验收等行为（法律、法规另有规定的，从其规定）。</w:t>
      </w:r>
    </w:p>
    <w:p>
      <w:pPr>
        <w:adjustRightInd/>
        <w:spacing w:line="480" w:lineRule="auto"/>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 xml:space="preserve">   2</w:t>
      </w:r>
      <w:r>
        <w:rPr>
          <w:rFonts w:hint="eastAsia" w:ascii="仿宋" w:hAnsi="仿宋" w:eastAsia="仿宋" w:cs="仿宋"/>
          <w:b/>
          <w:color w:val="auto"/>
          <w:sz w:val="24"/>
          <w:highlight w:val="none"/>
          <w:lang w:eastAsia="zh-CN"/>
        </w:rPr>
        <w:t>、</w:t>
      </w:r>
      <w:r>
        <w:rPr>
          <w:rFonts w:hint="eastAsia" w:ascii="仿宋" w:hAnsi="仿宋" w:eastAsia="仿宋" w:cs="仿宋"/>
          <w:b/>
          <w:color w:val="auto"/>
          <w:sz w:val="24"/>
          <w:highlight w:val="none"/>
        </w:rPr>
        <w:t>定义</w:t>
      </w:r>
    </w:p>
    <w:p>
      <w:pPr>
        <w:spacing w:line="48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 “采购人”系指招标公告中载明的本项目的采购人。</w:t>
      </w:r>
    </w:p>
    <w:p>
      <w:pPr>
        <w:spacing w:line="48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2.2 “</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”系指招标公告中载明的本项目的</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w:t>
      </w:r>
    </w:p>
    <w:p>
      <w:pPr>
        <w:spacing w:line="48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2.3 “投标人”系指是指响应招标、参加投标竞争的法人、其他组织或者自然人。</w:t>
      </w:r>
    </w:p>
    <w:p>
      <w:pPr>
        <w:spacing w:line="48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2.4 “负责人”系指法人企业的法定负责人，或其他组织为法律、行政法规规定代表单位行使职权的主要负责人，或自然人本人。</w:t>
      </w:r>
    </w:p>
    <w:p>
      <w:pPr>
        <w:spacing w:line="48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2.5“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pPr>
        <w:spacing w:line="48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2.6“电子交易平台”</w:t>
      </w:r>
      <w:r>
        <w:rPr>
          <w:rFonts w:hint="eastAsia" w:ascii="仿宋" w:hAnsi="仿宋" w:eastAsia="仿宋" w:cs="仿宋"/>
          <w:color w:val="auto"/>
          <w:sz w:val="24"/>
          <w:highlight w:val="none"/>
          <w:lang w:val="en-US" w:eastAsia="zh-CN"/>
        </w:rPr>
        <w:t>系</w:t>
      </w:r>
      <w:r>
        <w:rPr>
          <w:rFonts w:hint="eastAsia" w:ascii="仿宋" w:hAnsi="仿宋" w:eastAsia="仿宋" w:cs="仿宋"/>
          <w:color w:val="auto"/>
          <w:sz w:val="24"/>
          <w:highlight w:val="none"/>
        </w:rPr>
        <w:t>指本项目政府采购活动所依托的政府采购云平台（https://www.zcygov.cn/）。</w:t>
      </w:r>
    </w:p>
    <w:p>
      <w:pPr>
        <w:spacing w:line="48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2.7 “▲” 系指实质性要求条款，“</w:t>
      </w:r>
      <w:r>
        <w:rPr>
          <w:rFonts w:hint="eastAsia" w:ascii="Wingdings" w:hAnsi="Wingdings" w:eastAsia="仿宋" w:cs="仿宋"/>
          <w:color w:val="auto"/>
          <w:kern w:val="0"/>
          <w:sz w:val="24"/>
          <w:szCs w:val="24"/>
          <w:highlight w:val="none"/>
          <w:lang w:val="en-US" w:eastAsia="zh-CN" w:bidi="ar-SA"/>
        </w:rPr>
        <w:t>þ</w:t>
      </w:r>
      <w:r>
        <w:rPr>
          <w:rFonts w:hint="eastAsia" w:ascii="仿宋" w:hAnsi="仿宋" w:eastAsia="仿宋" w:cs="仿宋"/>
          <w:color w:val="auto"/>
          <w:sz w:val="24"/>
          <w:highlight w:val="none"/>
        </w:rPr>
        <w:t>” 系指适用本项目的要求，“</w:t>
      </w: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 系指不适用本项目的要求。</w:t>
      </w:r>
    </w:p>
    <w:p>
      <w:pPr>
        <w:spacing w:line="480" w:lineRule="auto"/>
        <w:ind w:firstLine="241" w:firstLineChars="1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w:t>
      </w:r>
      <w:r>
        <w:rPr>
          <w:rFonts w:hint="eastAsia" w:ascii="仿宋" w:hAnsi="仿宋" w:eastAsia="仿宋" w:cs="仿宋"/>
          <w:b/>
          <w:color w:val="auto"/>
          <w:sz w:val="24"/>
          <w:highlight w:val="none"/>
          <w:lang w:eastAsia="zh-CN"/>
        </w:rPr>
        <w:t>、</w:t>
      </w:r>
      <w:r>
        <w:rPr>
          <w:rFonts w:hint="eastAsia" w:ascii="仿宋" w:hAnsi="仿宋" w:eastAsia="仿宋" w:cs="仿宋"/>
          <w:color w:val="auto"/>
          <w:highlight w:val="none"/>
        </w:rPr>
        <w:t xml:space="preserve"> </w:t>
      </w:r>
      <w:r>
        <w:rPr>
          <w:rFonts w:hint="eastAsia" w:ascii="仿宋" w:hAnsi="仿宋" w:eastAsia="仿宋" w:cs="仿宋"/>
          <w:b/>
          <w:color w:val="auto"/>
          <w:sz w:val="24"/>
          <w:highlight w:val="none"/>
        </w:rPr>
        <w:t>采购项目需要落实的政府采购政策</w:t>
      </w:r>
    </w:p>
    <w:p>
      <w:pPr>
        <w:spacing w:line="480" w:lineRule="auto"/>
        <w:ind w:firstLine="240" w:firstLineChars="100"/>
        <w:rPr>
          <w:rFonts w:hint="eastAsia" w:ascii="仿宋" w:hAnsi="仿宋" w:eastAsia="仿宋" w:cs="仿宋"/>
          <w:color w:val="auto"/>
          <w:sz w:val="24"/>
          <w:highlight w:val="none"/>
        </w:rPr>
      </w:pPr>
      <w:r>
        <w:rPr>
          <w:rFonts w:hint="eastAsia" w:ascii="仿宋" w:hAnsi="仿宋" w:eastAsia="仿宋" w:cs="仿宋"/>
          <w:color w:val="auto"/>
          <w:sz w:val="24"/>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不会对其加以限制，仍将按照公平竞争原则实施采购）；</w:t>
      </w:r>
      <w:r>
        <w:rPr>
          <w:rFonts w:hint="eastAsia" w:ascii="仿宋" w:hAnsi="仿宋" w:eastAsia="仿宋" w:cs="仿宋"/>
          <w:color w:val="auto"/>
          <w:kern w:val="0"/>
          <w:sz w:val="24"/>
          <w:highlight w:val="none"/>
        </w:rPr>
        <w:t>优先采购向我国企业转让技术、与我国企业签订消化吸收再创新方案的供应商的进口产品</w:t>
      </w:r>
      <w:r>
        <w:rPr>
          <w:rFonts w:hint="eastAsia" w:ascii="仿宋" w:hAnsi="仿宋" w:eastAsia="仿宋" w:cs="仿宋"/>
          <w:color w:val="auto"/>
          <w:sz w:val="24"/>
          <w:highlight w:val="none"/>
        </w:rPr>
        <w:t>。</w:t>
      </w:r>
    </w:p>
    <w:p>
      <w:pPr>
        <w:spacing w:line="480" w:lineRule="auto"/>
        <w:ind w:firstLine="240" w:firstLineChars="100"/>
        <w:rPr>
          <w:rFonts w:hint="eastAsia" w:ascii="仿宋" w:hAnsi="仿宋" w:eastAsia="仿宋" w:cs="仿宋"/>
          <w:color w:val="auto"/>
          <w:sz w:val="24"/>
          <w:highlight w:val="none"/>
        </w:rPr>
      </w:pPr>
      <w:r>
        <w:rPr>
          <w:rFonts w:hint="eastAsia" w:ascii="仿宋" w:hAnsi="仿宋" w:eastAsia="仿宋" w:cs="仿宋"/>
          <w:color w:val="auto"/>
          <w:sz w:val="24"/>
          <w:highlight w:val="none"/>
        </w:rPr>
        <w:t>3.2 支持绿色发展</w:t>
      </w:r>
    </w:p>
    <w:p>
      <w:pPr>
        <w:spacing w:line="480" w:lineRule="auto"/>
        <w:ind w:firstLine="480" w:firstLineChars="200"/>
        <w:rPr>
          <w:rFonts w:hint="eastAsia" w:ascii="仿宋" w:hAnsi="仿宋" w:eastAsia="仿宋" w:cs="仿宋"/>
          <w:b/>
          <w:color w:val="auto"/>
          <w:sz w:val="24"/>
          <w:highlight w:val="none"/>
        </w:rPr>
      </w:pPr>
      <w:r>
        <w:rPr>
          <w:rFonts w:hint="eastAsia" w:ascii="仿宋" w:hAnsi="仿宋" w:eastAsia="仿宋" w:cs="仿宋"/>
          <w:color w:val="auto"/>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r>
        <w:rPr>
          <w:rFonts w:hint="eastAsia" w:ascii="仿宋" w:hAnsi="仿宋" w:eastAsia="仿宋" w:cs="仿宋"/>
          <w:b/>
          <w:color w:val="auto"/>
          <w:sz w:val="24"/>
          <w:highlight w:val="none"/>
        </w:rPr>
        <w:t>▲采购人拟采购的产品属于政府强制采购的节能产品品目清单范围的，投标人相应的投标产品未获得国家确定的认证机构出具的、处于有效期之内的节能产品认证证书的，投标无效。</w:t>
      </w:r>
    </w:p>
    <w:p>
      <w:pPr>
        <w:spacing w:line="48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3.2.2 修缮、装修类项目采购建材的，采购人应将绿色建筑和绿色建材性能、指标等作为实质性条件纳入招标文件和合同。</w:t>
      </w:r>
    </w:p>
    <w:p>
      <w:pPr>
        <w:spacing w:line="48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3.2.3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鼓励采购单位优先采购秸秆环保板材等资源综合利用产品。鼓励采购单位优先采购绿色物流配送服务、提供新能源交通工具的租赁服务。</w:t>
      </w:r>
    </w:p>
    <w:p>
      <w:pPr>
        <w:spacing w:line="48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3.2.4 鼓励供应商在参加政府采购过程中开展绿色设计、选择绿色材料、打造绿色制造工艺、开展绿色运输、做好废弃产品回收处理，实现产品全周期的绿色环保。鼓励采购单位对其提高预付款比例、免收履约保证金。</w:t>
      </w:r>
    </w:p>
    <w:p>
      <w:pPr>
        <w:spacing w:line="480" w:lineRule="auto"/>
        <w:ind w:firstLine="240" w:firstLineChars="100"/>
        <w:rPr>
          <w:rFonts w:hint="eastAsia" w:ascii="仿宋" w:hAnsi="仿宋" w:eastAsia="仿宋" w:cs="仿宋"/>
          <w:color w:val="auto"/>
          <w:sz w:val="24"/>
          <w:highlight w:val="none"/>
        </w:rPr>
      </w:pPr>
      <w:r>
        <w:rPr>
          <w:rFonts w:hint="eastAsia" w:ascii="仿宋" w:hAnsi="仿宋" w:eastAsia="仿宋" w:cs="仿宋"/>
          <w:color w:val="auto"/>
          <w:sz w:val="24"/>
          <w:highlight w:val="none"/>
        </w:rPr>
        <w:t>3.3支持中小企业发展</w:t>
      </w:r>
    </w:p>
    <w:p>
      <w:pPr>
        <w:spacing w:line="48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3.3.1中小企业，是指在中华人民共和国境内依法设立，依据国务院批准的中小企业划分标准确定的中型企业、小型企业和微型企业，但与大企业的负责人为同一人，或者与大企业存在直接控股、管理关系的除外。</w:t>
      </w:r>
    </w:p>
    <w:p>
      <w:pPr>
        <w:spacing w:line="48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符合中小企业划分标准的个体工商户，在政府采购活动中视同中小企业。</w:t>
      </w:r>
    </w:p>
    <w:p>
      <w:pPr>
        <w:widowControl/>
        <w:spacing w:line="480" w:lineRule="auto"/>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bCs/>
          <w:color w:val="auto"/>
          <w:sz w:val="24"/>
          <w:highlight w:val="none"/>
        </w:rPr>
        <w:t>3.3.2</w:t>
      </w:r>
      <w:r>
        <w:rPr>
          <w:rFonts w:hint="eastAsia" w:ascii="仿宋" w:hAnsi="仿宋" w:eastAsia="仿宋" w:cs="仿宋"/>
          <w:color w:val="auto"/>
          <w:kern w:val="0"/>
          <w:sz w:val="24"/>
          <w:highlight w:val="none"/>
        </w:rPr>
        <w:t>在政府采购活动中，投标人提供的货物、工程或者服务符合下列情形的，享受中小企业扶持政策：在服务采购项目中，服务由中小企业承接，即提供服务的人员为中小企业依照《中华人民共和国劳动合同法》订立劳动合同的从业人员。</w:t>
      </w:r>
    </w:p>
    <w:p>
      <w:pPr>
        <w:widowControl/>
        <w:spacing w:line="480" w:lineRule="auto"/>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以联合体形式参加政府采购活动，联合体各方均为中小企业的，联合体视同中小企业。其中，联合体各方均为小微企业的，联合体视同小微企业。</w:t>
      </w:r>
    </w:p>
    <w:p>
      <w:pPr>
        <w:spacing w:line="48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3.3.3对于未预留份额专门面向中小企业的政府采购服务项目，以及预留份额政府采购服务项目中的非预留部分标项，对小型和微型企业的投标报价给予10%-20%的扣除，用扣除后的价格参与评审。接受大中型企业与小微企业组成联合体或者允许大中型企业向一家或者多家小微企业分包的政府采购服务项目，对于联合协议或者分包意向协议约定小微企业的合同份额占到合同总金额30%以上的，对联合体或者大中型企业的报价给予4%-6%的扣除，用扣除后的价格参加评审。组成联合体或者接受分包的小微企业与联合体内其他企业、分包企业之间存在直接控股、管理关系的，不享受价格扣除优惠政策。</w:t>
      </w:r>
    </w:p>
    <w:p>
      <w:pPr>
        <w:spacing w:line="480" w:lineRule="auto"/>
        <w:ind w:firstLine="482" w:firstLineChars="200"/>
        <w:rPr>
          <w:rFonts w:hint="eastAsia" w:ascii="仿宋" w:hAnsi="仿宋" w:eastAsia="仿宋" w:cs="仿宋"/>
          <w:b/>
          <w:bCs/>
          <w:color w:val="auto"/>
          <w:sz w:val="24"/>
          <w:highlight w:val="none"/>
          <w:lang w:val="en-US" w:eastAsia="zh-CN"/>
        </w:rPr>
      </w:pPr>
      <w:r>
        <w:rPr>
          <w:rFonts w:hint="eastAsia" w:ascii="仿宋" w:hAnsi="仿宋" w:eastAsia="仿宋" w:cs="仿宋"/>
          <w:b/>
          <w:bCs/>
          <w:color w:val="auto"/>
          <w:sz w:val="24"/>
          <w:highlight w:val="none"/>
          <w:lang w:val="en-US" w:eastAsia="zh-CN"/>
        </w:rPr>
        <w:t>★本项目为专门面向中小企业采购的项目，对于小型或微型企业的投标报价不予扣除评审。</w:t>
      </w:r>
    </w:p>
    <w:p>
      <w:pPr>
        <w:spacing w:line="48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3.3.4符合《关于促进残疾人就业政府采购政策的通知》（财库〔2017〕141号）规定的条件并提供《残疾人福利性单位声明函》（附件1）的残疾人福利性单位视同小型、微型企业；</w:t>
      </w:r>
    </w:p>
    <w:p>
      <w:pPr>
        <w:spacing w:line="48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3.3.5符合《关于政府采购支持监狱企业发展有关问题的通知》（财库[2014]68号）规定的监狱企业并提供由省级以上监狱管理局、戒毒管理局（含新疆生产建设兵团）出具的属于监狱企业证明文件的，视同为小型、微型企业。</w:t>
      </w:r>
    </w:p>
    <w:p>
      <w:pPr>
        <w:spacing w:line="48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3.3.6可享受中小企业扶持政策的投标人应按照招标文件格式要求提供《中小企业声明函》，投标人提供的《中小企业声明函》与实际情况不符的，不享受中小企业扶持政策。声明内容不实的，属于提供虚假材料谋取中标、成交的，依法承担法律责任。</w:t>
      </w:r>
    </w:p>
    <w:p>
      <w:pPr>
        <w:spacing w:line="48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3.3.7中小企业享受扶持政策获得政府采购合同的，小微企业不得将合同分包给大中型企业，中型企业不得将合同分包给大型企业。</w:t>
      </w:r>
    </w:p>
    <w:p>
      <w:pPr>
        <w:spacing w:line="480" w:lineRule="auto"/>
        <w:ind w:firstLine="240" w:firstLineChars="100"/>
        <w:rPr>
          <w:rFonts w:hint="eastAsia" w:ascii="仿宋" w:hAnsi="仿宋" w:eastAsia="仿宋" w:cs="仿宋"/>
          <w:color w:val="auto"/>
          <w:sz w:val="24"/>
          <w:highlight w:val="none"/>
        </w:rPr>
      </w:pPr>
      <w:r>
        <w:rPr>
          <w:rFonts w:hint="eastAsia" w:ascii="仿宋" w:hAnsi="仿宋" w:eastAsia="仿宋" w:cs="仿宋"/>
          <w:color w:val="auto"/>
          <w:sz w:val="24"/>
          <w:highlight w:val="none"/>
        </w:rPr>
        <w:t>3.4</w:t>
      </w:r>
      <w:r>
        <w:rPr>
          <w:rFonts w:hint="eastAsia" w:ascii="仿宋" w:hAnsi="仿宋" w:eastAsia="仿宋" w:cs="仿宋"/>
          <w:bCs/>
          <w:color w:val="auto"/>
          <w:sz w:val="24"/>
          <w:highlight w:val="none"/>
        </w:rPr>
        <w:t>支持创新发展</w:t>
      </w:r>
    </w:p>
    <w:p>
      <w:pPr>
        <w:spacing w:line="48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3.4.1 采购人优先采购被认定为首台套产品和“制造精品”的自主创新产品。</w:t>
      </w:r>
    </w:p>
    <w:p>
      <w:pPr>
        <w:spacing w:line="48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3.4.2首台套产品被纳入《首台套产品推广应用指导目录》之日起3年内，以及产品核心技术高于国内领先水平，并具有明晰自主知识产权的“制造精品”产品，自认定之日起2年内视同已具备相应销售业绩，参加政府采购活动时业绩分值为满分。</w:t>
      </w:r>
    </w:p>
    <w:p>
      <w:pPr>
        <w:spacing w:line="48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3.5平等对待内外资企业和符合条件的破产重整企业</w:t>
      </w:r>
    </w:p>
    <w:p>
      <w:pPr>
        <w:spacing w:line="480" w:lineRule="auto"/>
        <w:ind w:firstLine="240" w:firstLineChars="100"/>
        <w:rPr>
          <w:rFonts w:hint="eastAsia" w:ascii="仿宋" w:hAnsi="仿宋" w:eastAsia="仿宋" w:cs="仿宋"/>
          <w:b/>
          <w:color w:val="auto"/>
          <w:sz w:val="24"/>
          <w:highlight w:val="none"/>
        </w:rPr>
      </w:pPr>
      <w:r>
        <w:rPr>
          <w:rFonts w:hint="eastAsia" w:ascii="仿宋" w:hAnsi="仿宋" w:eastAsia="仿宋" w:cs="仿宋"/>
          <w:color w:val="auto"/>
          <w:sz w:val="24"/>
          <w:highlight w:val="none"/>
        </w:rPr>
        <w:t>平等对待内外资企业和符合条件的破产重整企业，切实保障企业公平竞争，平等维护企业的合法利益。</w:t>
      </w:r>
      <w:r>
        <w:rPr>
          <w:rFonts w:hint="eastAsia" w:ascii="仿宋" w:hAnsi="仿宋" w:eastAsia="仿宋" w:cs="仿宋"/>
          <w:color w:val="auto"/>
          <w:sz w:val="24"/>
          <w:highlight w:val="none"/>
        </w:rPr>
        <w:cr/>
      </w:r>
      <w:r>
        <w:rPr>
          <w:rFonts w:hint="eastAsia" w:ascii="仿宋" w:hAnsi="仿宋" w:eastAsia="仿宋" w:cs="仿宋"/>
          <w:b/>
          <w:color w:val="auto"/>
          <w:sz w:val="24"/>
          <w:highlight w:val="none"/>
        </w:rPr>
        <w:t>4</w:t>
      </w:r>
      <w:r>
        <w:rPr>
          <w:rFonts w:hint="eastAsia" w:ascii="仿宋" w:hAnsi="仿宋" w:eastAsia="仿宋" w:cs="仿宋"/>
          <w:b/>
          <w:color w:val="auto"/>
          <w:sz w:val="24"/>
          <w:highlight w:val="none"/>
          <w:lang w:eastAsia="zh-CN"/>
        </w:rPr>
        <w:t>、</w:t>
      </w:r>
      <w:r>
        <w:rPr>
          <w:rFonts w:hint="eastAsia" w:ascii="仿宋" w:hAnsi="仿宋" w:eastAsia="仿宋" w:cs="仿宋"/>
          <w:b/>
          <w:color w:val="auto"/>
          <w:sz w:val="24"/>
          <w:highlight w:val="none"/>
        </w:rPr>
        <w:t>询问、质疑、投诉</w:t>
      </w:r>
    </w:p>
    <w:p>
      <w:pPr>
        <w:autoSpaceDE w:val="0"/>
        <w:autoSpaceDN w:val="0"/>
        <w:spacing w:line="48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4.1在线询问、质疑、投诉。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autoSpaceDE w:val="0"/>
        <w:autoSpaceDN w:val="0"/>
        <w:spacing w:line="48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4.2供应商询问</w:t>
      </w:r>
    </w:p>
    <w:p>
      <w:pPr>
        <w:autoSpaceDE w:val="0"/>
        <w:autoSpaceDN w:val="0"/>
        <w:spacing w:line="48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pPr>
        <w:autoSpaceDE w:val="0"/>
        <w:autoSpaceDN w:val="0"/>
        <w:spacing w:line="480" w:lineRule="auto"/>
        <w:ind w:firstLine="240" w:firstLineChars="1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4.3供应商质疑</w:t>
      </w:r>
    </w:p>
    <w:p>
      <w:pPr>
        <w:pStyle w:val="33"/>
        <w:spacing w:line="48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val="zh-CN"/>
        </w:rPr>
        <w:t>4.3</w:t>
      </w:r>
      <w:r>
        <w:rPr>
          <w:rFonts w:hint="eastAsia" w:ascii="仿宋" w:hAnsi="仿宋" w:eastAsia="仿宋" w:cs="仿宋"/>
          <w:color w:val="auto"/>
          <w:sz w:val="24"/>
          <w:highlight w:val="none"/>
        </w:rPr>
        <w:t>.1提出质疑的供应商应当是参与所质疑项目采购活动的供应商。潜在供应商已依法获取其可质疑的招标文件的，可以对该文件提出质疑。</w:t>
      </w:r>
    </w:p>
    <w:p>
      <w:pPr>
        <w:pStyle w:val="33"/>
        <w:spacing w:line="48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val="zh-CN"/>
        </w:rPr>
        <w:t>4.3</w:t>
      </w:r>
      <w:r>
        <w:rPr>
          <w:rFonts w:hint="eastAsia" w:ascii="仿宋" w:hAnsi="仿宋" w:eastAsia="仿宋" w:cs="仿宋"/>
          <w:color w:val="auto"/>
          <w:sz w:val="24"/>
          <w:highlight w:val="none"/>
        </w:rPr>
        <w:t>.2供应商认为招标文件、采购过程和中标结果使自己的权益受到损害的，可以在知道或者应知其权益受到损害之日起七个工作日内，以书面形式向采购人或者</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提出质疑，否则，采购人或者</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不予受理：</w:t>
      </w:r>
    </w:p>
    <w:p>
      <w:pPr>
        <w:pStyle w:val="5"/>
        <w:spacing w:line="480" w:lineRule="auto"/>
        <w:ind w:firstLine="480" w:firstLineChars="200"/>
        <w:rPr>
          <w:rFonts w:hint="eastAsia" w:ascii="仿宋" w:hAnsi="仿宋" w:eastAsia="仿宋" w:cs="仿宋"/>
          <w:color w:val="auto"/>
          <w:kern w:val="2"/>
          <w:sz w:val="24"/>
          <w:highlight w:val="none"/>
        </w:rPr>
      </w:pPr>
      <w:r>
        <w:rPr>
          <w:rFonts w:hint="eastAsia" w:ascii="仿宋" w:hAnsi="仿宋" w:eastAsia="仿宋" w:cs="仿宋"/>
          <w:color w:val="auto"/>
          <w:kern w:val="2"/>
          <w:sz w:val="24"/>
          <w:highlight w:val="none"/>
        </w:rPr>
        <w:t>4.3.2.1对招标文件提出质疑的，质疑期限为供应商获得招标文件之日或者招标文件公告期限届满之日起计算。</w:t>
      </w:r>
    </w:p>
    <w:p>
      <w:pPr>
        <w:pStyle w:val="33"/>
        <w:spacing w:line="480" w:lineRule="auto"/>
        <w:ind w:left="479" w:leftChars="228"/>
        <w:rPr>
          <w:rFonts w:hint="eastAsia" w:ascii="仿宋" w:hAnsi="仿宋" w:eastAsia="仿宋" w:cs="仿宋"/>
          <w:color w:val="auto"/>
          <w:sz w:val="24"/>
          <w:highlight w:val="none"/>
        </w:rPr>
      </w:pPr>
      <w:r>
        <w:rPr>
          <w:rFonts w:hint="eastAsia" w:ascii="仿宋" w:hAnsi="仿宋" w:eastAsia="仿宋" w:cs="仿宋"/>
          <w:color w:val="auto"/>
          <w:sz w:val="24"/>
          <w:highlight w:val="none"/>
        </w:rPr>
        <w:t>4.3.2.2对采购过程提出质疑的，质疑期限为各采购程序环节结束之日起计算。4.3.2.3对采购结果提出质疑的，质疑期限自采购结果公告期限届满之日起计算。</w:t>
      </w:r>
    </w:p>
    <w:p>
      <w:pPr>
        <w:pStyle w:val="33"/>
        <w:spacing w:line="480" w:lineRule="auto"/>
        <w:ind w:firstLine="480" w:firstLineChars="2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4.3.3</w:t>
      </w:r>
      <w:r>
        <w:rPr>
          <w:rFonts w:hint="eastAsia" w:ascii="仿宋" w:hAnsi="仿宋" w:eastAsia="仿宋" w:cs="仿宋"/>
          <w:color w:val="auto"/>
          <w:sz w:val="24"/>
          <w:highlight w:val="none"/>
        </w:rPr>
        <w:t>供应商提出质疑应当提交质疑函和必要的证明材料。质疑函应当包括下列内容：</w:t>
      </w:r>
    </w:p>
    <w:p>
      <w:pPr>
        <w:pStyle w:val="33"/>
        <w:spacing w:line="480" w:lineRule="auto"/>
        <w:ind w:firstLine="480" w:firstLineChars="2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4.3.3.1供应商的姓名或者名称、地址、邮编、联系人及联系电话；</w:t>
      </w:r>
    </w:p>
    <w:p>
      <w:pPr>
        <w:pStyle w:val="33"/>
        <w:spacing w:line="480" w:lineRule="auto"/>
        <w:ind w:firstLine="480" w:firstLineChars="2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4.3.3.2质疑项目的名称、编号；</w:t>
      </w:r>
    </w:p>
    <w:p>
      <w:pPr>
        <w:pStyle w:val="33"/>
        <w:spacing w:line="480" w:lineRule="auto"/>
        <w:ind w:firstLine="480" w:firstLineChars="2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4.3.3.3具体、明确的质疑事项和与质疑事项相关的请求；</w:t>
      </w:r>
    </w:p>
    <w:p>
      <w:pPr>
        <w:pStyle w:val="33"/>
        <w:spacing w:line="480" w:lineRule="auto"/>
        <w:ind w:firstLine="480" w:firstLineChars="2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4.3.3.4事实依据；</w:t>
      </w:r>
    </w:p>
    <w:p>
      <w:pPr>
        <w:pStyle w:val="33"/>
        <w:spacing w:line="480" w:lineRule="auto"/>
        <w:ind w:firstLine="480" w:firstLineChars="2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4.3.3.5必要的法律依据；</w:t>
      </w:r>
    </w:p>
    <w:p>
      <w:pPr>
        <w:pStyle w:val="33"/>
        <w:spacing w:line="480" w:lineRule="auto"/>
        <w:ind w:firstLine="960" w:firstLineChars="4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4.3.3.6提出质疑的日期。</w:t>
      </w:r>
    </w:p>
    <w:p>
      <w:pPr>
        <w:pStyle w:val="572"/>
        <w:shd w:val="clear" w:color="auto" w:fill="FFFFFF"/>
        <w:snapToGrid w:val="0"/>
        <w:spacing w:after="240" w:afterAutospacing="0" w:line="480" w:lineRule="auto"/>
        <w:ind w:firstLine="400"/>
        <w:contextualSpacing/>
        <w:rPr>
          <w:rFonts w:hint="eastAsia" w:ascii="仿宋" w:hAnsi="仿宋" w:eastAsia="仿宋" w:cs="仿宋"/>
          <w:color w:val="auto"/>
          <w:highlight w:val="none"/>
        </w:rPr>
      </w:pPr>
      <w:r>
        <w:rPr>
          <w:rFonts w:hint="eastAsia" w:ascii="仿宋" w:hAnsi="仿宋" w:eastAsia="仿宋" w:cs="仿宋"/>
          <w:color w:val="auto"/>
          <w:highlight w:val="none"/>
        </w:rPr>
        <w:t>供应商提交的质疑函需一式三份。供应商为自然人的，应当由本人签字；供应商为法人或者其他组织的，应当由法定代表人、主要负责人，或者其授权代表签字或者盖章，并加盖公章。</w:t>
      </w:r>
    </w:p>
    <w:p>
      <w:pPr>
        <w:pStyle w:val="572"/>
        <w:shd w:val="clear" w:color="auto" w:fill="FFFFFF"/>
        <w:snapToGrid w:val="0"/>
        <w:spacing w:after="240" w:afterAutospacing="0" w:line="480" w:lineRule="auto"/>
        <w:ind w:firstLine="400"/>
        <w:contextualSpacing/>
        <w:rPr>
          <w:rFonts w:hint="eastAsia" w:ascii="仿宋" w:hAnsi="仿宋" w:eastAsia="仿宋" w:cs="仿宋"/>
          <w:color w:val="auto"/>
          <w:highlight w:val="none"/>
        </w:rPr>
      </w:pPr>
      <w:r>
        <w:rPr>
          <w:rFonts w:hint="eastAsia" w:ascii="仿宋" w:hAnsi="仿宋" w:eastAsia="仿宋" w:cs="仿宋"/>
          <w:color w:val="auto"/>
          <w:highlight w:val="none"/>
        </w:rPr>
        <w:t>质疑函范本及制作说明详见附件2。</w:t>
      </w:r>
    </w:p>
    <w:p>
      <w:pPr>
        <w:pStyle w:val="572"/>
        <w:shd w:val="clear" w:color="auto" w:fill="FFFFFF"/>
        <w:snapToGrid w:val="0"/>
        <w:spacing w:after="240" w:afterAutospacing="0" w:line="480" w:lineRule="auto"/>
        <w:ind w:firstLine="400"/>
        <w:contextualSpacing/>
        <w:rPr>
          <w:rFonts w:hint="eastAsia" w:ascii="仿宋" w:hAnsi="仿宋" w:eastAsia="仿宋" w:cs="仿宋"/>
          <w:color w:val="auto"/>
          <w:highlight w:val="none"/>
        </w:rPr>
      </w:pPr>
      <w:r>
        <w:rPr>
          <w:rFonts w:hint="eastAsia" w:ascii="仿宋" w:hAnsi="仿宋" w:eastAsia="仿宋" w:cs="仿宋"/>
          <w:color w:val="auto"/>
          <w:highlight w:val="none"/>
        </w:rPr>
        <w:t>4.3.4对同一采购程序环节的质疑，供应商须在法定质疑期内一次性提出。</w:t>
      </w:r>
    </w:p>
    <w:p>
      <w:pPr>
        <w:pStyle w:val="572"/>
        <w:shd w:val="clear" w:color="auto" w:fill="FFFFFF"/>
        <w:snapToGrid w:val="0"/>
        <w:spacing w:after="240" w:afterAutospacing="0" w:line="480" w:lineRule="auto"/>
        <w:ind w:firstLine="400"/>
        <w:contextualSpacing/>
        <w:rPr>
          <w:rFonts w:hint="eastAsia" w:ascii="仿宋" w:hAnsi="仿宋" w:eastAsia="仿宋" w:cs="仿宋"/>
          <w:color w:val="auto"/>
          <w:highlight w:val="none"/>
        </w:rPr>
      </w:pPr>
      <w:r>
        <w:rPr>
          <w:rFonts w:hint="eastAsia" w:ascii="仿宋" w:hAnsi="仿宋" w:eastAsia="仿宋" w:cs="仿宋"/>
          <w:color w:val="auto"/>
          <w:highlight w:val="none"/>
          <w:lang w:val="zh-CN"/>
        </w:rPr>
        <w:t>4.3</w:t>
      </w:r>
      <w:r>
        <w:rPr>
          <w:rFonts w:hint="eastAsia" w:ascii="仿宋" w:hAnsi="仿宋" w:eastAsia="仿宋" w:cs="仿宋"/>
          <w:color w:val="auto"/>
          <w:highlight w:val="none"/>
        </w:rPr>
        <w:t>.5采购人或者</w:t>
      </w:r>
      <w:r>
        <w:rPr>
          <w:rFonts w:hint="eastAsia" w:ascii="仿宋" w:hAnsi="仿宋" w:eastAsia="仿宋" w:cs="仿宋"/>
          <w:color w:val="auto"/>
          <w:highlight w:val="none"/>
          <w:lang w:eastAsia="zh-CN"/>
        </w:rPr>
        <w:t>采购代理机构</w:t>
      </w:r>
      <w:r>
        <w:rPr>
          <w:rFonts w:hint="eastAsia" w:ascii="仿宋" w:hAnsi="仿宋" w:eastAsia="仿宋" w:cs="仿宋"/>
          <w:color w:val="auto"/>
          <w:highlight w:val="none"/>
        </w:rPr>
        <w:t>应当在收到供应商的书面质疑后七个工作日内作出答复，并以书面形式通知质疑供应商和其他与质疑处理结果有利害关系的政府采购当事人，但答复的内容不得涉及商业秘密。根据《杭州市财政局关于进一步加强政府采购信息公开优化营商环境的通知》（杭财采监〔2021〕17号）,采购人或者</w:t>
      </w:r>
      <w:r>
        <w:rPr>
          <w:rFonts w:hint="eastAsia" w:ascii="仿宋" w:hAnsi="仿宋" w:eastAsia="仿宋" w:cs="仿宋"/>
          <w:color w:val="auto"/>
          <w:highlight w:val="none"/>
          <w:lang w:eastAsia="zh-CN"/>
        </w:rPr>
        <w:t>采购代理机构</w:t>
      </w:r>
      <w:r>
        <w:rPr>
          <w:rFonts w:hint="eastAsia" w:ascii="仿宋" w:hAnsi="仿宋" w:eastAsia="仿宋" w:cs="仿宋"/>
          <w:color w:val="auto"/>
          <w:highlight w:val="none"/>
        </w:rPr>
        <w:t>在质疑回复后5个工作日内，在浙江政府采购网的“其他公告”栏目公开质疑答复，答复内容应当完整。质疑函作为附件上传。</w:t>
      </w:r>
    </w:p>
    <w:p>
      <w:pPr>
        <w:pStyle w:val="572"/>
        <w:shd w:val="clear" w:color="auto" w:fill="FFFFFF"/>
        <w:snapToGrid w:val="0"/>
        <w:spacing w:after="240" w:afterAutospacing="0" w:line="480" w:lineRule="auto"/>
        <w:ind w:firstLine="400"/>
        <w:contextualSpacing/>
        <w:rPr>
          <w:rFonts w:hint="eastAsia" w:ascii="仿宋" w:hAnsi="仿宋" w:eastAsia="仿宋" w:cs="仿宋"/>
          <w:color w:val="auto"/>
          <w:highlight w:val="none"/>
        </w:rPr>
      </w:pPr>
      <w:r>
        <w:rPr>
          <w:rFonts w:hint="eastAsia" w:ascii="仿宋" w:hAnsi="仿宋" w:eastAsia="仿宋" w:cs="仿宋"/>
          <w:color w:val="auto"/>
          <w:highlight w:val="none"/>
          <w:lang w:val="zh-CN"/>
        </w:rPr>
        <w:t>4.3</w:t>
      </w:r>
      <w:r>
        <w:rPr>
          <w:rFonts w:hint="eastAsia" w:ascii="仿宋" w:hAnsi="仿宋" w:eastAsia="仿宋" w:cs="仿宋"/>
          <w:color w:val="auto"/>
          <w:highlight w:val="none"/>
        </w:rPr>
        <w:t>.6询问或者质疑事项可能影响采购结果的，采购人应当暂停签订合同，已经签订合同的，应当中止履行合同。</w:t>
      </w:r>
    </w:p>
    <w:p>
      <w:pPr>
        <w:pStyle w:val="572"/>
        <w:shd w:val="clear" w:color="auto" w:fill="FFFFFF"/>
        <w:snapToGrid w:val="0"/>
        <w:spacing w:after="240" w:afterAutospacing="0" w:line="480" w:lineRule="auto"/>
        <w:ind w:firstLine="480" w:firstLineChars="200"/>
        <w:contextualSpacing/>
        <w:rPr>
          <w:rFonts w:hint="eastAsia" w:ascii="仿宋" w:hAnsi="仿宋" w:eastAsia="仿宋" w:cs="仿宋"/>
          <w:color w:val="auto"/>
          <w:highlight w:val="none"/>
          <w:lang w:val="zh-CN"/>
        </w:rPr>
      </w:pPr>
      <w:r>
        <w:rPr>
          <w:rFonts w:hint="eastAsia" w:ascii="仿宋" w:hAnsi="仿宋" w:eastAsia="仿宋" w:cs="仿宋"/>
          <w:color w:val="auto"/>
          <w:highlight w:val="none"/>
          <w:lang w:val="zh-CN"/>
        </w:rPr>
        <w:t>4.4供应商投诉</w:t>
      </w:r>
    </w:p>
    <w:p>
      <w:pPr>
        <w:pStyle w:val="572"/>
        <w:shd w:val="clear" w:color="auto" w:fill="FFFFFF"/>
        <w:snapToGrid w:val="0"/>
        <w:spacing w:after="240" w:afterAutospacing="0" w:line="480" w:lineRule="auto"/>
        <w:ind w:firstLine="400"/>
        <w:contextualSpacing/>
        <w:rPr>
          <w:rFonts w:hint="eastAsia" w:ascii="仿宋" w:hAnsi="仿宋" w:eastAsia="仿宋" w:cs="仿宋"/>
          <w:color w:val="auto"/>
          <w:highlight w:val="none"/>
        </w:rPr>
      </w:pPr>
      <w:r>
        <w:rPr>
          <w:rFonts w:hint="eastAsia" w:ascii="仿宋" w:hAnsi="仿宋" w:eastAsia="仿宋" w:cs="仿宋"/>
          <w:color w:val="auto"/>
          <w:highlight w:val="none"/>
        </w:rPr>
        <w:t>4.4.1质疑供应商对采购人、</w:t>
      </w:r>
      <w:r>
        <w:rPr>
          <w:rFonts w:hint="eastAsia" w:ascii="仿宋" w:hAnsi="仿宋" w:eastAsia="仿宋" w:cs="仿宋"/>
          <w:color w:val="auto"/>
          <w:highlight w:val="none"/>
          <w:lang w:eastAsia="zh-CN"/>
        </w:rPr>
        <w:t>采购代理机构</w:t>
      </w:r>
      <w:r>
        <w:rPr>
          <w:rFonts w:hint="eastAsia" w:ascii="仿宋" w:hAnsi="仿宋" w:eastAsia="仿宋" w:cs="仿宋"/>
          <w:color w:val="auto"/>
          <w:highlight w:val="none"/>
        </w:rPr>
        <w:t>的答复不满意或者采购人、</w:t>
      </w:r>
      <w:r>
        <w:rPr>
          <w:rFonts w:hint="eastAsia" w:ascii="仿宋" w:hAnsi="仿宋" w:eastAsia="仿宋" w:cs="仿宋"/>
          <w:color w:val="auto"/>
          <w:highlight w:val="none"/>
          <w:lang w:eastAsia="zh-CN"/>
        </w:rPr>
        <w:t>采购代理机构</w:t>
      </w:r>
      <w:r>
        <w:rPr>
          <w:rFonts w:hint="eastAsia" w:ascii="仿宋" w:hAnsi="仿宋" w:eastAsia="仿宋" w:cs="仿宋"/>
          <w:color w:val="auto"/>
          <w:highlight w:val="none"/>
        </w:rPr>
        <w:t>未在规定的时间内作出答复的，可以在答复期满后十五个工作日内向同级政府采购监督管理部门提出投诉。</w:t>
      </w:r>
    </w:p>
    <w:p>
      <w:pPr>
        <w:pStyle w:val="572"/>
        <w:shd w:val="clear" w:color="auto" w:fill="FFFFFF"/>
        <w:snapToGrid w:val="0"/>
        <w:spacing w:after="240" w:afterAutospacing="0" w:line="480" w:lineRule="auto"/>
        <w:ind w:firstLine="400"/>
        <w:contextualSpacing/>
        <w:rPr>
          <w:rFonts w:hint="eastAsia" w:ascii="仿宋" w:hAnsi="仿宋" w:eastAsia="仿宋" w:cs="仿宋"/>
          <w:color w:val="auto"/>
          <w:highlight w:val="none"/>
        </w:rPr>
      </w:pPr>
      <w:r>
        <w:rPr>
          <w:rFonts w:hint="eastAsia" w:ascii="仿宋" w:hAnsi="仿宋" w:eastAsia="仿宋" w:cs="仿宋"/>
          <w:color w:val="auto"/>
          <w:highlight w:val="none"/>
        </w:rPr>
        <w:t>4.4.</w:t>
      </w:r>
      <w:r>
        <w:rPr>
          <w:rFonts w:hint="eastAsia" w:ascii="仿宋" w:hAnsi="仿宋" w:eastAsia="仿宋" w:cs="仿宋"/>
          <w:color w:val="auto"/>
          <w:highlight w:val="none"/>
          <w:lang w:val="zh-CN"/>
        </w:rPr>
        <w:t>2</w:t>
      </w:r>
      <w:r>
        <w:rPr>
          <w:rFonts w:hint="eastAsia" w:ascii="仿宋" w:hAnsi="仿宋" w:eastAsia="仿宋" w:cs="仿宋"/>
          <w:color w:val="auto"/>
          <w:highlight w:val="none"/>
        </w:rPr>
        <w:t>供应商投诉的事项不得超出已质疑事项的范围，基于质疑答复内容提出的投诉事项除外。</w:t>
      </w:r>
    </w:p>
    <w:p>
      <w:pPr>
        <w:pStyle w:val="572"/>
        <w:shd w:val="clear" w:color="auto" w:fill="FFFFFF"/>
        <w:snapToGrid w:val="0"/>
        <w:spacing w:after="240" w:afterAutospacing="0" w:line="480" w:lineRule="auto"/>
        <w:ind w:firstLine="400"/>
        <w:contextualSpacing/>
        <w:rPr>
          <w:rFonts w:hint="eastAsia" w:ascii="仿宋" w:hAnsi="仿宋" w:eastAsia="仿宋" w:cs="仿宋"/>
          <w:color w:val="auto"/>
          <w:highlight w:val="none"/>
        </w:rPr>
      </w:pPr>
      <w:r>
        <w:rPr>
          <w:rFonts w:hint="eastAsia" w:ascii="仿宋" w:hAnsi="仿宋" w:eastAsia="仿宋" w:cs="仿宋"/>
          <w:color w:val="auto"/>
          <w:highlight w:val="none"/>
        </w:rPr>
        <w:t>4.4.3供应商投诉应当有明确的请求和必要的证明材料。</w:t>
      </w:r>
    </w:p>
    <w:p>
      <w:pPr>
        <w:pStyle w:val="572"/>
        <w:shd w:val="clear" w:color="auto" w:fill="FFFFFF"/>
        <w:snapToGrid w:val="0"/>
        <w:spacing w:after="240" w:afterAutospacing="0" w:line="480" w:lineRule="auto"/>
        <w:ind w:firstLine="400"/>
        <w:contextualSpacing/>
        <w:rPr>
          <w:rFonts w:hint="eastAsia" w:ascii="仿宋" w:hAnsi="仿宋" w:eastAsia="仿宋" w:cs="仿宋"/>
          <w:color w:val="auto"/>
          <w:highlight w:val="none"/>
        </w:rPr>
      </w:pPr>
      <w:r>
        <w:rPr>
          <w:rFonts w:hint="eastAsia" w:ascii="仿宋" w:hAnsi="仿宋" w:eastAsia="仿宋" w:cs="仿宋"/>
          <w:color w:val="auto"/>
          <w:highlight w:val="none"/>
        </w:rPr>
        <w:t>4.4.4以联合体形式参加政府采购活动的，其投诉应当由组成联合体的所有供应商共同提出。</w:t>
      </w:r>
    </w:p>
    <w:p>
      <w:pPr>
        <w:pStyle w:val="572"/>
        <w:shd w:val="clear" w:color="auto" w:fill="FFFFFF"/>
        <w:snapToGrid w:val="0"/>
        <w:spacing w:after="240" w:afterAutospacing="0" w:line="480" w:lineRule="auto"/>
        <w:ind w:firstLine="400"/>
        <w:contextualSpacing/>
        <w:rPr>
          <w:rFonts w:hint="eastAsia" w:ascii="仿宋" w:hAnsi="仿宋" w:eastAsia="仿宋" w:cs="仿宋"/>
          <w:color w:val="auto"/>
          <w:highlight w:val="none"/>
        </w:rPr>
      </w:pPr>
      <w:r>
        <w:rPr>
          <w:rFonts w:hint="eastAsia" w:ascii="仿宋" w:hAnsi="仿宋" w:eastAsia="仿宋" w:cs="仿宋"/>
          <w:color w:val="auto"/>
          <w:highlight w:val="none"/>
        </w:rPr>
        <w:t>4.4.5</w:t>
      </w:r>
      <w:r>
        <w:rPr>
          <w:rFonts w:hint="eastAsia" w:ascii="仿宋" w:hAnsi="仿宋" w:eastAsia="仿宋" w:cs="仿宋"/>
          <w:color w:val="auto"/>
          <w:highlight w:val="none"/>
          <w:lang w:eastAsia="zh-CN"/>
        </w:rPr>
        <w:t>杭州市余杭区政府采购项目投诉材料可寄送杭州市余杭区财政局</w:t>
      </w:r>
      <w:r>
        <w:rPr>
          <w:rFonts w:hint="eastAsia" w:ascii="仿宋" w:hAnsi="仿宋" w:eastAsia="仿宋" w:cs="仿宋"/>
          <w:color w:val="auto"/>
          <w:highlight w:val="none"/>
        </w:rPr>
        <w:t>，地址：</w:t>
      </w:r>
      <w:r>
        <w:rPr>
          <w:rFonts w:hint="eastAsia" w:ascii="仿宋" w:hAnsi="仿宋" w:eastAsia="仿宋" w:cs="仿宋"/>
          <w:color w:val="auto"/>
          <w:highlight w:val="none"/>
          <w:lang w:eastAsia="zh-CN"/>
        </w:rPr>
        <w:t>杭州市余杭区文一西路1500号8号楼1201</w:t>
      </w:r>
      <w:r>
        <w:rPr>
          <w:rFonts w:hint="eastAsia" w:ascii="仿宋" w:hAnsi="仿宋" w:eastAsia="仿宋" w:cs="仿宋"/>
          <w:color w:val="auto"/>
          <w:highlight w:val="none"/>
        </w:rPr>
        <w:t>，收件人：</w:t>
      </w:r>
      <w:r>
        <w:rPr>
          <w:rFonts w:hint="eastAsia" w:ascii="仿宋" w:hAnsi="仿宋" w:eastAsia="仿宋" w:cs="仿宋"/>
          <w:color w:val="auto"/>
          <w:highlight w:val="none"/>
          <w:lang w:eastAsia="zh-CN"/>
        </w:rPr>
        <w:t xml:space="preserve">杜国强 </w:t>
      </w:r>
      <w:r>
        <w:rPr>
          <w:rFonts w:hint="eastAsia" w:ascii="仿宋" w:hAnsi="仿宋" w:eastAsia="仿宋" w:cs="仿宋"/>
          <w:color w:val="auto"/>
          <w:highlight w:val="none"/>
        </w:rPr>
        <w:t>，电话：</w:t>
      </w:r>
      <w:r>
        <w:rPr>
          <w:rFonts w:hint="eastAsia" w:ascii="仿宋" w:hAnsi="仿宋" w:eastAsia="仿宋" w:cs="仿宋"/>
          <w:color w:val="auto"/>
          <w:highlight w:val="none"/>
          <w:lang w:eastAsia="zh-CN"/>
        </w:rPr>
        <w:t>0571-88728858</w:t>
      </w:r>
      <w:r>
        <w:rPr>
          <w:rFonts w:hint="eastAsia" w:ascii="仿宋" w:hAnsi="仿宋" w:eastAsia="仿宋" w:cs="仿宋"/>
          <w:color w:val="auto"/>
          <w:highlight w:val="none"/>
        </w:rPr>
        <w:t>。</w:t>
      </w:r>
    </w:p>
    <w:p>
      <w:pPr>
        <w:pStyle w:val="572"/>
        <w:shd w:val="clear" w:color="auto" w:fill="FFFFFF"/>
        <w:snapToGrid w:val="0"/>
        <w:spacing w:after="240" w:afterAutospacing="0" w:line="480" w:lineRule="auto"/>
        <w:ind w:firstLine="400"/>
        <w:contextualSpacing/>
        <w:rPr>
          <w:rFonts w:hint="eastAsia" w:ascii="仿宋" w:hAnsi="仿宋" w:eastAsia="仿宋" w:cs="仿宋"/>
          <w:b/>
          <w:color w:val="auto"/>
          <w:sz w:val="32"/>
          <w:szCs w:val="20"/>
          <w:highlight w:val="none"/>
        </w:rPr>
      </w:pPr>
      <w:r>
        <w:rPr>
          <w:rFonts w:hint="eastAsia" w:ascii="仿宋" w:hAnsi="仿宋" w:eastAsia="仿宋" w:cs="仿宋"/>
          <w:color w:val="auto"/>
          <w:highlight w:val="none"/>
        </w:rPr>
        <w:t>投诉书范本及制作说明详见附件3。</w:t>
      </w:r>
      <w:r>
        <w:rPr>
          <w:rFonts w:hint="eastAsia" w:ascii="仿宋" w:hAnsi="仿宋" w:eastAsia="仿宋" w:cs="仿宋"/>
          <w:b/>
          <w:color w:val="auto"/>
          <w:sz w:val="32"/>
          <w:szCs w:val="20"/>
          <w:highlight w:val="none"/>
        </w:rPr>
        <w:t xml:space="preserve">     </w:t>
      </w:r>
    </w:p>
    <w:p>
      <w:pPr>
        <w:adjustRightInd/>
        <w:spacing w:line="480" w:lineRule="auto"/>
        <w:jc w:val="center"/>
        <w:outlineLvl w:val="0"/>
        <w:rPr>
          <w:rFonts w:hint="eastAsia" w:ascii="仿宋" w:hAnsi="仿宋" w:eastAsia="仿宋" w:cs="仿宋"/>
          <w:b/>
          <w:color w:val="auto"/>
          <w:sz w:val="32"/>
          <w:szCs w:val="20"/>
          <w:highlight w:val="none"/>
        </w:rPr>
      </w:pPr>
      <w:r>
        <w:rPr>
          <w:rFonts w:hint="eastAsia" w:ascii="仿宋" w:hAnsi="仿宋" w:eastAsia="仿宋" w:cs="仿宋"/>
          <w:b/>
          <w:color w:val="auto"/>
          <w:sz w:val="32"/>
          <w:szCs w:val="20"/>
          <w:highlight w:val="none"/>
        </w:rPr>
        <w:t xml:space="preserve"> 二、招标文件的构成、澄清、修改</w:t>
      </w:r>
    </w:p>
    <w:p>
      <w:pPr>
        <w:pStyle w:val="33"/>
        <w:spacing w:line="480" w:lineRule="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5</w:t>
      </w:r>
      <w:r>
        <w:rPr>
          <w:rFonts w:hint="eastAsia" w:ascii="仿宋" w:hAnsi="仿宋" w:eastAsia="仿宋" w:cs="仿宋"/>
          <w:b/>
          <w:color w:val="auto"/>
          <w:sz w:val="24"/>
          <w:szCs w:val="24"/>
          <w:highlight w:val="none"/>
          <w:lang w:eastAsia="zh-CN"/>
        </w:rPr>
        <w:t>、</w:t>
      </w:r>
      <w:r>
        <w:rPr>
          <w:rFonts w:hint="eastAsia" w:ascii="仿宋" w:hAnsi="仿宋" w:eastAsia="仿宋" w:cs="仿宋"/>
          <w:b/>
          <w:color w:val="auto"/>
          <w:sz w:val="24"/>
          <w:szCs w:val="24"/>
          <w:highlight w:val="none"/>
        </w:rPr>
        <w:t>招标文件的构成</w:t>
      </w:r>
    </w:p>
    <w:p>
      <w:pPr>
        <w:pStyle w:val="33"/>
        <w:spacing w:line="48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5.1 招标文件包括下列文件及附件：</w:t>
      </w:r>
    </w:p>
    <w:p>
      <w:pPr>
        <w:pStyle w:val="33"/>
        <w:tabs>
          <w:tab w:val="left" w:pos="840"/>
        </w:tabs>
        <w:spacing w:line="480" w:lineRule="auto"/>
        <w:ind w:firstLine="960" w:firstLineChars="4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5.1.1招标公告；</w:t>
      </w:r>
    </w:p>
    <w:p>
      <w:pPr>
        <w:pStyle w:val="33"/>
        <w:tabs>
          <w:tab w:val="left" w:pos="840"/>
        </w:tabs>
        <w:spacing w:line="480" w:lineRule="auto"/>
        <w:ind w:firstLine="960" w:firstLineChars="4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5.1.2投标人须知；</w:t>
      </w:r>
    </w:p>
    <w:p>
      <w:pPr>
        <w:pStyle w:val="33"/>
        <w:tabs>
          <w:tab w:val="left" w:pos="840"/>
        </w:tabs>
        <w:spacing w:line="480" w:lineRule="auto"/>
        <w:ind w:firstLine="960" w:firstLineChars="4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5.1.3采购需求；</w:t>
      </w:r>
    </w:p>
    <w:p>
      <w:pPr>
        <w:pStyle w:val="33"/>
        <w:tabs>
          <w:tab w:val="left" w:pos="840"/>
        </w:tabs>
        <w:spacing w:line="480" w:lineRule="auto"/>
        <w:ind w:firstLine="960" w:firstLineChars="4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5.1.4评标办法；</w:t>
      </w:r>
    </w:p>
    <w:p>
      <w:pPr>
        <w:pStyle w:val="33"/>
        <w:tabs>
          <w:tab w:val="left" w:pos="840"/>
        </w:tabs>
        <w:spacing w:line="480" w:lineRule="auto"/>
        <w:ind w:firstLine="960" w:firstLineChars="4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5.1.5拟签订的合同文本；</w:t>
      </w:r>
    </w:p>
    <w:p>
      <w:pPr>
        <w:pStyle w:val="33"/>
        <w:tabs>
          <w:tab w:val="left" w:pos="840"/>
        </w:tabs>
        <w:spacing w:line="480" w:lineRule="auto"/>
        <w:ind w:firstLine="960" w:firstLineChars="400"/>
        <w:rPr>
          <w:rFonts w:hint="eastAsia" w:ascii="仿宋" w:hAnsi="仿宋" w:eastAsia="仿宋" w:cs="仿宋"/>
          <w:color w:val="auto"/>
          <w:sz w:val="24"/>
          <w:szCs w:val="24"/>
          <w:highlight w:val="none"/>
        </w:rPr>
      </w:pPr>
      <w:r>
        <w:rPr>
          <w:rFonts w:hint="eastAsia" w:ascii="仿宋" w:hAnsi="仿宋" w:eastAsia="仿宋" w:cs="仿宋"/>
          <w:color w:val="auto"/>
          <w:sz w:val="24"/>
          <w:highlight w:val="none"/>
        </w:rPr>
        <w:t>5.1.6</w:t>
      </w:r>
      <w:r>
        <w:rPr>
          <w:rFonts w:hint="eastAsia" w:ascii="仿宋" w:hAnsi="仿宋" w:eastAsia="仿宋" w:cs="仿宋"/>
          <w:color w:val="auto"/>
          <w:sz w:val="24"/>
          <w:szCs w:val="24"/>
          <w:highlight w:val="none"/>
        </w:rPr>
        <w:t>应提交的有关格式范例。</w:t>
      </w:r>
    </w:p>
    <w:p>
      <w:pPr>
        <w:spacing w:line="48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5.2与本项目有关的</w:t>
      </w:r>
      <w:r>
        <w:rPr>
          <w:rFonts w:hint="eastAsia" w:ascii="仿宋" w:hAnsi="仿宋" w:eastAsia="仿宋" w:cs="仿宋"/>
          <w:bCs/>
          <w:color w:val="auto"/>
          <w:sz w:val="24"/>
          <w:highlight w:val="none"/>
        </w:rPr>
        <w:t>澄清或者修改的内容为招标文件的组成部分</w:t>
      </w:r>
      <w:r>
        <w:rPr>
          <w:rFonts w:hint="eastAsia" w:ascii="仿宋" w:hAnsi="仿宋" w:eastAsia="仿宋" w:cs="仿宋"/>
          <w:color w:val="auto"/>
          <w:sz w:val="24"/>
          <w:highlight w:val="none"/>
        </w:rPr>
        <w:t>。</w:t>
      </w:r>
    </w:p>
    <w:p>
      <w:pPr>
        <w:pStyle w:val="33"/>
        <w:spacing w:line="480" w:lineRule="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6</w:t>
      </w:r>
      <w:r>
        <w:rPr>
          <w:rFonts w:hint="eastAsia" w:ascii="仿宋" w:hAnsi="仿宋" w:eastAsia="仿宋" w:cs="仿宋"/>
          <w:b/>
          <w:color w:val="auto"/>
          <w:sz w:val="24"/>
          <w:szCs w:val="24"/>
          <w:highlight w:val="none"/>
          <w:lang w:eastAsia="zh-CN"/>
        </w:rPr>
        <w:t>、</w:t>
      </w:r>
      <w:r>
        <w:rPr>
          <w:rFonts w:hint="eastAsia" w:ascii="仿宋" w:hAnsi="仿宋" w:eastAsia="仿宋" w:cs="仿宋"/>
          <w:b/>
          <w:color w:val="auto"/>
          <w:sz w:val="24"/>
          <w:szCs w:val="24"/>
          <w:highlight w:val="none"/>
        </w:rPr>
        <w:t>招标文件的澄清、修改</w:t>
      </w:r>
    </w:p>
    <w:p>
      <w:pPr>
        <w:pStyle w:val="85"/>
        <w:snapToGrid w:val="0"/>
        <w:spacing w:before="0" w:line="480" w:lineRule="auto"/>
        <w:ind w:firstLine="480"/>
        <w:rPr>
          <w:rFonts w:hint="eastAsia" w:ascii="仿宋" w:hAnsi="仿宋" w:eastAsia="仿宋" w:cs="仿宋"/>
          <w:color w:val="auto"/>
          <w:highlight w:val="none"/>
        </w:rPr>
      </w:pPr>
      <w:r>
        <w:rPr>
          <w:rFonts w:hint="eastAsia" w:ascii="仿宋" w:hAnsi="仿宋" w:eastAsia="仿宋" w:cs="仿宋"/>
          <w:color w:val="auto"/>
          <w:highlight w:val="none"/>
        </w:rPr>
        <w:t>6.1已获取招标文件的潜在投标人，若有问题需要澄清，应于投标截止时间前，以书面形式向</w:t>
      </w:r>
      <w:r>
        <w:rPr>
          <w:rFonts w:hint="eastAsia" w:ascii="仿宋" w:hAnsi="仿宋" w:eastAsia="仿宋" w:cs="仿宋"/>
          <w:color w:val="auto"/>
          <w:highlight w:val="none"/>
          <w:lang w:eastAsia="zh-CN"/>
        </w:rPr>
        <w:t>采购代理机构</w:t>
      </w:r>
      <w:r>
        <w:rPr>
          <w:rFonts w:hint="eastAsia" w:ascii="仿宋" w:hAnsi="仿宋" w:eastAsia="仿宋" w:cs="仿宋"/>
          <w:color w:val="auto"/>
          <w:highlight w:val="none"/>
        </w:rPr>
        <w:t>提出。</w:t>
      </w:r>
    </w:p>
    <w:p>
      <w:pPr>
        <w:pStyle w:val="85"/>
        <w:snapToGrid w:val="0"/>
        <w:spacing w:before="0" w:line="480" w:lineRule="auto"/>
        <w:ind w:firstLine="480"/>
        <w:rPr>
          <w:rFonts w:hint="eastAsia" w:ascii="仿宋" w:hAnsi="仿宋" w:eastAsia="仿宋" w:cs="仿宋"/>
          <w:color w:val="auto"/>
          <w:highlight w:val="none"/>
        </w:rPr>
      </w:pPr>
      <w:r>
        <w:rPr>
          <w:rFonts w:hint="eastAsia" w:ascii="仿宋" w:hAnsi="仿宋" w:eastAsia="仿宋" w:cs="仿宋"/>
          <w:color w:val="auto"/>
          <w:highlight w:val="none"/>
        </w:rPr>
        <w:t xml:space="preserve">6.2 </w:t>
      </w:r>
      <w:r>
        <w:rPr>
          <w:rFonts w:hint="eastAsia" w:ascii="仿宋" w:hAnsi="仿宋" w:eastAsia="仿宋" w:cs="仿宋"/>
          <w:color w:val="auto"/>
          <w:highlight w:val="none"/>
          <w:lang w:eastAsia="zh-CN"/>
        </w:rPr>
        <w:t>采购代理机构</w:t>
      </w:r>
      <w:r>
        <w:rPr>
          <w:rFonts w:hint="eastAsia" w:ascii="仿宋" w:hAnsi="仿宋" w:eastAsia="仿宋" w:cs="仿宋"/>
          <w:color w:val="auto"/>
          <w:highlight w:val="none"/>
        </w:rPr>
        <w:t>对招标文件进行澄清或修改的，将同时通过电子交易平台通知已获取招标文件的潜在投标人。依法应当公告的，将按规定公告，同时视情况延长投标截止时间和开标时间。该澄清或者修改的内容为招标文件的组成部分。</w:t>
      </w:r>
    </w:p>
    <w:p>
      <w:pPr>
        <w:pStyle w:val="25"/>
        <w:spacing w:line="480" w:lineRule="auto"/>
        <w:rPr>
          <w:rFonts w:hint="eastAsia" w:ascii="仿宋" w:hAnsi="仿宋" w:eastAsia="仿宋" w:cs="仿宋"/>
          <w:color w:val="auto"/>
          <w:sz w:val="18"/>
          <w:szCs w:val="18"/>
          <w:highlight w:val="none"/>
          <w:lang w:val="en-US"/>
        </w:rPr>
      </w:pPr>
      <w:r>
        <w:rPr>
          <w:rFonts w:hint="eastAsia" w:ascii="仿宋" w:hAnsi="仿宋" w:eastAsia="仿宋" w:cs="仿宋"/>
          <w:color w:val="auto"/>
          <w:szCs w:val="24"/>
          <w:highlight w:val="none"/>
          <w:lang w:val="en-US"/>
        </w:rPr>
        <w:t xml:space="preserve">    </w:t>
      </w:r>
    </w:p>
    <w:p>
      <w:pPr>
        <w:adjustRightInd/>
        <w:spacing w:line="480" w:lineRule="auto"/>
        <w:jc w:val="center"/>
        <w:outlineLvl w:val="0"/>
        <w:rPr>
          <w:rFonts w:hint="eastAsia" w:ascii="仿宋" w:hAnsi="仿宋" w:eastAsia="仿宋" w:cs="仿宋"/>
          <w:b/>
          <w:color w:val="auto"/>
          <w:sz w:val="30"/>
          <w:szCs w:val="20"/>
          <w:highlight w:val="none"/>
        </w:rPr>
      </w:pPr>
      <w:r>
        <w:rPr>
          <w:rFonts w:hint="eastAsia" w:ascii="仿宋" w:hAnsi="仿宋" w:eastAsia="仿宋" w:cs="仿宋"/>
          <w:b/>
          <w:color w:val="auto"/>
          <w:sz w:val="30"/>
          <w:szCs w:val="20"/>
          <w:highlight w:val="none"/>
        </w:rPr>
        <w:t>三、投标</w:t>
      </w:r>
    </w:p>
    <w:p>
      <w:pPr>
        <w:pStyle w:val="33"/>
        <w:spacing w:line="480" w:lineRule="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7</w:t>
      </w:r>
      <w:r>
        <w:rPr>
          <w:rFonts w:hint="eastAsia" w:ascii="仿宋" w:hAnsi="仿宋" w:eastAsia="仿宋" w:cs="仿宋"/>
          <w:b/>
          <w:color w:val="auto"/>
          <w:sz w:val="24"/>
          <w:szCs w:val="24"/>
          <w:highlight w:val="none"/>
          <w:lang w:eastAsia="zh-CN"/>
        </w:rPr>
        <w:t>、</w:t>
      </w:r>
      <w:r>
        <w:rPr>
          <w:rFonts w:hint="eastAsia" w:ascii="仿宋" w:hAnsi="仿宋" w:eastAsia="仿宋" w:cs="仿宋"/>
          <w:b/>
          <w:color w:val="auto"/>
          <w:sz w:val="24"/>
          <w:szCs w:val="24"/>
          <w:highlight w:val="none"/>
        </w:rPr>
        <w:t>招标文件的获取</w:t>
      </w:r>
    </w:p>
    <w:p>
      <w:pPr>
        <w:spacing w:line="480" w:lineRule="auto"/>
        <w:ind w:firstLine="480" w:firstLineChars="200"/>
        <w:rPr>
          <w:rFonts w:hint="eastAsia" w:ascii="仿宋" w:hAnsi="仿宋" w:eastAsia="仿宋" w:cs="仿宋"/>
          <w:snapToGrid w:val="0"/>
          <w:color w:val="auto"/>
          <w:kern w:val="28"/>
          <w:sz w:val="24"/>
          <w:highlight w:val="none"/>
        </w:rPr>
      </w:pPr>
      <w:r>
        <w:rPr>
          <w:rFonts w:hint="eastAsia" w:ascii="仿宋" w:hAnsi="仿宋" w:eastAsia="仿宋" w:cs="仿宋"/>
          <w:snapToGrid w:val="0"/>
          <w:color w:val="auto"/>
          <w:kern w:val="28"/>
          <w:sz w:val="24"/>
          <w:highlight w:val="none"/>
        </w:rPr>
        <w:t>详见招标公告中获取招标文件的时间期限、地点、方式及招标文件售价。</w:t>
      </w:r>
    </w:p>
    <w:p>
      <w:pPr>
        <w:pStyle w:val="33"/>
        <w:spacing w:line="480" w:lineRule="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8</w:t>
      </w:r>
      <w:r>
        <w:rPr>
          <w:rFonts w:hint="eastAsia" w:ascii="仿宋" w:hAnsi="仿宋" w:eastAsia="仿宋" w:cs="仿宋"/>
          <w:b/>
          <w:color w:val="auto"/>
          <w:sz w:val="24"/>
          <w:szCs w:val="24"/>
          <w:highlight w:val="none"/>
          <w:lang w:eastAsia="zh-CN"/>
        </w:rPr>
        <w:t>、</w:t>
      </w:r>
      <w:r>
        <w:rPr>
          <w:rFonts w:hint="eastAsia" w:ascii="仿宋" w:hAnsi="仿宋" w:eastAsia="仿宋" w:cs="仿宋"/>
          <w:b/>
          <w:color w:val="auto"/>
          <w:sz w:val="24"/>
          <w:szCs w:val="24"/>
          <w:highlight w:val="none"/>
        </w:rPr>
        <w:t>开标前答疑会或现场考察</w:t>
      </w:r>
    </w:p>
    <w:p>
      <w:pPr>
        <w:pStyle w:val="33"/>
        <w:spacing w:line="48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采购人组织潜在投标人现场考察或者召开开标前答疑会的，潜在投标人按第二部分投标人须知前附表的规定参加现场考察或者开标前答疑会。</w:t>
      </w:r>
    </w:p>
    <w:p>
      <w:pPr>
        <w:pStyle w:val="33"/>
        <w:spacing w:line="480" w:lineRule="auto"/>
        <w:rPr>
          <w:rFonts w:hint="eastAsia" w:ascii="仿宋" w:hAnsi="仿宋" w:eastAsia="仿宋" w:cs="仿宋"/>
          <w:b/>
          <w:color w:val="auto"/>
          <w:szCs w:val="24"/>
          <w:highlight w:val="none"/>
        </w:rPr>
      </w:pPr>
      <w:r>
        <w:rPr>
          <w:rFonts w:hint="eastAsia" w:ascii="仿宋" w:hAnsi="仿宋" w:eastAsia="仿宋" w:cs="仿宋"/>
          <w:b/>
          <w:color w:val="auto"/>
          <w:kern w:val="28"/>
          <w:sz w:val="24"/>
          <w:szCs w:val="24"/>
          <w:highlight w:val="none"/>
        </w:rPr>
        <w:t>9</w:t>
      </w:r>
      <w:r>
        <w:rPr>
          <w:rFonts w:hint="eastAsia" w:ascii="仿宋" w:hAnsi="仿宋" w:eastAsia="仿宋" w:cs="仿宋"/>
          <w:b/>
          <w:color w:val="auto"/>
          <w:kern w:val="28"/>
          <w:sz w:val="24"/>
          <w:szCs w:val="24"/>
          <w:highlight w:val="none"/>
          <w:lang w:eastAsia="zh-CN"/>
        </w:rPr>
        <w:t>、</w:t>
      </w:r>
      <w:r>
        <w:rPr>
          <w:rFonts w:hint="eastAsia" w:ascii="仿宋" w:hAnsi="仿宋" w:eastAsia="仿宋" w:cs="仿宋"/>
          <w:b/>
          <w:color w:val="auto"/>
          <w:kern w:val="28"/>
          <w:sz w:val="24"/>
          <w:szCs w:val="24"/>
          <w:highlight w:val="none"/>
        </w:rPr>
        <w:t>投标保证金</w:t>
      </w:r>
    </w:p>
    <w:p>
      <w:pPr>
        <w:pStyle w:val="5"/>
        <w:spacing w:line="480" w:lineRule="auto"/>
        <w:ind w:firstLine="470" w:firstLineChars="196"/>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本项目不需缴纳投标保证金。</w:t>
      </w:r>
    </w:p>
    <w:p>
      <w:pPr>
        <w:pStyle w:val="33"/>
        <w:spacing w:line="480" w:lineRule="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10</w:t>
      </w:r>
      <w:r>
        <w:rPr>
          <w:rFonts w:hint="eastAsia" w:ascii="仿宋" w:hAnsi="仿宋" w:eastAsia="仿宋" w:cs="仿宋"/>
          <w:b/>
          <w:color w:val="auto"/>
          <w:sz w:val="24"/>
          <w:szCs w:val="24"/>
          <w:highlight w:val="none"/>
          <w:lang w:eastAsia="zh-CN"/>
        </w:rPr>
        <w:t>、</w:t>
      </w:r>
      <w:r>
        <w:rPr>
          <w:rFonts w:hint="eastAsia" w:ascii="仿宋" w:hAnsi="仿宋" w:eastAsia="仿宋" w:cs="仿宋"/>
          <w:b/>
          <w:color w:val="auto"/>
          <w:sz w:val="24"/>
          <w:szCs w:val="24"/>
          <w:highlight w:val="none"/>
        </w:rPr>
        <w:t>投标文件的语言</w:t>
      </w:r>
    </w:p>
    <w:p>
      <w:pPr>
        <w:autoSpaceDE w:val="0"/>
        <w:autoSpaceDN w:val="0"/>
        <w:spacing w:line="480" w:lineRule="auto"/>
        <w:ind w:firstLine="480" w:firstLineChars="200"/>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投标文件及投标人与采购有关的来往通知、函件和文件均应使用中文。</w:t>
      </w:r>
    </w:p>
    <w:p>
      <w:pPr>
        <w:pStyle w:val="33"/>
        <w:spacing w:line="480" w:lineRule="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11</w:t>
      </w:r>
      <w:r>
        <w:rPr>
          <w:rFonts w:hint="eastAsia" w:ascii="仿宋" w:hAnsi="仿宋" w:eastAsia="仿宋" w:cs="仿宋"/>
          <w:b/>
          <w:color w:val="auto"/>
          <w:sz w:val="24"/>
          <w:szCs w:val="24"/>
          <w:highlight w:val="none"/>
          <w:lang w:eastAsia="zh-CN"/>
        </w:rPr>
        <w:t>、</w:t>
      </w:r>
      <w:r>
        <w:rPr>
          <w:rFonts w:hint="eastAsia" w:ascii="仿宋" w:hAnsi="仿宋" w:eastAsia="仿宋" w:cs="仿宋"/>
          <w:b/>
          <w:color w:val="auto"/>
          <w:sz w:val="24"/>
          <w:szCs w:val="24"/>
          <w:highlight w:val="none"/>
        </w:rPr>
        <w:t>投标文件的组成</w:t>
      </w:r>
    </w:p>
    <w:p>
      <w:pPr>
        <w:snapToGrid w:val="0"/>
        <w:spacing w:line="480" w:lineRule="auto"/>
        <w:ind w:firstLine="480" w:firstLineChars="200"/>
        <w:rPr>
          <w:rFonts w:hint="eastAsia"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rPr>
        <w:t>11.1资格文件</w:t>
      </w:r>
      <w:r>
        <w:rPr>
          <w:rFonts w:hint="eastAsia" w:ascii="仿宋" w:hAnsi="仿宋" w:eastAsia="仿宋" w:cs="仿宋"/>
          <w:b w:val="0"/>
          <w:bCs w:val="0"/>
          <w:color w:val="auto"/>
          <w:sz w:val="24"/>
          <w:highlight w:val="none"/>
          <w:lang w:eastAsia="zh-CN"/>
        </w:rPr>
        <w:t>（</w:t>
      </w:r>
      <w:r>
        <w:rPr>
          <w:rFonts w:hint="eastAsia" w:ascii="仿宋" w:hAnsi="仿宋" w:eastAsia="仿宋" w:cs="仿宋"/>
          <w:b w:val="0"/>
          <w:bCs w:val="0"/>
          <w:color w:val="auto"/>
          <w:sz w:val="24"/>
          <w:highlight w:val="none"/>
          <w:lang w:val="en-US" w:eastAsia="zh-CN"/>
        </w:rPr>
        <w:t>包括不限于</w:t>
      </w:r>
      <w:r>
        <w:rPr>
          <w:rFonts w:hint="eastAsia" w:ascii="仿宋" w:hAnsi="仿宋" w:eastAsia="仿宋" w:cs="仿宋"/>
          <w:b w:val="0"/>
          <w:bCs w:val="0"/>
          <w:color w:val="auto"/>
          <w:sz w:val="24"/>
          <w:highlight w:val="none"/>
          <w:lang w:eastAsia="zh-CN"/>
        </w:rPr>
        <w:t>）</w:t>
      </w:r>
      <w:r>
        <w:rPr>
          <w:rFonts w:hint="eastAsia" w:ascii="仿宋" w:hAnsi="仿宋" w:eastAsia="仿宋" w:cs="仿宋"/>
          <w:b w:val="0"/>
          <w:bCs w:val="0"/>
          <w:color w:val="auto"/>
          <w:sz w:val="24"/>
          <w:highlight w:val="none"/>
        </w:rPr>
        <w:t>：</w:t>
      </w:r>
    </w:p>
    <w:p>
      <w:pPr>
        <w:snapToGrid w:val="0"/>
        <w:spacing w:line="480" w:lineRule="auto"/>
        <w:ind w:firstLine="960" w:firstLineChars="400"/>
        <w:rPr>
          <w:rFonts w:hint="eastAsia"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rPr>
        <w:t>11.1.1符合参加政府采购活动应当具备的一般条件的承诺函；</w:t>
      </w:r>
    </w:p>
    <w:p>
      <w:pPr>
        <w:snapToGrid w:val="0"/>
        <w:spacing w:line="480" w:lineRule="auto"/>
        <w:ind w:firstLine="960" w:firstLineChars="400"/>
        <w:rPr>
          <w:rFonts w:hint="eastAsia"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rPr>
        <w:t>11.1.2</w:t>
      </w:r>
      <w:r>
        <w:rPr>
          <w:rFonts w:hint="eastAsia" w:ascii="仿宋" w:hAnsi="仿宋" w:eastAsia="仿宋" w:cs="仿宋"/>
          <w:b w:val="0"/>
          <w:bCs w:val="0"/>
          <w:snapToGrid w:val="0"/>
          <w:color w:val="auto"/>
          <w:kern w:val="28"/>
          <w:sz w:val="24"/>
          <w:szCs w:val="20"/>
          <w:highlight w:val="none"/>
        </w:rPr>
        <w:t>联合协议（如果有)；</w:t>
      </w:r>
    </w:p>
    <w:p>
      <w:pPr>
        <w:snapToGrid w:val="0"/>
        <w:spacing w:line="480" w:lineRule="auto"/>
        <w:ind w:left="718" w:leftChars="342" w:firstLine="240" w:firstLineChars="100"/>
        <w:rPr>
          <w:rFonts w:hint="eastAsia" w:ascii="仿宋" w:hAnsi="仿宋" w:eastAsia="仿宋" w:cs="仿宋"/>
          <w:b/>
          <w:bCs/>
          <w:color w:val="auto"/>
          <w:sz w:val="24"/>
          <w:highlight w:val="none"/>
        </w:rPr>
      </w:pPr>
      <w:r>
        <w:rPr>
          <w:rFonts w:hint="eastAsia" w:ascii="仿宋" w:hAnsi="仿宋" w:eastAsia="仿宋" w:cs="仿宋"/>
          <w:b w:val="0"/>
          <w:bCs w:val="0"/>
          <w:color w:val="auto"/>
          <w:sz w:val="24"/>
          <w:highlight w:val="none"/>
        </w:rPr>
        <w:t>11.1.3落实政府采购政策需满足的资格要求</w:t>
      </w:r>
      <w:r>
        <w:rPr>
          <w:rFonts w:hint="eastAsia" w:ascii="仿宋" w:hAnsi="仿宋" w:eastAsia="仿宋" w:cs="仿宋"/>
          <w:b w:val="0"/>
          <w:bCs w:val="0"/>
          <w:snapToGrid w:val="0"/>
          <w:color w:val="auto"/>
          <w:kern w:val="28"/>
          <w:sz w:val="24"/>
          <w:szCs w:val="20"/>
          <w:highlight w:val="none"/>
          <w:lang w:eastAsia="zh-CN"/>
        </w:rPr>
        <w:t>：</w:t>
      </w:r>
      <w:r>
        <w:rPr>
          <w:rFonts w:hint="eastAsia" w:ascii="仿宋" w:hAnsi="仿宋" w:eastAsia="仿宋" w:cs="仿宋"/>
          <w:b/>
          <w:bCs/>
          <w:color w:val="auto"/>
          <w:sz w:val="24"/>
          <w:highlight w:val="none"/>
          <w:lang w:eastAsia="zh-CN"/>
        </w:rPr>
        <w:t>本项目为专门面向中小企业采购的项目,投标单位应为中小微企业或监狱企业</w:t>
      </w:r>
      <w:r>
        <w:rPr>
          <w:rFonts w:hint="eastAsia" w:ascii="仿宋" w:hAnsi="仿宋" w:eastAsia="仿宋" w:cs="仿宋"/>
          <w:b/>
          <w:bCs/>
          <w:color w:val="auto"/>
          <w:sz w:val="24"/>
          <w:highlight w:val="none"/>
          <w:lang w:val="en-US" w:eastAsia="zh-CN"/>
        </w:rPr>
        <w:t>或</w:t>
      </w:r>
      <w:r>
        <w:rPr>
          <w:rFonts w:hint="eastAsia" w:ascii="仿宋" w:hAnsi="仿宋" w:eastAsia="仿宋" w:cs="仿宋"/>
          <w:b/>
          <w:bCs/>
          <w:color w:val="auto"/>
          <w:sz w:val="24"/>
          <w:highlight w:val="none"/>
          <w:lang w:eastAsia="zh-CN"/>
        </w:rPr>
        <w:t>残疾人福利性单位</w:t>
      </w:r>
      <w:r>
        <w:rPr>
          <w:rFonts w:hint="eastAsia" w:ascii="仿宋" w:hAnsi="仿宋" w:eastAsia="仿宋" w:cs="仿宋"/>
          <w:b/>
          <w:bCs/>
          <w:color w:val="auto"/>
          <w:sz w:val="24"/>
          <w:highlight w:val="none"/>
        </w:rPr>
        <w:t>；提供相应的中小企业声明函</w:t>
      </w:r>
      <w:r>
        <w:rPr>
          <w:rFonts w:hint="eastAsia" w:ascii="仿宋" w:hAnsi="仿宋" w:eastAsia="仿宋" w:cs="仿宋"/>
          <w:b/>
          <w:bCs/>
          <w:color w:val="auto"/>
          <w:sz w:val="24"/>
          <w:highlight w:val="none"/>
          <w:lang w:eastAsia="zh-CN"/>
        </w:rPr>
        <w:t>，否则作无效标处理</w:t>
      </w:r>
      <w:r>
        <w:rPr>
          <w:rFonts w:hint="eastAsia" w:ascii="仿宋" w:hAnsi="仿宋" w:eastAsia="仿宋" w:cs="仿宋"/>
          <w:b/>
          <w:bCs/>
          <w:color w:val="auto"/>
          <w:sz w:val="24"/>
          <w:highlight w:val="none"/>
        </w:rPr>
        <w:t>；</w:t>
      </w:r>
    </w:p>
    <w:p>
      <w:pPr>
        <w:snapToGrid w:val="0"/>
        <w:spacing w:line="480" w:lineRule="auto"/>
        <w:ind w:firstLine="960" w:firstLineChars="400"/>
        <w:rPr>
          <w:rFonts w:hint="eastAsia"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rPr>
        <w:t>11.1.4本项目的特定资格要求</w:t>
      </w:r>
      <w:r>
        <w:rPr>
          <w:rFonts w:hint="eastAsia" w:ascii="仿宋" w:hAnsi="仿宋" w:eastAsia="仿宋" w:cs="仿宋"/>
          <w:b w:val="0"/>
          <w:bCs w:val="0"/>
          <w:snapToGrid w:val="0"/>
          <w:color w:val="auto"/>
          <w:kern w:val="28"/>
          <w:sz w:val="24"/>
          <w:szCs w:val="20"/>
          <w:highlight w:val="none"/>
        </w:rPr>
        <w:t>（如果有)</w:t>
      </w:r>
      <w:r>
        <w:rPr>
          <w:rFonts w:hint="eastAsia" w:ascii="仿宋" w:hAnsi="仿宋" w:eastAsia="仿宋" w:cs="仿宋"/>
          <w:b w:val="0"/>
          <w:bCs w:val="0"/>
          <w:color w:val="auto"/>
          <w:sz w:val="24"/>
          <w:highlight w:val="none"/>
        </w:rPr>
        <w:t>。</w:t>
      </w:r>
    </w:p>
    <w:p>
      <w:pPr>
        <w:pStyle w:val="4"/>
        <w:spacing w:line="480" w:lineRule="auto"/>
        <w:ind w:left="664" w:leftChars="316" w:firstLine="229" w:firstLineChars="95"/>
        <w:rPr>
          <w:rFonts w:hint="eastAsia" w:ascii="仿宋" w:hAnsi="仿宋" w:eastAsia="仿宋" w:cs="仿宋"/>
          <w:b/>
          <w:bCs/>
          <w:color w:val="auto"/>
          <w:kern w:val="2"/>
          <w:sz w:val="24"/>
          <w:szCs w:val="24"/>
          <w:highlight w:val="none"/>
          <w:lang w:val="en-US" w:eastAsia="zh-CN" w:bidi="ar-SA"/>
        </w:rPr>
      </w:pPr>
      <w:r>
        <w:rPr>
          <w:rFonts w:hint="eastAsia" w:ascii="仿宋" w:hAnsi="仿宋" w:eastAsia="仿宋" w:cs="仿宋"/>
          <w:b/>
          <w:bCs/>
          <w:color w:val="auto"/>
          <w:kern w:val="2"/>
          <w:sz w:val="24"/>
          <w:szCs w:val="24"/>
          <w:highlight w:val="none"/>
          <w:lang w:val="en-US" w:eastAsia="zh-CN" w:bidi="ar-SA"/>
        </w:rPr>
        <w:t>注：上述内容部分格式及内容详见“第六部分  应提交的有关格式范例”，</w:t>
      </w:r>
      <w:r>
        <w:rPr>
          <w:rFonts w:hint="eastAsia" w:ascii="仿宋" w:hAnsi="仿宋" w:eastAsia="仿宋" w:cs="仿宋"/>
          <w:b/>
          <w:bCs/>
          <w:color w:val="auto"/>
          <w:sz w:val="24"/>
          <w:highlight w:val="none"/>
        </w:rPr>
        <w:t>资格条件审查材料</w:t>
      </w:r>
      <w:r>
        <w:rPr>
          <w:rFonts w:hint="eastAsia" w:ascii="仿宋" w:hAnsi="仿宋" w:eastAsia="仿宋" w:cs="仿宋"/>
          <w:b/>
          <w:bCs/>
          <w:color w:val="auto"/>
          <w:sz w:val="24"/>
          <w:highlight w:val="none"/>
          <w:lang w:val="en-US" w:eastAsia="zh-CN"/>
        </w:rPr>
        <w:t>未响应提供</w:t>
      </w:r>
      <w:r>
        <w:rPr>
          <w:rFonts w:hint="eastAsia" w:ascii="仿宋" w:hAnsi="仿宋" w:eastAsia="仿宋" w:cs="仿宋"/>
          <w:b/>
          <w:bCs/>
          <w:color w:val="auto"/>
          <w:sz w:val="24"/>
          <w:highlight w:val="none"/>
        </w:rPr>
        <w:t>的，视为资格审查不通过</w:t>
      </w:r>
      <w:r>
        <w:rPr>
          <w:rFonts w:hint="eastAsia" w:ascii="仿宋" w:hAnsi="仿宋" w:eastAsia="仿宋" w:cs="仿宋"/>
          <w:b/>
          <w:bCs/>
          <w:color w:val="auto"/>
          <w:kern w:val="2"/>
          <w:sz w:val="24"/>
          <w:szCs w:val="24"/>
          <w:highlight w:val="none"/>
          <w:lang w:val="en-US" w:eastAsia="zh-CN" w:bidi="ar-SA"/>
        </w:rPr>
        <w:t>。</w:t>
      </w:r>
    </w:p>
    <w:p>
      <w:pPr>
        <w:snapToGrid w:val="0"/>
        <w:spacing w:line="480" w:lineRule="auto"/>
        <w:ind w:firstLine="480" w:firstLineChars="200"/>
        <w:rPr>
          <w:rFonts w:hint="eastAsia" w:ascii="仿宋" w:hAnsi="仿宋" w:eastAsia="仿宋" w:cs="仿宋"/>
          <w:b w:val="0"/>
          <w:bCs w:val="0"/>
          <w:color w:val="auto"/>
          <w:sz w:val="24"/>
          <w:highlight w:val="none"/>
          <w:lang w:val="zh-CN"/>
        </w:rPr>
      </w:pPr>
      <w:r>
        <w:rPr>
          <w:rFonts w:hint="eastAsia" w:ascii="仿宋" w:hAnsi="仿宋" w:eastAsia="仿宋" w:cs="仿宋"/>
          <w:b w:val="0"/>
          <w:bCs w:val="0"/>
          <w:color w:val="auto"/>
          <w:sz w:val="24"/>
          <w:highlight w:val="none"/>
          <w:lang w:val="zh-CN"/>
        </w:rPr>
        <w:t>11.</w:t>
      </w:r>
      <w:r>
        <w:rPr>
          <w:rFonts w:hint="eastAsia" w:ascii="仿宋" w:hAnsi="仿宋" w:eastAsia="仿宋" w:cs="仿宋"/>
          <w:b w:val="0"/>
          <w:bCs w:val="0"/>
          <w:color w:val="auto"/>
          <w:sz w:val="24"/>
          <w:highlight w:val="none"/>
        </w:rPr>
        <w:t>2</w:t>
      </w:r>
      <w:r>
        <w:rPr>
          <w:rFonts w:hint="eastAsia" w:ascii="仿宋" w:hAnsi="仿宋" w:eastAsia="仿宋" w:cs="仿宋"/>
          <w:b w:val="0"/>
          <w:bCs w:val="0"/>
          <w:color w:val="auto"/>
          <w:sz w:val="24"/>
          <w:highlight w:val="none"/>
          <w:lang w:val="zh-CN"/>
        </w:rPr>
        <w:t xml:space="preserve">  </w:t>
      </w:r>
      <w:r>
        <w:rPr>
          <w:rFonts w:hint="eastAsia" w:ascii="仿宋" w:hAnsi="仿宋" w:eastAsia="仿宋" w:cs="仿宋"/>
          <w:b w:val="0"/>
          <w:bCs w:val="0"/>
          <w:color w:val="auto"/>
          <w:sz w:val="24"/>
          <w:highlight w:val="none"/>
        </w:rPr>
        <w:t>商务技术</w:t>
      </w:r>
      <w:r>
        <w:rPr>
          <w:rFonts w:hint="eastAsia" w:ascii="仿宋" w:hAnsi="仿宋" w:eastAsia="仿宋" w:cs="仿宋"/>
          <w:b w:val="0"/>
          <w:bCs w:val="0"/>
          <w:color w:val="auto"/>
          <w:sz w:val="24"/>
          <w:highlight w:val="none"/>
          <w:lang w:val="zh-CN"/>
        </w:rPr>
        <w:t>文件</w:t>
      </w:r>
      <w:r>
        <w:rPr>
          <w:rFonts w:hint="eastAsia" w:ascii="仿宋" w:hAnsi="仿宋" w:eastAsia="仿宋" w:cs="仿宋"/>
          <w:b w:val="0"/>
          <w:bCs w:val="0"/>
          <w:color w:val="auto"/>
          <w:sz w:val="24"/>
          <w:highlight w:val="none"/>
          <w:lang w:eastAsia="zh-CN"/>
        </w:rPr>
        <w:t>（</w:t>
      </w:r>
      <w:r>
        <w:rPr>
          <w:rFonts w:hint="eastAsia" w:ascii="仿宋" w:hAnsi="仿宋" w:eastAsia="仿宋" w:cs="仿宋"/>
          <w:b w:val="0"/>
          <w:bCs w:val="0"/>
          <w:color w:val="auto"/>
          <w:sz w:val="24"/>
          <w:highlight w:val="none"/>
          <w:lang w:val="en-US" w:eastAsia="zh-CN"/>
        </w:rPr>
        <w:t>包括不限于</w:t>
      </w:r>
      <w:r>
        <w:rPr>
          <w:rFonts w:hint="eastAsia" w:ascii="仿宋" w:hAnsi="仿宋" w:eastAsia="仿宋" w:cs="仿宋"/>
          <w:b w:val="0"/>
          <w:bCs w:val="0"/>
          <w:color w:val="auto"/>
          <w:sz w:val="24"/>
          <w:highlight w:val="none"/>
          <w:lang w:eastAsia="zh-CN"/>
        </w:rPr>
        <w:t>）</w:t>
      </w:r>
      <w:r>
        <w:rPr>
          <w:rFonts w:hint="eastAsia" w:ascii="仿宋" w:hAnsi="仿宋" w:eastAsia="仿宋" w:cs="仿宋"/>
          <w:b w:val="0"/>
          <w:bCs w:val="0"/>
          <w:color w:val="auto"/>
          <w:sz w:val="24"/>
          <w:highlight w:val="none"/>
          <w:lang w:val="zh-CN"/>
        </w:rPr>
        <w:t>：</w:t>
      </w:r>
    </w:p>
    <w:p>
      <w:pPr>
        <w:snapToGrid w:val="0"/>
        <w:spacing w:line="480" w:lineRule="auto"/>
        <w:ind w:firstLine="960" w:firstLineChars="400"/>
        <w:rPr>
          <w:rFonts w:hint="eastAsia"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rPr>
        <w:t>11.2.1投标函；</w:t>
      </w:r>
      <w:r>
        <w:rPr>
          <w:rFonts w:hint="eastAsia" w:ascii="仿宋" w:hAnsi="仿宋" w:eastAsia="仿宋" w:cs="仿宋"/>
          <w:b w:val="0"/>
          <w:bCs w:val="0"/>
          <w:color w:val="auto"/>
          <w:sz w:val="24"/>
          <w:highlight w:val="none"/>
          <w:lang w:val="zh-CN"/>
        </w:rPr>
        <w:t xml:space="preserve"> </w:t>
      </w:r>
    </w:p>
    <w:p>
      <w:pPr>
        <w:snapToGrid w:val="0"/>
        <w:spacing w:line="480" w:lineRule="auto"/>
        <w:ind w:firstLine="960" w:firstLineChars="400"/>
        <w:rPr>
          <w:rFonts w:hint="eastAsia"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rPr>
        <w:t>11.2.2授权委托书或法定代表人（单位负责人、自然人本人）身份证明；</w:t>
      </w:r>
    </w:p>
    <w:p>
      <w:pPr>
        <w:snapToGrid w:val="0"/>
        <w:spacing w:line="480" w:lineRule="auto"/>
        <w:ind w:firstLine="960" w:firstLineChars="400"/>
        <w:rPr>
          <w:rFonts w:hint="eastAsia"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rPr>
        <w:t>11.2.3分包意向协议</w:t>
      </w:r>
      <w:r>
        <w:rPr>
          <w:rFonts w:hint="eastAsia" w:ascii="仿宋" w:hAnsi="仿宋" w:eastAsia="仿宋" w:cs="仿宋"/>
          <w:b w:val="0"/>
          <w:bCs w:val="0"/>
          <w:snapToGrid w:val="0"/>
          <w:color w:val="auto"/>
          <w:kern w:val="28"/>
          <w:sz w:val="24"/>
          <w:szCs w:val="20"/>
          <w:highlight w:val="none"/>
        </w:rPr>
        <w:t>（如果有)</w:t>
      </w:r>
      <w:r>
        <w:rPr>
          <w:rFonts w:hint="eastAsia" w:ascii="仿宋" w:hAnsi="仿宋" w:eastAsia="仿宋" w:cs="仿宋"/>
          <w:b w:val="0"/>
          <w:bCs w:val="0"/>
          <w:color w:val="auto"/>
          <w:sz w:val="24"/>
          <w:highlight w:val="none"/>
        </w:rPr>
        <w:t>；</w:t>
      </w:r>
    </w:p>
    <w:p>
      <w:pPr>
        <w:snapToGrid w:val="0"/>
        <w:spacing w:line="480" w:lineRule="auto"/>
        <w:ind w:firstLine="960" w:firstLineChars="400"/>
        <w:rPr>
          <w:rFonts w:hint="eastAsia"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rPr>
        <w:t>11.2.4符合性审查资料；</w:t>
      </w:r>
    </w:p>
    <w:p>
      <w:pPr>
        <w:snapToGrid w:val="0"/>
        <w:spacing w:line="480" w:lineRule="auto"/>
        <w:ind w:left="420" w:leftChars="200" w:firstLine="480" w:firstLineChars="200"/>
        <w:rPr>
          <w:rFonts w:hint="eastAsia"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rPr>
        <w:t>11.2.5评标标准相应的商务技术资料；</w:t>
      </w:r>
    </w:p>
    <w:p>
      <w:pPr>
        <w:snapToGrid w:val="0"/>
        <w:spacing w:line="480" w:lineRule="auto"/>
        <w:ind w:left="420" w:leftChars="200" w:firstLine="480" w:firstLineChars="200"/>
        <w:rPr>
          <w:rFonts w:hint="eastAsia"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rPr>
        <w:t>11.2.6投标标的清单；</w:t>
      </w:r>
    </w:p>
    <w:p>
      <w:pPr>
        <w:snapToGrid w:val="0"/>
        <w:spacing w:line="480" w:lineRule="auto"/>
        <w:ind w:firstLine="960" w:firstLineChars="400"/>
        <w:rPr>
          <w:rFonts w:hint="eastAsia"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rPr>
        <w:t>11.2.7商务技术偏离表；</w:t>
      </w:r>
    </w:p>
    <w:p>
      <w:pPr>
        <w:snapToGrid w:val="0"/>
        <w:spacing w:line="480" w:lineRule="auto"/>
        <w:ind w:firstLine="960" w:firstLineChars="400"/>
        <w:rPr>
          <w:rFonts w:hint="eastAsia" w:ascii="仿宋" w:hAnsi="仿宋" w:eastAsia="仿宋" w:cs="仿宋"/>
          <w:b w:val="0"/>
          <w:bCs w:val="0"/>
          <w:color w:val="auto"/>
          <w:sz w:val="24"/>
          <w:highlight w:val="none"/>
          <w:lang w:val="zh-CN"/>
        </w:rPr>
      </w:pPr>
      <w:r>
        <w:rPr>
          <w:rFonts w:hint="eastAsia" w:ascii="仿宋" w:hAnsi="仿宋" w:eastAsia="仿宋" w:cs="仿宋"/>
          <w:b w:val="0"/>
          <w:bCs w:val="0"/>
          <w:color w:val="auto"/>
          <w:sz w:val="24"/>
          <w:highlight w:val="none"/>
          <w:lang w:val="zh-CN"/>
        </w:rPr>
        <w:t>11.</w:t>
      </w:r>
      <w:r>
        <w:rPr>
          <w:rFonts w:hint="eastAsia" w:ascii="仿宋" w:hAnsi="仿宋" w:eastAsia="仿宋" w:cs="仿宋"/>
          <w:b w:val="0"/>
          <w:bCs w:val="0"/>
          <w:color w:val="auto"/>
          <w:sz w:val="24"/>
          <w:highlight w:val="none"/>
        </w:rPr>
        <w:t>2</w:t>
      </w:r>
      <w:r>
        <w:rPr>
          <w:rFonts w:hint="eastAsia" w:ascii="仿宋" w:hAnsi="仿宋" w:eastAsia="仿宋" w:cs="仿宋"/>
          <w:b w:val="0"/>
          <w:bCs w:val="0"/>
          <w:color w:val="auto"/>
          <w:sz w:val="24"/>
          <w:highlight w:val="none"/>
          <w:lang w:val="zh-CN"/>
        </w:rPr>
        <w:t>.</w:t>
      </w:r>
      <w:r>
        <w:rPr>
          <w:rFonts w:hint="eastAsia" w:ascii="仿宋" w:hAnsi="仿宋" w:eastAsia="仿宋" w:cs="仿宋"/>
          <w:b w:val="0"/>
          <w:bCs w:val="0"/>
          <w:color w:val="auto"/>
          <w:sz w:val="24"/>
          <w:highlight w:val="none"/>
        </w:rPr>
        <w:t>8</w:t>
      </w:r>
      <w:r>
        <w:rPr>
          <w:rFonts w:hint="eastAsia" w:ascii="仿宋" w:hAnsi="仿宋" w:eastAsia="仿宋" w:cs="仿宋"/>
          <w:b w:val="0"/>
          <w:bCs w:val="0"/>
          <w:color w:val="auto"/>
          <w:sz w:val="24"/>
          <w:highlight w:val="none"/>
          <w:lang w:val="zh-CN"/>
        </w:rPr>
        <w:t>政府采购供应商廉洁自律承诺书；</w:t>
      </w:r>
    </w:p>
    <w:p>
      <w:pPr>
        <w:pStyle w:val="79"/>
        <w:spacing w:line="480" w:lineRule="auto"/>
        <w:ind w:firstLine="960" w:firstLineChars="400"/>
        <w:rPr>
          <w:rFonts w:hint="default" w:eastAsia="仿宋"/>
          <w:color w:val="auto"/>
          <w:highlight w:val="none"/>
          <w:lang w:val="en-US" w:eastAsia="zh-CN"/>
        </w:rPr>
      </w:pPr>
      <w:r>
        <w:rPr>
          <w:rFonts w:hint="eastAsia" w:ascii="仿宋" w:hAnsi="仿宋" w:eastAsia="仿宋" w:cs="仿宋"/>
          <w:b w:val="0"/>
          <w:bCs w:val="0"/>
          <w:color w:val="auto"/>
          <w:sz w:val="24"/>
          <w:highlight w:val="none"/>
          <w:lang w:val="en-US" w:eastAsia="zh-CN"/>
        </w:rPr>
        <w:t>11.2.9</w:t>
      </w:r>
      <w:r>
        <w:rPr>
          <w:rFonts w:hint="eastAsia" w:ascii="仿宋" w:hAnsi="仿宋" w:eastAsia="仿宋" w:cs="仿宋"/>
          <w:b w:val="0"/>
          <w:bCs w:val="0"/>
          <w:color w:val="auto"/>
          <w:kern w:val="2"/>
          <w:sz w:val="24"/>
          <w:szCs w:val="24"/>
          <w:highlight w:val="none"/>
          <w:lang w:val="en-US" w:eastAsia="zh-CN" w:bidi="ar-SA"/>
        </w:rPr>
        <w:t>政府采购活动现场确认声明书；</w:t>
      </w:r>
    </w:p>
    <w:p>
      <w:pPr>
        <w:pStyle w:val="4"/>
        <w:spacing w:line="480" w:lineRule="auto"/>
        <w:ind w:left="664" w:leftChars="316" w:firstLine="229" w:firstLineChars="95"/>
        <w:rPr>
          <w:rFonts w:hint="eastAsia"/>
          <w:b/>
          <w:bCs/>
          <w:color w:val="auto"/>
          <w:highlight w:val="none"/>
          <w:lang w:val="zh-CN"/>
        </w:rPr>
      </w:pPr>
      <w:r>
        <w:rPr>
          <w:rFonts w:hint="eastAsia" w:ascii="仿宋" w:hAnsi="仿宋" w:eastAsia="仿宋" w:cs="仿宋"/>
          <w:b/>
          <w:bCs/>
          <w:color w:val="auto"/>
          <w:kern w:val="2"/>
          <w:sz w:val="24"/>
          <w:szCs w:val="24"/>
          <w:highlight w:val="none"/>
          <w:lang w:val="en-US" w:eastAsia="zh-CN" w:bidi="ar-SA"/>
        </w:rPr>
        <w:t>注：上述内容部分格式及内容详见“第六部分  应提交的有关格式范例”。</w:t>
      </w:r>
    </w:p>
    <w:p>
      <w:pPr>
        <w:snapToGrid w:val="0"/>
        <w:spacing w:line="480" w:lineRule="auto"/>
        <w:ind w:firstLine="480" w:firstLineChars="200"/>
        <w:rPr>
          <w:rFonts w:hint="eastAsia" w:ascii="仿宋" w:hAnsi="仿宋" w:eastAsia="仿宋" w:cs="仿宋"/>
          <w:b w:val="0"/>
          <w:bCs w:val="0"/>
          <w:color w:val="auto"/>
          <w:sz w:val="24"/>
          <w:highlight w:val="none"/>
          <w:u w:val="single"/>
          <w:lang w:val="zh-CN"/>
        </w:rPr>
      </w:pPr>
      <w:r>
        <w:rPr>
          <w:rFonts w:hint="eastAsia" w:ascii="仿宋" w:hAnsi="仿宋" w:eastAsia="仿宋" w:cs="仿宋"/>
          <w:b w:val="0"/>
          <w:bCs w:val="0"/>
          <w:color w:val="auto"/>
          <w:kern w:val="0"/>
          <w:sz w:val="24"/>
          <w:highlight w:val="none"/>
          <w:lang w:val="zh-CN"/>
        </w:rPr>
        <w:t>11.</w:t>
      </w:r>
      <w:r>
        <w:rPr>
          <w:rFonts w:hint="eastAsia" w:ascii="仿宋" w:hAnsi="仿宋" w:eastAsia="仿宋" w:cs="仿宋"/>
          <w:b w:val="0"/>
          <w:bCs w:val="0"/>
          <w:color w:val="auto"/>
          <w:kern w:val="0"/>
          <w:sz w:val="24"/>
          <w:highlight w:val="none"/>
        </w:rPr>
        <w:t>3</w:t>
      </w:r>
      <w:r>
        <w:rPr>
          <w:rFonts w:hint="eastAsia" w:ascii="仿宋" w:hAnsi="仿宋" w:eastAsia="仿宋" w:cs="仿宋"/>
          <w:b w:val="0"/>
          <w:bCs w:val="0"/>
          <w:color w:val="auto"/>
          <w:sz w:val="24"/>
          <w:highlight w:val="none"/>
        </w:rPr>
        <w:t>报价文件</w:t>
      </w:r>
      <w:r>
        <w:rPr>
          <w:rFonts w:hint="eastAsia" w:ascii="仿宋" w:hAnsi="仿宋" w:eastAsia="仿宋" w:cs="仿宋"/>
          <w:b w:val="0"/>
          <w:bCs w:val="0"/>
          <w:color w:val="auto"/>
          <w:sz w:val="24"/>
          <w:highlight w:val="none"/>
          <w:lang w:eastAsia="zh-CN"/>
        </w:rPr>
        <w:t>（</w:t>
      </w:r>
      <w:r>
        <w:rPr>
          <w:rFonts w:hint="eastAsia" w:ascii="仿宋" w:hAnsi="仿宋" w:eastAsia="仿宋" w:cs="仿宋"/>
          <w:b w:val="0"/>
          <w:bCs w:val="0"/>
          <w:color w:val="auto"/>
          <w:sz w:val="24"/>
          <w:highlight w:val="none"/>
          <w:lang w:val="en-US" w:eastAsia="zh-CN"/>
        </w:rPr>
        <w:t>包括不限于</w:t>
      </w:r>
      <w:r>
        <w:rPr>
          <w:rFonts w:hint="eastAsia" w:ascii="仿宋" w:hAnsi="仿宋" w:eastAsia="仿宋" w:cs="仿宋"/>
          <w:b w:val="0"/>
          <w:bCs w:val="0"/>
          <w:color w:val="auto"/>
          <w:sz w:val="24"/>
          <w:highlight w:val="none"/>
          <w:lang w:eastAsia="zh-CN"/>
        </w:rPr>
        <w:t>）</w:t>
      </w:r>
      <w:r>
        <w:rPr>
          <w:rFonts w:hint="eastAsia" w:ascii="仿宋" w:hAnsi="仿宋" w:eastAsia="仿宋" w:cs="仿宋"/>
          <w:b w:val="0"/>
          <w:bCs w:val="0"/>
          <w:color w:val="auto"/>
          <w:sz w:val="24"/>
          <w:highlight w:val="none"/>
        </w:rPr>
        <w:t xml:space="preserve">： </w:t>
      </w:r>
    </w:p>
    <w:p>
      <w:pPr>
        <w:snapToGrid w:val="0"/>
        <w:spacing w:line="480" w:lineRule="auto"/>
        <w:ind w:firstLine="960" w:firstLineChars="400"/>
        <w:rPr>
          <w:rFonts w:hint="eastAsia"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rPr>
        <w:t>11.3.1开标一览表（报价表）；</w:t>
      </w:r>
    </w:p>
    <w:p>
      <w:pPr>
        <w:snapToGrid w:val="0"/>
        <w:spacing w:line="480" w:lineRule="auto"/>
        <w:ind w:firstLine="960" w:firstLineChars="400"/>
        <w:rPr>
          <w:rFonts w:hint="eastAsia"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rPr>
        <w:t>11.3.2中小企业声明函。</w:t>
      </w:r>
    </w:p>
    <w:p>
      <w:pPr>
        <w:spacing w:line="480" w:lineRule="auto"/>
        <w:ind w:firstLine="964" w:firstLineChars="400"/>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lang w:val="en-US" w:eastAsia="zh-CN"/>
        </w:rPr>
        <w:t>注：</w:t>
      </w:r>
      <w:r>
        <w:rPr>
          <w:rFonts w:hint="eastAsia" w:ascii="仿宋" w:hAnsi="仿宋" w:eastAsia="仿宋" w:cs="仿宋"/>
          <w:b/>
          <w:bCs/>
          <w:color w:val="auto"/>
          <w:sz w:val="24"/>
          <w:highlight w:val="none"/>
        </w:rPr>
        <w:t>投标文件含有采购人不能接受的附加条件的，投标无效；</w:t>
      </w:r>
    </w:p>
    <w:p>
      <w:pPr>
        <w:spacing w:line="480" w:lineRule="auto"/>
        <w:ind w:firstLine="1446" w:firstLineChars="600"/>
        <w:rPr>
          <w:rFonts w:hint="eastAsia" w:ascii="仿宋" w:hAnsi="仿宋" w:eastAsia="仿宋" w:cs="仿宋"/>
          <w:b/>
          <w:bCs/>
          <w:color w:val="auto"/>
          <w:sz w:val="24"/>
          <w:szCs w:val="21"/>
          <w:highlight w:val="none"/>
        </w:rPr>
      </w:pPr>
      <w:r>
        <w:rPr>
          <w:rFonts w:hint="eastAsia" w:ascii="仿宋" w:hAnsi="仿宋" w:eastAsia="仿宋" w:cs="仿宋"/>
          <w:b/>
          <w:bCs/>
          <w:color w:val="auto"/>
          <w:sz w:val="24"/>
          <w:highlight w:val="none"/>
        </w:rPr>
        <w:t>投标人提供虚假材料投标的，投标无效。</w:t>
      </w:r>
    </w:p>
    <w:p>
      <w:pPr>
        <w:pStyle w:val="85"/>
        <w:snapToGrid w:val="0"/>
        <w:spacing w:before="0" w:line="480" w:lineRule="auto"/>
        <w:ind w:firstLine="0" w:firstLineChars="0"/>
        <w:outlineLvl w:val="0"/>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12</w:t>
      </w:r>
      <w:r>
        <w:rPr>
          <w:rFonts w:hint="eastAsia" w:ascii="仿宋" w:hAnsi="仿宋" w:eastAsia="仿宋" w:cs="仿宋"/>
          <w:b/>
          <w:color w:val="auto"/>
          <w:kern w:val="0"/>
          <w:szCs w:val="24"/>
          <w:highlight w:val="none"/>
          <w:lang w:val="zh-CN"/>
        </w:rPr>
        <w:t>、</w:t>
      </w:r>
      <w:r>
        <w:rPr>
          <w:rFonts w:hint="eastAsia" w:ascii="仿宋" w:hAnsi="仿宋" w:eastAsia="仿宋" w:cs="仿宋"/>
          <w:b/>
          <w:color w:val="auto"/>
          <w:szCs w:val="24"/>
          <w:highlight w:val="none"/>
        </w:rPr>
        <w:t>投标文件的编制</w:t>
      </w:r>
    </w:p>
    <w:p>
      <w:pPr>
        <w:spacing w:line="480" w:lineRule="auto"/>
        <w:ind w:firstLine="480" w:firstLineChars="200"/>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lang w:val="zh-CN"/>
        </w:rPr>
        <w:t>12.1投标文件分为资格文件、商务技术文件、报价文件三部分。各投标人在编制投标文件时请按照招标文件第六部分规定的格式进行，混乱的编排导致投标文件被误读或评标委员会查找不到有效文件是投标人的风险。</w:t>
      </w:r>
    </w:p>
    <w:p>
      <w:pPr>
        <w:spacing w:line="480" w:lineRule="auto"/>
        <w:ind w:firstLine="480" w:firstLineChars="2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12.2投标人进行电子投标应安装客户端软件—“政采云电子交易客户端”，并按照招标文件和电子交易平台的要求编制并加密投标文件。投标人未按规定加密的投标文件，电子交易平台将拒收并提示。</w:t>
      </w:r>
    </w:p>
    <w:p>
      <w:pPr>
        <w:spacing w:line="480" w:lineRule="auto"/>
        <w:ind w:firstLine="480" w:firstLineChars="2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12.3使用“政采云电子交易客户端”需要提前申领CA数字证书，申领流程请自行前往“浙江政府采购网-下载专区-电子交易客户端-CA驱动和申领流程”进行查阅。</w:t>
      </w:r>
    </w:p>
    <w:p>
      <w:pPr>
        <w:snapToGrid w:val="0"/>
        <w:spacing w:line="48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13</w:t>
      </w:r>
      <w:r>
        <w:rPr>
          <w:rFonts w:hint="eastAsia" w:ascii="仿宋" w:hAnsi="仿宋" w:eastAsia="仿宋" w:cs="仿宋"/>
          <w:b/>
          <w:color w:val="auto"/>
          <w:sz w:val="24"/>
          <w:highlight w:val="none"/>
          <w:lang w:eastAsia="zh-CN"/>
        </w:rPr>
        <w:t>、</w:t>
      </w:r>
      <w:r>
        <w:rPr>
          <w:rFonts w:hint="eastAsia" w:ascii="仿宋" w:hAnsi="仿宋" w:eastAsia="仿宋" w:cs="仿宋"/>
          <w:b/>
          <w:color w:val="auto"/>
          <w:sz w:val="24"/>
          <w:highlight w:val="none"/>
        </w:rPr>
        <w:t>投标文件的签署、盖章</w:t>
      </w:r>
    </w:p>
    <w:p>
      <w:pPr>
        <w:pStyle w:val="85"/>
        <w:snapToGrid w:val="0"/>
        <w:spacing w:before="0" w:line="480" w:lineRule="auto"/>
        <w:ind w:firstLine="480"/>
        <w:rPr>
          <w:rFonts w:hint="eastAsia" w:ascii="仿宋" w:hAnsi="仿宋" w:eastAsia="仿宋" w:cs="仿宋"/>
          <w:b/>
          <w:color w:val="auto"/>
          <w:highlight w:val="none"/>
        </w:rPr>
      </w:pPr>
      <w:r>
        <w:rPr>
          <w:rFonts w:hint="eastAsia" w:ascii="仿宋" w:hAnsi="仿宋" w:eastAsia="仿宋" w:cs="仿宋"/>
          <w:color w:val="auto"/>
          <w:szCs w:val="24"/>
          <w:highlight w:val="none"/>
        </w:rPr>
        <w:t>13.1投标文件按照招标文件第六部分格式要</w:t>
      </w:r>
      <w:r>
        <w:rPr>
          <w:rFonts w:hint="eastAsia" w:ascii="仿宋" w:hAnsi="仿宋" w:eastAsia="仿宋" w:cs="仿宋"/>
          <w:color w:val="auto"/>
          <w:highlight w:val="none"/>
        </w:rPr>
        <w:t>求进行签署、盖章。</w:t>
      </w:r>
      <w:r>
        <w:rPr>
          <w:rFonts w:hint="eastAsia" w:ascii="仿宋" w:hAnsi="仿宋" w:eastAsia="仿宋" w:cs="仿宋"/>
          <w:b/>
          <w:color w:val="auto"/>
          <w:highlight w:val="none"/>
        </w:rPr>
        <w:t>▲投标人的投标文件未按照招标文件要求签署、盖章的，其投标无效</w:t>
      </w:r>
      <w:r>
        <w:rPr>
          <w:rFonts w:hint="eastAsia" w:ascii="仿宋" w:hAnsi="仿宋" w:eastAsia="仿宋" w:cs="仿宋"/>
          <w:color w:val="auto"/>
          <w:szCs w:val="24"/>
          <w:highlight w:val="none"/>
        </w:rPr>
        <w:t>。</w:t>
      </w:r>
    </w:p>
    <w:p>
      <w:pPr>
        <w:pStyle w:val="85"/>
        <w:snapToGrid w:val="0"/>
        <w:spacing w:before="0" w:line="480" w:lineRule="auto"/>
        <w:ind w:firstLine="480"/>
        <w:rPr>
          <w:rFonts w:hint="eastAsia" w:ascii="仿宋" w:hAnsi="仿宋" w:eastAsia="仿宋" w:cs="仿宋"/>
          <w:color w:val="auto"/>
          <w:highlight w:val="none"/>
        </w:rPr>
      </w:pPr>
      <w:r>
        <w:rPr>
          <w:rFonts w:hint="eastAsia" w:ascii="仿宋" w:hAnsi="仿宋" w:eastAsia="仿宋" w:cs="仿宋"/>
          <w:color w:val="auto"/>
          <w:highlight w:val="none"/>
        </w:rPr>
        <w:t>13.2为确保网上操作合法、有效和安全，投标人应当在投标截止时间前完成在“政府采购云平台”的身份认证，确保在电子投标过程中能够对相关数据电文进行加密和使用电子签名。</w:t>
      </w:r>
    </w:p>
    <w:p>
      <w:pPr>
        <w:pStyle w:val="85"/>
        <w:snapToGrid w:val="0"/>
        <w:spacing w:before="0" w:line="480" w:lineRule="auto"/>
        <w:ind w:firstLine="480"/>
        <w:rPr>
          <w:rFonts w:hint="eastAsia" w:ascii="仿宋" w:hAnsi="仿宋" w:eastAsia="仿宋" w:cs="仿宋"/>
          <w:color w:val="auto"/>
          <w:szCs w:val="24"/>
          <w:highlight w:val="none"/>
        </w:rPr>
      </w:pPr>
      <w:r>
        <w:rPr>
          <w:rFonts w:hint="eastAsia" w:ascii="仿宋" w:hAnsi="仿宋" w:eastAsia="仿宋" w:cs="仿宋"/>
          <w:color w:val="auto"/>
          <w:highlight w:val="none"/>
        </w:rPr>
        <w:t>13.3招标文件对投标文件签署、盖章的要求适用于电子签名。</w:t>
      </w:r>
    </w:p>
    <w:p>
      <w:pPr>
        <w:pStyle w:val="85"/>
        <w:spacing w:before="0" w:line="480" w:lineRule="auto"/>
        <w:ind w:firstLine="0" w:firstLineChars="0"/>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14</w:t>
      </w:r>
      <w:r>
        <w:rPr>
          <w:rFonts w:hint="eastAsia" w:ascii="仿宋" w:hAnsi="仿宋" w:eastAsia="仿宋" w:cs="仿宋"/>
          <w:b/>
          <w:color w:val="auto"/>
          <w:szCs w:val="24"/>
          <w:highlight w:val="none"/>
          <w:lang w:eastAsia="zh-CN"/>
        </w:rPr>
        <w:t>、</w:t>
      </w:r>
      <w:r>
        <w:rPr>
          <w:rFonts w:hint="eastAsia" w:ascii="仿宋" w:hAnsi="仿宋" w:eastAsia="仿宋" w:cs="仿宋"/>
          <w:b/>
          <w:color w:val="auto"/>
          <w:szCs w:val="24"/>
          <w:highlight w:val="none"/>
        </w:rPr>
        <w:t>投标文件的提交、补充、修改、撤回</w:t>
      </w:r>
    </w:p>
    <w:p>
      <w:pPr>
        <w:pStyle w:val="85"/>
        <w:spacing w:line="480" w:lineRule="auto"/>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14.1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pPr>
        <w:pStyle w:val="85"/>
        <w:spacing w:before="0" w:line="480" w:lineRule="auto"/>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14.2电子交易平台收到投标文件，将妥善保存并即时向供应商发出确认回执通知。在投标截止时间前，除供应商补充、修改或者撤回投标文件外，任何单位和个人不得解密或提取投标文件。</w:t>
      </w:r>
    </w:p>
    <w:p>
      <w:pPr>
        <w:pStyle w:val="85"/>
        <w:spacing w:before="0" w:line="480" w:lineRule="auto"/>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14.3采购人、</w:t>
      </w:r>
      <w:r>
        <w:rPr>
          <w:rFonts w:hint="eastAsia" w:ascii="仿宋" w:hAnsi="仿宋" w:eastAsia="仿宋" w:cs="仿宋"/>
          <w:color w:val="auto"/>
          <w:szCs w:val="24"/>
          <w:highlight w:val="none"/>
          <w:lang w:eastAsia="zh-CN"/>
        </w:rPr>
        <w:t>采购代理机构</w:t>
      </w:r>
      <w:r>
        <w:rPr>
          <w:rFonts w:hint="eastAsia" w:ascii="仿宋" w:hAnsi="仿宋" w:eastAsia="仿宋" w:cs="仿宋"/>
          <w:color w:val="auto"/>
          <w:szCs w:val="24"/>
          <w:highlight w:val="none"/>
        </w:rPr>
        <w:t>可以视情况延长投标文件提交的截止时间。在上述情况下，</w:t>
      </w:r>
      <w:r>
        <w:rPr>
          <w:rFonts w:hint="eastAsia" w:ascii="仿宋" w:hAnsi="仿宋" w:eastAsia="仿宋" w:cs="仿宋"/>
          <w:color w:val="auto"/>
          <w:szCs w:val="24"/>
          <w:highlight w:val="none"/>
          <w:lang w:eastAsia="zh-CN"/>
        </w:rPr>
        <w:t>采购代理机构</w:t>
      </w:r>
      <w:r>
        <w:rPr>
          <w:rFonts w:hint="eastAsia" w:ascii="仿宋" w:hAnsi="仿宋" w:eastAsia="仿宋" w:cs="仿宋"/>
          <w:color w:val="auto"/>
          <w:szCs w:val="24"/>
          <w:highlight w:val="none"/>
        </w:rPr>
        <w:t>与投标人以前在投标截止期方面的全部权利、责任和义务，将适用于延长至新的投标截止期。</w:t>
      </w:r>
    </w:p>
    <w:p>
      <w:pPr>
        <w:pStyle w:val="33"/>
        <w:spacing w:line="480" w:lineRule="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15</w:t>
      </w:r>
      <w:r>
        <w:rPr>
          <w:rFonts w:hint="eastAsia" w:ascii="仿宋" w:hAnsi="仿宋" w:eastAsia="仿宋" w:cs="仿宋"/>
          <w:b/>
          <w:color w:val="auto"/>
          <w:sz w:val="24"/>
          <w:szCs w:val="24"/>
          <w:highlight w:val="none"/>
          <w:lang w:eastAsia="zh-CN"/>
        </w:rPr>
        <w:t>、</w:t>
      </w:r>
      <w:r>
        <w:rPr>
          <w:rFonts w:hint="eastAsia" w:ascii="仿宋" w:hAnsi="仿宋" w:eastAsia="仿宋" w:cs="仿宋"/>
          <w:b/>
          <w:color w:val="auto"/>
          <w:sz w:val="24"/>
          <w:szCs w:val="24"/>
          <w:highlight w:val="none"/>
        </w:rPr>
        <w:t>备份投标文件</w:t>
      </w:r>
    </w:p>
    <w:p>
      <w:pPr>
        <w:pStyle w:val="33"/>
        <w:spacing w:line="480" w:lineRule="auto"/>
        <w:ind w:firstLine="360" w:firstLineChars="150"/>
        <w:rPr>
          <w:rFonts w:hint="eastAsia" w:ascii="仿宋" w:hAnsi="仿宋" w:eastAsia="仿宋" w:cs="仿宋"/>
          <w:b w:val="0"/>
          <w:bCs w:val="0"/>
          <w:color w:val="auto"/>
          <w:sz w:val="24"/>
          <w:szCs w:val="24"/>
          <w:highlight w:val="none"/>
        </w:rPr>
      </w:pPr>
      <w:r>
        <w:rPr>
          <w:rFonts w:hint="eastAsia" w:ascii="仿宋" w:hAnsi="仿宋" w:eastAsia="仿宋" w:cs="仿宋"/>
          <w:color w:val="auto"/>
          <w:sz w:val="24"/>
          <w:szCs w:val="24"/>
          <w:highlight w:val="none"/>
        </w:rPr>
        <w:t xml:space="preserve"> 15.1投标人在电子交易平台传输递交投标文件后，还可以在投标截止时间前直接提交</w:t>
      </w:r>
      <w:r>
        <w:rPr>
          <w:rFonts w:hint="eastAsia" w:ascii="仿宋" w:hAnsi="仿宋" w:eastAsia="仿宋" w:cs="仿宋"/>
          <w:b w:val="0"/>
          <w:bCs w:val="0"/>
          <w:color w:val="auto"/>
          <w:sz w:val="24"/>
          <w:szCs w:val="24"/>
          <w:highlight w:val="none"/>
        </w:rPr>
        <w:t>或者以邮政快递方式递交备份投标文件1份，但采购人、</w:t>
      </w:r>
      <w:r>
        <w:rPr>
          <w:rFonts w:hint="eastAsia" w:ascii="仿宋" w:hAnsi="仿宋" w:eastAsia="仿宋" w:cs="仿宋"/>
          <w:b w:val="0"/>
          <w:bCs w:val="0"/>
          <w:color w:val="auto"/>
          <w:sz w:val="24"/>
          <w:szCs w:val="24"/>
          <w:highlight w:val="none"/>
          <w:lang w:eastAsia="zh-CN"/>
        </w:rPr>
        <w:t>采购代理机构</w:t>
      </w:r>
      <w:r>
        <w:rPr>
          <w:rFonts w:hint="eastAsia" w:ascii="仿宋" w:hAnsi="仿宋" w:eastAsia="仿宋" w:cs="仿宋"/>
          <w:b w:val="0"/>
          <w:bCs w:val="0"/>
          <w:color w:val="auto"/>
          <w:sz w:val="24"/>
          <w:szCs w:val="24"/>
          <w:highlight w:val="none"/>
        </w:rPr>
        <w:t>不强制或变相强制投标人提交备份投标文件。</w:t>
      </w:r>
    </w:p>
    <w:p>
      <w:pPr>
        <w:pStyle w:val="33"/>
        <w:spacing w:line="480" w:lineRule="auto"/>
        <w:ind w:firstLine="480" w:firstLineChars="200"/>
        <w:rPr>
          <w:rFonts w:hint="eastAsia" w:ascii="仿宋" w:hAnsi="仿宋" w:eastAsia="仿宋" w:cs="仿宋"/>
          <w:b/>
          <w:bCs/>
          <w:color w:val="auto"/>
          <w:sz w:val="24"/>
          <w:szCs w:val="24"/>
          <w:highlight w:val="none"/>
        </w:rPr>
      </w:pPr>
      <w:r>
        <w:rPr>
          <w:rFonts w:hint="eastAsia" w:ascii="仿宋" w:hAnsi="仿宋" w:eastAsia="仿宋" w:cs="仿宋"/>
          <w:b w:val="0"/>
          <w:bCs w:val="0"/>
          <w:color w:val="auto"/>
          <w:sz w:val="24"/>
          <w:szCs w:val="24"/>
          <w:highlight w:val="none"/>
        </w:rPr>
        <w:t>15.2备份投标文件须在“政采云投标客户端”制作生成，并储存在</w:t>
      </w:r>
      <w:r>
        <w:rPr>
          <w:rFonts w:hint="eastAsia" w:ascii="仿宋" w:hAnsi="仿宋" w:eastAsia="仿宋" w:cs="仿宋"/>
          <w:b w:val="0"/>
          <w:bCs w:val="0"/>
          <w:color w:val="auto"/>
          <w:sz w:val="24"/>
          <w:highlight w:val="none"/>
        </w:rPr>
        <w:t>DVD光盘</w:t>
      </w:r>
      <w:r>
        <w:rPr>
          <w:rFonts w:hint="eastAsia" w:ascii="仿宋" w:hAnsi="仿宋" w:eastAsia="仿宋" w:cs="仿宋"/>
          <w:b w:val="0"/>
          <w:bCs w:val="0"/>
          <w:color w:val="auto"/>
          <w:sz w:val="24"/>
          <w:highlight w:val="none"/>
          <w:lang w:val="en-US" w:eastAsia="zh-CN"/>
        </w:rPr>
        <w:t>等存储介质</w:t>
      </w:r>
      <w:r>
        <w:rPr>
          <w:rFonts w:hint="eastAsia" w:ascii="仿宋" w:hAnsi="仿宋" w:eastAsia="仿宋" w:cs="仿宋"/>
          <w:b w:val="0"/>
          <w:bCs w:val="0"/>
          <w:color w:val="auto"/>
          <w:sz w:val="24"/>
          <w:szCs w:val="24"/>
          <w:highlight w:val="none"/>
        </w:rPr>
        <w:t>中。备份投标文件应当密封包装并在包装上加盖公章并注明投标项目名称，投标人名称(联合体投标的，包装物封面需注明联合体投标，并注明联合体成员各方的名称和联合协议中约定的牵头人的名称)。</w:t>
      </w:r>
      <w:r>
        <w:rPr>
          <w:rFonts w:hint="eastAsia" w:ascii="仿宋" w:hAnsi="仿宋" w:eastAsia="仿宋" w:cs="仿宋"/>
          <w:b/>
          <w:bCs/>
          <w:color w:val="auto"/>
          <w:sz w:val="24"/>
          <w:highlight w:val="none"/>
        </w:rPr>
        <w:t>不符合上述制作、</w:t>
      </w:r>
      <w:r>
        <w:rPr>
          <w:rFonts w:hint="eastAsia" w:ascii="仿宋" w:hAnsi="仿宋" w:eastAsia="仿宋" w:cs="仿宋"/>
          <w:b/>
          <w:bCs/>
          <w:color w:val="auto"/>
          <w:sz w:val="24"/>
          <w:szCs w:val="24"/>
          <w:highlight w:val="none"/>
        </w:rPr>
        <w:t>存储、密封规定的备份投标文件将被视为无效或者被拒绝接收。</w:t>
      </w:r>
    </w:p>
    <w:p>
      <w:pPr>
        <w:pStyle w:val="33"/>
        <w:spacing w:line="48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15.3直接提交备份投标文件的，投标人应于投标截止时间前在招标公告中载明的开标地点将备份投标文件提交给</w:t>
      </w:r>
      <w:r>
        <w:rPr>
          <w:rFonts w:hint="eastAsia" w:ascii="仿宋" w:hAnsi="仿宋" w:eastAsia="仿宋" w:cs="仿宋"/>
          <w:color w:val="auto"/>
          <w:sz w:val="24"/>
          <w:szCs w:val="24"/>
          <w:highlight w:val="none"/>
          <w:lang w:eastAsia="zh-CN"/>
        </w:rPr>
        <w:t>采购代理机构</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eastAsia="zh-CN"/>
        </w:rPr>
        <w:t>采购代理机构</w:t>
      </w:r>
      <w:r>
        <w:rPr>
          <w:rFonts w:hint="eastAsia" w:ascii="仿宋" w:hAnsi="仿宋" w:eastAsia="仿宋" w:cs="仿宋"/>
          <w:color w:val="auto"/>
          <w:sz w:val="24"/>
          <w:szCs w:val="24"/>
          <w:highlight w:val="none"/>
        </w:rPr>
        <w:t>将拒绝接受逾期送达的备份投标文件。</w:t>
      </w:r>
    </w:p>
    <w:p>
      <w:pPr>
        <w:pStyle w:val="33"/>
        <w:spacing w:line="48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15.4以邮政快递方式递交备份投标文件的，投标人应先将备份投标文件按要求密封和标记，再进行邮政快递包装后邮寄。备份投标文件须在投标截止时间之前送达招标文件第二部分投标人须知前附表规定的备份投标文件送达地点；送达时间以签收人签收时间为准。</w:t>
      </w:r>
      <w:r>
        <w:rPr>
          <w:rFonts w:hint="eastAsia" w:ascii="仿宋" w:hAnsi="仿宋" w:eastAsia="仿宋" w:cs="仿宋"/>
          <w:color w:val="auto"/>
          <w:sz w:val="24"/>
          <w:szCs w:val="24"/>
          <w:highlight w:val="none"/>
          <w:lang w:eastAsia="zh-CN"/>
        </w:rPr>
        <w:t>采购代理机构</w:t>
      </w:r>
      <w:r>
        <w:rPr>
          <w:rFonts w:hint="eastAsia" w:ascii="仿宋" w:hAnsi="仿宋" w:eastAsia="仿宋" w:cs="仿宋"/>
          <w:color w:val="auto"/>
          <w:sz w:val="24"/>
          <w:szCs w:val="24"/>
          <w:highlight w:val="none"/>
        </w:rPr>
        <w:t>将拒绝接受逾期送达的备份投标文件。邮寄过程中，电子备份投标文件发生泄露、遗失、损坏或延期送达等情况的，由投标人自行负责。</w:t>
      </w:r>
    </w:p>
    <w:p>
      <w:pPr>
        <w:pStyle w:val="33"/>
        <w:spacing w:line="480" w:lineRule="auto"/>
        <w:ind w:firstLine="479" w:firstLineChars="199"/>
        <w:rPr>
          <w:rFonts w:hint="eastAsia" w:ascii="仿宋" w:hAnsi="仿宋" w:eastAsia="仿宋" w:cs="仿宋"/>
          <w:b/>
          <w:bCs w:val="0"/>
          <w:color w:val="auto"/>
          <w:sz w:val="24"/>
          <w:szCs w:val="24"/>
          <w:highlight w:val="none"/>
        </w:rPr>
      </w:pPr>
      <w:r>
        <w:rPr>
          <w:rFonts w:hint="eastAsia" w:ascii="仿宋" w:hAnsi="仿宋" w:eastAsia="仿宋" w:cs="仿宋"/>
          <w:b/>
          <w:bCs w:val="0"/>
          <w:color w:val="auto"/>
          <w:sz w:val="24"/>
          <w:szCs w:val="24"/>
          <w:highlight w:val="none"/>
        </w:rPr>
        <w:t>15.5投标人仅提交备份投标文件，未在电子交易平台传输递交投标文件的，投标无效。</w:t>
      </w:r>
    </w:p>
    <w:p>
      <w:pPr>
        <w:pStyle w:val="85"/>
        <w:spacing w:before="0" w:line="480" w:lineRule="auto"/>
        <w:ind w:firstLine="0" w:firstLineChars="0"/>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16</w:t>
      </w:r>
      <w:r>
        <w:rPr>
          <w:rFonts w:hint="eastAsia" w:ascii="仿宋" w:hAnsi="仿宋" w:eastAsia="仿宋" w:cs="仿宋"/>
          <w:b/>
          <w:color w:val="auto"/>
          <w:szCs w:val="24"/>
          <w:highlight w:val="none"/>
          <w:lang w:eastAsia="zh-CN"/>
        </w:rPr>
        <w:t>、</w:t>
      </w:r>
      <w:r>
        <w:rPr>
          <w:rFonts w:hint="eastAsia" w:ascii="仿宋" w:hAnsi="仿宋" w:eastAsia="仿宋" w:cs="仿宋"/>
          <w:b/>
          <w:color w:val="auto"/>
          <w:szCs w:val="24"/>
          <w:highlight w:val="none"/>
        </w:rPr>
        <w:t>投标文件的无效处理</w:t>
      </w:r>
    </w:p>
    <w:p>
      <w:pPr>
        <w:pStyle w:val="6"/>
        <w:spacing w:line="480" w:lineRule="auto"/>
        <w:ind w:firstLine="360" w:firstLineChars="150"/>
        <w:rPr>
          <w:rFonts w:hint="eastAsia" w:ascii="仿宋" w:hAnsi="仿宋" w:eastAsia="仿宋" w:cs="仿宋"/>
          <w:color w:val="auto"/>
          <w:szCs w:val="21"/>
          <w:highlight w:val="none"/>
        </w:rPr>
      </w:pPr>
      <w:r>
        <w:rPr>
          <w:rFonts w:hint="eastAsia" w:ascii="仿宋" w:hAnsi="仿宋" w:eastAsia="仿宋" w:cs="仿宋"/>
          <w:color w:val="auto"/>
          <w:szCs w:val="21"/>
          <w:highlight w:val="none"/>
        </w:rPr>
        <w:t>有招标文件第四部分4.2规定的情形之一的，投标无效：</w:t>
      </w:r>
    </w:p>
    <w:p>
      <w:pPr>
        <w:pStyle w:val="85"/>
        <w:spacing w:before="0" w:line="480" w:lineRule="auto"/>
        <w:ind w:firstLine="0" w:firstLineChars="0"/>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17</w:t>
      </w:r>
      <w:r>
        <w:rPr>
          <w:rFonts w:hint="eastAsia" w:ascii="仿宋" w:hAnsi="仿宋" w:eastAsia="仿宋" w:cs="仿宋"/>
          <w:b/>
          <w:color w:val="auto"/>
          <w:szCs w:val="24"/>
          <w:highlight w:val="none"/>
          <w:lang w:eastAsia="zh-CN"/>
        </w:rPr>
        <w:t>、</w:t>
      </w:r>
      <w:r>
        <w:rPr>
          <w:rFonts w:hint="eastAsia" w:ascii="仿宋" w:hAnsi="仿宋" w:eastAsia="仿宋" w:cs="仿宋"/>
          <w:b/>
          <w:color w:val="auto"/>
          <w:szCs w:val="24"/>
          <w:highlight w:val="none"/>
        </w:rPr>
        <w:t>投标有效期</w:t>
      </w:r>
    </w:p>
    <w:p>
      <w:pPr>
        <w:spacing w:line="480" w:lineRule="auto"/>
        <w:ind w:firstLine="480" w:firstLineChars="200"/>
        <w:rPr>
          <w:rFonts w:hint="eastAsia" w:ascii="仿宋" w:hAnsi="仿宋" w:eastAsia="仿宋" w:cs="仿宋"/>
          <w:b/>
          <w:color w:val="auto"/>
          <w:sz w:val="24"/>
          <w:szCs w:val="21"/>
          <w:highlight w:val="none"/>
        </w:rPr>
      </w:pPr>
      <w:r>
        <w:rPr>
          <w:rFonts w:hint="eastAsia" w:ascii="仿宋" w:hAnsi="仿宋" w:eastAsia="仿宋" w:cs="仿宋"/>
          <w:color w:val="auto"/>
          <w:sz w:val="24"/>
          <w:szCs w:val="20"/>
          <w:highlight w:val="none"/>
        </w:rPr>
        <w:t>17.1投标有效期为从提交投标文件的截止之日起90天。▲</w:t>
      </w:r>
      <w:r>
        <w:rPr>
          <w:rFonts w:hint="eastAsia" w:ascii="仿宋" w:hAnsi="仿宋" w:eastAsia="仿宋" w:cs="仿宋"/>
          <w:b/>
          <w:color w:val="auto"/>
          <w:sz w:val="24"/>
          <w:szCs w:val="20"/>
          <w:highlight w:val="none"/>
        </w:rPr>
        <w:t>投标人的投标文件中承</w:t>
      </w:r>
      <w:r>
        <w:rPr>
          <w:rFonts w:hint="eastAsia" w:ascii="仿宋" w:hAnsi="仿宋" w:eastAsia="仿宋" w:cs="仿宋"/>
          <w:b/>
          <w:color w:val="auto"/>
          <w:sz w:val="24"/>
          <w:szCs w:val="21"/>
          <w:highlight w:val="none"/>
        </w:rPr>
        <w:t>诺的投标有效期少于招标文件中载明的投标有效期的，投标无效。</w:t>
      </w:r>
    </w:p>
    <w:p>
      <w:pPr>
        <w:pStyle w:val="85"/>
        <w:spacing w:before="0" w:line="480" w:lineRule="auto"/>
        <w:ind w:firstLine="480"/>
        <w:rPr>
          <w:rFonts w:hint="eastAsia" w:ascii="仿宋" w:hAnsi="仿宋" w:eastAsia="仿宋" w:cs="仿宋"/>
          <w:color w:val="auto"/>
          <w:highlight w:val="none"/>
        </w:rPr>
      </w:pPr>
      <w:r>
        <w:rPr>
          <w:rFonts w:hint="eastAsia" w:ascii="仿宋" w:hAnsi="仿宋" w:eastAsia="仿宋" w:cs="仿宋"/>
          <w:color w:val="auto"/>
          <w:highlight w:val="none"/>
        </w:rPr>
        <w:t>17.2投标文件合格投递后，自投标截止日期起，在投标有效期内有效。</w:t>
      </w:r>
    </w:p>
    <w:p>
      <w:pPr>
        <w:pStyle w:val="85"/>
        <w:spacing w:before="0" w:line="480" w:lineRule="auto"/>
        <w:ind w:firstLine="480"/>
        <w:rPr>
          <w:rFonts w:hint="eastAsia" w:ascii="仿宋" w:hAnsi="仿宋" w:eastAsia="仿宋" w:cs="仿宋"/>
          <w:color w:val="auto"/>
          <w:highlight w:val="none"/>
        </w:rPr>
      </w:pPr>
      <w:r>
        <w:rPr>
          <w:rFonts w:hint="eastAsia" w:ascii="仿宋" w:hAnsi="仿宋" w:eastAsia="仿宋" w:cs="仿宋"/>
          <w:color w:val="auto"/>
          <w:highlight w:val="none"/>
        </w:rPr>
        <w:t>17.3在原定投标有效期满之前，如果出现特殊情况，</w:t>
      </w:r>
      <w:r>
        <w:rPr>
          <w:rFonts w:hint="eastAsia" w:ascii="仿宋" w:hAnsi="仿宋" w:eastAsia="仿宋" w:cs="仿宋"/>
          <w:color w:val="auto"/>
          <w:highlight w:val="none"/>
          <w:lang w:eastAsia="zh-CN"/>
        </w:rPr>
        <w:t>采购代理机构</w:t>
      </w:r>
      <w:r>
        <w:rPr>
          <w:rFonts w:hint="eastAsia" w:ascii="仿宋" w:hAnsi="仿宋" w:eastAsia="仿宋" w:cs="仿宋"/>
          <w:color w:val="auto"/>
          <w:highlight w:val="none"/>
        </w:rPr>
        <w:t>可以以书面形式通知投标人延长投标有效期。投标人同意延长的，不得要求或被允许修改其投标文件，投标人拒绝延长的，其投标无效。</w:t>
      </w:r>
    </w:p>
    <w:p>
      <w:pPr>
        <w:pStyle w:val="85"/>
        <w:spacing w:before="0" w:line="480" w:lineRule="auto"/>
        <w:ind w:firstLine="643"/>
        <w:rPr>
          <w:rFonts w:hint="eastAsia" w:ascii="仿宋" w:hAnsi="仿宋" w:eastAsia="仿宋" w:cs="仿宋"/>
          <w:b/>
          <w:color w:val="auto"/>
          <w:sz w:val="32"/>
          <w:highlight w:val="none"/>
        </w:rPr>
      </w:pPr>
    </w:p>
    <w:p>
      <w:pPr>
        <w:pStyle w:val="85"/>
        <w:spacing w:before="0" w:line="480" w:lineRule="auto"/>
        <w:ind w:firstLine="1928" w:firstLineChars="600"/>
        <w:rPr>
          <w:rFonts w:hint="eastAsia" w:ascii="仿宋" w:hAnsi="仿宋" w:eastAsia="仿宋" w:cs="仿宋"/>
          <w:b/>
          <w:color w:val="auto"/>
          <w:sz w:val="32"/>
          <w:highlight w:val="none"/>
        </w:rPr>
      </w:pPr>
      <w:r>
        <w:rPr>
          <w:rFonts w:hint="eastAsia" w:ascii="仿宋" w:hAnsi="仿宋" w:eastAsia="仿宋" w:cs="仿宋"/>
          <w:b/>
          <w:color w:val="auto"/>
          <w:sz w:val="32"/>
          <w:highlight w:val="none"/>
        </w:rPr>
        <w:t>四、开标、资格审查与信用信息查询</w:t>
      </w:r>
    </w:p>
    <w:p>
      <w:pPr>
        <w:pStyle w:val="240"/>
        <w:spacing w:before="0" w:line="480" w:lineRule="auto"/>
        <w:ind w:left="0" w:firstLine="241" w:firstLineChars="100"/>
        <w:contextualSpacing/>
        <w:rPr>
          <w:rFonts w:hint="eastAsia" w:ascii="仿宋" w:hAnsi="仿宋" w:eastAsia="仿宋" w:cs="仿宋"/>
          <w:color w:val="auto"/>
          <w:sz w:val="24"/>
          <w:highlight w:val="none"/>
        </w:rPr>
      </w:pPr>
      <w:r>
        <w:rPr>
          <w:rFonts w:hint="eastAsia" w:ascii="仿宋" w:hAnsi="仿宋" w:eastAsia="仿宋" w:cs="仿宋"/>
          <w:b/>
          <w:color w:val="auto"/>
          <w:sz w:val="24"/>
          <w:szCs w:val="24"/>
          <w:highlight w:val="none"/>
        </w:rPr>
        <w:t>18</w:t>
      </w:r>
      <w:r>
        <w:rPr>
          <w:rFonts w:hint="eastAsia" w:ascii="仿宋" w:hAnsi="仿宋" w:eastAsia="仿宋" w:cs="仿宋"/>
          <w:b/>
          <w:color w:val="auto"/>
          <w:sz w:val="24"/>
          <w:szCs w:val="24"/>
          <w:highlight w:val="none"/>
          <w:lang w:eastAsia="zh-CN"/>
        </w:rPr>
        <w:t>、</w:t>
      </w:r>
      <w:r>
        <w:rPr>
          <w:rFonts w:hint="eastAsia" w:ascii="仿宋" w:hAnsi="仿宋" w:eastAsia="仿宋" w:cs="仿宋"/>
          <w:b/>
          <w:color w:val="auto"/>
          <w:sz w:val="24"/>
          <w:szCs w:val="24"/>
          <w:highlight w:val="none"/>
        </w:rPr>
        <w:t>开标</w:t>
      </w:r>
      <w:r>
        <w:rPr>
          <w:rFonts w:hint="eastAsia" w:ascii="仿宋" w:hAnsi="仿宋" w:eastAsia="仿宋" w:cs="仿宋"/>
          <w:color w:val="auto"/>
          <w:sz w:val="24"/>
          <w:highlight w:val="none"/>
        </w:rPr>
        <w:t xml:space="preserve"> </w:t>
      </w:r>
    </w:p>
    <w:p>
      <w:pPr>
        <w:pStyle w:val="240"/>
        <w:spacing w:before="0" w:line="480" w:lineRule="auto"/>
        <w:ind w:left="0" w:firstLine="480" w:firstLineChars="200"/>
        <w:contextualSpacing/>
        <w:rPr>
          <w:rFonts w:hint="eastAsia" w:ascii="仿宋" w:hAnsi="仿宋" w:eastAsia="仿宋" w:cs="仿宋"/>
          <w:color w:val="auto"/>
          <w:sz w:val="24"/>
          <w:highlight w:val="none"/>
        </w:rPr>
      </w:pPr>
      <w:r>
        <w:rPr>
          <w:rFonts w:hint="eastAsia" w:ascii="仿宋" w:hAnsi="仿宋" w:eastAsia="仿宋" w:cs="仿宋"/>
          <w:color w:val="auto"/>
          <w:sz w:val="24"/>
          <w:highlight w:val="none"/>
        </w:rPr>
        <w:t>18.1</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按照招标文件规定的时间通过电子交易平台组织开标，所有投标人均应当准时在线参加。投标人不足3家的，不得开标。</w:t>
      </w:r>
    </w:p>
    <w:p>
      <w:pPr>
        <w:pStyle w:val="240"/>
        <w:spacing w:before="0" w:line="480" w:lineRule="auto"/>
        <w:ind w:left="0" w:firstLine="240" w:firstLineChars="100"/>
        <w:contextualSpacing/>
        <w:rPr>
          <w:rFonts w:hint="eastAsia" w:ascii="仿宋" w:hAnsi="仿宋" w:eastAsia="仿宋" w:cs="仿宋"/>
          <w:color w:val="auto"/>
          <w:sz w:val="24"/>
          <w:highlight w:val="none"/>
        </w:rPr>
      </w:pPr>
      <w:r>
        <w:rPr>
          <w:rFonts w:hint="eastAsia" w:ascii="仿宋" w:hAnsi="仿宋" w:eastAsia="仿宋" w:cs="仿宋"/>
          <w:color w:val="auto"/>
          <w:sz w:val="24"/>
          <w:highlight w:val="none"/>
        </w:rPr>
        <w:t>　18.2开标时，电子交易平台按开标时间自动提取所有投标文件。</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依托电子交易平台发起开始解密指令，投标人按照平台提示和招标文件的规定在半小时内完成在线解密。</w:t>
      </w:r>
    </w:p>
    <w:p>
      <w:pPr>
        <w:pStyle w:val="240"/>
        <w:spacing w:before="0" w:line="480" w:lineRule="auto"/>
        <w:ind w:left="0" w:firstLine="241" w:firstLineChars="100"/>
        <w:contextualSpacing/>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　18.3投标文件未按时解密，投标人提供了备份投标文件的，以备份投标文件作为依据，否则视为投标文件撤回。投标文件已按时解密的，备份投标文件自动失效。</w:t>
      </w:r>
    </w:p>
    <w:p>
      <w:pPr>
        <w:widowControl/>
        <w:spacing w:before="100" w:beforeAutospacing="1" w:after="240" w:line="480" w:lineRule="auto"/>
        <w:jc w:val="left"/>
        <w:rPr>
          <w:rFonts w:hint="eastAsia" w:ascii="仿宋" w:hAnsi="仿宋" w:eastAsia="仿宋" w:cs="仿宋"/>
          <w:b/>
          <w:color w:val="auto"/>
          <w:sz w:val="24"/>
          <w:szCs w:val="20"/>
          <w:highlight w:val="none"/>
        </w:rPr>
      </w:pPr>
      <w:r>
        <w:rPr>
          <w:rFonts w:hint="eastAsia" w:ascii="仿宋" w:hAnsi="仿宋" w:eastAsia="仿宋" w:cs="仿宋"/>
          <w:b/>
          <w:color w:val="auto"/>
          <w:sz w:val="24"/>
          <w:szCs w:val="20"/>
          <w:highlight w:val="none"/>
        </w:rPr>
        <w:t>　19、资格审查</w:t>
      </w:r>
    </w:p>
    <w:p>
      <w:pPr>
        <w:snapToGrid w:val="0"/>
        <w:spacing w:line="48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19.</w:t>
      </w:r>
      <w:r>
        <w:rPr>
          <w:rFonts w:hint="eastAsia" w:ascii="仿宋" w:hAnsi="仿宋" w:eastAsia="仿宋" w:cs="仿宋"/>
          <w:color w:val="auto"/>
          <w:kern w:val="0"/>
          <w:sz w:val="24"/>
          <w:highlight w:val="none"/>
          <w:lang w:val="en-US" w:eastAsia="zh-CN"/>
        </w:rPr>
        <w:t>1</w:t>
      </w:r>
      <w:r>
        <w:rPr>
          <w:rFonts w:hint="eastAsia" w:ascii="仿宋" w:hAnsi="仿宋" w:eastAsia="仿宋" w:cs="仿宋"/>
          <w:color w:val="auto"/>
          <w:sz w:val="24"/>
          <w:highlight w:val="none"/>
        </w:rPr>
        <w:t>采购人或</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依据法律法规和招标文件的规定，对投标人的资格进行审查。</w:t>
      </w:r>
    </w:p>
    <w:p>
      <w:pPr>
        <w:pStyle w:val="85"/>
        <w:spacing w:before="0" w:line="480" w:lineRule="auto"/>
        <w:ind w:firstLine="480"/>
        <w:rPr>
          <w:rFonts w:hint="eastAsia" w:ascii="仿宋" w:hAnsi="仿宋" w:eastAsia="仿宋" w:cs="仿宋"/>
          <w:b/>
          <w:bCs/>
          <w:color w:val="auto"/>
          <w:highlight w:val="none"/>
        </w:rPr>
      </w:pPr>
      <w:r>
        <w:rPr>
          <w:rFonts w:hint="eastAsia" w:ascii="仿宋" w:hAnsi="仿宋" w:eastAsia="仿宋" w:cs="仿宋"/>
          <w:b/>
          <w:bCs/>
          <w:color w:val="auto"/>
          <w:kern w:val="0"/>
          <w:szCs w:val="24"/>
          <w:highlight w:val="none"/>
        </w:rPr>
        <w:t>19.</w:t>
      </w:r>
      <w:r>
        <w:rPr>
          <w:rFonts w:hint="eastAsia" w:ascii="仿宋" w:hAnsi="仿宋" w:eastAsia="仿宋" w:cs="仿宋"/>
          <w:b/>
          <w:bCs/>
          <w:color w:val="auto"/>
          <w:kern w:val="0"/>
          <w:szCs w:val="24"/>
          <w:highlight w:val="none"/>
          <w:lang w:val="en-US" w:eastAsia="zh-CN"/>
        </w:rPr>
        <w:t>2</w:t>
      </w:r>
      <w:r>
        <w:rPr>
          <w:rFonts w:hint="eastAsia" w:ascii="仿宋" w:hAnsi="仿宋" w:eastAsia="仿宋" w:cs="仿宋"/>
          <w:b/>
          <w:bCs/>
          <w:color w:val="auto"/>
          <w:kern w:val="0"/>
          <w:szCs w:val="24"/>
          <w:highlight w:val="none"/>
        </w:rPr>
        <w:t>投标人未按照招标文件要求提供与</w:t>
      </w:r>
      <w:r>
        <w:rPr>
          <w:rFonts w:hint="eastAsia" w:ascii="仿宋" w:hAnsi="仿宋" w:eastAsia="仿宋" w:cs="仿宋"/>
          <w:b/>
          <w:bCs/>
          <w:color w:val="auto"/>
          <w:highlight w:val="none"/>
        </w:rPr>
        <w:t>资格条件相应的</w:t>
      </w:r>
      <w:r>
        <w:rPr>
          <w:rFonts w:hint="eastAsia" w:ascii="仿宋" w:hAnsi="仿宋" w:eastAsia="仿宋" w:cs="仿宋"/>
          <w:b/>
          <w:bCs/>
          <w:color w:val="auto"/>
          <w:kern w:val="0"/>
          <w:szCs w:val="24"/>
          <w:highlight w:val="none"/>
        </w:rPr>
        <w:t>有效资格证明材料的，视为</w:t>
      </w:r>
      <w:r>
        <w:rPr>
          <w:rFonts w:hint="eastAsia" w:ascii="仿宋" w:hAnsi="仿宋" w:eastAsia="仿宋" w:cs="仿宋"/>
          <w:b/>
          <w:bCs/>
          <w:color w:val="auto"/>
          <w:highlight w:val="none"/>
        </w:rPr>
        <w:t>投标人不具备招标文件中规定的资格要求，其投标无效。</w:t>
      </w:r>
    </w:p>
    <w:p>
      <w:pPr>
        <w:pStyle w:val="85"/>
        <w:spacing w:before="0" w:line="480" w:lineRule="auto"/>
        <w:ind w:firstLine="480"/>
        <w:rPr>
          <w:rFonts w:hint="eastAsia" w:ascii="仿宋" w:hAnsi="仿宋" w:eastAsia="仿宋" w:cs="仿宋"/>
          <w:color w:val="auto"/>
          <w:highlight w:val="none"/>
        </w:rPr>
      </w:pPr>
      <w:r>
        <w:rPr>
          <w:rFonts w:hint="eastAsia" w:ascii="仿宋" w:hAnsi="仿宋" w:eastAsia="仿宋" w:cs="仿宋"/>
          <w:color w:val="auto"/>
          <w:kern w:val="0"/>
          <w:szCs w:val="24"/>
          <w:highlight w:val="none"/>
        </w:rPr>
        <w:t>19.</w:t>
      </w:r>
      <w:r>
        <w:rPr>
          <w:rFonts w:hint="eastAsia" w:ascii="仿宋" w:hAnsi="仿宋" w:eastAsia="仿宋" w:cs="仿宋"/>
          <w:color w:val="auto"/>
          <w:highlight w:val="none"/>
          <w:lang w:val="en-US" w:eastAsia="zh-CN"/>
        </w:rPr>
        <w:t>3</w:t>
      </w:r>
      <w:r>
        <w:rPr>
          <w:rFonts w:hint="eastAsia" w:ascii="仿宋" w:hAnsi="仿宋" w:eastAsia="仿宋" w:cs="仿宋"/>
          <w:color w:val="auto"/>
          <w:highlight w:val="none"/>
        </w:rPr>
        <w:t>对未通过资格审查的投标人，采购人或</w:t>
      </w:r>
      <w:r>
        <w:rPr>
          <w:rFonts w:hint="eastAsia" w:ascii="仿宋" w:hAnsi="仿宋" w:eastAsia="仿宋" w:cs="仿宋"/>
          <w:color w:val="auto"/>
          <w:highlight w:val="none"/>
          <w:lang w:eastAsia="zh-CN"/>
        </w:rPr>
        <w:t>采购代理机构</w:t>
      </w:r>
      <w:r>
        <w:rPr>
          <w:rFonts w:hint="eastAsia" w:ascii="仿宋" w:hAnsi="仿宋" w:eastAsia="仿宋" w:cs="仿宋"/>
          <w:color w:val="auto"/>
          <w:highlight w:val="none"/>
        </w:rPr>
        <w:t>告知其未通过的原因。</w:t>
      </w:r>
    </w:p>
    <w:p>
      <w:pPr>
        <w:pStyle w:val="85"/>
        <w:spacing w:before="0" w:line="480" w:lineRule="auto"/>
        <w:ind w:firstLine="480"/>
        <w:rPr>
          <w:rFonts w:hint="eastAsia" w:ascii="仿宋" w:hAnsi="仿宋" w:eastAsia="仿宋" w:cs="仿宋"/>
          <w:color w:val="auto"/>
          <w:highlight w:val="none"/>
        </w:rPr>
      </w:pPr>
      <w:r>
        <w:rPr>
          <w:rFonts w:hint="eastAsia" w:ascii="仿宋" w:hAnsi="仿宋" w:eastAsia="仿宋" w:cs="仿宋"/>
          <w:color w:val="auto"/>
          <w:kern w:val="0"/>
          <w:szCs w:val="24"/>
          <w:highlight w:val="none"/>
        </w:rPr>
        <w:t>19.</w:t>
      </w:r>
      <w:r>
        <w:rPr>
          <w:rFonts w:hint="eastAsia" w:ascii="仿宋" w:hAnsi="仿宋" w:eastAsia="仿宋" w:cs="仿宋"/>
          <w:color w:val="auto"/>
          <w:highlight w:val="none"/>
          <w:lang w:val="en-US" w:eastAsia="zh-CN"/>
        </w:rPr>
        <w:t>4</w:t>
      </w:r>
      <w:r>
        <w:rPr>
          <w:rFonts w:hint="eastAsia" w:ascii="仿宋" w:hAnsi="仿宋" w:eastAsia="仿宋" w:cs="仿宋"/>
          <w:color w:val="auto"/>
          <w:highlight w:val="none"/>
        </w:rPr>
        <w:t>合格投标人不足3家的，不再评标。</w:t>
      </w:r>
    </w:p>
    <w:p>
      <w:pPr>
        <w:pStyle w:val="85"/>
        <w:spacing w:before="0" w:line="480" w:lineRule="auto"/>
        <w:ind w:firstLine="0" w:firstLineChars="0"/>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20、信用信息查询</w:t>
      </w:r>
    </w:p>
    <w:p>
      <w:pPr>
        <w:pStyle w:val="85"/>
        <w:spacing w:before="0" w:line="480" w:lineRule="auto"/>
        <w:ind w:firstLine="495" w:firstLineChars="0"/>
        <w:rPr>
          <w:rFonts w:hint="eastAsia" w:ascii="仿宋" w:hAnsi="仿宋" w:eastAsia="仿宋" w:cs="仿宋"/>
          <w:color w:val="auto"/>
          <w:kern w:val="0"/>
          <w:szCs w:val="24"/>
          <w:highlight w:val="none"/>
        </w:rPr>
      </w:pPr>
      <w:r>
        <w:rPr>
          <w:rFonts w:hint="eastAsia" w:ascii="仿宋" w:hAnsi="仿宋" w:eastAsia="仿宋" w:cs="仿宋"/>
          <w:color w:val="auto"/>
          <w:kern w:val="0"/>
          <w:szCs w:val="24"/>
          <w:highlight w:val="none"/>
        </w:rPr>
        <w:t>20.1信用信息查询渠道及截止时间：</w:t>
      </w:r>
      <w:r>
        <w:rPr>
          <w:rFonts w:hint="eastAsia" w:ascii="仿宋" w:hAnsi="仿宋" w:eastAsia="仿宋" w:cs="仿宋"/>
          <w:color w:val="auto"/>
          <w:kern w:val="0"/>
          <w:szCs w:val="24"/>
          <w:highlight w:val="none"/>
          <w:lang w:eastAsia="zh-CN"/>
        </w:rPr>
        <w:t>采购代理机构</w:t>
      </w:r>
      <w:r>
        <w:rPr>
          <w:rFonts w:hint="eastAsia" w:ascii="仿宋" w:hAnsi="仿宋" w:eastAsia="仿宋" w:cs="仿宋"/>
          <w:color w:val="auto"/>
          <w:kern w:val="0"/>
          <w:szCs w:val="24"/>
          <w:highlight w:val="none"/>
        </w:rPr>
        <w:t>将在资格审查时通过“信用中国”网站(www.creditchina.gov.cn)、中国政府采购网(www.ccgp.gov.cn)渠道查询投标人接受资格时的信用记录。</w:t>
      </w:r>
    </w:p>
    <w:p>
      <w:pPr>
        <w:pStyle w:val="85"/>
        <w:spacing w:before="0" w:line="480" w:lineRule="auto"/>
        <w:ind w:firstLine="495" w:firstLineChars="0"/>
        <w:rPr>
          <w:rFonts w:hint="eastAsia" w:ascii="仿宋" w:hAnsi="仿宋" w:eastAsia="仿宋" w:cs="仿宋"/>
          <w:color w:val="auto"/>
          <w:kern w:val="0"/>
          <w:szCs w:val="24"/>
          <w:highlight w:val="none"/>
        </w:rPr>
      </w:pPr>
      <w:r>
        <w:rPr>
          <w:rFonts w:hint="eastAsia" w:ascii="仿宋" w:hAnsi="仿宋" w:eastAsia="仿宋" w:cs="仿宋"/>
          <w:color w:val="auto"/>
          <w:kern w:val="0"/>
          <w:szCs w:val="24"/>
          <w:highlight w:val="none"/>
        </w:rPr>
        <w:t>20.2信用信息查询记录和证据留存的具体方式：现场查询的投标人的信用记录、查询结果经确认后将与采购文件一起存档。</w:t>
      </w:r>
    </w:p>
    <w:p>
      <w:pPr>
        <w:pStyle w:val="85"/>
        <w:spacing w:before="0" w:line="480" w:lineRule="auto"/>
        <w:ind w:firstLine="495" w:firstLineChars="0"/>
        <w:rPr>
          <w:rFonts w:hint="eastAsia" w:ascii="仿宋" w:hAnsi="仿宋" w:eastAsia="仿宋" w:cs="仿宋"/>
          <w:color w:val="auto"/>
          <w:kern w:val="0"/>
          <w:szCs w:val="24"/>
          <w:highlight w:val="none"/>
        </w:rPr>
      </w:pPr>
      <w:r>
        <w:rPr>
          <w:rFonts w:hint="eastAsia" w:ascii="仿宋" w:hAnsi="仿宋" w:eastAsia="仿宋" w:cs="仿宋"/>
          <w:color w:val="auto"/>
          <w:kern w:val="0"/>
          <w:szCs w:val="24"/>
          <w:highlight w:val="none"/>
        </w:rPr>
        <w:t>20.3信用信息的使用规则：经查询列入失信被执行人名单、重大税收违法案件当事人名单、政府采购严重违法失信行为记录名单的投标人将被拒绝参与政府采购活动。</w:t>
      </w:r>
    </w:p>
    <w:p>
      <w:pPr>
        <w:pStyle w:val="85"/>
        <w:spacing w:before="0" w:line="480" w:lineRule="auto"/>
        <w:ind w:firstLine="480"/>
        <w:rPr>
          <w:rFonts w:hint="eastAsia" w:ascii="仿宋" w:hAnsi="仿宋" w:eastAsia="仿宋" w:cs="仿宋"/>
          <w:color w:val="auto"/>
          <w:highlight w:val="none"/>
        </w:rPr>
      </w:pPr>
      <w:r>
        <w:rPr>
          <w:rFonts w:hint="eastAsia" w:ascii="仿宋" w:hAnsi="仿宋" w:eastAsia="仿宋" w:cs="仿宋"/>
          <w:color w:val="auto"/>
          <w:kern w:val="0"/>
          <w:szCs w:val="24"/>
          <w:highlight w:val="none"/>
        </w:rPr>
        <w:t>20.4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r>
        <w:rPr>
          <w:rFonts w:hint="eastAsia" w:ascii="仿宋" w:hAnsi="仿宋" w:eastAsia="仿宋" w:cs="仿宋"/>
          <w:color w:val="auto"/>
          <w:highlight w:val="none"/>
        </w:rPr>
        <w:t>。</w:t>
      </w:r>
    </w:p>
    <w:p>
      <w:pPr>
        <w:pStyle w:val="85"/>
        <w:spacing w:before="0" w:line="480" w:lineRule="auto"/>
        <w:ind w:firstLine="0" w:firstLineChars="0"/>
        <w:rPr>
          <w:rFonts w:hint="eastAsia" w:ascii="仿宋" w:hAnsi="仿宋" w:eastAsia="仿宋" w:cs="仿宋"/>
          <w:color w:val="auto"/>
          <w:kern w:val="0"/>
          <w:szCs w:val="24"/>
          <w:highlight w:val="none"/>
        </w:rPr>
      </w:pPr>
    </w:p>
    <w:p>
      <w:pPr>
        <w:pStyle w:val="85"/>
        <w:spacing w:before="0" w:line="480" w:lineRule="auto"/>
        <w:ind w:firstLine="0" w:firstLineChars="0"/>
        <w:rPr>
          <w:rFonts w:hint="eastAsia" w:ascii="仿宋" w:hAnsi="仿宋" w:eastAsia="仿宋" w:cs="仿宋"/>
          <w:color w:val="auto"/>
          <w:kern w:val="0"/>
          <w:szCs w:val="24"/>
          <w:highlight w:val="none"/>
        </w:rPr>
      </w:pPr>
    </w:p>
    <w:p>
      <w:pPr>
        <w:snapToGrid w:val="0"/>
        <w:spacing w:line="480" w:lineRule="auto"/>
        <w:jc w:val="center"/>
        <w:outlineLvl w:val="0"/>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五、评标</w:t>
      </w:r>
    </w:p>
    <w:p>
      <w:pPr>
        <w:spacing w:line="480" w:lineRule="auto"/>
        <w:rPr>
          <w:rFonts w:hint="eastAsia" w:ascii="仿宋" w:hAnsi="仿宋" w:eastAsia="仿宋" w:cs="仿宋"/>
          <w:b/>
          <w:color w:val="auto"/>
          <w:sz w:val="24"/>
          <w:highlight w:val="none"/>
        </w:rPr>
      </w:pPr>
      <w:bookmarkStart w:id="12" w:name="_Toc91899903"/>
      <w:r>
        <w:rPr>
          <w:rFonts w:hint="eastAsia" w:ascii="仿宋" w:hAnsi="仿宋" w:eastAsia="仿宋" w:cs="仿宋"/>
          <w:b/>
          <w:color w:val="auto"/>
          <w:sz w:val="24"/>
          <w:highlight w:val="none"/>
        </w:rPr>
        <w:t>21</w:t>
      </w:r>
      <w:r>
        <w:rPr>
          <w:rFonts w:hint="eastAsia" w:ascii="仿宋" w:hAnsi="仿宋" w:eastAsia="仿宋" w:cs="仿宋"/>
          <w:b/>
          <w:color w:val="auto"/>
          <w:sz w:val="24"/>
          <w:highlight w:val="none"/>
          <w:lang w:eastAsia="zh-CN"/>
        </w:rPr>
        <w:t>、</w:t>
      </w:r>
      <w:r>
        <w:rPr>
          <w:rFonts w:hint="eastAsia" w:ascii="仿宋" w:hAnsi="仿宋" w:eastAsia="仿宋" w:cs="仿宋"/>
          <w:color w:val="auto"/>
          <w:sz w:val="24"/>
          <w:highlight w:val="none"/>
        </w:rPr>
        <w:t>评标委员会将根据招标文件和有关规定，履行评标工作职责，并按照评标方法及评分标准，全面衡量各投标人对招标文件的响应情况。对实质上响应招标文件的投标人，按照评审因素的量化指标排出推荐中标的投标人的先后顺序，并按顺序提出授标建议。</w:t>
      </w:r>
      <w:r>
        <w:rPr>
          <w:rFonts w:hint="eastAsia" w:ascii="仿宋" w:hAnsi="仿宋" w:eastAsia="仿宋" w:cs="仿宋"/>
          <w:b w:val="0"/>
          <w:bCs/>
          <w:color w:val="auto"/>
          <w:sz w:val="24"/>
          <w:highlight w:val="none"/>
        </w:rPr>
        <w:t>详见招标文件第四部分评标办法。</w:t>
      </w:r>
    </w:p>
    <w:p>
      <w:pPr>
        <w:spacing w:line="480" w:lineRule="auto"/>
        <w:rPr>
          <w:rFonts w:hint="eastAsia" w:ascii="仿宋" w:hAnsi="仿宋" w:eastAsia="仿宋" w:cs="仿宋"/>
          <w:b/>
          <w:color w:val="auto"/>
          <w:sz w:val="24"/>
          <w:highlight w:val="none"/>
        </w:rPr>
      </w:pPr>
    </w:p>
    <w:p>
      <w:pPr>
        <w:snapToGrid w:val="0"/>
        <w:spacing w:line="480" w:lineRule="auto"/>
        <w:jc w:val="center"/>
        <w:outlineLvl w:val="0"/>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六、定 标</w:t>
      </w:r>
    </w:p>
    <w:p>
      <w:pPr>
        <w:pStyle w:val="6"/>
        <w:spacing w:line="480" w:lineRule="auto"/>
        <w:ind w:left="479" w:hanging="479" w:hangingChars="199"/>
        <w:rPr>
          <w:rFonts w:hint="eastAsia" w:ascii="仿宋" w:hAnsi="仿宋" w:eastAsia="仿宋" w:cs="仿宋"/>
          <w:b/>
          <w:color w:val="auto"/>
          <w:highlight w:val="none"/>
        </w:rPr>
      </w:pPr>
      <w:r>
        <w:rPr>
          <w:rFonts w:hint="eastAsia" w:ascii="仿宋" w:hAnsi="仿宋" w:eastAsia="仿宋" w:cs="仿宋"/>
          <w:b/>
          <w:color w:val="auto"/>
          <w:highlight w:val="none"/>
        </w:rPr>
        <w:t>22</w:t>
      </w:r>
      <w:r>
        <w:rPr>
          <w:rFonts w:hint="eastAsia" w:ascii="仿宋" w:hAnsi="仿宋" w:eastAsia="仿宋" w:cs="仿宋"/>
          <w:b/>
          <w:color w:val="auto"/>
          <w:highlight w:val="none"/>
          <w:lang w:eastAsia="zh-CN"/>
        </w:rPr>
        <w:t>、</w:t>
      </w:r>
      <w:r>
        <w:rPr>
          <w:rFonts w:hint="eastAsia" w:ascii="仿宋" w:hAnsi="仿宋" w:eastAsia="仿宋" w:cs="仿宋"/>
          <w:b/>
          <w:color w:val="auto"/>
          <w:highlight w:val="none"/>
        </w:rPr>
        <w:t>确定中标供应商</w:t>
      </w:r>
    </w:p>
    <w:p>
      <w:pPr>
        <w:pStyle w:val="85"/>
        <w:snapToGrid w:val="0"/>
        <w:spacing w:before="0" w:line="480" w:lineRule="auto"/>
        <w:ind w:firstLine="480"/>
        <w:rPr>
          <w:rFonts w:hint="eastAsia" w:ascii="仿宋" w:hAnsi="仿宋" w:eastAsia="仿宋" w:cs="仿宋"/>
          <w:b/>
          <w:color w:val="auto"/>
          <w:szCs w:val="24"/>
          <w:highlight w:val="none"/>
        </w:rPr>
      </w:pPr>
      <w:r>
        <w:rPr>
          <w:rFonts w:hint="eastAsia" w:ascii="仿宋" w:hAnsi="仿宋" w:eastAsia="仿宋" w:cs="仿宋"/>
          <w:color w:val="auto"/>
          <w:szCs w:val="24"/>
          <w:highlight w:val="none"/>
        </w:rPr>
        <w:t>政府采购项目实行全流程电子化，评审报告送交、采购结果确定和结果公告均在线完成。为进一步提升采购结果确定效率，采购代理机构应当依法及时将评审报告在线送交采购人。采购单位应当自收到评审报告之日起2个工作日内在线确定中标或者成交供应商。中标、成交通知书和中标、成交结果公告应当在规定时间内同时发出。</w:t>
      </w:r>
    </w:p>
    <w:p>
      <w:pPr>
        <w:pStyle w:val="85"/>
        <w:snapToGrid w:val="0"/>
        <w:spacing w:before="0" w:line="480" w:lineRule="auto"/>
        <w:ind w:firstLine="0" w:firstLineChars="0"/>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23</w:t>
      </w:r>
      <w:r>
        <w:rPr>
          <w:rFonts w:hint="eastAsia" w:ascii="仿宋" w:hAnsi="仿宋" w:eastAsia="仿宋" w:cs="仿宋"/>
          <w:b/>
          <w:color w:val="auto"/>
          <w:szCs w:val="24"/>
          <w:highlight w:val="none"/>
          <w:lang w:eastAsia="zh-CN"/>
        </w:rPr>
        <w:t>、</w:t>
      </w:r>
      <w:r>
        <w:rPr>
          <w:rFonts w:hint="eastAsia" w:ascii="仿宋" w:hAnsi="仿宋" w:eastAsia="仿宋" w:cs="仿宋"/>
          <w:b/>
          <w:color w:val="auto"/>
          <w:szCs w:val="24"/>
          <w:highlight w:val="none"/>
        </w:rPr>
        <w:t xml:space="preserve"> 中标通知与中标结果公告</w:t>
      </w:r>
    </w:p>
    <w:p>
      <w:pPr>
        <w:widowControl/>
        <w:shd w:val="clear" w:color="auto" w:fill="FFFFFF"/>
        <w:spacing w:line="480" w:lineRule="auto"/>
        <w:ind w:firstLine="48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23.1自中标人确定之日起2个工作日内，</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通过电子交易平台向中标人发出中标通知书，同时编制发布采购结果公告。</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也可以以纸质形式进行中标通知。</w:t>
      </w:r>
    </w:p>
    <w:p>
      <w:pPr>
        <w:widowControl/>
        <w:shd w:val="clear" w:color="auto" w:fill="FFFFFF"/>
        <w:spacing w:line="480" w:lineRule="auto"/>
        <w:ind w:firstLine="48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23.2中标结果公告内容包括采购人及其委托的</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的名称、地址、联系方式，项目名称和项目编号，中标人名称、地址和中标金额，主要中标标的的名称、规格型号、数量、单价、服务要求，开标记录、</w:t>
      </w:r>
      <w:bookmarkStart w:id="13" w:name="_Hlk101184471"/>
      <w:r>
        <w:rPr>
          <w:rFonts w:hint="eastAsia" w:ascii="仿宋" w:hAnsi="仿宋" w:eastAsia="仿宋" w:cs="仿宋"/>
          <w:color w:val="auto"/>
          <w:sz w:val="24"/>
          <w:highlight w:val="none"/>
        </w:rPr>
        <w:t>资格审查情况、评审专家抽取规则、符合性审查情况、</w:t>
      </w:r>
      <w:bookmarkEnd w:id="13"/>
      <w:r>
        <w:rPr>
          <w:rFonts w:hint="eastAsia" w:ascii="仿宋" w:hAnsi="仿宋" w:eastAsia="仿宋" w:cs="仿宋"/>
          <w:color w:val="auto"/>
          <w:sz w:val="24"/>
          <w:highlight w:val="none"/>
        </w:rPr>
        <w:t>未中标情况说明、中标公告期限以及评审专家名单、评分汇总及明细。</w:t>
      </w:r>
    </w:p>
    <w:p>
      <w:pPr>
        <w:widowControl/>
        <w:shd w:val="clear" w:color="auto" w:fill="FFFFFF"/>
        <w:spacing w:line="480" w:lineRule="auto"/>
        <w:ind w:firstLine="48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23.3公告期限为1个工作日。</w:t>
      </w:r>
    </w:p>
    <w:p>
      <w:pPr>
        <w:pStyle w:val="4"/>
        <w:ind w:left="0" w:leftChars="0" w:firstLine="0" w:firstLineChars="0"/>
        <w:rPr>
          <w:rFonts w:hint="eastAsia"/>
          <w:color w:val="auto"/>
          <w:highlight w:val="none"/>
        </w:rPr>
      </w:pPr>
    </w:p>
    <w:p>
      <w:pPr>
        <w:snapToGrid w:val="0"/>
        <w:spacing w:line="480" w:lineRule="auto"/>
        <w:ind w:left="120" w:leftChars="57" w:firstLine="482" w:firstLineChars="150"/>
        <w:jc w:val="center"/>
        <w:rPr>
          <w:rFonts w:hint="eastAsia" w:ascii="仿宋" w:hAnsi="仿宋" w:eastAsia="仿宋" w:cs="仿宋"/>
          <w:b/>
          <w:color w:val="auto"/>
          <w:sz w:val="32"/>
          <w:highlight w:val="none"/>
        </w:rPr>
      </w:pPr>
      <w:r>
        <w:rPr>
          <w:rFonts w:hint="eastAsia" w:ascii="仿宋" w:hAnsi="仿宋" w:eastAsia="仿宋" w:cs="仿宋"/>
          <w:b/>
          <w:color w:val="auto"/>
          <w:sz w:val="32"/>
          <w:highlight w:val="none"/>
        </w:rPr>
        <w:t>七、合同授予</w:t>
      </w:r>
    </w:p>
    <w:p>
      <w:pPr>
        <w:pStyle w:val="6"/>
        <w:spacing w:line="480" w:lineRule="auto"/>
        <w:ind w:left="479" w:hanging="479" w:hangingChars="199"/>
        <w:rPr>
          <w:rFonts w:hint="eastAsia" w:ascii="仿宋" w:hAnsi="仿宋" w:eastAsia="仿宋" w:cs="仿宋"/>
          <w:b/>
          <w:color w:val="auto"/>
          <w:highlight w:val="none"/>
        </w:rPr>
      </w:pPr>
      <w:r>
        <w:rPr>
          <w:rFonts w:hint="eastAsia" w:ascii="仿宋" w:hAnsi="仿宋" w:eastAsia="仿宋" w:cs="仿宋"/>
          <w:b/>
          <w:color w:val="auto"/>
          <w:highlight w:val="none"/>
        </w:rPr>
        <w:t>24</w:t>
      </w:r>
      <w:r>
        <w:rPr>
          <w:rFonts w:hint="eastAsia" w:ascii="仿宋" w:hAnsi="仿宋" w:eastAsia="仿宋" w:cs="仿宋"/>
          <w:b/>
          <w:color w:val="auto"/>
          <w:highlight w:val="none"/>
          <w:lang w:eastAsia="zh-CN"/>
        </w:rPr>
        <w:t>、</w:t>
      </w:r>
      <w:r>
        <w:rPr>
          <w:rFonts w:hint="eastAsia" w:ascii="仿宋" w:hAnsi="仿宋" w:eastAsia="仿宋" w:cs="仿宋"/>
          <w:color w:val="auto"/>
          <w:highlight w:val="none"/>
        </w:rPr>
        <w:t>合同主要条款详见第五部分拟签订的合同文本。</w:t>
      </w:r>
    </w:p>
    <w:p>
      <w:pPr>
        <w:pStyle w:val="6"/>
        <w:spacing w:line="480" w:lineRule="auto"/>
        <w:ind w:left="479" w:hanging="479" w:hangingChars="199"/>
        <w:rPr>
          <w:rFonts w:hint="eastAsia" w:ascii="仿宋" w:hAnsi="仿宋" w:eastAsia="仿宋" w:cs="仿宋"/>
          <w:b/>
          <w:color w:val="auto"/>
          <w:highlight w:val="none"/>
        </w:rPr>
      </w:pPr>
      <w:r>
        <w:rPr>
          <w:rFonts w:hint="eastAsia" w:ascii="仿宋" w:hAnsi="仿宋" w:eastAsia="仿宋" w:cs="仿宋"/>
          <w:b/>
          <w:color w:val="auto"/>
          <w:highlight w:val="none"/>
        </w:rPr>
        <w:t>25</w:t>
      </w:r>
      <w:r>
        <w:rPr>
          <w:rFonts w:hint="eastAsia" w:ascii="仿宋" w:hAnsi="仿宋" w:eastAsia="仿宋" w:cs="仿宋"/>
          <w:b/>
          <w:color w:val="auto"/>
          <w:highlight w:val="none"/>
          <w:lang w:eastAsia="zh-CN"/>
        </w:rPr>
        <w:t>、</w:t>
      </w:r>
      <w:r>
        <w:rPr>
          <w:rFonts w:hint="eastAsia" w:ascii="仿宋" w:hAnsi="仿宋" w:eastAsia="仿宋" w:cs="仿宋"/>
          <w:b/>
          <w:color w:val="auto"/>
          <w:highlight w:val="none"/>
        </w:rPr>
        <w:t xml:space="preserve"> 合同的签订</w:t>
      </w:r>
    </w:p>
    <w:p>
      <w:pPr>
        <w:widowControl/>
        <w:shd w:val="clear" w:color="auto" w:fill="FFFFFF"/>
        <w:spacing w:line="480" w:lineRule="auto"/>
        <w:ind w:firstLine="480"/>
        <w:jc w:val="lef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25.1</w:t>
      </w:r>
      <w:r>
        <w:rPr>
          <w:rFonts w:hint="eastAsia" w:ascii="仿宋" w:hAnsi="仿宋" w:eastAsia="仿宋" w:cs="仿宋"/>
          <w:color w:val="auto"/>
          <w:kern w:val="0"/>
          <w:sz w:val="24"/>
          <w:highlight w:val="none"/>
        </w:rPr>
        <w:t xml:space="preserve"> 采购人与中标人应当通过电子交易平台在中标通知书发出之日起三十日内，按照招标文件确定的事项签订政府采购合同，并在签订之日起2个工作日内将政府采购合同在浙江政府采购网上公告。鼓励有条件的采购人视情缩减采购合同签订时限，提高采购效率，杜绝“冷、硬、横、推”等不当行为。除不可抗力等特殊情况外，原则上应当在中标通知书发出之日起10个工作日内，与中标供应商按照采购文件确定的事项签订政府采购合同。</w:t>
      </w:r>
    </w:p>
    <w:p>
      <w:pPr>
        <w:pStyle w:val="85"/>
        <w:snapToGrid w:val="0"/>
        <w:spacing w:before="0" w:line="480" w:lineRule="auto"/>
        <w:ind w:firstLine="480"/>
        <w:rPr>
          <w:rFonts w:hint="eastAsia" w:ascii="仿宋" w:hAnsi="仿宋" w:eastAsia="仿宋" w:cs="仿宋"/>
          <w:color w:val="auto"/>
          <w:kern w:val="0"/>
          <w:highlight w:val="none"/>
        </w:rPr>
      </w:pPr>
      <w:r>
        <w:rPr>
          <w:rFonts w:hint="eastAsia" w:ascii="仿宋" w:hAnsi="仿宋" w:eastAsia="仿宋" w:cs="仿宋"/>
          <w:color w:val="auto"/>
          <w:kern w:val="0"/>
          <w:highlight w:val="none"/>
          <w:lang w:val="zh-CN"/>
        </w:rPr>
        <w:t>25.2中标人按规定的日期、时间、地点，由法定代表人或其授权代表与采购人代表签订合同。如中标人为联合体的，由联合体成员各方法定代表人或其授权代表与采购人代表签订合同。</w:t>
      </w:r>
    </w:p>
    <w:p>
      <w:pPr>
        <w:pStyle w:val="85"/>
        <w:snapToGrid w:val="0"/>
        <w:spacing w:before="0" w:line="480" w:lineRule="auto"/>
        <w:ind w:firstLine="480"/>
        <w:rPr>
          <w:rFonts w:hint="eastAsia" w:ascii="仿宋" w:hAnsi="仿宋" w:eastAsia="仿宋" w:cs="仿宋"/>
          <w:color w:val="auto"/>
          <w:highlight w:val="none"/>
        </w:rPr>
      </w:pPr>
      <w:r>
        <w:rPr>
          <w:rFonts w:hint="eastAsia" w:ascii="仿宋" w:hAnsi="仿宋" w:eastAsia="仿宋" w:cs="仿宋"/>
          <w:color w:val="auto"/>
          <w:highlight w:val="none"/>
        </w:rPr>
        <w:t>25.3如签订合同并生效后，供应商无故拒绝或延期，除按照合同条款处理外，列入不良行为记录一次，并给予通报。</w:t>
      </w:r>
    </w:p>
    <w:p>
      <w:pPr>
        <w:pStyle w:val="85"/>
        <w:snapToGrid w:val="0"/>
        <w:spacing w:before="0" w:line="480" w:lineRule="auto"/>
        <w:ind w:firstLine="480"/>
        <w:rPr>
          <w:rFonts w:hint="eastAsia" w:ascii="仿宋" w:hAnsi="仿宋" w:eastAsia="仿宋" w:cs="仿宋"/>
          <w:color w:val="auto"/>
          <w:highlight w:val="none"/>
        </w:rPr>
      </w:pPr>
      <w:r>
        <w:rPr>
          <w:rFonts w:hint="eastAsia" w:ascii="仿宋" w:hAnsi="仿宋" w:eastAsia="仿宋" w:cs="仿宋"/>
          <w:color w:val="auto"/>
          <w:highlight w:val="none"/>
        </w:rPr>
        <w:t>25.4中标供应商拒绝与采购人签订合同的，采购人可以按照评审报告推荐的中标或者成交候选人名单排序，确定下一候选人为中标供应商，也可以重新开展政府采购活动。</w:t>
      </w:r>
    </w:p>
    <w:p>
      <w:pPr>
        <w:pStyle w:val="85"/>
        <w:snapToGrid w:val="0"/>
        <w:spacing w:before="0" w:after="120" w:line="480" w:lineRule="auto"/>
        <w:ind w:firstLine="480"/>
        <w:rPr>
          <w:rFonts w:hint="eastAsia" w:ascii="仿宋" w:hAnsi="仿宋" w:eastAsia="仿宋" w:cs="仿宋"/>
          <w:color w:val="auto"/>
          <w:highlight w:val="none"/>
        </w:rPr>
      </w:pPr>
      <w:r>
        <w:rPr>
          <w:rFonts w:hint="eastAsia" w:ascii="仿宋" w:hAnsi="仿宋" w:eastAsia="仿宋" w:cs="仿宋"/>
          <w:color w:val="auto"/>
          <w:highlight w:val="none"/>
        </w:rPr>
        <w:t>25.5采购合同由采购人与中标供应商根据招标文件、投标文件等内容通过政府采购电子交易平台在线签订，自动备案。</w:t>
      </w:r>
    </w:p>
    <w:p>
      <w:pPr>
        <w:pStyle w:val="6"/>
        <w:spacing w:line="480" w:lineRule="auto"/>
        <w:ind w:left="479" w:hanging="479" w:hangingChars="199"/>
        <w:rPr>
          <w:rFonts w:hint="eastAsia" w:ascii="仿宋" w:hAnsi="仿宋" w:eastAsia="仿宋" w:cs="仿宋"/>
          <w:b/>
          <w:color w:val="auto"/>
          <w:highlight w:val="none"/>
        </w:rPr>
      </w:pPr>
      <w:r>
        <w:rPr>
          <w:rFonts w:hint="eastAsia" w:ascii="仿宋" w:hAnsi="仿宋" w:eastAsia="仿宋" w:cs="仿宋"/>
          <w:b/>
          <w:color w:val="auto"/>
          <w:highlight w:val="none"/>
        </w:rPr>
        <w:t>26</w:t>
      </w:r>
      <w:r>
        <w:rPr>
          <w:rFonts w:hint="eastAsia" w:ascii="仿宋" w:hAnsi="仿宋" w:eastAsia="仿宋" w:cs="仿宋"/>
          <w:b/>
          <w:color w:val="auto"/>
          <w:highlight w:val="none"/>
          <w:lang w:eastAsia="zh-CN"/>
        </w:rPr>
        <w:t>、</w:t>
      </w:r>
      <w:r>
        <w:rPr>
          <w:rFonts w:hint="eastAsia" w:ascii="仿宋" w:hAnsi="仿宋" w:eastAsia="仿宋" w:cs="仿宋"/>
          <w:b/>
          <w:color w:val="auto"/>
          <w:highlight w:val="none"/>
        </w:rPr>
        <w:t>履约保证金</w:t>
      </w:r>
    </w:p>
    <w:p>
      <w:pPr>
        <w:tabs>
          <w:tab w:val="left" w:pos="0"/>
        </w:tabs>
        <w:spacing w:line="480" w:lineRule="auto"/>
        <w:ind w:firstLine="482"/>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拟签订的合同文本要求中标供应商提交履约保证金的，供应商应当以支票、汇票、本票或者金融机构、担保机构出具的保函等非现金形式提交</w:t>
      </w:r>
      <w:r>
        <w:rPr>
          <w:rFonts w:hint="eastAsia" w:ascii="仿宋" w:hAnsi="仿宋" w:eastAsia="仿宋" w:cs="仿宋"/>
          <w:color w:val="auto"/>
          <w:sz w:val="24"/>
          <w:highlight w:val="none"/>
        </w:rPr>
        <w:t>。履约保证金的数额不得超过政府采购合同金额的1%，鼓励根据项目特点、供应商诚信等因素免收履约保证金或降低缴纳比例。鼓励和支持供应商以银行、保险公司出具的保函形式提供履约保证金。采购人不得拒收履约保函，项目验收结束后应及时退还，延迟退还的，应当按照合同约定和法律规定承担相应的赔偿责任。</w:t>
      </w:r>
    </w:p>
    <w:p>
      <w:pPr>
        <w:pStyle w:val="4"/>
        <w:spacing w:line="480" w:lineRule="auto"/>
        <w:ind w:left="0" w:firstLine="480" w:firstLineChars="200"/>
        <w:rPr>
          <w:rFonts w:hint="eastAsia" w:ascii="仿宋" w:hAnsi="仿宋" w:eastAsia="仿宋" w:cs="仿宋"/>
          <w:b w:val="0"/>
          <w:bCs w:val="0"/>
          <w:snapToGrid w:val="0"/>
          <w:color w:val="auto"/>
          <w:kern w:val="28"/>
          <w:sz w:val="24"/>
          <w:highlight w:val="none"/>
        </w:rPr>
      </w:pPr>
      <w:r>
        <w:rPr>
          <w:rFonts w:hint="eastAsia" w:ascii="仿宋" w:hAnsi="仿宋" w:eastAsia="仿宋" w:cs="仿宋"/>
          <w:b w:val="0"/>
          <w:bCs w:val="0"/>
          <w:snapToGrid w:val="0"/>
          <w:color w:val="auto"/>
          <w:kern w:val="28"/>
          <w:sz w:val="24"/>
          <w:highlight w:val="none"/>
        </w:rPr>
        <w:t>供应商</w:t>
      </w:r>
      <w:r>
        <w:rPr>
          <w:rFonts w:hint="eastAsia" w:ascii="仿宋" w:hAnsi="仿宋" w:eastAsia="仿宋" w:cs="仿宋"/>
          <w:b w:val="0"/>
          <w:bCs w:val="0"/>
          <w:snapToGrid w:val="0"/>
          <w:color w:val="auto"/>
          <w:kern w:val="28"/>
          <w:sz w:val="24"/>
          <w:highlight w:val="none"/>
          <w:lang w:val="en-US"/>
        </w:rPr>
        <w:t>可</w:t>
      </w:r>
      <w:r>
        <w:rPr>
          <w:rFonts w:hint="eastAsia" w:ascii="仿宋" w:hAnsi="仿宋" w:eastAsia="仿宋" w:cs="仿宋"/>
          <w:b w:val="0"/>
          <w:bCs w:val="0"/>
          <w:snapToGrid w:val="0"/>
          <w:color w:val="auto"/>
          <w:kern w:val="28"/>
          <w:sz w:val="24"/>
          <w:highlight w:val="none"/>
        </w:rPr>
        <w:t>登录政采云平台-【金融服务】—【我的项目】—【已备案合同】以保函形式提供：1、供应商在合同列表选择需要投保的合同，点击[保函推荐]。2、在弹框里查看推荐的保函产品，供应商自行选择保函产品，点击[立即申请]。3、在弹框里填写保函申请信息。具体步骤：选择产品—填写供应商信息—选择中标项目—确认信息—等待保险/保函受理—确认保单—支付保费—成功出单。政采云金融专线400-903-9583。</w:t>
      </w:r>
    </w:p>
    <w:p>
      <w:pPr>
        <w:pStyle w:val="4"/>
        <w:rPr>
          <w:rFonts w:hint="eastAsia" w:ascii="仿宋" w:hAnsi="仿宋" w:eastAsia="仿宋" w:cs="仿宋"/>
          <w:color w:val="auto"/>
          <w:highlight w:val="none"/>
        </w:rPr>
      </w:pPr>
    </w:p>
    <w:p>
      <w:pPr>
        <w:snapToGrid w:val="0"/>
        <w:spacing w:line="480" w:lineRule="auto"/>
        <w:ind w:firstLine="3357" w:firstLineChars="1045"/>
        <w:rPr>
          <w:rFonts w:hint="eastAsia" w:ascii="仿宋" w:hAnsi="仿宋" w:eastAsia="仿宋" w:cs="仿宋"/>
          <w:b/>
          <w:color w:val="auto"/>
          <w:sz w:val="24"/>
          <w:highlight w:val="none"/>
        </w:rPr>
      </w:pPr>
      <w:r>
        <w:rPr>
          <w:rFonts w:hint="eastAsia" w:ascii="仿宋" w:hAnsi="仿宋" w:eastAsia="仿宋" w:cs="仿宋"/>
          <w:b/>
          <w:color w:val="auto"/>
          <w:sz w:val="32"/>
          <w:highlight w:val="none"/>
        </w:rPr>
        <w:t>八、电子交易活动的中止</w:t>
      </w:r>
    </w:p>
    <w:p>
      <w:pPr>
        <w:pStyle w:val="85"/>
        <w:snapToGrid w:val="0"/>
        <w:spacing w:before="0" w:line="480" w:lineRule="auto"/>
        <w:ind w:firstLine="0" w:firstLineChars="0"/>
        <w:rPr>
          <w:rFonts w:hint="eastAsia" w:ascii="仿宋" w:hAnsi="仿宋" w:eastAsia="仿宋" w:cs="仿宋"/>
          <w:color w:val="auto"/>
          <w:highlight w:val="none"/>
        </w:rPr>
      </w:pPr>
      <w:r>
        <w:rPr>
          <w:rFonts w:hint="eastAsia" w:ascii="仿宋" w:hAnsi="仿宋" w:eastAsia="仿宋" w:cs="仿宋"/>
          <w:b/>
          <w:bCs/>
          <w:color w:val="auto"/>
          <w:sz w:val="24"/>
          <w:szCs w:val="20"/>
          <w:highlight w:val="none"/>
        </w:rPr>
        <w:t>2</w:t>
      </w:r>
      <w:r>
        <w:rPr>
          <w:rFonts w:hint="eastAsia" w:ascii="仿宋" w:hAnsi="仿宋" w:eastAsia="仿宋" w:cs="仿宋"/>
          <w:b/>
          <w:bCs/>
          <w:color w:val="auto"/>
          <w:sz w:val="24"/>
          <w:szCs w:val="24"/>
          <w:highlight w:val="none"/>
          <w:lang w:val="en-US" w:eastAsia="zh-CN"/>
        </w:rPr>
        <w:t>7</w:t>
      </w:r>
      <w:r>
        <w:rPr>
          <w:rFonts w:hint="eastAsia" w:ascii="仿宋" w:hAnsi="仿宋" w:eastAsia="仿宋" w:cs="仿宋"/>
          <w:b/>
          <w:color w:val="auto"/>
          <w:szCs w:val="24"/>
          <w:highlight w:val="none"/>
          <w:lang w:eastAsia="zh-CN"/>
        </w:rPr>
        <w:t>、</w:t>
      </w:r>
      <w:r>
        <w:rPr>
          <w:rFonts w:hint="eastAsia" w:ascii="仿宋" w:hAnsi="仿宋" w:eastAsia="仿宋" w:cs="仿宋"/>
          <w:b/>
          <w:color w:val="auto"/>
          <w:szCs w:val="24"/>
          <w:highlight w:val="none"/>
        </w:rPr>
        <w:t>电子交易活动的中止。</w:t>
      </w:r>
      <w:r>
        <w:rPr>
          <w:rFonts w:hint="eastAsia" w:ascii="仿宋" w:hAnsi="仿宋" w:eastAsia="仿宋" w:cs="仿宋"/>
          <w:color w:val="auto"/>
          <w:highlight w:val="none"/>
        </w:rPr>
        <w:t>采购过程中出现以下情形，导致电子交易平台无法正常运行，或者无法保证电子交易的公平、公正和安全时，</w:t>
      </w:r>
      <w:r>
        <w:rPr>
          <w:rFonts w:hint="eastAsia" w:ascii="仿宋" w:hAnsi="仿宋" w:eastAsia="仿宋" w:cs="仿宋"/>
          <w:color w:val="auto"/>
          <w:highlight w:val="none"/>
          <w:lang w:eastAsia="zh-CN"/>
        </w:rPr>
        <w:t>采购代理机构</w:t>
      </w:r>
      <w:r>
        <w:rPr>
          <w:rFonts w:hint="eastAsia" w:ascii="仿宋" w:hAnsi="仿宋" w:eastAsia="仿宋" w:cs="仿宋"/>
          <w:color w:val="auto"/>
          <w:highlight w:val="none"/>
        </w:rPr>
        <w:t>可中止电子交易活动：</w:t>
      </w:r>
    </w:p>
    <w:p>
      <w:pPr>
        <w:pStyle w:val="85"/>
        <w:snapToGrid w:val="0"/>
        <w:spacing w:before="0" w:line="480" w:lineRule="auto"/>
        <w:ind w:firstLine="480"/>
        <w:rPr>
          <w:rFonts w:hint="eastAsia" w:ascii="仿宋" w:hAnsi="仿宋" w:eastAsia="仿宋" w:cs="仿宋"/>
          <w:color w:val="auto"/>
          <w:highlight w:val="none"/>
        </w:rPr>
      </w:pPr>
      <w:r>
        <w:rPr>
          <w:rFonts w:hint="eastAsia" w:ascii="仿宋" w:hAnsi="仿宋" w:eastAsia="仿宋" w:cs="仿宋"/>
          <w:color w:val="auto"/>
          <w:highlight w:val="none"/>
        </w:rPr>
        <w:t>2</w:t>
      </w:r>
      <w:r>
        <w:rPr>
          <w:rFonts w:hint="eastAsia" w:ascii="仿宋" w:hAnsi="仿宋" w:eastAsia="仿宋" w:cs="仿宋"/>
          <w:color w:val="auto"/>
          <w:highlight w:val="none"/>
          <w:lang w:val="en-US" w:eastAsia="zh-CN"/>
        </w:rPr>
        <w:t>7</w:t>
      </w:r>
      <w:r>
        <w:rPr>
          <w:rFonts w:hint="eastAsia" w:ascii="仿宋" w:hAnsi="仿宋" w:eastAsia="仿宋" w:cs="仿宋"/>
          <w:color w:val="auto"/>
          <w:highlight w:val="none"/>
        </w:rPr>
        <w:t xml:space="preserve">.1电子交易平台发生故障而无法登录访问的； </w:t>
      </w:r>
    </w:p>
    <w:p>
      <w:pPr>
        <w:pStyle w:val="85"/>
        <w:snapToGrid w:val="0"/>
        <w:spacing w:before="0" w:line="480" w:lineRule="auto"/>
        <w:ind w:firstLine="480"/>
        <w:rPr>
          <w:rFonts w:hint="eastAsia" w:ascii="仿宋" w:hAnsi="仿宋" w:eastAsia="仿宋" w:cs="仿宋"/>
          <w:color w:val="auto"/>
          <w:highlight w:val="none"/>
        </w:rPr>
      </w:pPr>
      <w:r>
        <w:rPr>
          <w:rFonts w:hint="eastAsia" w:ascii="仿宋" w:hAnsi="仿宋" w:eastAsia="仿宋" w:cs="仿宋"/>
          <w:color w:val="auto"/>
          <w:highlight w:val="none"/>
        </w:rPr>
        <w:t>2</w:t>
      </w:r>
      <w:r>
        <w:rPr>
          <w:rFonts w:hint="eastAsia" w:ascii="仿宋" w:hAnsi="仿宋" w:eastAsia="仿宋" w:cs="仿宋"/>
          <w:color w:val="auto"/>
          <w:highlight w:val="none"/>
          <w:lang w:val="en-US" w:eastAsia="zh-CN"/>
        </w:rPr>
        <w:t>7</w:t>
      </w:r>
      <w:r>
        <w:rPr>
          <w:rFonts w:hint="eastAsia" w:ascii="仿宋" w:hAnsi="仿宋" w:eastAsia="仿宋" w:cs="仿宋"/>
          <w:color w:val="auto"/>
          <w:highlight w:val="none"/>
        </w:rPr>
        <w:t>.2电子交易平台应用或数据库出现错误，不能进行正常操作的；</w:t>
      </w:r>
    </w:p>
    <w:p>
      <w:pPr>
        <w:pStyle w:val="85"/>
        <w:snapToGrid w:val="0"/>
        <w:spacing w:before="0" w:line="480" w:lineRule="auto"/>
        <w:ind w:firstLine="480"/>
        <w:rPr>
          <w:rFonts w:hint="eastAsia" w:ascii="仿宋" w:hAnsi="仿宋" w:eastAsia="仿宋" w:cs="仿宋"/>
          <w:color w:val="auto"/>
          <w:highlight w:val="none"/>
        </w:rPr>
      </w:pPr>
      <w:r>
        <w:rPr>
          <w:rFonts w:hint="eastAsia" w:ascii="仿宋" w:hAnsi="仿宋" w:eastAsia="仿宋" w:cs="仿宋"/>
          <w:color w:val="auto"/>
          <w:highlight w:val="none"/>
        </w:rPr>
        <w:t>2</w:t>
      </w:r>
      <w:r>
        <w:rPr>
          <w:rFonts w:hint="eastAsia" w:ascii="仿宋" w:hAnsi="仿宋" w:eastAsia="仿宋" w:cs="仿宋"/>
          <w:color w:val="auto"/>
          <w:highlight w:val="none"/>
          <w:lang w:val="en-US" w:eastAsia="zh-CN"/>
        </w:rPr>
        <w:t>7</w:t>
      </w:r>
      <w:r>
        <w:rPr>
          <w:rFonts w:hint="eastAsia" w:ascii="仿宋" w:hAnsi="仿宋" w:eastAsia="仿宋" w:cs="仿宋"/>
          <w:color w:val="auto"/>
          <w:highlight w:val="none"/>
        </w:rPr>
        <w:t>.3电子交易平台发现严重安全漏洞，有潜在泄密危险的；</w:t>
      </w:r>
    </w:p>
    <w:p>
      <w:pPr>
        <w:pStyle w:val="85"/>
        <w:snapToGrid w:val="0"/>
        <w:spacing w:before="0" w:line="480" w:lineRule="auto"/>
        <w:ind w:firstLine="480"/>
        <w:rPr>
          <w:rFonts w:hint="eastAsia" w:ascii="仿宋" w:hAnsi="仿宋" w:eastAsia="仿宋" w:cs="仿宋"/>
          <w:color w:val="auto"/>
          <w:highlight w:val="none"/>
        </w:rPr>
      </w:pPr>
      <w:r>
        <w:rPr>
          <w:rFonts w:hint="eastAsia" w:ascii="仿宋" w:hAnsi="仿宋" w:eastAsia="仿宋" w:cs="仿宋"/>
          <w:color w:val="auto"/>
          <w:highlight w:val="none"/>
        </w:rPr>
        <w:t>2</w:t>
      </w:r>
      <w:r>
        <w:rPr>
          <w:rFonts w:hint="eastAsia" w:ascii="仿宋" w:hAnsi="仿宋" w:eastAsia="仿宋" w:cs="仿宋"/>
          <w:color w:val="auto"/>
          <w:highlight w:val="none"/>
          <w:lang w:val="en-US" w:eastAsia="zh-CN"/>
        </w:rPr>
        <w:t>7</w:t>
      </w:r>
      <w:r>
        <w:rPr>
          <w:rFonts w:hint="eastAsia" w:ascii="仿宋" w:hAnsi="仿宋" w:eastAsia="仿宋" w:cs="仿宋"/>
          <w:color w:val="auto"/>
          <w:highlight w:val="none"/>
        </w:rPr>
        <w:t xml:space="preserve">.4病毒发作导致不能进行正常操作的； </w:t>
      </w:r>
    </w:p>
    <w:p>
      <w:pPr>
        <w:pStyle w:val="85"/>
        <w:snapToGrid w:val="0"/>
        <w:spacing w:before="0" w:line="480" w:lineRule="auto"/>
        <w:ind w:firstLine="480"/>
        <w:rPr>
          <w:rFonts w:hint="eastAsia" w:ascii="仿宋" w:hAnsi="仿宋" w:eastAsia="仿宋" w:cs="仿宋"/>
          <w:color w:val="auto"/>
          <w:highlight w:val="none"/>
        </w:rPr>
      </w:pPr>
      <w:r>
        <w:rPr>
          <w:rFonts w:hint="eastAsia" w:ascii="仿宋" w:hAnsi="仿宋" w:eastAsia="仿宋" w:cs="仿宋"/>
          <w:color w:val="auto"/>
          <w:highlight w:val="none"/>
        </w:rPr>
        <w:t>2</w:t>
      </w:r>
      <w:r>
        <w:rPr>
          <w:rFonts w:hint="eastAsia" w:ascii="仿宋" w:hAnsi="仿宋" w:eastAsia="仿宋" w:cs="仿宋"/>
          <w:color w:val="auto"/>
          <w:highlight w:val="none"/>
          <w:lang w:val="en-US" w:eastAsia="zh-CN"/>
        </w:rPr>
        <w:t>7</w:t>
      </w:r>
      <w:r>
        <w:rPr>
          <w:rFonts w:hint="eastAsia" w:ascii="仿宋" w:hAnsi="仿宋" w:eastAsia="仿宋" w:cs="仿宋"/>
          <w:color w:val="auto"/>
          <w:highlight w:val="none"/>
        </w:rPr>
        <w:t>.5其他无法保证电子交易的公平、公正和安全的情况。</w:t>
      </w:r>
    </w:p>
    <w:p>
      <w:pPr>
        <w:pStyle w:val="85"/>
        <w:snapToGrid w:val="0"/>
        <w:spacing w:before="0" w:line="480" w:lineRule="auto"/>
        <w:ind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 xml:space="preserve"> 2</w:t>
      </w:r>
      <w:r>
        <w:rPr>
          <w:rFonts w:hint="eastAsia" w:ascii="仿宋" w:hAnsi="仿宋" w:eastAsia="仿宋" w:cs="仿宋"/>
          <w:color w:val="auto"/>
          <w:highlight w:val="none"/>
          <w:lang w:val="en-US" w:eastAsia="zh-CN"/>
        </w:rPr>
        <w:t>8</w:t>
      </w:r>
      <w:r>
        <w:rPr>
          <w:rFonts w:hint="eastAsia" w:ascii="仿宋" w:hAnsi="仿宋" w:eastAsia="仿宋" w:cs="仿宋"/>
          <w:color w:val="auto"/>
          <w:highlight w:val="none"/>
          <w:lang w:eastAsia="zh-CN"/>
        </w:rPr>
        <w:t>、</w:t>
      </w:r>
      <w:r>
        <w:rPr>
          <w:rFonts w:hint="eastAsia" w:ascii="仿宋" w:hAnsi="仿宋" w:eastAsia="仿宋" w:cs="仿宋"/>
          <w:color w:val="auto"/>
          <w:highlight w:val="none"/>
        </w:rPr>
        <w:t>出现以上情形，不影响采购公平、公正性的，采购组织机构可以待上述情形消除后继续组织电子交易活动，也可以决定某些环节以纸质形式进行；影响或可能影响采购公平、公正性的，应当重新采购。</w:t>
      </w:r>
    </w:p>
    <w:p>
      <w:pPr>
        <w:tabs>
          <w:tab w:val="left" w:pos="0"/>
        </w:tabs>
        <w:spacing w:line="480" w:lineRule="auto"/>
        <w:ind w:firstLine="480"/>
        <w:rPr>
          <w:rFonts w:hint="eastAsia" w:ascii="仿宋" w:hAnsi="仿宋" w:eastAsia="仿宋" w:cs="仿宋"/>
          <w:color w:val="auto"/>
          <w:sz w:val="24"/>
          <w:highlight w:val="none"/>
        </w:rPr>
      </w:pPr>
    </w:p>
    <w:p>
      <w:pPr>
        <w:snapToGrid w:val="0"/>
        <w:spacing w:line="480" w:lineRule="auto"/>
        <w:ind w:left="120" w:leftChars="57" w:firstLine="482" w:firstLineChars="150"/>
        <w:jc w:val="center"/>
        <w:rPr>
          <w:rFonts w:hint="eastAsia" w:ascii="仿宋" w:hAnsi="仿宋" w:eastAsia="仿宋" w:cs="仿宋"/>
          <w:b/>
          <w:color w:val="auto"/>
          <w:sz w:val="32"/>
          <w:highlight w:val="none"/>
        </w:rPr>
      </w:pPr>
      <w:r>
        <w:rPr>
          <w:rFonts w:hint="eastAsia" w:ascii="仿宋" w:hAnsi="仿宋" w:eastAsia="仿宋" w:cs="仿宋"/>
          <w:b/>
          <w:color w:val="auto"/>
          <w:sz w:val="32"/>
          <w:highlight w:val="none"/>
        </w:rPr>
        <w:t>九、验收</w:t>
      </w:r>
    </w:p>
    <w:p>
      <w:pPr>
        <w:pStyle w:val="6"/>
        <w:spacing w:line="480" w:lineRule="auto"/>
        <w:ind w:firstLine="0" w:firstLineChars="0"/>
        <w:rPr>
          <w:rFonts w:hint="eastAsia" w:ascii="仿宋" w:hAnsi="仿宋" w:eastAsia="仿宋" w:cs="仿宋"/>
          <w:b/>
          <w:color w:val="auto"/>
          <w:highlight w:val="none"/>
        </w:rPr>
      </w:pPr>
      <w:r>
        <w:rPr>
          <w:rFonts w:hint="eastAsia" w:ascii="仿宋" w:hAnsi="仿宋" w:eastAsia="仿宋" w:cs="仿宋"/>
          <w:b/>
          <w:color w:val="auto"/>
          <w:highlight w:val="none"/>
          <w:lang w:val="en-US" w:eastAsia="zh-CN"/>
        </w:rPr>
        <w:t>29</w:t>
      </w:r>
      <w:r>
        <w:rPr>
          <w:rFonts w:hint="eastAsia" w:ascii="仿宋" w:hAnsi="仿宋" w:eastAsia="仿宋" w:cs="仿宋"/>
          <w:b/>
          <w:color w:val="auto"/>
          <w:highlight w:val="none"/>
          <w:lang w:eastAsia="zh-CN"/>
        </w:rPr>
        <w:t>、</w:t>
      </w:r>
      <w:r>
        <w:rPr>
          <w:rFonts w:hint="eastAsia" w:ascii="仿宋" w:hAnsi="仿宋" w:eastAsia="仿宋" w:cs="仿宋"/>
          <w:b/>
          <w:color w:val="auto"/>
          <w:highlight w:val="none"/>
        </w:rPr>
        <w:t>验收</w:t>
      </w:r>
    </w:p>
    <w:p>
      <w:pPr>
        <w:tabs>
          <w:tab w:val="left" w:pos="0"/>
        </w:tabs>
        <w:spacing w:line="480" w:lineRule="auto"/>
        <w:ind w:firstLine="48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en-US" w:eastAsia="zh-CN"/>
        </w:rPr>
        <w:t>29</w:t>
      </w:r>
      <w:r>
        <w:rPr>
          <w:rFonts w:hint="eastAsia" w:ascii="仿宋" w:hAnsi="仿宋" w:eastAsia="仿宋" w:cs="仿宋"/>
          <w:color w:val="auto"/>
          <w:kern w:val="0"/>
          <w:sz w:val="24"/>
          <w:highlight w:val="none"/>
        </w:rPr>
        <w:t>.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接受相应的处理。</w:t>
      </w:r>
    </w:p>
    <w:p>
      <w:pPr>
        <w:tabs>
          <w:tab w:val="left" w:pos="0"/>
        </w:tabs>
        <w:spacing w:line="480" w:lineRule="auto"/>
        <w:ind w:firstLine="48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en-US" w:eastAsia="zh-CN"/>
        </w:rPr>
        <w:t>29</w:t>
      </w:r>
      <w:r>
        <w:rPr>
          <w:rFonts w:hint="eastAsia" w:ascii="仿宋" w:hAnsi="仿宋" w:eastAsia="仿宋" w:cs="仿宋"/>
          <w:color w:val="auto"/>
          <w:kern w:val="0"/>
          <w:sz w:val="24"/>
          <w:highlight w:val="none"/>
        </w:rPr>
        <w:t>.2采购人可以邀请参加本项目的其他投标人或者第三方机构参与验收。参与验收的投标人或者第三方机构的意见作为验收书的参考资料一并存档。</w:t>
      </w:r>
    </w:p>
    <w:p>
      <w:pPr>
        <w:tabs>
          <w:tab w:val="left" w:pos="0"/>
        </w:tabs>
        <w:spacing w:line="480" w:lineRule="auto"/>
        <w:ind w:firstLine="48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en-US" w:eastAsia="zh-CN"/>
        </w:rPr>
        <w:t>29</w:t>
      </w:r>
      <w:r>
        <w:rPr>
          <w:rFonts w:hint="eastAsia" w:ascii="仿宋" w:hAnsi="仿宋" w:eastAsia="仿宋" w:cs="仿宋"/>
          <w:color w:val="auto"/>
          <w:kern w:val="0"/>
          <w:sz w:val="24"/>
          <w:highlight w:val="none"/>
        </w:rPr>
        <w:t>.3严格按照采购合同开展履约验收。采购人成立验收小组，按照采购合同的约定对供应商履约情况进行验收。验收时，按照采购合同的约定对每一项技术、服务、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pPr>
        <w:tabs>
          <w:tab w:val="left" w:pos="0"/>
        </w:tabs>
        <w:spacing w:line="480" w:lineRule="auto"/>
        <w:ind w:firstLine="480"/>
        <w:rPr>
          <w:rFonts w:hint="eastAsia" w:ascii="仿宋" w:hAnsi="仿宋" w:eastAsia="仿宋" w:cs="仿宋"/>
          <w:color w:val="auto"/>
          <w:sz w:val="18"/>
          <w:szCs w:val="18"/>
          <w:highlight w:val="none"/>
        </w:rPr>
      </w:pPr>
      <w:r>
        <w:rPr>
          <w:rFonts w:hint="eastAsia" w:ascii="仿宋" w:hAnsi="仿宋" w:eastAsia="仿宋" w:cs="仿宋"/>
          <w:color w:val="auto"/>
          <w:kern w:val="0"/>
          <w:sz w:val="24"/>
          <w:highlight w:val="none"/>
          <w:lang w:val="en-US" w:eastAsia="zh-CN"/>
        </w:rPr>
        <w:t>29</w:t>
      </w:r>
      <w:r>
        <w:rPr>
          <w:rFonts w:hint="eastAsia" w:ascii="仿宋" w:hAnsi="仿宋" w:eastAsia="仿宋" w:cs="仿宋"/>
          <w:color w:val="auto"/>
          <w:kern w:val="0"/>
          <w:sz w:val="24"/>
          <w:highlight w:val="none"/>
        </w:rPr>
        <w:t>.4验收合格的项目，采购人将根据采购合同的约定及时向供应商支付采购资金、退还履约保证金。验收不合格的项目，采购人将依法及时处理。采购合同的履行、违约责任和解决争议的方式等适用《中华人民共和国民法典》。供应商在履约过程中有政府采购法律法规规定的违法违规情形的，采购人应当及时报告本级财政部门。</w:t>
      </w:r>
    </w:p>
    <w:bookmarkEnd w:id="12"/>
    <w:p>
      <w:pPr>
        <w:tabs>
          <w:tab w:val="left" w:pos="0"/>
        </w:tabs>
        <w:spacing w:line="480" w:lineRule="auto"/>
        <w:ind w:firstLine="480"/>
        <w:rPr>
          <w:rFonts w:hint="eastAsia" w:ascii="仿宋" w:hAnsi="仿宋" w:eastAsia="仿宋" w:cs="仿宋"/>
          <w:color w:val="auto"/>
          <w:kern w:val="0"/>
          <w:sz w:val="24"/>
          <w:highlight w:val="none"/>
        </w:rPr>
        <w:sectPr>
          <w:headerReference r:id="rId4" w:type="first"/>
          <w:footerReference r:id="rId7" w:type="first"/>
          <w:headerReference r:id="rId3" w:type="default"/>
          <w:footerReference r:id="rId5" w:type="default"/>
          <w:footerReference r:id="rId6" w:type="even"/>
          <w:pgSz w:w="11906" w:h="16838"/>
          <w:pgMar w:top="680" w:right="1418" w:bottom="468" w:left="1418" w:header="851" w:footer="992" w:gutter="0"/>
          <w:cols w:space="720" w:num="1"/>
          <w:titlePg/>
          <w:docGrid w:linePitch="312" w:charSpace="0"/>
        </w:sectPr>
      </w:pPr>
      <w:bookmarkStart w:id="14" w:name="_Hlt74730295"/>
      <w:bookmarkEnd w:id="14"/>
      <w:bookmarkStart w:id="15" w:name="_Hlt74714665"/>
      <w:bookmarkEnd w:id="15"/>
      <w:bookmarkStart w:id="16" w:name="_Hlt74729768"/>
      <w:bookmarkEnd w:id="16"/>
      <w:bookmarkStart w:id="17" w:name="_Hlt68073093"/>
      <w:bookmarkEnd w:id="17"/>
      <w:bookmarkStart w:id="18" w:name="_Hlt75236101"/>
      <w:bookmarkEnd w:id="18"/>
      <w:bookmarkStart w:id="19" w:name="_Hlt74707468"/>
      <w:bookmarkEnd w:id="19"/>
      <w:bookmarkStart w:id="20" w:name="_Hlt68072998"/>
      <w:bookmarkEnd w:id="20"/>
      <w:bookmarkStart w:id="21" w:name="_Hlt75236011"/>
      <w:bookmarkEnd w:id="21"/>
      <w:bookmarkStart w:id="22" w:name="_Hlt68072990"/>
      <w:bookmarkEnd w:id="22"/>
      <w:bookmarkStart w:id="23" w:name="_Hlt68057669"/>
      <w:bookmarkEnd w:id="23"/>
      <w:bookmarkStart w:id="24" w:name="_Hlt68403820"/>
      <w:bookmarkEnd w:id="24"/>
      <w:bookmarkStart w:id="25" w:name="_Hlt75236290"/>
      <w:bookmarkEnd w:id="25"/>
    </w:p>
    <w:bookmarkEnd w:id="10"/>
    <w:bookmarkEnd w:id="11"/>
    <w:p>
      <w:pPr>
        <w:spacing w:line="360" w:lineRule="auto"/>
        <w:jc w:val="center"/>
        <w:outlineLvl w:val="0"/>
        <w:rPr>
          <w:rFonts w:hint="eastAsia" w:ascii="仿宋" w:hAnsi="仿宋" w:eastAsia="仿宋" w:cs="仿宋"/>
          <w:b/>
          <w:color w:val="auto"/>
          <w:sz w:val="36"/>
          <w:szCs w:val="36"/>
          <w:highlight w:val="none"/>
        </w:rPr>
      </w:pPr>
      <w:bookmarkStart w:id="26" w:name="第四部分"/>
      <w:r>
        <w:rPr>
          <w:rFonts w:hint="eastAsia" w:ascii="仿宋" w:hAnsi="仿宋" w:eastAsia="仿宋" w:cs="仿宋"/>
          <w:b/>
          <w:color w:val="auto"/>
          <w:sz w:val="36"/>
          <w:szCs w:val="36"/>
          <w:highlight w:val="none"/>
        </w:rPr>
        <w:t>第三部分   采购需求</w:t>
      </w:r>
    </w:p>
    <w:p>
      <w:pPr>
        <w:pStyle w:val="60"/>
        <w:numPr>
          <w:ilvl w:val="0"/>
          <w:numId w:val="0"/>
        </w:numPr>
        <w:spacing w:line="360" w:lineRule="auto"/>
        <w:rPr>
          <w:rFonts w:hint="eastAsia" w:ascii="仿宋" w:hAnsi="仿宋" w:eastAsia="仿宋" w:cs="仿宋"/>
          <w:b/>
          <w:bCs/>
          <w:color w:val="auto"/>
          <w:highlight w:val="none"/>
          <w:lang w:val="en-US" w:eastAsia="zh-CN"/>
        </w:rPr>
      </w:pPr>
      <w:r>
        <w:rPr>
          <w:rFonts w:hint="eastAsia" w:ascii="仿宋" w:hAnsi="仿宋" w:eastAsia="仿宋" w:cs="仿宋"/>
          <w:b/>
          <w:bCs/>
          <w:color w:val="auto"/>
          <w:highlight w:val="none"/>
          <w:lang w:val="en-US" w:eastAsia="zh-CN"/>
        </w:rPr>
        <w:t>一、项目概况</w:t>
      </w:r>
    </w:p>
    <w:p>
      <w:pPr>
        <w:pStyle w:val="50"/>
        <w:spacing w:line="360" w:lineRule="auto"/>
        <w:ind w:left="0" w:leftChars="0" w:firstLine="480" w:firstLineChars="200"/>
        <w:rPr>
          <w:rFonts w:hint="eastAsia" w:ascii="仿宋" w:hAnsi="仿宋" w:eastAsia="仿宋" w:cs="仿宋"/>
          <w:color w:val="auto"/>
          <w:szCs w:val="21"/>
          <w:highlight w:val="none"/>
        </w:rPr>
      </w:pPr>
      <w:r>
        <w:rPr>
          <w:rFonts w:hint="eastAsia" w:ascii="仿宋" w:hAnsi="仿宋" w:eastAsia="仿宋" w:cs="仿宋"/>
          <w:b w:val="0"/>
          <w:bCs w:val="0"/>
          <w:color w:val="auto"/>
          <w:kern w:val="2"/>
          <w:sz w:val="24"/>
          <w:szCs w:val="24"/>
          <w:highlight w:val="none"/>
          <w:lang w:val="en-US" w:eastAsia="zh-CN" w:bidi="ar-SA"/>
        </w:rPr>
        <w:t>本项目为“交钥匙”项目，本次招标范围内的所有作业内容，包括但不限于人工工资（含加班费）、</w:t>
      </w:r>
      <w:r>
        <w:rPr>
          <w:rFonts w:hint="eastAsia" w:ascii="仿宋" w:hAnsi="仿宋" w:eastAsia="仿宋" w:cs="仿宋"/>
          <w:color w:val="auto"/>
          <w:sz w:val="24"/>
          <w:highlight w:val="none"/>
          <w:lang w:val="en-US" w:eastAsia="zh-CN"/>
        </w:rPr>
        <w:t>车辆运行费（车辆运行费包括车辆保险费、保养费、车辆年检费、</w:t>
      </w:r>
      <w:r>
        <w:rPr>
          <w:rFonts w:hint="eastAsia" w:ascii="仿宋" w:hAnsi="仿宋" w:eastAsia="仿宋" w:cs="仿宋"/>
          <w:color w:val="auto"/>
          <w:sz w:val="24"/>
          <w:highlight w:val="none"/>
          <w:lang w:eastAsia="zh-CN"/>
        </w:rPr>
        <w:t>消耗的燃油、</w:t>
      </w:r>
      <w:r>
        <w:rPr>
          <w:rFonts w:hint="eastAsia" w:ascii="仿宋" w:hAnsi="仿宋" w:eastAsia="仿宋" w:cs="仿宋"/>
          <w:color w:val="auto"/>
          <w:sz w:val="24"/>
          <w:highlight w:val="none"/>
          <w:lang w:val="en-US" w:eastAsia="zh-CN"/>
        </w:rPr>
        <w:t>日常维保费等）、</w:t>
      </w:r>
      <w:r>
        <w:rPr>
          <w:rFonts w:hint="eastAsia" w:ascii="仿宋" w:hAnsi="仿宋" w:eastAsia="仿宋" w:cs="仿宋"/>
          <w:color w:val="auto"/>
          <w:sz w:val="24"/>
          <w:szCs w:val="24"/>
          <w:highlight w:val="none"/>
        </w:rPr>
        <w:t>服装、</w:t>
      </w:r>
      <w:r>
        <w:rPr>
          <w:rFonts w:hint="eastAsia" w:ascii="仿宋" w:hAnsi="仿宋" w:eastAsia="仿宋" w:cs="仿宋"/>
          <w:b w:val="0"/>
          <w:bCs w:val="0"/>
          <w:color w:val="auto"/>
          <w:kern w:val="2"/>
          <w:sz w:val="24"/>
          <w:szCs w:val="24"/>
          <w:highlight w:val="none"/>
          <w:lang w:val="en-US" w:eastAsia="zh-CN" w:bidi="ar-SA"/>
        </w:rPr>
        <w:t>食宿、通信、劳保（含高温补贴费、夏令防暑等）、福利、利润、税金、保险（包括医疗、工伤、养老等社会保险及人身意外保险）以及因国家政策性调整（包括但不限于最低工资调整和社保保障缴费调整）、</w:t>
      </w:r>
      <w:r>
        <w:rPr>
          <w:rFonts w:hint="eastAsia" w:ascii="仿宋" w:hAnsi="仿宋" w:eastAsia="仿宋" w:cs="仿宋"/>
          <w:color w:val="auto"/>
          <w:sz w:val="24"/>
          <w:szCs w:val="24"/>
          <w:highlight w:val="none"/>
        </w:rPr>
        <w:t>管理费、</w:t>
      </w:r>
      <w:r>
        <w:rPr>
          <w:rFonts w:hint="eastAsia" w:ascii="仿宋" w:hAnsi="仿宋" w:eastAsia="仿宋" w:cs="仿宋"/>
          <w:color w:val="auto"/>
          <w:sz w:val="24"/>
          <w:szCs w:val="24"/>
          <w:highlight w:val="none"/>
          <w:lang w:eastAsia="zh-CN"/>
        </w:rPr>
        <w:t>培训、</w:t>
      </w:r>
      <w:r>
        <w:rPr>
          <w:rFonts w:hint="eastAsia" w:ascii="仿宋" w:hAnsi="仿宋" w:eastAsia="仿宋" w:cs="仿宋"/>
          <w:color w:val="auto"/>
          <w:sz w:val="24"/>
          <w:szCs w:val="24"/>
          <w:highlight w:val="none"/>
        </w:rPr>
        <w:t>验收、辅助工作及售后服务</w:t>
      </w:r>
      <w:r>
        <w:rPr>
          <w:rFonts w:hint="eastAsia" w:ascii="仿宋" w:hAnsi="仿宋" w:eastAsia="仿宋" w:cs="仿宋"/>
          <w:color w:val="auto"/>
          <w:sz w:val="24"/>
          <w:szCs w:val="24"/>
          <w:highlight w:val="none"/>
          <w:lang w:eastAsia="zh-CN"/>
        </w:rPr>
        <w:t>、</w:t>
      </w:r>
      <w:r>
        <w:rPr>
          <w:rFonts w:hint="eastAsia" w:ascii="仿宋" w:hAnsi="仿宋" w:eastAsia="仿宋" w:cs="仿宋"/>
          <w:b w:val="0"/>
          <w:bCs w:val="0"/>
          <w:color w:val="auto"/>
          <w:kern w:val="2"/>
          <w:sz w:val="24"/>
          <w:szCs w:val="24"/>
          <w:highlight w:val="none"/>
          <w:lang w:val="en-US" w:eastAsia="zh-CN" w:bidi="ar-SA"/>
        </w:rPr>
        <w:t>招标代理费等一切费用。</w:t>
      </w:r>
      <w:bookmarkStart w:id="27" w:name="_Toc488302347"/>
    </w:p>
    <w:bookmarkEnd w:id="27"/>
    <w:p>
      <w:pPr>
        <w:pStyle w:val="60"/>
        <w:numPr>
          <w:ilvl w:val="0"/>
          <w:numId w:val="2"/>
        </w:numPr>
        <w:spacing w:line="360" w:lineRule="auto"/>
        <w:ind w:left="0" w:leftChars="0" w:firstLine="0" w:firstLineChars="0"/>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lang w:val="en-US" w:eastAsia="zh-CN"/>
        </w:rPr>
        <w:t>项目</w:t>
      </w:r>
      <w:r>
        <w:rPr>
          <w:rFonts w:hint="eastAsia" w:ascii="仿宋" w:hAnsi="仿宋" w:eastAsia="仿宋" w:cs="仿宋"/>
          <w:b/>
          <w:bCs/>
          <w:color w:val="auto"/>
          <w:sz w:val="24"/>
          <w:highlight w:val="none"/>
        </w:rPr>
        <w:t>需求</w:t>
      </w:r>
    </w:p>
    <w:p>
      <w:pPr>
        <w:widowControl/>
        <w:adjustRightInd/>
        <w:spacing w:after="120" w:line="360" w:lineRule="auto"/>
        <w:ind w:firstLine="482" w:firstLineChars="200"/>
        <w:textAlignment w:val="baseline"/>
        <w:rPr>
          <w:rFonts w:hint="eastAsia" w:ascii="仿宋" w:hAnsi="仿宋" w:eastAsia="仿宋" w:cs="仿宋"/>
          <w:b/>
          <w:bCs/>
          <w:color w:val="auto"/>
          <w:sz w:val="24"/>
          <w:highlight w:val="none"/>
          <w:lang w:val="en-US" w:eastAsia="zh-CN"/>
        </w:rPr>
      </w:pPr>
      <w:r>
        <w:rPr>
          <w:rFonts w:hint="eastAsia" w:ascii="仿宋" w:hAnsi="仿宋" w:eastAsia="仿宋" w:cs="仿宋"/>
          <w:b/>
          <w:bCs/>
          <w:color w:val="auto"/>
          <w:sz w:val="24"/>
          <w:highlight w:val="none"/>
        </w:rPr>
        <w:t>（一）</w:t>
      </w:r>
      <w:r>
        <w:rPr>
          <w:rFonts w:hint="eastAsia" w:ascii="仿宋" w:hAnsi="仿宋" w:eastAsia="仿宋" w:cs="仿宋"/>
          <w:b/>
          <w:bCs/>
          <w:color w:val="auto"/>
          <w:sz w:val="24"/>
          <w:highlight w:val="none"/>
          <w:lang w:val="en-US" w:eastAsia="zh-CN"/>
        </w:rPr>
        <w:t>指导思想</w:t>
      </w:r>
    </w:p>
    <w:p>
      <w:pPr>
        <w:pStyle w:val="60"/>
        <w:spacing w:line="360" w:lineRule="auto"/>
        <w:rPr>
          <w:rFonts w:hint="default"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以习近平新时代中国特色社会主义思想为指导，全面贯彻党的二十大精神，深入学习贯彻习近平总书记关于建设“专常兼备、反应灵敏、作风过硬、本领高强”应急救援队伍的重要讲话精神，按照区委、区政府有关部署，切实加强街道应急消防力量建设，努力做到“覆盖到底、就近调配、快速机动、初战控火、减少损失”，有效防范化解重大安全风险，及时应对处置各类灾害事故，切实保护人民群众生命财产安全和维护社会稳定。</w:t>
      </w:r>
    </w:p>
    <w:p>
      <w:pPr>
        <w:widowControl/>
        <w:adjustRightInd/>
        <w:spacing w:after="120" w:line="360" w:lineRule="auto"/>
        <w:ind w:firstLine="482" w:firstLineChars="200"/>
        <w:textAlignment w:val="baseline"/>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lang w:eastAsia="zh-CN"/>
        </w:rPr>
        <w:t>（</w:t>
      </w:r>
      <w:r>
        <w:rPr>
          <w:rFonts w:hint="eastAsia" w:ascii="仿宋" w:hAnsi="仿宋" w:eastAsia="仿宋" w:cs="仿宋"/>
          <w:b/>
          <w:bCs/>
          <w:color w:val="auto"/>
          <w:sz w:val="24"/>
          <w:highlight w:val="none"/>
          <w:lang w:val="en-US" w:eastAsia="zh-CN"/>
        </w:rPr>
        <w:t>二）</w:t>
      </w:r>
      <w:r>
        <w:rPr>
          <w:rFonts w:hint="eastAsia" w:ascii="仿宋" w:hAnsi="仿宋" w:eastAsia="仿宋" w:cs="仿宋"/>
          <w:b/>
          <w:bCs/>
          <w:color w:val="auto"/>
          <w:sz w:val="24"/>
          <w:highlight w:val="none"/>
        </w:rPr>
        <w:t>项目背景及目标</w:t>
      </w:r>
    </w:p>
    <w:p>
      <w:pPr>
        <w:widowControl/>
        <w:adjustRightInd/>
        <w:spacing w:after="120" w:line="360" w:lineRule="auto"/>
        <w:ind w:firstLine="480" w:firstLineChars="200"/>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为推进街道应急消防力量建设，夯实消防安全工作基础，构筑全覆盖无盲区的应急消防力量体系，全面适应街道城乡建设和经济社会发展需要，根据余消安委〔2023〕1号文件《关于进一步加强全区区域性及村（社区）微型消防救援站建设工作的通知》，结合余杭街道实际情况</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做好</w:t>
      </w:r>
      <w:r>
        <w:rPr>
          <w:rFonts w:hint="eastAsia" w:ascii="仿宋" w:hAnsi="仿宋" w:eastAsia="仿宋" w:cs="仿宋"/>
          <w:color w:val="auto"/>
          <w:sz w:val="24"/>
          <w:highlight w:val="none"/>
          <w:lang w:eastAsia="zh-CN"/>
        </w:rPr>
        <w:t>余杭街道区域性微型消防救援站</w:t>
      </w:r>
      <w:r>
        <w:rPr>
          <w:rFonts w:hint="eastAsia" w:ascii="仿宋" w:hAnsi="仿宋" w:eastAsia="仿宋" w:cs="仿宋"/>
          <w:color w:val="auto"/>
          <w:sz w:val="24"/>
          <w:highlight w:val="none"/>
        </w:rPr>
        <w:t>建设工作</w:t>
      </w:r>
      <w:r>
        <w:rPr>
          <w:rFonts w:hint="eastAsia" w:ascii="仿宋" w:hAnsi="仿宋" w:eastAsia="仿宋" w:cs="仿宋"/>
          <w:color w:val="auto"/>
          <w:sz w:val="24"/>
          <w:highlight w:val="none"/>
          <w:lang w:eastAsia="zh-CN"/>
        </w:rPr>
        <w:t>，将街道辖区划分为毓溪片、凤凰片、山西园片、义桥片、竹园片、洪桐片共六个片区，</w:t>
      </w:r>
      <w:r>
        <w:rPr>
          <w:rFonts w:hint="eastAsia" w:ascii="仿宋" w:hAnsi="仿宋" w:eastAsia="仿宋" w:cs="仿宋"/>
          <w:color w:val="auto"/>
          <w:sz w:val="24"/>
          <w:highlight w:val="none"/>
        </w:rPr>
        <w:t>全力打造素质过硬、装备配套、协同作战、一专多能的</w:t>
      </w:r>
      <w:r>
        <w:rPr>
          <w:rFonts w:hint="eastAsia" w:ascii="仿宋" w:hAnsi="仿宋" w:eastAsia="仿宋" w:cs="仿宋"/>
          <w:color w:val="auto"/>
          <w:sz w:val="24"/>
          <w:highlight w:val="none"/>
          <w:lang w:eastAsia="zh-CN"/>
        </w:rPr>
        <w:t>区域性微型消防救援站</w:t>
      </w:r>
      <w:r>
        <w:rPr>
          <w:rFonts w:hint="eastAsia" w:ascii="仿宋" w:hAnsi="仿宋" w:eastAsia="仿宋" w:cs="仿宋"/>
          <w:color w:val="auto"/>
          <w:sz w:val="24"/>
          <w:highlight w:val="none"/>
        </w:rPr>
        <w:t>，主要履行辖区消防安全监督管理、</w:t>
      </w:r>
      <w:r>
        <w:rPr>
          <w:rFonts w:hint="eastAsia" w:ascii="仿宋" w:hAnsi="仿宋" w:eastAsia="仿宋" w:cs="仿宋"/>
          <w:color w:val="auto"/>
          <w:sz w:val="24"/>
          <w:highlight w:val="none"/>
          <w:lang w:eastAsia="zh-CN"/>
        </w:rPr>
        <w:t>宣传教育、</w:t>
      </w:r>
      <w:r>
        <w:rPr>
          <w:rFonts w:hint="eastAsia" w:ascii="仿宋" w:hAnsi="仿宋" w:eastAsia="仿宋" w:cs="仿宋"/>
          <w:color w:val="auto"/>
          <w:sz w:val="24"/>
          <w:highlight w:val="none"/>
        </w:rPr>
        <w:t>综合防灾减灾和突发公共事件（自然灾害）前期处置等职责。</w:t>
      </w:r>
    </w:p>
    <w:p>
      <w:pPr>
        <w:widowControl/>
        <w:adjustRightInd/>
        <w:spacing w:after="120" w:line="360" w:lineRule="auto"/>
        <w:ind w:firstLine="241" w:firstLineChars="100"/>
        <w:textAlignment w:val="baseline"/>
        <w:rPr>
          <w:rFonts w:hint="eastAsia" w:ascii="仿宋" w:hAnsi="仿宋" w:eastAsia="仿宋" w:cs="仿宋"/>
          <w:b/>
          <w:bCs/>
          <w:color w:val="auto"/>
          <w:kern w:val="2"/>
          <w:sz w:val="24"/>
          <w:szCs w:val="24"/>
          <w:highlight w:val="none"/>
          <w:lang w:val="en-US" w:eastAsia="zh-CN" w:bidi="ar-SA"/>
        </w:rPr>
      </w:pPr>
      <w:r>
        <w:rPr>
          <w:rFonts w:hint="eastAsia" w:ascii="仿宋" w:hAnsi="仿宋" w:eastAsia="仿宋" w:cs="仿宋"/>
          <w:b/>
          <w:bCs/>
          <w:color w:val="auto"/>
          <w:sz w:val="24"/>
          <w:highlight w:val="none"/>
        </w:rPr>
        <w:t>（</w:t>
      </w:r>
      <w:r>
        <w:rPr>
          <w:rFonts w:hint="eastAsia" w:ascii="仿宋" w:hAnsi="仿宋" w:eastAsia="仿宋" w:cs="仿宋"/>
          <w:b/>
          <w:bCs/>
          <w:color w:val="auto"/>
          <w:sz w:val="24"/>
          <w:highlight w:val="none"/>
          <w:lang w:val="en-US" w:eastAsia="zh-CN"/>
        </w:rPr>
        <w:t>三</w:t>
      </w:r>
      <w:r>
        <w:rPr>
          <w:rFonts w:hint="eastAsia" w:ascii="仿宋" w:hAnsi="仿宋" w:eastAsia="仿宋" w:cs="仿宋"/>
          <w:b/>
          <w:bCs/>
          <w:color w:val="auto"/>
          <w:sz w:val="24"/>
          <w:highlight w:val="none"/>
        </w:rPr>
        <w:t>）服务范围</w:t>
      </w:r>
    </w:p>
    <w:p>
      <w:pPr>
        <w:snapToGrid w:val="0"/>
        <w:spacing w:line="360" w:lineRule="auto"/>
        <w:ind w:firstLine="241" w:firstLineChars="100"/>
        <w:jc w:val="center"/>
        <w:rPr>
          <w:rFonts w:hint="eastAsia" w:ascii="仿宋" w:hAnsi="仿宋" w:eastAsia="仿宋" w:cs="仿宋"/>
          <w:b/>
          <w:bCs/>
          <w:color w:val="auto"/>
          <w:sz w:val="24"/>
          <w:highlight w:val="none"/>
          <w:lang w:val="en-US" w:eastAsia="zh-CN"/>
        </w:rPr>
      </w:pPr>
      <w:r>
        <w:rPr>
          <w:rFonts w:hint="eastAsia" w:ascii="仿宋" w:hAnsi="仿宋" w:eastAsia="仿宋" w:cs="仿宋"/>
          <w:b/>
          <w:bCs/>
          <w:color w:val="auto"/>
          <w:sz w:val="24"/>
          <w:highlight w:val="none"/>
          <w:lang w:val="en-US" w:eastAsia="zh-CN"/>
        </w:rPr>
        <w:t>1、凤凰区域性微型消防救援站</w:t>
      </w:r>
    </w:p>
    <w:p>
      <w:pPr>
        <w:snapToGrid w:val="0"/>
        <w:spacing w:line="360" w:lineRule="auto"/>
        <w:ind w:firstLine="240" w:firstLineChars="100"/>
        <w:rPr>
          <w:rFonts w:hint="eastAsia" w:ascii="仿宋" w:hAnsi="仿宋" w:eastAsia="仿宋" w:cs="仿宋"/>
          <w:b w:val="0"/>
          <w:bCs w:val="0"/>
          <w:color w:val="auto"/>
          <w:sz w:val="24"/>
          <w:highlight w:val="none"/>
          <w:lang w:val="en-US" w:eastAsia="zh-CN"/>
        </w:rPr>
      </w:pPr>
      <w:r>
        <w:rPr>
          <w:rFonts w:hint="eastAsia" w:ascii="仿宋" w:hAnsi="仿宋" w:eastAsia="仿宋" w:cs="仿宋"/>
          <w:b w:val="0"/>
          <w:bCs w:val="0"/>
          <w:color w:val="auto"/>
          <w:sz w:val="24"/>
          <w:highlight w:val="none"/>
          <w:lang w:val="en-US" w:eastAsia="zh-CN"/>
        </w:rPr>
        <w:t>1.1、</w:t>
      </w:r>
      <w:r>
        <w:rPr>
          <w:rFonts w:hint="eastAsia" w:ascii="仿宋" w:hAnsi="仿宋" w:eastAsia="仿宋" w:cs="仿宋"/>
          <w:b w:val="0"/>
          <w:bCs w:val="0"/>
          <w:color w:val="auto"/>
          <w:sz w:val="24"/>
          <w:highlight w:val="none"/>
        </w:rPr>
        <w:t>覆盖</w:t>
      </w:r>
      <w:r>
        <w:rPr>
          <w:rFonts w:hint="eastAsia" w:ascii="仿宋" w:hAnsi="仿宋" w:eastAsia="仿宋" w:cs="仿宋"/>
          <w:b w:val="0"/>
          <w:bCs w:val="0"/>
          <w:color w:val="auto"/>
          <w:sz w:val="24"/>
          <w:highlight w:val="none"/>
          <w:lang w:val="en-US" w:eastAsia="zh-CN"/>
        </w:rPr>
        <w:t>区域</w:t>
      </w:r>
    </w:p>
    <w:p>
      <w:pPr>
        <w:snapToGrid w:val="0"/>
        <w:spacing w:line="360" w:lineRule="auto"/>
        <w:rPr>
          <w:rFonts w:hint="default" w:ascii="仿宋" w:hAnsi="仿宋" w:eastAsia="仿宋" w:cs="仿宋"/>
          <w:b w:val="0"/>
          <w:bCs w:val="0"/>
          <w:color w:val="auto"/>
          <w:sz w:val="24"/>
          <w:highlight w:val="none"/>
          <w:lang w:val="en-US" w:eastAsia="zh-CN"/>
        </w:rPr>
      </w:pPr>
      <w:r>
        <w:rPr>
          <w:rFonts w:hint="eastAsia" w:ascii="仿宋" w:hAnsi="仿宋" w:eastAsia="仿宋" w:cs="仿宋"/>
          <w:b/>
          <w:bCs/>
          <w:color w:val="auto"/>
          <w:sz w:val="24"/>
          <w:highlight w:val="none"/>
        </w:rPr>
        <w:t xml:space="preserve">  </w:t>
      </w:r>
      <w:r>
        <w:rPr>
          <w:rFonts w:hint="eastAsia" w:ascii="仿宋" w:hAnsi="仿宋" w:eastAsia="仿宋" w:cs="仿宋"/>
          <w:b w:val="0"/>
          <w:bCs w:val="0"/>
          <w:color w:val="auto"/>
          <w:sz w:val="24"/>
          <w:highlight w:val="none"/>
        </w:rPr>
        <w:t xml:space="preserve">  </w:t>
      </w:r>
      <w:r>
        <w:rPr>
          <w:rFonts w:hint="eastAsia" w:ascii="仿宋" w:hAnsi="仿宋" w:eastAsia="仿宋" w:cs="仿宋"/>
          <w:b w:val="0"/>
          <w:bCs w:val="0"/>
          <w:color w:val="auto"/>
          <w:sz w:val="24"/>
          <w:highlight w:val="none"/>
          <w:lang w:val="en-US" w:eastAsia="zh-CN"/>
        </w:rPr>
        <w:t>凤凰区域性微型消防救援站覆盖运溪路以西、文一西路以南、南湖东路以东（含桃花源、庭院深深西区）等区域，涉及云轩社区（庭院深深西区）、锦银社区、凤凰山社区、华坞村、金星村（除金星梦栖雅苑、中梁沐宸苑、金星工业区）、凤阳社区、凤栖社区、凤联社区、大禹社区。</w:t>
      </w:r>
    </w:p>
    <w:p>
      <w:pPr>
        <w:snapToGrid w:val="0"/>
        <w:spacing w:line="360" w:lineRule="auto"/>
        <w:rPr>
          <w:rFonts w:hint="eastAsia"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rPr>
        <w:t xml:space="preserve">  </w:t>
      </w:r>
      <w:r>
        <w:rPr>
          <w:rFonts w:hint="eastAsia" w:ascii="仿宋" w:hAnsi="仿宋" w:eastAsia="仿宋" w:cs="仿宋"/>
          <w:b w:val="0"/>
          <w:bCs w:val="0"/>
          <w:color w:val="auto"/>
          <w:sz w:val="24"/>
          <w:highlight w:val="none"/>
          <w:lang w:val="en-US" w:eastAsia="zh-CN"/>
        </w:rPr>
        <w:t>1.2、</w:t>
      </w:r>
      <w:r>
        <w:rPr>
          <w:rFonts w:hint="eastAsia" w:ascii="仿宋" w:hAnsi="仿宋" w:eastAsia="仿宋" w:cs="仿宋"/>
          <w:b w:val="0"/>
          <w:bCs w:val="0"/>
          <w:color w:val="auto"/>
          <w:sz w:val="24"/>
          <w:highlight w:val="none"/>
        </w:rPr>
        <w:t>辖区基本情况</w:t>
      </w:r>
    </w:p>
    <w:p>
      <w:pPr>
        <w:pStyle w:val="60"/>
        <w:spacing w:line="360" w:lineRule="auto"/>
        <w:ind w:left="0" w:leftChars="0" w:firstLine="480" w:firstLineChars="200"/>
        <w:rPr>
          <w:rFonts w:hint="eastAsia" w:ascii="仿宋" w:hAnsi="仿宋" w:eastAsia="仿宋" w:cs="仿宋"/>
          <w:b w:val="0"/>
          <w:bCs w:val="0"/>
          <w:color w:val="auto"/>
          <w:sz w:val="24"/>
          <w:highlight w:val="none"/>
          <w:lang w:val="en-US" w:eastAsia="zh-CN"/>
        </w:rPr>
      </w:pPr>
      <w:r>
        <w:rPr>
          <w:rFonts w:hint="eastAsia" w:ascii="仿宋" w:hAnsi="仿宋" w:eastAsia="仿宋" w:cs="仿宋"/>
          <w:b w:val="0"/>
          <w:bCs w:val="0"/>
          <w:color w:val="auto"/>
          <w:sz w:val="24"/>
          <w:highlight w:val="none"/>
          <w:lang w:val="en-US" w:eastAsia="zh-CN"/>
        </w:rPr>
        <w:t xml:space="preserve">凤凰区域性微型消防救援站共覆盖居民18382户，常住人口42574人，流动人口30365人。辖区内企业数136家、重点单位31家、高层小区18个、学校10家。  </w:t>
      </w:r>
    </w:p>
    <w:p>
      <w:pPr>
        <w:pStyle w:val="60"/>
        <w:spacing w:line="360" w:lineRule="auto"/>
        <w:ind w:left="0" w:leftChars="0" w:firstLine="240" w:firstLineChars="100"/>
        <w:rPr>
          <w:rFonts w:hint="eastAsia" w:ascii="仿宋" w:hAnsi="仿宋" w:eastAsia="仿宋" w:cs="仿宋"/>
          <w:b w:val="0"/>
          <w:bCs w:val="0"/>
          <w:color w:val="auto"/>
          <w:sz w:val="24"/>
          <w:highlight w:val="none"/>
          <w:lang w:val="en-US" w:eastAsia="zh-CN"/>
        </w:rPr>
      </w:pPr>
      <w:r>
        <w:rPr>
          <w:rFonts w:hint="eastAsia" w:ascii="仿宋" w:hAnsi="仿宋" w:eastAsia="仿宋" w:cs="仿宋"/>
          <w:b w:val="0"/>
          <w:bCs w:val="0"/>
          <w:color w:val="auto"/>
          <w:sz w:val="24"/>
          <w:highlight w:val="none"/>
          <w:lang w:val="en-US" w:eastAsia="zh-CN"/>
        </w:rPr>
        <w:t>1.3、区域示意图</w:t>
      </w:r>
    </w:p>
    <w:p>
      <w:pPr>
        <w:pStyle w:val="60"/>
        <w:spacing w:line="360" w:lineRule="auto"/>
        <w:ind w:left="0" w:leftChars="0" w:firstLine="240" w:firstLineChars="100"/>
        <w:rPr>
          <w:rFonts w:hint="eastAsia" w:ascii="仿宋" w:hAnsi="仿宋" w:eastAsia="仿宋" w:cs="仿宋"/>
          <w:b w:val="0"/>
          <w:bCs w:val="0"/>
          <w:color w:val="auto"/>
          <w:sz w:val="24"/>
          <w:highlight w:val="none"/>
          <w:lang w:val="en-US" w:eastAsia="zh-CN"/>
        </w:rPr>
      </w:pPr>
      <w:r>
        <w:rPr>
          <w:rFonts w:ascii="宋体" w:hAnsi="Calibri" w:eastAsia="宋体" w:cs="Times New Roman"/>
          <w:snapToGrid w:val="0"/>
          <w:color w:val="auto"/>
          <w:kern w:val="2"/>
          <w:sz w:val="24"/>
          <w:szCs w:val="20"/>
          <w:highlight w:val="none"/>
          <w:lang w:val="zh-CN" w:eastAsia="zh-CN" w:bidi="ar-SA"/>
        </w:rPr>
        <w:drawing>
          <wp:inline distT="0" distB="0" distL="114300" distR="114300">
            <wp:extent cx="5147945" cy="2753995"/>
            <wp:effectExtent l="0" t="0" r="8255" b="1905"/>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30">
                      <a:lum/>
                    </a:blip>
                    <a:stretch>
                      <a:fillRect/>
                    </a:stretch>
                  </pic:blipFill>
                  <pic:spPr>
                    <a:xfrm>
                      <a:off x="0" y="0"/>
                      <a:ext cx="5147945" cy="2753995"/>
                    </a:xfrm>
                    <a:prstGeom prst="rect">
                      <a:avLst/>
                    </a:prstGeom>
                    <a:noFill/>
                    <a:ln>
                      <a:noFill/>
                    </a:ln>
                  </pic:spPr>
                </pic:pic>
              </a:graphicData>
            </a:graphic>
          </wp:inline>
        </w:drawing>
      </w:r>
      <w:r>
        <w:rPr>
          <w:rFonts w:hint="eastAsia" w:ascii="仿宋" w:hAnsi="仿宋" w:eastAsia="仿宋" w:cs="仿宋"/>
          <w:b w:val="0"/>
          <w:bCs w:val="0"/>
          <w:color w:val="auto"/>
          <w:sz w:val="24"/>
          <w:highlight w:val="none"/>
          <w:lang w:val="en-US" w:eastAsia="zh-CN"/>
        </w:rPr>
        <w:t xml:space="preserve">       </w:t>
      </w:r>
    </w:p>
    <w:p>
      <w:pPr>
        <w:pStyle w:val="60"/>
        <w:numPr>
          <w:ilvl w:val="0"/>
          <w:numId w:val="0"/>
        </w:numPr>
        <w:spacing w:line="360" w:lineRule="auto"/>
        <w:ind w:firstLine="241" w:firstLineChars="100"/>
        <w:jc w:val="center"/>
        <w:rPr>
          <w:rFonts w:hint="eastAsia" w:ascii="仿宋" w:hAnsi="仿宋" w:eastAsia="仿宋" w:cs="仿宋"/>
          <w:b/>
          <w:bCs/>
          <w:color w:val="auto"/>
          <w:sz w:val="24"/>
          <w:highlight w:val="none"/>
          <w:lang w:val="en-US" w:eastAsia="zh-CN"/>
        </w:rPr>
      </w:pPr>
      <w:r>
        <w:rPr>
          <w:rFonts w:hint="eastAsia" w:ascii="仿宋" w:hAnsi="仿宋" w:eastAsia="仿宋" w:cs="仿宋"/>
          <w:b/>
          <w:bCs/>
          <w:color w:val="auto"/>
          <w:sz w:val="24"/>
          <w:highlight w:val="none"/>
          <w:lang w:val="en-US" w:eastAsia="zh-CN"/>
        </w:rPr>
        <w:t>2、毓溪区域性微型消防救援站</w:t>
      </w:r>
    </w:p>
    <w:p>
      <w:pPr>
        <w:pStyle w:val="60"/>
        <w:numPr>
          <w:ilvl w:val="0"/>
          <w:numId w:val="0"/>
        </w:numPr>
        <w:spacing w:line="360" w:lineRule="auto"/>
        <w:ind w:firstLine="240" w:firstLineChars="100"/>
        <w:rPr>
          <w:rFonts w:hint="eastAsia" w:ascii="仿宋" w:hAnsi="仿宋" w:eastAsia="仿宋" w:cs="仿宋"/>
          <w:b w:val="0"/>
          <w:bCs w:val="0"/>
          <w:color w:val="auto"/>
          <w:highlight w:val="none"/>
        </w:rPr>
      </w:pPr>
      <w:r>
        <w:rPr>
          <w:rFonts w:hint="eastAsia" w:ascii="仿宋" w:hAnsi="仿宋" w:eastAsia="仿宋" w:cs="仿宋"/>
          <w:b w:val="0"/>
          <w:bCs w:val="0"/>
          <w:color w:val="auto"/>
          <w:sz w:val="24"/>
          <w:highlight w:val="none"/>
          <w:lang w:val="en-US" w:eastAsia="zh-CN"/>
        </w:rPr>
        <w:t>2.1、</w:t>
      </w:r>
      <w:r>
        <w:rPr>
          <w:rFonts w:hint="eastAsia" w:ascii="仿宋" w:hAnsi="仿宋" w:eastAsia="仿宋" w:cs="仿宋"/>
          <w:b w:val="0"/>
          <w:bCs w:val="0"/>
          <w:color w:val="auto"/>
          <w:sz w:val="24"/>
          <w:highlight w:val="none"/>
        </w:rPr>
        <w:t>覆盖</w:t>
      </w:r>
      <w:r>
        <w:rPr>
          <w:rFonts w:hint="eastAsia" w:ascii="仿宋" w:hAnsi="仿宋" w:eastAsia="仿宋" w:cs="仿宋"/>
          <w:b w:val="0"/>
          <w:bCs w:val="0"/>
          <w:color w:val="auto"/>
          <w:sz w:val="24"/>
          <w:highlight w:val="none"/>
          <w:lang w:val="en-US" w:eastAsia="zh-CN"/>
        </w:rPr>
        <w:t>区域</w:t>
      </w:r>
    </w:p>
    <w:p>
      <w:pPr>
        <w:snapToGrid w:val="0"/>
        <w:spacing w:line="360" w:lineRule="auto"/>
        <w:ind w:firstLine="480" w:firstLineChars="200"/>
        <w:rPr>
          <w:rFonts w:hint="eastAsia"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lang w:eastAsia="zh-CN"/>
        </w:rPr>
        <w:t>毓溪区域性微型消防救援站覆盖运溪路以东区域，涉及沈家店社区、毓溪社区、上文山社区、云轩社区（除庭院深深西区）、金星村（金星梦栖雅苑、中梁沐宸苑）等。</w:t>
      </w:r>
    </w:p>
    <w:p>
      <w:pPr>
        <w:snapToGrid w:val="0"/>
        <w:spacing w:line="360" w:lineRule="auto"/>
        <w:rPr>
          <w:rFonts w:hint="eastAsia"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rPr>
        <w:t xml:space="preserve"> </w:t>
      </w:r>
      <w:r>
        <w:rPr>
          <w:rFonts w:hint="eastAsia" w:ascii="仿宋" w:hAnsi="仿宋" w:eastAsia="仿宋" w:cs="仿宋"/>
          <w:b w:val="0"/>
          <w:bCs w:val="0"/>
          <w:color w:val="auto"/>
          <w:sz w:val="24"/>
          <w:highlight w:val="none"/>
          <w:lang w:val="en-US" w:eastAsia="zh-CN"/>
        </w:rPr>
        <w:t>2.2、</w:t>
      </w:r>
      <w:r>
        <w:rPr>
          <w:rFonts w:hint="eastAsia" w:ascii="仿宋" w:hAnsi="仿宋" w:eastAsia="仿宋" w:cs="仿宋"/>
          <w:b w:val="0"/>
          <w:bCs w:val="0"/>
          <w:color w:val="auto"/>
          <w:sz w:val="24"/>
          <w:highlight w:val="none"/>
        </w:rPr>
        <w:t>辖区基本情况</w:t>
      </w:r>
    </w:p>
    <w:p>
      <w:pPr>
        <w:snapToGrid w:val="0"/>
        <w:spacing w:line="360" w:lineRule="auto"/>
        <w:ind w:firstLine="480" w:firstLineChars="200"/>
        <w:rPr>
          <w:rFonts w:hint="eastAsia" w:ascii="仿宋" w:hAnsi="仿宋" w:eastAsia="仿宋" w:cs="仿宋"/>
          <w:b w:val="0"/>
          <w:bCs w:val="0"/>
          <w:color w:val="auto"/>
          <w:sz w:val="24"/>
          <w:highlight w:val="none"/>
          <w:lang w:eastAsia="zh-CN"/>
        </w:rPr>
      </w:pPr>
      <w:r>
        <w:rPr>
          <w:rFonts w:hint="eastAsia" w:ascii="仿宋" w:hAnsi="仿宋" w:eastAsia="仿宋" w:cs="仿宋"/>
          <w:b w:val="0"/>
          <w:bCs w:val="0"/>
          <w:color w:val="auto"/>
          <w:sz w:val="24"/>
          <w:highlight w:val="none"/>
          <w:lang w:eastAsia="zh-CN"/>
        </w:rPr>
        <w:t>毓溪区域性微型消防救援站共覆盖居民13925户，常住人口19723人，流动人口16447人。辖区内企业数72家、重点单位2家、高层小区9个、学校7家。</w:t>
      </w:r>
    </w:p>
    <w:p>
      <w:pPr>
        <w:pStyle w:val="60"/>
        <w:ind w:left="0" w:leftChars="0" w:firstLine="240" w:firstLineChars="100"/>
        <w:rPr>
          <w:rFonts w:hint="eastAsia" w:ascii="仿宋" w:hAnsi="仿宋" w:eastAsia="仿宋" w:cs="仿宋"/>
          <w:b w:val="0"/>
          <w:bCs w:val="0"/>
          <w:color w:val="auto"/>
          <w:sz w:val="24"/>
          <w:highlight w:val="none"/>
          <w:lang w:val="en-US" w:eastAsia="zh-CN"/>
        </w:rPr>
      </w:pPr>
      <w:r>
        <w:rPr>
          <w:rFonts w:hint="eastAsia" w:ascii="仿宋" w:hAnsi="仿宋" w:eastAsia="仿宋" w:cs="仿宋"/>
          <w:b w:val="0"/>
          <w:bCs w:val="0"/>
          <w:color w:val="auto"/>
          <w:sz w:val="24"/>
          <w:highlight w:val="none"/>
          <w:lang w:val="en-US" w:eastAsia="zh-CN"/>
        </w:rPr>
        <w:t>2.3、区域示意图</w:t>
      </w:r>
    </w:p>
    <w:p>
      <w:pPr>
        <w:pStyle w:val="50"/>
        <w:ind w:left="0" w:leftChars="0" w:firstLine="0" w:firstLineChars="0"/>
        <w:rPr>
          <w:color w:val="auto"/>
          <w:highlight w:val="none"/>
        </w:rPr>
      </w:pPr>
      <w:r>
        <w:rPr>
          <w:rFonts w:ascii="Times New Roman" w:hAnsi="Times New Roman" w:eastAsia="宋体" w:cs="Times New Roman"/>
          <w:color w:val="auto"/>
          <w:kern w:val="2"/>
          <w:sz w:val="21"/>
          <w:szCs w:val="24"/>
          <w:highlight w:val="none"/>
          <w:lang w:val="en-US" w:eastAsia="zh-CN" w:bidi="ar-SA"/>
        </w:rPr>
        <w:drawing>
          <wp:inline distT="0" distB="0" distL="114300" distR="114300">
            <wp:extent cx="5229860" cy="2924175"/>
            <wp:effectExtent l="0" t="0" r="2540" b="9525"/>
            <wp:docPr id="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pic:cNvPicPr>
                      <a:picLocks noChangeAspect="1"/>
                    </pic:cNvPicPr>
                  </pic:nvPicPr>
                  <pic:blipFill>
                    <a:blip r:embed="rId31">
                      <a:lum/>
                    </a:blip>
                    <a:stretch>
                      <a:fillRect/>
                    </a:stretch>
                  </pic:blipFill>
                  <pic:spPr>
                    <a:xfrm>
                      <a:off x="0" y="0"/>
                      <a:ext cx="5229860" cy="2924175"/>
                    </a:xfrm>
                    <a:prstGeom prst="rect">
                      <a:avLst/>
                    </a:prstGeom>
                    <a:noFill/>
                    <a:ln>
                      <a:noFill/>
                    </a:ln>
                  </pic:spPr>
                </pic:pic>
              </a:graphicData>
            </a:graphic>
          </wp:inline>
        </w:drawing>
      </w:r>
    </w:p>
    <w:p>
      <w:pPr>
        <w:rPr>
          <w:rFonts w:hint="default"/>
          <w:color w:val="auto"/>
          <w:highlight w:val="none"/>
          <w:lang w:val="en-US"/>
        </w:rPr>
      </w:pPr>
    </w:p>
    <w:p>
      <w:pPr>
        <w:pStyle w:val="60"/>
        <w:rPr>
          <w:rFonts w:hint="default"/>
          <w:color w:val="auto"/>
          <w:highlight w:val="none"/>
          <w:lang w:val="en-US"/>
        </w:rPr>
      </w:pPr>
    </w:p>
    <w:p>
      <w:pPr>
        <w:numPr>
          <w:ilvl w:val="0"/>
          <w:numId w:val="0"/>
        </w:numPr>
        <w:snapToGrid w:val="0"/>
        <w:spacing w:line="360" w:lineRule="auto"/>
        <w:ind w:leftChars="100"/>
        <w:jc w:val="center"/>
        <w:rPr>
          <w:rFonts w:hint="eastAsia" w:ascii="仿宋" w:hAnsi="仿宋" w:eastAsia="仿宋" w:cs="仿宋"/>
          <w:b/>
          <w:bCs/>
          <w:color w:val="auto"/>
          <w:sz w:val="24"/>
          <w:highlight w:val="none"/>
          <w:lang w:val="en-US" w:eastAsia="zh-CN"/>
        </w:rPr>
      </w:pPr>
      <w:r>
        <w:rPr>
          <w:rFonts w:hint="eastAsia" w:ascii="仿宋" w:hAnsi="仿宋" w:eastAsia="仿宋" w:cs="仿宋"/>
          <w:b/>
          <w:bCs/>
          <w:color w:val="auto"/>
          <w:sz w:val="24"/>
          <w:highlight w:val="none"/>
          <w:lang w:val="en-US" w:eastAsia="zh-CN"/>
        </w:rPr>
        <w:t>3、山西园区域性微型消防救援站</w:t>
      </w:r>
    </w:p>
    <w:p>
      <w:pPr>
        <w:numPr>
          <w:ilvl w:val="0"/>
          <w:numId w:val="0"/>
        </w:numPr>
        <w:snapToGrid w:val="0"/>
        <w:spacing w:line="360" w:lineRule="auto"/>
        <w:ind w:leftChars="100"/>
        <w:rPr>
          <w:rFonts w:hint="eastAsia"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lang w:val="en-US" w:eastAsia="zh-CN"/>
        </w:rPr>
        <w:t>3.1、</w:t>
      </w:r>
      <w:r>
        <w:rPr>
          <w:rFonts w:hint="eastAsia" w:ascii="仿宋" w:hAnsi="仿宋" w:eastAsia="仿宋" w:cs="仿宋"/>
          <w:b w:val="0"/>
          <w:bCs w:val="0"/>
          <w:color w:val="auto"/>
          <w:sz w:val="24"/>
          <w:highlight w:val="none"/>
        </w:rPr>
        <w:t>覆盖</w:t>
      </w:r>
      <w:r>
        <w:rPr>
          <w:rFonts w:hint="eastAsia" w:ascii="仿宋" w:hAnsi="仿宋" w:eastAsia="仿宋" w:cs="仿宋"/>
          <w:b w:val="0"/>
          <w:bCs w:val="0"/>
          <w:color w:val="auto"/>
          <w:sz w:val="24"/>
          <w:highlight w:val="none"/>
          <w:lang w:val="en-US" w:eastAsia="zh-CN"/>
        </w:rPr>
        <w:t>区域</w:t>
      </w:r>
    </w:p>
    <w:p>
      <w:pPr>
        <w:snapToGrid w:val="0"/>
        <w:spacing w:line="360" w:lineRule="auto"/>
        <w:ind w:firstLine="480" w:firstLineChars="200"/>
        <w:rPr>
          <w:rFonts w:hint="eastAsia" w:ascii="仿宋" w:hAnsi="仿宋" w:eastAsia="仿宋" w:cs="仿宋"/>
          <w:b w:val="0"/>
          <w:bCs w:val="0"/>
          <w:color w:val="auto"/>
          <w:sz w:val="24"/>
          <w:highlight w:val="none"/>
          <w:lang w:eastAsia="zh-CN"/>
        </w:rPr>
      </w:pPr>
      <w:r>
        <w:rPr>
          <w:rFonts w:hint="eastAsia" w:ascii="仿宋" w:hAnsi="仿宋" w:eastAsia="仿宋" w:cs="仿宋"/>
          <w:b w:val="0"/>
          <w:bCs w:val="0"/>
          <w:color w:val="auto"/>
          <w:sz w:val="24"/>
          <w:highlight w:val="none"/>
          <w:lang w:eastAsia="zh-CN"/>
        </w:rPr>
        <w:t>山西园区域性微型消防救援站覆盖文一西路以北，运溪路以西，科技大道以南，舟南线以东；涉及南安社区、山西园社区、文昌社区、金星村（金星工业区）、南渠社区、通济社区、中南村、溪塔村、上湖村等。</w:t>
      </w:r>
    </w:p>
    <w:p>
      <w:pPr>
        <w:snapToGrid w:val="0"/>
        <w:spacing w:line="360" w:lineRule="auto"/>
        <w:rPr>
          <w:rFonts w:hint="eastAsia"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rPr>
        <w:t xml:space="preserve">  </w:t>
      </w:r>
      <w:r>
        <w:rPr>
          <w:rFonts w:hint="eastAsia" w:ascii="仿宋" w:hAnsi="仿宋" w:eastAsia="仿宋" w:cs="仿宋"/>
          <w:b w:val="0"/>
          <w:bCs w:val="0"/>
          <w:color w:val="auto"/>
          <w:sz w:val="24"/>
          <w:highlight w:val="none"/>
          <w:lang w:val="en-US" w:eastAsia="zh-CN"/>
        </w:rPr>
        <w:t>3.2、</w:t>
      </w:r>
      <w:r>
        <w:rPr>
          <w:rFonts w:hint="eastAsia" w:ascii="仿宋" w:hAnsi="仿宋" w:eastAsia="仿宋" w:cs="仿宋"/>
          <w:b w:val="0"/>
          <w:bCs w:val="0"/>
          <w:color w:val="auto"/>
          <w:sz w:val="24"/>
          <w:highlight w:val="none"/>
        </w:rPr>
        <w:t>辖区基本情况</w:t>
      </w:r>
    </w:p>
    <w:p>
      <w:pPr>
        <w:snapToGrid w:val="0"/>
        <w:spacing w:line="360" w:lineRule="auto"/>
        <w:ind w:firstLine="480" w:firstLineChars="200"/>
        <w:rPr>
          <w:rFonts w:hint="eastAsia" w:ascii="仿宋" w:hAnsi="仿宋" w:eastAsia="仿宋" w:cs="仿宋"/>
          <w:b w:val="0"/>
          <w:bCs w:val="0"/>
          <w:color w:val="auto"/>
          <w:sz w:val="24"/>
          <w:highlight w:val="none"/>
          <w:lang w:val="en-US" w:eastAsia="zh-CN"/>
        </w:rPr>
      </w:pPr>
      <w:r>
        <w:rPr>
          <w:rFonts w:hint="eastAsia" w:ascii="仿宋" w:hAnsi="仿宋" w:eastAsia="仿宋" w:cs="仿宋"/>
          <w:b w:val="0"/>
          <w:bCs w:val="0"/>
          <w:color w:val="auto"/>
          <w:sz w:val="24"/>
          <w:highlight w:val="none"/>
          <w:lang w:eastAsia="zh-CN"/>
        </w:rPr>
        <w:t>山西园区域性微型消防救援站共覆盖居民21870户，常住人口58380人，流动人口16733人。辖区内企业数399家、重点单位25家、高层小区15个，学校7家。</w:t>
      </w:r>
    </w:p>
    <w:p>
      <w:pPr>
        <w:pStyle w:val="60"/>
        <w:ind w:left="0" w:leftChars="0" w:firstLine="240" w:firstLineChars="100"/>
        <w:rPr>
          <w:rFonts w:hint="eastAsia" w:ascii="仿宋" w:hAnsi="仿宋" w:eastAsia="仿宋" w:cs="仿宋"/>
          <w:b w:val="0"/>
          <w:bCs w:val="0"/>
          <w:color w:val="auto"/>
          <w:sz w:val="24"/>
          <w:highlight w:val="none"/>
          <w:lang w:val="en-US" w:eastAsia="zh-CN"/>
        </w:rPr>
      </w:pPr>
      <w:r>
        <w:rPr>
          <w:rFonts w:hint="eastAsia" w:ascii="仿宋" w:hAnsi="仿宋" w:eastAsia="仿宋" w:cs="仿宋"/>
          <w:b w:val="0"/>
          <w:bCs w:val="0"/>
          <w:color w:val="auto"/>
          <w:sz w:val="24"/>
          <w:highlight w:val="none"/>
          <w:lang w:val="en-US" w:eastAsia="zh-CN"/>
        </w:rPr>
        <w:t>3.3、区域示意图</w:t>
      </w:r>
    </w:p>
    <w:p>
      <w:pPr>
        <w:pStyle w:val="50"/>
        <w:ind w:left="0" w:leftChars="0" w:firstLine="0" w:firstLineChars="0"/>
        <w:rPr>
          <w:rFonts w:hint="eastAsia"/>
          <w:color w:val="auto"/>
          <w:highlight w:val="none"/>
          <w:lang w:val="en-US" w:eastAsia="zh-CN"/>
        </w:rPr>
      </w:pPr>
      <w:r>
        <w:rPr>
          <w:rFonts w:ascii="Times New Roman" w:hAnsi="Times New Roman" w:eastAsia="宋体" w:cs="Times New Roman"/>
          <w:color w:val="auto"/>
          <w:kern w:val="2"/>
          <w:sz w:val="21"/>
          <w:szCs w:val="24"/>
          <w:highlight w:val="none"/>
          <w:lang w:val="en-US" w:eastAsia="zh-CN" w:bidi="ar-SA"/>
        </w:rPr>
        <w:drawing>
          <wp:inline distT="0" distB="0" distL="114300" distR="114300">
            <wp:extent cx="5039995" cy="2345055"/>
            <wp:effectExtent l="0" t="0" r="1905" b="4445"/>
            <wp:docPr id="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
                    <pic:cNvPicPr>
                      <a:picLocks noChangeAspect="1"/>
                    </pic:cNvPicPr>
                  </pic:nvPicPr>
                  <pic:blipFill>
                    <a:blip r:embed="rId32">
                      <a:lum/>
                    </a:blip>
                    <a:stretch>
                      <a:fillRect/>
                    </a:stretch>
                  </pic:blipFill>
                  <pic:spPr>
                    <a:xfrm>
                      <a:off x="0" y="0"/>
                      <a:ext cx="5039995" cy="2345055"/>
                    </a:xfrm>
                    <a:prstGeom prst="rect">
                      <a:avLst/>
                    </a:prstGeom>
                    <a:noFill/>
                    <a:ln>
                      <a:noFill/>
                    </a:ln>
                  </pic:spPr>
                </pic:pic>
              </a:graphicData>
            </a:graphic>
          </wp:inline>
        </w:drawing>
      </w:r>
    </w:p>
    <w:p>
      <w:pPr>
        <w:pStyle w:val="50"/>
        <w:rPr>
          <w:rFonts w:hint="default"/>
          <w:color w:val="auto"/>
          <w:highlight w:val="none"/>
          <w:lang w:val="en-US"/>
        </w:rPr>
      </w:pPr>
    </w:p>
    <w:p>
      <w:pPr>
        <w:rPr>
          <w:rFonts w:hint="default"/>
          <w:color w:val="auto"/>
          <w:highlight w:val="none"/>
          <w:lang w:val="en-US"/>
        </w:rPr>
      </w:pPr>
    </w:p>
    <w:p>
      <w:pPr>
        <w:numPr>
          <w:ilvl w:val="0"/>
          <w:numId w:val="0"/>
        </w:numPr>
        <w:snapToGrid w:val="0"/>
        <w:spacing w:line="360" w:lineRule="auto"/>
        <w:ind w:leftChars="100"/>
        <w:jc w:val="center"/>
        <w:rPr>
          <w:rFonts w:hint="eastAsia" w:ascii="仿宋" w:hAnsi="仿宋" w:eastAsia="仿宋" w:cs="仿宋"/>
          <w:b/>
          <w:bCs/>
          <w:color w:val="auto"/>
          <w:sz w:val="24"/>
          <w:highlight w:val="none"/>
          <w:lang w:val="en-US" w:eastAsia="zh-CN"/>
        </w:rPr>
      </w:pPr>
      <w:r>
        <w:rPr>
          <w:rFonts w:hint="eastAsia" w:ascii="仿宋" w:hAnsi="仿宋" w:eastAsia="仿宋" w:cs="仿宋"/>
          <w:b/>
          <w:bCs/>
          <w:color w:val="auto"/>
          <w:sz w:val="24"/>
          <w:highlight w:val="none"/>
          <w:lang w:val="en-US" w:eastAsia="zh-CN"/>
        </w:rPr>
        <w:t>4、义桥区域性微型消防救援站</w:t>
      </w:r>
    </w:p>
    <w:p>
      <w:pPr>
        <w:numPr>
          <w:ilvl w:val="0"/>
          <w:numId w:val="0"/>
        </w:numPr>
        <w:snapToGrid w:val="0"/>
        <w:spacing w:line="360" w:lineRule="auto"/>
        <w:ind w:leftChars="100"/>
        <w:rPr>
          <w:rFonts w:hint="eastAsia" w:ascii="仿宋" w:hAnsi="仿宋" w:eastAsia="仿宋" w:cs="仿宋"/>
          <w:b w:val="0"/>
          <w:bCs w:val="0"/>
          <w:color w:val="auto"/>
          <w:sz w:val="24"/>
          <w:highlight w:val="none"/>
          <w:lang w:eastAsia="zh-CN"/>
        </w:rPr>
      </w:pPr>
      <w:r>
        <w:rPr>
          <w:rFonts w:hint="eastAsia" w:ascii="仿宋" w:hAnsi="仿宋" w:eastAsia="仿宋" w:cs="仿宋"/>
          <w:b w:val="0"/>
          <w:bCs w:val="0"/>
          <w:color w:val="auto"/>
          <w:sz w:val="24"/>
          <w:highlight w:val="none"/>
          <w:lang w:val="en-US" w:eastAsia="zh-CN"/>
        </w:rPr>
        <w:t>4.1、</w:t>
      </w:r>
      <w:r>
        <w:rPr>
          <w:rFonts w:hint="eastAsia" w:ascii="仿宋" w:hAnsi="仿宋" w:eastAsia="仿宋" w:cs="仿宋"/>
          <w:b w:val="0"/>
          <w:bCs w:val="0"/>
          <w:color w:val="auto"/>
          <w:sz w:val="24"/>
          <w:highlight w:val="none"/>
        </w:rPr>
        <w:t>覆盖</w:t>
      </w:r>
      <w:r>
        <w:rPr>
          <w:rFonts w:hint="eastAsia" w:ascii="仿宋" w:hAnsi="仿宋" w:eastAsia="仿宋" w:cs="仿宋"/>
          <w:b w:val="0"/>
          <w:bCs w:val="0"/>
          <w:color w:val="auto"/>
          <w:sz w:val="24"/>
          <w:highlight w:val="none"/>
          <w:lang w:val="en-US" w:eastAsia="zh-CN"/>
        </w:rPr>
        <w:t>区域</w:t>
      </w:r>
    </w:p>
    <w:p>
      <w:pPr>
        <w:snapToGrid w:val="0"/>
        <w:spacing w:line="360" w:lineRule="auto"/>
        <w:ind w:firstLine="480" w:firstLineChars="200"/>
        <w:rPr>
          <w:rFonts w:hint="eastAsia" w:ascii="仿宋" w:hAnsi="仿宋" w:eastAsia="仿宋" w:cs="仿宋"/>
          <w:b w:val="0"/>
          <w:bCs w:val="0"/>
          <w:color w:val="auto"/>
          <w:sz w:val="24"/>
          <w:highlight w:val="none"/>
          <w:lang w:eastAsia="zh-CN"/>
        </w:rPr>
      </w:pPr>
      <w:r>
        <w:rPr>
          <w:rFonts w:hint="eastAsia" w:ascii="仿宋" w:hAnsi="仿宋" w:eastAsia="仿宋" w:cs="仿宋"/>
          <w:b w:val="0"/>
          <w:bCs w:val="0"/>
          <w:color w:val="auto"/>
          <w:sz w:val="24"/>
          <w:highlight w:val="none"/>
          <w:lang w:eastAsia="zh-CN"/>
        </w:rPr>
        <w:t>义桥区域性微型消防救援站覆盖绕城西复线、舟南线以东，235国道以南，科技大道以北,涉及上湖村、义桥村、溪塔村。</w:t>
      </w:r>
    </w:p>
    <w:p>
      <w:pPr>
        <w:snapToGrid w:val="0"/>
        <w:spacing w:line="360" w:lineRule="auto"/>
        <w:ind w:firstLine="240" w:firstLineChars="100"/>
        <w:rPr>
          <w:rFonts w:hint="eastAsia"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lang w:val="en-US" w:eastAsia="zh-CN"/>
        </w:rPr>
        <w:t>4.2、</w:t>
      </w:r>
      <w:r>
        <w:rPr>
          <w:rFonts w:hint="eastAsia" w:ascii="仿宋" w:hAnsi="仿宋" w:eastAsia="仿宋" w:cs="仿宋"/>
          <w:b w:val="0"/>
          <w:bCs w:val="0"/>
          <w:color w:val="auto"/>
          <w:sz w:val="24"/>
          <w:highlight w:val="none"/>
        </w:rPr>
        <w:t>辖区基本情况</w:t>
      </w:r>
    </w:p>
    <w:p>
      <w:pPr>
        <w:snapToGrid w:val="0"/>
        <w:spacing w:line="360" w:lineRule="auto"/>
        <w:ind w:firstLine="480" w:firstLineChars="200"/>
        <w:rPr>
          <w:rFonts w:hint="eastAsia" w:ascii="仿宋" w:hAnsi="仿宋" w:eastAsia="仿宋" w:cs="仿宋"/>
          <w:b w:val="0"/>
          <w:bCs w:val="0"/>
          <w:color w:val="auto"/>
          <w:sz w:val="24"/>
          <w:highlight w:val="none"/>
          <w:lang w:eastAsia="zh-CN"/>
        </w:rPr>
      </w:pPr>
      <w:r>
        <w:rPr>
          <w:rFonts w:hint="eastAsia" w:ascii="仿宋" w:hAnsi="仿宋" w:eastAsia="仿宋" w:cs="仿宋"/>
          <w:b w:val="0"/>
          <w:bCs w:val="0"/>
          <w:color w:val="auto"/>
          <w:sz w:val="24"/>
          <w:highlight w:val="none"/>
          <w:lang w:eastAsia="zh-CN"/>
        </w:rPr>
        <w:t>义桥区域性微型消防救援站共覆盖居民3737户，常住人口13945人，流动人口9687人。辖区内企业数298家、重点单位1家、学校4家。</w:t>
      </w:r>
    </w:p>
    <w:p>
      <w:pPr>
        <w:pStyle w:val="60"/>
        <w:ind w:left="0" w:leftChars="0" w:firstLine="240" w:firstLineChars="100"/>
        <w:rPr>
          <w:rFonts w:hint="eastAsia" w:ascii="仿宋" w:hAnsi="仿宋" w:eastAsia="仿宋" w:cs="仿宋"/>
          <w:b w:val="0"/>
          <w:bCs w:val="0"/>
          <w:color w:val="auto"/>
          <w:sz w:val="24"/>
          <w:highlight w:val="none"/>
          <w:lang w:val="en-US" w:eastAsia="zh-CN"/>
        </w:rPr>
      </w:pPr>
      <w:r>
        <w:rPr>
          <w:rFonts w:hint="eastAsia" w:ascii="仿宋" w:hAnsi="仿宋" w:eastAsia="仿宋" w:cs="仿宋"/>
          <w:b w:val="0"/>
          <w:bCs w:val="0"/>
          <w:color w:val="auto"/>
          <w:kern w:val="2"/>
          <w:sz w:val="24"/>
          <w:szCs w:val="24"/>
          <w:highlight w:val="none"/>
          <w:lang w:val="en-US" w:eastAsia="zh-CN" w:bidi="ar-SA"/>
        </w:rPr>
        <w:t>4.3、</w:t>
      </w:r>
      <w:r>
        <w:rPr>
          <w:rFonts w:hint="eastAsia" w:ascii="仿宋" w:hAnsi="仿宋" w:eastAsia="仿宋" w:cs="仿宋"/>
          <w:b w:val="0"/>
          <w:bCs w:val="0"/>
          <w:color w:val="auto"/>
          <w:sz w:val="24"/>
          <w:highlight w:val="none"/>
          <w:lang w:val="en-US" w:eastAsia="zh-CN"/>
        </w:rPr>
        <w:t>区域示意图</w:t>
      </w:r>
    </w:p>
    <w:p>
      <w:pPr>
        <w:pStyle w:val="50"/>
        <w:ind w:left="0" w:leftChars="0" w:firstLine="0" w:firstLineChars="0"/>
        <w:rPr>
          <w:color w:val="auto"/>
          <w:highlight w:val="none"/>
        </w:rPr>
      </w:pPr>
      <w:r>
        <w:rPr>
          <w:rFonts w:ascii="Times New Roman" w:hAnsi="Times New Roman" w:eastAsia="宋体" w:cs="Times New Roman"/>
          <w:color w:val="auto"/>
          <w:kern w:val="2"/>
          <w:sz w:val="21"/>
          <w:szCs w:val="24"/>
          <w:highlight w:val="none"/>
          <w:lang w:val="en-US" w:eastAsia="zh-CN" w:bidi="ar-SA"/>
        </w:rPr>
        <w:drawing>
          <wp:inline distT="0" distB="0" distL="114300" distR="114300">
            <wp:extent cx="5247005" cy="2905760"/>
            <wp:effectExtent l="0" t="0" r="10795" b="2540"/>
            <wp:docPr id="1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7"/>
                    <pic:cNvPicPr>
                      <a:picLocks noChangeAspect="1"/>
                    </pic:cNvPicPr>
                  </pic:nvPicPr>
                  <pic:blipFill>
                    <a:blip r:embed="rId33">
                      <a:lum/>
                    </a:blip>
                    <a:stretch>
                      <a:fillRect/>
                    </a:stretch>
                  </pic:blipFill>
                  <pic:spPr>
                    <a:xfrm>
                      <a:off x="0" y="0"/>
                      <a:ext cx="5247005" cy="2905760"/>
                    </a:xfrm>
                    <a:prstGeom prst="rect">
                      <a:avLst/>
                    </a:prstGeom>
                    <a:noFill/>
                    <a:ln>
                      <a:noFill/>
                    </a:ln>
                  </pic:spPr>
                </pic:pic>
              </a:graphicData>
            </a:graphic>
          </wp:inline>
        </w:drawing>
      </w:r>
    </w:p>
    <w:p>
      <w:pPr>
        <w:numPr>
          <w:ilvl w:val="0"/>
          <w:numId w:val="0"/>
        </w:numPr>
        <w:snapToGrid w:val="0"/>
        <w:spacing w:line="360" w:lineRule="auto"/>
        <w:jc w:val="both"/>
        <w:rPr>
          <w:rFonts w:hint="eastAsia" w:ascii="仿宋" w:hAnsi="仿宋" w:eastAsia="仿宋" w:cs="仿宋"/>
          <w:b/>
          <w:bCs/>
          <w:color w:val="auto"/>
          <w:sz w:val="24"/>
          <w:highlight w:val="none"/>
          <w:lang w:val="en-US" w:eastAsia="zh-CN"/>
        </w:rPr>
      </w:pPr>
    </w:p>
    <w:p>
      <w:pPr>
        <w:numPr>
          <w:ilvl w:val="0"/>
          <w:numId w:val="0"/>
        </w:numPr>
        <w:snapToGrid w:val="0"/>
        <w:spacing w:line="360" w:lineRule="auto"/>
        <w:ind w:leftChars="100"/>
        <w:jc w:val="center"/>
        <w:rPr>
          <w:rFonts w:hint="eastAsia" w:ascii="仿宋" w:hAnsi="仿宋" w:eastAsia="仿宋" w:cs="仿宋"/>
          <w:b/>
          <w:bCs/>
          <w:color w:val="auto"/>
          <w:sz w:val="24"/>
          <w:highlight w:val="none"/>
          <w:lang w:val="en-US" w:eastAsia="zh-CN"/>
        </w:rPr>
      </w:pPr>
      <w:r>
        <w:rPr>
          <w:rFonts w:hint="eastAsia" w:ascii="仿宋" w:hAnsi="仿宋" w:eastAsia="仿宋" w:cs="仿宋"/>
          <w:b/>
          <w:bCs/>
          <w:color w:val="auto"/>
          <w:sz w:val="24"/>
          <w:highlight w:val="none"/>
          <w:lang w:val="en-US" w:eastAsia="zh-CN"/>
        </w:rPr>
        <w:t>5、竹园区域性微型消防救援站</w:t>
      </w:r>
    </w:p>
    <w:p>
      <w:pPr>
        <w:numPr>
          <w:ilvl w:val="0"/>
          <w:numId w:val="0"/>
        </w:numPr>
        <w:snapToGrid w:val="0"/>
        <w:spacing w:line="360" w:lineRule="auto"/>
        <w:ind w:leftChars="100"/>
        <w:rPr>
          <w:rFonts w:hint="eastAsia" w:ascii="仿宋" w:hAnsi="仿宋" w:eastAsia="仿宋" w:cs="仿宋"/>
          <w:b w:val="0"/>
          <w:bCs w:val="0"/>
          <w:color w:val="auto"/>
          <w:sz w:val="24"/>
          <w:highlight w:val="none"/>
          <w:lang w:eastAsia="zh-CN"/>
        </w:rPr>
      </w:pPr>
      <w:r>
        <w:rPr>
          <w:rFonts w:hint="eastAsia" w:ascii="仿宋" w:hAnsi="仿宋" w:eastAsia="仿宋" w:cs="仿宋"/>
          <w:b w:val="0"/>
          <w:bCs w:val="0"/>
          <w:color w:val="auto"/>
          <w:sz w:val="24"/>
          <w:highlight w:val="none"/>
          <w:lang w:val="en-US" w:eastAsia="zh-CN"/>
        </w:rPr>
        <w:t>5.1、</w:t>
      </w:r>
      <w:r>
        <w:rPr>
          <w:rFonts w:hint="eastAsia" w:ascii="仿宋" w:hAnsi="仿宋" w:eastAsia="仿宋" w:cs="仿宋"/>
          <w:b w:val="0"/>
          <w:bCs w:val="0"/>
          <w:color w:val="auto"/>
          <w:sz w:val="24"/>
          <w:highlight w:val="none"/>
        </w:rPr>
        <w:t>覆盖</w:t>
      </w:r>
      <w:r>
        <w:rPr>
          <w:rFonts w:hint="eastAsia" w:ascii="仿宋" w:hAnsi="仿宋" w:eastAsia="仿宋" w:cs="仿宋"/>
          <w:b w:val="0"/>
          <w:bCs w:val="0"/>
          <w:color w:val="auto"/>
          <w:sz w:val="24"/>
          <w:highlight w:val="none"/>
          <w:lang w:val="en-US" w:eastAsia="zh-CN"/>
        </w:rPr>
        <w:t>区域</w:t>
      </w:r>
    </w:p>
    <w:p>
      <w:pPr>
        <w:snapToGrid w:val="0"/>
        <w:spacing w:line="360" w:lineRule="auto"/>
        <w:ind w:firstLine="480" w:firstLineChars="200"/>
        <w:rPr>
          <w:rFonts w:hint="eastAsia" w:ascii="仿宋" w:hAnsi="仿宋" w:eastAsia="仿宋" w:cs="仿宋"/>
          <w:b w:val="0"/>
          <w:bCs w:val="0"/>
          <w:color w:val="auto"/>
          <w:sz w:val="24"/>
          <w:highlight w:val="none"/>
          <w:lang w:eastAsia="zh-CN"/>
        </w:rPr>
      </w:pPr>
      <w:r>
        <w:rPr>
          <w:rFonts w:hint="eastAsia" w:ascii="仿宋" w:hAnsi="仿宋" w:eastAsia="仿宋" w:cs="仿宋"/>
          <w:b w:val="0"/>
          <w:bCs w:val="0"/>
          <w:color w:val="auto"/>
          <w:sz w:val="24"/>
          <w:highlight w:val="none"/>
          <w:lang w:val="en-US" w:eastAsia="zh-CN"/>
        </w:rPr>
        <w:t>竹园区域性微型消防救援站覆盖绕城西复线、舟南线以西，235国道以南，覆盖竹园村、仙宅村、义桥村。</w:t>
      </w:r>
    </w:p>
    <w:p>
      <w:pPr>
        <w:snapToGrid w:val="0"/>
        <w:spacing w:line="360" w:lineRule="auto"/>
        <w:ind w:firstLine="240" w:firstLineChars="100"/>
        <w:rPr>
          <w:rFonts w:hint="eastAsia"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lang w:val="en-US" w:eastAsia="zh-CN"/>
        </w:rPr>
        <w:t>5.2、</w:t>
      </w:r>
      <w:r>
        <w:rPr>
          <w:rFonts w:hint="eastAsia" w:ascii="仿宋" w:hAnsi="仿宋" w:eastAsia="仿宋" w:cs="仿宋"/>
          <w:b w:val="0"/>
          <w:bCs w:val="0"/>
          <w:color w:val="auto"/>
          <w:sz w:val="24"/>
          <w:highlight w:val="none"/>
        </w:rPr>
        <w:t>辖区基本情况</w:t>
      </w:r>
    </w:p>
    <w:p>
      <w:pPr>
        <w:snapToGrid w:val="0"/>
        <w:spacing w:line="360" w:lineRule="auto"/>
        <w:ind w:firstLine="480" w:firstLineChars="200"/>
        <w:rPr>
          <w:rFonts w:hint="eastAsia" w:ascii="仿宋" w:hAnsi="仿宋" w:eastAsia="仿宋" w:cs="仿宋"/>
          <w:b w:val="0"/>
          <w:bCs w:val="0"/>
          <w:color w:val="auto"/>
          <w:sz w:val="24"/>
          <w:highlight w:val="none"/>
          <w:lang w:val="en-US" w:eastAsia="zh-CN"/>
        </w:rPr>
      </w:pPr>
      <w:r>
        <w:rPr>
          <w:rFonts w:hint="eastAsia" w:ascii="仿宋" w:hAnsi="仿宋" w:eastAsia="仿宋" w:cs="仿宋"/>
          <w:b w:val="0"/>
          <w:bCs w:val="0"/>
          <w:color w:val="auto"/>
          <w:sz w:val="24"/>
          <w:highlight w:val="none"/>
          <w:lang w:val="en-US" w:eastAsia="zh-CN"/>
        </w:rPr>
        <w:t>竹园区域性微型消防救援站共覆盖居民3472户，常住人口12163人，流动人口6714人。辖区内企业数65家。</w:t>
      </w:r>
    </w:p>
    <w:p>
      <w:pPr>
        <w:pStyle w:val="60"/>
        <w:ind w:left="0" w:leftChars="0" w:firstLine="240" w:firstLineChars="100"/>
        <w:rPr>
          <w:rFonts w:hint="eastAsia" w:ascii="仿宋" w:hAnsi="仿宋" w:eastAsia="仿宋" w:cs="仿宋"/>
          <w:b w:val="0"/>
          <w:bCs w:val="0"/>
          <w:color w:val="auto"/>
          <w:sz w:val="24"/>
          <w:highlight w:val="none"/>
          <w:lang w:val="en-US" w:eastAsia="zh-CN"/>
        </w:rPr>
      </w:pPr>
      <w:r>
        <w:rPr>
          <w:rFonts w:hint="eastAsia" w:ascii="仿宋" w:hAnsi="仿宋" w:eastAsia="仿宋" w:cs="仿宋"/>
          <w:b w:val="0"/>
          <w:bCs w:val="0"/>
          <w:color w:val="auto"/>
          <w:sz w:val="24"/>
          <w:highlight w:val="none"/>
          <w:lang w:val="en-US" w:eastAsia="zh-CN"/>
        </w:rPr>
        <w:t>5.3、区域示意图</w:t>
      </w:r>
    </w:p>
    <w:p>
      <w:pPr>
        <w:pStyle w:val="50"/>
        <w:ind w:left="0" w:leftChars="0" w:firstLine="0" w:firstLineChars="0"/>
        <w:rPr>
          <w:color w:val="auto"/>
          <w:highlight w:val="none"/>
        </w:rPr>
      </w:pPr>
      <w:r>
        <w:rPr>
          <w:rFonts w:ascii="Times New Roman" w:hAnsi="Times New Roman" w:eastAsia="宋体" w:cs="Times New Roman"/>
          <w:color w:val="auto"/>
          <w:kern w:val="2"/>
          <w:sz w:val="21"/>
          <w:szCs w:val="24"/>
          <w:highlight w:val="none"/>
          <w:lang w:val="en-US" w:eastAsia="zh-CN" w:bidi="ar-SA"/>
        </w:rPr>
        <w:drawing>
          <wp:inline distT="0" distB="0" distL="114300" distR="114300">
            <wp:extent cx="5334635" cy="3228975"/>
            <wp:effectExtent l="0" t="0" r="12065" b="9525"/>
            <wp:docPr id="1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8"/>
                    <pic:cNvPicPr>
                      <a:picLocks noChangeAspect="1"/>
                    </pic:cNvPicPr>
                  </pic:nvPicPr>
                  <pic:blipFill>
                    <a:blip r:embed="rId34">
                      <a:lum/>
                    </a:blip>
                    <a:stretch>
                      <a:fillRect/>
                    </a:stretch>
                  </pic:blipFill>
                  <pic:spPr>
                    <a:xfrm>
                      <a:off x="0" y="0"/>
                      <a:ext cx="5334635" cy="3228975"/>
                    </a:xfrm>
                    <a:prstGeom prst="rect">
                      <a:avLst/>
                    </a:prstGeom>
                    <a:noFill/>
                    <a:ln>
                      <a:noFill/>
                    </a:ln>
                  </pic:spPr>
                </pic:pic>
              </a:graphicData>
            </a:graphic>
          </wp:inline>
        </w:drawing>
      </w:r>
    </w:p>
    <w:p>
      <w:pPr>
        <w:pStyle w:val="60"/>
        <w:ind w:left="0" w:leftChars="0" w:firstLine="0" w:firstLineChars="0"/>
        <w:rPr>
          <w:rFonts w:hint="default"/>
          <w:color w:val="auto"/>
          <w:highlight w:val="none"/>
          <w:lang w:val="en-US" w:eastAsia="zh-CN"/>
        </w:rPr>
      </w:pPr>
    </w:p>
    <w:p>
      <w:pPr>
        <w:numPr>
          <w:ilvl w:val="0"/>
          <w:numId w:val="0"/>
        </w:numPr>
        <w:snapToGrid w:val="0"/>
        <w:spacing w:line="360" w:lineRule="auto"/>
        <w:ind w:leftChars="100"/>
        <w:jc w:val="center"/>
        <w:rPr>
          <w:rFonts w:hint="eastAsia" w:ascii="仿宋" w:hAnsi="仿宋" w:eastAsia="仿宋" w:cs="仿宋"/>
          <w:b/>
          <w:bCs/>
          <w:color w:val="auto"/>
          <w:sz w:val="24"/>
          <w:highlight w:val="none"/>
          <w:lang w:val="en-US" w:eastAsia="zh-CN"/>
        </w:rPr>
      </w:pPr>
      <w:r>
        <w:rPr>
          <w:rFonts w:hint="eastAsia" w:ascii="仿宋" w:hAnsi="仿宋" w:eastAsia="仿宋" w:cs="仿宋"/>
          <w:b/>
          <w:bCs/>
          <w:color w:val="auto"/>
          <w:sz w:val="24"/>
          <w:highlight w:val="none"/>
          <w:lang w:val="en-US" w:eastAsia="zh-CN"/>
        </w:rPr>
        <w:t>6、洪桐区域性微型消防救援站</w:t>
      </w:r>
    </w:p>
    <w:p>
      <w:pPr>
        <w:numPr>
          <w:ilvl w:val="0"/>
          <w:numId w:val="0"/>
        </w:numPr>
        <w:snapToGrid w:val="0"/>
        <w:spacing w:line="360" w:lineRule="auto"/>
        <w:ind w:leftChars="100"/>
        <w:rPr>
          <w:rFonts w:hint="eastAsia" w:ascii="仿宋" w:hAnsi="仿宋" w:eastAsia="仿宋" w:cs="仿宋"/>
          <w:b w:val="0"/>
          <w:bCs w:val="0"/>
          <w:color w:val="auto"/>
          <w:sz w:val="24"/>
          <w:highlight w:val="none"/>
          <w:lang w:eastAsia="zh-CN"/>
        </w:rPr>
      </w:pPr>
      <w:r>
        <w:rPr>
          <w:rFonts w:hint="eastAsia" w:ascii="仿宋" w:hAnsi="仿宋" w:eastAsia="仿宋" w:cs="仿宋"/>
          <w:b w:val="0"/>
          <w:bCs w:val="0"/>
          <w:color w:val="auto"/>
          <w:sz w:val="24"/>
          <w:highlight w:val="none"/>
          <w:lang w:val="en-US" w:eastAsia="zh-CN"/>
        </w:rPr>
        <w:t>6.1、</w:t>
      </w:r>
      <w:r>
        <w:rPr>
          <w:rFonts w:hint="eastAsia" w:ascii="仿宋" w:hAnsi="仿宋" w:eastAsia="仿宋" w:cs="仿宋"/>
          <w:b w:val="0"/>
          <w:bCs w:val="0"/>
          <w:color w:val="auto"/>
          <w:sz w:val="24"/>
          <w:highlight w:val="none"/>
        </w:rPr>
        <w:t>覆盖</w:t>
      </w:r>
      <w:r>
        <w:rPr>
          <w:rFonts w:hint="eastAsia" w:ascii="仿宋" w:hAnsi="仿宋" w:eastAsia="仿宋" w:cs="仿宋"/>
          <w:b w:val="0"/>
          <w:bCs w:val="0"/>
          <w:color w:val="auto"/>
          <w:sz w:val="24"/>
          <w:highlight w:val="none"/>
          <w:lang w:val="en-US" w:eastAsia="zh-CN"/>
        </w:rPr>
        <w:t>区域</w:t>
      </w:r>
    </w:p>
    <w:p>
      <w:pPr>
        <w:snapToGrid w:val="0"/>
        <w:spacing w:line="360" w:lineRule="auto"/>
        <w:ind w:firstLine="480" w:firstLineChars="200"/>
        <w:rPr>
          <w:rFonts w:hint="eastAsia" w:ascii="仿宋" w:hAnsi="仿宋" w:eastAsia="仿宋" w:cs="仿宋"/>
          <w:b w:val="0"/>
          <w:bCs w:val="0"/>
          <w:color w:val="auto"/>
          <w:sz w:val="24"/>
          <w:highlight w:val="none"/>
          <w:lang w:eastAsia="zh-CN"/>
        </w:rPr>
      </w:pPr>
      <w:r>
        <w:rPr>
          <w:rFonts w:hint="eastAsia" w:ascii="仿宋" w:hAnsi="仿宋" w:eastAsia="仿宋" w:cs="仿宋"/>
          <w:b w:val="0"/>
          <w:bCs w:val="0"/>
          <w:color w:val="auto"/>
          <w:sz w:val="24"/>
          <w:highlight w:val="none"/>
          <w:lang w:val="en-US" w:eastAsia="zh-CN"/>
        </w:rPr>
        <w:t>洪桐区域性微型消防救援站覆盖235国道以北区域，涉及仙宅村、下陡门村、洪桐村、永安村、溪塔村等。</w:t>
      </w:r>
    </w:p>
    <w:p>
      <w:pPr>
        <w:snapToGrid w:val="0"/>
        <w:spacing w:line="360" w:lineRule="auto"/>
        <w:ind w:firstLine="240" w:firstLineChars="100"/>
        <w:rPr>
          <w:rFonts w:hint="eastAsia"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lang w:val="en-US" w:eastAsia="zh-CN"/>
        </w:rPr>
        <w:t>6.2、</w:t>
      </w:r>
      <w:r>
        <w:rPr>
          <w:rFonts w:hint="eastAsia" w:ascii="仿宋" w:hAnsi="仿宋" w:eastAsia="仿宋" w:cs="仿宋"/>
          <w:b w:val="0"/>
          <w:bCs w:val="0"/>
          <w:color w:val="auto"/>
          <w:sz w:val="24"/>
          <w:highlight w:val="none"/>
        </w:rPr>
        <w:t>辖区基本情况</w:t>
      </w:r>
    </w:p>
    <w:p>
      <w:pPr>
        <w:snapToGrid w:val="0"/>
        <w:spacing w:line="360" w:lineRule="auto"/>
        <w:ind w:firstLine="480" w:firstLineChars="200"/>
        <w:rPr>
          <w:rFonts w:hint="eastAsia" w:ascii="仿宋" w:hAnsi="仿宋" w:eastAsia="仿宋" w:cs="仿宋"/>
          <w:b w:val="0"/>
          <w:bCs w:val="0"/>
          <w:color w:val="auto"/>
          <w:sz w:val="24"/>
          <w:highlight w:val="none"/>
          <w:lang w:val="en-US" w:eastAsia="zh-CN"/>
        </w:rPr>
      </w:pPr>
      <w:r>
        <w:rPr>
          <w:rFonts w:hint="eastAsia" w:ascii="仿宋" w:hAnsi="仿宋" w:eastAsia="仿宋" w:cs="仿宋"/>
          <w:b w:val="0"/>
          <w:bCs w:val="0"/>
          <w:color w:val="auto"/>
          <w:sz w:val="24"/>
          <w:highlight w:val="none"/>
          <w:lang w:val="en-US" w:eastAsia="zh-CN"/>
        </w:rPr>
        <w:t>洪桐区域性微型消防救援站共覆盖居民4892户，常住人口17388人，流动人口4936人。辖区内企业数98家、学校2家。</w:t>
      </w:r>
    </w:p>
    <w:p>
      <w:pPr>
        <w:pStyle w:val="60"/>
        <w:ind w:left="0" w:leftChars="0" w:firstLine="240" w:firstLineChars="100"/>
        <w:rPr>
          <w:rFonts w:hint="eastAsia" w:ascii="仿宋" w:hAnsi="仿宋" w:eastAsia="仿宋" w:cs="仿宋"/>
          <w:b w:val="0"/>
          <w:bCs w:val="0"/>
          <w:color w:val="auto"/>
          <w:sz w:val="24"/>
          <w:highlight w:val="none"/>
          <w:lang w:val="en-US" w:eastAsia="zh-CN"/>
        </w:rPr>
      </w:pPr>
      <w:r>
        <w:rPr>
          <w:rFonts w:hint="eastAsia" w:ascii="仿宋" w:hAnsi="仿宋" w:eastAsia="仿宋" w:cs="仿宋"/>
          <w:b w:val="0"/>
          <w:bCs w:val="0"/>
          <w:color w:val="auto"/>
          <w:sz w:val="24"/>
          <w:highlight w:val="none"/>
          <w:lang w:val="en-US" w:eastAsia="zh-CN"/>
        </w:rPr>
        <w:t>6.3、区域示意图</w:t>
      </w:r>
    </w:p>
    <w:p>
      <w:pPr>
        <w:pStyle w:val="50"/>
        <w:ind w:left="0" w:leftChars="0" w:firstLine="0" w:firstLineChars="0"/>
        <w:rPr>
          <w:rFonts w:hint="eastAsia"/>
          <w:color w:val="auto"/>
          <w:highlight w:val="none"/>
          <w:lang w:val="en-US" w:eastAsia="zh-CN"/>
        </w:rPr>
      </w:pPr>
      <w:r>
        <w:rPr>
          <w:rFonts w:ascii="Times New Roman" w:hAnsi="Times New Roman" w:eastAsia="宋体" w:cs="Times New Roman"/>
          <w:color w:val="auto"/>
          <w:kern w:val="2"/>
          <w:sz w:val="21"/>
          <w:szCs w:val="24"/>
          <w:highlight w:val="none"/>
          <w:lang w:val="en-US" w:eastAsia="zh-CN" w:bidi="ar-SA"/>
        </w:rPr>
        <w:drawing>
          <wp:inline distT="0" distB="0" distL="114300" distR="114300">
            <wp:extent cx="4402455" cy="2882265"/>
            <wp:effectExtent l="0" t="0" r="4445" b="635"/>
            <wp:docPr id="1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9"/>
                    <pic:cNvPicPr>
                      <a:picLocks noChangeAspect="1"/>
                    </pic:cNvPicPr>
                  </pic:nvPicPr>
                  <pic:blipFill>
                    <a:blip r:embed="rId35">
                      <a:lum/>
                    </a:blip>
                    <a:stretch>
                      <a:fillRect/>
                    </a:stretch>
                  </pic:blipFill>
                  <pic:spPr>
                    <a:xfrm>
                      <a:off x="0" y="0"/>
                      <a:ext cx="4402455" cy="2882265"/>
                    </a:xfrm>
                    <a:prstGeom prst="rect">
                      <a:avLst/>
                    </a:prstGeom>
                    <a:noFill/>
                    <a:ln>
                      <a:noFill/>
                    </a:ln>
                  </pic:spPr>
                </pic:pic>
              </a:graphicData>
            </a:graphic>
          </wp:inline>
        </w:drawing>
      </w:r>
    </w:p>
    <w:p>
      <w:pPr>
        <w:snapToGrid w:val="0"/>
        <w:spacing w:line="360" w:lineRule="auto"/>
        <w:rPr>
          <w:rFonts w:hint="eastAsia" w:ascii="仿宋" w:hAnsi="仿宋" w:eastAsia="仿宋" w:cs="仿宋"/>
          <w:b w:val="0"/>
          <w:bCs w:val="0"/>
          <w:color w:val="auto"/>
          <w:sz w:val="24"/>
          <w:highlight w:val="none"/>
          <w:lang w:eastAsia="zh-CN"/>
        </w:rPr>
      </w:pPr>
    </w:p>
    <w:p>
      <w:pPr>
        <w:pStyle w:val="60"/>
        <w:spacing w:line="360" w:lineRule="auto"/>
        <w:rPr>
          <w:rFonts w:hint="eastAsia" w:ascii="仿宋" w:hAnsi="仿宋" w:eastAsia="仿宋" w:cs="仿宋"/>
          <w:b/>
          <w:bCs/>
          <w:color w:val="auto"/>
          <w:szCs w:val="24"/>
          <w:highlight w:val="none"/>
          <w:lang w:val="en-US"/>
        </w:rPr>
      </w:pPr>
      <w:r>
        <w:rPr>
          <w:rFonts w:hint="eastAsia" w:ascii="仿宋" w:hAnsi="仿宋" w:eastAsia="仿宋" w:cs="仿宋"/>
          <w:b/>
          <w:bCs/>
          <w:color w:val="auto"/>
          <w:szCs w:val="24"/>
          <w:highlight w:val="none"/>
          <w:lang w:val="en-US"/>
        </w:rPr>
        <w:t>（</w:t>
      </w:r>
      <w:r>
        <w:rPr>
          <w:rFonts w:hint="eastAsia" w:ascii="仿宋" w:hAnsi="仿宋" w:eastAsia="仿宋" w:cs="仿宋"/>
          <w:b/>
          <w:bCs/>
          <w:color w:val="auto"/>
          <w:szCs w:val="24"/>
          <w:highlight w:val="none"/>
          <w:lang w:val="en-US" w:eastAsia="zh-CN"/>
        </w:rPr>
        <w:t>四</w:t>
      </w:r>
      <w:r>
        <w:rPr>
          <w:rFonts w:hint="eastAsia" w:ascii="仿宋" w:hAnsi="仿宋" w:eastAsia="仿宋" w:cs="仿宋"/>
          <w:b/>
          <w:bCs/>
          <w:color w:val="auto"/>
          <w:szCs w:val="24"/>
          <w:highlight w:val="none"/>
          <w:lang w:val="en-US"/>
        </w:rPr>
        <w:t>）服务内容</w:t>
      </w:r>
    </w:p>
    <w:p>
      <w:pPr>
        <w:widowControl/>
        <w:adjustRightInd/>
        <w:spacing w:after="120" w:line="360" w:lineRule="auto"/>
        <w:ind w:firstLine="480" w:firstLineChars="200"/>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rPr>
        <w:t>抢险救援</w:t>
      </w:r>
    </w:p>
    <w:p>
      <w:pPr>
        <w:widowControl/>
        <w:adjustRightInd/>
        <w:spacing w:after="120" w:line="360" w:lineRule="auto"/>
        <w:ind w:firstLine="480" w:firstLineChars="200"/>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熟悉掌握周边社区及地形道路、消防</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防汛防台、森林消防</w:t>
      </w:r>
      <w:r>
        <w:rPr>
          <w:rFonts w:hint="eastAsia" w:ascii="仿宋" w:hAnsi="仿宋" w:eastAsia="仿宋" w:cs="仿宋"/>
          <w:color w:val="auto"/>
          <w:sz w:val="24"/>
          <w:highlight w:val="none"/>
        </w:rPr>
        <w:t>等</w:t>
      </w:r>
      <w:r>
        <w:rPr>
          <w:rFonts w:hint="eastAsia" w:ascii="仿宋" w:hAnsi="仿宋" w:eastAsia="仿宋" w:cs="仿宋"/>
          <w:color w:val="auto"/>
          <w:sz w:val="24"/>
          <w:highlight w:val="none"/>
          <w:lang w:val="en-US" w:eastAsia="zh-CN"/>
        </w:rPr>
        <w:t>设施设备</w:t>
      </w:r>
      <w:r>
        <w:rPr>
          <w:rFonts w:hint="eastAsia" w:ascii="仿宋" w:hAnsi="仿宋" w:eastAsia="仿宋" w:cs="仿宋"/>
          <w:color w:val="auto"/>
          <w:sz w:val="24"/>
          <w:highlight w:val="none"/>
        </w:rPr>
        <w:t>情况，接警后做到第一时间出警到场，第一时间实施救援，提高救援效率，减少损失，杜绝伤亡，并根据到场后火势情况，</w:t>
      </w:r>
      <w:r>
        <w:rPr>
          <w:rFonts w:hint="eastAsia" w:ascii="仿宋" w:hAnsi="仿宋" w:eastAsia="仿宋" w:cs="仿宋"/>
          <w:color w:val="auto"/>
          <w:sz w:val="24"/>
          <w:highlight w:val="none"/>
          <w:lang w:val="en-US" w:eastAsia="zh-CN"/>
        </w:rPr>
        <w:t>第一时间组织处置救援，并</w:t>
      </w:r>
      <w:r>
        <w:rPr>
          <w:rFonts w:hint="eastAsia" w:ascii="仿宋" w:hAnsi="仿宋" w:eastAsia="仿宋" w:cs="仿宋"/>
          <w:color w:val="auto"/>
          <w:sz w:val="24"/>
          <w:highlight w:val="none"/>
        </w:rPr>
        <w:t>迅速向街道应急办报告火情，或请求增援。</w:t>
      </w:r>
    </w:p>
    <w:p>
      <w:pPr>
        <w:widowControl/>
        <w:adjustRightInd/>
        <w:spacing w:after="120" w:line="360" w:lineRule="auto"/>
        <w:ind w:firstLine="480" w:firstLineChars="200"/>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日常排查</w:t>
      </w:r>
    </w:p>
    <w:p>
      <w:pPr>
        <w:widowControl/>
        <w:adjustRightInd/>
        <w:spacing w:after="120" w:line="360" w:lineRule="auto"/>
        <w:ind w:firstLine="480" w:firstLineChars="200"/>
        <w:textAlignment w:val="baseline"/>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rPr>
        <w:t>由街道</w:t>
      </w:r>
      <w:r>
        <w:rPr>
          <w:rFonts w:hint="eastAsia" w:ascii="仿宋" w:hAnsi="仿宋" w:eastAsia="仿宋" w:cs="仿宋"/>
          <w:color w:val="auto"/>
          <w:sz w:val="24"/>
          <w:highlight w:val="none"/>
          <w:lang w:eastAsia="zh-CN"/>
        </w:rPr>
        <w:t>应急消防管理站</w:t>
      </w:r>
      <w:r>
        <w:rPr>
          <w:rFonts w:hint="eastAsia" w:ascii="仿宋" w:hAnsi="仿宋" w:eastAsia="仿宋" w:cs="仿宋"/>
          <w:color w:val="auto"/>
          <w:sz w:val="24"/>
          <w:highlight w:val="none"/>
          <w:lang w:val="en-US" w:eastAsia="zh-CN"/>
        </w:rPr>
        <w:t>和综合救援队</w:t>
      </w:r>
      <w:r>
        <w:rPr>
          <w:rFonts w:hint="eastAsia" w:ascii="仿宋" w:hAnsi="仿宋" w:eastAsia="仿宋" w:cs="仿宋"/>
          <w:color w:val="auto"/>
          <w:sz w:val="24"/>
          <w:highlight w:val="none"/>
        </w:rPr>
        <w:t>统一领导，</w:t>
      </w:r>
      <w:r>
        <w:rPr>
          <w:rFonts w:hint="eastAsia" w:ascii="仿宋" w:hAnsi="仿宋" w:eastAsia="仿宋" w:cs="仿宋"/>
          <w:color w:val="auto"/>
          <w:sz w:val="24"/>
          <w:highlight w:val="none"/>
          <w:lang w:val="en-US" w:eastAsia="zh-CN"/>
        </w:rPr>
        <w:t>统筹辖区内消防应急宣传、演练等工作，</w:t>
      </w:r>
      <w:r>
        <w:rPr>
          <w:rFonts w:hint="eastAsia" w:ascii="仿宋" w:hAnsi="仿宋" w:eastAsia="仿宋" w:cs="仿宋"/>
          <w:color w:val="auto"/>
          <w:sz w:val="24"/>
          <w:highlight w:val="none"/>
        </w:rPr>
        <w:t>做好</w:t>
      </w:r>
      <w:r>
        <w:rPr>
          <w:rFonts w:hint="eastAsia" w:ascii="仿宋" w:hAnsi="仿宋" w:eastAsia="仿宋" w:cs="仿宋"/>
          <w:color w:val="auto"/>
          <w:sz w:val="24"/>
          <w:highlight w:val="none"/>
          <w:lang w:val="en-US" w:eastAsia="zh-CN"/>
        </w:rPr>
        <w:t>辖区范围内</w:t>
      </w:r>
      <w:r>
        <w:rPr>
          <w:rFonts w:hint="eastAsia" w:ascii="仿宋" w:hAnsi="仿宋" w:eastAsia="仿宋" w:cs="仿宋"/>
          <w:color w:val="auto"/>
          <w:sz w:val="24"/>
          <w:highlight w:val="none"/>
        </w:rPr>
        <w:t>企业、居民建筑、沿街</w:t>
      </w:r>
      <w:r>
        <w:rPr>
          <w:rFonts w:hint="eastAsia" w:ascii="仿宋" w:hAnsi="仿宋" w:eastAsia="仿宋" w:cs="仿宋"/>
          <w:color w:val="auto"/>
          <w:sz w:val="24"/>
          <w:highlight w:val="none"/>
          <w:lang w:val="en-US" w:eastAsia="zh-CN"/>
        </w:rPr>
        <w:t>商铺</w:t>
      </w:r>
      <w:r>
        <w:rPr>
          <w:rFonts w:hint="eastAsia" w:ascii="仿宋" w:hAnsi="仿宋" w:eastAsia="仿宋" w:cs="仿宋"/>
          <w:color w:val="auto"/>
          <w:sz w:val="24"/>
          <w:highlight w:val="none"/>
        </w:rPr>
        <w:t>、避灾场所</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森林防火、</w:t>
      </w:r>
      <w:r>
        <w:rPr>
          <w:rFonts w:hint="eastAsia" w:ascii="仿宋" w:hAnsi="仿宋" w:eastAsia="仿宋" w:cs="仿宋"/>
          <w:color w:val="auto"/>
          <w:sz w:val="24"/>
          <w:highlight w:val="none"/>
        </w:rPr>
        <w:t>建筑工地</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防汛防台等场所日常宣传检查，指导辖区村社微型消防救援站、网格应急工作</w:t>
      </w:r>
      <w:r>
        <w:rPr>
          <w:rFonts w:hint="eastAsia" w:ascii="仿宋" w:hAnsi="仿宋" w:eastAsia="仿宋" w:cs="仿宋"/>
          <w:color w:val="auto"/>
          <w:sz w:val="24"/>
          <w:highlight w:val="none"/>
        </w:rPr>
        <w:t>，及时发现和协助消除安全隐患，并做好巡查记录，建立工作台账</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形成隐患闭环</w:t>
      </w:r>
      <w:r>
        <w:rPr>
          <w:rFonts w:hint="eastAsia" w:ascii="仿宋" w:hAnsi="仿宋" w:eastAsia="仿宋" w:cs="仿宋"/>
          <w:color w:val="auto"/>
          <w:sz w:val="24"/>
          <w:highlight w:val="none"/>
          <w:lang w:eastAsia="zh-CN"/>
        </w:rPr>
        <w:t>。</w:t>
      </w:r>
    </w:p>
    <w:p>
      <w:pPr>
        <w:widowControl/>
        <w:adjustRightInd/>
        <w:spacing w:after="120" w:line="360" w:lineRule="auto"/>
        <w:ind w:firstLine="480" w:firstLineChars="200"/>
        <w:textAlignment w:val="baseline"/>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（1）制定完善日常防火检查巡查、火灾隐患督改制度，统筹做好日常防火巡查检查。</w:t>
      </w:r>
    </w:p>
    <w:p>
      <w:pPr>
        <w:widowControl/>
        <w:adjustRightInd/>
        <w:spacing w:after="120" w:line="360" w:lineRule="auto"/>
        <w:ind w:firstLine="480" w:firstLineChars="200"/>
        <w:textAlignment w:val="baseline"/>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（2）检查巡查发现的问题，要立即提醒、督促整改消除；不能立即整改的，要及时报告村、社区居委会，由村、社区居委会根据有关规定启动火灾隐患督改程序。</w:t>
      </w:r>
    </w:p>
    <w:p>
      <w:pPr>
        <w:widowControl/>
        <w:adjustRightInd/>
        <w:spacing w:after="120" w:line="360" w:lineRule="auto"/>
        <w:ind w:firstLine="480" w:firstLineChars="200"/>
        <w:textAlignment w:val="baseline"/>
        <w:rPr>
          <w:rFonts w:hint="eastAsia" w:ascii="仿宋" w:hAnsi="仿宋" w:eastAsia="仿宋" w:cs="仿宋"/>
          <w:color w:val="auto"/>
          <w:highlight w:val="none"/>
          <w:lang w:val="en-US" w:eastAsia="zh-CN"/>
        </w:rPr>
      </w:pPr>
      <w:r>
        <w:rPr>
          <w:rFonts w:hint="eastAsia" w:ascii="仿宋" w:hAnsi="仿宋" w:eastAsia="仿宋" w:cs="仿宋"/>
          <w:color w:val="auto"/>
          <w:sz w:val="24"/>
          <w:highlight w:val="none"/>
          <w:lang w:val="en-US" w:eastAsia="zh-CN"/>
        </w:rPr>
        <w:t>（3）定期开展灭火救援器材装备和辖区道路水源熟悉，确保随时“拉得出、打得响”。</w:t>
      </w:r>
    </w:p>
    <w:p>
      <w:pPr>
        <w:widowControl/>
        <w:adjustRightInd/>
        <w:spacing w:after="120" w:line="360" w:lineRule="auto"/>
        <w:ind w:firstLine="480" w:firstLineChars="200"/>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宣传培训</w:t>
      </w:r>
    </w:p>
    <w:p>
      <w:pPr>
        <w:widowControl/>
        <w:adjustRightInd/>
        <w:spacing w:after="120" w:line="360" w:lineRule="auto"/>
        <w:ind w:firstLine="480" w:firstLineChars="200"/>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协助街道开展片区安全生产、消防安全、防灾减灾、</w:t>
      </w:r>
      <w:r>
        <w:rPr>
          <w:rFonts w:hint="eastAsia" w:ascii="仿宋" w:hAnsi="仿宋" w:eastAsia="仿宋" w:cs="仿宋"/>
          <w:color w:val="auto"/>
          <w:sz w:val="24"/>
          <w:highlight w:val="none"/>
          <w:lang w:val="en-US" w:eastAsia="zh-CN"/>
        </w:rPr>
        <w:t>防汛防台、</w:t>
      </w:r>
      <w:r>
        <w:rPr>
          <w:rFonts w:hint="eastAsia" w:ascii="仿宋" w:hAnsi="仿宋" w:eastAsia="仿宋" w:cs="仿宋"/>
          <w:color w:val="auto"/>
          <w:sz w:val="24"/>
          <w:highlight w:val="none"/>
        </w:rPr>
        <w:t>应急救援等相关知识宣传培训工作，</w:t>
      </w:r>
      <w:r>
        <w:rPr>
          <w:rFonts w:hint="eastAsia" w:ascii="仿宋" w:hAnsi="仿宋" w:eastAsia="仿宋" w:cs="仿宋"/>
          <w:color w:val="auto"/>
          <w:sz w:val="24"/>
          <w:highlight w:val="none"/>
          <w:lang w:eastAsia="zh-CN"/>
        </w:rPr>
        <w:t>设置消防宣传橱窗、标牌，发放消防宣传单，</w:t>
      </w:r>
      <w:r>
        <w:rPr>
          <w:rFonts w:hint="eastAsia" w:ascii="仿宋" w:hAnsi="仿宋" w:eastAsia="仿宋" w:cs="仿宋"/>
          <w:color w:val="auto"/>
          <w:sz w:val="24"/>
          <w:highlight w:val="none"/>
        </w:rPr>
        <w:t>指导帮助各单位开展消防安全、应急救援、防汛防台</w:t>
      </w:r>
      <w:r>
        <w:rPr>
          <w:rFonts w:hint="eastAsia" w:ascii="仿宋" w:hAnsi="仿宋" w:eastAsia="仿宋" w:cs="仿宋"/>
          <w:color w:val="auto"/>
          <w:sz w:val="24"/>
          <w:highlight w:val="none"/>
          <w:lang w:eastAsia="zh-CN"/>
        </w:rPr>
        <w:t>、疏散逃生</w:t>
      </w:r>
      <w:r>
        <w:rPr>
          <w:rFonts w:hint="eastAsia" w:ascii="仿宋" w:hAnsi="仿宋" w:eastAsia="仿宋" w:cs="仿宋"/>
          <w:color w:val="auto"/>
          <w:sz w:val="24"/>
          <w:highlight w:val="none"/>
        </w:rPr>
        <w:t>应急演练等工作。</w:t>
      </w:r>
    </w:p>
    <w:p>
      <w:pPr>
        <w:pStyle w:val="354"/>
        <w:spacing w:line="360" w:lineRule="auto"/>
        <w:rPr>
          <w:rFonts w:hint="eastAsia" w:ascii="仿宋" w:hAnsi="仿宋" w:eastAsia="仿宋" w:cs="仿宋"/>
          <w:color w:val="auto"/>
          <w:highlight w:val="none"/>
          <w:lang w:eastAsia="zh-CN"/>
        </w:rPr>
      </w:pPr>
      <w:r>
        <w:rPr>
          <w:rFonts w:hint="eastAsia" w:ascii="仿宋" w:hAnsi="仿宋" w:eastAsia="仿宋" w:cs="仿宋"/>
          <w:color w:val="auto"/>
          <w:sz w:val="24"/>
          <w:highlight w:val="none"/>
          <w:lang w:eastAsia="zh-CN"/>
        </w:rPr>
        <w:t>火灾多发季节、重要节日和重大活动期间，要针对性消防宣传，提醒提示群众注意消防安全。</w:t>
      </w:r>
    </w:p>
    <w:p>
      <w:pPr>
        <w:widowControl/>
        <w:adjustRightInd/>
        <w:spacing w:after="120" w:line="360" w:lineRule="auto"/>
        <w:ind w:firstLine="480" w:firstLineChars="200"/>
        <w:textAlignment w:val="baseline"/>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4</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微站拉练</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应急演练</w:t>
      </w:r>
      <w:r>
        <w:rPr>
          <w:rFonts w:hint="eastAsia" w:ascii="仿宋" w:hAnsi="仿宋" w:eastAsia="仿宋" w:cs="仿宋"/>
          <w:color w:val="auto"/>
          <w:sz w:val="24"/>
          <w:highlight w:val="none"/>
          <w:lang w:eastAsia="zh-CN"/>
        </w:rPr>
        <w:t>）</w:t>
      </w:r>
    </w:p>
    <w:p>
      <w:pPr>
        <w:widowControl/>
        <w:adjustRightInd/>
        <w:spacing w:after="120" w:line="360" w:lineRule="auto"/>
        <w:ind w:firstLine="480" w:firstLineChars="200"/>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负责维护</w:t>
      </w:r>
      <w:r>
        <w:rPr>
          <w:rFonts w:hint="eastAsia" w:ascii="仿宋" w:hAnsi="仿宋" w:eastAsia="仿宋" w:cs="仿宋"/>
          <w:b w:val="0"/>
          <w:bCs w:val="0"/>
          <w:color w:val="auto"/>
          <w:sz w:val="24"/>
          <w:highlight w:val="none"/>
          <w:lang w:val="en-US" w:eastAsia="zh-CN"/>
        </w:rPr>
        <w:t>区域性微型消防救援站</w:t>
      </w:r>
      <w:r>
        <w:rPr>
          <w:rFonts w:hint="eastAsia" w:ascii="仿宋" w:hAnsi="仿宋" w:eastAsia="仿宋" w:cs="仿宋"/>
          <w:color w:val="auto"/>
          <w:sz w:val="24"/>
          <w:highlight w:val="none"/>
        </w:rPr>
        <w:t>的日常管理，定期会同各社区或其他站点开展各类</w:t>
      </w:r>
      <w:r>
        <w:rPr>
          <w:rFonts w:hint="eastAsia" w:ascii="仿宋" w:hAnsi="仿宋" w:eastAsia="仿宋" w:cs="仿宋"/>
          <w:color w:val="auto"/>
          <w:sz w:val="24"/>
          <w:highlight w:val="none"/>
          <w:lang w:val="en-US" w:eastAsia="zh-CN"/>
        </w:rPr>
        <w:t>培训授课、训练演练</w:t>
      </w:r>
      <w:r>
        <w:rPr>
          <w:rFonts w:hint="eastAsia" w:ascii="仿宋" w:hAnsi="仿宋" w:eastAsia="仿宋" w:cs="仿宋"/>
          <w:color w:val="auto"/>
          <w:sz w:val="24"/>
          <w:highlight w:val="none"/>
        </w:rPr>
        <w:t>，提升应急救援响应能力。</w:t>
      </w:r>
    </w:p>
    <w:p>
      <w:pPr>
        <w:widowControl/>
        <w:adjustRightInd/>
        <w:spacing w:after="120" w:line="360" w:lineRule="auto"/>
        <w:ind w:firstLine="480" w:firstLineChars="200"/>
        <w:textAlignment w:val="baseline"/>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5、应急救援行动规程</w:t>
      </w:r>
    </w:p>
    <w:p>
      <w:pPr>
        <w:widowControl/>
        <w:adjustRightInd/>
        <w:spacing w:after="120" w:line="360" w:lineRule="auto"/>
        <w:ind w:firstLine="480" w:firstLineChars="200"/>
        <w:textAlignment w:val="baseline"/>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（1）制定并完善灭火应急救援行动规程。</w:t>
      </w:r>
    </w:p>
    <w:p>
      <w:pPr>
        <w:widowControl/>
        <w:adjustRightInd/>
        <w:spacing w:after="120" w:line="360" w:lineRule="auto"/>
        <w:ind w:firstLine="480" w:firstLineChars="200"/>
        <w:textAlignment w:val="baseline"/>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（2）按照“1分钟响应启动、3分钟到场处置、5分钟增援力量协同作战”的要求，制定完善灭火应急救援预案，提高快速响应能力。</w:t>
      </w:r>
    </w:p>
    <w:p>
      <w:pPr>
        <w:pStyle w:val="60"/>
        <w:spacing w:line="360" w:lineRule="auto"/>
        <w:rPr>
          <w:rFonts w:hint="eastAsia" w:ascii="仿宋" w:hAnsi="仿宋" w:eastAsia="仿宋" w:cs="仿宋"/>
          <w:b/>
          <w:bCs/>
          <w:color w:val="auto"/>
          <w:szCs w:val="24"/>
          <w:highlight w:val="none"/>
          <w:lang w:val="en-US" w:eastAsia="zh-CN"/>
        </w:rPr>
      </w:pPr>
      <w:r>
        <w:rPr>
          <w:rFonts w:hint="eastAsia" w:ascii="仿宋" w:hAnsi="仿宋" w:eastAsia="仿宋" w:cs="仿宋"/>
          <w:b/>
          <w:bCs/>
          <w:color w:val="auto"/>
          <w:szCs w:val="24"/>
          <w:highlight w:val="none"/>
          <w:lang w:val="en-US"/>
        </w:rPr>
        <w:t>（五）人员配备要求</w:t>
      </w:r>
    </w:p>
    <w:tbl>
      <w:tblPr>
        <w:tblStyle w:val="62"/>
        <w:tblW w:w="849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3"/>
        <w:gridCol w:w="76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2" w:hRule="atLeast"/>
          <w:jc w:val="center"/>
        </w:trPr>
        <w:tc>
          <w:tcPr>
            <w:tcW w:w="8493" w:type="dxa"/>
            <w:gridSpan w:val="2"/>
            <w:vAlign w:val="center"/>
          </w:tcPr>
          <w:p>
            <w:pPr>
              <w:widowControl w:val="0"/>
              <w:wordWrap/>
              <w:spacing w:afterAutospacing="0" w:line="480" w:lineRule="auto"/>
              <w:ind w:left="0" w:leftChars="0" w:right="0"/>
              <w:jc w:val="center"/>
              <w:rPr>
                <w:rFonts w:hint="default" w:ascii="仿宋" w:hAnsi="仿宋" w:eastAsia="仿宋" w:cs="仿宋"/>
                <w:color w:val="auto"/>
                <w:sz w:val="24"/>
                <w:szCs w:val="24"/>
                <w:highlight w:val="none"/>
                <w:lang w:val="en-US"/>
              </w:rPr>
            </w:pPr>
            <w:r>
              <w:rPr>
                <w:rFonts w:hint="eastAsia" w:ascii="仿宋" w:hAnsi="仿宋" w:eastAsia="仿宋" w:cs="仿宋"/>
                <w:b/>
                <w:bCs/>
                <w:color w:val="auto"/>
                <w:sz w:val="24"/>
                <w:szCs w:val="24"/>
                <w:highlight w:val="none"/>
                <w:lang w:val="en-US" w:eastAsia="zh-CN"/>
              </w:rPr>
              <w:t>一、凤凰区域性微型消防救援站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jc w:val="center"/>
        </w:trPr>
        <w:tc>
          <w:tcPr>
            <w:tcW w:w="873" w:type="dxa"/>
            <w:vAlign w:val="center"/>
          </w:tcPr>
          <w:p>
            <w:pPr>
              <w:widowControl w:val="0"/>
              <w:wordWrap/>
              <w:spacing w:afterAutospacing="0" w:line="240" w:lineRule="auto"/>
              <w:ind w:left="0" w:leftChars="0" w:right="0"/>
              <w:jc w:val="center"/>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项</w:t>
            </w:r>
            <w:r>
              <w:rPr>
                <w:rFonts w:hint="eastAsia" w:ascii="仿宋" w:hAnsi="仿宋" w:eastAsia="仿宋" w:cs="仿宋"/>
                <w:color w:val="auto"/>
                <w:sz w:val="24"/>
                <w:szCs w:val="24"/>
                <w:highlight w:val="none"/>
                <w:lang w:val="en-US" w:eastAsia="zh-CN"/>
              </w:rPr>
              <w:t>目岗位</w:t>
            </w:r>
          </w:p>
        </w:tc>
        <w:tc>
          <w:tcPr>
            <w:tcW w:w="7620" w:type="dxa"/>
            <w:vAlign w:val="center"/>
          </w:tcPr>
          <w:p>
            <w:pPr>
              <w:widowControl w:val="0"/>
              <w:wordWrap/>
              <w:spacing w:afterAutospacing="0" w:line="480" w:lineRule="auto"/>
              <w:ind w:left="0" w:leftChars="0" w:right="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服务</w:t>
            </w:r>
            <w:r>
              <w:rPr>
                <w:rFonts w:hint="eastAsia" w:ascii="仿宋" w:hAnsi="仿宋" w:eastAsia="仿宋" w:cs="仿宋"/>
                <w:color w:val="auto"/>
                <w:sz w:val="24"/>
                <w:szCs w:val="24"/>
                <w:highlight w:val="none"/>
                <w:lang w:val="en-US" w:eastAsia="zh-CN"/>
              </w:rPr>
              <w:t>内容及</w:t>
            </w:r>
            <w:r>
              <w:rPr>
                <w:rFonts w:hint="eastAsia" w:ascii="仿宋" w:hAnsi="仿宋" w:eastAsia="仿宋" w:cs="仿宋"/>
                <w:color w:val="auto"/>
                <w:sz w:val="24"/>
                <w:szCs w:val="24"/>
                <w:highlight w:val="none"/>
              </w:rPr>
              <w:t>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73" w:type="dxa"/>
            <w:vAlign w:val="center"/>
          </w:tcPr>
          <w:p>
            <w:pPr>
              <w:widowControl w:val="0"/>
              <w:wordWrap/>
              <w:spacing w:afterAutospacing="0" w:line="240" w:lineRule="auto"/>
              <w:ind w:left="0" w:leftChars="0" w:right="0"/>
              <w:jc w:val="center"/>
              <w:rPr>
                <w:rFonts w:hint="eastAsia" w:ascii="仿宋" w:hAnsi="仿宋" w:eastAsia="仿宋" w:cs="仿宋"/>
                <w:b w:val="0"/>
                <w:bCs/>
                <w:color w:val="auto"/>
                <w:sz w:val="24"/>
                <w:szCs w:val="24"/>
                <w:highlight w:val="none"/>
                <w:lang w:val="en-US" w:eastAsia="zh-CN"/>
              </w:rPr>
            </w:pPr>
            <w:r>
              <w:rPr>
                <w:rFonts w:hint="eastAsia" w:ascii="仿宋" w:hAnsi="仿宋" w:eastAsia="仿宋" w:cs="仿宋"/>
                <w:b w:val="0"/>
                <w:bCs/>
                <w:color w:val="auto"/>
                <w:sz w:val="24"/>
                <w:szCs w:val="24"/>
                <w:highlight w:val="none"/>
                <w:lang w:val="en-US" w:eastAsia="zh-CN"/>
              </w:rPr>
              <w:t>班长</w:t>
            </w:r>
          </w:p>
        </w:tc>
        <w:tc>
          <w:tcPr>
            <w:tcW w:w="7620" w:type="dxa"/>
            <w:vAlign w:val="center"/>
          </w:tcPr>
          <w:p>
            <w:pPr>
              <w:widowControl/>
              <w:adjustRightInd/>
              <w:spacing w:after="120" w:line="360" w:lineRule="auto"/>
              <w:jc w:val="both"/>
              <w:textAlignment w:val="baseline"/>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1）、人员设置：1人</w:t>
            </w:r>
          </w:p>
          <w:p>
            <w:pPr>
              <w:widowControl/>
              <w:adjustRightInd/>
              <w:spacing w:after="120" w:line="360" w:lineRule="auto"/>
              <w:jc w:val="both"/>
              <w:textAlignment w:val="baseline"/>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rPr>
              <w:t>身体条件：男性，五官端正，年龄一般为</w:t>
            </w:r>
            <w:r>
              <w:rPr>
                <w:rFonts w:hint="eastAsia" w:ascii="仿宋" w:hAnsi="仿宋" w:eastAsia="仿宋" w:cs="仿宋"/>
                <w:color w:val="auto"/>
                <w:sz w:val="24"/>
                <w:szCs w:val="24"/>
                <w:highlight w:val="none"/>
                <w:lang w:val="en-US" w:eastAsia="zh-CN"/>
              </w:rPr>
              <w:t>40</w:t>
            </w:r>
            <w:r>
              <w:rPr>
                <w:rFonts w:hint="eastAsia" w:ascii="仿宋" w:hAnsi="仿宋" w:eastAsia="仿宋" w:cs="仿宋"/>
                <w:color w:val="auto"/>
                <w:sz w:val="24"/>
                <w:szCs w:val="24"/>
                <w:highlight w:val="none"/>
              </w:rPr>
              <w:t>周岁</w:t>
            </w:r>
            <w:r>
              <w:rPr>
                <w:rFonts w:hint="eastAsia" w:ascii="仿宋" w:hAnsi="仿宋" w:eastAsia="仿宋" w:cs="仿宋"/>
                <w:color w:val="auto"/>
                <w:sz w:val="24"/>
                <w:szCs w:val="24"/>
                <w:highlight w:val="none"/>
                <w:lang w:eastAsia="zh-CN"/>
              </w:rPr>
              <w:t>及</w:t>
            </w:r>
            <w:r>
              <w:rPr>
                <w:rFonts w:hint="eastAsia" w:ascii="仿宋" w:hAnsi="仿宋" w:eastAsia="仿宋" w:cs="仿宋"/>
                <w:color w:val="auto"/>
                <w:sz w:val="24"/>
                <w:szCs w:val="24"/>
                <w:highlight w:val="none"/>
              </w:rPr>
              <w:t>以下；没有传染病、精</w:t>
            </w:r>
            <w:r>
              <w:rPr>
                <w:rFonts w:hint="eastAsia" w:ascii="仿宋" w:hAnsi="仿宋" w:eastAsia="仿宋" w:cs="仿宋"/>
                <w:color w:val="auto"/>
                <w:sz w:val="24"/>
                <w:szCs w:val="24"/>
                <w:highlight w:val="none"/>
                <w:lang w:eastAsia="zh-CN"/>
              </w:rPr>
              <w:t>神病、冠心病、高血压、肺部疾病及不能控制自己行为能力的疾病(病史）等；无犯罪记录,政审合格。</w:t>
            </w:r>
          </w:p>
          <w:p>
            <w:pPr>
              <w:widowControl/>
              <w:adjustRightInd/>
              <w:spacing w:after="120" w:line="360" w:lineRule="auto"/>
              <w:jc w:val="both"/>
              <w:textAlignment w:val="baseline"/>
              <w:rPr>
                <w:rFonts w:hint="eastAsia" w:ascii="仿宋" w:hAnsi="仿宋" w:eastAsia="仿宋" w:cs="仿宋"/>
                <w:color w:val="auto"/>
                <w:kern w:val="0"/>
                <w:sz w:val="24"/>
                <w:szCs w:val="24"/>
                <w:highlight w:val="none"/>
                <w:u w:val="none"/>
                <w:lang w:val="en-US" w:eastAsia="zh-CN" w:bidi="ar-SA"/>
              </w:rPr>
            </w:pP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rPr>
              <w:t>技能</w:t>
            </w:r>
            <w:r>
              <w:rPr>
                <w:rFonts w:hint="eastAsia" w:ascii="仿宋" w:hAnsi="仿宋" w:eastAsia="仿宋" w:cs="仿宋"/>
                <w:color w:val="auto"/>
                <w:sz w:val="24"/>
                <w:szCs w:val="24"/>
                <w:highlight w:val="none"/>
                <w:lang w:eastAsia="zh-CN"/>
              </w:rPr>
              <w:t>要求</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原武警消防部队退役士兵、改革转隶后国家综合性消防救援队伍退出消防员或有1年以上灭火救援工作经历的国家综合性消防救援队伍合同制队员</w:t>
            </w:r>
            <w:r>
              <w:rPr>
                <w:rFonts w:hint="eastAsia" w:ascii="仿宋" w:hAnsi="仿宋" w:eastAsia="仿宋" w:cs="仿宋"/>
                <w:color w:val="auto"/>
                <w:kern w:val="0"/>
                <w:sz w:val="24"/>
                <w:szCs w:val="24"/>
                <w:highlight w:val="none"/>
                <w:u w:val="none"/>
                <w:lang w:val="en-US" w:eastAsia="zh-CN" w:bidi="ar-SA"/>
              </w:rPr>
              <w:t>（提供相关证明）。</w:t>
            </w:r>
          </w:p>
          <w:p>
            <w:pPr>
              <w:widowControl/>
              <w:adjustRightInd/>
              <w:spacing w:after="120" w:line="360" w:lineRule="auto"/>
              <w:jc w:val="both"/>
              <w:textAlignment w:val="baseline"/>
              <w:rPr>
                <w:rFonts w:hint="eastAsia" w:ascii="仿宋" w:hAnsi="仿宋" w:eastAsia="仿宋" w:cs="仿宋"/>
                <w:color w:val="auto"/>
                <w:kern w:val="0"/>
                <w:sz w:val="24"/>
                <w:szCs w:val="24"/>
                <w:highlight w:val="none"/>
                <w:u w:val="none"/>
                <w:lang w:val="en-US" w:eastAsia="zh-CN" w:bidi="ar-SA"/>
              </w:rPr>
            </w:pPr>
            <w:r>
              <w:rPr>
                <w:rFonts w:hint="eastAsia" w:ascii="仿宋" w:hAnsi="仿宋" w:eastAsia="仿宋" w:cs="仿宋"/>
                <w:color w:val="auto"/>
                <w:sz w:val="24"/>
                <w:szCs w:val="24"/>
                <w:highlight w:val="none"/>
                <w:lang w:val="en-US" w:eastAsia="zh-CN"/>
              </w:rPr>
              <w:t>4）、具有专科及以上同等学历证书。</w:t>
            </w:r>
          </w:p>
          <w:p>
            <w:pPr>
              <w:widowControl/>
              <w:adjustRightInd/>
              <w:spacing w:after="120" w:line="360" w:lineRule="auto"/>
              <w:jc w:val="both"/>
              <w:textAlignment w:val="baseline"/>
              <w:rPr>
                <w:rFonts w:hint="eastAsia" w:ascii="仿宋" w:hAnsi="仿宋" w:eastAsia="仿宋" w:cs="仿宋"/>
                <w:b w:val="0"/>
                <w:bCs w:val="0"/>
                <w:color w:val="auto"/>
                <w:sz w:val="24"/>
                <w:szCs w:val="24"/>
                <w:highlight w:val="none"/>
              </w:rPr>
            </w:pPr>
            <w:r>
              <w:rPr>
                <w:rFonts w:hint="eastAsia" w:ascii="仿宋" w:hAnsi="仿宋" w:eastAsia="仿宋" w:cs="仿宋"/>
                <w:color w:val="auto"/>
                <w:sz w:val="24"/>
                <w:szCs w:val="24"/>
                <w:highlight w:val="none"/>
                <w:lang w:val="en-US" w:eastAsia="zh-CN"/>
              </w:rPr>
              <w:t>5）、服务内容</w:t>
            </w:r>
            <w:r>
              <w:rPr>
                <w:rFonts w:hint="eastAsia" w:ascii="仿宋" w:hAnsi="仿宋" w:eastAsia="仿宋" w:cs="仿宋"/>
                <w:color w:val="auto"/>
                <w:sz w:val="24"/>
                <w:szCs w:val="24"/>
                <w:highlight w:val="none"/>
              </w:rPr>
              <w:t>：组织对所辖</w:t>
            </w:r>
            <w:r>
              <w:rPr>
                <w:rFonts w:hint="eastAsia" w:ascii="仿宋" w:hAnsi="仿宋" w:eastAsia="仿宋" w:cs="仿宋"/>
                <w:color w:val="auto"/>
                <w:sz w:val="24"/>
                <w:szCs w:val="24"/>
                <w:highlight w:val="none"/>
                <w:lang w:eastAsia="zh-CN"/>
              </w:rPr>
              <w:t>乡镇（街道）</w:t>
            </w:r>
            <w:r>
              <w:rPr>
                <w:rFonts w:hint="eastAsia" w:ascii="仿宋" w:hAnsi="仿宋" w:eastAsia="仿宋" w:cs="仿宋"/>
                <w:color w:val="auto"/>
                <w:sz w:val="24"/>
                <w:szCs w:val="24"/>
                <w:highlight w:val="none"/>
              </w:rPr>
              <w:t>开展消防、企业安全和防汛防台等检查和相关知识培训宣传，组织队员开展消防安全、应急救援等技能培训及专业装备器材训练。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73" w:type="dxa"/>
            <w:vAlign w:val="center"/>
          </w:tcPr>
          <w:p>
            <w:pPr>
              <w:widowControl w:val="0"/>
              <w:wordWrap/>
              <w:spacing w:afterAutospacing="0" w:line="240" w:lineRule="auto"/>
              <w:ind w:left="0" w:leftChars="0" w:right="0"/>
              <w:jc w:val="center"/>
              <w:rPr>
                <w:rFonts w:hint="eastAsia" w:ascii="仿宋" w:hAnsi="仿宋" w:eastAsia="仿宋" w:cs="仿宋"/>
                <w:b w:val="0"/>
                <w:bCs/>
                <w:color w:val="auto"/>
                <w:sz w:val="24"/>
                <w:szCs w:val="24"/>
                <w:highlight w:val="none"/>
                <w:lang w:val="en-US" w:eastAsia="zh-CN"/>
              </w:rPr>
            </w:pPr>
            <w:r>
              <w:rPr>
                <w:rFonts w:hint="eastAsia" w:ascii="仿宋" w:hAnsi="仿宋" w:eastAsia="仿宋" w:cs="仿宋"/>
                <w:b w:val="0"/>
                <w:bCs/>
                <w:color w:val="auto"/>
                <w:sz w:val="24"/>
                <w:szCs w:val="24"/>
                <w:highlight w:val="none"/>
                <w:lang w:val="en-US" w:eastAsia="zh-CN"/>
              </w:rPr>
              <w:t>副班长</w:t>
            </w:r>
          </w:p>
        </w:tc>
        <w:tc>
          <w:tcPr>
            <w:tcW w:w="7620" w:type="dxa"/>
            <w:vAlign w:val="center"/>
          </w:tcPr>
          <w:p>
            <w:pPr>
              <w:widowControl/>
              <w:adjustRightInd/>
              <w:spacing w:after="120" w:line="360" w:lineRule="auto"/>
              <w:jc w:val="both"/>
              <w:textAlignment w:val="baseline"/>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1）、人员设置：1人</w:t>
            </w:r>
          </w:p>
          <w:p>
            <w:pPr>
              <w:widowControl/>
              <w:adjustRightInd/>
              <w:spacing w:after="120" w:line="360" w:lineRule="auto"/>
              <w:jc w:val="both"/>
              <w:textAlignment w:val="baseline"/>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rPr>
              <w:t>身体条件：男性，五官端正，年龄一般为</w:t>
            </w:r>
            <w:r>
              <w:rPr>
                <w:rFonts w:hint="eastAsia" w:ascii="仿宋" w:hAnsi="仿宋" w:eastAsia="仿宋" w:cs="仿宋"/>
                <w:color w:val="auto"/>
                <w:sz w:val="24"/>
                <w:szCs w:val="24"/>
                <w:highlight w:val="none"/>
                <w:lang w:val="en-US" w:eastAsia="zh-CN"/>
              </w:rPr>
              <w:t>35</w:t>
            </w:r>
            <w:r>
              <w:rPr>
                <w:rFonts w:hint="eastAsia" w:ascii="仿宋" w:hAnsi="仿宋" w:eastAsia="仿宋" w:cs="仿宋"/>
                <w:color w:val="auto"/>
                <w:sz w:val="24"/>
                <w:szCs w:val="24"/>
                <w:highlight w:val="none"/>
              </w:rPr>
              <w:t>周岁</w:t>
            </w:r>
            <w:r>
              <w:rPr>
                <w:rFonts w:hint="eastAsia" w:ascii="仿宋" w:hAnsi="仿宋" w:eastAsia="仿宋" w:cs="仿宋"/>
                <w:color w:val="auto"/>
                <w:sz w:val="24"/>
                <w:szCs w:val="24"/>
                <w:highlight w:val="none"/>
                <w:lang w:eastAsia="zh-CN"/>
              </w:rPr>
              <w:t>及</w:t>
            </w:r>
            <w:r>
              <w:rPr>
                <w:rFonts w:hint="eastAsia" w:ascii="仿宋" w:hAnsi="仿宋" w:eastAsia="仿宋" w:cs="仿宋"/>
                <w:color w:val="auto"/>
                <w:sz w:val="24"/>
                <w:szCs w:val="24"/>
                <w:highlight w:val="none"/>
              </w:rPr>
              <w:t>以下；没有传染病、精</w:t>
            </w:r>
            <w:r>
              <w:rPr>
                <w:rFonts w:hint="eastAsia" w:ascii="仿宋" w:hAnsi="仿宋" w:eastAsia="仿宋" w:cs="仿宋"/>
                <w:color w:val="auto"/>
                <w:sz w:val="24"/>
                <w:szCs w:val="24"/>
                <w:highlight w:val="none"/>
                <w:lang w:eastAsia="zh-CN"/>
              </w:rPr>
              <w:t>神病、冠心病、高血压、肺部疾病及不能控制自己行为能力的疾病(病史）等；无犯罪记录,政审合格。</w:t>
            </w:r>
          </w:p>
          <w:p>
            <w:pPr>
              <w:widowControl/>
              <w:adjustRightInd/>
              <w:spacing w:after="120" w:line="360" w:lineRule="auto"/>
              <w:jc w:val="both"/>
              <w:textAlignment w:val="baseline"/>
              <w:rPr>
                <w:rFonts w:hint="eastAsia" w:ascii="仿宋" w:hAnsi="仿宋" w:eastAsia="仿宋" w:cs="仿宋"/>
                <w:color w:val="auto"/>
                <w:kern w:val="0"/>
                <w:sz w:val="24"/>
                <w:szCs w:val="24"/>
                <w:highlight w:val="none"/>
                <w:u w:val="none"/>
                <w:lang w:val="en-US" w:eastAsia="zh-CN" w:bidi="ar-SA"/>
              </w:rPr>
            </w:pP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rPr>
              <w:t>技能</w:t>
            </w:r>
            <w:r>
              <w:rPr>
                <w:rFonts w:hint="eastAsia" w:ascii="仿宋" w:hAnsi="仿宋" w:eastAsia="仿宋" w:cs="仿宋"/>
                <w:color w:val="auto"/>
                <w:sz w:val="24"/>
                <w:szCs w:val="24"/>
                <w:highlight w:val="none"/>
                <w:lang w:eastAsia="zh-CN"/>
              </w:rPr>
              <w:t>要求</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原武警消防部队退役士兵、改革转隶后国家综合性消防救援队伍退出消防员或有1年以上灭火救援工作经历的国家综合性消防救援队伍合同制队员</w:t>
            </w:r>
            <w:r>
              <w:rPr>
                <w:rFonts w:hint="eastAsia" w:ascii="仿宋" w:hAnsi="仿宋" w:eastAsia="仿宋" w:cs="仿宋"/>
                <w:color w:val="auto"/>
                <w:kern w:val="0"/>
                <w:sz w:val="24"/>
                <w:szCs w:val="24"/>
                <w:highlight w:val="none"/>
                <w:u w:val="none"/>
                <w:lang w:val="en-US" w:eastAsia="zh-CN" w:bidi="ar-SA"/>
              </w:rPr>
              <w:t>（提供相关证明）。</w:t>
            </w:r>
          </w:p>
          <w:p>
            <w:pPr>
              <w:widowControl/>
              <w:adjustRightInd/>
              <w:spacing w:after="120" w:line="360" w:lineRule="auto"/>
              <w:jc w:val="both"/>
              <w:textAlignment w:val="baseline"/>
              <w:rPr>
                <w:rFonts w:hint="eastAsia" w:ascii="仿宋" w:hAnsi="仿宋" w:eastAsia="仿宋" w:cs="仿宋"/>
                <w:color w:val="auto"/>
                <w:kern w:val="0"/>
                <w:sz w:val="24"/>
                <w:szCs w:val="24"/>
                <w:highlight w:val="none"/>
                <w:u w:val="none"/>
                <w:lang w:val="en-US" w:eastAsia="zh-CN" w:bidi="ar-SA"/>
              </w:rPr>
            </w:pPr>
            <w:r>
              <w:rPr>
                <w:rFonts w:hint="eastAsia" w:ascii="仿宋" w:hAnsi="仿宋" w:eastAsia="仿宋" w:cs="仿宋"/>
                <w:color w:val="auto"/>
                <w:sz w:val="24"/>
                <w:szCs w:val="24"/>
                <w:highlight w:val="none"/>
                <w:lang w:val="en-US" w:eastAsia="zh-CN"/>
              </w:rPr>
              <w:t>4)、具有专科及以上同等学历证书。</w:t>
            </w:r>
          </w:p>
          <w:p>
            <w:pPr>
              <w:widowControl/>
              <w:adjustRightInd/>
              <w:spacing w:after="120" w:line="360" w:lineRule="auto"/>
              <w:jc w:val="both"/>
              <w:textAlignment w:val="baseline"/>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lang w:eastAsia="zh-CN"/>
              </w:rPr>
              <w:t>服务内容</w:t>
            </w:r>
            <w:r>
              <w:rPr>
                <w:rFonts w:hint="eastAsia" w:ascii="仿宋" w:hAnsi="仿宋" w:eastAsia="仿宋" w:cs="仿宋"/>
                <w:color w:val="auto"/>
                <w:sz w:val="24"/>
                <w:szCs w:val="24"/>
                <w:highlight w:val="none"/>
              </w:rPr>
              <w:t>：组织对所辖</w:t>
            </w:r>
            <w:r>
              <w:rPr>
                <w:rFonts w:hint="eastAsia" w:ascii="仿宋" w:hAnsi="仿宋" w:eastAsia="仿宋" w:cs="仿宋"/>
                <w:color w:val="auto"/>
                <w:sz w:val="24"/>
                <w:szCs w:val="24"/>
                <w:highlight w:val="none"/>
                <w:lang w:eastAsia="zh-CN"/>
              </w:rPr>
              <w:t>乡镇（街道）</w:t>
            </w:r>
            <w:r>
              <w:rPr>
                <w:rFonts w:hint="eastAsia" w:ascii="仿宋" w:hAnsi="仿宋" w:eastAsia="仿宋" w:cs="仿宋"/>
                <w:color w:val="auto"/>
                <w:sz w:val="24"/>
                <w:szCs w:val="24"/>
                <w:highlight w:val="none"/>
              </w:rPr>
              <w:t>开展消防、企业安全和防汛防台等检查和相关知识培训宣传，组织队员开展消防安全、应急救援等技能培训及专业装备器材训练。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5" w:hRule="atLeast"/>
          <w:jc w:val="center"/>
        </w:trPr>
        <w:tc>
          <w:tcPr>
            <w:tcW w:w="873" w:type="dxa"/>
            <w:vAlign w:val="center"/>
          </w:tcPr>
          <w:p>
            <w:pPr>
              <w:widowControl w:val="0"/>
              <w:wordWrap/>
              <w:spacing w:afterAutospacing="0" w:line="480" w:lineRule="auto"/>
              <w:ind w:left="0" w:leftChars="0" w:right="0"/>
              <w:jc w:val="center"/>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驾驶员</w:t>
            </w:r>
          </w:p>
        </w:tc>
        <w:tc>
          <w:tcPr>
            <w:tcW w:w="7620" w:type="dxa"/>
            <w:vAlign w:val="center"/>
          </w:tcPr>
          <w:p>
            <w:pPr>
              <w:widowControl/>
              <w:adjustRightInd/>
              <w:spacing w:after="120" w:line="360" w:lineRule="auto"/>
              <w:jc w:val="both"/>
              <w:textAlignment w:val="baseline"/>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1）、人员设置：2人</w:t>
            </w:r>
          </w:p>
          <w:p>
            <w:pPr>
              <w:widowControl/>
              <w:numPr>
                <w:ilvl w:val="0"/>
                <w:numId w:val="0"/>
              </w:numPr>
              <w:adjustRightInd/>
              <w:spacing w:after="120" w:line="360" w:lineRule="auto"/>
              <w:jc w:val="both"/>
              <w:textAlignment w:val="baseline"/>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rPr>
              <w:t>身体条件：男性，五官端正，年龄一般为35周岁</w:t>
            </w:r>
            <w:r>
              <w:rPr>
                <w:rFonts w:hint="eastAsia" w:ascii="仿宋" w:hAnsi="仿宋" w:eastAsia="仿宋" w:cs="仿宋"/>
                <w:color w:val="auto"/>
                <w:sz w:val="24"/>
                <w:szCs w:val="24"/>
                <w:highlight w:val="none"/>
                <w:lang w:eastAsia="zh-CN"/>
              </w:rPr>
              <w:t>及</w:t>
            </w:r>
            <w:r>
              <w:rPr>
                <w:rFonts w:hint="eastAsia" w:ascii="仿宋" w:hAnsi="仿宋" w:eastAsia="仿宋" w:cs="仿宋"/>
                <w:color w:val="auto"/>
                <w:sz w:val="24"/>
                <w:szCs w:val="24"/>
                <w:highlight w:val="none"/>
              </w:rPr>
              <w:t>以下；没有传染病、精</w:t>
            </w:r>
            <w:r>
              <w:rPr>
                <w:rFonts w:hint="eastAsia" w:ascii="仿宋" w:hAnsi="仿宋" w:eastAsia="仿宋" w:cs="仿宋"/>
                <w:color w:val="auto"/>
                <w:sz w:val="24"/>
                <w:szCs w:val="24"/>
                <w:highlight w:val="none"/>
                <w:lang w:eastAsia="zh-CN"/>
              </w:rPr>
              <w:t>神病、冠心病、高血压、肺部疾病及不能控制自己行为能力的疾病(病史）等</w:t>
            </w:r>
            <w:r>
              <w:rPr>
                <w:rFonts w:hint="eastAsia" w:ascii="仿宋" w:hAnsi="仿宋" w:eastAsia="仿宋" w:cs="仿宋"/>
                <w:color w:val="auto"/>
                <w:sz w:val="24"/>
                <w:szCs w:val="24"/>
                <w:highlight w:val="none"/>
              </w:rPr>
              <w:t>；无犯罪记录,政审合格。</w:t>
            </w:r>
          </w:p>
          <w:p>
            <w:pPr>
              <w:widowControl/>
              <w:adjustRightInd/>
              <w:spacing w:after="120" w:line="360" w:lineRule="auto"/>
              <w:jc w:val="both"/>
              <w:textAlignment w:val="baseline"/>
              <w:rPr>
                <w:rFonts w:hint="eastAsia" w:ascii="仿宋" w:hAnsi="仿宋" w:eastAsia="仿宋" w:cs="仿宋"/>
                <w:color w:val="auto"/>
                <w:kern w:val="0"/>
                <w:sz w:val="24"/>
                <w:szCs w:val="24"/>
                <w:highlight w:val="none"/>
                <w:u w:val="none"/>
                <w:lang w:val="en-US" w:eastAsia="zh-CN" w:bidi="ar-SA"/>
              </w:rPr>
            </w:pP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rPr>
              <w:t>技能</w:t>
            </w:r>
            <w:r>
              <w:rPr>
                <w:rFonts w:hint="eastAsia" w:ascii="仿宋" w:hAnsi="仿宋" w:eastAsia="仿宋" w:cs="仿宋"/>
                <w:color w:val="auto"/>
                <w:sz w:val="24"/>
                <w:szCs w:val="24"/>
                <w:highlight w:val="none"/>
                <w:lang w:eastAsia="zh-CN"/>
              </w:rPr>
              <w:t>要求</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必须</w:t>
            </w:r>
            <w:r>
              <w:rPr>
                <w:rFonts w:hint="eastAsia" w:ascii="仿宋" w:hAnsi="仿宋" w:eastAsia="仿宋" w:cs="仿宋"/>
                <w:color w:val="auto"/>
                <w:sz w:val="24"/>
                <w:szCs w:val="24"/>
                <w:highlight w:val="none"/>
                <w:lang w:val="en-US"/>
              </w:rPr>
              <w:t>具</w:t>
            </w:r>
            <w:r>
              <w:rPr>
                <w:rFonts w:hint="eastAsia" w:ascii="仿宋" w:hAnsi="仿宋" w:eastAsia="仿宋" w:cs="仿宋"/>
                <w:color w:val="auto"/>
                <w:kern w:val="0"/>
                <w:sz w:val="24"/>
                <w:szCs w:val="24"/>
                <w:highlight w:val="none"/>
                <w:u w:val="none"/>
                <w:lang w:val="en-US" w:eastAsia="zh-CN" w:bidi="ar-SA"/>
              </w:rPr>
              <w:t>有</w:t>
            </w:r>
            <w:r>
              <w:rPr>
                <w:rFonts w:hint="eastAsia" w:ascii="仿宋" w:hAnsi="仿宋" w:eastAsia="仿宋" w:cs="仿宋"/>
                <w:color w:val="auto"/>
                <w:sz w:val="24"/>
                <w:szCs w:val="24"/>
                <w:highlight w:val="none"/>
                <w:lang w:val="en-US" w:eastAsia="zh-CN"/>
              </w:rPr>
              <w:t>相关车辆驾驶证，原武警消防部队退役士兵、改革转隶后国家综合性消防救援队伍退出消防员或有1年以上灭火救援工作经历的国家综合性消防救援队伍合同制队员</w:t>
            </w:r>
            <w:r>
              <w:rPr>
                <w:rFonts w:hint="eastAsia" w:ascii="仿宋" w:hAnsi="仿宋" w:eastAsia="仿宋" w:cs="仿宋"/>
                <w:color w:val="auto"/>
                <w:kern w:val="0"/>
                <w:sz w:val="24"/>
                <w:szCs w:val="24"/>
                <w:highlight w:val="none"/>
                <w:u w:val="none"/>
                <w:lang w:val="en-US" w:eastAsia="zh-CN" w:bidi="ar-SA"/>
              </w:rPr>
              <w:t>（提供相关证明）。</w:t>
            </w:r>
          </w:p>
          <w:p>
            <w:pPr>
              <w:widowControl/>
              <w:numPr>
                <w:ilvl w:val="0"/>
                <w:numId w:val="0"/>
              </w:numPr>
              <w:adjustRightInd/>
              <w:spacing w:after="120" w:line="360" w:lineRule="auto"/>
              <w:jc w:val="both"/>
              <w:textAlignment w:val="baseline"/>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4）、</w:t>
            </w:r>
            <w:r>
              <w:rPr>
                <w:rFonts w:hint="eastAsia" w:ascii="仿宋" w:hAnsi="仿宋" w:eastAsia="仿宋" w:cs="仿宋"/>
                <w:color w:val="auto"/>
                <w:sz w:val="24"/>
                <w:szCs w:val="24"/>
                <w:highlight w:val="none"/>
                <w:lang w:eastAsia="zh-CN"/>
              </w:rPr>
              <w:t>服务内容</w:t>
            </w:r>
            <w:r>
              <w:rPr>
                <w:rFonts w:hint="eastAsia" w:ascii="仿宋" w:hAnsi="仿宋" w:eastAsia="仿宋" w:cs="仿宋"/>
                <w:color w:val="auto"/>
                <w:sz w:val="24"/>
                <w:szCs w:val="24"/>
                <w:highlight w:val="none"/>
              </w:rPr>
              <w:t>：对车辆、消防器材等设备进行日常管理及维护，对所辖</w:t>
            </w:r>
            <w:r>
              <w:rPr>
                <w:rFonts w:hint="eastAsia" w:ascii="仿宋" w:hAnsi="仿宋" w:eastAsia="仿宋" w:cs="仿宋"/>
                <w:color w:val="auto"/>
                <w:sz w:val="24"/>
                <w:szCs w:val="24"/>
                <w:highlight w:val="none"/>
                <w:lang w:eastAsia="zh-CN"/>
              </w:rPr>
              <w:t>乡镇（街道）</w:t>
            </w:r>
            <w:r>
              <w:rPr>
                <w:rFonts w:hint="eastAsia" w:ascii="仿宋" w:hAnsi="仿宋" w:eastAsia="仿宋" w:cs="仿宋"/>
                <w:color w:val="auto"/>
                <w:sz w:val="24"/>
                <w:szCs w:val="24"/>
                <w:highlight w:val="none"/>
              </w:rPr>
              <w:t>开展消防、企业安全和防汛防台等检查和相关知识培训宣传。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2" w:hRule="atLeast"/>
          <w:jc w:val="center"/>
        </w:trPr>
        <w:tc>
          <w:tcPr>
            <w:tcW w:w="873" w:type="dxa"/>
            <w:vAlign w:val="center"/>
          </w:tcPr>
          <w:p>
            <w:pPr>
              <w:widowControl w:val="0"/>
              <w:wordWrap/>
              <w:spacing w:afterAutospacing="0" w:line="480" w:lineRule="auto"/>
              <w:ind w:left="0" w:leftChars="0" w:right="0"/>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队员</w:t>
            </w:r>
          </w:p>
        </w:tc>
        <w:tc>
          <w:tcPr>
            <w:tcW w:w="7620" w:type="dxa"/>
            <w:vAlign w:val="center"/>
          </w:tcPr>
          <w:p>
            <w:pPr>
              <w:widowControl/>
              <w:numPr>
                <w:ilvl w:val="0"/>
                <w:numId w:val="0"/>
              </w:numPr>
              <w:adjustRightInd/>
              <w:spacing w:after="120" w:line="360" w:lineRule="auto"/>
              <w:jc w:val="both"/>
              <w:textAlignment w:val="baseline"/>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1）、人员设置：8人</w:t>
            </w:r>
          </w:p>
          <w:p>
            <w:pPr>
              <w:widowControl/>
              <w:numPr>
                <w:ilvl w:val="0"/>
                <w:numId w:val="0"/>
              </w:numPr>
              <w:adjustRightInd/>
              <w:spacing w:after="120" w:line="360" w:lineRule="auto"/>
              <w:jc w:val="both"/>
              <w:textAlignment w:val="baseline"/>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2）、身体条件：男性，五官端正，年龄一般为35周岁及以下；没有传染病、精神病、冠心病、高血压、肺部疾病及不能控制自己行为能力的疾病(病史）等；无犯罪记录,政审合格。</w:t>
            </w:r>
          </w:p>
          <w:p>
            <w:pPr>
              <w:widowControl/>
              <w:numPr>
                <w:ilvl w:val="0"/>
                <w:numId w:val="0"/>
              </w:numPr>
              <w:adjustRightInd/>
              <w:spacing w:after="120" w:line="360" w:lineRule="auto"/>
              <w:jc w:val="both"/>
              <w:textAlignment w:val="baseline"/>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▲3）、技能要求：具有退伍军人相关证书（提供相关证明）。</w:t>
            </w:r>
          </w:p>
          <w:p>
            <w:pPr>
              <w:widowControl/>
              <w:adjustRightInd/>
              <w:spacing w:after="120" w:line="360" w:lineRule="auto"/>
              <w:jc w:val="both"/>
              <w:textAlignment w:val="baseline"/>
              <w:rPr>
                <w:rFonts w:hint="eastAsia" w:ascii="仿宋" w:hAnsi="仿宋" w:eastAsia="仿宋" w:cs="仿宋"/>
                <w:color w:val="auto"/>
                <w:kern w:val="0"/>
                <w:sz w:val="24"/>
                <w:szCs w:val="24"/>
                <w:highlight w:val="none"/>
                <w:u w:val="none"/>
                <w:lang w:val="en-US" w:eastAsia="zh-CN" w:bidi="ar-SA"/>
              </w:rPr>
            </w:pPr>
            <w:r>
              <w:rPr>
                <w:rFonts w:hint="eastAsia" w:ascii="仿宋" w:hAnsi="仿宋" w:eastAsia="仿宋" w:cs="仿宋"/>
                <w:color w:val="auto"/>
                <w:sz w:val="24"/>
                <w:szCs w:val="24"/>
                <w:highlight w:val="none"/>
                <w:lang w:val="en-US" w:eastAsia="zh-CN"/>
              </w:rPr>
              <w:t>4）、服务内容：对车辆、消防器材等设备进行日常管理及维护，对所辖乡镇（街道）开展消防、企业安全和防汛防台等检查和相关知识培训宣传。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0" w:hRule="atLeast"/>
          <w:jc w:val="center"/>
        </w:trPr>
        <w:tc>
          <w:tcPr>
            <w:tcW w:w="873" w:type="dxa"/>
            <w:vAlign w:val="center"/>
          </w:tcPr>
          <w:p>
            <w:pPr>
              <w:widowControl w:val="0"/>
              <w:wordWrap/>
              <w:spacing w:afterAutospacing="0" w:line="480" w:lineRule="auto"/>
              <w:ind w:left="0" w:leftChars="0" w:right="0"/>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highlight w:val="none"/>
                <w:lang w:val="en-US" w:eastAsia="zh-CN"/>
              </w:rPr>
              <w:t>站点人员基本要求</w:t>
            </w:r>
          </w:p>
        </w:tc>
        <w:tc>
          <w:tcPr>
            <w:tcW w:w="7620" w:type="dxa"/>
            <w:vAlign w:val="center"/>
          </w:tcPr>
          <w:p>
            <w:pPr>
              <w:widowControl/>
              <w:adjustRightInd/>
              <w:spacing w:after="120" w:line="360" w:lineRule="auto"/>
              <w:jc w:val="both"/>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lang w:eastAsia="zh-CN"/>
              </w:rPr>
              <w:t>未</w:t>
            </w:r>
            <w:r>
              <w:rPr>
                <w:rFonts w:hint="eastAsia" w:ascii="仿宋" w:hAnsi="仿宋" w:eastAsia="仿宋" w:cs="仿宋"/>
                <w:color w:val="auto"/>
                <w:sz w:val="24"/>
                <w:highlight w:val="none"/>
              </w:rPr>
              <w:t>受过刑事处罚、劳动教养、未成年管教及治安处罚的；</w:t>
            </w:r>
          </w:p>
          <w:p>
            <w:pPr>
              <w:widowControl/>
              <w:adjustRightInd/>
              <w:spacing w:after="120" w:line="360" w:lineRule="auto"/>
              <w:jc w:val="both"/>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rPr>
              <w:t>本人或直系亲属</w:t>
            </w:r>
            <w:r>
              <w:rPr>
                <w:rFonts w:hint="eastAsia" w:ascii="仿宋" w:hAnsi="仿宋" w:eastAsia="仿宋" w:cs="仿宋"/>
                <w:color w:val="auto"/>
                <w:sz w:val="24"/>
                <w:highlight w:val="none"/>
                <w:lang w:eastAsia="zh-CN"/>
              </w:rPr>
              <w:t>无</w:t>
            </w:r>
            <w:r>
              <w:rPr>
                <w:rFonts w:hint="eastAsia" w:ascii="仿宋" w:hAnsi="仿宋" w:eastAsia="仿宋" w:cs="仿宋"/>
                <w:color w:val="auto"/>
                <w:sz w:val="24"/>
                <w:highlight w:val="none"/>
              </w:rPr>
              <w:t>被判处死刑及正在服刑的,或者</w:t>
            </w:r>
            <w:r>
              <w:rPr>
                <w:rFonts w:hint="eastAsia" w:ascii="仿宋" w:hAnsi="仿宋" w:eastAsia="仿宋" w:cs="仿宋"/>
                <w:color w:val="auto"/>
                <w:sz w:val="24"/>
                <w:highlight w:val="none"/>
                <w:lang w:eastAsia="zh-CN"/>
              </w:rPr>
              <w:t>从未</w:t>
            </w:r>
            <w:r>
              <w:rPr>
                <w:rFonts w:hint="eastAsia" w:ascii="仿宋" w:hAnsi="仿宋" w:eastAsia="仿宋" w:cs="仿宋"/>
                <w:color w:val="auto"/>
                <w:sz w:val="24"/>
                <w:highlight w:val="none"/>
              </w:rPr>
              <w:t>参与邪教组织活动的；</w:t>
            </w:r>
          </w:p>
          <w:p>
            <w:pPr>
              <w:widowControl/>
              <w:adjustRightInd/>
              <w:spacing w:after="120" w:line="360" w:lineRule="auto"/>
              <w:jc w:val="both"/>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lang w:eastAsia="zh-CN"/>
              </w:rPr>
              <w:t>无</w:t>
            </w:r>
            <w:r>
              <w:rPr>
                <w:rFonts w:hint="eastAsia" w:ascii="仿宋" w:hAnsi="仿宋" w:eastAsia="仿宋" w:cs="仿宋"/>
                <w:color w:val="auto"/>
                <w:sz w:val="24"/>
                <w:highlight w:val="none"/>
              </w:rPr>
              <w:t>犯罪嫌疑尚未查清的；</w:t>
            </w:r>
          </w:p>
          <w:p>
            <w:pPr>
              <w:widowControl/>
              <w:adjustRightInd/>
              <w:spacing w:after="120" w:line="360" w:lineRule="auto"/>
              <w:jc w:val="both"/>
              <w:textAlignment w:val="baseline"/>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lang w:eastAsia="zh-CN"/>
              </w:rPr>
              <w:t>无</w:t>
            </w:r>
            <w:r>
              <w:rPr>
                <w:rFonts w:hint="eastAsia" w:ascii="仿宋" w:hAnsi="仿宋" w:eastAsia="仿宋" w:cs="仿宋"/>
                <w:color w:val="auto"/>
                <w:sz w:val="24"/>
                <w:highlight w:val="none"/>
              </w:rPr>
              <w:t>寻衅滋事、偷窃、**等不良行为</w:t>
            </w:r>
            <w:r>
              <w:rPr>
                <w:rFonts w:hint="eastAsia" w:ascii="仿宋" w:hAnsi="仿宋" w:eastAsia="仿宋" w:cs="仿宋"/>
                <w:color w:val="auto"/>
                <w:sz w:val="24"/>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73" w:type="dxa"/>
            <w:vAlign w:val="center"/>
          </w:tcPr>
          <w:p>
            <w:pPr>
              <w:widowControl w:val="0"/>
              <w:wordWrap/>
              <w:spacing w:afterAutospacing="0" w:line="480" w:lineRule="auto"/>
              <w:ind w:left="0" w:leftChars="0" w:right="0"/>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highlight w:val="none"/>
              </w:rPr>
              <w:t>其它要求</w:t>
            </w:r>
          </w:p>
        </w:tc>
        <w:tc>
          <w:tcPr>
            <w:tcW w:w="7620" w:type="dxa"/>
            <w:vAlign w:val="top"/>
          </w:tcPr>
          <w:p>
            <w:pPr>
              <w:widowControl/>
              <w:numPr>
                <w:ilvl w:val="0"/>
                <w:numId w:val="0"/>
              </w:numPr>
              <w:adjustRightInd/>
              <w:spacing w:after="120" w:line="360" w:lineRule="auto"/>
              <w:textAlignment w:val="baseline"/>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1）、人员结构合理；</w:t>
            </w:r>
          </w:p>
          <w:p>
            <w:pPr>
              <w:widowControl/>
              <w:numPr>
                <w:ilvl w:val="0"/>
                <w:numId w:val="0"/>
              </w:numPr>
              <w:adjustRightInd/>
              <w:spacing w:after="120" w:line="360" w:lineRule="auto"/>
              <w:textAlignment w:val="baseline"/>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2）、人岗相适度高；</w:t>
            </w:r>
          </w:p>
          <w:p>
            <w:pPr>
              <w:widowControl/>
              <w:numPr>
                <w:ilvl w:val="0"/>
                <w:numId w:val="0"/>
              </w:numPr>
              <w:adjustRightInd/>
              <w:spacing w:after="120" w:line="360" w:lineRule="auto"/>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储备队员充足（由</w:t>
            </w:r>
            <w:r>
              <w:rPr>
                <w:rFonts w:hint="eastAsia" w:ascii="仿宋" w:hAnsi="仿宋" w:eastAsia="仿宋" w:cs="仿宋"/>
                <w:color w:val="auto"/>
                <w:sz w:val="24"/>
                <w:highlight w:val="none"/>
                <w:lang w:eastAsia="zh-CN"/>
              </w:rPr>
              <w:t>中标单位</w:t>
            </w:r>
            <w:r>
              <w:rPr>
                <w:rFonts w:hint="eastAsia" w:ascii="仿宋" w:hAnsi="仿宋" w:eastAsia="仿宋" w:cs="仿宋"/>
                <w:color w:val="auto"/>
                <w:sz w:val="24"/>
                <w:highlight w:val="none"/>
              </w:rPr>
              <w:t>保证替补人员）。</w:t>
            </w:r>
          </w:p>
          <w:p>
            <w:pPr>
              <w:widowControl/>
              <w:adjustRightInd/>
              <w:spacing w:after="120" w:line="360" w:lineRule="auto"/>
              <w:textAlignment w:val="baseline"/>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highlight w:val="none"/>
              </w:rPr>
              <w:t>4）</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本项目的所有人员进场服务前由采购人统一审核，并进行体能测试。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6" w:hRule="atLeast"/>
          <w:jc w:val="center"/>
        </w:trPr>
        <w:tc>
          <w:tcPr>
            <w:tcW w:w="873" w:type="dxa"/>
            <w:vAlign w:val="center"/>
          </w:tcPr>
          <w:p>
            <w:pPr>
              <w:widowControl w:val="0"/>
              <w:wordWrap/>
              <w:spacing w:afterAutospacing="0" w:line="480" w:lineRule="auto"/>
              <w:ind w:left="0" w:leftChars="0" w:right="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rPr>
              <w:t>工作职责</w:t>
            </w:r>
          </w:p>
        </w:tc>
        <w:tc>
          <w:tcPr>
            <w:tcW w:w="7620" w:type="dxa"/>
            <w:vAlign w:val="center"/>
          </w:tcPr>
          <w:p>
            <w:pPr>
              <w:widowControl/>
              <w:numPr>
                <w:ilvl w:val="0"/>
                <w:numId w:val="3"/>
              </w:numPr>
              <w:adjustRightInd/>
              <w:spacing w:after="120" w:line="360" w:lineRule="auto"/>
              <w:jc w:val="both"/>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w:t>
            </w:r>
            <w:r>
              <w:rPr>
                <w:rFonts w:hint="eastAsia" w:ascii="仿宋" w:hAnsi="仿宋" w:eastAsia="仿宋" w:cs="仿宋"/>
                <w:color w:val="auto"/>
                <w:sz w:val="24"/>
                <w:highlight w:val="none"/>
              </w:rPr>
              <w:t>按照《杭州市消防安全委员会关于印发杭州市区域性微型消防救援站建设标准及日常工作制度和岗位职责的通知》、《关于印发杭州市乡镇（街道）综合应急和消防救援队标准化建设规范和训练大纲（试行）的通知》</w:t>
            </w:r>
            <w:r>
              <w:rPr>
                <w:rFonts w:hint="eastAsia" w:ascii="仿宋" w:hAnsi="仿宋" w:eastAsia="仿宋" w:cs="仿宋"/>
                <w:color w:val="auto"/>
                <w:sz w:val="24"/>
                <w:highlight w:val="none"/>
                <w:lang w:eastAsia="zh-CN"/>
              </w:rPr>
              <w:t>、《</w:t>
            </w:r>
            <w:r>
              <w:rPr>
                <w:rFonts w:hint="default" w:ascii="仿宋" w:hAnsi="仿宋" w:eastAsia="仿宋" w:cs="仿宋"/>
                <w:color w:val="auto"/>
                <w:sz w:val="24"/>
                <w:highlight w:val="none"/>
                <w:lang w:eastAsia="zh-CN"/>
              </w:rPr>
              <w:t>关于进一步</w:t>
            </w:r>
            <w:r>
              <w:rPr>
                <w:rFonts w:hint="default" w:ascii="仿宋" w:hAnsi="仿宋" w:eastAsia="仿宋" w:cs="仿宋"/>
                <w:color w:val="auto"/>
                <w:sz w:val="24"/>
                <w:highlight w:val="none"/>
                <w:lang w:val="en-US" w:eastAsia="zh-CN"/>
              </w:rPr>
              <w:t>加强全区区域性及村（社区）微型消防救援站建设工作的通知</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要求，组织</w:t>
            </w:r>
            <w:r>
              <w:rPr>
                <w:rFonts w:hint="eastAsia" w:ascii="仿宋" w:hAnsi="仿宋" w:eastAsia="仿宋" w:cs="仿宋"/>
                <w:color w:val="auto"/>
                <w:sz w:val="24"/>
                <w:highlight w:val="none"/>
                <w:lang w:eastAsia="zh-CN"/>
              </w:rPr>
              <w:t>站点人员</w:t>
            </w:r>
            <w:r>
              <w:rPr>
                <w:rFonts w:hint="eastAsia" w:ascii="仿宋" w:hAnsi="仿宋" w:eastAsia="仿宋" w:cs="仿宋"/>
                <w:color w:val="auto"/>
                <w:sz w:val="24"/>
                <w:highlight w:val="none"/>
              </w:rPr>
              <w:t>开展工作及学习培训；</w:t>
            </w:r>
          </w:p>
          <w:p>
            <w:pPr>
              <w:widowControl/>
              <w:numPr>
                <w:ilvl w:val="0"/>
                <w:numId w:val="3"/>
              </w:numPr>
              <w:adjustRightInd/>
              <w:spacing w:after="120" w:line="360" w:lineRule="auto"/>
              <w:jc w:val="both"/>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完成采购人交办的其他工作任务。</w:t>
            </w:r>
          </w:p>
        </w:tc>
      </w:tr>
    </w:tbl>
    <w:p>
      <w:pPr>
        <w:rPr>
          <w:color w:val="auto"/>
          <w:highlight w:val="none"/>
        </w:rPr>
      </w:pPr>
    </w:p>
    <w:p>
      <w:pPr>
        <w:pStyle w:val="2"/>
        <w:ind w:left="0" w:leftChars="0" w:firstLine="0" w:firstLineChars="0"/>
        <w:rPr>
          <w:color w:val="auto"/>
          <w:highlight w:val="none"/>
        </w:rPr>
      </w:pPr>
    </w:p>
    <w:tbl>
      <w:tblPr>
        <w:tblStyle w:val="62"/>
        <w:tblW w:w="849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3"/>
        <w:gridCol w:w="76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7" w:hRule="atLeast"/>
          <w:jc w:val="center"/>
        </w:trPr>
        <w:tc>
          <w:tcPr>
            <w:tcW w:w="8493" w:type="dxa"/>
            <w:gridSpan w:val="2"/>
            <w:vAlign w:val="center"/>
          </w:tcPr>
          <w:p>
            <w:pPr>
              <w:widowControl w:val="0"/>
              <w:wordWrap/>
              <w:spacing w:afterAutospacing="0" w:line="480" w:lineRule="auto"/>
              <w:ind w:left="0" w:leftChars="0" w:right="0"/>
              <w:jc w:val="center"/>
              <w:rPr>
                <w:rFonts w:hint="eastAsia" w:ascii="仿宋" w:hAnsi="仿宋" w:eastAsia="仿宋" w:cs="仿宋"/>
                <w:color w:val="auto"/>
                <w:sz w:val="24"/>
                <w:szCs w:val="24"/>
                <w:highlight w:val="none"/>
              </w:rPr>
            </w:pPr>
            <w:r>
              <w:rPr>
                <w:rFonts w:hint="eastAsia" w:ascii="仿宋" w:hAnsi="仿宋" w:eastAsia="仿宋" w:cs="仿宋"/>
                <w:b/>
                <w:bCs/>
                <w:color w:val="auto"/>
                <w:sz w:val="24"/>
                <w:szCs w:val="24"/>
                <w:highlight w:val="none"/>
                <w:lang w:val="en-US" w:eastAsia="zh-CN"/>
              </w:rPr>
              <w:t>二、毓溪区域性微型消防救援站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jc w:val="center"/>
        </w:trPr>
        <w:tc>
          <w:tcPr>
            <w:tcW w:w="873" w:type="dxa"/>
            <w:vAlign w:val="center"/>
          </w:tcPr>
          <w:p>
            <w:pPr>
              <w:widowControl w:val="0"/>
              <w:wordWrap/>
              <w:spacing w:afterAutospacing="0" w:line="240" w:lineRule="auto"/>
              <w:ind w:left="0" w:leftChars="0" w:right="0"/>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项</w:t>
            </w:r>
            <w:r>
              <w:rPr>
                <w:rFonts w:hint="eastAsia" w:ascii="仿宋" w:hAnsi="仿宋" w:eastAsia="仿宋" w:cs="仿宋"/>
                <w:color w:val="auto"/>
                <w:sz w:val="24"/>
                <w:szCs w:val="24"/>
                <w:highlight w:val="none"/>
                <w:lang w:val="en-US" w:eastAsia="zh-CN"/>
              </w:rPr>
              <w:t>目岗位及要求</w:t>
            </w:r>
          </w:p>
        </w:tc>
        <w:tc>
          <w:tcPr>
            <w:tcW w:w="7620" w:type="dxa"/>
            <w:vAlign w:val="center"/>
          </w:tcPr>
          <w:p>
            <w:pPr>
              <w:widowControl w:val="0"/>
              <w:wordWrap/>
              <w:spacing w:afterAutospacing="0" w:line="480" w:lineRule="auto"/>
              <w:ind w:left="0" w:leftChars="0" w:right="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服务</w:t>
            </w:r>
            <w:r>
              <w:rPr>
                <w:rFonts w:hint="eastAsia" w:ascii="仿宋" w:hAnsi="仿宋" w:eastAsia="仿宋" w:cs="仿宋"/>
                <w:color w:val="auto"/>
                <w:sz w:val="24"/>
                <w:szCs w:val="24"/>
                <w:highlight w:val="none"/>
                <w:lang w:val="en-US" w:eastAsia="zh-CN"/>
              </w:rPr>
              <w:t>内容及</w:t>
            </w:r>
            <w:r>
              <w:rPr>
                <w:rFonts w:hint="eastAsia" w:ascii="仿宋" w:hAnsi="仿宋" w:eastAsia="仿宋" w:cs="仿宋"/>
                <w:color w:val="auto"/>
                <w:sz w:val="24"/>
                <w:szCs w:val="24"/>
                <w:highlight w:val="none"/>
              </w:rPr>
              <w:t>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jc w:val="center"/>
        </w:trPr>
        <w:tc>
          <w:tcPr>
            <w:tcW w:w="873" w:type="dxa"/>
            <w:vAlign w:val="center"/>
          </w:tcPr>
          <w:p>
            <w:pPr>
              <w:widowControl w:val="0"/>
              <w:wordWrap/>
              <w:spacing w:afterAutospacing="0" w:line="240" w:lineRule="auto"/>
              <w:ind w:left="0" w:leftChars="0" w:right="0"/>
              <w:jc w:val="center"/>
              <w:rPr>
                <w:rFonts w:hint="eastAsia" w:ascii="仿宋" w:hAnsi="仿宋" w:eastAsia="仿宋" w:cs="仿宋"/>
                <w:b w:val="0"/>
                <w:bCs/>
                <w:color w:val="auto"/>
                <w:sz w:val="24"/>
                <w:szCs w:val="24"/>
                <w:highlight w:val="none"/>
                <w:lang w:val="en-US" w:eastAsia="zh-CN"/>
              </w:rPr>
            </w:pPr>
            <w:r>
              <w:rPr>
                <w:rFonts w:hint="eastAsia" w:ascii="仿宋" w:hAnsi="仿宋" w:eastAsia="仿宋" w:cs="仿宋"/>
                <w:b w:val="0"/>
                <w:bCs/>
                <w:color w:val="auto"/>
                <w:sz w:val="24"/>
                <w:szCs w:val="24"/>
                <w:highlight w:val="none"/>
                <w:lang w:val="en-US" w:eastAsia="zh-CN"/>
              </w:rPr>
              <w:t>班长</w:t>
            </w:r>
          </w:p>
        </w:tc>
        <w:tc>
          <w:tcPr>
            <w:tcW w:w="7620" w:type="dxa"/>
            <w:vAlign w:val="center"/>
          </w:tcPr>
          <w:p>
            <w:pPr>
              <w:widowControl/>
              <w:adjustRightInd/>
              <w:spacing w:after="120" w:line="360" w:lineRule="auto"/>
              <w:textAlignment w:val="baseline"/>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1）、人员设置：1人</w:t>
            </w:r>
          </w:p>
          <w:p>
            <w:pPr>
              <w:widowControl/>
              <w:adjustRightInd/>
              <w:spacing w:after="120" w:line="360" w:lineRule="auto"/>
              <w:textAlignment w:val="baseline"/>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rPr>
              <w:t>身体条件：男性，五官端正，年龄一般为</w:t>
            </w:r>
            <w:r>
              <w:rPr>
                <w:rFonts w:hint="eastAsia" w:ascii="仿宋" w:hAnsi="仿宋" w:eastAsia="仿宋" w:cs="仿宋"/>
                <w:color w:val="auto"/>
                <w:sz w:val="24"/>
                <w:szCs w:val="24"/>
                <w:highlight w:val="none"/>
                <w:lang w:val="en-US" w:eastAsia="zh-CN"/>
              </w:rPr>
              <w:t>40</w:t>
            </w:r>
            <w:r>
              <w:rPr>
                <w:rFonts w:hint="eastAsia" w:ascii="仿宋" w:hAnsi="仿宋" w:eastAsia="仿宋" w:cs="仿宋"/>
                <w:color w:val="auto"/>
                <w:sz w:val="24"/>
                <w:szCs w:val="24"/>
                <w:highlight w:val="none"/>
              </w:rPr>
              <w:t>周岁</w:t>
            </w:r>
            <w:r>
              <w:rPr>
                <w:rFonts w:hint="eastAsia" w:ascii="仿宋" w:hAnsi="仿宋" w:eastAsia="仿宋" w:cs="仿宋"/>
                <w:color w:val="auto"/>
                <w:sz w:val="24"/>
                <w:szCs w:val="24"/>
                <w:highlight w:val="none"/>
                <w:lang w:eastAsia="zh-CN"/>
              </w:rPr>
              <w:t>及</w:t>
            </w:r>
            <w:r>
              <w:rPr>
                <w:rFonts w:hint="eastAsia" w:ascii="仿宋" w:hAnsi="仿宋" w:eastAsia="仿宋" w:cs="仿宋"/>
                <w:color w:val="auto"/>
                <w:sz w:val="24"/>
                <w:szCs w:val="24"/>
                <w:highlight w:val="none"/>
              </w:rPr>
              <w:t>以下；没有传染病、精</w:t>
            </w:r>
            <w:r>
              <w:rPr>
                <w:rFonts w:hint="eastAsia" w:ascii="仿宋" w:hAnsi="仿宋" w:eastAsia="仿宋" w:cs="仿宋"/>
                <w:color w:val="auto"/>
                <w:sz w:val="24"/>
                <w:szCs w:val="24"/>
                <w:highlight w:val="none"/>
                <w:lang w:eastAsia="zh-CN"/>
              </w:rPr>
              <w:t>神病、冠心病、高血压、肺部疾病及不能控制自己行为能力的疾病(病史）等；无犯罪记录,政审合格。</w:t>
            </w:r>
          </w:p>
          <w:p>
            <w:pPr>
              <w:widowControl/>
              <w:adjustRightInd/>
              <w:spacing w:after="120" w:line="360" w:lineRule="auto"/>
              <w:jc w:val="both"/>
              <w:textAlignment w:val="baseline"/>
              <w:rPr>
                <w:rFonts w:hint="eastAsia" w:ascii="仿宋" w:hAnsi="仿宋" w:eastAsia="仿宋" w:cs="仿宋"/>
                <w:color w:val="auto"/>
                <w:kern w:val="0"/>
                <w:sz w:val="24"/>
                <w:szCs w:val="24"/>
                <w:highlight w:val="none"/>
                <w:u w:val="none"/>
                <w:lang w:val="en-US" w:eastAsia="zh-CN" w:bidi="ar-SA"/>
              </w:rPr>
            </w:pP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rPr>
              <w:t>技能</w:t>
            </w:r>
            <w:r>
              <w:rPr>
                <w:rFonts w:hint="eastAsia" w:ascii="仿宋" w:hAnsi="仿宋" w:eastAsia="仿宋" w:cs="仿宋"/>
                <w:color w:val="auto"/>
                <w:sz w:val="24"/>
                <w:szCs w:val="24"/>
                <w:highlight w:val="none"/>
                <w:lang w:eastAsia="zh-CN"/>
              </w:rPr>
              <w:t>要求</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原武警消防部队退役士兵、改革转隶后国家综合性消防救援队伍退出消防员或有1年以上灭火救援工作经历的国家综合性消防救援队伍合同制队员</w:t>
            </w:r>
            <w:r>
              <w:rPr>
                <w:rFonts w:hint="eastAsia" w:ascii="仿宋" w:hAnsi="仿宋" w:eastAsia="仿宋" w:cs="仿宋"/>
                <w:color w:val="auto"/>
                <w:kern w:val="0"/>
                <w:sz w:val="24"/>
                <w:szCs w:val="24"/>
                <w:highlight w:val="none"/>
                <w:u w:val="none"/>
                <w:lang w:val="en-US" w:eastAsia="zh-CN" w:bidi="ar-SA"/>
              </w:rPr>
              <w:t>（提供相关证明）。</w:t>
            </w:r>
          </w:p>
          <w:p>
            <w:pPr>
              <w:widowControl/>
              <w:adjustRightInd/>
              <w:spacing w:after="120" w:line="360" w:lineRule="auto"/>
              <w:jc w:val="both"/>
              <w:textAlignment w:val="baseline"/>
              <w:rPr>
                <w:rFonts w:hint="eastAsia" w:ascii="仿宋" w:hAnsi="仿宋" w:eastAsia="仿宋" w:cs="仿宋"/>
                <w:color w:val="auto"/>
                <w:kern w:val="0"/>
                <w:sz w:val="24"/>
                <w:szCs w:val="24"/>
                <w:highlight w:val="none"/>
                <w:u w:val="none"/>
                <w:lang w:val="en-US" w:eastAsia="zh-CN" w:bidi="ar-SA"/>
              </w:rPr>
            </w:pPr>
            <w:r>
              <w:rPr>
                <w:rFonts w:hint="eastAsia" w:ascii="仿宋" w:hAnsi="仿宋" w:eastAsia="仿宋" w:cs="仿宋"/>
                <w:color w:val="auto"/>
                <w:sz w:val="24"/>
                <w:szCs w:val="24"/>
                <w:highlight w:val="none"/>
                <w:lang w:val="en-US" w:eastAsia="zh-CN"/>
              </w:rPr>
              <w:t>4）、具有专科及以上同等学历证书。</w:t>
            </w:r>
          </w:p>
          <w:p>
            <w:pPr>
              <w:widowControl/>
              <w:adjustRightInd/>
              <w:spacing w:after="120" w:line="360" w:lineRule="auto"/>
              <w:textAlignment w:val="baseline"/>
              <w:rPr>
                <w:rFonts w:hint="eastAsia" w:ascii="仿宋" w:hAnsi="仿宋" w:eastAsia="仿宋" w:cs="仿宋"/>
                <w:b w:val="0"/>
                <w:bCs w:val="0"/>
                <w:color w:val="auto"/>
                <w:sz w:val="24"/>
                <w:szCs w:val="24"/>
                <w:highlight w:val="none"/>
              </w:rPr>
            </w:pPr>
            <w:r>
              <w:rPr>
                <w:rFonts w:hint="eastAsia" w:ascii="仿宋" w:hAnsi="仿宋" w:eastAsia="仿宋" w:cs="仿宋"/>
                <w:color w:val="auto"/>
                <w:sz w:val="24"/>
                <w:szCs w:val="24"/>
                <w:highlight w:val="none"/>
                <w:lang w:val="en-US" w:eastAsia="zh-CN"/>
              </w:rPr>
              <w:t>5）、服务内容</w:t>
            </w:r>
            <w:r>
              <w:rPr>
                <w:rFonts w:hint="eastAsia" w:ascii="仿宋" w:hAnsi="仿宋" w:eastAsia="仿宋" w:cs="仿宋"/>
                <w:color w:val="auto"/>
                <w:sz w:val="24"/>
                <w:szCs w:val="24"/>
                <w:highlight w:val="none"/>
              </w:rPr>
              <w:t>：组织对所辖</w:t>
            </w:r>
            <w:r>
              <w:rPr>
                <w:rFonts w:hint="eastAsia" w:ascii="仿宋" w:hAnsi="仿宋" w:eastAsia="仿宋" w:cs="仿宋"/>
                <w:color w:val="auto"/>
                <w:sz w:val="24"/>
                <w:szCs w:val="24"/>
                <w:highlight w:val="none"/>
                <w:lang w:eastAsia="zh-CN"/>
              </w:rPr>
              <w:t>乡镇（街道）</w:t>
            </w:r>
            <w:r>
              <w:rPr>
                <w:rFonts w:hint="eastAsia" w:ascii="仿宋" w:hAnsi="仿宋" w:eastAsia="仿宋" w:cs="仿宋"/>
                <w:color w:val="auto"/>
                <w:sz w:val="24"/>
                <w:szCs w:val="24"/>
                <w:highlight w:val="none"/>
              </w:rPr>
              <w:t>开展消防、企业安全和防汛防台等检查和相关知识培训宣传，组织队员开展消防安全、应急救援等技能培训及专业装备器材训练。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73" w:type="dxa"/>
            <w:vAlign w:val="center"/>
          </w:tcPr>
          <w:p>
            <w:pPr>
              <w:widowControl w:val="0"/>
              <w:wordWrap/>
              <w:spacing w:afterAutospacing="0" w:line="240" w:lineRule="auto"/>
              <w:ind w:left="0" w:leftChars="0" w:right="0"/>
              <w:jc w:val="center"/>
              <w:rPr>
                <w:rFonts w:hint="eastAsia" w:ascii="仿宋" w:hAnsi="仿宋" w:eastAsia="仿宋" w:cs="仿宋"/>
                <w:b w:val="0"/>
                <w:bCs/>
                <w:color w:val="auto"/>
                <w:sz w:val="24"/>
                <w:szCs w:val="24"/>
                <w:highlight w:val="none"/>
                <w:lang w:val="en-US" w:eastAsia="zh-CN"/>
              </w:rPr>
            </w:pPr>
            <w:r>
              <w:rPr>
                <w:rFonts w:hint="eastAsia" w:ascii="仿宋" w:hAnsi="仿宋" w:eastAsia="仿宋" w:cs="仿宋"/>
                <w:b w:val="0"/>
                <w:bCs/>
                <w:color w:val="auto"/>
                <w:sz w:val="24"/>
                <w:szCs w:val="24"/>
                <w:highlight w:val="none"/>
                <w:lang w:val="en-US" w:eastAsia="zh-CN"/>
              </w:rPr>
              <w:t>副班长</w:t>
            </w:r>
          </w:p>
        </w:tc>
        <w:tc>
          <w:tcPr>
            <w:tcW w:w="7620" w:type="dxa"/>
            <w:vAlign w:val="center"/>
          </w:tcPr>
          <w:p>
            <w:pPr>
              <w:widowControl/>
              <w:adjustRightInd/>
              <w:spacing w:after="120" w:line="360" w:lineRule="auto"/>
              <w:textAlignment w:val="baseline"/>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1）、人员设置：1人</w:t>
            </w:r>
          </w:p>
          <w:p>
            <w:pPr>
              <w:widowControl/>
              <w:adjustRightInd/>
              <w:spacing w:after="120" w:line="360" w:lineRule="auto"/>
              <w:textAlignment w:val="baseline"/>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rPr>
              <w:t>身体条件：男性，五官端正，年龄一般为</w:t>
            </w:r>
            <w:r>
              <w:rPr>
                <w:rFonts w:hint="eastAsia" w:ascii="仿宋" w:hAnsi="仿宋" w:eastAsia="仿宋" w:cs="仿宋"/>
                <w:color w:val="auto"/>
                <w:sz w:val="24"/>
                <w:szCs w:val="24"/>
                <w:highlight w:val="none"/>
                <w:lang w:val="en-US" w:eastAsia="zh-CN"/>
              </w:rPr>
              <w:t>35</w:t>
            </w:r>
            <w:r>
              <w:rPr>
                <w:rFonts w:hint="eastAsia" w:ascii="仿宋" w:hAnsi="仿宋" w:eastAsia="仿宋" w:cs="仿宋"/>
                <w:color w:val="auto"/>
                <w:sz w:val="24"/>
                <w:szCs w:val="24"/>
                <w:highlight w:val="none"/>
              </w:rPr>
              <w:t>周岁</w:t>
            </w:r>
            <w:r>
              <w:rPr>
                <w:rFonts w:hint="eastAsia" w:ascii="仿宋" w:hAnsi="仿宋" w:eastAsia="仿宋" w:cs="仿宋"/>
                <w:color w:val="auto"/>
                <w:sz w:val="24"/>
                <w:szCs w:val="24"/>
                <w:highlight w:val="none"/>
                <w:lang w:eastAsia="zh-CN"/>
              </w:rPr>
              <w:t>及</w:t>
            </w:r>
            <w:r>
              <w:rPr>
                <w:rFonts w:hint="eastAsia" w:ascii="仿宋" w:hAnsi="仿宋" w:eastAsia="仿宋" w:cs="仿宋"/>
                <w:color w:val="auto"/>
                <w:sz w:val="24"/>
                <w:szCs w:val="24"/>
                <w:highlight w:val="none"/>
              </w:rPr>
              <w:t>以下；没有传染病、精</w:t>
            </w:r>
            <w:r>
              <w:rPr>
                <w:rFonts w:hint="eastAsia" w:ascii="仿宋" w:hAnsi="仿宋" w:eastAsia="仿宋" w:cs="仿宋"/>
                <w:color w:val="auto"/>
                <w:sz w:val="24"/>
                <w:szCs w:val="24"/>
                <w:highlight w:val="none"/>
                <w:lang w:eastAsia="zh-CN"/>
              </w:rPr>
              <w:t>神病、冠心病、高血压、肺部疾病及不能控制自己行为能力的疾病(病史）等；无犯罪记录,政审合格。</w:t>
            </w:r>
          </w:p>
          <w:p>
            <w:pPr>
              <w:widowControl/>
              <w:adjustRightInd/>
              <w:spacing w:after="120" w:line="360" w:lineRule="auto"/>
              <w:jc w:val="both"/>
              <w:textAlignment w:val="baseline"/>
              <w:rPr>
                <w:rFonts w:hint="eastAsia" w:ascii="仿宋" w:hAnsi="仿宋" w:eastAsia="仿宋" w:cs="仿宋"/>
                <w:color w:val="auto"/>
                <w:kern w:val="0"/>
                <w:sz w:val="24"/>
                <w:szCs w:val="24"/>
                <w:highlight w:val="none"/>
                <w:u w:val="none"/>
                <w:lang w:val="en-US" w:eastAsia="zh-CN" w:bidi="ar-SA"/>
              </w:rPr>
            </w:pP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rPr>
              <w:t>技能</w:t>
            </w:r>
            <w:r>
              <w:rPr>
                <w:rFonts w:hint="eastAsia" w:ascii="仿宋" w:hAnsi="仿宋" w:eastAsia="仿宋" w:cs="仿宋"/>
                <w:color w:val="auto"/>
                <w:sz w:val="24"/>
                <w:szCs w:val="24"/>
                <w:highlight w:val="none"/>
                <w:lang w:eastAsia="zh-CN"/>
              </w:rPr>
              <w:t>要求</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原武警消防部队退役士兵、改革转隶后国家综合性消防救援队伍退出消防员或有1年以上灭火救援工作经历的国家综合性消防救援队伍合同制队员</w:t>
            </w:r>
            <w:r>
              <w:rPr>
                <w:rFonts w:hint="eastAsia" w:ascii="仿宋" w:hAnsi="仿宋" w:eastAsia="仿宋" w:cs="仿宋"/>
                <w:color w:val="auto"/>
                <w:kern w:val="0"/>
                <w:sz w:val="24"/>
                <w:szCs w:val="24"/>
                <w:highlight w:val="none"/>
                <w:u w:val="none"/>
                <w:lang w:val="en-US" w:eastAsia="zh-CN" w:bidi="ar-SA"/>
              </w:rPr>
              <w:t>（提供相关证明）。</w:t>
            </w:r>
          </w:p>
          <w:p>
            <w:pPr>
              <w:widowControl/>
              <w:adjustRightInd/>
              <w:spacing w:after="120" w:line="360" w:lineRule="auto"/>
              <w:jc w:val="both"/>
              <w:textAlignment w:val="baseline"/>
              <w:rPr>
                <w:rFonts w:hint="eastAsia" w:ascii="仿宋" w:hAnsi="仿宋" w:eastAsia="仿宋" w:cs="仿宋"/>
                <w:color w:val="auto"/>
                <w:kern w:val="0"/>
                <w:sz w:val="24"/>
                <w:szCs w:val="24"/>
                <w:highlight w:val="none"/>
                <w:u w:val="none"/>
                <w:lang w:val="en-US" w:eastAsia="zh-CN" w:bidi="ar-SA"/>
              </w:rPr>
            </w:pPr>
            <w:r>
              <w:rPr>
                <w:rFonts w:hint="eastAsia" w:ascii="仿宋" w:hAnsi="仿宋" w:eastAsia="仿宋" w:cs="仿宋"/>
                <w:color w:val="auto"/>
                <w:sz w:val="24"/>
                <w:szCs w:val="24"/>
                <w:highlight w:val="none"/>
                <w:lang w:val="en-US" w:eastAsia="zh-CN"/>
              </w:rPr>
              <w:t>4)、具有专科及以上同等学历证书。</w:t>
            </w:r>
          </w:p>
          <w:p>
            <w:pPr>
              <w:widowControl/>
              <w:adjustRightInd/>
              <w:spacing w:after="120" w:line="360" w:lineRule="auto"/>
              <w:textAlignment w:val="baseline"/>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lang w:eastAsia="zh-CN"/>
              </w:rPr>
              <w:t>服务内容</w:t>
            </w:r>
            <w:r>
              <w:rPr>
                <w:rFonts w:hint="eastAsia" w:ascii="仿宋" w:hAnsi="仿宋" w:eastAsia="仿宋" w:cs="仿宋"/>
                <w:color w:val="auto"/>
                <w:sz w:val="24"/>
                <w:szCs w:val="24"/>
                <w:highlight w:val="none"/>
              </w:rPr>
              <w:t>：组织对所辖</w:t>
            </w:r>
            <w:r>
              <w:rPr>
                <w:rFonts w:hint="eastAsia" w:ascii="仿宋" w:hAnsi="仿宋" w:eastAsia="仿宋" w:cs="仿宋"/>
                <w:color w:val="auto"/>
                <w:sz w:val="24"/>
                <w:szCs w:val="24"/>
                <w:highlight w:val="none"/>
                <w:lang w:eastAsia="zh-CN"/>
              </w:rPr>
              <w:t>乡镇（街道）</w:t>
            </w:r>
            <w:r>
              <w:rPr>
                <w:rFonts w:hint="eastAsia" w:ascii="仿宋" w:hAnsi="仿宋" w:eastAsia="仿宋" w:cs="仿宋"/>
                <w:color w:val="auto"/>
                <w:sz w:val="24"/>
                <w:szCs w:val="24"/>
                <w:highlight w:val="none"/>
              </w:rPr>
              <w:t>开展消防、企业安全和防汛防台等检查和相关知识培训宣传，组织队员开展消防安全、应急救援等技能培训及专业装备器材训练。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73" w:type="dxa"/>
            <w:vAlign w:val="center"/>
          </w:tcPr>
          <w:p>
            <w:pPr>
              <w:widowControl w:val="0"/>
              <w:wordWrap/>
              <w:spacing w:afterAutospacing="0" w:line="480" w:lineRule="auto"/>
              <w:ind w:left="0" w:leftChars="0" w:right="0"/>
              <w:jc w:val="cente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val="en-US" w:eastAsia="zh-CN"/>
              </w:rPr>
              <w:t>驾驶员</w:t>
            </w:r>
          </w:p>
        </w:tc>
        <w:tc>
          <w:tcPr>
            <w:tcW w:w="7620" w:type="dxa"/>
            <w:vAlign w:val="top"/>
          </w:tcPr>
          <w:p>
            <w:pPr>
              <w:widowControl/>
              <w:adjustRightInd/>
              <w:spacing w:after="120" w:line="360" w:lineRule="auto"/>
              <w:textAlignment w:val="baseline"/>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1）、人员设置：2人</w:t>
            </w:r>
          </w:p>
          <w:p>
            <w:pPr>
              <w:widowControl/>
              <w:numPr>
                <w:ilvl w:val="0"/>
                <w:numId w:val="0"/>
              </w:numPr>
              <w:adjustRightInd/>
              <w:spacing w:after="120" w:line="360" w:lineRule="auto"/>
              <w:textAlignment w:val="baseline"/>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rPr>
              <w:t>身体条件：男性，五官端正，年龄一般为35周岁</w:t>
            </w:r>
            <w:r>
              <w:rPr>
                <w:rFonts w:hint="eastAsia" w:ascii="仿宋" w:hAnsi="仿宋" w:eastAsia="仿宋" w:cs="仿宋"/>
                <w:color w:val="auto"/>
                <w:sz w:val="24"/>
                <w:szCs w:val="24"/>
                <w:highlight w:val="none"/>
                <w:lang w:eastAsia="zh-CN"/>
              </w:rPr>
              <w:t>及</w:t>
            </w:r>
            <w:r>
              <w:rPr>
                <w:rFonts w:hint="eastAsia" w:ascii="仿宋" w:hAnsi="仿宋" w:eastAsia="仿宋" w:cs="仿宋"/>
                <w:color w:val="auto"/>
                <w:sz w:val="24"/>
                <w:szCs w:val="24"/>
                <w:highlight w:val="none"/>
              </w:rPr>
              <w:t>以下；没有传染病、精</w:t>
            </w:r>
            <w:r>
              <w:rPr>
                <w:rFonts w:hint="eastAsia" w:ascii="仿宋" w:hAnsi="仿宋" w:eastAsia="仿宋" w:cs="仿宋"/>
                <w:color w:val="auto"/>
                <w:sz w:val="24"/>
                <w:szCs w:val="24"/>
                <w:highlight w:val="none"/>
                <w:lang w:eastAsia="zh-CN"/>
              </w:rPr>
              <w:t>神病、冠心病、高血压、肺部疾病及不能控制自己行为能力的疾病(病史）等</w:t>
            </w:r>
            <w:r>
              <w:rPr>
                <w:rFonts w:hint="eastAsia" w:ascii="仿宋" w:hAnsi="仿宋" w:eastAsia="仿宋" w:cs="仿宋"/>
                <w:color w:val="auto"/>
                <w:sz w:val="24"/>
                <w:szCs w:val="24"/>
                <w:highlight w:val="none"/>
              </w:rPr>
              <w:t>；无犯罪记录,政审合格。</w:t>
            </w:r>
          </w:p>
          <w:p>
            <w:pPr>
              <w:widowControl/>
              <w:adjustRightInd/>
              <w:spacing w:after="120" w:line="360" w:lineRule="auto"/>
              <w:textAlignment w:val="baseline"/>
              <w:rPr>
                <w:rFonts w:hint="eastAsia" w:ascii="仿宋" w:hAnsi="仿宋" w:eastAsia="仿宋" w:cs="仿宋"/>
                <w:color w:val="auto"/>
                <w:kern w:val="0"/>
                <w:sz w:val="24"/>
                <w:szCs w:val="24"/>
                <w:highlight w:val="none"/>
                <w:u w:val="none"/>
                <w:lang w:val="en-US" w:eastAsia="zh-CN" w:bidi="ar-SA"/>
              </w:rPr>
            </w:pPr>
            <w:r>
              <w:rPr>
                <w:rFonts w:hint="eastAsia" w:ascii="仿宋" w:hAnsi="仿宋" w:eastAsia="仿宋" w:cs="仿宋"/>
                <w:color w:val="auto"/>
                <w:sz w:val="24"/>
                <w:szCs w:val="24"/>
                <w:highlight w:val="none"/>
                <w:lang w:val="en-US" w:eastAsia="zh-CN"/>
              </w:rPr>
              <w:t>▲3）、技能要求：必须具有相关车辆驾驶证，原武警消防部队退役士兵、改革转隶后国家综合性消防救援队伍退出消防员或有1年以上灭火救援工作经历的国家综合性消防救援队伍合同制队员（提供相关证明）。</w:t>
            </w:r>
          </w:p>
          <w:p>
            <w:pPr>
              <w:widowControl/>
              <w:numPr>
                <w:ilvl w:val="0"/>
                <w:numId w:val="0"/>
              </w:numPr>
              <w:adjustRightInd/>
              <w:spacing w:after="120" w:line="360" w:lineRule="auto"/>
              <w:textAlignment w:val="baseline"/>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4）、</w:t>
            </w:r>
            <w:r>
              <w:rPr>
                <w:rFonts w:hint="eastAsia" w:ascii="仿宋" w:hAnsi="仿宋" w:eastAsia="仿宋" w:cs="仿宋"/>
                <w:color w:val="auto"/>
                <w:sz w:val="24"/>
                <w:szCs w:val="24"/>
                <w:highlight w:val="none"/>
                <w:lang w:eastAsia="zh-CN"/>
              </w:rPr>
              <w:t>服务内容</w:t>
            </w:r>
            <w:r>
              <w:rPr>
                <w:rFonts w:hint="eastAsia" w:ascii="仿宋" w:hAnsi="仿宋" w:eastAsia="仿宋" w:cs="仿宋"/>
                <w:color w:val="auto"/>
                <w:sz w:val="24"/>
                <w:szCs w:val="24"/>
                <w:highlight w:val="none"/>
              </w:rPr>
              <w:t>：对车辆、消防器材等设备进行日常管理及维护，对所辖</w:t>
            </w:r>
            <w:r>
              <w:rPr>
                <w:rFonts w:hint="eastAsia" w:ascii="仿宋" w:hAnsi="仿宋" w:eastAsia="仿宋" w:cs="仿宋"/>
                <w:color w:val="auto"/>
                <w:sz w:val="24"/>
                <w:szCs w:val="24"/>
                <w:highlight w:val="none"/>
                <w:lang w:eastAsia="zh-CN"/>
              </w:rPr>
              <w:t>乡镇（街道）</w:t>
            </w:r>
            <w:r>
              <w:rPr>
                <w:rFonts w:hint="eastAsia" w:ascii="仿宋" w:hAnsi="仿宋" w:eastAsia="仿宋" w:cs="仿宋"/>
                <w:color w:val="auto"/>
                <w:sz w:val="24"/>
                <w:szCs w:val="24"/>
                <w:highlight w:val="none"/>
              </w:rPr>
              <w:t>开展消防、企业安全和防汛防台等检查和相关知识培训宣传。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3" w:hRule="atLeast"/>
          <w:jc w:val="center"/>
        </w:trPr>
        <w:tc>
          <w:tcPr>
            <w:tcW w:w="873" w:type="dxa"/>
            <w:vAlign w:val="center"/>
          </w:tcPr>
          <w:p>
            <w:pPr>
              <w:widowControl w:val="0"/>
              <w:wordWrap/>
              <w:spacing w:afterAutospacing="0" w:line="480" w:lineRule="auto"/>
              <w:ind w:left="0" w:leftChars="0" w:right="0"/>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队员</w:t>
            </w:r>
          </w:p>
        </w:tc>
        <w:tc>
          <w:tcPr>
            <w:tcW w:w="7620" w:type="dxa"/>
            <w:vAlign w:val="top"/>
          </w:tcPr>
          <w:p>
            <w:pPr>
              <w:widowControl/>
              <w:numPr>
                <w:ilvl w:val="0"/>
                <w:numId w:val="0"/>
              </w:numPr>
              <w:adjustRightInd/>
              <w:spacing w:after="120" w:line="360" w:lineRule="auto"/>
              <w:textAlignment w:val="baseline"/>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1）、人员设置：4人</w:t>
            </w:r>
          </w:p>
          <w:p>
            <w:pPr>
              <w:widowControl/>
              <w:numPr>
                <w:ilvl w:val="0"/>
                <w:numId w:val="0"/>
              </w:numPr>
              <w:adjustRightInd/>
              <w:spacing w:after="120" w:line="360" w:lineRule="auto"/>
              <w:textAlignment w:val="baseline"/>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2）、身体条件：男性，五官端正，年龄一般为35周岁及以下；没有传染病、精神病、冠心病、高血压、肺部疾病及不能控制自己行为能力的疾病(病史）等；无犯罪记录,政审合格。</w:t>
            </w:r>
          </w:p>
          <w:p>
            <w:pPr>
              <w:widowControl/>
              <w:numPr>
                <w:ilvl w:val="0"/>
                <w:numId w:val="0"/>
              </w:numPr>
              <w:adjustRightInd/>
              <w:spacing w:after="120" w:line="360" w:lineRule="auto"/>
              <w:textAlignment w:val="baseline"/>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▲3）、技能要求：具有退伍军人相关证书（提供相关证明）。</w:t>
            </w:r>
          </w:p>
          <w:p>
            <w:pPr>
              <w:widowControl/>
              <w:adjustRightInd/>
              <w:spacing w:after="120" w:line="360" w:lineRule="auto"/>
              <w:textAlignment w:val="baseline"/>
              <w:rPr>
                <w:rFonts w:hint="eastAsia" w:ascii="仿宋" w:hAnsi="仿宋" w:eastAsia="仿宋" w:cs="仿宋"/>
                <w:color w:val="auto"/>
                <w:kern w:val="0"/>
                <w:sz w:val="24"/>
                <w:szCs w:val="24"/>
                <w:highlight w:val="none"/>
                <w:u w:val="none"/>
                <w:lang w:val="en-US" w:eastAsia="zh-CN" w:bidi="ar-SA"/>
              </w:rPr>
            </w:pPr>
            <w:r>
              <w:rPr>
                <w:rFonts w:hint="eastAsia" w:ascii="仿宋" w:hAnsi="仿宋" w:eastAsia="仿宋" w:cs="仿宋"/>
                <w:color w:val="auto"/>
                <w:sz w:val="24"/>
                <w:szCs w:val="24"/>
                <w:highlight w:val="none"/>
                <w:lang w:val="en-US" w:eastAsia="zh-CN"/>
              </w:rPr>
              <w:t>4）、服务内容：对车辆、消防器材等设备进行日常管理及维护，对所辖乡镇（街道）开展消防、企业安全和防汛防台等检查和相关知识培训宣传。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93" w:hRule="atLeast"/>
          <w:jc w:val="center"/>
        </w:trPr>
        <w:tc>
          <w:tcPr>
            <w:tcW w:w="873" w:type="dxa"/>
            <w:vAlign w:val="center"/>
          </w:tcPr>
          <w:p>
            <w:pPr>
              <w:widowControl w:val="0"/>
              <w:wordWrap/>
              <w:spacing w:afterAutospacing="0" w:line="480" w:lineRule="auto"/>
              <w:ind w:left="0" w:leftChars="0" w:right="0"/>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highlight w:val="none"/>
                <w:lang w:val="en-US" w:eastAsia="zh-CN"/>
              </w:rPr>
              <w:t>站点人员基本要求</w:t>
            </w:r>
          </w:p>
        </w:tc>
        <w:tc>
          <w:tcPr>
            <w:tcW w:w="7620" w:type="dxa"/>
            <w:vAlign w:val="top"/>
          </w:tcPr>
          <w:p>
            <w:pPr>
              <w:widowControl/>
              <w:adjustRightInd/>
              <w:spacing w:after="120" w:line="360" w:lineRule="auto"/>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lang w:eastAsia="zh-CN"/>
              </w:rPr>
              <w:t>未</w:t>
            </w:r>
            <w:r>
              <w:rPr>
                <w:rFonts w:hint="eastAsia" w:ascii="仿宋" w:hAnsi="仿宋" w:eastAsia="仿宋" w:cs="仿宋"/>
                <w:color w:val="auto"/>
                <w:sz w:val="24"/>
                <w:highlight w:val="none"/>
              </w:rPr>
              <w:t>受过刑事处罚、劳动教养、未成年管教及治安处罚的；</w:t>
            </w:r>
          </w:p>
          <w:p>
            <w:pPr>
              <w:widowControl/>
              <w:adjustRightInd/>
              <w:spacing w:after="120" w:line="360" w:lineRule="auto"/>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rPr>
              <w:t>本人或直系亲属</w:t>
            </w:r>
            <w:r>
              <w:rPr>
                <w:rFonts w:hint="eastAsia" w:ascii="仿宋" w:hAnsi="仿宋" w:eastAsia="仿宋" w:cs="仿宋"/>
                <w:color w:val="auto"/>
                <w:sz w:val="24"/>
                <w:highlight w:val="none"/>
                <w:lang w:eastAsia="zh-CN"/>
              </w:rPr>
              <w:t>无</w:t>
            </w:r>
            <w:r>
              <w:rPr>
                <w:rFonts w:hint="eastAsia" w:ascii="仿宋" w:hAnsi="仿宋" w:eastAsia="仿宋" w:cs="仿宋"/>
                <w:color w:val="auto"/>
                <w:sz w:val="24"/>
                <w:highlight w:val="none"/>
              </w:rPr>
              <w:t>被判处死刑及正在服刑的,或者</w:t>
            </w:r>
            <w:r>
              <w:rPr>
                <w:rFonts w:hint="eastAsia" w:ascii="仿宋" w:hAnsi="仿宋" w:eastAsia="仿宋" w:cs="仿宋"/>
                <w:color w:val="auto"/>
                <w:sz w:val="24"/>
                <w:highlight w:val="none"/>
                <w:lang w:eastAsia="zh-CN"/>
              </w:rPr>
              <w:t>从未</w:t>
            </w:r>
            <w:r>
              <w:rPr>
                <w:rFonts w:hint="eastAsia" w:ascii="仿宋" w:hAnsi="仿宋" w:eastAsia="仿宋" w:cs="仿宋"/>
                <w:color w:val="auto"/>
                <w:sz w:val="24"/>
                <w:highlight w:val="none"/>
              </w:rPr>
              <w:t>参与邪教组织活动的；</w:t>
            </w:r>
          </w:p>
          <w:p>
            <w:pPr>
              <w:widowControl/>
              <w:adjustRightInd/>
              <w:spacing w:after="120" w:line="360" w:lineRule="auto"/>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lang w:eastAsia="zh-CN"/>
              </w:rPr>
              <w:t>无</w:t>
            </w:r>
            <w:r>
              <w:rPr>
                <w:rFonts w:hint="eastAsia" w:ascii="仿宋" w:hAnsi="仿宋" w:eastAsia="仿宋" w:cs="仿宋"/>
                <w:color w:val="auto"/>
                <w:sz w:val="24"/>
                <w:highlight w:val="none"/>
              </w:rPr>
              <w:t>犯罪嫌疑尚未查清的；</w:t>
            </w:r>
          </w:p>
          <w:p>
            <w:pPr>
              <w:widowControl/>
              <w:adjustRightInd/>
              <w:spacing w:after="120" w:line="360" w:lineRule="auto"/>
              <w:textAlignment w:val="baseline"/>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lang w:eastAsia="zh-CN"/>
              </w:rPr>
              <w:t>无</w:t>
            </w:r>
            <w:r>
              <w:rPr>
                <w:rFonts w:hint="eastAsia" w:ascii="仿宋" w:hAnsi="仿宋" w:eastAsia="仿宋" w:cs="仿宋"/>
                <w:color w:val="auto"/>
                <w:sz w:val="24"/>
                <w:highlight w:val="none"/>
              </w:rPr>
              <w:t>寻衅滋事、偷窃、**等不良行为</w:t>
            </w:r>
            <w:r>
              <w:rPr>
                <w:rFonts w:hint="eastAsia" w:ascii="仿宋" w:hAnsi="仿宋" w:eastAsia="仿宋" w:cs="仿宋"/>
                <w:color w:val="auto"/>
                <w:sz w:val="24"/>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9" w:hRule="atLeast"/>
          <w:jc w:val="center"/>
        </w:trPr>
        <w:tc>
          <w:tcPr>
            <w:tcW w:w="873" w:type="dxa"/>
            <w:vAlign w:val="center"/>
          </w:tcPr>
          <w:p>
            <w:pPr>
              <w:widowControl w:val="0"/>
              <w:wordWrap/>
              <w:spacing w:afterAutospacing="0" w:line="480" w:lineRule="auto"/>
              <w:ind w:left="0" w:leftChars="0" w:right="0"/>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rPr>
              <w:t>其它要求</w:t>
            </w:r>
          </w:p>
        </w:tc>
        <w:tc>
          <w:tcPr>
            <w:tcW w:w="7620" w:type="dxa"/>
            <w:vAlign w:val="center"/>
          </w:tcPr>
          <w:p>
            <w:pPr>
              <w:widowControl/>
              <w:numPr>
                <w:ilvl w:val="0"/>
                <w:numId w:val="0"/>
              </w:numPr>
              <w:adjustRightInd/>
              <w:spacing w:after="120" w:line="360" w:lineRule="auto"/>
              <w:jc w:val="both"/>
              <w:textAlignment w:val="baseline"/>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1）、人员结构合理；</w:t>
            </w:r>
          </w:p>
          <w:p>
            <w:pPr>
              <w:widowControl/>
              <w:numPr>
                <w:ilvl w:val="0"/>
                <w:numId w:val="0"/>
              </w:numPr>
              <w:adjustRightInd/>
              <w:spacing w:after="120" w:line="360" w:lineRule="auto"/>
              <w:jc w:val="both"/>
              <w:textAlignment w:val="baseline"/>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2）、人岗相适度高；</w:t>
            </w:r>
          </w:p>
          <w:p>
            <w:pPr>
              <w:widowControl/>
              <w:numPr>
                <w:ilvl w:val="0"/>
                <w:numId w:val="0"/>
              </w:numPr>
              <w:adjustRightInd/>
              <w:spacing w:after="120" w:line="360" w:lineRule="auto"/>
              <w:jc w:val="both"/>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储备队员充足（由</w:t>
            </w:r>
            <w:r>
              <w:rPr>
                <w:rFonts w:hint="eastAsia" w:ascii="仿宋" w:hAnsi="仿宋" w:eastAsia="仿宋" w:cs="仿宋"/>
                <w:color w:val="auto"/>
                <w:sz w:val="24"/>
                <w:highlight w:val="none"/>
                <w:lang w:eastAsia="zh-CN"/>
              </w:rPr>
              <w:t>中标单位</w:t>
            </w:r>
            <w:r>
              <w:rPr>
                <w:rFonts w:hint="eastAsia" w:ascii="仿宋" w:hAnsi="仿宋" w:eastAsia="仿宋" w:cs="仿宋"/>
                <w:color w:val="auto"/>
                <w:sz w:val="24"/>
                <w:highlight w:val="none"/>
              </w:rPr>
              <w:t>保证替补人员）。</w:t>
            </w:r>
          </w:p>
          <w:p>
            <w:pPr>
              <w:widowControl/>
              <w:adjustRightInd/>
              <w:spacing w:after="120" w:line="360" w:lineRule="auto"/>
              <w:jc w:val="both"/>
              <w:textAlignment w:val="baseline"/>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rPr>
              <w:t>4）</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本项目的所有人员进场服务前由采购人统一审核，并进行体能测试。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jc w:val="center"/>
        </w:trPr>
        <w:tc>
          <w:tcPr>
            <w:tcW w:w="873" w:type="dxa"/>
            <w:vAlign w:val="center"/>
          </w:tcPr>
          <w:p>
            <w:pPr>
              <w:widowControl w:val="0"/>
              <w:wordWrap/>
              <w:spacing w:afterAutospacing="0" w:line="480" w:lineRule="auto"/>
              <w:ind w:left="0" w:leftChars="0" w:right="0"/>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highlight w:val="none"/>
                <w:lang w:val="en-US"/>
              </w:rPr>
              <w:t>工作职责</w:t>
            </w:r>
          </w:p>
        </w:tc>
        <w:tc>
          <w:tcPr>
            <w:tcW w:w="7620" w:type="dxa"/>
            <w:vAlign w:val="center"/>
          </w:tcPr>
          <w:p>
            <w:pPr>
              <w:widowControl/>
              <w:numPr>
                <w:ilvl w:val="0"/>
                <w:numId w:val="0"/>
              </w:numPr>
              <w:adjustRightInd/>
              <w:spacing w:after="120" w:line="360" w:lineRule="auto"/>
              <w:jc w:val="both"/>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rPr>
              <w:t>按照《杭州市消防安全委员会关于印发杭州市区域性微型消防救援站建设标准及日常工作制度和岗位职责的通知》、《关于印发杭州市乡镇（街道）综合应急和消防救援队标准化建设规范和训练大纲（试行）的通知》</w:t>
            </w:r>
            <w:r>
              <w:rPr>
                <w:rFonts w:hint="eastAsia" w:ascii="仿宋" w:hAnsi="仿宋" w:eastAsia="仿宋" w:cs="仿宋"/>
                <w:color w:val="auto"/>
                <w:sz w:val="24"/>
                <w:highlight w:val="none"/>
                <w:lang w:eastAsia="zh-CN"/>
              </w:rPr>
              <w:t>、《</w:t>
            </w:r>
            <w:r>
              <w:rPr>
                <w:rFonts w:hint="default" w:ascii="仿宋" w:hAnsi="仿宋" w:eastAsia="仿宋" w:cs="仿宋"/>
                <w:color w:val="auto"/>
                <w:sz w:val="24"/>
                <w:highlight w:val="none"/>
                <w:lang w:eastAsia="zh-CN"/>
              </w:rPr>
              <w:t>关于进一步</w:t>
            </w:r>
            <w:r>
              <w:rPr>
                <w:rFonts w:hint="default" w:ascii="仿宋" w:hAnsi="仿宋" w:eastAsia="仿宋" w:cs="仿宋"/>
                <w:color w:val="auto"/>
                <w:sz w:val="24"/>
                <w:highlight w:val="none"/>
                <w:lang w:val="en-US" w:eastAsia="zh-CN"/>
              </w:rPr>
              <w:t>加强全区区域性及村（社区）微型消防救援站建设工作的通知</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要求，组织</w:t>
            </w:r>
            <w:r>
              <w:rPr>
                <w:rFonts w:hint="eastAsia" w:ascii="仿宋" w:hAnsi="仿宋" w:eastAsia="仿宋" w:cs="仿宋"/>
                <w:color w:val="auto"/>
                <w:sz w:val="24"/>
                <w:highlight w:val="none"/>
                <w:lang w:eastAsia="zh-CN"/>
              </w:rPr>
              <w:t>站点人员</w:t>
            </w:r>
            <w:r>
              <w:rPr>
                <w:rFonts w:hint="eastAsia" w:ascii="仿宋" w:hAnsi="仿宋" w:eastAsia="仿宋" w:cs="仿宋"/>
                <w:color w:val="auto"/>
                <w:sz w:val="24"/>
                <w:highlight w:val="none"/>
              </w:rPr>
              <w:t>开展工作及学习培训；</w:t>
            </w:r>
          </w:p>
          <w:p>
            <w:pPr>
              <w:widowControl/>
              <w:numPr>
                <w:ilvl w:val="0"/>
                <w:numId w:val="0"/>
              </w:numPr>
              <w:adjustRightInd/>
              <w:spacing w:after="120" w:line="360" w:lineRule="auto"/>
              <w:jc w:val="both"/>
              <w:textAlignment w:val="baseline"/>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完成采购人交办的其他工作任务。</w:t>
            </w:r>
          </w:p>
        </w:tc>
      </w:tr>
    </w:tbl>
    <w:p>
      <w:pPr>
        <w:rPr>
          <w:color w:val="auto"/>
          <w:highlight w:val="none"/>
        </w:rPr>
      </w:pPr>
    </w:p>
    <w:tbl>
      <w:tblPr>
        <w:tblStyle w:val="62"/>
        <w:tblW w:w="849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3"/>
        <w:gridCol w:w="76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2" w:hRule="atLeast"/>
          <w:jc w:val="center"/>
        </w:trPr>
        <w:tc>
          <w:tcPr>
            <w:tcW w:w="8493" w:type="dxa"/>
            <w:gridSpan w:val="2"/>
            <w:vAlign w:val="center"/>
          </w:tcPr>
          <w:p>
            <w:pPr>
              <w:widowControl w:val="0"/>
              <w:wordWrap/>
              <w:spacing w:afterAutospacing="0" w:line="480" w:lineRule="auto"/>
              <w:ind w:left="0" w:leftChars="0" w:right="0"/>
              <w:jc w:val="center"/>
              <w:rPr>
                <w:rFonts w:hint="eastAsia" w:ascii="仿宋" w:hAnsi="仿宋" w:eastAsia="仿宋" w:cs="仿宋"/>
                <w:color w:val="auto"/>
                <w:sz w:val="24"/>
                <w:szCs w:val="24"/>
                <w:highlight w:val="none"/>
              </w:rPr>
            </w:pPr>
            <w:r>
              <w:rPr>
                <w:rFonts w:hint="eastAsia" w:ascii="仿宋" w:hAnsi="仿宋" w:eastAsia="仿宋" w:cs="仿宋"/>
                <w:b/>
                <w:bCs/>
                <w:color w:val="auto"/>
                <w:sz w:val="24"/>
                <w:szCs w:val="24"/>
                <w:highlight w:val="none"/>
                <w:lang w:val="en-US" w:eastAsia="zh-CN"/>
              </w:rPr>
              <w:t>三、山西园区域性微型消防救援站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jc w:val="center"/>
        </w:trPr>
        <w:tc>
          <w:tcPr>
            <w:tcW w:w="873" w:type="dxa"/>
            <w:vAlign w:val="center"/>
          </w:tcPr>
          <w:p>
            <w:pPr>
              <w:widowControl w:val="0"/>
              <w:wordWrap/>
              <w:spacing w:afterAutospacing="0" w:line="240" w:lineRule="auto"/>
              <w:ind w:left="0" w:leftChars="0" w:right="0"/>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项</w:t>
            </w:r>
            <w:r>
              <w:rPr>
                <w:rFonts w:hint="eastAsia" w:ascii="仿宋" w:hAnsi="仿宋" w:eastAsia="仿宋" w:cs="仿宋"/>
                <w:color w:val="auto"/>
                <w:sz w:val="24"/>
                <w:szCs w:val="24"/>
                <w:highlight w:val="none"/>
                <w:lang w:val="en-US" w:eastAsia="zh-CN"/>
              </w:rPr>
              <w:t>目岗位</w:t>
            </w:r>
          </w:p>
        </w:tc>
        <w:tc>
          <w:tcPr>
            <w:tcW w:w="7620" w:type="dxa"/>
            <w:vAlign w:val="center"/>
          </w:tcPr>
          <w:p>
            <w:pPr>
              <w:widowControl w:val="0"/>
              <w:wordWrap/>
              <w:spacing w:afterAutospacing="0" w:line="480" w:lineRule="auto"/>
              <w:ind w:left="0" w:leftChars="0" w:right="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服务</w:t>
            </w:r>
            <w:r>
              <w:rPr>
                <w:rFonts w:hint="eastAsia" w:ascii="仿宋" w:hAnsi="仿宋" w:eastAsia="仿宋" w:cs="仿宋"/>
                <w:color w:val="auto"/>
                <w:sz w:val="24"/>
                <w:szCs w:val="24"/>
                <w:highlight w:val="none"/>
                <w:lang w:val="en-US" w:eastAsia="zh-CN"/>
              </w:rPr>
              <w:t>内容及</w:t>
            </w:r>
            <w:r>
              <w:rPr>
                <w:rFonts w:hint="eastAsia" w:ascii="仿宋" w:hAnsi="仿宋" w:eastAsia="仿宋" w:cs="仿宋"/>
                <w:color w:val="auto"/>
                <w:sz w:val="24"/>
                <w:szCs w:val="24"/>
                <w:highlight w:val="none"/>
              </w:rPr>
              <w:t>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jc w:val="center"/>
        </w:trPr>
        <w:tc>
          <w:tcPr>
            <w:tcW w:w="873" w:type="dxa"/>
            <w:vAlign w:val="center"/>
          </w:tcPr>
          <w:p>
            <w:pPr>
              <w:widowControl w:val="0"/>
              <w:wordWrap/>
              <w:spacing w:afterAutospacing="0" w:line="240" w:lineRule="auto"/>
              <w:ind w:left="0" w:leftChars="0" w:right="0"/>
              <w:jc w:val="center"/>
              <w:rPr>
                <w:rFonts w:hint="eastAsia" w:ascii="仿宋" w:hAnsi="仿宋" w:eastAsia="仿宋" w:cs="仿宋"/>
                <w:b w:val="0"/>
                <w:bCs/>
                <w:color w:val="auto"/>
                <w:sz w:val="24"/>
                <w:szCs w:val="24"/>
                <w:highlight w:val="none"/>
                <w:lang w:val="en-US" w:eastAsia="zh-CN"/>
              </w:rPr>
            </w:pPr>
            <w:r>
              <w:rPr>
                <w:rFonts w:hint="eastAsia" w:ascii="仿宋" w:hAnsi="仿宋" w:eastAsia="仿宋" w:cs="仿宋"/>
                <w:b w:val="0"/>
                <w:bCs/>
                <w:color w:val="auto"/>
                <w:sz w:val="24"/>
                <w:szCs w:val="24"/>
                <w:highlight w:val="none"/>
                <w:lang w:val="en-US" w:eastAsia="zh-CN"/>
              </w:rPr>
              <w:t>班长</w:t>
            </w:r>
          </w:p>
        </w:tc>
        <w:tc>
          <w:tcPr>
            <w:tcW w:w="7620" w:type="dxa"/>
            <w:vAlign w:val="center"/>
          </w:tcPr>
          <w:p>
            <w:pPr>
              <w:widowControl/>
              <w:adjustRightInd/>
              <w:spacing w:after="120" w:line="360" w:lineRule="auto"/>
              <w:textAlignment w:val="baseline"/>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1）、人员设置：1人</w:t>
            </w:r>
          </w:p>
          <w:p>
            <w:pPr>
              <w:widowControl/>
              <w:adjustRightInd/>
              <w:spacing w:after="120" w:line="360" w:lineRule="auto"/>
              <w:textAlignment w:val="baseline"/>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rPr>
              <w:t>身体条件：男性，五官端正，年龄一般为</w:t>
            </w:r>
            <w:r>
              <w:rPr>
                <w:rFonts w:hint="eastAsia" w:ascii="仿宋" w:hAnsi="仿宋" w:eastAsia="仿宋" w:cs="仿宋"/>
                <w:color w:val="auto"/>
                <w:sz w:val="24"/>
                <w:szCs w:val="24"/>
                <w:highlight w:val="none"/>
                <w:lang w:val="en-US" w:eastAsia="zh-CN"/>
              </w:rPr>
              <w:t>40</w:t>
            </w:r>
            <w:r>
              <w:rPr>
                <w:rFonts w:hint="eastAsia" w:ascii="仿宋" w:hAnsi="仿宋" w:eastAsia="仿宋" w:cs="仿宋"/>
                <w:color w:val="auto"/>
                <w:sz w:val="24"/>
                <w:szCs w:val="24"/>
                <w:highlight w:val="none"/>
              </w:rPr>
              <w:t>周岁</w:t>
            </w:r>
            <w:r>
              <w:rPr>
                <w:rFonts w:hint="eastAsia" w:ascii="仿宋" w:hAnsi="仿宋" w:eastAsia="仿宋" w:cs="仿宋"/>
                <w:color w:val="auto"/>
                <w:sz w:val="24"/>
                <w:szCs w:val="24"/>
                <w:highlight w:val="none"/>
                <w:lang w:eastAsia="zh-CN"/>
              </w:rPr>
              <w:t>及</w:t>
            </w:r>
            <w:r>
              <w:rPr>
                <w:rFonts w:hint="eastAsia" w:ascii="仿宋" w:hAnsi="仿宋" w:eastAsia="仿宋" w:cs="仿宋"/>
                <w:color w:val="auto"/>
                <w:sz w:val="24"/>
                <w:szCs w:val="24"/>
                <w:highlight w:val="none"/>
              </w:rPr>
              <w:t>以下；没有传染病、精</w:t>
            </w:r>
            <w:r>
              <w:rPr>
                <w:rFonts w:hint="eastAsia" w:ascii="仿宋" w:hAnsi="仿宋" w:eastAsia="仿宋" w:cs="仿宋"/>
                <w:color w:val="auto"/>
                <w:sz w:val="24"/>
                <w:szCs w:val="24"/>
                <w:highlight w:val="none"/>
                <w:lang w:eastAsia="zh-CN"/>
              </w:rPr>
              <w:t>神病、冠心病、高血压、肺部疾病及不能控制自己行为能力的疾病(病史）等；无犯罪记录,政审合格。</w:t>
            </w:r>
          </w:p>
          <w:p>
            <w:pPr>
              <w:widowControl/>
              <w:adjustRightInd/>
              <w:spacing w:after="120" w:line="360" w:lineRule="auto"/>
              <w:jc w:val="both"/>
              <w:textAlignment w:val="baseline"/>
              <w:rPr>
                <w:rFonts w:hint="eastAsia" w:ascii="仿宋" w:hAnsi="仿宋" w:eastAsia="仿宋" w:cs="仿宋"/>
                <w:color w:val="auto"/>
                <w:kern w:val="0"/>
                <w:sz w:val="24"/>
                <w:szCs w:val="24"/>
                <w:highlight w:val="none"/>
                <w:u w:val="none"/>
                <w:lang w:val="en-US" w:eastAsia="zh-CN" w:bidi="ar-SA"/>
              </w:rPr>
            </w:pP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rPr>
              <w:t>技能</w:t>
            </w:r>
            <w:r>
              <w:rPr>
                <w:rFonts w:hint="eastAsia" w:ascii="仿宋" w:hAnsi="仿宋" w:eastAsia="仿宋" w:cs="仿宋"/>
                <w:color w:val="auto"/>
                <w:sz w:val="24"/>
                <w:szCs w:val="24"/>
                <w:highlight w:val="none"/>
                <w:lang w:eastAsia="zh-CN"/>
              </w:rPr>
              <w:t>要求</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原武警消防部队退役士兵、改革转隶后国家综合性消防救援队伍退出消防员或有1年以上灭火救援工作经历的国家综合性消防救援队伍合同制队员</w:t>
            </w:r>
            <w:r>
              <w:rPr>
                <w:rFonts w:hint="eastAsia" w:ascii="仿宋" w:hAnsi="仿宋" w:eastAsia="仿宋" w:cs="仿宋"/>
                <w:color w:val="auto"/>
                <w:kern w:val="0"/>
                <w:sz w:val="24"/>
                <w:szCs w:val="24"/>
                <w:highlight w:val="none"/>
                <w:u w:val="none"/>
                <w:lang w:val="en-US" w:eastAsia="zh-CN" w:bidi="ar-SA"/>
              </w:rPr>
              <w:t>（提供相关证明）。</w:t>
            </w:r>
          </w:p>
          <w:p>
            <w:pPr>
              <w:widowControl/>
              <w:adjustRightInd/>
              <w:spacing w:after="120" w:line="360" w:lineRule="auto"/>
              <w:jc w:val="both"/>
              <w:textAlignment w:val="baseline"/>
              <w:rPr>
                <w:rFonts w:hint="eastAsia" w:ascii="仿宋" w:hAnsi="仿宋" w:eastAsia="仿宋" w:cs="仿宋"/>
                <w:color w:val="auto"/>
                <w:kern w:val="0"/>
                <w:sz w:val="24"/>
                <w:szCs w:val="24"/>
                <w:highlight w:val="none"/>
                <w:u w:val="none"/>
                <w:lang w:val="en-US" w:eastAsia="zh-CN" w:bidi="ar-SA"/>
              </w:rPr>
            </w:pPr>
            <w:r>
              <w:rPr>
                <w:rFonts w:hint="eastAsia" w:ascii="仿宋" w:hAnsi="仿宋" w:eastAsia="仿宋" w:cs="仿宋"/>
                <w:color w:val="auto"/>
                <w:sz w:val="24"/>
                <w:szCs w:val="24"/>
                <w:highlight w:val="none"/>
                <w:lang w:val="en-US" w:eastAsia="zh-CN"/>
              </w:rPr>
              <w:t>4）、具有专科及以上同等学历证书。</w:t>
            </w:r>
          </w:p>
          <w:p>
            <w:pPr>
              <w:widowControl/>
              <w:adjustRightInd/>
              <w:spacing w:after="120" w:line="360" w:lineRule="auto"/>
              <w:textAlignment w:val="baseline"/>
              <w:rPr>
                <w:rFonts w:hint="eastAsia" w:ascii="仿宋" w:hAnsi="仿宋" w:eastAsia="仿宋" w:cs="仿宋"/>
                <w:b w:val="0"/>
                <w:bCs w:val="0"/>
                <w:color w:val="auto"/>
                <w:sz w:val="24"/>
                <w:szCs w:val="24"/>
                <w:highlight w:val="none"/>
              </w:rPr>
            </w:pPr>
            <w:r>
              <w:rPr>
                <w:rFonts w:hint="eastAsia" w:ascii="仿宋" w:hAnsi="仿宋" w:eastAsia="仿宋" w:cs="仿宋"/>
                <w:color w:val="auto"/>
                <w:sz w:val="24"/>
                <w:szCs w:val="24"/>
                <w:highlight w:val="none"/>
                <w:lang w:val="en-US" w:eastAsia="zh-CN"/>
              </w:rPr>
              <w:t>5）、服务内容</w:t>
            </w:r>
            <w:r>
              <w:rPr>
                <w:rFonts w:hint="eastAsia" w:ascii="仿宋" w:hAnsi="仿宋" w:eastAsia="仿宋" w:cs="仿宋"/>
                <w:color w:val="auto"/>
                <w:sz w:val="24"/>
                <w:szCs w:val="24"/>
                <w:highlight w:val="none"/>
              </w:rPr>
              <w:t>：组织对所辖</w:t>
            </w:r>
            <w:r>
              <w:rPr>
                <w:rFonts w:hint="eastAsia" w:ascii="仿宋" w:hAnsi="仿宋" w:eastAsia="仿宋" w:cs="仿宋"/>
                <w:color w:val="auto"/>
                <w:sz w:val="24"/>
                <w:szCs w:val="24"/>
                <w:highlight w:val="none"/>
                <w:lang w:eastAsia="zh-CN"/>
              </w:rPr>
              <w:t>乡镇（街道）</w:t>
            </w:r>
            <w:r>
              <w:rPr>
                <w:rFonts w:hint="eastAsia" w:ascii="仿宋" w:hAnsi="仿宋" w:eastAsia="仿宋" w:cs="仿宋"/>
                <w:color w:val="auto"/>
                <w:sz w:val="24"/>
                <w:szCs w:val="24"/>
                <w:highlight w:val="none"/>
              </w:rPr>
              <w:t>开展消防、企业安全和防汛防台等检查和相关知识培训宣传，组织队员开展消防安全、应急救援等技能培训及专业装备器材训练。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73" w:type="dxa"/>
            <w:vAlign w:val="center"/>
          </w:tcPr>
          <w:p>
            <w:pPr>
              <w:widowControl w:val="0"/>
              <w:wordWrap/>
              <w:spacing w:afterAutospacing="0" w:line="240" w:lineRule="auto"/>
              <w:ind w:left="0" w:leftChars="0" w:right="0"/>
              <w:jc w:val="center"/>
              <w:rPr>
                <w:rFonts w:hint="eastAsia" w:ascii="仿宋" w:hAnsi="仿宋" w:eastAsia="仿宋" w:cs="仿宋"/>
                <w:b w:val="0"/>
                <w:bCs/>
                <w:color w:val="auto"/>
                <w:sz w:val="24"/>
                <w:szCs w:val="24"/>
                <w:highlight w:val="none"/>
                <w:lang w:val="en-US" w:eastAsia="zh-CN"/>
              </w:rPr>
            </w:pPr>
            <w:r>
              <w:rPr>
                <w:rFonts w:hint="eastAsia" w:ascii="仿宋" w:hAnsi="仿宋" w:eastAsia="仿宋" w:cs="仿宋"/>
                <w:b w:val="0"/>
                <w:bCs/>
                <w:color w:val="auto"/>
                <w:sz w:val="24"/>
                <w:szCs w:val="24"/>
                <w:highlight w:val="none"/>
                <w:lang w:val="en-US" w:eastAsia="zh-CN"/>
              </w:rPr>
              <w:t>副班长</w:t>
            </w:r>
          </w:p>
        </w:tc>
        <w:tc>
          <w:tcPr>
            <w:tcW w:w="7620" w:type="dxa"/>
            <w:vAlign w:val="center"/>
          </w:tcPr>
          <w:p>
            <w:pPr>
              <w:widowControl/>
              <w:adjustRightInd/>
              <w:spacing w:after="120" w:line="360" w:lineRule="auto"/>
              <w:textAlignment w:val="baseline"/>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1）、人员设置：1人</w:t>
            </w:r>
          </w:p>
          <w:p>
            <w:pPr>
              <w:widowControl/>
              <w:adjustRightInd/>
              <w:spacing w:after="120" w:line="360" w:lineRule="auto"/>
              <w:textAlignment w:val="baseline"/>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rPr>
              <w:t>身体条件：男性，五官端正，年龄一般为</w:t>
            </w:r>
            <w:r>
              <w:rPr>
                <w:rFonts w:hint="eastAsia" w:ascii="仿宋" w:hAnsi="仿宋" w:eastAsia="仿宋" w:cs="仿宋"/>
                <w:color w:val="auto"/>
                <w:sz w:val="24"/>
                <w:szCs w:val="24"/>
                <w:highlight w:val="none"/>
                <w:lang w:val="en-US" w:eastAsia="zh-CN"/>
              </w:rPr>
              <w:t>35</w:t>
            </w:r>
            <w:r>
              <w:rPr>
                <w:rFonts w:hint="eastAsia" w:ascii="仿宋" w:hAnsi="仿宋" w:eastAsia="仿宋" w:cs="仿宋"/>
                <w:color w:val="auto"/>
                <w:sz w:val="24"/>
                <w:szCs w:val="24"/>
                <w:highlight w:val="none"/>
              </w:rPr>
              <w:t>周岁</w:t>
            </w:r>
            <w:r>
              <w:rPr>
                <w:rFonts w:hint="eastAsia" w:ascii="仿宋" w:hAnsi="仿宋" w:eastAsia="仿宋" w:cs="仿宋"/>
                <w:color w:val="auto"/>
                <w:sz w:val="24"/>
                <w:szCs w:val="24"/>
                <w:highlight w:val="none"/>
                <w:lang w:eastAsia="zh-CN"/>
              </w:rPr>
              <w:t>及</w:t>
            </w:r>
            <w:r>
              <w:rPr>
                <w:rFonts w:hint="eastAsia" w:ascii="仿宋" w:hAnsi="仿宋" w:eastAsia="仿宋" w:cs="仿宋"/>
                <w:color w:val="auto"/>
                <w:sz w:val="24"/>
                <w:szCs w:val="24"/>
                <w:highlight w:val="none"/>
              </w:rPr>
              <w:t>以下；没有传染病、精</w:t>
            </w:r>
            <w:r>
              <w:rPr>
                <w:rFonts w:hint="eastAsia" w:ascii="仿宋" w:hAnsi="仿宋" w:eastAsia="仿宋" w:cs="仿宋"/>
                <w:color w:val="auto"/>
                <w:sz w:val="24"/>
                <w:szCs w:val="24"/>
                <w:highlight w:val="none"/>
                <w:lang w:eastAsia="zh-CN"/>
              </w:rPr>
              <w:t>神病、冠心病、高血压、肺部疾病及不能控制自己行为能力的疾病(病史）等；无犯罪记录,政审合格。</w:t>
            </w:r>
          </w:p>
          <w:p>
            <w:pPr>
              <w:widowControl/>
              <w:adjustRightInd/>
              <w:spacing w:after="120" w:line="360" w:lineRule="auto"/>
              <w:jc w:val="both"/>
              <w:textAlignment w:val="baseline"/>
              <w:rPr>
                <w:rFonts w:hint="eastAsia" w:ascii="仿宋" w:hAnsi="仿宋" w:eastAsia="仿宋" w:cs="仿宋"/>
                <w:color w:val="auto"/>
                <w:kern w:val="0"/>
                <w:sz w:val="24"/>
                <w:szCs w:val="24"/>
                <w:highlight w:val="none"/>
                <w:u w:val="none"/>
                <w:lang w:val="en-US" w:eastAsia="zh-CN" w:bidi="ar-SA"/>
              </w:rPr>
            </w:pP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rPr>
              <w:t>技能</w:t>
            </w:r>
            <w:r>
              <w:rPr>
                <w:rFonts w:hint="eastAsia" w:ascii="仿宋" w:hAnsi="仿宋" w:eastAsia="仿宋" w:cs="仿宋"/>
                <w:color w:val="auto"/>
                <w:sz w:val="24"/>
                <w:szCs w:val="24"/>
                <w:highlight w:val="none"/>
                <w:lang w:eastAsia="zh-CN"/>
              </w:rPr>
              <w:t>要求</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原武警消防部队退役士兵、改革转隶后国家综合性消防救援队伍退出消防员或有1年以上灭火救援工作经历的国家综合性消防救援队伍合同制队员</w:t>
            </w:r>
            <w:r>
              <w:rPr>
                <w:rFonts w:hint="eastAsia" w:ascii="仿宋" w:hAnsi="仿宋" w:eastAsia="仿宋" w:cs="仿宋"/>
                <w:color w:val="auto"/>
                <w:kern w:val="0"/>
                <w:sz w:val="24"/>
                <w:szCs w:val="24"/>
                <w:highlight w:val="none"/>
                <w:u w:val="none"/>
                <w:lang w:val="en-US" w:eastAsia="zh-CN" w:bidi="ar-SA"/>
              </w:rPr>
              <w:t>（提供相关证明）。</w:t>
            </w:r>
          </w:p>
          <w:p>
            <w:pPr>
              <w:widowControl/>
              <w:adjustRightInd/>
              <w:spacing w:after="120" w:line="360" w:lineRule="auto"/>
              <w:jc w:val="both"/>
              <w:textAlignment w:val="baseline"/>
              <w:rPr>
                <w:rFonts w:hint="eastAsia" w:ascii="仿宋" w:hAnsi="仿宋" w:eastAsia="仿宋" w:cs="仿宋"/>
                <w:color w:val="auto"/>
                <w:kern w:val="0"/>
                <w:sz w:val="24"/>
                <w:szCs w:val="24"/>
                <w:highlight w:val="none"/>
                <w:u w:val="none"/>
                <w:lang w:val="en-US" w:eastAsia="zh-CN" w:bidi="ar-SA"/>
              </w:rPr>
            </w:pPr>
            <w:r>
              <w:rPr>
                <w:rFonts w:hint="eastAsia" w:ascii="仿宋" w:hAnsi="仿宋" w:eastAsia="仿宋" w:cs="仿宋"/>
                <w:color w:val="auto"/>
                <w:sz w:val="24"/>
                <w:szCs w:val="24"/>
                <w:highlight w:val="none"/>
                <w:lang w:val="en-US" w:eastAsia="zh-CN"/>
              </w:rPr>
              <w:t>4)、具有专科及以上同等学历证书。</w:t>
            </w:r>
          </w:p>
          <w:p>
            <w:pPr>
              <w:widowControl/>
              <w:adjustRightInd/>
              <w:spacing w:after="120" w:line="360" w:lineRule="auto"/>
              <w:textAlignment w:val="baseline"/>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lang w:eastAsia="zh-CN"/>
              </w:rPr>
              <w:t>服务内容</w:t>
            </w:r>
            <w:r>
              <w:rPr>
                <w:rFonts w:hint="eastAsia" w:ascii="仿宋" w:hAnsi="仿宋" w:eastAsia="仿宋" w:cs="仿宋"/>
                <w:color w:val="auto"/>
                <w:sz w:val="24"/>
                <w:szCs w:val="24"/>
                <w:highlight w:val="none"/>
              </w:rPr>
              <w:t>：组织对所辖</w:t>
            </w:r>
            <w:r>
              <w:rPr>
                <w:rFonts w:hint="eastAsia" w:ascii="仿宋" w:hAnsi="仿宋" w:eastAsia="仿宋" w:cs="仿宋"/>
                <w:color w:val="auto"/>
                <w:sz w:val="24"/>
                <w:szCs w:val="24"/>
                <w:highlight w:val="none"/>
                <w:lang w:eastAsia="zh-CN"/>
              </w:rPr>
              <w:t>乡镇（街道）</w:t>
            </w:r>
            <w:r>
              <w:rPr>
                <w:rFonts w:hint="eastAsia" w:ascii="仿宋" w:hAnsi="仿宋" w:eastAsia="仿宋" w:cs="仿宋"/>
                <w:color w:val="auto"/>
                <w:sz w:val="24"/>
                <w:szCs w:val="24"/>
                <w:highlight w:val="none"/>
              </w:rPr>
              <w:t>开展消防、企业安全和防汛防台等检查和相关知识培训宣传，组织队员开展消防安全、应急救援等技能培训及专业装备器材训练。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2" w:hRule="atLeast"/>
          <w:jc w:val="center"/>
        </w:trPr>
        <w:tc>
          <w:tcPr>
            <w:tcW w:w="873" w:type="dxa"/>
            <w:vAlign w:val="center"/>
          </w:tcPr>
          <w:p>
            <w:pPr>
              <w:widowControl w:val="0"/>
              <w:wordWrap/>
              <w:spacing w:afterAutospacing="0" w:line="480" w:lineRule="auto"/>
              <w:ind w:left="0" w:leftChars="0" w:right="0"/>
              <w:jc w:val="cente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val="en-US" w:eastAsia="zh-CN"/>
              </w:rPr>
              <w:t>驾驶员</w:t>
            </w:r>
          </w:p>
        </w:tc>
        <w:tc>
          <w:tcPr>
            <w:tcW w:w="7620" w:type="dxa"/>
            <w:vAlign w:val="top"/>
          </w:tcPr>
          <w:p>
            <w:pPr>
              <w:widowControl/>
              <w:adjustRightInd/>
              <w:spacing w:after="120" w:line="360" w:lineRule="auto"/>
              <w:textAlignment w:val="baseline"/>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1）、人员设置：2人</w:t>
            </w:r>
          </w:p>
          <w:p>
            <w:pPr>
              <w:widowControl/>
              <w:numPr>
                <w:ilvl w:val="0"/>
                <w:numId w:val="0"/>
              </w:numPr>
              <w:adjustRightInd/>
              <w:spacing w:after="120" w:line="360" w:lineRule="auto"/>
              <w:textAlignment w:val="baseline"/>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rPr>
              <w:t>身体条件：男性，五官端正，年龄一般为35周岁</w:t>
            </w:r>
            <w:r>
              <w:rPr>
                <w:rFonts w:hint="eastAsia" w:ascii="仿宋" w:hAnsi="仿宋" w:eastAsia="仿宋" w:cs="仿宋"/>
                <w:color w:val="auto"/>
                <w:sz w:val="24"/>
                <w:szCs w:val="24"/>
                <w:highlight w:val="none"/>
                <w:lang w:eastAsia="zh-CN"/>
              </w:rPr>
              <w:t>及</w:t>
            </w:r>
            <w:r>
              <w:rPr>
                <w:rFonts w:hint="eastAsia" w:ascii="仿宋" w:hAnsi="仿宋" w:eastAsia="仿宋" w:cs="仿宋"/>
                <w:color w:val="auto"/>
                <w:sz w:val="24"/>
                <w:szCs w:val="24"/>
                <w:highlight w:val="none"/>
              </w:rPr>
              <w:t>以下；没有传染病、精</w:t>
            </w:r>
            <w:r>
              <w:rPr>
                <w:rFonts w:hint="eastAsia" w:ascii="仿宋" w:hAnsi="仿宋" w:eastAsia="仿宋" w:cs="仿宋"/>
                <w:color w:val="auto"/>
                <w:sz w:val="24"/>
                <w:szCs w:val="24"/>
                <w:highlight w:val="none"/>
                <w:lang w:eastAsia="zh-CN"/>
              </w:rPr>
              <w:t>神病、冠心病、高血压、肺部疾病及不能控制自己行为能力的疾病(病史）等</w:t>
            </w:r>
            <w:r>
              <w:rPr>
                <w:rFonts w:hint="eastAsia" w:ascii="仿宋" w:hAnsi="仿宋" w:eastAsia="仿宋" w:cs="仿宋"/>
                <w:color w:val="auto"/>
                <w:sz w:val="24"/>
                <w:szCs w:val="24"/>
                <w:highlight w:val="none"/>
              </w:rPr>
              <w:t>；无犯罪记录,政审合格。</w:t>
            </w:r>
          </w:p>
          <w:p>
            <w:pPr>
              <w:widowControl/>
              <w:adjustRightInd/>
              <w:spacing w:after="120" w:line="360" w:lineRule="auto"/>
              <w:textAlignment w:val="baseline"/>
              <w:rPr>
                <w:rFonts w:hint="eastAsia" w:ascii="仿宋" w:hAnsi="仿宋" w:eastAsia="仿宋" w:cs="仿宋"/>
                <w:color w:val="auto"/>
                <w:kern w:val="0"/>
                <w:sz w:val="24"/>
                <w:szCs w:val="24"/>
                <w:highlight w:val="none"/>
                <w:u w:val="none"/>
                <w:lang w:val="en-US" w:eastAsia="zh-CN" w:bidi="ar-SA"/>
              </w:rPr>
            </w:pPr>
            <w:r>
              <w:rPr>
                <w:rFonts w:hint="eastAsia" w:ascii="仿宋" w:hAnsi="仿宋" w:eastAsia="仿宋" w:cs="仿宋"/>
                <w:color w:val="auto"/>
                <w:sz w:val="24"/>
                <w:szCs w:val="24"/>
                <w:highlight w:val="none"/>
                <w:lang w:val="en-US" w:eastAsia="zh-CN"/>
              </w:rPr>
              <w:t>▲3）、技能要求：必须具有相关车辆驾驶证，原武警消防部队退役士兵、改革转隶后国家综合性消防救援队伍退出消防员或有1年以上灭火救援工作经历的国家综合性消防救援队伍合同制队员（提供相关证明）。</w:t>
            </w:r>
          </w:p>
          <w:p>
            <w:pPr>
              <w:widowControl/>
              <w:numPr>
                <w:ilvl w:val="0"/>
                <w:numId w:val="0"/>
              </w:numPr>
              <w:adjustRightInd/>
              <w:spacing w:after="120" w:line="360" w:lineRule="auto"/>
              <w:textAlignment w:val="baseline"/>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4）、</w:t>
            </w:r>
            <w:r>
              <w:rPr>
                <w:rFonts w:hint="eastAsia" w:ascii="仿宋" w:hAnsi="仿宋" w:eastAsia="仿宋" w:cs="仿宋"/>
                <w:color w:val="auto"/>
                <w:sz w:val="24"/>
                <w:szCs w:val="24"/>
                <w:highlight w:val="none"/>
                <w:lang w:eastAsia="zh-CN"/>
              </w:rPr>
              <w:t>服务内容</w:t>
            </w:r>
            <w:r>
              <w:rPr>
                <w:rFonts w:hint="eastAsia" w:ascii="仿宋" w:hAnsi="仿宋" w:eastAsia="仿宋" w:cs="仿宋"/>
                <w:color w:val="auto"/>
                <w:sz w:val="24"/>
                <w:szCs w:val="24"/>
                <w:highlight w:val="none"/>
              </w:rPr>
              <w:t>：对车辆、消防器材等设备进行日常管理及维护，对所辖</w:t>
            </w:r>
            <w:r>
              <w:rPr>
                <w:rFonts w:hint="eastAsia" w:ascii="仿宋" w:hAnsi="仿宋" w:eastAsia="仿宋" w:cs="仿宋"/>
                <w:color w:val="auto"/>
                <w:sz w:val="24"/>
                <w:szCs w:val="24"/>
                <w:highlight w:val="none"/>
                <w:lang w:eastAsia="zh-CN"/>
              </w:rPr>
              <w:t>乡镇（街道）</w:t>
            </w:r>
            <w:r>
              <w:rPr>
                <w:rFonts w:hint="eastAsia" w:ascii="仿宋" w:hAnsi="仿宋" w:eastAsia="仿宋" w:cs="仿宋"/>
                <w:color w:val="auto"/>
                <w:sz w:val="24"/>
                <w:szCs w:val="24"/>
                <w:highlight w:val="none"/>
              </w:rPr>
              <w:t>开展消防、企业安全和防汛防台等检查和相关知识培训宣传。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6" w:hRule="atLeast"/>
          <w:jc w:val="center"/>
        </w:trPr>
        <w:tc>
          <w:tcPr>
            <w:tcW w:w="873" w:type="dxa"/>
            <w:vAlign w:val="center"/>
          </w:tcPr>
          <w:p>
            <w:pPr>
              <w:widowControl w:val="0"/>
              <w:wordWrap/>
              <w:spacing w:afterAutospacing="0" w:line="480" w:lineRule="auto"/>
              <w:ind w:left="0" w:leftChars="0" w:right="0"/>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队员</w:t>
            </w:r>
          </w:p>
        </w:tc>
        <w:tc>
          <w:tcPr>
            <w:tcW w:w="7620" w:type="dxa"/>
            <w:vAlign w:val="top"/>
          </w:tcPr>
          <w:p>
            <w:pPr>
              <w:widowControl/>
              <w:numPr>
                <w:ilvl w:val="0"/>
                <w:numId w:val="0"/>
              </w:numPr>
              <w:adjustRightInd/>
              <w:spacing w:after="120" w:line="360" w:lineRule="auto"/>
              <w:textAlignment w:val="baseline"/>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1）、人员设置：4人</w:t>
            </w:r>
          </w:p>
          <w:p>
            <w:pPr>
              <w:widowControl/>
              <w:numPr>
                <w:ilvl w:val="0"/>
                <w:numId w:val="0"/>
              </w:numPr>
              <w:adjustRightInd/>
              <w:spacing w:after="120" w:line="360" w:lineRule="auto"/>
              <w:textAlignment w:val="baseline"/>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2）、身体条件：男性，五官端正，年龄一般为35周岁及以下；没有传染病、精神病、冠心病、高血压、肺部疾病及不能控制自己行为能力的疾病(病史）等；无犯罪记录,政审合格。</w:t>
            </w:r>
          </w:p>
          <w:p>
            <w:pPr>
              <w:widowControl/>
              <w:numPr>
                <w:ilvl w:val="0"/>
                <w:numId w:val="0"/>
              </w:numPr>
              <w:adjustRightInd/>
              <w:spacing w:after="120" w:line="360" w:lineRule="auto"/>
              <w:textAlignment w:val="baseline"/>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▲3）、技能要求：具有退伍军人相关证书（提供相关证明）。</w:t>
            </w:r>
          </w:p>
          <w:p>
            <w:pPr>
              <w:widowControl/>
              <w:adjustRightInd/>
              <w:spacing w:after="120" w:line="360" w:lineRule="auto"/>
              <w:textAlignment w:val="baseline"/>
              <w:rPr>
                <w:rFonts w:hint="eastAsia" w:ascii="仿宋" w:hAnsi="仿宋" w:eastAsia="仿宋" w:cs="仿宋"/>
                <w:color w:val="auto"/>
                <w:kern w:val="0"/>
                <w:sz w:val="24"/>
                <w:szCs w:val="24"/>
                <w:highlight w:val="none"/>
                <w:u w:val="none"/>
                <w:lang w:val="en-US" w:eastAsia="zh-CN" w:bidi="ar-SA"/>
              </w:rPr>
            </w:pPr>
            <w:r>
              <w:rPr>
                <w:rFonts w:hint="eastAsia" w:ascii="仿宋" w:hAnsi="仿宋" w:eastAsia="仿宋" w:cs="仿宋"/>
                <w:color w:val="auto"/>
                <w:sz w:val="24"/>
                <w:szCs w:val="24"/>
                <w:highlight w:val="none"/>
                <w:lang w:val="en-US" w:eastAsia="zh-CN"/>
              </w:rPr>
              <w:t>4）、服务内容：对车辆、消防器材等设备进行日常管理及维护，对所辖乡镇（街道）开展消防、企业安全和防汛防台等检查和相关知识培训宣传。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3" w:hRule="atLeast"/>
          <w:jc w:val="center"/>
        </w:trPr>
        <w:tc>
          <w:tcPr>
            <w:tcW w:w="873" w:type="dxa"/>
            <w:vAlign w:val="center"/>
          </w:tcPr>
          <w:p>
            <w:pPr>
              <w:widowControl w:val="0"/>
              <w:wordWrap/>
              <w:spacing w:afterAutospacing="0" w:line="480" w:lineRule="auto"/>
              <w:ind w:left="0" w:leftChars="0" w:right="0"/>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highlight w:val="none"/>
                <w:lang w:val="en-US" w:eastAsia="zh-CN"/>
              </w:rPr>
              <w:t>站点人员基本要求</w:t>
            </w:r>
          </w:p>
        </w:tc>
        <w:tc>
          <w:tcPr>
            <w:tcW w:w="7620" w:type="dxa"/>
            <w:vAlign w:val="top"/>
          </w:tcPr>
          <w:p>
            <w:pPr>
              <w:widowControl/>
              <w:adjustRightInd/>
              <w:spacing w:after="120" w:line="360" w:lineRule="auto"/>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lang w:eastAsia="zh-CN"/>
              </w:rPr>
              <w:t>未</w:t>
            </w:r>
            <w:r>
              <w:rPr>
                <w:rFonts w:hint="eastAsia" w:ascii="仿宋" w:hAnsi="仿宋" w:eastAsia="仿宋" w:cs="仿宋"/>
                <w:color w:val="auto"/>
                <w:sz w:val="24"/>
                <w:highlight w:val="none"/>
              </w:rPr>
              <w:t>受过刑事处罚、劳动教养、未成年管教及治安处罚的；</w:t>
            </w:r>
          </w:p>
          <w:p>
            <w:pPr>
              <w:widowControl/>
              <w:adjustRightInd/>
              <w:spacing w:after="120" w:line="360" w:lineRule="auto"/>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rPr>
              <w:t>本人或直系亲属</w:t>
            </w:r>
            <w:r>
              <w:rPr>
                <w:rFonts w:hint="eastAsia" w:ascii="仿宋" w:hAnsi="仿宋" w:eastAsia="仿宋" w:cs="仿宋"/>
                <w:color w:val="auto"/>
                <w:sz w:val="24"/>
                <w:highlight w:val="none"/>
                <w:lang w:eastAsia="zh-CN"/>
              </w:rPr>
              <w:t>无</w:t>
            </w:r>
            <w:r>
              <w:rPr>
                <w:rFonts w:hint="eastAsia" w:ascii="仿宋" w:hAnsi="仿宋" w:eastAsia="仿宋" w:cs="仿宋"/>
                <w:color w:val="auto"/>
                <w:sz w:val="24"/>
                <w:highlight w:val="none"/>
              </w:rPr>
              <w:t>被判处死刑及正在服刑的,或者</w:t>
            </w:r>
            <w:r>
              <w:rPr>
                <w:rFonts w:hint="eastAsia" w:ascii="仿宋" w:hAnsi="仿宋" w:eastAsia="仿宋" w:cs="仿宋"/>
                <w:color w:val="auto"/>
                <w:sz w:val="24"/>
                <w:highlight w:val="none"/>
                <w:lang w:eastAsia="zh-CN"/>
              </w:rPr>
              <w:t>从未</w:t>
            </w:r>
            <w:r>
              <w:rPr>
                <w:rFonts w:hint="eastAsia" w:ascii="仿宋" w:hAnsi="仿宋" w:eastAsia="仿宋" w:cs="仿宋"/>
                <w:color w:val="auto"/>
                <w:sz w:val="24"/>
                <w:highlight w:val="none"/>
              </w:rPr>
              <w:t>参与邪教组织活动的；</w:t>
            </w:r>
          </w:p>
          <w:p>
            <w:pPr>
              <w:widowControl/>
              <w:adjustRightInd/>
              <w:spacing w:after="120" w:line="360" w:lineRule="auto"/>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lang w:eastAsia="zh-CN"/>
              </w:rPr>
              <w:t>无</w:t>
            </w:r>
            <w:r>
              <w:rPr>
                <w:rFonts w:hint="eastAsia" w:ascii="仿宋" w:hAnsi="仿宋" w:eastAsia="仿宋" w:cs="仿宋"/>
                <w:color w:val="auto"/>
                <w:sz w:val="24"/>
                <w:highlight w:val="none"/>
              </w:rPr>
              <w:t>犯罪嫌疑尚未查清的；</w:t>
            </w:r>
          </w:p>
          <w:p>
            <w:pPr>
              <w:widowControl/>
              <w:adjustRightInd/>
              <w:spacing w:after="120" w:line="360" w:lineRule="auto"/>
              <w:textAlignment w:val="baseline"/>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lang w:eastAsia="zh-CN"/>
              </w:rPr>
              <w:t>无</w:t>
            </w:r>
            <w:r>
              <w:rPr>
                <w:rFonts w:hint="eastAsia" w:ascii="仿宋" w:hAnsi="仿宋" w:eastAsia="仿宋" w:cs="仿宋"/>
                <w:color w:val="auto"/>
                <w:sz w:val="24"/>
                <w:highlight w:val="none"/>
              </w:rPr>
              <w:t>寻衅滋事、偷窃、**等不良行为</w:t>
            </w:r>
            <w:r>
              <w:rPr>
                <w:rFonts w:hint="eastAsia" w:ascii="仿宋" w:hAnsi="仿宋" w:eastAsia="仿宋" w:cs="仿宋"/>
                <w:color w:val="auto"/>
                <w:sz w:val="24"/>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3" w:hRule="atLeast"/>
          <w:jc w:val="center"/>
        </w:trPr>
        <w:tc>
          <w:tcPr>
            <w:tcW w:w="873" w:type="dxa"/>
            <w:vAlign w:val="center"/>
          </w:tcPr>
          <w:p>
            <w:pPr>
              <w:widowControl w:val="0"/>
              <w:wordWrap/>
              <w:spacing w:afterAutospacing="0" w:line="480" w:lineRule="auto"/>
              <w:ind w:left="0" w:leftChars="0" w:right="0"/>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highlight w:val="none"/>
              </w:rPr>
              <w:t>其它要求</w:t>
            </w:r>
          </w:p>
        </w:tc>
        <w:tc>
          <w:tcPr>
            <w:tcW w:w="7620" w:type="dxa"/>
            <w:vAlign w:val="center"/>
          </w:tcPr>
          <w:p>
            <w:pPr>
              <w:widowControl/>
              <w:numPr>
                <w:ilvl w:val="0"/>
                <w:numId w:val="0"/>
              </w:numPr>
              <w:adjustRightInd/>
              <w:spacing w:after="120" w:line="360" w:lineRule="auto"/>
              <w:jc w:val="both"/>
              <w:textAlignment w:val="baseline"/>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1）、人员结构合理；</w:t>
            </w:r>
          </w:p>
          <w:p>
            <w:pPr>
              <w:widowControl/>
              <w:numPr>
                <w:ilvl w:val="0"/>
                <w:numId w:val="0"/>
              </w:numPr>
              <w:adjustRightInd/>
              <w:spacing w:after="120" w:line="360" w:lineRule="auto"/>
              <w:jc w:val="both"/>
              <w:textAlignment w:val="baseline"/>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2）、人岗相适度高；</w:t>
            </w:r>
          </w:p>
          <w:p>
            <w:pPr>
              <w:widowControl/>
              <w:numPr>
                <w:ilvl w:val="0"/>
                <w:numId w:val="0"/>
              </w:numPr>
              <w:adjustRightInd/>
              <w:spacing w:after="120" w:line="360" w:lineRule="auto"/>
              <w:jc w:val="both"/>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储备队员充足（由</w:t>
            </w:r>
            <w:r>
              <w:rPr>
                <w:rFonts w:hint="eastAsia" w:ascii="仿宋" w:hAnsi="仿宋" w:eastAsia="仿宋" w:cs="仿宋"/>
                <w:color w:val="auto"/>
                <w:sz w:val="24"/>
                <w:highlight w:val="none"/>
                <w:lang w:eastAsia="zh-CN"/>
              </w:rPr>
              <w:t>中标单位</w:t>
            </w:r>
            <w:r>
              <w:rPr>
                <w:rFonts w:hint="eastAsia" w:ascii="仿宋" w:hAnsi="仿宋" w:eastAsia="仿宋" w:cs="仿宋"/>
                <w:color w:val="auto"/>
                <w:sz w:val="24"/>
                <w:highlight w:val="none"/>
              </w:rPr>
              <w:t>保证替补人员）。</w:t>
            </w:r>
          </w:p>
          <w:p>
            <w:pPr>
              <w:widowControl/>
              <w:adjustRightInd/>
              <w:spacing w:after="120" w:line="360" w:lineRule="auto"/>
              <w:jc w:val="both"/>
              <w:textAlignment w:val="baseline"/>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highlight w:val="none"/>
              </w:rPr>
              <w:t>4）</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本项目的所有人员进场服务前由采购人统一审核，并进行体能测试。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3" w:hRule="atLeast"/>
          <w:jc w:val="center"/>
        </w:trPr>
        <w:tc>
          <w:tcPr>
            <w:tcW w:w="873" w:type="dxa"/>
            <w:vAlign w:val="center"/>
          </w:tcPr>
          <w:p>
            <w:pPr>
              <w:widowControl w:val="0"/>
              <w:wordWrap/>
              <w:spacing w:afterAutospacing="0" w:line="480" w:lineRule="auto"/>
              <w:ind w:left="0" w:leftChars="0" w:right="0"/>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highlight w:val="none"/>
                <w:lang w:val="en-US"/>
              </w:rPr>
              <w:t>工作职责</w:t>
            </w:r>
          </w:p>
        </w:tc>
        <w:tc>
          <w:tcPr>
            <w:tcW w:w="7620" w:type="dxa"/>
            <w:vAlign w:val="center"/>
          </w:tcPr>
          <w:p>
            <w:pPr>
              <w:widowControl/>
              <w:numPr>
                <w:ilvl w:val="0"/>
                <w:numId w:val="0"/>
              </w:numPr>
              <w:adjustRightInd/>
              <w:spacing w:after="120" w:line="360" w:lineRule="auto"/>
              <w:jc w:val="both"/>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rPr>
              <w:t>按照《杭州市消防安全委员会关于印发杭州市区域性微型消防救援站建设标准及日常工作制度和岗位职责的通知》、《关于印发杭州市乡镇（街道）综合应急和消防救援队标准化建设规范和训练大纲（试行）的通知》</w:t>
            </w:r>
            <w:r>
              <w:rPr>
                <w:rFonts w:hint="eastAsia" w:ascii="仿宋" w:hAnsi="仿宋" w:eastAsia="仿宋" w:cs="仿宋"/>
                <w:color w:val="auto"/>
                <w:sz w:val="24"/>
                <w:highlight w:val="none"/>
                <w:lang w:eastAsia="zh-CN"/>
              </w:rPr>
              <w:t>、《</w:t>
            </w:r>
            <w:r>
              <w:rPr>
                <w:rFonts w:hint="default" w:ascii="仿宋" w:hAnsi="仿宋" w:eastAsia="仿宋" w:cs="仿宋"/>
                <w:color w:val="auto"/>
                <w:sz w:val="24"/>
                <w:highlight w:val="none"/>
                <w:lang w:eastAsia="zh-CN"/>
              </w:rPr>
              <w:t>关于进一步</w:t>
            </w:r>
            <w:r>
              <w:rPr>
                <w:rFonts w:hint="default" w:ascii="仿宋" w:hAnsi="仿宋" w:eastAsia="仿宋" w:cs="仿宋"/>
                <w:color w:val="auto"/>
                <w:sz w:val="24"/>
                <w:highlight w:val="none"/>
                <w:lang w:val="en-US" w:eastAsia="zh-CN"/>
              </w:rPr>
              <w:t>加强全区区域性及村（社区）微型消防救援站建设工作的通知</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要求，组织</w:t>
            </w:r>
            <w:r>
              <w:rPr>
                <w:rFonts w:hint="eastAsia" w:ascii="仿宋" w:hAnsi="仿宋" w:eastAsia="仿宋" w:cs="仿宋"/>
                <w:color w:val="auto"/>
                <w:sz w:val="24"/>
                <w:highlight w:val="none"/>
                <w:lang w:eastAsia="zh-CN"/>
              </w:rPr>
              <w:t>站点人员</w:t>
            </w:r>
            <w:r>
              <w:rPr>
                <w:rFonts w:hint="eastAsia" w:ascii="仿宋" w:hAnsi="仿宋" w:eastAsia="仿宋" w:cs="仿宋"/>
                <w:color w:val="auto"/>
                <w:sz w:val="24"/>
                <w:highlight w:val="none"/>
              </w:rPr>
              <w:t>开展工作及学习培训；</w:t>
            </w:r>
          </w:p>
          <w:p>
            <w:pPr>
              <w:widowControl/>
              <w:numPr>
                <w:ilvl w:val="0"/>
                <w:numId w:val="0"/>
              </w:numPr>
              <w:adjustRightInd/>
              <w:spacing w:after="120" w:line="360" w:lineRule="auto"/>
              <w:jc w:val="both"/>
              <w:textAlignment w:val="baseline"/>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完成采购人交办的其他工作任务。</w:t>
            </w:r>
          </w:p>
        </w:tc>
      </w:tr>
    </w:tbl>
    <w:p>
      <w:pPr>
        <w:pStyle w:val="2"/>
        <w:ind w:left="0" w:leftChars="0" w:firstLine="0" w:firstLineChars="0"/>
        <w:rPr>
          <w:color w:val="auto"/>
          <w:highlight w:val="none"/>
        </w:rPr>
      </w:pPr>
    </w:p>
    <w:tbl>
      <w:tblPr>
        <w:tblStyle w:val="62"/>
        <w:tblW w:w="849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3"/>
        <w:gridCol w:w="76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2" w:hRule="atLeast"/>
          <w:jc w:val="center"/>
        </w:trPr>
        <w:tc>
          <w:tcPr>
            <w:tcW w:w="8493" w:type="dxa"/>
            <w:gridSpan w:val="2"/>
            <w:vAlign w:val="center"/>
          </w:tcPr>
          <w:p>
            <w:pPr>
              <w:widowControl w:val="0"/>
              <w:wordWrap/>
              <w:spacing w:afterAutospacing="0" w:line="480" w:lineRule="auto"/>
              <w:ind w:left="0" w:leftChars="0" w:right="0"/>
              <w:jc w:val="center"/>
              <w:rPr>
                <w:rFonts w:hint="eastAsia" w:ascii="仿宋" w:hAnsi="仿宋" w:eastAsia="仿宋" w:cs="仿宋"/>
                <w:color w:val="auto"/>
                <w:sz w:val="24"/>
                <w:szCs w:val="24"/>
                <w:highlight w:val="none"/>
              </w:rPr>
            </w:pPr>
            <w:r>
              <w:rPr>
                <w:rFonts w:hint="eastAsia" w:ascii="仿宋" w:hAnsi="仿宋" w:eastAsia="仿宋" w:cs="仿宋"/>
                <w:b/>
                <w:bCs/>
                <w:color w:val="auto"/>
                <w:sz w:val="24"/>
                <w:szCs w:val="24"/>
                <w:highlight w:val="none"/>
                <w:lang w:val="en-US" w:eastAsia="zh-CN"/>
              </w:rPr>
              <w:t>四、义桥区域性微型消防救援站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jc w:val="center"/>
        </w:trPr>
        <w:tc>
          <w:tcPr>
            <w:tcW w:w="873" w:type="dxa"/>
            <w:vAlign w:val="center"/>
          </w:tcPr>
          <w:p>
            <w:pPr>
              <w:widowControl w:val="0"/>
              <w:wordWrap/>
              <w:spacing w:afterAutospacing="0" w:line="240" w:lineRule="auto"/>
              <w:ind w:left="0" w:leftChars="0" w:right="0"/>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项</w:t>
            </w:r>
            <w:r>
              <w:rPr>
                <w:rFonts w:hint="eastAsia" w:ascii="仿宋" w:hAnsi="仿宋" w:eastAsia="仿宋" w:cs="仿宋"/>
                <w:color w:val="auto"/>
                <w:sz w:val="24"/>
                <w:szCs w:val="24"/>
                <w:highlight w:val="none"/>
                <w:lang w:val="en-US" w:eastAsia="zh-CN"/>
              </w:rPr>
              <w:t>目岗位</w:t>
            </w:r>
          </w:p>
        </w:tc>
        <w:tc>
          <w:tcPr>
            <w:tcW w:w="7620" w:type="dxa"/>
            <w:vAlign w:val="center"/>
          </w:tcPr>
          <w:p>
            <w:pPr>
              <w:widowControl w:val="0"/>
              <w:wordWrap/>
              <w:spacing w:afterAutospacing="0" w:line="480" w:lineRule="auto"/>
              <w:ind w:left="0" w:leftChars="0" w:right="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服务</w:t>
            </w:r>
            <w:r>
              <w:rPr>
                <w:rFonts w:hint="eastAsia" w:ascii="仿宋" w:hAnsi="仿宋" w:eastAsia="仿宋" w:cs="仿宋"/>
                <w:color w:val="auto"/>
                <w:sz w:val="24"/>
                <w:szCs w:val="24"/>
                <w:highlight w:val="none"/>
                <w:lang w:val="en-US" w:eastAsia="zh-CN"/>
              </w:rPr>
              <w:t>内容及</w:t>
            </w:r>
            <w:r>
              <w:rPr>
                <w:rFonts w:hint="eastAsia" w:ascii="仿宋" w:hAnsi="仿宋" w:eastAsia="仿宋" w:cs="仿宋"/>
                <w:color w:val="auto"/>
                <w:sz w:val="24"/>
                <w:szCs w:val="24"/>
                <w:highlight w:val="none"/>
              </w:rPr>
              <w:t>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jc w:val="center"/>
        </w:trPr>
        <w:tc>
          <w:tcPr>
            <w:tcW w:w="873" w:type="dxa"/>
            <w:vAlign w:val="center"/>
          </w:tcPr>
          <w:p>
            <w:pPr>
              <w:widowControl w:val="0"/>
              <w:wordWrap/>
              <w:spacing w:afterAutospacing="0" w:line="240" w:lineRule="auto"/>
              <w:ind w:left="0" w:leftChars="0" w:right="0"/>
              <w:jc w:val="center"/>
              <w:rPr>
                <w:rFonts w:hint="eastAsia" w:ascii="仿宋" w:hAnsi="仿宋" w:eastAsia="仿宋" w:cs="仿宋"/>
                <w:b w:val="0"/>
                <w:bCs/>
                <w:color w:val="auto"/>
                <w:sz w:val="24"/>
                <w:szCs w:val="24"/>
                <w:highlight w:val="none"/>
                <w:lang w:val="en-US" w:eastAsia="zh-CN"/>
              </w:rPr>
            </w:pPr>
            <w:r>
              <w:rPr>
                <w:rFonts w:hint="eastAsia" w:ascii="仿宋" w:hAnsi="仿宋" w:eastAsia="仿宋" w:cs="仿宋"/>
                <w:b w:val="0"/>
                <w:bCs/>
                <w:color w:val="auto"/>
                <w:sz w:val="24"/>
                <w:szCs w:val="24"/>
                <w:highlight w:val="none"/>
                <w:lang w:val="en-US" w:eastAsia="zh-CN"/>
              </w:rPr>
              <w:t>班长</w:t>
            </w:r>
          </w:p>
        </w:tc>
        <w:tc>
          <w:tcPr>
            <w:tcW w:w="7620" w:type="dxa"/>
            <w:vAlign w:val="center"/>
          </w:tcPr>
          <w:p>
            <w:pPr>
              <w:widowControl/>
              <w:adjustRightInd/>
              <w:spacing w:after="120" w:line="360" w:lineRule="auto"/>
              <w:textAlignment w:val="baseline"/>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1）、人员设置：1人</w:t>
            </w:r>
          </w:p>
          <w:p>
            <w:pPr>
              <w:widowControl/>
              <w:adjustRightInd/>
              <w:spacing w:after="120" w:line="360" w:lineRule="auto"/>
              <w:textAlignment w:val="baseline"/>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rPr>
              <w:t>身体条件：男性，五官端正，年龄一般为</w:t>
            </w:r>
            <w:r>
              <w:rPr>
                <w:rFonts w:hint="eastAsia" w:ascii="仿宋" w:hAnsi="仿宋" w:eastAsia="仿宋" w:cs="仿宋"/>
                <w:color w:val="auto"/>
                <w:sz w:val="24"/>
                <w:szCs w:val="24"/>
                <w:highlight w:val="none"/>
                <w:lang w:val="en-US" w:eastAsia="zh-CN"/>
              </w:rPr>
              <w:t>40</w:t>
            </w:r>
            <w:r>
              <w:rPr>
                <w:rFonts w:hint="eastAsia" w:ascii="仿宋" w:hAnsi="仿宋" w:eastAsia="仿宋" w:cs="仿宋"/>
                <w:color w:val="auto"/>
                <w:sz w:val="24"/>
                <w:szCs w:val="24"/>
                <w:highlight w:val="none"/>
              </w:rPr>
              <w:t>周岁</w:t>
            </w:r>
            <w:r>
              <w:rPr>
                <w:rFonts w:hint="eastAsia" w:ascii="仿宋" w:hAnsi="仿宋" w:eastAsia="仿宋" w:cs="仿宋"/>
                <w:color w:val="auto"/>
                <w:sz w:val="24"/>
                <w:szCs w:val="24"/>
                <w:highlight w:val="none"/>
                <w:lang w:eastAsia="zh-CN"/>
              </w:rPr>
              <w:t>及</w:t>
            </w:r>
            <w:r>
              <w:rPr>
                <w:rFonts w:hint="eastAsia" w:ascii="仿宋" w:hAnsi="仿宋" w:eastAsia="仿宋" w:cs="仿宋"/>
                <w:color w:val="auto"/>
                <w:sz w:val="24"/>
                <w:szCs w:val="24"/>
                <w:highlight w:val="none"/>
              </w:rPr>
              <w:t>以下；没有传染病、精</w:t>
            </w:r>
            <w:r>
              <w:rPr>
                <w:rFonts w:hint="eastAsia" w:ascii="仿宋" w:hAnsi="仿宋" w:eastAsia="仿宋" w:cs="仿宋"/>
                <w:color w:val="auto"/>
                <w:sz w:val="24"/>
                <w:szCs w:val="24"/>
                <w:highlight w:val="none"/>
                <w:lang w:eastAsia="zh-CN"/>
              </w:rPr>
              <w:t>神病、冠心病、高血压、肺部疾病及不能控制自己行为能力的疾病(病史）等；无犯罪记录,政审合格。</w:t>
            </w:r>
          </w:p>
          <w:p>
            <w:pPr>
              <w:widowControl/>
              <w:adjustRightInd/>
              <w:spacing w:after="120" w:line="360" w:lineRule="auto"/>
              <w:jc w:val="both"/>
              <w:textAlignment w:val="baseline"/>
              <w:rPr>
                <w:rFonts w:hint="eastAsia" w:ascii="仿宋" w:hAnsi="仿宋" w:eastAsia="仿宋" w:cs="仿宋"/>
                <w:color w:val="auto"/>
                <w:kern w:val="0"/>
                <w:sz w:val="24"/>
                <w:szCs w:val="24"/>
                <w:highlight w:val="none"/>
                <w:u w:val="none"/>
                <w:lang w:val="en-US" w:eastAsia="zh-CN" w:bidi="ar-SA"/>
              </w:rPr>
            </w:pP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rPr>
              <w:t>技能</w:t>
            </w:r>
            <w:r>
              <w:rPr>
                <w:rFonts w:hint="eastAsia" w:ascii="仿宋" w:hAnsi="仿宋" w:eastAsia="仿宋" w:cs="仿宋"/>
                <w:color w:val="auto"/>
                <w:sz w:val="24"/>
                <w:szCs w:val="24"/>
                <w:highlight w:val="none"/>
                <w:lang w:eastAsia="zh-CN"/>
              </w:rPr>
              <w:t>要求</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原武警消防部队退役士兵、改革转隶后国家综合性消防救援队伍退出消防员或有1年以上灭火救援工作经历的国家综合性消防救援队伍合同制队员</w:t>
            </w:r>
            <w:r>
              <w:rPr>
                <w:rFonts w:hint="eastAsia" w:ascii="仿宋" w:hAnsi="仿宋" w:eastAsia="仿宋" w:cs="仿宋"/>
                <w:color w:val="auto"/>
                <w:kern w:val="0"/>
                <w:sz w:val="24"/>
                <w:szCs w:val="24"/>
                <w:highlight w:val="none"/>
                <w:u w:val="none"/>
                <w:lang w:val="en-US" w:eastAsia="zh-CN" w:bidi="ar-SA"/>
              </w:rPr>
              <w:t>（提供相关证明）。</w:t>
            </w:r>
          </w:p>
          <w:p>
            <w:pPr>
              <w:widowControl/>
              <w:adjustRightInd/>
              <w:spacing w:after="120" w:line="360" w:lineRule="auto"/>
              <w:jc w:val="both"/>
              <w:textAlignment w:val="baseline"/>
              <w:rPr>
                <w:rFonts w:hint="eastAsia" w:ascii="仿宋" w:hAnsi="仿宋" w:eastAsia="仿宋" w:cs="仿宋"/>
                <w:color w:val="auto"/>
                <w:kern w:val="0"/>
                <w:sz w:val="24"/>
                <w:szCs w:val="24"/>
                <w:highlight w:val="none"/>
                <w:u w:val="none"/>
                <w:lang w:val="en-US" w:eastAsia="zh-CN" w:bidi="ar-SA"/>
              </w:rPr>
            </w:pPr>
            <w:r>
              <w:rPr>
                <w:rFonts w:hint="eastAsia" w:ascii="仿宋" w:hAnsi="仿宋" w:eastAsia="仿宋" w:cs="仿宋"/>
                <w:color w:val="auto"/>
                <w:sz w:val="24"/>
                <w:szCs w:val="24"/>
                <w:highlight w:val="none"/>
                <w:lang w:val="en-US" w:eastAsia="zh-CN"/>
              </w:rPr>
              <w:t>4）、具有专科及以上同等学历证书。</w:t>
            </w:r>
          </w:p>
          <w:p>
            <w:pPr>
              <w:widowControl/>
              <w:adjustRightInd/>
              <w:spacing w:after="120" w:line="360" w:lineRule="auto"/>
              <w:textAlignment w:val="baseline"/>
              <w:rPr>
                <w:rFonts w:hint="eastAsia" w:ascii="仿宋" w:hAnsi="仿宋" w:eastAsia="仿宋" w:cs="仿宋"/>
                <w:b w:val="0"/>
                <w:bCs w:val="0"/>
                <w:color w:val="auto"/>
                <w:sz w:val="24"/>
                <w:szCs w:val="24"/>
                <w:highlight w:val="none"/>
              </w:rPr>
            </w:pPr>
            <w:r>
              <w:rPr>
                <w:rFonts w:hint="eastAsia" w:ascii="仿宋" w:hAnsi="仿宋" w:eastAsia="仿宋" w:cs="仿宋"/>
                <w:color w:val="auto"/>
                <w:sz w:val="24"/>
                <w:szCs w:val="24"/>
                <w:highlight w:val="none"/>
                <w:lang w:val="en-US" w:eastAsia="zh-CN"/>
              </w:rPr>
              <w:t>5）、服务内容</w:t>
            </w:r>
            <w:r>
              <w:rPr>
                <w:rFonts w:hint="eastAsia" w:ascii="仿宋" w:hAnsi="仿宋" w:eastAsia="仿宋" w:cs="仿宋"/>
                <w:color w:val="auto"/>
                <w:sz w:val="24"/>
                <w:szCs w:val="24"/>
                <w:highlight w:val="none"/>
              </w:rPr>
              <w:t>：组织对所辖</w:t>
            </w:r>
            <w:r>
              <w:rPr>
                <w:rFonts w:hint="eastAsia" w:ascii="仿宋" w:hAnsi="仿宋" w:eastAsia="仿宋" w:cs="仿宋"/>
                <w:color w:val="auto"/>
                <w:sz w:val="24"/>
                <w:szCs w:val="24"/>
                <w:highlight w:val="none"/>
                <w:lang w:eastAsia="zh-CN"/>
              </w:rPr>
              <w:t>乡镇（街道）</w:t>
            </w:r>
            <w:r>
              <w:rPr>
                <w:rFonts w:hint="eastAsia" w:ascii="仿宋" w:hAnsi="仿宋" w:eastAsia="仿宋" w:cs="仿宋"/>
                <w:color w:val="auto"/>
                <w:sz w:val="24"/>
                <w:szCs w:val="24"/>
                <w:highlight w:val="none"/>
              </w:rPr>
              <w:t>开展消防、企业安全和防汛防台等检查和相关知识培训宣传，组织队员开展消防安全、应急救援等技能培训及专业装备器材训练。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73" w:type="dxa"/>
            <w:vAlign w:val="center"/>
          </w:tcPr>
          <w:p>
            <w:pPr>
              <w:widowControl w:val="0"/>
              <w:wordWrap/>
              <w:spacing w:afterAutospacing="0" w:line="240" w:lineRule="auto"/>
              <w:ind w:left="0" w:leftChars="0" w:right="0"/>
              <w:jc w:val="center"/>
              <w:rPr>
                <w:rFonts w:hint="eastAsia" w:ascii="仿宋" w:hAnsi="仿宋" w:eastAsia="仿宋" w:cs="仿宋"/>
                <w:b w:val="0"/>
                <w:bCs/>
                <w:color w:val="auto"/>
                <w:sz w:val="24"/>
                <w:szCs w:val="24"/>
                <w:highlight w:val="none"/>
                <w:lang w:val="en-US" w:eastAsia="zh-CN"/>
              </w:rPr>
            </w:pPr>
            <w:r>
              <w:rPr>
                <w:rFonts w:hint="eastAsia" w:ascii="仿宋" w:hAnsi="仿宋" w:eastAsia="仿宋" w:cs="仿宋"/>
                <w:b w:val="0"/>
                <w:bCs/>
                <w:color w:val="auto"/>
                <w:sz w:val="24"/>
                <w:szCs w:val="24"/>
                <w:highlight w:val="none"/>
                <w:lang w:val="en-US" w:eastAsia="zh-CN"/>
              </w:rPr>
              <w:t>副班长</w:t>
            </w:r>
          </w:p>
        </w:tc>
        <w:tc>
          <w:tcPr>
            <w:tcW w:w="7620" w:type="dxa"/>
            <w:vAlign w:val="center"/>
          </w:tcPr>
          <w:p>
            <w:pPr>
              <w:widowControl/>
              <w:adjustRightInd/>
              <w:spacing w:after="120" w:line="360" w:lineRule="auto"/>
              <w:textAlignment w:val="baseline"/>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1）、人员设置：1人</w:t>
            </w:r>
          </w:p>
          <w:p>
            <w:pPr>
              <w:widowControl/>
              <w:adjustRightInd/>
              <w:spacing w:after="120" w:line="360" w:lineRule="auto"/>
              <w:textAlignment w:val="baseline"/>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rPr>
              <w:t>身体条件：男性，五官端正，年龄一般为</w:t>
            </w:r>
            <w:r>
              <w:rPr>
                <w:rFonts w:hint="eastAsia" w:ascii="仿宋" w:hAnsi="仿宋" w:eastAsia="仿宋" w:cs="仿宋"/>
                <w:color w:val="auto"/>
                <w:sz w:val="24"/>
                <w:szCs w:val="24"/>
                <w:highlight w:val="none"/>
                <w:lang w:val="en-US" w:eastAsia="zh-CN"/>
              </w:rPr>
              <w:t>35</w:t>
            </w:r>
            <w:r>
              <w:rPr>
                <w:rFonts w:hint="eastAsia" w:ascii="仿宋" w:hAnsi="仿宋" w:eastAsia="仿宋" w:cs="仿宋"/>
                <w:color w:val="auto"/>
                <w:sz w:val="24"/>
                <w:szCs w:val="24"/>
                <w:highlight w:val="none"/>
              </w:rPr>
              <w:t>周岁</w:t>
            </w:r>
            <w:r>
              <w:rPr>
                <w:rFonts w:hint="eastAsia" w:ascii="仿宋" w:hAnsi="仿宋" w:eastAsia="仿宋" w:cs="仿宋"/>
                <w:color w:val="auto"/>
                <w:sz w:val="24"/>
                <w:szCs w:val="24"/>
                <w:highlight w:val="none"/>
                <w:lang w:eastAsia="zh-CN"/>
              </w:rPr>
              <w:t>及</w:t>
            </w:r>
            <w:r>
              <w:rPr>
                <w:rFonts w:hint="eastAsia" w:ascii="仿宋" w:hAnsi="仿宋" w:eastAsia="仿宋" w:cs="仿宋"/>
                <w:color w:val="auto"/>
                <w:sz w:val="24"/>
                <w:szCs w:val="24"/>
                <w:highlight w:val="none"/>
              </w:rPr>
              <w:t>以下；没有传染病、精</w:t>
            </w:r>
            <w:r>
              <w:rPr>
                <w:rFonts w:hint="eastAsia" w:ascii="仿宋" w:hAnsi="仿宋" w:eastAsia="仿宋" w:cs="仿宋"/>
                <w:color w:val="auto"/>
                <w:sz w:val="24"/>
                <w:szCs w:val="24"/>
                <w:highlight w:val="none"/>
                <w:lang w:eastAsia="zh-CN"/>
              </w:rPr>
              <w:t>神病、冠心病、高血压、肺部疾病及不能控制自己行为能力的疾病(病史）等；无犯罪记录,政审合格。</w:t>
            </w:r>
          </w:p>
          <w:p>
            <w:pPr>
              <w:widowControl/>
              <w:adjustRightInd/>
              <w:spacing w:after="120" w:line="360" w:lineRule="auto"/>
              <w:jc w:val="both"/>
              <w:textAlignment w:val="baseline"/>
              <w:rPr>
                <w:rFonts w:hint="eastAsia" w:ascii="仿宋" w:hAnsi="仿宋" w:eastAsia="仿宋" w:cs="仿宋"/>
                <w:color w:val="auto"/>
                <w:kern w:val="0"/>
                <w:sz w:val="24"/>
                <w:szCs w:val="24"/>
                <w:highlight w:val="none"/>
                <w:u w:val="none"/>
                <w:lang w:val="en-US" w:eastAsia="zh-CN" w:bidi="ar-SA"/>
              </w:rPr>
            </w:pP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rPr>
              <w:t>技能</w:t>
            </w:r>
            <w:r>
              <w:rPr>
                <w:rFonts w:hint="eastAsia" w:ascii="仿宋" w:hAnsi="仿宋" w:eastAsia="仿宋" w:cs="仿宋"/>
                <w:color w:val="auto"/>
                <w:sz w:val="24"/>
                <w:szCs w:val="24"/>
                <w:highlight w:val="none"/>
                <w:lang w:eastAsia="zh-CN"/>
              </w:rPr>
              <w:t>要求</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原武警消防部队退役士兵、改革转隶后国家综合性消防救援队伍退出消防员或有1年以上灭火救援工作经历的国家综合性消防救援队伍合同制队员</w:t>
            </w:r>
            <w:r>
              <w:rPr>
                <w:rFonts w:hint="eastAsia" w:ascii="仿宋" w:hAnsi="仿宋" w:eastAsia="仿宋" w:cs="仿宋"/>
                <w:color w:val="auto"/>
                <w:kern w:val="0"/>
                <w:sz w:val="24"/>
                <w:szCs w:val="24"/>
                <w:highlight w:val="none"/>
                <w:u w:val="none"/>
                <w:lang w:val="en-US" w:eastAsia="zh-CN" w:bidi="ar-SA"/>
              </w:rPr>
              <w:t>（提供相关证明）。</w:t>
            </w:r>
          </w:p>
          <w:p>
            <w:pPr>
              <w:widowControl/>
              <w:adjustRightInd/>
              <w:spacing w:after="120" w:line="360" w:lineRule="auto"/>
              <w:jc w:val="both"/>
              <w:textAlignment w:val="baseline"/>
              <w:rPr>
                <w:rFonts w:hint="eastAsia" w:ascii="仿宋" w:hAnsi="仿宋" w:eastAsia="仿宋" w:cs="仿宋"/>
                <w:color w:val="auto"/>
                <w:kern w:val="0"/>
                <w:sz w:val="24"/>
                <w:szCs w:val="24"/>
                <w:highlight w:val="none"/>
                <w:u w:val="none"/>
                <w:lang w:val="en-US" w:eastAsia="zh-CN" w:bidi="ar-SA"/>
              </w:rPr>
            </w:pPr>
            <w:r>
              <w:rPr>
                <w:rFonts w:hint="eastAsia" w:ascii="仿宋" w:hAnsi="仿宋" w:eastAsia="仿宋" w:cs="仿宋"/>
                <w:color w:val="auto"/>
                <w:sz w:val="24"/>
                <w:szCs w:val="24"/>
                <w:highlight w:val="none"/>
                <w:lang w:val="en-US" w:eastAsia="zh-CN"/>
              </w:rPr>
              <w:t>4)、具有专科及以上同等学历证书。</w:t>
            </w:r>
          </w:p>
          <w:p>
            <w:pPr>
              <w:widowControl/>
              <w:adjustRightInd/>
              <w:spacing w:after="120" w:line="360" w:lineRule="auto"/>
              <w:textAlignment w:val="baseline"/>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lang w:eastAsia="zh-CN"/>
              </w:rPr>
              <w:t>服务内容</w:t>
            </w:r>
            <w:r>
              <w:rPr>
                <w:rFonts w:hint="eastAsia" w:ascii="仿宋" w:hAnsi="仿宋" w:eastAsia="仿宋" w:cs="仿宋"/>
                <w:color w:val="auto"/>
                <w:sz w:val="24"/>
                <w:szCs w:val="24"/>
                <w:highlight w:val="none"/>
              </w:rPr>
              <w:t>：组织对所辖</w:t>
            </w:r>
            <w:r>
              <w:rPr>
                <w:rFonts w:hint="eastAsia" w:ascii="仿宋" w:hAnsi="仿宋" w:eastAsia="仿宋" w:cs="仿宋"/>
                <w:color w:val="auto"/>
                <w:sz w:val="24"/>
                <w:szCs w:val="24"/>
                <w:highlight w:val="none"/>
                <w:lang w:eastAsia="zh-CN"/>
              </w:rPr>
              <w:t>乡镇（街道）</w:t>
            </w:r>
            <w:r>
              <w:rPr>
                <w:rFonts w:hint="eastAsia" w:ascii="仿宋" w:hAnsi="仿宋" w:eastAsia="仿宋" w:cs="仿宋"/>
                <w:color w:val="auto"/>
                <w:sz w:val="24"/>
                <w:szCs w:val="24"/>
                <w:highlight w:val="none"/>
              </w:rPr>
              <w:t>开展消防、企业安全和防汛防台等检查和相关知识培训宣传，组织队员开展消防安全、应急救援等技能培训及专业装备器材训练。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2" w:hRule="atLeast"/>
          <w:jc w:val="center"/>
        </w:trPr>
        <w:tc>
          <w:tcPr>
            <w:tcW w:w="873" w:type="dxa"/>
            <w:vAlign w:val="center"/>
          </w:tcPr>
          <w:p>
            <w:pPr>
              <w:widowControl w:val="0"/>
              <w:wordWrap/>
              <w:spacing w:afterAutospacing="0" w:line="480" w:lineRule="auto"/>
              <w:ind w:left="0" w:leftChars="0" w:right="0"/>
              <w:jc w:val="cente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val="en-US" w:eastAsia="zh-CN"/>
              </w:rPr>
              <w:t>驾驶员</w:t>
            </w:r>
          </w:p>
        </w:tc>
        <w:tc>
          <w:tcPr>
            <w:tcW w:w="7620" w:type="dxa"/>
            <w:vAlign w:val="top"/>
          </w:tcPr>
          <w:p>
            <w:pPr>
              <w:widowControl/>
              <w:adjustRightInd/>
              <w:spacing w:after="120" w:line="360" w:lineRule="auto"/>
              <w:textAlignment w:val="baseline"/>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1）、人员设置：2人</w:t>
            </w:r>
          </w:p>
          <w:p>
            <w:pPr>
              <w:widowControl/>
              <w:numPr>
                <w:ilvl w:val="0"/>
                <w:numId w:val="0"/>
              </w:numPr>
              <w:adjustRightInd/>
              <w:spacing w:after="120" w:line="360" w:lineRule="auto"/>
              <w:textAlignment w:val="baseline"/>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rPr>
              <w:t>身体条件：男性，五官端正，年龄一般为35周岁</w:t>
            </w:r>
            <w:r>
              <w:rPr>
                <w:rFonts w:hint="eastAsia" w:ascii="仿宋" w:hAnsi="仿宋" w:eastAsia="仿宋" w:cs="仿宋"/>
                <w:color w:val="auto"/>
                <w:sz w:val="24"/>
                <w:szCs w:val="24"/>
                <w:highlight w:val="none"/>
                <w:lang w:eastAsia="zh-CN"/>
              </w:rPr>
              <w:t>及</w:t>
            </w:r>
            <w:r>
              <w:rPr>
                <w:rFonts w:hint="eastAsia" w:ascii="仿宋" w:hAnsi="仿宋" w:eastAsia="仿宋" w:cs="仿宋"/>
                <w:color w:val="auto"/>
                <w:sz w:val="24"/>
                <w:szCs w:val="24"/>
                <w:highlight w:val="none"/>
              </w:rPr>
              <w:t>以下；没有传染病、精</w:t>
            </w:r>
            <w:r>
              <w:rPr>
                <w:rFonts w:hint="eastAsia" w:ascii="仿宋" w:hAnsi="仿宋" w:eastAsia="仿宋" w:cs="仿宋"/>
                <w:color w:val="auto"/>
                <w:sz w:val="24"/>
                <w:szCs w:val="24"/>
                <w:highlight w:val="none"/>
                <w:lang w:eastAsia="zh-CN"/>
              </w:rPr>
              <w:t>神病、冠心病、高血压、肺部疾病及不能控制自己行为能力的疾病(病史）等</w:t>
            </w:r>
            <w:r>
              <w:rPr>
                <w:rFonts w:hint="eastAsia" w:ascii="仿宋" w:hAnsi="仿宋" w:eastAsia="仿宋" w:cs="仿宋"/>
                <w:color w:val="auto"/>
                <w:sz w:val="24"/>
                <w:szCs w:val="24"/>
                <w:highlight w:val="none"/>
              </w:rPr>
              <w:t>；无犯罪记录,政审合格。</w:t>
            </w:r>
          </w:p>
          <w:p>
            <w:pPr>
              <w:widowControl/>
              <w:adjustRightInd/>
              <w:spacing w:after="120" w:line="360" w:lineRule="auto"/>
              <w:textAlignment w:val="baseline"/>
              <w:rPr>
                <w:rFonts w:hint="eastAsia" w:ascii="仿宋" w:hAnsi="仿宋" w:eastAsia="仿宋" w:cs="仿宋"/>
                <w:color w:val="auto"/>
                <w:kern w:val="0"/>
                <w:sz w:val="24"/>
                <w:szCs w:val="24"/>
                <w:highlight w:val="none"/>
                <w:u w:val="none"/>
                <w:lang w:val="en-US" w:eastAsia="zh-CN" w:bidi="ar-SA"/>
              </w:rPr>
            </w:pPr>
            <w:r>
              <w:rPr>
                <w:rFonts w:hint="eastAsia" w:ascii="仿宋" w:hAnsi="仿宋" w:eastAsia="仿宋" w:cs="仿宋"/>
                <w:color w:val="auto"/>
                <w:sz w:val="24"/>
                <w:szCs w:val="24"/>
                <w:highlight w:val="none"/>
                <w:lang w:val="en-US" w:eastAsia="zh-CN"/>
              </w:rPr>
              <w:t>▲3）、技能要求：必须具有相关车辆驾驶证，原武警消防部队退役士兵、改革转隶后国家综合性消防救援队伍退出消防员或有1年以上灭火救援工作经历的国家综合性消防救援队伍合同制队员（提供相关证明）。</w:t>
            </w:r>
          </w:p>
          <w:p>
            <w:pPr>
              <w:widowControl/>
              <w:numPr>
                <w:ilvl w:val="0"/>
                <w:numId w:val="0"/>
              </w:numPr>
              <w:adjustRightInd/>
              <w:spacing w:after="120" w:line="360" w:lineRule="auto"/>
              <w:textAlignment w:val="baseline"/>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4）、</w:t>
            </w:r>
            <w:r>
              <w:rPr>
                <w:rFonts w:hint="eastAsia" w:ascii="仿宋" w:hAnsi="仿宋" w:eastAsia="仿宋" w:cs="仿宋"/>
                <w:color w:val="auto"/>
                <w:sz w:val="24"/>
                <w:szCs w:val="24"/>
                <w:highlight w:val="none"/>
                <w:lang w:eastAsia="zh-CN"/>
              </w:rPr>
              <w:t>服务内容</w:t>
            </w:r>
            <w:r>
              <w:rPr>
                <w:rFonts w:hint="eastAsia" w:ascii="仿宋" w:hAnsi="仿宋" w:eastAsia="仿宋" w:cs="仿宋"/>
                <w:color w:val="auto"/>
                <w:sz w:val="24"/>
                <w:szCs w:val="24"/>
                <w:highlight w:val="none"/>
              </w:rPr>
              <w:t>：对车辆、消防器材等设备进行日常管理及维护，对所辖</w:t>
            </w:r>
            <w:r>
              <w:rPr>
                <w:rFonts w:hint="eastAsia" w:ascii="仿宋" w:hAnsi="仿宋" w:eastAsia="仿宋" w:cs="仿宋"/>
                <w:color w:val="auto"/>
                <w:sz w:val="24"/>
                <w:szCs w:val="24"/>
                <w:highlight w:val="none"/>
                <w:lang w:eastAsia="zh-CN"/>
              </w:rPr>
              <w:t>乡镇（街道）</w:t>
            </w:r>
            <w:r>
              <w:rPr>
                <w:rFonts w:hint="eastAsia" w:ascii="仿宋" w:hAnsi="仿宋" w:eastAsia="仿宋" w:cs="仿宋"/>
                <w:color w:val="auto"/>
                <w:sz w:val="24"/>
                <w:szCs w:val="24"/>
                <w:highlight w:val="none"/>
              </w:rPr>
              <w:t>开展消防、企业安全和防汛防台等检查和相关知识培训宣传。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3" w:hRule="atLeast"/>
          <w:jc w:val="center"/>
        </w:trPr>
        <w:tc>
          <w:tcPr>
            <w:tcW w:w="873" w:type="dxa"/>
            <w:vAlign w:val="center"/>
          </w:tcPr>
          <w:p>
            <w:pPr>
              <w:widowControl w:val="0"/>
              <w:wordWrap/>
              <w:spacing w:afterAutospacing="0" w:line="480" w:lineRule="auto"/>
              <w:ind w:left="0" w:leftChars="0" w:right="0"/>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队员</w:t>
            </w:r>
          </w:p>
        </w:tc>
        <w:tc>
          <w:tcPr>
            <w:tcW w:w="7620" w:type="dxa"/>
            <w:vAlign w:val="top"/>
          </w:tcPr>
          <w:p>
            <w:pPr>
              <w:widowControl/>
              <w:numPr>
                <w:ilvl w:val="0"/>
                <w:numId w:val="0"/>
              </w:numPr>
              <w:adjustRightInd/>
              <w:spacing w:after="120" w:line="360" w:lineRule="auto"/>
              <w:textAlignment w:val="baseline"/>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1）、人员设置：4人</w:t>
            </w:r>
          </w:p>
          <w:p>
            <w:pPr>
              <w:widowControl/>
              <w:numPr>
                <w:ilvl w:val="0"/>
                <w:numId w:val="0"/>
              </w:numPr>
              <w:adjustRightInd/>
              <w:spacing w:after="120" w:line="360" w:lineRule="auto"/>
              <w:textAlignment w:val="baseline"/>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2）、身体条件：男性，五官端正，年龄一般为35周岁及以下；没有传染病、精神病、冠心病、高血压、肺部疾病及不能控制自己行为能力的疾病(病史）等；无犯罪记录,政审合格。</w:t>
            </w:r>
          </w:p>
          <w:p>
            <w:pPr>
              <w:widowControl/>
              <w:numPr>
                <w:ilvl w:val="0"/>
                <w:numId w:val="0"/>
              </w:numPr>
              <w:adjustRightInd/>
              <w:spacing w:after="120" w:line="360" w:lineRule="auto"/>
              <w:textAlignment w:val="baseline"/>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▲3）、技能要求：具有退伍军人相关证书（提供相关证明）。</w:t>
            </w:r>
          </w:p>
          <w:p>
            <w:pPr>
              <w:widowControl/>
              <w:adjustRightInd/>
              <w:spacing w:after="120" w:line="360" w:lineRule="auto"/>
              <w:textAlignment w:val="baseline"/>
              <w:rPr>
                <w:rFonts w:hint="eastAsia" w:ascii="仿宋" w:hAnsi="仿宋" w:eastAsia="仿宋" w:cs="仿宋"/>
                <w:color w:val="auto"/>
                <w:kern w:val="0"/>
                <w:sz w:val="24"/>
                <w:szCs w:val="24"/>
                <w:highlight w:val="none"/>
                <w:u w:val="none"/>
                <w:lang w:val="en-US" w:eastAsia="zh-CN" w:bidi="ar-SA"/>
              </w:rPr>
            </w:pPr>
            <w:r>
              <w:rPr>
                <w:rFonts w:hint="eastAsia" w:ascii="仿宋" w:hAnsi="仿宋" w:eastAsia="仿宋" w:cs="仿宋"/>
                <w:color w:val="auto"/>
                <w:sz w:val="24"/>
                <w:szCs w:val="24"/>
                <w:highlight w:val="none"/>
                <w:lang w:val="en-US" w:eastAsia="zh-CN"/>
              </w:rPr>
              <w:t>4）、服务内容：对车辆、消防器材等设备进行日常管理及维护，对所辖乡镇（街道）开展消防、企业安全和防汛防台等检查和相关知识培训宣传。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3" w:hRule="atLeast"/>
          <w:jc w:val="center"/>
        </w:trPr>
        <w:tc>
          <w:tcPr>
            <w:tcW w:w="873" w:type="dxa"/>
            <w:vAlign w:val="center"/>
          </w:tcPr>
          <w:p>
            <w:pPr>
              <w:widowControl w:val="0"/>
              <w:wordWrap/>
              <w:spacing w:afterAutospacing="0" w:line="480" w:lineRule="auto"/>
              <w:ind w:left="0" w:leftChars="0" w:right="0"/>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highlight w:val="none"/>
                <w:lang w:val="en-US" w:eastAsia="zh-CN"/>
              </w:rPr>
              <w:t>站点人员基本要求</w:t>
            </w:r>
          </w:p>
        </w:tc>
        <w:tc>
          <w:tcPr>
            <w:tcW w:w="7620" w:type="dxa"/>
            <w:vAlign w:val="top"/>
          </w:tcPr>
          <w:p>
            <w:pPr>
              <w:widowControl/>
              <w:adjustRightInd/>
              <w:spacing w:after="120" w:line="360" w:lineRule="auto"/>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lang w:eastAsia="zh-CN"/>
              </w:rPr>
              <w:t>未</w:t>
            </w:r>
            <w:r>
              <w:rPr>
                <w:rFonts w:hint="eastAsia" w:ascii="仿宋" w:hAnsi="仿宋" w:eastAsia="仿宋" w:cs="仿宋"/>
                <w:color w:val="auto"/>
                <w:sz w:val="24"/>
                <w:highlight w:val="none"/>
              </w:rPr>
              <w:t>受过刑事处罚、劳动教养、未成年管教及治安处罚的；</w:t>
            </w:r>
          </w:p>
          <w:p>
            <w:pPr>
              <w:widowControl/>
              <w:adjustRightInd/>
              <w:spacing w:after="120" w:line="360" w:lineRule="auto"/>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rPr>
              <w:t>本人或直系亲属</w:t>
            </w:r>
            <w:r>
              <w:rPr>
                <w:rFonts w:hint="eastAsia" w:ascii="仿宋" w:hAnsi="仿宋" w:eastAsia="仿宋" w:cs="仿宋"/>
                <w:color w:val="auto"/>
                <w:sz w:val="24"/>
                <w:highlight w:val="none"/>
                <w:lang w:eastAsia="zh-CN"/>
              </w:rPr>
              <w:t>无</w:t>
            </w:r>
            <w:r>
              <w:rPr>
                <w:rFonts w:hint="eastAsia" w:ascii="仿宋" w:hAnsi="仿宋" w:eastAsia="仿宋" w:cs="仿宋"/>
                <w:color w:val="auto"/>
                <w:sz w:val="24"/>
                <w:highlight w:val="none"/>
              </w:rPr>
              <w:t>被判处死刑及正在服刑的,或者</w:t>
            </w:r>
            <w:r>
              <w:rPr>
                <w:rFonts w:hint="eastAsia" w:ascii="仿宋" w:hAnsi="仿宋" w:eastAsia="仿宋" w:cs="仿宋"/>
                <w:color w:val="auto"/>
                <w:sz w:val="24"/>
                <w:highlight w:val="none"/>
                <w:lang w:eastAsia="zh-CN"/>
              </w:rPr>
              <w:t>从未</w:t>
            </w:r>
            <w:r>
              <w:rPr>
                <w:rFonts w:hint="eastAsia" w:ascii="仿宋" w:hAnsi="仿宋" w:eastAsia="仿宋" w:cs="仿宋"/>
                <w:color w:val="auto"/>
                <w:sz w:val="24"/>
                <w:highlight w:val="none"/>
              </w:rPr>
              <w:t>参与邪教组织活动的；</w:t>
            </w:r>
          </w:p>
          <w:p>
            <w:pPr>
              <w:widowControl/>
              <w:adjustRightInd/>
              <w:spacing w:after="120" w:line="360" w:lineRule="auto"/>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lang w:eastAsia="zh-CN"/>
              </w:rPr>
              <w:t>无</w:t>
            </w:r>
            <w:r>
              <w:rPr>
                <w:rFonts w:hint="eastAsia" w:ascii="仿宋" w:hAnsi="仿宋" w:eastAsia="仿宋" w:cs="仿宋"/>
                <w:color w:val="auto"/>
                <w:sz w:val="24"/>
                <w:highlight w:val="none"/>
              </w:rPr>
              <w:t>犯罪嫌疑尚未查清的；</w:t>
            </w:r>
          </w:p>
          <w:p>
            <w:pPr>
              <w:widowControl/>
              <w:adjustRightInd/>
              <w:spacing w:after="120" w:line="360" w:lineRule="auto"/>
              <w:textAlignment w:val="baseline"/>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lang w:eastAsia="zh-CN"/>
              </w:rPr>
              <w:t>无</w:t>
            </w:r>
            <w:r>
              <w:rPr>
                <w:rFonts w:hint="eastAsia" w:ascii="仿宋" w:hAnsi="仿宋" w:eastAsia="仿宋" w:cs="仿宋"/>
                <w:color w:val="auto"/>
                <w:sz w:val="24"/>
                <w:highlight w:val="none"/>
              </w:rPr>
              <w:t>寻衅滋事、偷窃、**等不良行为</w:t>
            </w:r>
            <w:r>
              <w:rPr>
                <w:rFonts w:hint="eastAsia" w:ascii="仿宋" w:hAnsi="仿宋" w:eastAsia="仿宋" w:cs="仿宋"/>
                <w:color w:val="auto"/>
                <w:sz w:val="24"/>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3" w:hRule="atLeast"/>
          <w:jc w:val="center"/>
        </w:trPr>
        <w:tc>
          <w:tcPr>
            <w:tcW w:w="873" w:type="dxa"/>
            <w:vAlign w:val="center"/>
          </w:tcPr>
          <w:p>
            <w:pPr>
              <w:widowControl w:val="0"/>
              <w:wordWrap/>
              <w:spacing w:afterAutospacing="0" w:line="480" w:lineRule="auto"/>
              <w:ind w:left="0" w:leftChars="0" w:right="0"/>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highlight w:val="none"/>
              </w:rPr>
              <w:t>其它要求</w:t>
            </w:r>
          </w:p>
        </w:tc>
        <w:tc>
          <w:tcPr>
            <w:tcW w:w="7620" w:type="dxa"/>
            <w:vAlign w:val="center"/>
          </w:tcPr>
          <w:p>
            <w:pPr>
              <w:widowControl/>
              <w:numPr>
                <w:ilvl w:val="0"/>
                <w:numId w:val="0"/>
              </w:numPr>
              <w:adjustRightInd/>
              <w:spacing w:after="120" w:line="360" w:lineRule="auto"/>
              <w:jc w:val="both"/>
              <w:textAlignment w:val="baseline"/>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1）、人员结构合理；</w:t>
            </w:r>
          </w:p>
          <w:p>
            <w:pPr>
              <w:widowControl/>
              <w:numPr>
                <w:ilvl w:val="0"/>
                <w:numId w:val="0"/>
              </w:numPr>
              <w:adjustRightInd/>
              <w:spacing w:after="120" w:line="360" w:lineRule="auto"/>
              <w:jc w:val="both"/>
              <w:textAlignment w:val="baseline"/>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2）、人岗相适度高；</w:t>
            </w:r>
          </w:p>
          <w:p>
            <w:pPr>
              <w:widowControl/>
              <w:numPr>
                <w:ilvl w:val="0"/>
                <w:numId w:val="0"/>
              </w:numPr>
              <w:adjustRightInd/>
              <w:spacing w:after="120" w:line="360" w:lineRule="auto"/>
              <w:jc w:val="both"/>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储备队员充足（由</w:t>
            </w:r>
            <w:r>
              <w:rPr>
                <w:rFonts w:hint="eastAsia" w:ascii="仿宋" w:hAnsi="仿宋" w:eastAsia="仿宋" w:cs="仿宋"/>
                <w:color w:val="auto"/>
                <w:sz w:val="24"/>
                <w:highlight w:val="none"/>
                <w:lang w:eastAsia="zh-CN"/>
              </w:rPr>
              <w:t>中标单位</w:t>
            </w:r>
            <w:r>
              <w:rPr>
                <w:rFonts w:hint="eastAsia" w:ascii="仿宋" w:hAnsi="仿宋" w:eastAsia="仿宋" w:cs="仿宋"/>
                <w:color w:val="auto"/>
                <w:sz w:val="24"/>
                <w:highlight w:val="none"/>
              </w:rPr>
              <w:t>保证替补人员）。</w:t>
            </w:r>
          </w:p>
          <w:p>
            <w:pPr>
              <w:widowControl/>
              <w:adjustRightInd/>
              <w:spacing w:after="120" w:line="360" w:lineRule="auto"/>
              <w:jc w:val="both"/>
              <w:textAlignment w:val="baseline"/>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highlight w:val="none"/>
              </w:rPr>
              <w:t>4）</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本项目的所有人员进场服务前由采购人统一审核，并进行体能测试。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3" w:hRule="atLeast"/>
          <w:jc w:val="center"/>
        </w:trPr>
        <w:tc>
          <w:tcPr>
            <w:tcW w:w="873" w:type="dxa"/>
            <w:vAlign w:val="center"/>
          </w:tcPr>
          <w:p>
            <w:pPr>
              <w:widowControl w:val="0"/>
              <w:wordWrap/>
              <w:spacing w:afterAutospacing="0" w:line="480" w:lineRule="auto"/>
              <w:ind w:left="0" w:leftChars="0" w:right="0"/>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highlight w:val="none"/>
                <w:lang w:val="en-US"/>
              </w:rPr>
              <w:t>工作职责</w:t>
            </w:r>
          </w:p>
        </w:tc>
        <w:tc>
          <w:tcPr>
            <w:tcW w:w="7620" w:type="dxa"/>
            <w:vAlign w:val="center"/>
          </w:tcPr>
          <w:p>
            <w:pPr>
              <w:widowControl/>
              <w:numPr>
                <w:ilvl w:val="0"/>
                <w:numId w:val="0"/>
              </w:numPr>
              <w:adjustRightInd/>
              <w:spacing w:after="120" w:line="360" w:lineRule="auto"/>
              <w:jc w:val="both"/>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rPr>
              <w:t>按照《杭州市消防安全委员会关于印发杭州市区域性微型消防救援站建设标准及日常工作制度和岗位职责的通知》、《关于印发杭州市乡镇（街道）综合应急和消防救援队标准化建设规范和训练大纲（试行）的通知》</w:t>
            </w:r>
            <w:r>
              <w:rPr>
                <w:rFonts w:hint="eastAsia" w:ascii="仿宋" w:hAnsi="仿宋" w:eastAsia="仿宋" w:cs="仿宋"/>
                <w:color w:val="auto"/>
                <w:sz w:val="24"/>
                <w:highlight w:val="none"/>
                <w:lang w:eastAsia="zh-CN"/>
              </w:rPr>
              <w:t>、《</w:t>
            </w:r>
            <w:r>
              <w:rPr>
                <w:rFonts w:hint="default" w:ascii="仿宋" w:hAnsi="仿宋" w:eastAsia="仿宋" w:cs="仿宋"/>
                <w:color w:val="auto"/>
                <w:sz w:val="24"/>
                <w:highlight w:val="none"/>
                <w:lang w:eastAsia="zh-CN"/>
              </w:rPr>
              <w:t>关于进一步</w:t>
            </w:r>
            <w:r>
              <w:rPr>
                <w:rFonts w:hint="default" w:ascii="仿宋" w:hAnsi="仿宋" w:eastAsia="仿宋" w:cs="仿宋"/>
                <w:color w:val="auto"/>
                <w:sz w:val="24"/>
                <w:highlight w:val="none"/>
                <w:lang w:val="en-US" w:eastAsia="zh-CN"/>
              </w:rPr>
              <w:t>加强全区区域性及村（社区）微型消防救援站建设工作的通知</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要求，组织</w:t>
            </w:r>
            <w:r>
              <w:rPr>
                <w:rFonts w:hint="eastAsia" w:ascii="仿宋" w:hAnsi="仿宋" w:eastAsia="仿宋" w:cs="仿宋"/>
                <w:color w:val="auto"/>
                <w:sz w:val="24"/>
                <w:highlight w:val="none"/>
                <w:lang w:eastAsia="zh-CN"/>
              </w:rPr>
              <w:t>站点人员</w:t>
            </w:r>
            <w:r>
              <w:rPr>
                <w:rFonts w:hint="eastAsia" w:ascii="仿宋" w:hAnsi="仿宋" w:eastAsia="仿宋" w:cs="仿宋"/>
                <w:color w:val="auto"/>
                <w:sz w:val="24"/>
                <w:highlight w:val="none"/>
              </w:rPr>
              <w:t>开展工作及学习培训；</w:t>
            </w:r>
          </w:p>
          <w:p>
            <w:pPr>
              <w:widowControl/>
              <w:numPr>
                <w:ilvl w:val="0"/>
                <w:numId w:val="0"/>
              </w:numPr>
              <w:adjustRightInd/>
              <w:spacing w:after="120" w:line="360" w:lineRule="auto"/>
              <w:jc w:val="both"/>
              <w:textAlignment w:val="baseline"/>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完成采购人交办的其他工作任务。</w:t>
            </w:r>
          </w:p>
        </w:tc>
      </w:tr>
    </w:tbl>
    <w:p>
      <w:pPr>
        <w:pStyle w:val="2"/>
        <w:ind w:left="0" w:leftChars="0" w:firstLine="0" w:firstLineChars="0"/>
        <w:rPr>
          <w:color w:val="auto"/>
          <w:highlight w:val="none"/>
        </w:rPr>
      </w:pPr>
    </w:p>
    <w:tbl>
      <w:tblPr>
        <w:tblStyle w:val="62"/>
        <w:tblW w:w="849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3"/>
        <w:gridCol w:w="76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2" w:hRule="atLeast"/>
          <w:jc w:val="center"/>
        </w:trPr>
        <w:tc>
          <w:tcPr>
            <w:tcW w:w="8493" w:type="dxa"/>
            <w:gridSpan w:val="2"/>
            <w:vAlign w:val="center"/>
          </w:tcPr>
          <w:p>
            <w:pPr>
              <w:widowControl w:val="0"/>
              <w:wordWrap/>
              <w:spacing w:afterAutospacing="0" w:line="480" w:lineRule="auto"/>
              <w:ind w:left="0" w:leftChars="0" w:right="0"/>
              <w:jc w:val="center"/>
              <w:rPr>
                <w:rFonts w:hint="eastAsia" w:ascii="仿宋" w:hAnsi="仿宋" w:eastAsia="仿宋" w:cs="仿宋"/>
                <w:color w:val="auto"/>
                <w:sz w:val="24"/>
                <w:szCs w:val="24"/>
                <w:highlight w:val="none"/>
              </w:rPr>
            </w:pPr>
            <w:r>
              <w:rPr>
                <w:rFonts w:hint="eastAsia" w:ascii="仿宋" w:hAnsi="仿宋" w:eastAsia="仿宋" w:cs="仿宋"/>
                <w:b/>
                <w:bCs/>
                <w:color w:val="auto"/>
                <w:sz w:val="24"/>
                <w:szCs w:val="24"/>
                <w:highlight w:val="none"/>
                <w:lang w:val="en-US" w:eastAsia="zh-CN"/>
              </w:rPr>
              <w:t>五、竹园区域性微型消防救援站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jc w:val="center"/>
        </w:trPr>
        <w:tc>
          <w:tcPr>
            <w:tcW w:w="873" w:type="dxa"/>
            <w:vAlign w:val="center"/>
          </w:tcPr>
          <w:p>
            <w:pPr>
              <w:widowControl w:val="0"/>
              <w:wordWrap/>
              <w:spacing w:afterAutospacing="0" w:line="240" w:lineRule="auto"/>
              <w:ind w:left="0" w:leftChars="0" w:right="0"/>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项</w:t>
            </w:r>
            <w:r>
              <w:rPr>
                <w:rFonts w:hint="eastAsia" w:ascii="仿宋" w:hAnsi="仿宋" w:eastAsia="仿宋" w:cs="仿宋"/>
                <w:color w:val="auto"/>
                <w:sz w:val="24"/>
                <w:szCs w:val="24"/>
                <w:highlight w:val="none"/>
                <w:lang w:val="en-US" w:eastAsia="zh-CN"/>
              </w:rPr>
              <w:t>目岗位</w:t>
            </w:r>
          </w:p>
        </w:tc>
        <w:tc>
          <w:tcPr>
            <w:tcW w:w="7620" w:type="dxa"/>
            <w:vAlign w:val="center"/>
          </w:tcPr>
          <w:p>
            <w:pPr>
              <w:widowControl w:val="0"/>
              <w:wordWrap/>
              <w:spacing w:afterAutospacing="0" w:line="480" w:lineRule="auto"/>
              <w:ind w:left="0" w:leftChars="0" w:right="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服务</w:t>
            </w:r>
            <w:r>
              <w:rPr>
                <w:rFonts w:hint="eastAsia" w:ascii="仿宋" w:hAnsi="仿宋" w:eastAsia="仿宋" w:cs="仿宋"/>
                <w:color w:val="auto"/>
                <w:sz w:val="24"/>
                <w:szCs w:val="24"/>
                <w:highlight w:val="none"/>
                <w:lang w:val="en-US" w:eastAsia="zh-CN"/>
              </w:rPr>
              <w:t>内容及</w:t>
            </w:r>
            <w:r>
              <w:rPr>
                <w:rFonts w:hint="eastAsia" w:ascii="仿宋" w:hAnsi="仿宋" w:eastAsia="仿宋" w:cs="仿宋"/>
                <w:color w:val="auto"/>
                <w:sz w:val="24"/>
                <w:szCs w:val="24"/>
                <w:highlight w:val="none"/>
              </w:rPr>
              <w:t>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jc w:val="center"/>
        </w:trPr>
        <w:tc>
          <w:tcPr>
            <w:tcW w:w="873" w:type="dxa"/>
            <w:vAlign w:val="center"/>
          </w:tcPr>
          <w:p>
            <w:pPr>
              <w:widowControl w:val="0"/>
              <w:wordWrap/>
              <w:spacing w:afterAutospacing="0" w:line="240" w:lineRule="auto"/>
              <w:ind w:left="0" w:leftChars="0" w:right="0"/>
              <w:jc w:val="center"/>
              <w:rPr>
                <w:rFonts w:hint="eastAsia" w:ascii="仿宋" w:hAnsi="仿宋" w:eastAsia="仿宋" w:cs="仿宋"/>
                <w:b w:val="0"/>
                <w:bCs/>
                <w:color w:val="auto"/>
                <w:sz w:val="24"/>
                <w:szCs w:val="24"/>
                <w:highlight w:val="none"/>
                <w:lang w:val="en-US" w:eastAsia="zh-CN"/>
              </w:rPr>
            </w:pPr>
            <w:r>
              <w:rPr>
                <w:rFonts w:hint="eastAsia" w:ascii="仿宋" w:hAnsi="仿宋" w:eastAsia="仿宋" w:cs="仿宋"/>
                <w:b w:val="0"/>
                <w:bCs/>
                <w:color w:val="auto"/>
                <w:sz w:val="24"/>
                <w:szCs w:val="24"/>
                <w:highlight w:val="none"/>
                <w:lang w:val="en-US" w:eastAsia="zh-CN"/>
              </w:rPr>
              <w:t>班长</w:t>
            </w:r>
          </w:p>
        </w:tc>
        <w:tc>
          <w:tcPr>
            <w:tcW w:w="7620" w:type="dxa"/>
            <w:vAlign w:val="center"/>
          </w:tcPr>
          <w:p>
            <w:pPr>
              <w:widowControl/>
              <w:adjustRightInd/>
              <w:spacing w:after="120" w:line="360" w:lineRule="auto"/>
              <w:textAlignment w:val="baseline"/>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1）、人员设置：1人</w:t>
            </w:r>
          </w:p>
          <w:p>
            <w:pPr>
              <w:widowControl/>
              <w:adjustRightInd/>
              <w:spacing w:after="120" w:line="360" w:lineRule="auto"/>
              <w:textAlignment w:val="baseline"/>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rPr>
              <w:t>身体条件：男性，五官端正，年龄一般为</w:t>
            </w:r>
            <w:r>
              <w:rPr>
                <w:rFonts w:hint="eastAsia" w:ascii="仿宋" w:hAnsi="仿宋" w:eastAsia="仿宋" w:cs="仿宋"/>
                <w:color w:val="auto"/>
                <w:sz w:val="24"/>
                <w:szCs w:val="24"/>
                <w:highlight w:val="none"/>
                <w:lang w:val="en-US" w:eastAsia="zh-CN"/>
              </w:rPr>
              <w:t>40</w:t>
            </w:r>
            <w:r>
              <w:rPr>
                <w:rFonts w:hint="eastAsia" w:ascii="仿宋" w:hAnsi="仿宋" w:eastAsia="仿宋" w:cs="仿宋"/>
                <w:color w:val="auto"/>
                <w:sz w:val="24"/>
                <w:szCs w:val="24"/>
                <w:highlight w:val="none"/>
              </w:rPr>
              <w:t>周岁</w:t>
            </w:r>
            <w:r>
              <w:rPr>
                <w:rFonts w:hint="eastAsia" w:ascii="仿宋" w:hAnsi="仿宋" w:eastAsia="仿宋" w:cs="仿宋"/>
                <w:color w:val="auto"/>
                <w:sz w:val="24"/>
                <w:szCs w:val="24"/>
                <w:highlight w:val="none"/>
                <w:lang w:eastAsia="zh-CN"/>
              </w:rPr>
              <w:t>及</w:t>
            </w:r>
            <w:r>
              <w:rPr>
                <w:rFonts w:hint="eastAsia" w:ascii="仿宋" w:hAnsi="仿宋" w:eastAsia="仿宋" w:cs="仿宋"/>
                <w:color w:val="auto"/>
                <w:sz w:val="24"/>
                <w:szCs w:val="24"/>
                <w:highlight w:val="none"/>
              </w:rPr>
              <w:t>以下；没有传染病、精</w:t>
            </w:r>
            <w:r>
              <w:rPr>
                <w:rFonts w:hint="eastAsia" w:ascii="仿宋" w:hAnsi="仿宋" w:eastAsia="仿宋" w:cs="仿宋"/>
                <w:color w:val="auto"/>
                <w:sz w:val="24"/>
                <w:szCs w:val="24"/>
                <w:highlight w:val="none"/>
                <w:lang w:eastAsia="zh-CN"/>
              </w:rPr>
              <w:t>神病、冠心病、高血压、肺部疾病及不能控制自己行为能力的疾病(病史）等；无犯罪记录,政审合格。</w:t>
            </w:r>
          </w:p>
          <w:p>
            <w:pPr>
              <w:widowControl/>
              <w:adjustRightInd/>
              <w:spacing w:after="120" w:line="360" w:lineRule="auto"/>
              <w:jc w:val="both"/>
              <w:textAlignment w:val="baseline"/>
              <w:rPr>
                <w:rFonts w:hint="eastAsia" w:ascii="仿宋" w:hAnsi="仿宋" w:eastAsia="仿宋" w:cs="仿宋"/>
                <w:color w:val="auto"/>
                <w:kern w:val="0"/>
                <w:sz w:val="24"/>
                <w:szCs w:val="24"/>
                <w:highlight w:val="none"/>
                <w:u w:val="none"/>
                <w:lang w:val="en-US" w:eastAsia="zh-CN" w:bidi="ar-SA"/>
              </w:rPr>
            </w:pP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rPr>
              <w:t>技能</w:t>
            </w:r>
            <w:r>
              <w:rPr>
                <w:rFonts w:hint="eastAsia" w:ascii="仿宋" w:hAnsi="仿宋" w:eastAsia="仿宋" w:cs="仿宋"/>
                <w:color w:val="auto"/>
                <w:sz w:val="24"/>
                <w:szCs w:val="24"/>
                <w:highlight w:val="none"/>
                <w:lang w:eastAsia="zh-CN"/>
              </w:rPr>
              <w:t>要求</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原武警消防部队退役士兵、改革转隶后国家综合性消防救援队伍退出消防员或有1年以上灭火救援工作经历的国家综合性消防救援队伍合同制队员</w:t>
            </w:r>
            <w:r>
              <w:rPr>
                <w:rFonts w:hint="eastAsia" w:ascii="仿宋" w:hAnsi="仿宋" w:eastAsia="仿宋" w:cs="仿宋"/>
                <w:color w:val="auto"/>
                <w:kern w:val="0"/>
                <w:sz w:val="24"/>
                <w:szCs w:val="24"/>
                <w:highlight w:val="none"/>
                <w:u w:val="none"/>
                <w:lang w:val="en-US" w:eastAsia="zh-CN" w:bidi="ar-SA"/>
              </w:rPr>
              <w:t>（提供相关证明）。</w:t>
            </w:r>
          </w:p>
          <w:p>
            <w:pPr>
              <w:widowControl/>
              <w:adjustRightInd/>
              <w:spacing w:after="120" w:line="360" w:lineRule="auto"/>
              <w:jc w:val="both"/>
              <w:textAlignment w:val="baseline"/>
              <w:rPr>
                <w:rFonts w:hint="eastAsia" w:ascii="仿宋" w:hAnsi="仿宋" w:eastAsia="仿宋" w:cs="仿宋"/>
                <w:color w:val="auto"/>
                <w:kern w:val="0"/>
                <w:sz w:val="24"/>
                <w:szCs w:val="24"/>
                <w:highlight w:val="none"/>
                <w:u w:val="none"/>
                <w:lang w:val="en-US" w:eastAsia="zh-CN" w:bidi="ar-SA"/>
              </w:rPr>
            </w:pPr>
            <w:r>
              <w:rPr>
                <w:rFonts w:hint="eastAsia" w:ascii="仿宋" w:hAnsi="仿宋" w:eastAsia="仿宋" w:cs="仿宋"/>
                <w:color w:val="auto"/>
                <w:sz w:val="24"/>
                <w:szCs w:val="24"/>
                <w:highlight w:val="none"/>
                <w:lang w:val="en-US" w:eastAsia="zh-CN"/>
              </w:rPr>
              <w:t>4）、具有专科及以上同等学历证书。</w:t>
            </w:r>
          </w:p>
          <w:p>
            <w:pPr>
              <w:widowControl/>
              <w:adjustRightInd/>
              <w:spacing w:after="120" w:line="360" w:lineRule="auto"/>
              <w:textAlignment w:val="baseline"/>
              <w:rPr>
                <w:rFonts w:hint="eastAsia" w:ascii="仿宋" w:hAnsi="仿宋" w:eastAsia="仿宋" w:cs="仿宋"/>
                <w:b w:val="0"/>
                <w:bCs w:val="0"/>
                <w:color w:val="auto"/>
                <w:sz w:val="24"/>
                <w:szCs w:val="24"/>
                <w:highlight w:val="none"/>
              </w:rPr>
            </w:pPr>
            <w:r>
              <w:rPr>
                <w:rFonts w:hint="eastAsia" w:ascii="仿宋" w:hAnsi="仿宋" w:eastAsia="仿宋" w:cs="仿宋"/>
                <w:color w:val="auto"/>
                <w:sz w:val="24"/>
                <w:szCs w:val="24"/>
                <w:highlight w:val="none"/>
                <w:lang w:val="en-US" w:eastAsia="zh-CN"/>
              </w:rPr>
              <w:t>5）、服务内容</w:t>
            </w:r>
            <w:r>
              <w:rPr>
                <w:rFonts w:hint="eastAsia" w:ascii="仿宋" w:hAnsi="仿宋" w:eastAsia="仿宋" w:cs="仿宋"/>
                <w:color w:val="auto"/>
                <w:sz w:val="24"/>
                <w:szCs w:val="24"/>
                <w:highlight w:val="none"/>
              </w:rPr>
              <w:t>：组织对所辖</w:t>
            </w:r>
            <w:r>
              <w:rPr>
                <w:rFonts w:hint="eastAsia" w:ascii="仿宋" w:hAnsi="仿宋" w:eastAsia="仿宋" w:cs="仿宋"/>
                <w:color w:val="auto"/>
                <w:sz w:val="24"/>
                <w:szCs w:val="24"/>
                <w:highlight w:val="none"/>
                <w:lang w:eastAsia="zh-CN"/>
              </w:rPr>
              <w:t>乡镇（街道）</w:t>
            </w:r>
            <w:r>
              <w:rPr>
                <w:rFonts w:hint="eastAsia" w:ascii="仿宋" w:hAnsi="仿宋" w:eastAsia="仿宋" w:cs="仿宋"/>
                <w:color w:val="auto"/>
                <w:sz w:val="24"/>
                <w:szCs w:val="24"/>
                <w:highlight w:val="none"/>
              </w:rPr>
              <w:t>开展消防、企业安全和防汛防台等检查和相关知识培训宣传，组织队员开展消防安全、应急救援等技能培训及专业装备器材训练。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73" w:type="dxa"/>
            <w:vAlign w:val="center"/>
          </w:tcPr>
          <w:p>
            <w:pPr>
              <w:widowControl w:val="0"/>
              <w:wordWrap/>
              <w:spacing w:afterAutospacing="0" w:line="240" w:lineRule="auto"/>
              <w:ind w:left="0" w:leftChars="0" w:right="0"/>
              <w:jc w:val="center"/>
              <w:rPr>
                <w:rFonts w:hint="eastAsia" w:ascii="仿宋" w:hAnsi="仿宋" w:eastAsia="仿宋" w:cs="仿宋"/>
                <w:b w:val="0"/>
                <w:bCs/>
                <w:color w:val="auto"/>
                <w:sz w:val="24"/>
                <w:szCs w:val="24"/>
                <w:highlight w:val="none"/>
                <w:lang w:val="en-US" w:eastAsia="zh-CN"/>
              </w:rPr>
            </w:pPr>
            <w:r>
              <w:rPr>
                <w:rFonts w:hint="eastAsia" w:ascii="仿宋" w:hAnsi="仿宋" w:eastAsia="仿宋" w:cs="仿宋"/>
                <w:b w:val="0"/>
                <w:bCs/>
                <w:color w:val="auto"/>
                <w:sz w:val="24"/>
                <w:szCs w:val="24"/>
                <w:highlight w:val="none"/>
                <w:lang w:val="en-US" w:eastAsia="zh-CN"/>
              </w:rPr>
              <w:t>副班长</w:t>
            </w:r>
          </w:p>
        </w:tc>
        <w:tc>
          <w:tcPr>
            <w:tcW w:w="7620" w:type="dxa"/>
            <w:vAlign w:val="center"/>
          </w:tcPr>
          <w:p>
            <w:pPr>
              <w:widowControl/>
              <w:adjustRightInd/>
              <w:spacing w:after="120" w:line="360" w:lineRule="auto"/>
              <w:textAlignment w:val="baseline"/>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1）、人员设置：1人</w:t>
            </w:r>
          </w:p>
          <w:p>
            <w:pPr>
              <w:widowControl/>
              <w:adjustRightInd/>
              <w:spacing w:after="120" w:line="360" w:lineRule="auto"/>
              <w:textAlignment w:val="baseline"/>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rPr>
              <w:t>身体条件：男性，五官端正，年龄一般为</w:t>
            </w:r>
            <w:r>
              <w:rPr>
                <w:rFonts w:hint="eastAsia" w:ascii="仿宋" w:hAnsi="仿宋" w:eastAsia="仿宋" w:cs="仿宋"/>
                <w:color w:val="auto"/>
                <w:sz w:val="24"/>
                <w:szCs w:val="24"/>
                <w:highlight w:val="none"/>
                <w:lang w:val="en-US" w:eastAsia="zh-CN"/>
              </w:rPr>
              <w:t>35</w:t>
            </w:r>
            <w:r>
              <w:rPr>
                <w:rFonts w:hint="eastAsia" w:ascii="仿宋" w:hAnsi="仿宋" w:eastAsia="仿宋" w:cs="仿宋"/>
                <w:color w:val="auto"/>
                <w:sz w:val="24"/>
                <w:szCs w:val="24"/>
                <w:highlight w:val="none"/>
              </w:rPr>
              <w:t>周岁</w:t>
            </w:r>
            <w:r>
              <w:rPr>
                <w:rFonts w:hint="eastAsia" w:ascii="仿宋" w:hAnsi="仿宋" w:eastAsia="仿宋" w:cs="仿宋"/>
                <w:color w:val="auto"/>
                <w:sz w:val="24"/>
                <w:szCs w:val="24"/>
                <w:highlight w:val="none"/>
                <w:lang w:eastAsia="zh-CN"/>
              </w:rPr>
              <w:t>及</w:t>
            </w:r>
            <w:r>
              <w:rPr>
                <w:rFonts w:hint="eastAsia" w:ascii="仿宋" w:hAnsi="仿宋" w:eastAsia="仿宋" w:cs="仿宋"/>
                <w:color w:val="auto"/>
                <w:sz w:val="24"/>
                <w:szCs w:val="24"/>
                <w:highlight w:val="none"/>
              </w:rPr>
              <w:t>以下；没有传染病、精</w:t>
            </w:r>
            <w:r>
              <w:rPr>
                <w:rFonts w:hint="eastAsia" w:ascii="仿宋" w:hAnsi="仿宋" w:eastAsia="仿宋" w:cs="仿宋"/>
                <w:color w:val="auto"/>
                <w:sz w:val="24"/>
                <w:szCs w:val="24"/>
                <w:highlight w:val="none"/>
                <w:lang w:eastAsia="zh-CN"/>
              </w:rPr>
              <w:t>神病、冠心病、高血压、肺部疾病及不能控制自己行为能力的疾病(病史）等；无犯罪记录,政审合格。</w:t>
            </w:r>
          </w:p>
          <w:p>
            <w:pPr>
              <w:widowControl/>
              <w:adjustRightInd/>
              <w:spacing w:after="120" w:line="360" w:lineRule="auto"/>
              <w:jc w:val="both"/>
              <w:textAlignment w:val="baseline"/>
              <w:rPr>
                <w:rFonts w:hint="eastAsia" w:ascii="仿宋" w:hAnsi="仿宋" w:eastAsia="仿宋" w:cs="仿宋"/>
                <w:color w:val="auto"/>
                <w:kern w:val="0"/>
                <w:sz w:val="24"/>
                <w:szCs w:val="24"/>
                <w:highlight w:val="none"/>
                <w:u w:val="none"/>
                <w:lang w:val="en-US" w:eastAsia="zh-CN" w:bidi="ar-SA"/>
              </w:rPr>
            </w:pP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rPr>
              <w:t>技能</w:t>
            </w:r>
            <w:r>
              <w:rPr>
                <w:rFonts w:hint="eastAsia" w:ascii="仿宋" w:hAnsi="仿宋" w:eastAsia="仿宋" w:cs="仿宋"/>
                <w:color w:val="auto"/>
                <w:sz w:val="24"/>
                <w:szCs w:val="24"/>
                <w:highlight w:val="none"/>
                <w:lang w:eastAsia="zh-CN"/>
              </w:rPr>
              <w:t>要求</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原武警消防部队退役士兵、改革转隶后国家综合性消防救援队伍退出消防员或有1年以上灭火救援工作经历的国家综合性消防救援队伍合同制队员</w:t>
            </w:r>
            <w:r>
              <w:rPr>
                <w:rFonts w:hint="eastAsia" w:ascii="仿宋" w:hAnsi="仿宋" w:eastAsia="仿宋" w:cs="仿宋"/>
                <w:color w:val="auto"/>
                <w:kern w:val="0"/>
                <w:sz w:val="24"/>
                <w:szCs w:val="24"/>
                <w:highlight w:val="none"/>
                <w:u w:val="none"/>
                <w:lang w:val="en-US" w:eastAsia="zh-CN" w:bidi="ar-SA"/>
              </w:rPr>
              <w:t>（提供相关证明）。</w:t>
            </w:r>
          </w:p>
          <w:p>
            <w:pPr>
              <w:widowControl/>
              <w:adjustRightInd/>
              <w:spacing w:after="120" w:line="360" w:lineRule="auto"/>
              <w:jc w:val="both"/>
              <w:textAlignment w:val="baseline"/>
              <w:rPr>
                <w:rFonts w:hint="eastAsia" w:ascii="仿宋" w:hAnsi="仿宋" w:eastAsia="仿宋" w:cs="仿宋"/>
                <w:color w:val="auto"/>
                <w:kern w:val="0"/>
                <w:sz w:val="24"/>
                <w:szCs w:val="24"/>
                <w:highlight w:val="none"/>
                <w:u w:val="none"/>
                <w:lang w:val="en-US" w:eastAsia="zh-CN" w:bidi="ar-SA"/>
              </w:rPr>
            </w:pPr>
            <w:r>
              <w:rPr>
                <w:rFonts w:hint="eastAsia" w:ascii="仿宋" w:hAnsi="仿宋" w:eastAsia="仿宋" w:cs="仿宋"/>
                <w:color w:val="auto"/>
                <w:sz w:val="24"/>
                <w:szCs w:val="24"/>
                <w:highlight w:val="none"/>
                <w:lang w:val="en-US" w:eastAsia="zh-CN"/>
              </w:rPr>
              <w:t>4)、具有专科及以上同等学历证书。</w:t>
            </w:r>
          </w:p>
          <w:p>
            <w:pPr>
              <w:widowControl/>
              <w:adjustRightInd/>
              <w:spacing w:after="120" w:line="360" w:lineRule="auto"/>
              <w:textAlignment w:val="baseline"/>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lang w:eastAsia="zh-CN"/>
              </w:rPr>
              <w:t>服务内容</w:t>
            </w:r>
            <w:r>
              <w:rPr>
                <w:rFonts w:hint="eastAsia" w:ascii="仿宋" w:hAnsi="仿宋" w:eastAsia="仿宋" w:cs="仿宋"/>
                <w:color w:val="auto"/>
                <w:sz w:val="24"/>
                <w:szCs w:val="24"/>
                <w:highlight w:val="none"/>
              </w:rPr>
              <w:t>：组织对所辖</w:t>
            </w:r>
            <w:r>
              <w:rPr>
                <w:rFonts w:hint="eastAsia" w:ascii="仿宋" w:hAnsi="仿宋" w:eastAsia="仿宋" w:cs="仿宋"/>
                <w:color w:val="auto"/>
                <w:sz w:val="24"/>
                <w:szCs w:val="24"/>
                <w:highlight w:val="none"/>
                <w:lang w:eastAsia="zh-CN"/>
              </w:rPr>
              <w:t>乡镇（街道）</w:t>
            </w:r>
            <w:r>
              <w:rPr>
                <w:rFonts w:hint="eastAsia" w:ascii="仿宋" w:hAnsi="仿宋" w:eastAsia="仿宋" w:cs="仿宋"/>
                <w:color w:val="auto"/>
                <w:sz w:val="24"/>
                <w:szCs w:val="24"/>
                <w:highlight w:val="none"/>
              </w:rPr>
              <w:t>开展消防、企业安全和防汛防台等检查和相关知识培训宣传，组织队员开展消防安全、应急救援等技能培训及专业装备器材训练。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5" w:hRule="atLeast"/>
          <w:jc w:val="center"/>
        </w:trPr>
        <w:tc>
          <w:tcPr>
            <w:tcW w:w="873" w:type="dxa"/>
            <w:vAlign w:val="center"/>
          </w:tcPr>
          <w:p>
            <w:pPr>
              <w:widowControl w:val="0"/>
              <w:wordWrap/>
              <w:spacing w:afterAutospacing="0" w:line="480" w:lineRule="auto"/>
              <w:ind w:left="0" w:leftChars="0" w:right="0"/>
              <w:jc w:val="cente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val="en-US" w:eastAsia="zh-CN"/>
              </w:rPr>
              <w:t>驾驶员</w:t>
            </w:r>
          </w:p>
        </w:tc>
        <w:tc>
          <w:tcPr>
            <w:tcW w:w="7620" w:type="dxa"/>
            <w:vAlign w:val="top"/>
          </w:tcPr>
          <w:p>
            <w:pPr>
              <w:widowControl/>
              <w:adjustRightInd/>
              <w:spacing w:after="120" w:line="360" w:lineRule="auto"/>
              <w:textAlignment w:val="baseline"/>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1）、人员设置：2人</w:t>
            </w:r>
          </w:p>
          <w:p>
            <w:pPr>
              <w:widowControl/>
              <w:numPr>
                <w:ilvl w:val="0"/>
                <w:numId w:val="0"/>
              </w:numPr>
              <w:adjustRightInd/>
              <w:spacing w:after="120" w:line="360" w:lineRule="auto"/>
              <w:textAlignment w:val="baseline"/>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rPr>
              <w:t>身体条件：男性，五官端正，年龄一般为35周岁</w:t>
            </w:r>
            <w:r>
              <w:rPr>
                <w:rFonts w:hint="eastAsia" w:ascii="仿宋" w:hAnsi="仿宋" w:eastAsia="仿宋" w:cs="仿宋"/>
                <w:color w:val="auto"/>
                <w:sz w:val="24"/>
                <w:szCs w:val="24"/>
                <w:highlight w:val="none"/>
                <w:lang w:eastAsia="zh-CN"/>
              </w:rPr>
              <w:t>及</w:t>
            </w:r>
            <w:r>
              <w:rPr>
                <w:rFonts w:hint="eastAsia" w:ascii="仿宋" w:hAnsi="仿宋" w:eastAsia="仿宋" w:cs="仿宋"/>
                <w:color w:val="auto"/>
                <w:sz w:val="24"/>
                <w:szCs w:val="24"/>
                <w:highlight w:val="none"/>
              </w:rPr>
              <w:t>以下；没有传染病、精</w:t>
            </w:r>
            <w:r>
              <w:rPr>
                <w:rFonts w:hint="eastAsia" w:ascii="仿宋" w:hAnsi="仿宋" w:eastAsia="仿宋" w:cs="仿宋"/>
                <w:color w:val="auto"/>
                <w:sz w:val="24"/>
                <w:szCs w:val="24"/>
                <w:highlight w:val="none"/>
                <w:lang w:eastAsia="zh-CN"/>
              </w:rPr>
              <w:t>神病、冠心病、高血压、肺部疾病及不能控制自己行为能力的疾病(病史）等</w:t>
            </w:r>
            <w:r>
              <w:rPr>
                <w:rFonts w:hint="eastAsia" w:ascii="仿宋" w:hAnsi="仿宋" w:eastAsia="仿宋" w:cs="仿宋"/>
                <w:color w:val="auto"/>
                <w:sz w:val="24"/>
                <w:szCs w:val="24"/>
                <w:highlight w:val="none"/>
              </w:rPr>
              <w:t>；无犯罪记录,政审合格。</w:t>
            </w:r>
          </w:p>
          <w:p>
            <w:pPr>
              <w:widowControl/>
              <w:adjustRightInd/>
              <w:spacing w:after="120" w:line="360" w:lineRule="auto"/>
              <w:textAlignment w:val="baseline"/>
              <w:rPr>
                <w:rFonts w:hint="eastAsia" w:ascii="仿宋" w:hAnsi="仿宋" w:eastAsia="仿宋" w:cs="仿宋"/>
                <w:color w:val="auto"/>
                <w:kern w:val="0"/>
                <w:sz w:val="24"/>
                <w:szCs w:val="24"/>
                <w:highlight w:val="none"/>
                <w:u w:val="none"/>
                <w:lang w:val="en-US" w:eastAsia="zh-CN" w:bidi="ar-SA"/>
              </w:rPr>
            </w:pPr>
            <w:r>
              <w:rPr>
                <w:rFonts w:hint="eastAsia" w:ascii="仿宋" w:hAnsi="仿宋" w:eastAsia="仿宋" w:cs="仿宋"/>
                <w:color w:val="auto"/>
                <w:sz w:val="24"/>
                <w:szCs w:val="24"/>
                <w:highlight w:val="none"/>
                <w:lang w:val="en-US" w:eastAsia="zh-CN"/>
              </w:rPr>
              <w:t>▲3）、技能要求：必须具有相关车辆驾驶证，原武警消防部队退役士兵、改革转隶后国家综合性消防救援队伍退出消防员或有1年以上灭火救援工作经历的国家综合性消防救援队伍合同制队员（提供相关证明）。</w:t>
            </w:r>
          </w:p>
          <w:p>
            <w:pPr>
              <w:widowControl/>
              <w:numPr>
                <w:ilvl w:val="0"/>
                <w:numId w:val="0"/>
              </w:numPr>
              <w:adjustRightInd/>
              <w:spacing w:after="120" w:line="360" w:lineRule="auto"/>
              <w:textAlignment w:val="baseline"/>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4）、</w:t>
            </w:r>
            <w:r>
              <w:rPr>
                <w:rFonts w:hint="eastAsia" w:ascii="仿宋" w:hAnsi="仿宋" w:eastAsia="仿宋" w:cs="仿宋"/>
                <w:color w:val="auto"/>
                <w:sz w:val="24"/>
                <w:szCs w:val="24"/>
                <w:highlight w:val="none"/>
                <w:lang w:eastAsia="zh-CN"/>
              </w:rPr>
              <w:t>服务内容</w:t>
            </w:r>
            <w:r>
              <w:rPr>
                <w:rFonts w:hint="eastAsia" w:ascii="仿宋" w:hAnsi="仿宋" w:eastAsia="仿宋" w:cs="仿宋"/>
                <w:color w:val="auto"/>
                <w:sz w:val="24"/>
                <w:szCs w:val="24"/>
                <w:highlight w:val="none"/>
              </w:rPr>
              <w:t>：对车辆、消防器材等设备进行日常管理及维护，对所辖</w:t>
            </w:r>
            <w:r>
              <w:rPr>
                <w:rFonts w:hint="eastAsia" w:ascii="仿宋" w:hAnsi="仿宋" w:eastAsia="仿宋" w:cs="仿宋"/>
                <w:color w:val="auto"/>
                <w:sz w:val="24"/>
                <w:szCs w:val="24"/>
                <w:highlight w:val="none"/>
                <w:lang w:eastAsia="zh-CN"/>
              </w:rPr>
              <w:t>乡镇（街道）</w:t>
            </w:r>
            <w:r>
              <w:rPr>
                <w:rFonts w:hint="eastAsia" w:ascii="仿宋" w:hAnsi="仿宋" w:eastAsia="仿宋" w:cs="仿宋"/>
                <w:color w:val="auto"/>
                <w:sz w:val="24"/>
                <w:szCs w:val="24"/>
                <w:highlight w:val="none"/>
              </w:rPr>
              <w:t>开展消防、企业安全和防汛防台等检查和相关知识培训宣传。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1" w:hRule="atLeast"/>
          <w:jc w:val="center"/>
        </w:trPr>
        <w:tc>
          <w:tcPr>
            <w:tcW w:w="873" w:type="dxa"/>
            <w:vAlign w:val="center"/>
          </w:tcPr>
          <w:p>
            <w:pPr>
              <w:widowControl w:val="0"/>
              <w:wordWrap/>
              <w:spacing w:afterAutospacing="0" w:line="480" w:lineRule="auto"/>
              <w:ind w:left="0" w:leftChars="0" w:right="0"/>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队员</w:t>
            </w:r>
          </w:p>
        </w:tc>
        <w:tc>
          <w:tcPr>
            <w:tcW w:w="7620" w:type="dxa"/>
            <w:vAlign w:val="top"/>
          </w:tcPr>
          <w:p>
            <w:pPr>
              <w:widowControl/>
              <w:numPr>
                <w:ilvl w:val="0"/>
                <w:numId w:val="0"/>
              </w:numPr>
              <w:adjustRightInd/>
              <w:spacing w:after="120" w:line="360" w:lineRule="auto"/>
              <w:textAlignment w:val="baseline"/>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1）、人员设置：4人</w:t>
            </w:r>
          </w:p>
          <w:p>
            <w:pPr>
              <w:widowControl/>
              <w:numPr>
                <w:ilvl w:val="0"/>
                <w:numId w:val="0"/>
              </w:numPr>
              <w:adjustRightInd/>
              <w:spacing w:after="120" w:line="360" w:lineRule="auto"/>
              <w:textAlignment w:val="baseline"/>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2）、身体条件：男性，五官端正，年龄一般为35周岁及以下；没有传染病、精神病、冠心病、高血压、肺部疾病及不能控制自己行为能力的疾病(病史）等；无犯罪记录,政审合格。</w:t>
            </w:r>
          </w:p>
          <w:p>
            <w:pPr>
              <w:widowControl/>
              <w:numPr>
                <w:ilvl w:val="0"/>
                <w:numId w:val="0"/>
              </w:numPr>
              <w:adjustRightInd/>
              <w:spacing w:after="120" w:line="360" w:lineRule="auto"/>
              <w:textAlignment w:val="baseline"/>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▲3）、技能要求：具有退伍军人相关证书（提供相关证明）。</w:t>
            </w:r>
          </w:p>
          <w:p>
            <w:pPr>
              <w:widowControl/>
              <w:adjustRightInd/>
              <w:spacing w:after="120" w:line="360" w:lineRule="auto"/>
              <w:textAlignment w:val="baseline"/>
              <w:rPr>
                <w:rFonts w:hint="eastAsia" w:ascii="仿宋" w:hAnsi="仿宋" w:eastAsia="仿宋" w:cs="仿宋"/>
                <w:color w:val="auto"/>
                <w:kern w:val="0"/>
                <w:sz w:val="24"/>
                <w:szCs w:val="24"/>
                <w:highlight w:val="none"/>
                <w:u w:val="none"/>
                <w:lang w:val="en-US" w:eastAsia="zh-CN" w:bidi="ar-SA"/>
              </w:rPr>
            </w:pPr>
            <w:r>
              <w:rPr>
                <w:rFonts w:hint="eastAsia" w:ascii="仿宋" w:hAnsi="仿宋" w:eastAsia="仿宋" w:cs="仿宋"/>
                <w:color w:val="auto"/>
                <w:sz w:val="24"/>
                <w:szCs w:val="24"/>
                <w:highlight w:val="none"/>
                <w:lang w:val="en-US" w:eastAsia="zh-CN"/>
              </w:rPr>
              <w:t>4）、服务内容：对车辆、消防器材等设备进行日常管理及维护，对所辖乡镇（街道）开展消防、企业安全和防汛防台等检查和相关知识培训宣传。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8" w:hRule="atLeast"/>
          <w:jc w:val="center"/>
        </w:trPr>
        <w:tc>
          <w:tcPr>
            <w:tcW w:w="873" w:type="dxa"/>
            <w:vAlign w:val="center"/>
          </w:tcPr>
          <w:p>
            <w:pPr>
              <w:widowControl w:val="0"/>
              <w:wordWrap/>
              <w:spacing w:afterAutospacing="0" w:line="480" w:lineRule="auto"/>
              <w:ind w:left="0" w:leftChars="0" w:right="0"/>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highlight w:val="none"/>
                <w:lang w:val="en-US" w:eastAsia="zh-CN"/>
              </w:rPr>
              <w:t>站点人员基本要求</w:t>
            </w:r>
          </w:p>
        </w:tc>
        <w:tc>
          <w:tcPr>
            <w:tcW w:w="7620" w:type="dxa"/>
            <w:vAlign w:val="top"/>
          </w:tcPr>
          <w:p>
            <w:pPr>
              <w:widowControl/>
              <w:adjustRightInd/>
              <w:spacing w:after="120" w:line="360" w:lineRule="auto"/>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lang w:eastAsia="zh-CN"/>
              </w:rPr>
              <w:t>未</w:t>
            </w:r>
            <w:r>
              <w:rPr>
                <w:rFonts w:hint="eastAsia" w:ascii="仿宋" w:hAnsi="仿宋" w:eastAsia="仿宋" w:cs="仿宋"/>
                <w:color w:val="auto"/>
                <w:sz w:val="24"/>
                <w:highlight w:val="none"/>
              </w:rPr>
              <w:t>受过刑事处罚、劳动教养、未成年管教及治安处罚的；</w:t>
            </w:r>
          </w:p>
          <w:p>
            <w:pPr>
              <w:widowControl/>
              <w:adjustRightInd/>
              <w:spacing w:after="120" w:line="360" w:lineRule="auto"/>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rPr>
              <w:t>本人或直系亲属</w:t>
            </w:r>
            <w:r>
              <w:rPr>
                <w:rFonts w:hint="eastAsia" w:ascii="仿宋" w:hAnsi="仿宋" w:eastAsia="仿宋" w:cs="仿宋"/>
                <w:color w:val="auto"/>
                <w:sz w:val="24"/>
                <w:highlight w:val="none"/>
                <w:lang w:eastAsia="zh-CN"/>
              </w:rPr>
              <w:t>无</w:t>
            </w:r>
            <w:r>
              <w:rPr>
                <w:rFonts w:hint="eastAsia" w:ascii="仿宋" w:hAnsi="仿宋" w:eastAsia="仿宋" w:cs="仿宋"/>
                <w:color w:val="auto"/>
                <w:sz w:val="24"/>
                <w:highlight w:val="none"/>
              </w:rPr>
              <w:t>被判处死刑及正在服刑的,或者</w:t>
            </w:r>
            <w:r>
              <w:rPr>
                <w:rFonts w:hint="eastAsia" w:ascii="仿宋" w:hAnsi="仿宋" w:eastAsia="仿宋" w:cs="仿宋"/>
                <w:color w:val="auto"/>
                <w:sz w:val="24"/>
                <w:highlight w:val="none"/>
                <w:lang w:eastAsia="zh-CN"/>
              </w:rPr>
              <w:t>从未</w:t>
            </w:r>
            <w:r>
              <w:rPr>
                <w:rFonts w:hint="eastAsia" w:ascii="仿宋" w:hAnsi="仿宋" w:eastAsia="仿宋" w:cs="仿宋"/>
                <w:color w:val="auto"/>
                <w:sz w:val="24"/>
                <w:highlight w:val="none"/>
              </w:rPr>
              <w:t>参与邪教组织活动的；</w:t>
            </w:r>
          </w:p>
          <w:p>
            <w:pPr>
              <w:widowControl/>
              <w:adjustRightInd/>
              <w:spacing w:after="120" w:line="360" w:lineRule="auto"/>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lang w:eastAsia="zh-CN"/>
              </w:rPr>
              <w:t>无</w:t>
            </w:r>
            <w:r>
              <w:rPr>
                <w:rFonts w:hint="eastAsia" w:ascii="仿宋" w:hAnsi="仿宋" w:eastAsia="仿宋" w:cs="仿宋"/>
                <w:color w:val="auto"/>
                <w:sz w:val="24"/>
                <w:highlight w:val="none"/>
              </w:rPr>
              <w:t>犯罪嫌疑尚未查清的；</w:t>
            </w:r>
          </w:p>
          <w:p>
            <w:pPr>
              <w:widowControl/>
              <w:adjustRightInd/>
              <w:spacing w:after="120" w:line="360" w:lineRule="auto"/>
              <w:textAlignment w:val="baseline"/>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lang w:eastAsia="zh-CN"/>
              </w:rPr>
              <w:t>无</w:t>
            </w:r>
            <w:r>
              <w:rPr>
                <w:rFonts w:hint="eastAsia" w:ascii="仿宋" w:hAnsi="仿宋" w:eastAsia="仿宋" w:cs="仿宋"/>
                <w:color w:val="auto"/>
                <w:sz w:val="24"/>
                <w:highlight w:val="none"/>
              </w:rPr>
              <w:t>寻衅滋事、偷窃、**等不良行为</w:t>
            </w:r>
            <w:r>
              <w:rPr>
                <w:rFonts w:hint="eastAsia" w:ascii="仿宋" w:hAnsi="仿宋" w:eastAsia="仿宋" w:cs="仿宋"/>
                <w:color w:val="auto"/>
                <w:sz w:val="24"/>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8" w:hRule="atLeast"/>
          <w:jc w:val="center"/>
        </w:trPr>
        <w:tc>
          <w:tcPr>
            <w:tcW w:w="873" w:type="dxa"/>
            <w:vAlign w:val="center"/>
          </w:tcPr>
          <w:p>
            <w:pPr>
              <w:widowControl w:val="0"/>
              <w:wordWrap/>
              <w:spacing w:afterAutospacing="0" w:line="480" w:lineRule="auto"/>
              <w:ind w:left="0" w:leftChars="0" w:right="0"/>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highlight w:val="none"/>
              </w:rPr>
              <w:t>其它要求</w:t>
            </w:r>
          </w:p>
        </w:tc>
        <w:tc>
          <w:tcPr>
            <w:tcW w:w="7620" w:type="dxa"/>
            <w:vAlign w:val="center"/>
          </w:tcPr>
          <w:p>
            <w:pPr>
              <w:widowControl/>
              <w:numPr>
                <w:ilvl w:val="0"/>
                <w:numId w:val="0"/>
              </w:numPr>
              <w:adjustRightInd/>
              <w:spacing w:after="120" w:line="360" w:lineRule="auto"/>
              <w:jc w:val="both"/>
              <w:textAlignment w:val="baseline"/>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1）、人员结构合理；</w:t>
            </w:r>
          </w:p>
          <w:p>
            <w:pPr>
              <w:widowControl/>
              <w:numPr>
                <w:ilvl w:val="0"/>
                <w:numId w:val="0"/>
              </w:numPr>
              <w:adjustRightInd/>
              <w:spacing w:after="120" w:line="360" w:lineRule="auto"/>
              <w:jc w:val="both"/>
              <w:textAlignment w:val="baseline"/>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2）、人岗相适度高；</w:t>
            </w:r>
          </w:p>
          <w:p>
            <w:pPr>
              <w:widowControl/>
              <w:numPr>
                <w:ilvl w:val="0"/>
                <w:numId w:val="0"/>
              </w:numPr>
              <w:adjustRightInd/>
              <w:spacing w:after="120" w:line="360" w:lineRule="auto"/>
              <w:jc w:val="both"/>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储备队员充足（由</w:t>
            </w:r>
            <w:r>
              <w:rPr>
                <w:rFonts w:hint="eastAsia" w:ascii="仿宋" w:hAnsi="仿宋" w:eastAsia="仿宋" w:cs="仿宋"/>
                <w:color w:val="auto"/>
                <w:sz w:val="24"/>
                <w:highlight w:val="none"/>
                <w:lang w:eastAsia="zh-CN"/>
              </w:rPr>
              <w:t>中标单位</w:t>
            </w:r>
            <w:r>
              <w:rPr>
                <w:rFonts w:hint="eastAsia" w:ascii="仿宋" w:hAnsi="仿宋" w:eastAsia="仿宋" w:cs="仿宋"/>
                <w:color w:val="auto"/>
                <w:sz w:val="24"/>
                <w:highlight w:val="none"/>
              </w:rPr>
              <w:t>保证替补人员）。</w:t>
            </w:r>
          </w:p>
          <w:p>
            <w:pPr>
              <w:widowControl/>
              <w:adjustRightInd/>
              <w:spacing w:after="120" w:line="360" w:lineRule="auto"/>
              <w:jc w:val="both"/>
              <w:textAlignment w:val="baseline"/>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highlight w:val="none"/>
              </w:rPr>
              <w:t>4）</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本项目的所有人员进场服务前由采购人统一审核，并进行体能测试。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8" w:hRule="atLeast"/>
          <w:jc w:val="center"/>
        </w:trPr>
        <w:tc>
          <w:tcPr>
            <w:tcW w:w="873" w:type="dxa"/>
            <w:vAlign w:val="center"/>
          </w:tcPr>
          <w:p>
            <w:pPr>
              <w:widowControl w:val="0"/>
              <w:wordWrap/>
              <w:spacing w:afterAutospacing="0" w:line="480" w:lineRule="auto"/>
              <w:ind w:left="0" w:leftChars="0" w:right="0"/>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highlight w:val="none"/>
                <w:lang w:val="en-US"/>
              </w:rPr>
              <w:t>工作职责</w:t>
            </w:r>
          </w:p>
        </w:tc>
        <w:tc>
          <w:tcPr>
            <w:tcW w:w="7620" w:type="dxa"/>
            <w:vAlign w:val="center"/>
          </w:tcPr>
          <w:p>
            <w:pPr>
              <w:widowControl/>
              <w:numPr>
                <w:ilvl w:val="0"/>
                <w:numId w:val="0"/>
              </w:numPr>
              <w:adjustRightInd/>
              <w:spacing w:after="120" w:line="360" w:lineRule="auto"/>
              <w:jc w:val="both"/>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rPr>
              <w:t>按照《杭州市消防安全委员会关于印发杭州市区域性微型消防救援站建设标准及日常工作制度和岗位职责的通知》、《关于印发杭州市乡镇（街道）综合应急和消防救援队标准化建设规范和训练大纲（试行）的通知》</w:t>
            </w:r>
            <w:r>
              <w:rPr>
                <w:rFonts w:hint="eastAsia" w:ascii="仿宋" w:hAnsi="仿宋" w:eastAsia="仿宋" w:cs="仿宋"/>
                <w:color w:val="auto"/>
                <w:sz w:val="24"/>
                <w:highlight w:val="none"/>
                <w:lang w:eastAsia="zh-CN"/>
              </w:rPr>
              <w:t>、《</w:t>
            </w:r>
            <w:r>
              <w:rPr>
                <w:rFonts w:hint="default" w:ascii="仿宋" w:hAnsi="仿宋" w:eastAsia="仿宋" w:cs="仿宋"/>
                <w:color w:val="auto"/>
                <w:sz w:val="24"/>
                <w:highlight w:val="none"/>
                <w:lang w:eastAsia="zh-CN"/>
              </w:rPr>
              <w:t>关于进一步</w:t>
            </w:r>
            <w:r>
              <w:rPr>
                <w:rFonts w:hint="default" w:ascii="仿宋" w:hAnsi="仿宋" w:eastAsia="仿宋" w:cs="仿宋"/>
                <w:color w:val="auto"/>
                <w:sz w:val="24"/>
                <w:highlight w:val="none"/>
                <w:lang w:val="en-US" w:eastAsia="zh-CN"/>
              </w:rPr>
              <w:t>加强全区区域性及村（社区）微型消防救援站建设工作的通知</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要求，组织</w:t>
            </w:r>
            <w:r>
              <w:rPr>
                <w:rFonts w:hint="eastAsia" w:ascii="仿宋" w:hAnsi="仿宋" w:eastAsia="仿宋" w:cs="仿宋"/>
                <w:color w:val="auto"/>
                <w:sz w:val="24"/>
                <w:highlight w:val="none"/>
                <w:lang w:eastAsia="zh-CN"/>
              </w:rPr>
              <w:t>站点人员</w:t>
            </w:r>
            <w:r>
              <w:rPr>
                <w:rFonts w:hint="eastAsia" w:ascii="仿宋" w:hAnsi="仿宋" w:eastAsia="仿宋" w:cs="仿宋"/>
                <w:color w:val="auto"/>
                <w:sz w:val="24"/>
                <w:highlight w:val="none"/>
              </w:rPr>
              <w:t>开展工作及学习培训；</w:t>
            </w:r>
          </w:p>
          <w:p>
            <w:pPr>
              <w:widowControl/>
              <w:numPr>
                <w:ilvl w:val="0"/>
                <w:numId w:val="0"/>
              </w:numPr>
              <w:adjustRightInd/>
              <w:spacing w:after="120" w:line="360" w:lineRule="auto"/>
              <w:jc w:val="both"/>
              <w:textAlignment w:val="baseline"/>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完成采购人交办的其他工作任务。</w:t>
            </w:r>
          </w:p>
        </w:tc>
      </w:tr>
    </w:tbl>
    <w:p>
      <w:pPr>
        <w:pStyle w:val="2"/>
        <w:ind w:left="0" w:leftChars="0" w:firstLine="0" w:firstLineChars="0"/>
        <w:rPr>
          <w:color w:val="auto"/>
          <w:highlight w:val="none"/>
        </w:rPr>
      </w:pPr>
    </w:p>
    <w:tbl>
      <w:tblPr>
        <w:tblStyle w:val="62"/>
        <w:tblW w:w="849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3"/>
        <w:gridCol w:w="76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2" w:hRule="atLeast"/>
          <w:jc w:val="center"/>
        </w:trPr>
        <w:tc>
          <w:tcPr>
            <w:tcW w:w="8493" w:type="dxa"/>
            <w:gridSpan w:val="2"/>
            <w:vAlign w:val="center"/>
          </w:tcPr>
          <w:p>
            <w:pPr>
              <w:widowControl w:val="0"/>
              <w:wordWrap/>
              <w:spacing w:afterAutospacing="0" w:line="480" w:lineRule="auto"/>
              <w:ind w:left="0" w:leftChars="0" w:right="0"/>
              <w:jc w:val="center"/>
              <w:rPr>
                <w:rFonts w:hint="eastAsia" w:ascii="仿宋" w:hAnsi="仿宋" w:eastAsia="仿宋" w:cs="仿宋"/>
                <w:color w:val="auto"/>
                <w:sz w:val="28"/>
                <w:szCs w:val="28"/>
                <w:highlight w:val="none"/>
              </w:rPr>
            </w:pPr>
            <w:r>
              <w:rPr>
                <w:rFonts w:hint="eastAsia" w:ascii="仿宋" w:hAnsi="仿宋" w:eastAsia="仿宋" w:cs="仿宋"/>
                <w:b/>
                <w:bCs/>
                <w:color w:val="auto"/>
                <w:sz w:val="24"/>
                <w:szCs w:val="24"/>
                <w:highlight w:val="none"/>
                <w:lang w:val="en-US" w:eastAsia="zh-CN"/>
              </w:rPr>
              <w:t>六、洪桐区域性微型消防救援站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jc w:val="center"/>
        </w:trPr>
        <w:tc>
          <w:tcPr>
            <w:tcW w:w="873" w:type="dxa"/>
            <w:vAlign w:val="center"/>
          </w:tcPr>
          <w:p>
            <w:pPr>
              <w:widowControl w:val="0"/>
              <w:wordWrap/>
              <w:spacing w:afterAutospacing="0" w:line="240" w:lineRule="auto"/>
              <w:ind w:left="0" w:leftChars="0" w:right="0"/>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项</w:t>
            </w:r>
            <w:r>
              <w:rPr>
                <w:rFonts w:hint="eastAsia" w:ascii="仿宋" w:hAnsi="仿宋" w:eastAsia="仿宋" w:cs="仿宋"/>
                <w:color w:val="auto"/>
                <w:sz w:val="24"/>
                <w:szCs w:val="24"/>
                <w:highlight w:val="none"/>
                <w:lang w:val="en-US" w:eastAsia="zh-CN"/>
              </w:rPr>
              <w:t>目岗位</w:t>
            </w:r>
          </w:p>
        </w:tc>
        <w:tc>
          <w:tcPr>
            <w:tcW w:w="7620" w:type="dxa"/>
            <w:vAlign w:val="center"/>
          </w:tcPr>
          <w:p>
            <w:pPr>
              <w:widowControl w:val="0"/>
              <w:wordWrap/>
              <w:spacing w:afterAutospacing="0" w:line="480" w:lineRule="auto"/>
              <w:ind w:left="0" w:leftChars="0" w:right="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服务</w:t>
            </w:r>
            <w:r>
              <w:rPr>
                <w:rFonts w:hint="eastAsia" w:ascii="仿宋" w:hAnsi="仿宋" w:eastAsia="仿宋" w:cs="仿宋"/>
                <w:color w:val="auto"/>
                <w:sz w:val="24"/>
                <w:szCs w:val="24"/>
                <w:highlight w:val="none"/>
                <w:lang w:val="en-US" w:eastAsia="zh-CN"/>
              </w:rPr>
              <w:t>内容及</w:t>
            </w:r>
            <w:r>
              <w:rPr>
                <w:rFonts w:hint="eastAsia" w:ascii="仿宋" w:hAnsi="仿宋" w:eastAsia="仿宋" w:cs="仿宋"/>
                <w:color w:val="auto"/>
                <w:sz w:val="24"/>
                <w:szCs w:val="24"/>
                <w:highlight w:val="none"/>
              </w:rPr>
              <w:t>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jc w:val="center"/>
        </w:trPr>
        <w:tc>
          <w:tcPr>
            <w:tcW w:w="873" w:type="dxa"/>
            <w:vAlign w:val="center"/>
          </w:tcPr>
          <w:p>
            <w:pPr>
              <w:widowControl w:val="0"/>
              <w:wordWrap/>
              <w:spacing w:afterAutospacing="0" w:line="240" w:lineRule="auto"/>
              <w:ind w:left="0" w:leftChars="0" w:right="0"/>
              <w:jc w:val="center"/>
              <w:rPr>
                <w:rFonts w:hint="eastAsia" w:ascii="仿宋" w:hAnsi="仿宋" w:eastAsia="仿宋" w:cs="仿宋"/>
                <w:b w:val="0"/>
                <w:bCs/>
                <w:color w:val="auto"/>
                <w:sz w:val="24"/>
                <w:szCs w:val="24"/>
                <w:highlight w:val="none"/>
                <w:lang w:val="en-US" w:eastAsia="zh-CN"/>
              </w:rPr>
            </w:pPr>
            <w:r>
              <w:rPr>
                <w:rFonts w:hint="eastAsia" w:ascii="仿宋" w:hAnsi="仿宋" w:eastAsia="仿宋" w:cs="仿宋"/>
                <w:b w:val="0"/>
                <w:bCs/>
                <w:color w:val="auto"/>
                <w:sz w:val="24"/>
                <w:szCs w:val="24"/>
                <w:highlight w:val="none"/>
                <w:lang w:val="en-US" w:eastAsia="zh-CN"/>
              </w:rPr>
              <w:t>班长</w:t>
            </w:r>
          </w:p>
        </w:tc>
        <w:tc>
          <w:tcPr>
            <w:tcW w:w="7620" w:type="dxa"/>
            <w:vAlign w:val="center"/>
          </w:tcPr>
          <w:p>
            <w:pPr>
              <w:widowControl/>
              <w:adjustRightInd/>
              <w:spacing w:after="120" w:line="360" w:lineRule="auto"/>
              <w:textAlignment w:val="baseline"/>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1）、人员设置：1人</w:t>
            </w:r>
          </w:p>
          <w:p>
            <w:pPr>
              <w:widowControl/>
              <w:adjustRightInd/>
              <w:spacing w:after="120" w:line="360" w:lineRule="auto"/>
              <w:textAlignment w:val="baseline"/>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rPr>
              <w:t>身体条件：男性，五官端正，年龄一般为</w:t>
            </w:r>
            <w:r>
              <w:rPr>
                <w:rFonts w:hint="eastAsia" w:ascii="仿宋" w:hAnsi="仿宋" w:eastAsia="仿宋" w:cs="仿宋"/>
                <w:color w:val="auto"/>
                <w:sz w:val="24"/>
                <w:highlight w:val="none"/>
                <w:lang w:val="en-US" w:eastAsia="zh-CN"/>
              </w:rPr>
              <w:t>40</w:t>
            </w:r>
            <w:r>
              <w:rPr>
                <w:rFonts w:hint="eastAsia" w:ascii="仿宋" w:hAnsi="仿宋" w:eastAsia="仿宋" w:cs="仿宋"/>
                <w:color w:val="auto"/>
                <w:sz w:val="24"/>
                <w:highlight w:val="none"/>
              </w:rPr>
              <w:t>周岁</w:t>
            </w:r>
            <w:r>
              <w:rPr>
                <w:rFonts w:hint="eastAsia" w:ascii="仿宋" w:hAnsi="仿宋" w:eastAsia="仿宋" w:cs="仿宋"/>
                <w:color w:val="auto"/>
                <w:sz w:val="24"/>
                <w:highlight w:val="none"/>
                <w:lang w:eastAsia="zh-CN"/>
              </w:rPr>
              <w:t>及</w:t>
            </w:r>
            <w:r>
              <w:rPr>
                <w:rFonts w:hint="eastAsia" w:ascii="仿宋" w:hAnsi="仿宋" w:eastAsia="仿宋" w:cs="仿宋"/>
                <w:color w:val="auto"/>
                <w:sz w:val="24"/>
                <w:highlight w:val="none"/>
              </w:rPr>
              <w:t>以下；没有传染病、精</w:t>
            </w:r>
            <w:r>
              <w:rPr>
                <w:rFonts w:hint="eastAsia" w:ascii="仿宋" w:hAnsi="仿宋" w:eastAsia="仿宋" w:cs="仿宋"/>
                <w:color w:val="auto"/>
                <w:sz w:val="24"/>
                <w:highlight w:val="none"/>
                <w:lang w:eastAsia="zh-CN"/>
              </w:rPr>
              <w:t>神病、冠心病、高血压、肺部疾病及不能控制自己行为能力的疾病(病史）等；无犯罪记录,政审合格。</w:t>
            </w:r>
          </w:p>
          <w:p>
            <w:pPr>
              <w:widowControl/>
              <w:adjustRightInd/>
              <w:spacing w:after="120" w:line="360" w:lineRule="auto"/>
              <w:jc w:val="both"/>
              <w:textAlignment w:val="baseline"/>
              <w:rPr>
                <w:rFonts w:hint="eastAsia" w:ascii="仿宋" w:hAnsi="仿宋" w:eastAsia="仿宋" w:cs="仿宋"/>
                <w:color w:val="auto"/>
                <w:kern w:val="0"/>
                <w:sz w:val="24"/>
                <w:szCs w:val="24"/>
                <w:highlight w:val="none"/>
                <w:u w:val="none"/>
                <w:lang w:val="en-US" w:eastAsia="zh-CN" w:bidi="ar-SA"/>
              </w:rPr>
            </w:pP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rPr>
              <w:t>技能</w:t>
            </w:r>
            <w:r>
              <w:rPr>
                <w:rFonts w:hint="eastAsia" w:ascii="仿宋" w:hAnsi="仿宋" w:eastAsia="仿宋" w:cs="仿宋"/>
                <w:color w:val="auto"/>
                <w:sz w:val="24"/>
                <w:szCs w:val="24"/>
                <w:highlight w:val="none"/>
                <w:lang w:eastAsia="zh-CN"/>
              </w:rPr>
              <w:t>要求</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原武警消防部队退役士兵、改革转隶后国家综合性消防救援队伍退出消防员或有1年以上灭火救援工作经历的国家综合性消防救援队伍合同制队员</w:t>
            </w:r>
            <w:r>
              <w:rPr>
                <w:rFonts w:hint="eastAsia" w:ascii="仿宋" w:hAnsi="仿宋" w:eastAsia="仿宋" w:cs="仿宋"/>
                <w:color w:val="auto"/>
                <w:kern w:val="0"/>
                <w:sz w:val="24"/>
                <w:szCs w:val="24"/>
                <w:highlight w:val="none"/>
                <w:u w:val="none"/>
                <w:lang w:val="en-US" w:eastAsia="zh-CN" w:bidi="ar-SA"/>
              </w:rPr>
              <w:t>（提供相关证明）。</w:t>
            </w:r>
          </w:p>
          <w:p>
            <w:pPr>
              <w:widowControl/>
              <w:adjustRightInd/>
              <w:spacing w:after="120" w:line="360" w:lineRule="auto"/>
              <w:jc w:val="both"/>
              <w:textAlignment w:val="baseline"/>
              <w:rPr>
                <w:rFonts w:hint="eastAsia" w:ascii="仿宋" w:hAnsi="仿宋" w:eastAsia="仿宋" w:cs="仿宋"/>
                <w:color w:val="auto"/>
                <w:kern w:val="0"/>
                <w:sz w:val="24"/>
                <w:szCs w:val="24"/>
                <w:highlight w:val="none"/>
                <w:u w:val="none"/>
                <w:lang w:val="en-US" w:eastAsia="zh-CN" w:bidi="ar-SA"/>
              </w:rPr>
            </w:pPr>
            <w:r>
              <w:rPr>
                <w:rFonts w:hint="eastAsia" w:ascii="仿宋" w:hAnsi="仿宋" w:eastAsia="仿宋" w:cs="仿宋"/>
                <w:color w:val="auto"/>
                <w:sz w:val="24"/>
                <w:szCs w:val="24"/>
                <w:highlight w:val="none"/>
                <w:lang w:val="en-US" w:eastAsia="zh-CN"/>
              </w:rPr>
              <w:t>4）、具有专科及以上同等学历证书。</w:t>
            </w:r>
          </w:p>
          <w:p>
            <w:pPr>
              <w:widowControl/>
              <w:adjustRightInd/>
              <w:spacing w:after="120" w:line="360" w:lineRule="auto"/>
              <w:textAlignment w:val="baseline"/>
              <w:rPr>
                <w:rFonts w:hint="eastAsia" w:ascii="仿宋" w:hAnsi="仿宋" w:eastAsia="仿宋" w:cs="仿宋"/>
                <w:b w:val="0"/>
                <w:bCs w:val="0"/>
                <w:color w:val="auto"/>
                <w:sz w:val="21"/>
                <w:szCs w:val="21"/>
                <w:highlight w:val="none"/>
              </w:rPr>
            </w:pPr>
            <w:r>
              <w:rPr>
                <w:rFonts w:hint="eastAsia" w:ascii="仿宋" w:hAnsi="仿宋" w:eastAsia="仿宋" w:cs="仿宋"/>
                <w:color w:val="auto"/>
                <w:sz w:val="24"/>
                <w:szCs w:val="24"/>
                <w:highlight w:val="none"/>
                <w:lang w:val="en-US" w:eastAsia="zh-CN"/>
              </w:rPr>
              <w:t>5）、服务内容</w:t>
            </w:r>
            <w:r>
              <w:rPr>
                <w:rFonts w:hint="eastAsia" w:ascii="仿宋" w:hAnsi="仿宋" w:eastAsia="仿宋" w:cs="仿宋"/>
                <w:color w:val="auto"/>
                <w:sz w:val="24"/>
                <w:szCs w:val="24"/>
                <w:highlight w:val="none"/>
              </w:rPr>
              <w:t>：组织对所辖</w:t>
            </w:r>
            <w:r>
              <w:rPr>
                <w:rFonts w:hint="eastAsia" w:ascii="仿宋" w:hAnsi="仿宋" w:eastAsia="仿宋" w:cs="仿宋"/>
                <w:color w:val="auto"/>
                <w:sz w:val="24"/>
                <w:szCs w:val="24"/>
                <w:highlight w:val="none"/>
                <w:lang w:eastAsia="zh-CN"/>
              </w:rPr>
              <w:t>乡镇（街道）</w:t>
            </w:r>
            <w:r>
              <w:rPr>
                <w:rFonts w:hint="eastAsia" w:ascii="仿宋" w:hAnsi="仿宋" w:eastAsia="仿宋" w:cs="仿宋"/>
                <w:color w:val="auto"/>
                <w:sz w:val="24"/>
                <w:szCs w:val="24"/>
                <w:highlight w:val="none"/>
              </w:rPr>
              <w:t>开展消防、企业安全和防汛防台等检查和相关知识培训宣传，组织队员开展消防安全、应急救援等技能培训及专业装备器材训练。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73" w:type="dxa"/>
            <w:vAlign w:val="center"/>
          </w:tcPr>
          <w:p>
            <w:pPr>
              <w:widowControl w:val="0"/>
              <w:wordWrap/>
              <w:spacing w:afterAutospacing="0" w:line="240" w:lineRule="auto"/>
              <w:ind w:left="0" w:leftChars="0" w:right="0"/>
              <w:jc w:val="center"/>
              <w:rPr>
                <w:rFonts w:hint="eastAsia" w:ascii="仿宋" w:hAnsi="仿宋" w:eastAsia="仿宋" w:cs="仿宋"/>
                <w:b w:val="0"/>
                <w:bCs/>
                <w:color w:val="auto"/>
                <w:sz w:val="24"/>
                <w:highlight w:val="none"/>
                <w:lang w:val="en-US" w:eastAsia="zh-CN"/>
              </w:rPr>
            </w:pPr>
            <w:r>
              <w:rPr>
                <w:rFonts w:hint="eastAsia" w:ascii="仿宋" w:hAnsi="仿宋" w:eastAsia="仿宋" w:cs="仿宋"/>
                <w:b w:val="0"/>
                <w:bCs/>
                <w:color w:val="auto"/>
                <w:sz w:val="24"/>
                <w:highlight w:val="none"/>
                <w:lang w:val="en-US" w:eastAsia="zh-CN"/>
              </w:rPr>
              <w:t>副班长</w:t>
            </w:r>
          </w:p>
        </w:tc>
        <w:tc>
          <w:tcPr>
            <w:tcW w:w="7620" w:type="dxa"/>
            <w:vAlign w:val="center"/>
          </w:tcPr>
          <w:p>
            <w:pPr>
              <w:widowControl/>
              <w:adjustRightInd/>
              <w:spacing w:after="120" w:line="360" w:lineRule="auto"/>
              <w:textAlignment w:val="baseline"/>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1）、人员设置：1人</w:t>
            </w:r>
          </w:p>
          <w:p>
            <w:pPr>
              <w:widowControl/>
              <w:adjustRightInd/>
              <w:spacing w:after="120" w:line="360" w:lineRule="auto"/>
              <w:textAlignment w:val="baseline"/>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rPr>
              <w:t>身体条件：男性，五官端正，年龄一般为</w:t>
            </w:r>
            <w:r>
              <w:rPr>
                <w:rFonts w:hint="eastAsia" w:ascii="仿宋" w:hAnsi="仿宋" w:eastAsia="仿宋" w:cs="仿宋"/>
                <w:color w:val="auto"/>
                <w:sz w:val="24"/>
                <w:highlight w:val="none"/>
                <w:lang w:val="en-US" w:eastAsia="zh-CN"/>
              </w:rPr>
              <w:t>35</w:t>
            </w:r>
            <w:r>
              <w:rPr>
                <w:rFonts w:hint="eastAsia" w:ascii="仿宋" w:hAnsi="仿宋" w:eastAsia="仿宋" w:cs="仿宋"/>
                <w:color w:val="auto"/>
                <w:sz w:val="24"/>
                <w:highlight w:val="none"/>
              </w:rPr>
              <w:t>周岁</w:t>
            </w:r>
            <w:r>
              <w:rPr>
                <w:rFonts w:hint="eastAsia" w:ascii="仿宋" w:hAnsi="仿宋" w:eastAsia="仿宋" w:cs="仿宋"/>
                <w:color w:val="auto"/>
                <w:sz w:val="24"/>
                <w:highlight w:val="none"/>
                <w:lang w:eastAsia="zh-CN"/>
              </w:rPr>
              <w:t>及</w:t>
            </w:r>
            <w:r>
              <w:rPr>
                <w:rFonts w:hint="eastAsia" w:ascii="仿宋" w:hAnsi="仿宋" w:eastAsia="仿宋" w:cs="仿宋"/>
                <w:color w:val="auto"/>
                <w:sz w:val="24"/>
                <w:highlight w:val="none"/>
              </w:rPr>
              <w:t>以下；没有传染病、精</w:t>
            </w:r>
            <w:r>
              <w:rPr>
                <w:rFonts w:hint="eastAsia" w:ascii="仿宋" w:hAnsi="仿宋" w:eastAsia="仿宋" w:cs="仿宋"/>
                <w:color w:val="auto"/>
                <w:sz w:val="24"/>
                <w:highlight w:val="none"/>
                <w:lang w:eastAsia="zh-CN"/>
              </w:rPr>
              <w:t>神病、冠心病、高血压、肺部疾病及不能控制自己行为能力的疾病(病史）等；无犯罪记录,政审合格。</w:t>
            </w:r>
          </w:p>
          <w:p>
            <w:pPr>
              <w:widowControl/>
              <w:adjustRightInd/>
              <w:spacing w:after="120" w:line="360" w:lineRule="auto"/>
              <w:jc w:val="both"/>
              <w:textAlignment w:val="baseline"/>
              <w:rPr>
                <w:rFonts w:hint="eastAsia" w:ascii="仿宋" w:hAnsi="仿宋" w:eastAsia="仿宋" w:cs="仿宋"/>
                <w:color w:val="auto"/>
                <w:kern w:val="0"/>
                <w:sz w:val="24"/>
                <w:szCs w:val="24"/>
                <w:highlight w:val="none"/>
                <w:u w:val="none"/>
                <w:lang w:val="en-US" w:eastAsia="zh-CN" w:bidi="ar-SA"/>
              </w:rPr>
            </w:pP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rPr>
              <w:t>技能</w:t>
            </w:r>
            <w:r>
              <w:rPr>
                <w:rFonts w:hint="eastAsia" w:ascii="仿宋" w:hAnsi="仿宋" w:eastAsia="仿宋" w:cs="仿宋"/>
                <w:color w:val="auto"/>
                <w:sz w:val="24"/>
                <w:szCs w:val="24"/>
                <w:highlight w:val="none"/>
                <w:lang w:eastAsia="zh-CN"/>
              </w:rPr>
              <w:t>要求</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原武警消防部队退役士兵、改革转隶后国家综合性消防救援队伍退出消防员或有1年以上灭火救援工作经历的国家综合性消防救援队伍合同制队员</w:t>
            </w:r>
            <w:r>
              <w:rPr>
                <w:rFonts w:hint="eastAsia" w:ascii="仿宋" w:hAnsi="仿宋" w:eastAsia="仿宋" w:cs="仿宋"/>
                <w:color w:val="auto"/>
                <w:kern w:val="0"/>
                <w:sz w:val="24"/>
                <w:szCs w:val="24"/>
                <w:highlight w:val="none"/>
                <w:u w:val="none"/>
                <w:lang w:val="en-US" w:eastAsia="zh-CN" w:bidi="ar-SA"/>
              </w:rPr>
              <w:t>（提供相关证明）。</w:t>
            </w:r>
          </w:p>
          <w:p>
            <w:pPr>
              <w:widowControl/>
              <w:adjustRightInd/>
              <w:spacing w:after="120" w:line="360" w:lineRule="auto"/>
              <w:jc w:val="both"/>
              <w:textAlignment w:val="baseline"/>
              <w:rPr>
                <w:rFonts w:hint="eastAsia" w:ascii="仿宋" w:hAnsi="仿宋" w:eastAsia="仿宋" w:cs="仿宋"/>
                <w:color w:val="auto"/>
                <w:kern w:val="0"/>
                <w:sz w:val="24"/>
                <w:szCs w:val="24"/>
                <w:highlight w:val="none"/>
                <w:u w:val="none"/>
                <w:lang w:val="en-US" w:eastAsia="zh-CN" w:bidi="ar-SA"/>
              </w:rPr>
            </w:pPr>
            <w:r>
              <w:rPr>
                <w:rFonts w:hint="eastAsia" w:ascii="仿宋" w:hAnsi="仿宋" w:eastAsia="仿宋" w:cs="仿宋"/>
                <w:color w:val="auto"/>
                <w:sz w:val="24"/>
                <w:szCs w:val="24"/>
                <w:highlight w:val="none"/>
                <w:lang w:val="en-US" w:eastAsia="zh-CN"/>
              </w:rPr>
              <w:t>4)、具有专科及以上同等学历证书。</w:t>
            </w:r>
          </w:p>
          <w:p>
            <w:pPr>
              <w:widowControl/>
              <w:adjustRightInd/>
              <w:spacing w:after="120" w:line="360" w:lineRule="auto"/>
              <w:textAlignment w:val="baseline"/>
              <w:rPr>
                <w:rFonts w:hint="eastAsia" w:ascii="仿宋" w:hAnsi="仿宋" w:eastAsia="仿宋" w:cs="仿宋"/>
                <w:b w:val="0"/>
                <w:bCs w:val="0"/>
                <w:color w:val="auto"/>
                <w:sz w:val="21"/>
                <w:szCs w:val="21"/>
                <w:highlight w:val="none"/>
                <w:lang w:val="en-US" w:eastAsia="zh-CN"/>
              </w:rPr>
            </w:pP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lang w:eastAsia="zh-CN"/>
              </w:rPr>
              <w:t>服务内容</w:t>
            </w:r>
            <w:r>
              <w:rPr>
                <w:rFonts w:hint="eastAsia" w:ascii="仿宋" w:hAnsi="仿宋" w:eastAsia="仿宋" w:cs="仿宋"/>
                <w:color w:val="auto"/>
                <w:sz w:val="24"/>
                <w:szCs w:val="24"/>
                <w:highlight w:val="none"/>
              </w:rPr>
              <w:t>：组织对所辖</w:t>
            </w:r>
            <w:r>
              <w:rPr>
                <w:rFonts w:hint="eastAsia" w:ascii="仿宋" w:hAnsi="仿宋" w:eastAsia="仿宋" w:cs="仿宋"/>
                <w:color w:val="auto"/>
                <w:sz w:val="24"/>
                <w:szCs w:val="24"/>
                <w:highlight w:val="none"/>
                <w:lang w:eastAsia="zh-CN"/>
              </w:rPr>
              <w:t>乡镇（街道）</w:t>
            </w:r>
            <w:r>
              <w:rPr>
                <w:rFonts w:hint="eastAsia" w:ascii="仿宋" w:hAnsi="仿宋" w:eastAsia="仿宋" w:cs="仿宋"/>
                <w:color w:val="auto"/>
                <w:sz w:val="24"/>
                <w:szCs w:val="24"/>
                <w:highlight w:val="none"/>
              </w:rPr>
              <w:t>开展消防、企业安全和防汛防台等检查和相关知识培训宣传，组织队员开展消防安全、应急救援等技能培训及专业装备器材训练。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2" w:hRule="atLeast"/>
          <w:jc w:val="center"/>
        </w:trPr>
        <w:tc>
          <w:tcPr>
            <w:tcW w:w="873" w:type="dxa"/>
            <w:vAlign w:val="center"/>
          </w:tcPr>
          <w:p>
            <w:pPr>
              <w:widowControl w:val="0"/>
              <w:wordWrap/>
              <w:spacing w:afterAutospacing="0" w:line="480" w:lineRule="auto"/>
              <w:ind w:left="0" w:leftChars="0" w:right="0"/>
              <w:jc w:val="cente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val="en-US" w:eastAsia="zh-CN"/>
              </w:rPr>
              <w:t>驾驶员</w:t>
            </w:r>
          </w:p>
        </w:tc>
        <w:tc>
          <w:tcPr>
            <w:tcW w:w="7620" w:type="dxa"/>
            <w:vAlign w:val="top"/>
          </w:tcPr>
          <w:p>
            <w:pPr>
              <w:widowControl/>
              <w:adjustRightInd/>
              <w:spacing w:after="120" w:line="360" w:lineRule="auto"/>
              <w:textAlignment w:val="baseline"/>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1）、人员设置：2人</w:t>
            </w:r>
          </w:p>
          <w:p>
            <w:pPr>
              <w:widowControl/>
              <w:numPr>
                <w:ilvl w:val="0"/>
                <w:numId w:val="0"/>
              </w:numPr>
              <w:adjustRightInd/>
              <w:spacing w:after="120" w:line="360" w:lineRule="auto"/>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rPr>
              <w:t>身体条件：男性，五官端正，年龄一般为35周岁</w:t>
            </w:r>
            <w:r>
              <w:rPr>
                <w:rFonts w:hint="eastAsia" w:ascii="仿宋" w:hAnsi="仿宋" w:eastAsia="仿宋" w:cs="仿宋"/>
                <w:color w:val="auto"/>
                <w:sz w:val="24"/>
                <w:highlight w:val="none"/>
                <w:lang w:eastAsia="zh-CN"/>
              </w:rPr>
              <w:t>及</w:t>
            </w:r>
            <w:r>
              <w:rPr>
                <w:rFonts w:hint="eastAsia" w:ascii="仿宋" w:hAnsi="仿宋" w:eastAsia="仿宋" w:cs="仿宋"/>
                <w:color w:val="auto"/>
                <w:sz w:val="24"/>
                <w:highlight w:val="none"/>
              </w:rPr>
              <w:t>以下；没有传染病、精</w:t>
            </w:r>
            <w:r>
              <w:rPr>
                <w:rFonts w:hint="eastAsia" w:ascii="仿宋" w:hAnsi="仿宋" w:eastAsia="仿宋" w:cs="仿宋"/>
                <w:color w:val="auto"/>
                <w:sz w:val="24"/>
                <w:highlight w:val="none"/>
                <w:lang w:eastAsia="zh-CN"/>
              </w:rPr>
              <w:t>神病、冠心病、高血压、肺部疾病及不能控制自己行为能力的疾病(病史）等</w:t>
            </w:r>
            <w:r>
              <w:rPr>
                <w:rFonts w:hint="eastAsia" w:ascii="仿宋" w:hAnsi="仿宋" w:eastAsia="仿宋" w:cs="仿宋"/>
                <w:color w:val="auto"/>
                <w:sz w:val="24"/>
                <w:highlight w:val="none"/>
              </w:rPr>
              <w:t>；无犯罪记录,政审合格。</w:t>
            </w:r>
          </w:p>
          <w:p>
            <w:pPr>
              <w:widowControl/>
              <w:adjustRightInd/>
              <w:spacing w:after="120" w:line="360" w:lineRule="auto"/>
              <w:textAlignment w:val="baseline"/>
              <w:rPr>
                <w:rFonts w:hint="eastAsia" w:ascii="仿宋" w:hAnsi="仿宋" w:eastAsia="仿宋" w:cs="仿宋"/>
                <w:color w:val="auto"/>
                <w:kern w:val="0"/>
                <w:sz w:val="24"/>
                <w:szCs w:val="24"/>
                <w:highlight w:val="none"/>
                <w:u w:val="none"/>
                <w:lang w:val="en-US" w:eastAsia="zh-CN" w:bidi="ar-SA"/>
              </w:rPr>
            </w:pPr>
            <w:r>
              <w:rPr>
                <w:rFonts w:hint="eastAsia" w:ascii="仿宋" w:hAnsi="仿宋" w:eastAsia="仿宋" w:cs="仿宋"/>
                <w:color w:val="auto"/>
                <w:sz w:val="24"/>
                <w:highlight w:val="none"/>
                <w:lang w:val="en-US" w:eastAsia="zh-CN"/>
              </w:rPr>
              <w:t>▲3）、技能要求：必须具有相关车辆驾驶证，原武警消防部队退役士兵、改革转隶后国家综合性消防救援队伍退出消防员或有1年以上灭火救援工作经历的国家综合性消防救援队伍合同制队员（提供相关证明）。</w:t>
            </w:r>
          </w:p>
          <w:p>
            <w:pPr>
              <w:widowControl/>
              <w:numPr>
                <w:ilvl w:val="0"/>
                <w:numId w:val="0"/>
              </w:numPr>
              <w:adjustRightInd/>
              <w:spacing w:after="120" w:line="360" w:lineRule="auto"/>
              <w:textAlignment w:val="baseline"/>
              <w:rPr>
                <w:rFonts w:hint="eastAsia" w:ascii="仿宋" w:hAnsi="仿宋" w:eastAsia="仿宋" w:cs="仿宋"/>
                <w:color w:val="auto"/>
                <w:highlight w:val="none"/>
                <w:lang w:val="en-US" w:eastAsia="zh-CN"/>
              </w:rPr>
            </w:pP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lang w:eastAsia="zh-CN"/>
              </w:rPr>
              <w:t>服务内容</w:t>
            </w:r>
            <w:r>
              <w:rPr>
                <w:rFonts w:hint="eastAsia" w:ascii="仿宋" w:hAnsi="仿宋" w:eastAsia="仿宋" w:cs="仿宋"/>
                <w:color w:val="auto"/>
                <w:sz w:val="24"/>
                <w:highlight w:val="none"/>
              </w:rPr>
              <w:t>：对车辆、消防器材等设备进行日常管理及维护，对所辖</w:t>
            </w:r>
            <w:r>
              <w:rPr>
                <w:rFonts w:hint="eastAsia" w:ascii="仿宋" w:hAnsi="仿宋" w:eastAsia="仿宋" w:cs="仿宋"/>
                <w:color w:val="auto"/>
                <w:sz w:val="24"/>
                <w:highlight w:val="none"/>
                <w:lang w:eastAsia="zh-CN"/>
              </w:rPr>
              <w:t>乡镇（街道）</w:t>
            </w:r>
            <w:r>
              <w:rPr>
                <w:rFonts w:hint="eastAsia" w:ascii="仿宋" w:hAnsi="仿宋" w:eastAsia="仿宋" w:cs="仿宋"/>
                <w:color w:val="auto"/>
                <w:sz w:val="24"/>
                <w:highlight w:val="none"/>
              </w:rPr>
              <w:t>开展消防、企业安全和防汛防台等检查和相关知识培训宣传。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8" w:hRule="atLeast"/>
          <w:jc w:val="center"/>
        </w:trPr>
        <w:tc>
          <w:tcPr>
            <w:tcW w:w="873" w:type="dxa"/>
            <w:vAlign w:val="center"/>
          </w:tcPr>
          <w:p>
            <w:pPr>
              <w:widowControl w:val="0"/>
              <w:wordWrap/>
              <w:spacing w:afterAutospacing="0" w:line="480" w:lineRule="auto"/>
              <w:ind w:left="0" w:leftChars="0" w:right="0"/>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队员</w:t>
            </w:r>
          </w:p>
        </w:tc>
        <w:tc>
          <w:tcPr>
            <w:tcW w:w="7620" w:type="dxa"/>
            <w:vAlign w:val="top"/>
          </w:tcPr>
          <w:p>
            <w:pPr>
              <w:widowControl/>
              <w:numPr>
                <w:ilvl w:val="0"/>
                <w:numId w:val="0"/>
              </w:numPr>
              <w:adjustRightInd/>
              <w:spacing w:after="120" w:line="360" w:lineRule="auto"/>
              <w:textAlignment w:val="baseline"/>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1）、人员设置：4人</w:t>
            </w:r>
          </w:p>
          <w:p>
            <w:pPr>
              <w:widowControl/>
              <w:numPr>
                <w:ilvl w:val="0"/>
                <w:numId w:val="0"/>
              </w:numPr>
              <w:adjustRightInd/>
              <w:spacing w:after="120" w:line="360" w:lineRule="auto"/>
              <w:textAlignment w:val="baseline"/>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2）、身体条件：男性，五官端正，年龄一般为35周岁及以下；没有传染病、精神病、冠心病、高血压、肺部疾病及不能控制自己行为能力的疾病(病史）等；无犯罪记录,政审合格。</w:t>
            </w:r>
          </w:p>
          <w:p>
            <w:pPr>
              <w:widowControl/>
              <w:numPr>
                <w:ilvl w:val="0"/>
                <w:numId w:val="0"/>
              </w:numPr>
              <w:adjustRightInd/>
              <w:spacing w:after="120" w:line="360" w:lineRule="auto"/>
              <w:textAlignment w:val="baseline"/>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▲3）、技能要求：具有退伍军人相关证书（提供相关证明）。</w:t>
            </w:r>
          </w:p>
          <w:p>
            <w:pPr>
              <w:widowControl/>
              <w:adjustRightInd/>
              <w:spacing w:after="120" w:line="360" w:lineRule="auto"/>
              <w:textAlignment w:val="baseline"/>
              <w:rPr>
                <w:rFonts w:hint="eastAsia" w:ascii="仿宋" w:hAnsi="仿宋" w:eastAsia="仿宋" w:cs="仿宋"/>
                <w:color w:val="auto"/>
                <w:kern w:val="0"/>
                <w:sz w:val="24"/>
                <w:szCs w:val="24"/>
                <w:highlight w:val="none"/>
                <w:u w:val="none"/>
                <w:lang w:val="en-US" w:eastAsia="zh-CN" w:bidi="ar-SA"/>
              </w:rPr>
            </w:pPr>
            <w:r>
              <w:rPr>
                <w:rFonts w:hint="eastAsia" w:ascii="仿宋" w:hAnsi="仿宋" w:eastAsia="仿宋" w:cs="仿宋"/>
                <w:color w:val="auto"/>
                <w:sz w:val="24"/>
                <w:highlight w:val="none"/>
                <w:lang w:val="en-US" w:eastAsia="zh-CN"/>
              </w:rPr>
              <w:t>4）、服务内容：对车辆、消防器材等设备进行日常管理及维护，对所辖乡镇（街道）开展消防、企业安全和防汛防台等检查和相关知识培训宣传。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3" w:hRule="atLeast"/>
          <w:jc w:val="center"/>
        </w:trPr>
        <w:tc>
          <w:tcPr>
            <w:tcW w:w="873" w:type="dxa"/>
            <w:vAlign w:val="center"/>
          </w:tcPr>
          <w:p>
            <w:pPr>
              <w:widowControl w:val="0"/>
              <w:wordWrap/>
              <w:spacing w:afterAutospacing="0" w:line="480" w:lineRule="auto"/>
              <w:ind w:left="0" w:leftChars="0" w:right="0"/>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highlight w:val="none"/>
                <w:lang w:val="en-US" w:eastAsia="zh-CN"/>
              </w:rPr>
              <w:t>站点人员基本要求</w:t>
            </w:r>
          </w:p>
        </w:tc>
        <w:tc>
          <w:tcPr>
            <w:tcW w:w="7620" w:type="dxa"/>
            <w:vAlign w:val="top"/>
          </w:tcPr>
          <w:p>
            <w:pPr>
              <w:widowControl/>
              <w:adjustRightInd/>
              <w:spacing w:after="120" w:line="360" w:lineRule="auto"/>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lang w:eastAsia="zh-CN"/>
              </w:rPr>
              <w:t>未</w:t>
            </w:r>
            <w:r>
              <w:rPr>
                <w:rFonts w:hint="eastAsia" w:ascii="仿宋" w:hAnsi="仿宋" w:eastAsia="仿宋" w:cs="仿宋"/>
                <w:color w:val="auto"/>
                <w:sz w:val="24"/>
                <w:highlight w:val="none"/>
              </w:rPr>
              <w:t>受过刑事处罚、劳动教养、未成年管教及治安处罚的；</w:t>
            </w:r>
          </w:p>
          <w:p>
            <w:pPr>
              <w:widowControl/>
              <w:adjustRightInd/>
              <w:spacing w:after="120" w:line="360" w:lineRule="auto"/>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rPr>
              <w:t>本人或直系亲属</w:t>
            </w:r>
            <w:r>
              <w:rPr>
                <w:rFonts w:hint="eastAsia" w:ascii="仿宋" w:hAnsi="仿宋" w:eastAsia="仿宋" w:cs="仿宋"/>
                <w:color w:val="auto"/>
                <w:sz w:val="24"/>
                <w:highlight w:val="none"/>
                <w:lang w:eastAsia="zh-CN"/>
              </w:rPr>
              <w:t>无</w:t>
            </w:r>
            <w:r>
              <w:rPr>
                <w:rFonts w:hint="eastAsia" w:ascii="仿宋" w:hAnsi="仿宋" w:eastAsia="仿宋" w:cs="仿宋"/>
                <w:color w:val="auto"/>
                <w:sz w:val="24"/>
                <w:highlight w:val="none"/>
              </w:rPr>
              <w:t>被判处死刑及正在服刑的,或者</w:t>
            </w:r>
            <w:r>
              <w:rPr>
                <w:rFonts w:hint="eastAsia" w:ascii="仿宋" w:hAnsi="仿宋" w:eastAsia="仿宋" w:cs="仿宋"/>
                <w:color w:val="auto"/>
                <w:sz w:val="24"/>
                <w:highlight w:val="none"/>
                <w:lang w:eastAsia="zh-CN"/>
              </w:rPr>
              <w:t>从未</w:t>
            </w:r>
            <w:r>
              <w:rPr>
                <w:rFonts w:hint="eastAsia" w:ascii="仿宋" w:hAnsi="仿宋" w:eastAsia="仿宋" w:cs="仿宋"/>
                <w:color w:val="auto"/>
                <w:sz w:val="24"/>
                <w:highlight w:val="none"/>
              </w:rPr>
              <w:t>参与邪教组织活动的；</w:t>
            </w:r>
          </w:p>
          <w:p>
            <w:pPr>
              <w:widowControl/>
              <w:adjustRightInd/>
              <w:spacing w:after="120" w:line="360" w:lineRule="auto"/>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lang w:eastAsia="zh-CN"/>
              </w:rPr>
              <w:t>无</w:t>
            </w:r>
            <w:r>
              <w:rPr>
                <w:rFonts w:hint="eastAsia" w:ascii="仿宋" w:hAnsi="仿宋" w:eastAsia="仿宋" w:cs="仿宋"/>
                <w:color w:val="auto"/>
                <w:sz w:val="24"/>
                <w:highlight w:val="none"/>
              </w:rPr>
              <w:t>犯罪嫌疑尚未查清的；</w:t>
            </w:r>
          </w:p>
          <w:p>
            <w:pPr>
              <w:widowControl/>
              <w:adjustRightInd/>
              <w:spacing w:after="120" w:line="360" w:lineRule="auto"/>
              <w:textAlignment w:val="baseline"/>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lang w:eastAsia="zh-CN"/>
              </w:rPr>
              <w:t>无</w:t>
            </w:r>
            <w:r>
              <w:rPr>
                <w:rFonts w:hint="eastAsia" w:ascii="仿宋" w:hAnsi="仿宋" w:eastAsia="仿宋" w:cs="仿宋"/>
                <w:color w:val="auto"/>
                <w:sz w:val="24"/>
                <w:highlight w:val="none"/>
              </w:rPr>
              <w:t>寻衅滋事、偷窃、**等不良行为</w:t>
            </w:r>
            <w:r>
              <w:rPr>
                <w:rFonts w:hint="eastAsia" w:ascii="仿宋" w:hAnsi="仿宋" w:eastAsia="仿宋" w:cs="仿宋"/>
                <w:color w:val="auto"/>
                <w:sz w:val="24"/>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3" w:hRule="atLeast"/>
          <w:jc w:val="center"/>
        </w:trPr>
        <w:tc>
          <w:tcPr>
            <w:tcW w:w="873" w:type="dxa"/>
            <w:vAlign w:val="center"/>
          </w:tcPr>
          <w:p>
            <w:pPr>
              <w:widowControl w:val="0"/>
              <w:wordWrap/>
              <w:spacing w:afterAutospacing="0" w:line="480" w:lineRule="auto"/>
              <w:ind w:left="0" w:leftChars="0" w:right="0"/>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highlight w:val="none"/>
              </w:rPr>
              <w:t>其它要求</w:t>
            </w:r>
          </w:p>
        </w:tc>
        <w:tc>
          <w:tcPr>
            <w:tcW w:w="7620" w:type="dxa"/>
            <w:vAlign w:val="center"/>
          </w:tcPr>
          <w:p>
            <w:pPr>
              <w:widowControl/>
              <w:numPr>
                <w:ilvl w:val="0"/>
                <w:numId w:val="0"/>
              </w:numPr>
              <w:adjustRightInd/>
              <w:spacing w:after="120" w:line="360" w:lineRule="auto"/>
              <w:jc w:val="both"/>
              <w:textAlignment w:val="baseline"/>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1）、人员结构合理；</w:t>
            </w:r>
          </w:p>
          <w:p>
            <w:pPr>
              <w:widowControl/>
              <w:numPr>
                <w:ilvl w:val="0"/>
                <w:numId w:val="0"/>
              </w:numPr>
              <w:adjustRightInd/>
              <w:spacing w:after="120" w:line="360" w:lineRule="auto"/>
              <w:jc w:val="both"/>
              <w:textAlignment w:val="baseline"/>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2）、人岗相适度高；</w:t>
            </w:r>
          </w:p>
          <w:p>
            <w:pPr>
              <w:widowControl/>
              <w:numPr>
                <w:ilvl w:val="0"/>
                <w:numId w:val="0"/>
              </w:numPr>
              <w:adjustRightInd/>
              <w:spacing w:after="120" w:line="360" w:lineRule="auto"/>
              <w:jc w:val="both"/>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储备队员充足（由</w:t>
            </w:r>
            <w:r>
              <w:rPr>
                <w:rFonts w:hint="eastAsia" w:ascii="仿宋" w:hAnsi="仿宋" w:eastAsia="仿宋" w:cs="仿宋"/>
                <w:color w:val="auto"/>
                <w:sz w:val="24"/>
                <w:highlight w:val="none"/>
                <w:lang w:eastAsia="zh-CN"/>
              </w:rPr>
              <w:t>中标单位</w:t>
            </w:r>
            <w:r>
              <w:rPr>
                <w:rFonts w:hint="eastAsia" w:ascii="仿宋" w:hAnsi="仿宋" w:eastAsia="仿宋" w:cs="仿宋"/>
                <w:color w:val="auto"/>
                <w:sz w:val="24"/>
                <w:highlight w:val="none"/>
              </w:rPr>
              <w:t>保证替补人员）。</w:t>
            </w:r>
          </w:p>
          <w:p>
            <w:pPr>
              <w:widowControl/>
              <w:adjustRightInd/>
              <w:spacing w:after="120" w:line="360" w:lineRule="auto"/>
              <w:jc w:val="both"/>
              <w:textAlignment w:val="baseline"/>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highlight w:val="none"/>
              </w:rPr>
              <w:t>4）</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本项目的所有人员进场服务前由采购人统一审核，并进行体能测试。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3" w:hRule="atLeast"/>
          <w:jc w:val="center"/>
        </w:trPr>
        <w:tc>
          <w:tcPr>
            <w:tcW w:w="873" w:type="dxa"/>
            <w:vAlign w:val="center"/>
          </w:tcPr>
          <w:p>
            <w:pPr>
              <w:widowControl w:val="0"/>
              <w:wordWrap/>
              <w:spacing w:afterAutospacing="0" w:line="480" w:lineRule="auto"/>
              <w:ind w:left="0" w:leftChars="0" w:right="0"/>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highlight w:val="none"/>
                <w:lang w:val="en-US"/>
              </w:rPr>
              <w:t>工作职责</w:t>
            </w:r>
          </w:p>
        </w:tc>
        <w:tc>
          <w:tcPr>
            <w:tcW w:w="7620" w:type="dxa"/>
            <w:vAlign w:val="center"/>
          </w:tcPr>
          <w:p>
            <w:pPr>
              <w:widowControl/>
              <w:numPr>
                <w:ilvl w:val="0"/>
                <w:numId w:val="0"/>
              </w:numPr>
              <w:adjustRightInd/>
              <w:spacing w:after="120" w:line="360" w:lineRule="auto"/>
              <w:jc w:val="both"/>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rPr>
              <w:t>按照《杭州市消防安全委员会关于印发杭州市区域性微型消防救援站建设标准及日常工作制度和岗位职责的通知》、《关于印发杭州市乡镇（街道）综合应急和消防救援队标准化建设规范和训练大纲（试行）的通知》</w:t>
            </w:r>
            <w:r>
              <w:rPr>
                <w:rFonts w:hint="eastAsia" w:ascii="仿宋" w:hAnsi="仿宋" w:eastAsia="仿宋" w:cs="仿宋"/>
                <w:color w:val="auto"/>
                <w:sz w:val="24"/>
                <w:highlight w:val="none"/>
                <w:lang w:eastAsia="zh-CN"/>
              </w:rPr>
              <w:t>、《</w:t>
            </w:r>
            <w:r>
              <w:rPr>
                <w:rFonts w:hint="default" w:ascii="仿宋" w:hAnsi="仿宋" w:eastAsia="仿宋" w:cs="仿宋"/>
                <w:color w:val="auto"/>
                <w:sz w:val="24"/>
                <w:highlight w:val="none"/>
                <w:lang w:eastAsia="zh-CN"/>
              </w:rPr>
              <w:t>关于进一步</w:t>
            </w:r>
            <w:r>
              <w:rPr>
                <w:rFonts w:hint="default" w:ascii="仿宋" w:hAnsi="仿宋" w:eastAsia="仿宋" w:cs="仿宋"/>
                <w:color w:val="auto"/>
                <w:sz w:val="24"/>
                <w:highlight w:val="none"/>
                <w:lang w:val="en-US" w:eastAsia="zh-CN"/>
              </w:rPr>
              <w:t>加强全区区域性及村（社区）微型消防救援站建设工作的通知</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要求，组织</w:t>
            </w:r>
            <w:r>
              <w:rPr>
                <w:rFonts w:hint="eastAsia" w:ascii="仿宋" w:hAnsi="仿宋" w:eastAsia="仿宋" w:cs="仿宋"/>
                <w:color w:val="auto"/>
                <w:sz w:val="24"/>
                <w:highlight w:val="none"/>
                <w:lang w:eastAsia="zh-CN"/>
              </w:rPr>
              <w:t>站点人员</w:t>
            </w:r>
            <w:r>
              <w:rPr>
                <w:rFonts w:hint="eastAsia" w:ascii="仿宋" w:hAnsi="仿宋" w:eastAsia="仿宋" w:cs="仿宋"/>
                <w:color w:val="auto"/>
                <w:sz w:val="24"/>
                <w:highlight w:val="none"/>
              </w:rPr>
              <w:t>开展工作及学习培训；</w:t>
            </w:r>
          </w:p>
          <w:p>
            <w:pPr>
              <w:widowControl/>
              <w:numPr>
                <w:ilvl w:val="0"/>
                <w:numId w:val="0"/>
              </w:numPr>
              <w:adjustRightInd/>
              <w:spacing w:after="120" w:line="360" w:lineRule="auto"/>
              <w:jc w:val="both"/>
              <w:textAlignment w:val="baseline"/>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完成采购人交办的其他工作任务。</w:t>
            </w:r>
          </w:p>
        </w:tc>
      </w:tr>
    </w:tbl>
    <w:p>
      <w:pPr>
        <w:pStyle w:val="25"/>
        <w:spacing w:line="360" w:lineRule="auto"/>
        <w:rPr>
          <w:rFonts w:hint="default" w:ascii="仿宋" w:hAnsi="仿宋" w:eastAsia="仿宋" w:cs="仿宋"/>
          <w:b/>
          <w:bCs/>
          <w:color w:val="auto"/>
          <w:sz w:val="24"/>
          <w:highlight w:val="none"/>
          <w:lang w:val="en-US" w:eastAsia="zh-CN"/>
        </w:rPr>
      </w:pPr>
      <w:r>
        <w:rPr>
          <w:rFonts w:hint="eastAsia" w:ascii="仿宋" w:hAnsi="仿宋" w:eastAsia="仿宋" w:cs="仿宋"/>
          <w:b/>
          <w:bCs/>
          <w:color w:val="auto"/>
          <w:sz w:val="24"/>
          <w:highlight w:val="none"/>
          <w:lang w:val="en-US" w:eastAsia="zh-CN"/>
        </w:rPr>
        <w:t>其他补充说明:</w:t>
      </w:r>
    </w:p>
    <w:p>
      <w:pPr>
        <w:pStyle w:val="25"/>
        <w:spacing w:line="360"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▲1、中标单位派驻全职驻场人员不少于52人。</w:t>
      </w:r>
    </w:p>
    <w:p>
      <w:pPr>
        <w:pStyle w:val="25"/>
        <w:spacing w:line="360"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▲2、6名班长中需明确一人作为本项目项目负责人，负责中标后项目统筹安排、人员分配、与采购单位或乡镇（街道）沟通交流等一切事宜。</w:t>
      </w:r>
    </w:p>
    <w:p>
      <w:pPr>
        <w:widowControl/>
        <w:adjustRightInd/>
        <w:spacing w:after="120" w:line="360" w:lineRule="auto"/>
        <w:ind w:firstLine="480" w:firstLineChars="200"/>
        <w:textAlignment w:val="baseline"/>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▲3、中标单位须在中标后7天内及时配足全职驻场站长及队员，须在中标后7天内及时配足所有车辆，</w:t>
      </w:r>
      <w:r>
        <w:rPr>
          <w:rFonts w:hint="eastAsia" w:ascii="仿宋" w:hAnsi="仿宋" w:eastAsia="仿宋" w:cs="仿宋"/>
          <w:b/>
          <w:bCs/>
          <w:color w:val="auto"/>
          <w:sz w:val="24"/>
          <w:highlight w:val="none"/>
          <w:lang w:val="en-US" w:eastAsia="zh-CN"/>
        </w:rPr>
        <w:t>车辆如需改装的须具备合法的有效合格证，最终经采购人确认并认可。</w:t>
      </w:r>
      <w:r>
        <w:rPr>
          <w:rFonts w:hint="eastAsia" w:ascii="仿宋" w:hAnsi="仿宋" w:eastAsia="仿宋" w:cs="仿宋"/>
          <w:color w:val="auto"/>
          <w:sz w:val="24"/>
          <w:highlight w:val="none"/>
          <w:lang w:val="en-US" w:eastAsia="zh-CN"/>
        </w:rPr>
        <w:t>若在规定时间内不能组织人员或配足所有车辆到位，将取消中标资格，并由此承担给采购单位造成的损失，对此投标单位提供承诺书。</w:t>
      </w:r>
    </w:p>
    <w:p>
      <w:pPr>
        <w:pStyle w:val="25"/>
        <w:spacing w:line="360" w:lineRule="auto"/>
        <w:ind w:firstLine="480" w:firstLineChars="200"/>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工作安排：执行准军事化管理，每个站点必须保持24小时值班执勤，各个站点每日执勤加备勤人员不得少于该站点总人数的80%。各个站点除每班执勤人员外，其余人员按要求在站点备勤，确有需要休假、请假的，按照投标人制订请休假制订执行，并向采购人报备。</w:t>
      </w:r>
    </w:p>
    <w:p>
      <w:pPr>
        <w:pStyle w:val="25"/>
        <w:spacing w:line="360"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▲5、凤凰站和义桥站至少每个站点具有2名B照驾驶证人员和2名C1驾驶证人员。毓溪站、山西园站、竹园站、洪桐站至少2名具有C1驾驶证，确保有充分人员保证消防车的出行与驾驶。</w:t>
      </w:r>
    </w:p>
    <w:p>
      <w:pPr>
        <w:widowControl/>
        <w:adjustRightInd/>
        <w:spacing w:after="120" w:line="360" w:lineRule="auto"/>
        <w:ind w:firstLine="480" w:firstLineChars="200"/>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6、</w:t>
      </w:r>
      <w:r>
        <w:rPr>
          <w:rFonts w:hint="eastAsia" w:ascii="仿宋" w:hAnsi="仿宋" w:eastAsia="仿宋" w:cs="仿宋"/>
          <w:color w:val="auto"/>
          <w:sz w:val="24"/>
          <w:highlight w:val="none"/>
        </w:rPr>
        <w:t>中标单位必须按时足额发放人员劳动报酬、员工福利并缴纳社会保险等，并将每月工资发放情况（附员工签字确认的工资发放清并加盖中标单位公章）及时提交采购人备案。</w:t>
      </w:r>
    </w:p>
    <w:p>
      <w:pPr>
        <w:pStyle w:val="60"/>
        <w:spacing w:line="360" w:lineRule="auto"/>
        <w:rPr>
          <w:rFonts w:hint="eastAsia" w:ascii="仿宋" w:hAnsi="仿宋" w:eastAsia="仿宋" w:cs="仿宋"/>
          <w:b/>
          <w:bCs/>
          <w:color w:val="auto"/>
          <w:szCs w:val="24"/>
          <w:highlight w:val="none"/>
          <w:lang w:val="en-US" w:eastAsia="zh-CN"/>
        </w:rPr>
      </w:pPr>
      <w:r>
        <w:rPr>
          <w:rFonts w:hint="eastAsia" w:ascii="仿宋" w:hAnsi="仿宋" w:eastAsia="仿宋" w:cs="仿宋"/>
          <w:color w:val="auto"/>
          <w:sz w:val="24"/>
          <w:highlight w:val="none"/>
          <w:lang w:val="en-US" w:eastAsia="zh-CN"/>
        </w:rPr>
        <w:t>▲</w:t>
      </w:r>
      <w:r>
        <w:rPr>
          <w:rFonts w:hint="eastAsia" w:ascii="仿宋" w:hAnsi="仿宋" w:eastAsia="仿宋" w:cs="仿宋"/>
          <w:b/>
          <w:bCs/>
          <w:color w:val="auto"/>
          <w:sz w:val="24"/>
          <w:highlight w:val="none"/>
          <w:lang w:val="en-US" w:eastAsia="zh-CN"/>
        </w:rPr>
        <w:t>特殊条款</w:t>
      </w:r>
      <w:r>
        <w:rPr>
          <w:rFonts w:hint="eastAsia" w:ascii="仿宋" w:hAnsi="仿宋" w:eastAsia="仿宋" w:cs="仿宋"/>
          <w:b/>
          <w:bCs/>
          <w:color w:val="auto"/>
          <w:sz w:val="24"/>
          <w:highlight w:val="none"/>
        </w:rPr>
        <w:t>：</w:t>
      </w:r>
      <w:r>
        <w:rPr>
          <w:rFonts w:hint="eastAsia" w:ascii="仿宋" w:hAnsi="仿宋" w:eastAsia="仿宋" w:cs="仿宋"/>
          <w:b/>
          <w:bCs/>
          <w:color w:val="auto"/>
          <w:sz w:val="24"/>
          <w:highlight w:val="none"/>
          <w:lang w:val="en-US" w:eastAsia="zh-CN"/>
        </w:rPr>
        <w:t>中标单位</w:t>
      </w:r>
      <w:r>
        <w:rPr>
          <w:rFonts w:hint="eastAsia" w:ascii="仿宋" w:hAnsi="仿宋" w:eastAsia="仿宋" w:cs="仿宋"/>
          <w:b/>
          <w:bCs/>
          <w:color w:val="auto"/>
          <w:sz w:val="24"/>
          <w:highlight w:val="none"/>
          <w:lang w:eastAsia="zh-CN"/>
        </w:rPr>
        <w:t>在</w:t>
      </w:r>
      <w:r>
        <w:rPr>
          <w:rFonts w:hint="eastAsia" w:ascii="仿宋" w:hAnsi="仿宋" w:eastAsia="仿宋" w:cs="仿宋"/>
          <w:b/>
          <w:bCs/>
          <w:color w:val="auto"/>
          <w:sz w:val="24"/>
          <w:highlight w:val="none"/>
          <w:lang w:val="en-US" w:eastAsia="zh-CN"/>
        </w:rPr>
        <w:t>中标后7天内将人员安排到岗，其中</w:t>
      </w:r>
      <w:r>
        <w:rPr>
          <w:rFonts w:hint="eastAsia" w:ascii="仿宋" w:hAnsi="仿宋" w:eastAsia="仿宋" w:cs="仿宋"/>
          <w:b/>
          <w:bCs/>
          <w:color w:val="auto"/>
          <w:sz w:val="24"/>
          <w:highlight w:val="none"/>
          <w:lang w:eastAsia="zh-CN"/>
        </w:rPr>
        <w:t>投标文件中拟派的项目组成员应与服务期间内成员保持一致，项目组成员</w:t>
      </w:r>
      <w:r>
        <w:rPr>
          <w:rFonts w:hint="eastAsia" w:ascii="仿宋" w:hAnsi="仿宋" w:eastAsia="仿宋" w:cs="仿宋"/>
          <w:b/>
          <w:bCs/>
          <w:color w:val="auto"/>
          <w:sz w:val="24"/>
          <w:highlight w:val="none"/>
        </w:rPr>
        <w:t>驻场后原则上半年内不予更换，</w:t>
      </w:r>
      <w:r>
        <w:rPr>
          <w:rFonts w:hint="eastAsia" w:ascii="仿宋" w:hAnsi="仿宋" w:eastAsia="仿宋" w:cs="仿宋"/>
          <w:b/>
          <w:bCs/>
          <w:color w:val="auto"/>
          <w:sz w:val="24"/>
          <w:highlight w:val="none"/>
          <w:lang w:val="en-US" w:eastAsia="zh-CN"/>
        </w:rPr>
        <w:t>的确</w:t>
      </w:r>
      <w:r>
        <w:rPr>
          <w:rFonts w:hint="eastAsia" w:ascii="仿宋" w:hAnsi="仿宋" w:eastAsia="仿宋" w:cs="仿宋"/>
          <w:b/>
          <w:bCs/>
          <w:color w:val="auto"/>
          <w:sz w:val="24"/>
          <w:highlight w:val="none"/>
        </w:rPr>
        <w:t>需更换的</w:t>
      </w:r>
      <w:r>
        <w:rPr>
          <w:rFonts w:hint="eastAsia" w:ascii="仿宋" w:hAnsi="仿宋" w:eastAsia="仿宋" w:cs="仿宋"/>
          <w:b/>
          <w:bCs/>
          <w:color w:val="auto"/>
          <w:sz w:val="24"/>
          <w:highlight w:val="none"/>
          <w:lang w:eastAsia="zh-CN"/>
        </w:rPr>
        <w:t>，</w:t>
      </w:r>
      <w:r>
        <w:rPr>
          <w:rFonts w:hint="eastAsia" w:ascii="仿宋" w:hAnsi="仿宋" w:eastAsia="仿宋" w:cs="仿宋"/>
          <w:b/>
          <w:bCs/>
          <w:color w:val="auto"/>
          <w:sz w:val="24"/>
          <w:highlight w:val="none"/>
        </w:rPr>
        <w:t>须及时上报采购人，经采购人认可后方可更换</w:t>
      </w:r>
      <w:r>
        <w:rPr>
          <w:rFonts w:hint="eastAsia" w:ascii="仿宋" w:hAnsi="仿宋" w:eastAsia="仿宋" w:cs="仿宋"/>
          <w:b/>
          <w:bCs/>
          <w:color w:val="auto"/>
          <w:sz w:val="24"/>
          <w:highlight w:val="none"/>
          <w:lang w:eastAsia="zh-CN"/>
        </w:rPr>
        <w:t>。</w:t>
      </w:r>
      <w:r>
        <w:rPr>
          <w:rFonts w:hint="eastAsia" w:ascii="仿宋" w:hAnsi="仿宋" w:eastAsia="仿宋" w:cs="仿宋"/>
          <w:b/>
          <w:bCs/>
          <w:color w:val="auto"/>
          <w:szCs w:val="24"/>
          <w:highlight w:val="none"/>
          <w:lang w:val="en-US" w:eastAsia="zh-CN"/>
        </w:rPr>
        <w:t xml:space="preserve">  </w:t>
      </w:r>
    </w:p>
    <w:p>
      <w:pPr>
        <w:pStyle w:val="25"/>
        <w:spacing w:line="360" w:lineRule="auto"/>
        <w:ind w:firstLine="480" w:firstLineChars="200"/>
        <w:rPr>
          <w:rFonts w:hint="eastAsia" w:ascii="仿宋" w:hAnsi="仿宋" w:eastAsia="仿宋" w:cs="仿宋"/>
          <w:color w:val="auto"/>
          <w:sz w:val="24"/>
          <w:highlight w:val="none"/>
          <w:lang w:val="en-US" w:eastAsia="zh-CN"/>
        </w:rPr>
      </w:pPr>
    </w:p>
    <w:p>
      <w:pPr>
        <w:pStyle w:val="60"/>
        <w:spacing w:line="360" w:lineRule="auto"/>
        <w:rPr>
          <w:rFonts w:hint="eastAsia" w:ascii="仿宋" w:hAnsi="仿宋" w:eastAsia="仿宋" w:cs="仿宋"/>
          <w:b/>
          <w:bCs/>
          <w:color w:val="auto"/>
          <w:szCs w:val="24"/>
          <w:highlight w:val="none"/>
          <w:lang w:val="en-US"/>
        </w:rPr>
      </w:pPr>
      <w:r>
        <w:rPr>
          <w:rFonts w:hint="eastAsia" w:ascii="仿宋" w:hAnsi="仿宋" w:eastAsia="仿宋" w:cs="仿宋"/>
          <w:b/>
          <w:bCs/>
          <w:color w:val="auto"/>
          <w:szCs w:val="24"/>
          <w:highlight w:val="none"/>
          <w:lang w:val="en-US" w:eastAsia="zh-CN"/>
        </w:rPr>
        <w:t>（六）车辆、</w:t>
      </w:r>
      <w:r>
        <w:rPr>
          <w:rFonts w:hint="eastAsia" w:ascii="仿宋" w:hAnsi="仿宋" w:eastAsia="仿宋" w:cs="仿宋"/>
          <w:b/>
          <w:bCs/>
          <w:color w:val="auto"/>
          <w:szCs w:val="24"/>
          <w:highlight w:val="none"/>
          <w:lang w:val="en-US"/>
        </w:rPr>
        <w:t>相关场地、服装、装备提供</w:t>
      </w:r>
    </w:p>
    <w:tbl>
      <w:tblPr>
        <w:tblStyle w:val="62"/>
        <w:tblW w:w="895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5"/>
        <w:gridCol w:w="3879"/>
        <w:gridCol w:w="38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2" w:hRule="atLeast"/>
          <w:jc w:val="center"/>
        </w:trPr>
        <w:tc>
          <w:tcPr>
            <w:tcW w:w="1215" w:type="dxa"/>
            <w:vAlign w:val="center"/>
          </w:tcPr>
          <w:p>
            <w:pPr>
              <w:widowControl w:val="0"/>
              <w:wordWrap/>
              <w:spacing w:afterAutospacing="0" w:line="240" w:lineRule="auto"/>
              <w:ind w:left="0" w:leftChars="0" w:right="0"/>
              <w:jc w:val="center"/>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区域</w:t>
            </w:r>
          </w:p>
        </w:tc>
        <w:tc>
          <w:tcPr>
            <w:tcW w:w="3879" w:type="dxa"/>
            <w:vAlign w:val="center"/>
          </w:tcPr>
          <w:p>
            <w:pPr>
              <w:widowControl w:val="0"/>
              <w:wordWrap/>
              <w:spacing w:afterAutospacing="0" w:line="240" w:lineRule="auto"/>
              <w:ind w:left="0" w:leftChars="0" w:right="0"/>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车辆数量及要求</w:t>
            </w:r>
          </w:p>
          <w:p>
            <w:pPr>
              <w:widowControl w:val="0"/>
              <w:wordWrap/>
              <w:spacing w:afterAutospacing="0" w:line="240" w:lineRule="auto"/>
              <w:ind w:left="0" w:leftChars="0" w:right="0"/>
              <w:jc w:val="center"/>
              <w:rPr>
                <w:rFonts w:hint="eastAsia" w:ascii="仿宋" w:hAnsi="仿宋" w:eastAsia="仿宋" w:cs="仿宋"/>
                <w:color w:val="auto"/>
                <w:sz w:val="24"/>
                <w:szCs w:val="24"/>
                <w:highlight w:val="none"/>
                <w:lang w:val="en-US" w:eastAsia="zh-CN"/>
              </w:rPr>
            </w:pPr>
            <w:r>
              <w:rPr>
                <w:rFonts w:hint="eastAsia" w:ascii="仿宋" w:hAnsi="仿宋" w:eastAsia="仿宋" w:cs="仿宋"/>
                <w:b/>
                <w:bCs/>
                <w:color w:val="auto"/>
                <w:sz w:val="24"/>
                <w:highlight w:val="none"/>
                <w:lang w:val="en-US" w:eastAsia="zh-CN"/>
              </w:rPr>
              <w:t>（详细参数详见附件1）</w:t>
            </w:r>
          </w:p>
        </w:tc>
        <w:tc>
          <w:tcPr>
            <w:tcW w:w="3859" w:type="dxa"/>
            <w:vAlign w:val="center"/>
          </w:tcPr>
          <w:p>
            <w:pPr>
              <w:widowControl w:val="0"/>
              <w:wordWrap/>
              <w:spacing w:afterAutospacing="0" w:line="240" w:lineRule="auto"/>
              <w:ind w:left="0" w:leftChars="0" w:right="0"/>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jc w:val="center"/>
        </w:trPr>
        <w:tc>
          <w:tcPr>
            <w:tcW w:w="1215" w:type="dxa"/>
            <w:vAlign w:val="center"/>
          </w:tcPr>
          <w:p>
            <w:pPr>
              <w:widowControl w:val="0"/>
              <w:wordWrap/>
              <w:spacing w:afterAutospacing="0" w:line="240" w:lineRule="auto"/>
              <w:ind w:left="0" w:leftChars="0" w:right="0"/>
              <w:jc w:val="center"/>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凤凰区域性微型消防救援站</w:t>
            </w:r>
          </w:p>
        </w:tc>
        <w:tc>
          <w:tcPr>
            <w:tcW w:w="3879" w:type="dxa"/>
            <w:vAlign w:val="center"/>
          </w:tcPr>
          <w:p>
            <w:pPr>
              <w:widowControl/>
              <w:numPr>
                <w:ilvl w:val="0"/>
                <w:numId w:val="0"/>
              </w:numPr>
              <w:adjustRightInd/>
              <w:spacing w:after="120" w:line="360" w:lineRule="auto"/>
              <w:textAlignment w:val="baseline"/>
              <w:rPr>
                <w:rFonts w:hint="default" w:ascii="仿宋" w:hAnsi="仿宋" w:eastAsia="仿宋" w:cs="仿宋"/>
                <w:b w:val="0"/>
                <w:bCs w:val="0"/>
                <w:color w:val="auto"/>
                <w:sz w:val="24"/>
                <w:highlight w:val="none"/>
                <w:lang w:val="en-US" w:eastAsia="zh-CN"/>
              </w:rPr>
            </w:pPr>
            <w:r>
              <w:rPr>
                <w:rFonts w:hint="eastAsia" w:ascii="仿宋" w:hAnsi="仿宋" w:eastAsia="仿宋" w:cs="仿宋"/>
                <w:b w:val="0"/>
                <w:bCs w:val="0"/>
                <w:color w:val="auto"/>
                <w:sz w:val="24"/>
                <w:highlight w:val="none"/>
                <w:lang w:val="en-US" w:eastAsia="zh-CN"/>
              </w:rPr>
              <w:t>1）、3.8吨泡沫水罐消防车：1辆；</w:t>
            </w:r>
          </w:p>
          <w:p>
            <w:pPr>
              <w:widowControl/>
              <w:numPr>
                <w:ilvl w:val="0"/>
                <w:numId w:val="0"/>
              </w:numPr>
              <w:adjustRightInd/>
              <w:spacing w:after="120" w:line="360" w:lineRule="auto"/>
              <w:textAlignment w:val="baseline"/>
              <w:rPr>
                <w:rFonts w:hint="default" w:ascii="仿宋" w:hAnsi="仿宋" w:eastAsia="仿宋" w:cs="仿宋"/>
                <w:b w:val="0"/>
                <w:bCs w:val="0"/>
                <w:color w:val="auto"/>
                <w:sz w:val="24"/>
                <w:highlight w:val="none"/>
                <w:lang w:val="en-US" w:eastAsia="zh-CN"/>
              </w:rPr>
            </w:pPr>
            <w:r>
              <w:rPr>
                <w:rFonts w:hint="eastAsia" w:ascii="仿宋" w:hAnsi="仿宋" w:eastAsia="仿宋" w:cs="仿宋"/>
                <w:b w:val="0"/>
                <w:bCs w:val="0"/>
                <w:color w:val="auto"/>
                <w:sz w:val="24"/>
                <w:highlight w:val="none"/>
                <w:lang w:val="en-US" w:eastAsia="zh-CN"/>
              </w:rPr>
              <w:t>2）、细水雾消防车：1辆；</w:t>
            </w:r>
          </w:p>
          <w:p>
            <w:pPr>
              <w:widowControl/>
              <w:numPr>
                <w:ilvl w:val="0"/>
                <w:numId w:val="0"/>
              </w:numPr>
              <w:adjustRightInd/>
              <w:spacing w:after="120" w:line="360" w:lineRule="auto"/>
              <w:textAlignment w:val="baseline"/>
              <w:rPr>
                <w:rFonts w:hint="default" w:ascii="仿宋" w:hAnsi="仿宋" w:eastAsia="仿宋" w:cs="仿宋"/>
                <w:b w:val="0"/>
                <w:bCs w:val="0"/>
                <w:color w:val="auto"/>
                <w:sz w:val="21"/>
                <w:szCs w:val="21"/>
                <w:highlight w:val="none"/>
                <w:lang w:val="en-US"/>
              </w:rPr>
            </w:pPr>
            <w:r>
              <w:rPr>
                <w:rFonts w:hint="eastAsia" w:ascii="仿宋" w:hAnsi="仿宋" w:eastAsia="仿宋" w:cs="仿宋"/>
                <w:b w:val="0"/>
                <w:bCs w:val="0"/>
                <w:color w:val="auto"/>
                <w:sz w:val="24"/>
                <w:highlight w:val="none"/>
                <w:lang w:val="en-US" w:eastAsia="zh-CN"/>
              </w:rPr>
              <w:t>3）、宣传检查新能源车：1辆；</w:t>
            </w:r>
          </w:p>
        </w:tc>
        <w:tc>
          <w:tcPr>
            <w:tcW w:w="3859" w:type="dxa"/>
            <w:vMerge w:val="restart"/>
            <w:vAlign w:val="center"/>
          </w:tcPr>
          <w:p>
            <w:pPr>
              <w:widowControl/>
              <w:adjustRightInd/>
              <w:spacing w:after="120" w:line="360" w:lineRule="auto"/>
              <w:jc w:val="both"/>
              <w:textAlignment w:val="baseline"/>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车辆运行费（车辆运行费包括车辆保险费、保养费、车辆年检费、消耗的燃油、日常维保费等）由中标单位承担，维修费、车辆事故处理费、赔偿费等费用若在保险赔偿范围内的由保险公司承担，但保险责任免赔范围内的一切费用均由中标单位承担，对此中标单位因考虑此风险，在投标报价中包含此费用。</w:t>
            </w:r>
          </w:p>
          <w:p>
            <w:pPr>
              <w:widowControl/>
              <w:numPr>
                <w:ilvl w:val="0"/>
                <w:numId w:val="0"/>
              </w:numPr>
              <w:adjustRightInd/>
              <w:spacing w:after="120" w:line="360" w:lineRule="auto"/>
              <w:jc w:val="both"/>
              <w:textAlignment w:val="baseline"/>
              <w:rPr>
                <w:rFonts w:hint="eastAsia" w:ascii="仿宋" w:hAnsi="仿宋" w:eastAsia="仿宋" w:cs="仿宋"/>
                <w:b w:val="0"/>
                <w:bCs w:val="0"/>
                <w:color w:val="auto"/>
                <w:sz w:val="24"/>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15" w:type="dxa"/>
            <w:vAlign w:val="center"/>
          </w:tcPr>
          <w:p>
            <w:pPr>
              <w:widowControl w:val="0"/>
              <w:wordWrap/>
              <w:spacing w:afterAutospacing="0" w:line="240" w:lineRule="auto"/>
              <w:ind w:left="0" w:leftChars="0" w:right="0"/>
              <w:jc w:val="center"/>
              <w:rPr>
                <w:rFonts w:hint="eastAsia" w:ascii="仿宋" w:hAnsi="仿宋" w:eastAsia="仿宋" w:cs="仿宋"/>
                <w:b w:val="0"/>
                <w:bCs w:val="0"/>
                <w:color w:val="auto"/>
                <w:sz w:val="24"/>
                <w:highlight w:val="none"/>
                <w:lang w:val="en-US" w:eastAsia="zh-CN"/>
              </w:rPr>
            </w:pPr>
            <w:r>
              <w:rPr>
                <w:rFonts w:hint="eastAsia" w:ascii="仿宋" w:hAnsi="仿宋" w:eastAsia="仿宋" w:cs="仿宋"/>
                <w:b w:val="0"/>
                <w:bCs w:val="0"/>
                <w:color w:val="auto"/>
                <w:sz w:val="24"/>
                <w:szCs w:val="24"/>
                <w:highlight w:val="none"/>
                <w:lang w:val="en-US" w:eastAsia="zh-CN"/>
              </w:rPr>
              <w:t>毓溪区域性微型消防救援站</w:t>
            </w:r>
          </w:p>
        </w:tc>
        <w:tc>
          <w:tcPr>
            <w:tcW w:w="3879" w:type="dxa"/>
            <w:vAlign w:val="center"/>
          </w:tcPr>
          <w:p>
            <w:pPr>
              <w:widowControl/>
              <w:numPr>
                <w:ilvl w:val="0"/>
                <w:numId w:val="0"/>
              </w:numPr>
              <w:adjustRightInd/>
              <w:spacing w:after="120" w:line="360" w:lineRule="auto"/>
              <w:textAlignment w:val="baseline"/>
              <w:rPr>
                <w:rFonts w:hint="eastAsia" w:ascii="仿宋" w:hAnsi="仿宋" w:eastAsia="仿宋" w:cs="仿宋"/>
                <w:b w:val="0"/>
                <w:bCs w:val="0"/>
                <w:color w:val="auto"/>
                <w:sz w:val="24"/>
                <w:highlight w:val="none"/>
                <w:lang w:eastAsia="zh-CN"/>
              </w:rPr>
            </w:pPr>
            <w:r>
              <w:rPr>
                <w:rFonts w:hint="eastAsia" w:ascii="仿宋" w:hAnsi="仿宋" w:eastAsia="仿宋" w:cs="仿宋"/>
                <w:b w:val="0"/>
                <w:bCs w:val="0"/>
                <w:color w:val="auto"/>
                <w:sz w:val="24"/>
                <w:highlight w:val="none"/>
                <w:lang w:val="en-US" w:eastAsia="zh-CN"/>
              </w:rPr>
              <w:t>1）、</w:t>
            </w:r>
            <w:r>
              <w:rPr>
                <w:rFonts w:hint="eastAsia" w:ascii="仿宋" w:hAnsi="仿宋" w:eastAsia="仿宋" w:cs="仿宋"/>
                <w:b w:val="0"/>
                <w:bCs w:val="0"/>
                <w:color w:val="auto"/>
                <w:sz w:val="24"/>
                <w:highlight w:val="none"/>
                <w:lang w:eastAsia="zh-CN"/>
              </w:rPr>
              <w:t>细水雾消防车</w:t>
            </w:r>
            <w:r>
              <w:rPr>
                <w:rFonts w:hint="eastAsia" w:ascii="仿宋" w:hAnsi="仿宋" w:eastAsia="仿宋" w:cs="仿宋"/>
                <w:b w:val="0"/>
                <w:bCs w:val="0"/>
                <w:color w:val="auto"/>
                <w:sz w:val="24"/>
                <w:highlight w:val="none"/>
                <w:lang w:val="en-US" w:eastAsia="zh-CN"/>
              </w:rPr>
              <w:t>：1辆；</w:t>
            </w:r>
          </w:p>
          <w:p>
            <w:pPr>
              <w:widowControl/>
              <w:adjustRightInd/>
              <w:spacing w:after="120" w:line="360" w:lineRule="auto"/>
              <w:textAlignment w:val="baseline"/>
              <w:rPr>
                <w:rFonts w:hint="default" w:ascii="仿宋" w:hAnsi="仿宋" w:eastAsia="仿宋" w:cs="仿宋"/>
                <w:b w:val="0"/>
                <w:bCs w:val="0"/>
                <w:color w:val="auto"/>
                <w:sz w:val="21"/>
                <w:szCs w:val="21"/>
                <w:highlight w:val="none"/>
                <w:lang w:val="en-US" w:eastAsia="zh-CN"/>
              </w:rPr>
            </w:pPr>
            <w:r>
              <w:rPr>
                <w:rFonts w:hint="eastAsia" w:ascii="仿宋" w:hAnsi="仿宋" w:eastAsia="仿宋" w:cs="仿宋"/>
                <w:b w:val="0"/>
                <w:bCs w:val="0"/>
                <w:color w:val="auto"/>
                <w:sz w:val="24"/>
                <w:highlight w:val="none"/>
                <w:lang w:val="en-US" w:eastAsia="zh-CN"/>
              </w:rPr>
              <w:t>2）、宣传检查新能源车：1辆；</w:t>
            </w:r>
          </w:p>
        </w:tc>
        <w:tc>
          <w:tcPr>
            <w:tcW w:w="3859" w:type="dxa"/>
            <w:vMerge w:val="continue"/>
            <w:vAlign w:val="center"/>
          </w:tcPr>
          <w:p>
            <w:pPr>
              <w:widowControl/>
              <w:adjustRightInd/>
              <w:spacing w:after="120" w:line="360" w:lineRule="auto"/>
              <w:textAlignment w:val="baseline"/>
              <w:rPr>
                <w:rFonts w:hint="eastAsia" w:ascii="仿宋" w:hAnsi="仿宋" w:eastAsia="仿宋" w:cs="仿宋"/>
                <w:b w:val="0"/>
                <w:bCs w:val="0"/>
                <w:color w:val="auto"/>
                <w:sz w:val="24"/>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15" w:type="dxa"/>
            <w:vAlign w:val="center"/>
          </w:tcPr>
          <w:p>
            <w:pPr>
              <w:widowControl w:val="0"/>
              <w:wordWrap/>
              <w:spacing w:afterAutospacing="0" w:line="240" w:lineRule="auto"/>
              <w:ind w:left="0" w:leftChars="0" w:right="0"/>
              <w:jc w:val="center"/>
              <w:rPr>
                <w:rFonts w:hint="eastAsia" w:ascii="仿宋" w:hAnsi="仿宋" w:eastAsia="仿宋" w:cs="仿宋"/>
                <w:b w:val="0"/>
                <w:bCs w:val="0"/>
                <w:color w:val="auto"/>
                <w:sz w:val="24"/>
                <w:highlight w:val="none"/>
                <w:lang w:val="en-US" w:eastAsia="zh-CN"/>
              </w:rPr>
            </w:pPr>
            <w:r>
              <w:rPr>
                <w:rFonts w:hint="eastAsia" w:ascii="仿宋" w:hAnsi="仿宋" w:eastAsia="仿宋" w:cs="仿宋"/>
                <w:b w:val="0"/>
                <w:bCs w:val="0"/>
                <w:color w:val="auto"/>
                <w:sz w:val="24"/>
                <w:szCs w:val="24"/>
                <w:highlight w:val="none"/>
                <w:lang w:val="en-US" w:eastAsia="zh-CN"/>
              </w:rPr>
              <w:t>山西园区域性微型消防救援站</w:t>
            </w:r>
          </w:p>
        </w:tc>
        <w:tc>
          <w:tcPr>
            <w:tcW w:w="3879" w:type="dxa"/>
            <w:vAlign w:val="center"/>
          </w:tcPr>
          <w:p>
            <w:pPr>
              <w:widowControl/>
              <w:numPr>
                <w:ilvl w:val="0"/>
                <w:numId w:val="0"/>
              </w:numPr>
              <w:adjustRightInd/>
              <w:spacing w:after="120" w:line="360" w:lineRule="auto"/>
              <w:textAlignment w:val="baseline"/>
              <w:rPr>
                <w:rFonts w:hint="eastAsia" w:ascii="仿宋" w:hAnsi="仿宋" w:eastAsia="仿宋" w:cs="仿宋"/>
                <w:b w:val="0"/>
                <w:bCs w:val="0"/>
                <w:color w:val="auto"/>
                <w:sz w:val="24"/>
                <w:highlight w:val="none"/>
                <w:lang w:eastAsia="zh-CN"/>
              </w:rPr>
            </w:pPr>
            <w:r>
              <w:rPr>
                <w:rFonts w:hint="eastAsia" w:ascii="仿宋" w:hAnsi="仿宋" w:eastAsia="仿宋" w:cs="仿宋"/>
                <w:b w:val="0"/>
                <w:bCs w:val="0"/>
                <w:color w:val="auto"/>
                <w:sz w:val="24"/>
                <w:highlight w:val="none"/>
                <w:lang w:val="en-US" w:eastAsia="zh-CN"/>
              </w:rPr>
              <w:t>1）、</w:t>
            </w:r>
            <w:r>
              <w:rPr>
                <w:rFonts w:hint="eastAsia" w:ascii="仿宋" w:hAnsi="仿宋" w:eastAsia="仿宋" w:cs="仿宋"/>
                <w:b w:val="0"/>
                <w:bCs w:val="0"/>
                <w:color w:val="auto"/>
                <w:sz w:val="24"/>
                <w:highlight w:val="none"/>
                <w:lang w:eastAsia="zh-CN"/>
              </w:rPr>
              <w:t>细水雾消防车</w:t>
            </w:r>
            <w:r>
              <w:rPr>
                <w:rFonts w:hint="eastAsia" w:ascii="仿宋" w:hAnsi="仿宋" w:eastAsia="仿宋" w:cs="仿宋"/>
                <w:b w:val="0"/>
                <w:bCs w:val="0"/>
                <w:color w:val="auto"/>
                <w:sz w:val="24"/>
                <w:highlight w:val="none"/>
                <w:lang w:val="en-US" w:eastAsia="zh-CN"/>
              </w:rPr>
              <w:t>：1辆；</w:t>
            </w:r>
          </w:p>
          <w:p>
            <w:pPr>
              <w:widowControl/>
              <w:numPr>
                <w:ilvl w:val="0"/>
                <w:numId w:val="0"/>
              </w:numPr>
              <w:adjustRightInd/>
              <w:spacing w:after="120" w:line="360" w:lineRule="auto"/>
              <w:textAlignment w:val="baseline"/>
              <w:rPr>
                <w:rFonts w:hint="eastAsia" w:ascii="仿宋" w:hAnsi="仿宋" w:eastAsia="仿宋" w:cs="仿宋"/>
                <w:b w:val="0"/>
                <w:bCs w:val="0"/>
                <w:color w:val="auto"/>
                <w:sz w:val="21"/>
                <w:szCs w:val="21"/>
                <w:highlight w:val="none"/>
                <w:lang w:val="en-US" w:eastAsia="zh-CN"/>
              </w:rPr>
            </w:pPr>
            <w:r>
              <w:rPr>
                <w:rFonts w:hint="eastAsia" w:ascii="仿宋" w:hAnsi="仿宋" w:eastAsia="仿宋" w:cs="仿宋"/>
                <w:b w:val="0"/>
                <w:bCs w:val="0"/>
                <w:color w:val="auto"/>
                <w:sz w:val="24"/>
                <w:highlight w:val="none"/>
                <w:lang w:val="en-US" w:eastAsia="zh-CN"/>
              </w:rPr>
              <w:t>2）、宣传检查新能源车：1辆；</w:t>
            </w:r>
          </w:p>
        </w:tc>
        <w:tc>
          <w:tcPr>
            <w:tcW w:w="3859" w:type="dxa"/>
            <w:vMerge w:val="continue"/>
            <w:vAlign w:val="center"/>
          </w:tcPr>
          <w:p>
            <w:pPr>
              <w:widowControl/>
              <w:numPr>
                <w:ilvl w:val="0"/>
                <w:numId w:val="0"/>
              </w:numPr>
              <w:adjustRightInd/>
              <w:spacing w:after="120" w:line="360" w:lineRule="auto"/>
              <w:textAlignment w:val="baseline"/>
              <w:rPr>
                <w:rFonts w:hint="eastAsia" w:ascii="仿宋" w:hAnsi="仿宋" w:eastAsia="仿宋" w:cs="仿宋"/>
                <w:b w:val="0"/>
                <w:bCs w:val="0"/>
                <w:color w:val="auto"/>
                <w:sz w:val="24"/>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15" w:type="dxa"/>
            <w:vAlign w:val="center"/>
          </w:tcPr>
          <w:p>
            <w:pPr>
              <w:widowControl w:val="0"/>
              <w:wordWrap/>
              <w:spacing w:afterAutospacing="0" w:line="240" w:lineRule="auto"/>
              <w:ind w:left="0" w:leftChars="0" w:right="0"/>
              <w:jc w:val="center"/>
              <w:rPr>
                <w:rFonts w:hint="eastAsia" w:ascii="仿宋" w:hAnsi="仿宋" w:eastAsia="仿宋" w:cs="仿宋"/>
                <w:b w:val="0"/>
                <w:bCs w:val="0"/>
                <w:color w:val="auto"/>
                <w:sz w:val="24"/>
                <w:highlight w:val="none"/>
                <w:lang w:val="en-US" w:eastAsia="zh-CN"/>
              </w:rPr>
            </w:pPr>
            <w:r>
              <w:rPr>
                <w:rFonts w:hint="eastAsia" w:ascii="仿宋" w:hAnsi="仿宋" w:eastAsia="仿宋" w:cs="仿宋"/>
                <w:b w:val="0"/>
                <w:bCs w:val="0"/>
                <w:color w:val="auto"/>
                <w:sz w:val="24"/>
                <w:szCs w:val="24"/>
                <w:highlight w:val="none"/>
                <w:lang w:val="en-US" w:eastAsia="zh-CN"/>
              </w:rPr>
              <w:t>义桥区域性微型消防救援站</w:t>
            </w:r>
          </w:p>
        </w:tc>
        <w:tc>
          <w:tcPr>
            <w:tcW w:w="3879" w:type="dxa"/>
            <w:vAlign w:val="center"/>
          </w:tcPr>
          <w:p>
            <w:pPr>
              <w:widowControl/>
              <w:numPr>
                <w:ilvl w:val="0"/>
                <w:numId w:val="0"/>
              </w:numPr>
              <w:adjustRightInd/>
              <w:spacing w:after="120" w:line="360" w:lineRule="auto"/>
              <w:textAlignment w:val="baseline"/>
              <w:rPr>
                <w:rFonts w:hint="eastAsia" w:ascii="仿宋" w:hAnsi="仿宋" w:eastAsia="仿宋" w:cs="仿宋"/>
                <w:b w:val="0"/>
                <w:bCs w:val="0"/>
                <w:color w:val="auto"/>
                <w:sz w:val="24"/>
                <w:highlight w:val="none"/>
                <w:lang w:val="en-US" w:eastAsia="zh-CN"/>
              </w:rPr>
            </w:pPr>
            <w:r>
              <w:rPr>
                <w:rFonts w:hint="eastAsia" w:ascii="仿宋" w:hAnsi="仿宋" w:eastAsia="仿宋" w:cs="仿宋"/>
                <w:b w:val="0"/>
                <w:bCs w:val="0"/>
                <w:color w:val="auto"/>
                <w:sz w:val="24"/>
                <w:highlight w:val="none"/>
                <w:lang w:val="en-US" w:eastAsia="zh-CN"/>
              </w:rPr>
              <w:t>1）、3.8吨泡沫水罐消防车：1辆；</w:t>
            </w:r>
          </w:p>
          <w:p>
            <w:pPr>
              <w:widowControl/>
              <w:numPr>
                <w:ilvl w:val="0"/>
                <w:numId w:val="0"/>
              </w:numPr>
              <w:adjustRightInd/>
              <w:spacing w:after="120" w:line="360" w:lineRule="auto"/>
              <w:textAlignment w:val="baseline"/>
              <w:rPr>
                <w:rFonts w:hint="default" w:ascii="仿宋" w:hAnsi="仿宋" w:eastAsia="仿宋" w:cs="仿宋"/>
                <w:b w:val="0"/>
                <w:bCs w:val="0"/>
                <w:color w:val="auto"/>
                <w:sz w:val="24"/>
                <w:highlight w:val="none"/>
                <w:lang w:val="en-US" w:eastAsia="zh-CN"/>
              </w:rPr>
            </w:pPr>
            <w:r>
              <w:rPr>
                <w:rFonts w:hint="eastAsia" w:ascii="仿宋" w:hAnsi="仿宋" w:eastAsia="仿宋" w:cs="仿宋"/>
                <w:b w:val="0"/>
                <w:bCs w:val="0"/>
                <w:color w:val="auto"/>
                <w:sz w:val="24"/>
                <w:highlight w:val="none"/>
                <w:lang w:val="en-US" w:eastAsia="zh-CN"/>
              </w:rPr>
              <w:t>2）、细水雾消防车：1辆；</w:t>
            </w:r>
          </w:p>
          <w:p>
            <w:pPr>
              <w:widowControl/>
              <w:adjustRightInd/>
              <w:spacing w:after="120" w:line="360" w:lineRule="auto"/>
              <w:textAlignment w:val="baseline"/>
              <w:rPr>
                <w:rFonts w:hint="eastAsia" w:ascii="仿宋" w:hAnsi="仿宋" w:eastAsia="仿宋" w:cs="仿宋"/>
                <w:b w:val="0"/>
                <w:bCs w:val="0"/>
                <w:color w:val="auto"/>
                <w:sz w:val="21"/>
                <w:szCs w:val="21"/>
                <w:highlight w:val="none"/>
                <w:lang w:val="en-US" w:eastAsia="zh-CN"/>
              </w:rPr>
            </w:pPr>
            <w:r>
              <w:rPr>
                <w:rFonts w:hint="eastAsia" w:ascii="仿宋" w:hAnsi="仿宋" w:eastAsia="仿宋" w:cs="仿宋"/>
                <w:b w:val="0"/>
                <w:bCs w:val="0"/>
                <w:color w:val="auto"/>
                <w:sz w:val="24"/>
                <w:highlight w:val="none"/>
                <w:lang w:val="en-US" w:eastAsia="zh-CN"/>
              </w:rPr>
              <w:t>3）、宣传检查新能源车：1辆；</w:t>
            </w:r>
          </w:p>
        </w:tc>
        <w:tc>
          <w:tcPr>
            <w:tcW w:w="3859" w:type="dxa"/>
            <w:vMerge w:val="continue"/>
            <w:vAlign w:val="center"/>
          </w:tcPr>
          <w:p>
            <w:pPr>
              <w:widowControl/>
              <w:adjustRightInd/>
              <w:spacing w:after="120" w:line="360" w:lineRule="auto"/>
              <w:textAlignment w:val="baseline"/>
              <w:rPr>
                <w:rFonts w:hint="eastAsia" w:ascii="仿宋" w:hAnsi="仿宋" w:eastAsia="仿宋" w:cs="仿宋"/>
                <w:b w:val="0"/>
                <w:bCs w:val="0"/>
                <w:color w:val="auto"/>
                <w:sz w:val="24"/>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15" w:type="dxa"/>
            <w:vAlign w:val="center"/>
          </w:tcPr>
          <w:p>
            <w:pPr>
              <w:widowControl w:val="0"/>
              <w:wordWrap/>
              <w:spacing w:afterAutospacing="0" w:line="240" w:lineRule="auto"/>
              <w:ind w:left="0" w:leftChars="0" w:right="0"/>
              <w:jc w:val="center"/>
              <w:rPr>
                <w:rFonts w:hint="eastAsia" w:ascii="仿宋" w:hAnsi="仿宋" w:eastAsia="仿宋" w:cs="仿宋"/>
                <w:b w:val="0"/>
                <w:bCs w:val="0"/>
                <w:color w:val="auto"/>
                <w:sz w:val="24"/>
                <w:highlight w:val="none"/>
                <w:lang w:val="en-US" w:eastAsia="zh-CN"/>
              </w:rPr>
            </w:pPr>
            <w:r>
              <w:rPr>
                <w:rFonts w:hint="eastAsia" w:ascii="仿宋" w:hAnsi="仿宋" w:eastAsia="仿宋" w:cs="仿宋"/>
                <w:b w:val="0"/>
                <w:bCs w:val="0"/>
                <w:color w:val="auto"/>
                <w:sz w:val="24"/>
                <w:szCs w:val="24"/>
                <w:highlight w:val="none"/>
                <w:lang w:val="en-US" w:eastAsia="zh-CN"/>
              </w:rPr>
              <w:t>竹园区域性微型消防救援站</w:t>
            </w:r>
          </w:p>
        </w:tc>
        <w:tc>
          <w:tcPr>
            <w:tcW w:w="3879" w:type="dxa"/>
            <w:vAlign w:val="center"/>
          </w:tcPr>
          <w:p>
            <w:pPr>
              <w:widowControl/>
              <w:numPr>
                <w:ilvl w:val="0"/>
                <w:numId w:val="0"/>
              </w:numPr>
              <w:adjustRightInd/>
              <w:spacing w:after="120" w:line="360" w:lineRule="auto"/>
              <w:textAlignment w:val="baseline"/>
              <w:rPr>
                <w:rFonts w:hint="eastAsia" w:ascii="仿宋" w:hAnsi="仿宋" w:eastAsia="仿宋" w:cs="仿宋"/>
                <w:b w:val="0"/>
                <w:bCs w:val="0"/>
                <w:color w:val="auto"/>
                <w:sz w:val="24"/>
                <w:highlight w:val="none"/>
                <w:lang w:eastAsia="zh-CN"/>
              </w:rPr>
            </w:pPr>
            <w:r>
              <w:rPr>
                <w:rFonts w:hint="eastAsia" w:ascii="仿宋" w:hAnsi="仿宋" w:eastAsia="仿宋" w:cs="仿宋"/>
                <w:b w:val="0"/>
                <w:bCs w:val="0"/>
                <w:color w:val="auto"/>
                <w:sz w:val="24"/>
                <w:highlight w:val="none"/>
                <w:lang w:val="en-US" w:eastAsia="zh-CN"/>
              </w:rPr>
              <w:t>1）、</w:t>
            </w:r>
            <w:r>
              <w:rPr>
                <w:rFonts w:hint="eastAsia" w:ascii="仿宋" w:hAnsi="仿宋" w:eastAsia="仿宋" w:cs="仿宋"/>
                <w:b w:val="0"/>
                <w:bCs w:val="0"/>
                <w:color w:val="auto"/>
                <w:sz w:val="24"/>
                <w:highlight w:val="none"/>
                <w:lang w:eastAsia="zh-CN"/>
              </w:rPr>
              <w:t>细水雾消防车</w:t>
            </w:r>
            <w:r>
              <w:rPr>
                <w:rFonts w:hint="eastAsia" w:ascii="仿宋" w:hAnsi="仿宋" w:eastAsia="仿宋" w:cs="仿宋"/>
                <w:b w:val="0"/>
                <w:bCs w:val="0"/>
                <w:color w:val="auto"/>
                <w:sz w:val="24"/>
                <w:highlight w:val="none"/>
                <w:lang w:val="en-US" w:eastAsia="zh-CN"/>
              </w:rPr>
              <w:t>：1辆；</w:t>
            </w:r>
          </w:p>
          <w:p>
            <w:pPr>
              <w:widowControl/>
              <w:adjustRightInd/>
              <w:spacing w:after="120" w:line="360" w:lineRule="auto"/>
              <w:textAlignment w:val="baseline"/>
              <w:rPr>
                <w:rFonts w:hint="eastAsia" w:ascii="仿宋" w:hAnsi="仿宋" w:eastAsia="仿宋" w:cs="仿宋"/>
                <w:b w:val="0"/>
                <w:bCs w:val="0"/>
                <w:color w:val="auto"/>
                <w:sz w:val="21"/>
                <w:szCs w:val="21"/>
                <w:highlight w:val="none"/>
                <w:lang w:val="en-US" w:eastAsia="zh-CN"/>
              </w:rPr>
            </w:pPr>
            <w:r>
              <w:rPr>
                <w:rFonts w:hint="eastAsia" w:ascii="仿宋" w:hAnsi="仿宋" w:eastAsia="仿宋" w:cs="仿宋"/>
                <w:b w:val="0"/>
                <w:bCs w:val="0"/>
                <w:color w:val="auto"/>
                <w:sz w:val="24"/>
                <w:highlight w:val="none"/>
                <w:lang w:val="en-US" w:eastAsia="zh-CN"/>
              </w:rPr>
              <w:t>2）、宣传检查新能源车：1辆；</w:t>
            </w:r>
          </w:p>
        </w:tc>
        <w:tc>
          <w:tcPr>
            <w:tcW w:w="3859" w:type="dxa"/>
            <w:vMerge w:val="continue"/>
            <w:vAlign w:val="center"/>
          </w:tcPr>
          <w:p>
            <w:pPr>
              <w:widowControl/>
              <w:adjustRightInd/>
              <w:spacing w:after="120" w:line="360" w:lineRule="auto"/>
              <w:textAlignment w:val="baseline"/>
              <w:rPr>
                <w:rFonts w:hint="eastAsia" w:ascii="仿宋" w:hAnsi="仿宋" w:eastAsia="仿宋" w:cs="仿宋"/>
                <w:b w:val="0"/>
                <w:bCs w:val="0"/>
                <w:color w:val="auto"/>
                <w:sz w:val="24"/>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15" w:type="dxa"/>
            <w:vAlign w:val="center"/>
          </w:tcPr>
          <w:p>
            <w:pPr>
              <w:widowControl w:val="0"/>
              <w:wordWrap/>
              <w:spacing w:afterAutospacing="0" w:line="240" w:lineRule="auto"/>
              <w:ind w:left="0" w:leftChars="0" w:right="0"/>
              <w:jc w:val="center"/>
              <w:rPr>
                <w:rFonts w:hint="eastAsia" w:ascii="仿宋" w:hAnsi="仿宋" w:eastAsia="仿宋" w:cs="仿宋"/>
                <w:b w:val="0"/>
                <w:bCs w:val="0"/>
                <w:color w:val="auto"/>
                <w:sz w:val="24"/>
                <w:highlight w:val="none"/>
                <w:lang w:val="en-US" w:eastAsia="zh-CN"/>
              </w:rPr>
            </w:pPr>
            <w:r>
              <w:rPr>
                <w:rFonts w:hint="eastAsia" w:ascii="仿宋" w:hAnsi="仿宋" w:eastAsia="仿宋" w:cs="仿宋"/>
                <w:b w:val="0"/>
                <w:bCs w:val="0"/>
                <w:color w:val="auto"/>
                <w:sz w:val="24"/>
                <w:szCs w:val="24"/>
                <w:highlight w:val="none"/>
                <w:lang w:val="en-US" w:eastAsia="zh-CN"/>
              </w:rPr>
              <w:t>洪桐区域性微型消防救援站</w:t>
            </w:r>
          </w:p>
        </w:tc>
        <w:tc>
          <w:tcPr>
            <w:tcW w:w="3879" w:type="dxa"/>
            <w:vAlign w:val="center"/>
          </w:tcPr>
          <w:p>
            <w:pPr>
              <w:widowControl/>
              <w:numPr>
                <w:ilvl w:val="0"/>
                <w:numId w:val="0"/>
              </w:numPr>
              <w:adjustRightInd/>
              <w:spacing w:after="120" w:line="360" w:lineRule="auto"/>
              <w:textAlignment w:val="baseline"/>
              <w:rPr>
                <w:rFonts w:hint="eastAsia" w:ascii="仿宋" w:hAnsi="仿宋" w:eastAsia="仿宋" w:cs="仿宋"/>
                <w:b w:val="0"/>
                <w:bCs w:val="0"/>
                <w:color w:val="auto"/>
                <w:sz w:val="24"/>
                <w:highlight w:val="none"/>
                <w:lang w:eastAsia="zh-CN"/>
              </w:rPr>
            </w:pPr>
            <w:r>
              <w:rPr>
                <w:rFonts w:hint="eastAsia" w:ascii="仿宋" w:hAnsi="仿宋" w:eastAsia="仿宋" w:cs="仿宋"/>
                <w:b w:val="0"/>
                <w:bCs w:val="0"/>
                <w:color w:val="auto"/>
                <w:sz w:val="24"/>
                <w:highlight w:val="none"/>
                <w:lang w:val="en-US" w:eastAsia="zh-CN"/>
              </w:rPr>
              <w:t>1）、</w:t>
            </w:r>
            <w:r>
              <w:rPr>
                <w:rFonts w:hint="eastAsia" w:ascii="仿宋" w:hAnsi="仿宋" w:eastAsia="仿宋" w:cs="仿宋"/>
                <w:b w:val="0"/>
                <w:bCs w:val="0"/>
                <w:color w:val="auto"/>
                <w:sz w:val="24"/>
                <w:highlight w:val="none"/>
                <w:lang w:eastAsia="zh-CN"/>
              </w:rPr>
              <w:t>细水雾消防车</w:t>
            </w:r>
            <w:r>
              <w:rPr>
                <w:rFonts w:hint="eastAsia" w:ascii="仿宋" w:hAnsi="仿宋" w:eastAsia="仿宋" w:cs="仿宋"/>
                <w:b w:val="0"/>
                <w:bCs w:val="0"/>
                <w:color w:val="auto"/>
                <w:sz w:val="24"/>
                <w:highlight w:val="none"/>
                <w:lang w:val="en-US" w:eastAsia="zh-CN"/>
              </w:rPr>
              <w:t>：1辆；</w:t>
            </w:r>
          </w:p>
          <w:p>
            <w:pPr>
              <w:widowControl/>
              <w:adjustRightInd/>
              <w:spacing w:after="120" w:line="360" w:lineRule="auto"/>
              <w:textAlignment w:val="baseline"/>
              <w:rPr>
                <w:rFonts w:hint="eastAsia" w:ascii="仿宋" w:hAnsi="仿宋" w:eastAsia="仿宋" w:cs="仿宋"/>
                <w:b w:val="0"/>
                <w:bCs w:val="0"/>
                <w:color w:val="auto"/>
                <w:sz w:val="21"/>
                <w:szCs w:val="21"/>
                <w:highlight w:val="none"/>
                <w:lang w:val="en-US" w:eastAsia="zh-CN"/>
              </w:rPr>
            </w:pPr>
            <w:r>
              <w:rPr>
                <w:rFonts w:hint="eastAsia" w:ascii="仿宋" w:hAnsi="仿宋" w:eastAsia="仿宋" w:cs="仿宋"/>
                <w:b w:val="0"/>
                <w:bCs w:val="0"/>
                <w:color w:val="auto"/>
                <w:sz w:val="24"/>
                <w:highlight w:val="none"/>
                <w:lang w:val="en-US" w:eastAsia="zh-CN"/>
              </w:rPr>
              <w:t>2）、宣传检查新能源车：1辆；</w:t>
            </w:r>
          </w:p>
        </w:tc>
        <w:tc>
          <w:tcPr>
            <w:tcW w:w="3859" w:type="dxa"/>
            <w:vMerge w:val="continue"/>
            <w:vAlign w:val="center"/>
          </w:tcPr>
          <w:p>
            <w:pPr>
              <w:widowControl/>
              <w:adjustRightInd/>
              <w:spacing w:after="120" w:line="360" w:lineRule="auto"/>
              <w:textAlignment w:val="baseline"/>
              <w:rPr>
                <w:rFonts w:hint="eastAsia" w:ascii="仿宋" w:hAnsi="仿宋" w:eastAsia="仿宋" w:cs="仿宋"/>
                <w:b w:val="0"/>
                <w:bCs w:val="0"/>
                <w:color w:val="auto"/>
                <w:sz w:val="24"/>
                <w:highlight w:val="none"/>
                <w:lang w:val="en-US" w:eastAsia="zh-CN"/>
              </w:rPr>
            </w:pPr>
          </w:p>
        </w:tc>
      </w:tr>
    </w:tbl>
    <w:p>
      <w:pPr>
        <w:pStyle w:val="60"/>
        <w:spacing w:line="360" w:lineRule="auto"/>
        <w:rPr>
          <w:rFonts w:hint="eastAsia" w:ascii="仿宋" w:hAnsi="仿宋" w:eastAsia="仿宋" w:cs="仿宋"/>
          <w:b/>
          <w:bCs/>
          <w:color w:val="auto"/>
          <w:szCs w:val="24"/>
          <w:highlight w:val="none"/>
          <w:lang w:val="en-US"/>
        </w:rPr>
      </w:pPr>
    </w:p>
    <w:p>
      <w:pPr>
        <w:widowControl/>
        <w:adjustRightInd/>
        <w:spacing w:after="120" w:line="360" w:lineRule="auto"/>
        <w:ind w:firstLine="480" w:firstLineChars="200"/>
        <w:textAlignment w:val="baseline"/>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1、消防车辆由中标单位负责提供</w:t>
      </w:r>
    </w:p>
    <w:p>
      <w:pPr>
        <w:widowControl/>
        <w:numPr>
          <w:ilvl w:val="0"/>
          <w:numId w:val="4"/>
        </w:numPr>
        <w:adjustRightInd/>
        <w:spacing w:after="120" w:line="360" w:lineRule="auto"/>
        <w:ind w:firstLine="480" w:firstLineChars="200"/>
        <w:textAlignment w:val="baseline"/>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宣传检查车辆由中标单位负责提供</w:t>
      </w:r>
    </w:p>
    <w:p>
      <w:pPr>
        <w:widowControl/>
        <w:numPr>
          <w:ilvl w:val="0"/>
          <w:numId w:val="4"/>
        </w:numPr>
        <w:adjustRightInd/>
        <w:spacing w:after="120" w:line="360" w:lineRule="auto"/>
        <w:ind w:firstLine="480" w:firstLineChars="200"/>
        <w:textAlignment w:val="baseline"/>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场地</w:t>
      </w:r>
      <w:r>
        <w:rPr>
          <w:rFonts w:hint="eastAsia" w:ascii="仿宋" w:hAnsi="仿宋" w:eastAsia="仿宋" w:cs="仿宋"/>
          <w:color w:val="auto"/>
          <w:sz w:val="24"/>
          <w:highlight w:val="none"/>
          <w:lang w:eastAsia="zh-CN"/>
        </w:rPr>
        <w:t>、相关</w:t>
      </w:r>
      <w:r>
        <w:rPr>
          <w:rFonts w:hint="eastAsia" w:ascii="仿宋" w:hAnsi="仿宋" w:eastAsia="仿宋" w:cs="仿宋"/>
          <w:color w:val="auto"/>
          <w:sz w:val="24"/>
          <w:highlight w:val="none"/>
        </w:rPr>
        <w:t>办公执勤用品</w:t>
      </w:r>
      <w:r>
        <w:rPr>
          <w:rFonts w:hint="eastAsia" w:ascii="仿宋" w:hAnsi="仿宋" w:eastAsia="仿宋" w:cs="仿宋"/>
          <w:color w:val="auto"/>
          <w:sz w:val="24"/>
          <w:highlight w:val="none"/>
          <w:lang w:eastAsia="zh-CN"/>
        </w:rPr>
        <w:t>、生活设施</w:t>
      </w:r>
    </w:p>
    <w:p>
      <w:pPr>
        <w:widowControl/>
        <w:numPr>
          <w:ilvl w:val="0"/>
          <w:numId w:val="0"/>
        </w:numPr>
        <w:adjustRightInd/>
        <w:spacing w:after="120" w:line="360" w:lineRule="auto"/>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各</w:t>
      </w:r>
      <w:r>
        <w:rPr>
          <w:rFonts w:hint="eastAsia" w:ascii="仿宋" w:hAnsi="仿宋" w:eastAsia="仿宋" w:cs="仿宋"/>
          <w:color w:val="auto"/>
          <w:sz w:val="24"/>
          <w:highlight w:val="none"/>
          <w:lang w:val="en-US" w:eastAsia="zh-CN"/>
        </w:rPr>
        <w:t>区域性</w:t>
      </w:r>
      <w:r>
        <w:rPr>
          <w:rFonts w:hint="eastAsia" w:ascii="仿宋" w:hAnsi="仿宋" w:eastAsia="仿宋" w:cs="仿宋"/>
          <w:color w:val="auto"/>
          <w:sz w:val="24"/>
          <w:highlight w:val="none"/>
        </w:rPr>
        <w:t>微型消防救援站的驻点场所由街道提供，相关办公执勤用品（办公桌、电脑、打印机、文件柜、受理调度</w:t>
      </w:r>
      <w:r>
        <w:rPr>
          <w:rFonts w:hint="eastAsia" w:ascii="仿宋" w:hAnsi="仿宋" w:eastAsia="仿宋" w:cs="仿宋"/>
          <w:color w:val="auto"/>
          <w:sz w:val="24"/>
          <w:highlight w:val="none"/>
          <w:lang w:eastAsia="zh-CN"/>
        </w:rPr>
        <w:t>系</w:t>
      </w:r>
      <w:r>
        <w:rPr>
          <w:rFonts w:hint="eastAsia" w:ascii="仿宋" w:hAnsi="仿宋" w:eastAsia="仿宋" w:cs="仿宋"/>
          <w:color w:val="auto"/>
          <w:sz w:val="24"/>
          <w:highlight w:val="none"/>
        </w:rPr>
        <w:t>统、联网监控大屏等）、</w:t>
      </w:r>
      <w:r>
        <w:rPr>
          <w:rFonts w:hint="eastAsia" w:ascii="仿宋" w:hAnsi="仿宋" w:eastAsia="仿宋" w:cs="仿宋"/>
          <w:color w:val="auto"/>
          <w:sz w:val="24"/>
          <w:highlight w:val="none"/>
          <w:lang w:val="en-US" w:eastAsia="zh-CN"/>
        </w:rPr>
        <w:t>部分</w:t>
      </w:r>
      <w:r>
        <w:rPr>
          <w:rFonts w:hint="eastAsia" w:ascii="仿宋" w:hAnsi="仿宋" w:eastAsia="仿宋" w:cs="仿宋"/>
          <w:color w:val="auto"/>
          <w:sz w:val="24"/>
          <w:highlight w:val="none"/>
        </w:rPr>
        <w:t>生活设施由街道配置，</w:t>
      </w:r>
      <w:r>
        <w:rPr>
          <w:rFonts w:hint="eastAsia" w:ascii="仿宋" w:hAnsi="仿宋" w:eastAsia="仿宋" w:cs="仿宋"/>
          <w:color w:val="auto"/>
          <w:sz w:val="24"/>
          <w:highlight w:val="none"/>
          <w:lang w:eastAsia="zh-CN"/>
        </w:rPr>
        <w:t>宣传</w:t>
      </w:r>
      <w:r>
        <w:rPr>
          <w:rFonts w:hint="eastAsia" w:ascii="仿宋" w:hAnsi="仿宋" w:eastAsia="仿宋" w:cs="仿宋"/>
          <w:color w:val="auto"/>
          <w:sz w:val="24"/>
          <w:highlight w:val="none"/>
          <w:lang w:val="en-US" w:eastAsia="zh-CN"/>
        </w:rPr>
        <w:t>相关资料</w:t>
      </w:r>
      <w:r>
        <w:rPr>
          <w:rFonts w:hint="eastAsia" w:ascii="仿宋" w:hAnsi="仿宋" w:eastAsia="仿宋" w:cs="仿宋"/>
          <w:color w:val="auto"/>
          <w:sz w:val="24"/>
          <w:highlight w:val="none"/>
          <w:lang w:eastAsia="zh-CN"/>
        </w:rPr>
        <w:t>、水电费等均由</w:t>
      </w:r>
      <w:r>
        <w:rPr>
          <w:rFonts w:hint="eastAsia" w:ascii="仿宋" w:hAnsi="仿宋" w:eastAsia="仿宋" w:cs="仿宋"/>
          <w:color w:val="auto"/>
          <w:sz w:val="24"/>
          <w:highlight w:val="none"/>
        </w:rPr>
        <w:t>街道</w:t>
      </w:r>
      <w:r>
        <w:rPr>
          <w:rFonts w:hint="eastAsia" w:ascii="仿宋" w:hAnsi="仿宋" w:eastAsia="仿宋" w:cs="仿宋"/>
          <w:color w:val="auto"/>
          <w:sz w:val="24"/>
          <w:highlight w:val="none"/>
          <w:lang w:eastAsia="zh-CN"/>
        </w:rPr>
        <w:t>承担，</w:t>
      </w:r>
      <w:r>
        <w:rPr>
          <w:rFonts w:hint="eastAsia" w:ascii="仿宋" w:hAnsi="仿宋" w:eastAsia="仿宋" w:cs="仿宋"/>
          <w:color w:val="auto"/>
          <w:sz w:val="24"/>
          <w:highlight w:val="none"/>
        </w:rPr>
        <w:t>确保站点正常运行。</w:t>
      </w:r>
    </w:p>
    <w:p>
      <w:pPr>
        <w:widowControl/>
        <w:adjustRightInd/>
        <w:spacing w:after="120" w:line="360" w:lineRule="auto"/>
        <w:ind w:firstLine="480" w:firstLineChars="200"/>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相关人员服装</w:t>
      </w:r>
    </w:p>
    <w:p>
      <w:pPr>
        <w:widowControl/>
        <w:adjustRightInd/>
        <w:spacing w:after="120" w:line="360" w:lineRule="auto"/>
        <w:ind w:firstLine="480" w:firstLineChars="200"/>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服装</w:t>
      </w:r>
      <w:r>
        <w:rPr>
          <w:rFonts w:hint="eastAsia" w:ascii="仿宋" w:hAnsi="仿宋" w:eastAsia="仿宋" w:cs="仿宋"/>
          <w:color w:val="auto"/>
          <w:sz w:val="24"/>
          <w:highlight w:val="none"/>
        </w:rPr>
        <w:t>由</w:t>
      </w:r>
      <w:r>
        <w:rPr>
          <w:rFonts w:hint="eastAsia" w:ascii="仿宋" w:hAnsi="仿宋" w:eastAsia="仿宋" w:cs="仿宋"/>
          <w:color w:val="auto"/>
          <w:sz w:val="24"/>
          <w:highlight w:val="none"/>
          <w:lang w:val="en-US" w:eastAsia="zh-CN"/>
        </w:rPr>
        <w:t>中标单位负责提供</w:t>
      </w:r>
      <w:r>
        <w:rPr>
          <w:rFonts w:hint="eastAsia" w:ascii="仿宋" w:hAnsi="仿宋" w:eastAsia="仿宋" w:cs="仿宋"/>
          <w:color w:val="auto"/>
          <w:sz w:val="24"/>
          <w:highlight w:val="none"/>
          <w:lang w:eastAsia="zh-CN"/>
        </w:rPr>
        <w:t>质量必须符合</w:t>
      </w:r>
      <w:r>
        <w:rPr>
          <w:rFonts w:hint="eastAsia" w:ascii="仿宋" w:hAnsi="仿宋" w:eastAsia="仿宋" w:cs="仿宋"/>
          <w:color w:val="auto"/>
          <w:sz w:val="24"/>
          <w:highlight w:val="none"/>
          <w:lang w:val="en-US" w:eastAsia="zh-CN"/>
        </w:rPr>
        <w:t>区域性</w:t>
      </w:r>
      <w:r>
        <w:rPr>
          <w:rFonts w:hint="eastAsia" w:ascii="仿宋" w:hAnsi="仿宋" w:eastAsia="仿宋" w:cs="仿宋"/>
          <w:color w:val="auto"/>
          <w:sz w:val="24"/>
          <w:highlight w:val="none"/>
        </w:rPr>
        <w:t>微型消防</w:t>
      </w:r>
      <w:r>
        <w:rPr>
          <w:rFonts w:hint="eastAsia" w:ascii="仿宋" w:hAnsi="仿宋" w:eastAsia="仿宋" w:cs="仿宋"/>
          <w:color w:val="auto"/>
          <w:sz w:val="24"/>
          <w:highlight w:val="none"/>
          <w:lang w:val="en-US" w:eastAsia="zh-CN"/>
        </w:rPr>
        <w:t>救援</w:t>
      </w:r>
      <w:r>
        <w:rPr>
          <w:rFonts w:hint="eastAsia" w:ascii="仿宋" w:hAnsi="仿宋" w:eastAsia="仿宋" w:cs="仿宋"/>
          <w:color w:val="auto"/>
          <w:sz w:val="24"/>
          <w:highlight w:val="none"/>
        </w:rPr>
        <w:t>站</w:t>
      </w:r>
      <w:r>
        <w:rPr>
          <w:rFonts w:hint="eastAsia" w:ascii="仿宋" w:hAnsi="仿宋" w:eastAsia="仿宋" w:cs="仿宋"/>
          <w:color w:val="auto"/>
          <w:sz w:val="24"/>
          <w:highlight w:val="none"/>
          <w:lang w:eastAsia="zh-CN"/>
        </w:rPr>
        <w:t>服装标准，</w:t>
      </w:r>
      <w:r>
        <w:rPr>
          <w:rFonts w:hint="eastAsia" w:ascii="仿宋" w:hAnsi="仿宋" w:eastAsia="仿宋" w:cs="仿宋"/>
          <w:color w:val="auto"/>
          <w:sz w:val="24"/>
          <w:highlight w:val="none"/>
        </w:rPr>
        <w:t>要求如下：</w:t>
      </w:r>
    </w:p>
    <w:p>
      <w:pPr>
        <w:widowControl/>
        <w:numPr>
          <w:ilvl w:val="0"/>
          <w:numId w:val="5"/>
        </w:numPr>
        <w:adjustRightInd/>
        <w:spacing w:after="120" w:line="360" w:lineRule="auto"/>
        <w:ind w:left="-60" w:leftChars="0" w:firstLine="480" w:firstLineChars="0"/>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每人需配发冬装、春秋装和夏装各二套：雨靴一双、雨衣一件；夏季T桖两件；春秋季T桖一件；夏春秋执勤服各一套；夏、冬季作战靴各一双；腰带一根；战训帽一顶；冬多功能服一件；</w:t>
      </w:r>
    </w:p>
    <w:p>
      <w:pPr>
        <w:widowControl/>
        <w:adjustRightInd/>
        <w:spacing w:after="120" w:line="360" w:lineRule="auto"/>
        <w:ind w:firstLine="480" w:firstLineChars="200"/>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余杭街道区域性</w:t>
      </w:r>
      <w:r>
        <w:rPr>
          <w:rFonts w:hint="eastAsia" w:ascii="仿宋" w:hAnsi="仿宋" w:eastAsia="仿宋" w:cs="仿宋"/>
          <w:color w:val="auto"/>
          <w:sz w:val="24"/>
          <w:highlight w:val="none"/>
        </w:rPr>
        <w:t>微型消防</w:t>
      </w:r>
      <w:r>
        <w:rPr>
          <w:rFonts w:hint="eastAsia" w:ascii="仿宋" w:hAnsi="仿宋" w:eastAsia="仿宋" w:cs="仿宋"/>
          <w:color w:val="auto"/>
          <w:sz w:val="24"/>
          <w:highlight w:val="none"/>
          <w:lang w:val="en-US" w:eastAsia="zh-CN"/>
        </w:rPr>
        <w:t>救援</w:t>
      </w:r>
      <w:r>
        <w:rPr>
          <w:rFonts w:hint="eastAsia" w:ascii="仿宋" w:hAnsi="仿宋" w:eastAsia="仿宋" w:cs="仿宋"/>
          <w:color w:val="auto"/>
          <w:sz w:val="24"/>
          <w:highlight w:val="none"/>
        </w:rPr>
        <w:t>站队员执勤期间着统一服装，随身佩戴统一的标识。</w:t>
      </w:r>
    </w:p>
    <w:p>
      <w:pPr>
        <w:pStyle w:val="60"/>
        <w:spacing w:line="360" w:lineRule="auto"/>
        <w:jc w:val="center"/>
        <w:rPr>
          <w:rFonts w:hint="eastAsia" w:ascii="仿宋" w:hAnsi="仿宋" w:eastAsia="仿宋" w:cs="仿宋"/>
          <w:color w:val="auto"/>
          <w:highlight w:val="none"/>
          <w:lang w:eastAsia="zh-CN"/>
        </w:rPr>
      </w:pPr>
      <w:r>
        <w:rPr>
          <w:rFonts w:hint="eastAsia" w:ascii="仿宋" w:hAnsi="仿宋" w:eastAsia="仿宋" w:cs="仿宋"/>
          <w:snapToGrid w:val="0"/>
          <w:color w:val="auto"/>
          <w:kern w:val="2"/>
          <w:sz w:val="32"/>
          <w:szCs w:val="32"/>
          <w:highlight w:val="none"/>
          <w:lang w:val="zh-CN" w:eastAsia="zh-CN" w:bidi="ar-SA"/>
        </w:rPr>
        <w:drawing>
          <wp:inline distT="0" distB="0" distL="114300" distR="114300">
            <wp:extent cx="2597785" cy="3862705"/>
            <wp:effectExtent l="0" t="0" r="5715" b="10795"/>
            <wp:docPr id="1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0"/>
                    <pic:cNvPicPr>
                      <a:picLocks noChangeAspect="1"/>
                    </pic:cNvPicPr>
                  </pic:nvPicPr>
                  <pic:blipFill>
                    <a:blip r:embed="rId36">
                      <a:lum/>
                    </a:blip>
                    <a:stretch>
                      <a:fillRect/>
                    </a:stretch>
                  </pic:blipFill>
                  <pic:spPr>
                    <a:xfrm>
                      <a:off x="0" y="0"/>
                      <a:ext cx="2597785" cy="3862705"/>
                    </a:xfrm>
                    <a:prstGeom prst="rect">
                      <a:avLst/>
                    </a:prstGeom>
                    <a:noFill/>
                    <a:ln>
                      <a:noFill/>
                    </a:ln>
                  </pic:spPr>
                </pic:pic>
              </a:graphicData>
            </a:graphic>
          </wp:inline>
        </w:drawing>
      </w:r>
    </w:p>
    <w:p>
      <w:pPr>
        <w:widowControl/>
        <w:numPr>
          <w:ilvl w:val="0"/>
          <w:numId w:val="5"/>
        </w:numPr>
        <w:adjustRightInd/>
        <w:spacing w:after="120" w:line="360" w:lineRule="auto"/>
        <w:ind w:left="-60" w:leftChars="0" w:firstLine="480" w:firstLineChars="0"/>
        <w:textAlignment w:val="baseline"/>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rPr>
        <w:t>胸标和其他设备标识</w:t>
      </w:r>
      <w:r>
        <w:rPr>
          <w:rFonts w:hint="eastAsia" w:ascii="仿宋" w:hAnsi="仿宋" w:eastAsia="仿宋" w:cs="仿宋"/>
          <w:color w:val="auto"/>
          <w:sz w:val="24"/>
          <w:highlight w:val="none"/>
          <w:lang w:val="en-US" w:eastAsia="zh-CN"/>
        </w:rPr>
        <w:t xml:space="preserve"> </w:t>
      </w:r>
    </w:p>
    <w:p>
      <w:pPr>
        <w:pStyle w:val="4"/>
        <w:numPr>
          <w:ilvl w:val="0"/>
          <w:numId w:val="0"/>
        </w:numPr>
        <w:spacing w:line="360" w:lineRule="auto"/>
        <w:ind w:left="420" w:leftChars="0"/>
        <w:jc w:val="center"/>
        <w:rPr>
          <w:rFonts w:hint="eastAsia" w:ascii="仿宋" w:hAnsi="仿宋" w:eastAsia="仿宋" w:cs="仿宋"/>
          <w:color w:val="auto"/>
          <w:highlight w:val="none"/>
          <w:lang w:val="en-US" w:eastAsia="zh-CN"/>
        </w:rPr>
      </w:pPr>
      <w:r>
        <w:rPr>
          <w:rFonts w:hint="eastAsia" w:ascii="仿宋" w:hAnsi="仿宋" w:eastAsia="仿宋" w:cs="仿宋"/>
          <w:b/>
          <w:bCs/>
          <w:color w:val="auto"/>
          <w:kern w:val="2"/>
          <w:sz w:val="32"/>
          <w:szCs w:val="32"/>
          <w:highlight w:val="none"/>
          <w:lang w:val="en-US" w:eastAsia="zh-CN" w:bidi="ar-SA"/>
        </w:rPr>
        <w:drawing>
          <wp:inline distT="0" distB="0" distL="114300" distR="114300">
            <wp:extent cx="3084195" cy="1525270"/>
            <wp:effectExtent l="0" t="0" r="1905" b="11430"/>
            <wp:docPr id="1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1"/>
                    <pic:cNvPicPr>
                      <a:picLocks noChangeAspect="1"/>
                    </pic:cNvPicPr>
                  </pic:nvPicPr>
                  <pic:blipFill>
                    <a:blip r:embed="rId37">
                      <a:lum/>
                    </a:blip>
                    <a:stretch>
                      <a:fillRect/>
                    </a:stretch>
                  </pic:blipFill>
                  <pic:spPr>
                    <a:xfrm>
                      <a:off x="0" y="0"/>
                      <a:ext cx="3084195" cy="1525270"/>
                    </a:xfrm>
                    <a:prstGeom prst="rect">
                      <a:avLst/>
                    </a:prstGeom>
                    <a:noFill/>
                    <a:ln>
                      <a:noFill/>
                    </a:ln>
                  </pic:spPr>
                </pic:pic>
              </a:graphicData>
            </a:graphic>
          </wp:inline>
        </w:drawing>
      </w:r>
    </w:p>
    <w:p>
      <w:pPr>
        <w:widowControl/>
        <w:adjustRightInd/>
        <w:spacing w:after="120" w:line="360" w:lineRule="auto"/>
        <w:ind w:firstLine="480" w:firstLineChars="200"/>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胸标：高度</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cm，采用魔术贴粘贴于日常工作服装和战斗服左胸前。其他设备标识：标准高度</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cm，可按比例缩放。位于设备中间或其它显眼位置。</w:t>
      </w:r>
    </w:p>
    <w:p>
      <w:pPr>
        <w:widowControl/>
        <w:numPr>
          <w:ilvl w:val="0"/>
          <w:numId w:val="5"/>
        </w:numPr>
        <w:adjustRightInd/>
        <w:spacing w:after="120" w:line="360" w:lineRule="auto"/>
        <w:ind w:left="-60" w:leftChars="0" w:firstLine="480" w:firstLineChars="0"/>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袖标</w:t>
      </w:r>
    </w:p>
    <w:p>
      <w:pPr>
        <w:pStyle w:val="4"/>
        <w:numPr>
          <w:ilvl w:val="0"/>
          <w:numId w:val="0"/>
        </w:numPr>
        <w:spacing w:line="360" w:lineRule="auto"/>
        <w:ind w:left="420" w:leftChars="0"/>
        <w:rPr>
          <w:rFonts w:hint="eastAsia" w:ascii="仿宋" w:hAnsi="仿宋" w:eastAsia="仿宋" w:cs="仿宋"/>
          <w:color w:val="auto"/>
          <w:highlight w:val="none"/>
          <w:lang w:eastAsia="zh-CN"/>
        </w:rPr>
      </w:pPr>
      <w:r>
        <w:rPr>
          <w:rFonts w:hint="eastAsia" w:ascii="仿宋" w:hAnsi="仿宋" w:eastAsia="仿宋" w:cs="仿宋"/>
          <w:b/>
          <w:bCs/>
          <w:color w:val="auto"/>
          <w:kern w:val="2"/>
          <w:sz w:val="32"/>
          <w:szCs w:val="32"/>
          <w:highlight w:val="none"/>
          <w:lang w:val="zh-CN" w:eastAsia="zh-CN" w:bidi="ar-SA"/>
        </w:rPr>
        <w:drawing>
          <wp:inline distT="0" distB="0" distL="114300" distR="114300">
            <wp:extent cx="4757420" cy="1398270"/>
            <wp:effectExtent l="0" t="0" r="5080" b="11430"/>
            <wp:docPr id="1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2"/>
                    <pic:cNvPicPr>
                      <a:picLocks noChangeAspect="1"/>
                    </pic:cNvPicPr>
                  </pic:nvPicPr>
                  <pic:blipFill>
                    <a:blip r:embed="rId38">
                      <a:lum/>
                    </a:blip>
                    <a:stretch>
                      <a:fillRect/>
                    </a:stretch>
                  </pic:blipFill>
                  <pic:spPr>
                    <a:xfrm>
                      <a:off x="0" y="0"/>
                      <a:ext cx="4757420" cy="1398270"/>
                    </a:xfrm>
                    <a:prstGeom prst="rect">
                      <a:avLst/>
                    </a:prstGeom>
                    <a:noFill/>
                    <a:ln>
                      <a:noFill/>
                    </a:ln>
                  </pic:spPr>
                </pic:pic>
              </a:graphicData>
            </a:graphic>
          </wp:inline>
        </w:drawing>
      </w:r>
    </w:p>
    <w:p>
      <w:pPr>
        <w:widowControl/>
        <w:adjustRightInd/>
        <w:spacing w:after="120" w:line="360" w:lineRule="auto"/>
        <w:ind w:firstLine="480" w:firstLineChars="200"/>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值班站长与值班队员应统一在日常工作服装和战斗服右臂佩戴标。</w:t>
      </w:r>
    </w:p>
    <w:p>
      <w:pPr>
        <w:pStyle w:val="60"/>
        <w:numPr>
          <w:ilvl w:val="0"/>
          <w:numId w:val="0"/>
        </w:numPr>
        <w:spacing w:line="360" w:lineRule="auto"/>
        <w:rPr>
          <w:rFonts w:hint="eastAsia" w:ascii="仿宋" w:hAnsi="仿宋" w:eastAsia="仿宋" w:cs="仿宋"/>
          <w:b/>
          <w:bCs/>
          <w:color w:val="auto"/>
          <w:sz w:val="24"/>
          <w:highlight w:val="none"/>
          <w:lang w:val="en-US" w:eastAsia="zh-CN"/>
        </w:rPr>
      </w:pPr>
      <w:r>
        <w:rPr>
          <w:rFonts w:hint="eastAsia" w:ascii="仿宋" w:hAnsi="仿宋" w:eastAsia="仿宋" w:cs="仿宋"/>
          <w:b/>
          <w:bCs/>
          <w:color w:val="auto"/>
          <w:sz w:val="24"/>
          <w:highlight w:val="none"/>
          <w:lang w:val="en-US" w:eastAsia="zh-CN"/>
        </w:rPr>
        <w:t>（七）、付款方式</w:t>
      </w:r>
    </w:p>
    <w:p>
      <w:pPr>
        <w:pStyle w:val="60"/>
        <w:numPr>
          <w:ilvl w:val="0"/>
          <w:numId w:val="0"/>
        </w:numPr>
        <w:spacing w:line="360" w:lineRule="auto"/>
        <w:ind w:firstLine="480" w:firstLineChars="200"/>
        <w:rPr>
          <w:rFonts w:hint="eastAsia" w:ascii="仿宋" w:hAnsi="仿宋" w:eastAsia="仿宋" w:cs="仿宋"/>
          <w:color w:val="auto"/>
          <w:highlight w:val="none"/>
          <w:lang w:val="en-US" w:eastAsia="zh-CN"/>
        </w:rPr>
      </w:pPr>
      <w:r>
        <w:rPr>
          <w:rFonts w:hint="eastAsia" w:ascii="仿宋" w:hAnsi="仿宋" w:eastAsia="仿宋" w:cs="仿宋"/>
          <w:color w:val="auto"/>
          <w:sz w:val="24"/>
          <w:highlight w:val="none"/>
          <w:lang w:val="en-US" w:eastAsia="zh-CN"/>
        </w:rPr>
        <w:t>签订合同且符合项目实施条件后1个月内支付当年合同价的40%预付款，之后自合同签订之日起每满三个月考核结果达到90分及以上，支付当年合同价的15%项目款。考核结果不能达到90分，每少一分扣除5000元服务费；（考核标准见附件2），采购人付款前，中标单位必须提交正式税务发票进行结算。</w:t>
      </w:r>
    </w:p>
    <w:p>
      <w:pPr>
        <w:widowControl w:val="0"/>
        <w:numPr>
          <w:ilvl w:val="0"/>
          <w:numId w:val="0"/>
        </w:numPr>
        <w:wordWrap/>
        <w:adjustRightInd/>
        <w:snapToGrid/>
        <w:spacing w:line="460" w:lineRule="exact"/>
        <w:textAlignment w:val="auto"/>
        <w:rPr>
          <w:rFonts w:hint="eastAsia" w:ascii="仿宋" w:hAnsi="仿宋" w:eastAsia="仿宋" w:cs="仿宋"/>
          <w:b/>
          <w:bCs/>
          <w:color w:val="auto"/>
          <w:sz w:val="24"/>
          <w:szCs w:val="24"/>
          <w:highlight w:val="none"/>
          <w:lang w:val="en-US" w:eastAsia="zh-CN"/>
        </w:rPr>
      </w:pPr>
    </w:p>
    <w:p>
      <w:pPr>
        <w:widowControl w:val="0"/>
        <w:numPr>
          <w:ilvl w:val="0"/>
          <w:numId w:val="0"/>
        </w:numPr>
        <w:wordWrap/>
        <w:adjustRightInd/>
        <w:snapToGrid/>
        <w:spacing w:line="460" w:lineRule="exact"/>
        <w:textAlignment w:val="auto"/>
        <w:rPr>
          <w:rFonts w:hint="eastAsia" w:ascii="仿宋" w:hAnsi="仿宋" w:eastAsia="仿宋" w:cs="仿宋"/>
          <w:b/>
          <w:bCs/>
          <w:color w:val="auto"/>
          <w:sz w:val="24"/>
          <w:szCs w:val="24"/>
          <w:highlight w:val="none"/>
          <w:lang w:val="en-US" w:eastAsia="zh-CN"/>
        </w:rPr>
      </w:pPr>
    </w:p>
    <w:p>
      <w:pPr>
        <w:widowControl w:val="0"/>
        <w:numPr>
          <w:ilvl w:val="0"/>
          <w:numId w:val="0"/>
        </w:numPr>
        <w:wordWrap/>
        <w:adjustRightInd/>
        <w:snapToGrid/>
        <w:spacing w:line="460" w:lineRule="exact"/>
        <w:textAlignment w:val="auto"/>
        <w:rPr>
          <w:rFonts w:hint="eastAsia" w:ascii="仿宋" w:hAnsi="仿宋" w:eastAsia="仿宋" w:cs="仿宋"/>
          <w:b/>
          <w:bCs/>
          <w:color w:val="auto"/>
          <w:sz w:val="24"/>
          <w:szCs w:val="24"/>
          <w:highlight w:val="none"/>
          <w:lang w:val="en-US" w:eastAsia="zh-CN"/>
        </w:rPr>
      </w:pPr>
    </w:p>
    <w:p>
      <w:pPr>
        <w:pStyle w:val="2"/>
        <w:rPr>
          <w:rFonts w:hint="eastAsia" w:ascii="仿宋" w:hAnsi="仿宋" w:eastAsia="仿宋" w:cs="仿宋"/>
          <w:b/>
          <w:bCs/>
          <w:color w:val="auto"/>
          <w:sz w:val="24"/>
          <w:szCs w:val="24"/>
          <w:highlight w:val="none"/>
          <w:lang w:val="en-US" w:eastAsia="zh-CN"/>
        </w:rPr>
      </w:pPr>
    </w:p>
    <w:p>
      <w:pPr>
        <w:pStyle w:val="2"/>
        <w:rPr>
          <w:rFonts w:hint="eastAsia" w:ascii="仿宋" w:hAnsi="仿宋" w:eastAsia="仿宋" w:cs="仿宋"/>
          <w:b/>
          <w:bCs/>
          <w:color w:val="auto"/>
          <w:sz w:val="24"/>
          <w:szCs w:val="24"/>
          <w:highlight w:val="none"/>
          <w:lang w:val="en-US" w:eastAsia="zh-CN"/>
        </w:rPr>
      </w:pPr>
    </w:p>
    <w:p>
      <w:pPr>
        <w:pStyle w:val="2"/>
        <w:rPr>
          <w:rFonts w:hint="eastAsia" w:ascii="仿宋" w:hAnsi="仿宋" w:eastAsia="仿宋" w:cs="仿宋"/>
          <w:b/>
          <w:bCs/>
          <w:color w:val="auto"/>
          <w:sz w:val="24"/>
          <w:szCs w:val="24"/>
          <w:highlight w:val="none"/>
          <w:lang w:val="en-US" w:eastAsia="zh-CN"/>
        </w:rPr>
      </w:pPr>
    </w:p>
    <w:p>
      <w:pPr>
        <w:pStyle w:val="2"/>
        <w:rPr>
          <w:rFonts w:hint="eastAsia" w:ascii="仿宋" w:hAnsi="仿宋" w:eastAsia="仿宋" w:cs="仿宋"/>
          <w:b/>
          <w:bCs/>
          <w:color w:val="auto"/>
          <w:sz w:val="24"/>
          <w:szCs w:val="24"/>
          <w:highlight w:val="none"/>
          <w:lang w:val="en-US" w:eastAsia="zh-CN"/>
        </w:rPr>
      </w:pPr>
    </w:p>
    <w:p>
      <w:pPr>
        <w:pStyle w:val="2"/>
        <w:rPr>
          <w:rFonts w:hint="eastAsia" w:ascii="仿宋" w:hAnsi="仿宋" w:eastAsia="仿宋" w:cs="仿宋"/>
          <w:b/>
          <w:bCs/>
          <w:color w:val="auto"/>
          <w:sz w:val="24"/>
          <w:szCs w:val="24"/>
          <w:highlight w:val="none"/>
          <w:lang w:val="en-US" w:eastAsia="zh-CN"/>
        </w:rPr>
      </w:pPr>
    </w:p>
    <w:p>
      <w:pPr>
        <w:pStyle w:val="2"/>
        <w:rPr>
          <w:rFonts w:hint="eastAsia" w:ascii="仿宋" w:hAnsi="仿宋" w:eastAsia="仿宋" w:cs="仿宋"/>
          <w:b/>
          <w:bCs/>
          <w:color w:val="auto"/>
          <w:sz w:val="24"/>
          <w:szCs w:val="24"/>
          <w:highlight w:val="none"/>
          <w:lang w:val="en-US" w:eastAsia="zh-CN"/>
        </w:rPr>
      </w:pPr>
    </w:p>
    <w:p>
      <w:pPr>
        <w:pStyle w:val="2"/>
        <w:rPr>
          <w:rFonts w:hint="eastAsia" w:ascii="仿宋" w:hAnsi="仿宋" w:eastAsia="仿宋" w:cs="仿宋"/>
          <w:b/>
          <w:bCs/>
          <w:color w:val="auto"/>
          <w:sz w:val="24"/>
          <w:szCs w:val="24"/>
          <w:highlight w:val="none"/>
          <w:lang w:val="en-US" w:eastAsia="zh-CN"/>
        </w:rPr>
      </w:pPr>
    </w:p>
    <w:p>
      <w:pPr>
        <w:pStyle w:val="2"/>
        <w:rPr>
          <w:rFonts w:hint="eastAsia" w:ascii="仿宋" w:hAnsi="仿宋" w:eastAsia="仿宋" w:cs="仿宋"/>
          <w:b/>
          <w:bCs/>
          <w:color w:val="auto"/>
          <w:sz w:val="24"/>
          <w:szCs w:val="24"/>
          <w:highlight w:val="none"/>
          <w:lang w:val="en-US" w:eastAsia="zh-CN"/>
        </w:rPr>
      </w:pPr>
    </w:p>
    <w:p>
      <w:pPr>
        <w:pStyle w:val="2"/>
        <w:rPr>
          <w:rFonts w:hint="eastAsia" w:ascii="仿宋" w:hAnsi="仿宋" w:eastAsia="仿宋" w:cs="仿宋"/>
          <w:b/>
          <w:bCs/>
          <w:color w:val="auto"/>
          <w:sz w:val="24"/>
          <w:szCs w:val="24"/>
          <w:highlight w:val="none"/>
          <w:lang w:val="en-US" w:eastAsia="zh-CN"/>
        </w:rPr>
      </w:pPr>
    </w:p>
    <w:p>
      <w:pPr>
        <w:pStyle w:val="2"/>
        <w:rPr>
          <w:rFonts w:hint="eastAsia" w:ascii="仿宋" w:hAnsi="仿宋" w:eastAsia="仿宋" w:cs="仿宋"/>
          <w:b/>
          <w:bCs/>
          <w:color w:val="auto"/>
          <w:sz w:val="24"/>
          <w:szCs w:val="24"/>
          <w:highlight w:val="none"/>
          <w:lang w:val="en-US" w:eastAsia="zh-CN"/>
        </w:rPr>
      </w:pPr>
    </w:p>
    <w:p>
      <w:pPr>
        <w:pStyle w:val="2"/>
        <w:rPr>
          <w:rFonts w:hint="eastAsia" w:ascii="仿宋" w:hAnsi="仿宋" w:eastAsia="仿宋" w:cs="仿宋"/>
          <w:b/>
          <w:bCs/>
          <w:color w:val="auto"/>
          <w:sz w:val="24"/>
          <w:szCs w:val="24"/>
          <w:highlight w:val="none"/>
          <w:lang w:val="en-US" w:eastAsia="zh-CN"/>
        </w:rPr>
      </w:pPr>
    </w:p>
    <w:p>
      <w:pPr>
        <w:widowControl w:val="0"/>
        <w:numPr>
          <w:ilvl w:val="0"/>
          <w:numId w:val="0"/>
        </w:numPr>
        <w:wordWrap/>
        <w:adjustRightInd/>
        <w:snapToGrid/>
        <w:spacing w:line="460" w:lineRule="exact"/>
        <w:textAlignment w:val="auto"/>
        <w:rPr>
          <w:rFonts w:hint="eastAsia" w:ascii="仿宋" w:hAnsi="仿宋" w:eastAsia="仿宋" w:cs="仿宋"/>
          <w:b/>
          <w:bCs/>
          <w:color w:val="auto"/>
          <w:sz w:val="24"/>
          <w:szCs w:val="24"/>
          <w:highlight w:val="none"/>
          <w:lang w:val="en-US" w:eastAsia="zh-CN"/>
        </w:rPr>
      </w:pPr>
    </w:p>
    <w:p>
      <w:pPr>
        <w:widowControl w:val="0"/>
        <w:numPr>
          <w:ilvl w:val="0"/>
          <w:numId w:val="0"/>
        </w:numPr>
        <w:wordWrap/>
        <w:adjustRightInd/>
        <w:snapToGrid/>
        <w:spacing w:line="460" w:lineRule="exact"/>
        <w:textAlignment w:val="auto"/>
        <w:rPr>
          <w:rFonts w:hint="eastAsia" w:ascii="仿宋" w:hAnsi="仿宋" w:eastAsia="仿宋" w:cs="仿宋"/>
          <w:b/>
          <w:bCs/>
          <w:color w:val="auto"/>
          <w:sz w:val="24"/>
          <w:szCs w:val="24"/>
          <w:highlight w:val="none"/>
          <w:lang w:val="en-US" w:eastAsia="zh-CN"/>
        </w:rPr>
      </w:pPr>
    </w:p>
    <w:p>
      <w:pPr>
        <w:pStyle w:val="2"/>
        <w:rPr>
          <w:rFonts w:hint="eastAsia"/>
          <w:color w:val="auto"/>
          <w:highlight w:val="none"/>
          <w:lang w:val="en-US" w:eastAsia="zh-CN"/>
        </w:rPr>
      </w:pPr>
    </w:p>
    <w:p>
      <w:pPr>
        <w:widowControl w:val="0"/>
        <w:numPr>
          <w:ilvl w:val="0"/>
          <w:numId w:val="0"/>
        </w:numPr>
        <w:wordWrap/>
        <w:adjustRightInd/>
        <w:snapToGrid/>
        <w:spacing w:line="460" w:lineRule="exact"/>
        <w:textAlignment w:val="auto"/>
        <w:rPr>
          <w:rFonts w:hint="eastAsia" w:ascii="仿宋" w:hAnsi="仿宋" w:eastAsia="仿宋" w:cs="仿宋"/>
          <w:b/>
          <w:bCs/>
          <w:color w:val="auto"/>
          <w:sz w:val="24"/>
          <w:szCs w:val="24"/>
          <w:highlight w:val="none"/>
          <w:lang w:val="en-US" w:eastAsia="zh-CN"/>
        </w:rPr>
      </w:pPr>
    </w:p>
    <w:p>
      <w:pPr>
        <w:pStyle w:val="25"/>
        <w:jc w:val="left"/>
        <w:rPr>
          <w:rFonts w:hint="default" w:ascii="仿宋" w:hAnsi="仿宋" w:eastAsia="仿宋" w:cs="仿宋"/>
          <w:b/>
          <w:bCs/>
          <w:color w:val="auto"/>
          <w:sz w:val="28"/>
          <w:szCs w:val="22"/>
          <w:highlight w:val="none"/>
          <w:lang w:val="en-US" w:eastAsia="zh-CN"/>
        </w:rPr>
      </w:pPr>
      <w:r>
        <w:rPr>
          <w:rFonts w:hint="eastAsia" w:ascii="仿宋" w:hAnsi="仿宋" w:eastAsia="仿宋" w:cs="仿宋"/>
          <w:b/>
          <w:bCs/>
          <w:color w:val="auto"/>
          <w:sz w:val="28"/>
          <w:szCs w:val="22"/>
          <w:highlight w:val="none"/>
          <w:lang w:val="en-US" w:eastAsia="zh-CN"/>
        </w:rPr>
        <w:t>附件1：</w:t>
      </w:r>
    </w:p>
    <w:p>
      <w:pPr>
        <w:pStyle w:val="25"/>
        <w:jc w:val="center"/>
        <w:rPr>
          <w:rFonts w:hint="eastAsia" w:ascii="Arial" w:hAnsi="Arial" w:eastAsia="黑体" w:cs="Times New Roman"/>
          <w:b/>
          <w:bCs/>
          <w:color w:val="auto"/>
          <w:kern w:val="28"/>
          <w:sz w:val="32"/>
          <w:szCs w:val="32"/>
          <w:highlight w:val="none"/>
          <w:lang w:val="en-US" w:eastAsia="zh-CN" w:bidi="ar-SA"/>
        </w:rPr>
      </w:pPr>
      <w:r>
        <w:rPr>
          <w:rFonts w:hint="eastAsia" w:ascii="仿宋" w:hAnsi="仿宋" w:eastAsia="仿宋" w:cs="仿宋"/>
          <w:b/>
          <w:bCs/>
          <w:color w:val="auto"/>
          <w:sz w:val="28"/>
          <w:szCs w:val="22"/>
          <w:highlight w:val="none"/>
          <w:lang w:val="en-US" w:eastAsia="zh-CN"/>
        </w:rPr>
        <w:t>1、3.8吨泡沫消防车参考图片</w:t>
      </w:r>
      <w:r>
        <w:rPr>
          <w:rFonts w:hint="eastAsia" w:ascii="Arial" w:hAnsi="Arial" w:eastAsia="黑体" w:cs="Times New Roman"/>
          <w:b/>
          <w:bCs/>
          <w:snapToGrid w:val="0"/>
          <w:color w:val="auto"/>
          <w:kern w:val="28"/>
          <w:sz w:val="32"/>
          <w:szCs w:val="32"/>
          <w:highlight w:val="none"/>
          <w:lang w:val="en-US" w:eastAsia="zh-CN" w:bidi="ar-SA"/>
        </w:rPr>
        <w:drawing>
          <wp:inline distT="0" distB="0" distL="114300" distR="114300">
            <wp:extent cx="4812030" cy="2574290"/>
            <wp:effectExtent l="0" t="0" r="1270" b="3810"/>
            <wp:docPr id="1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3"/>
                    <pic:cNvPicPr>
                      <a:picLocks noChangeAspect="1"/>
                    </pic:cNvPicPr>
                  </pic:nvPicPr>
                  <pic:blipFill>
                    <a:blip r:embed="rId39">
                      <a:lum/>
                    </a:blip>
                    <a:stretch>
                      <a:fillRect/>
                    </a:stretch>
                  </pic:blipFill>
                  <pic:spPr>
                    <a:xfrm>
                      <a:off x="0" y="0"/>
                      <a:ext cx="4812030" cy="2574290"/>
                    </a:xfrm>
                    <a:prstGeom prst="rect">
                      <a:avLst/>
                    </a:prstGeom>
                    <a:noFill/>
                    <a:ln>
                      <a:noFill/>
                    </a:ln>
                  </pic:spPr>
                </pic:pic>
              </a:graphicData>
            </a:graphic>
          </wp:inline>
        </w:drawing>
      </w:r>
    </w:p>
    <w:p>
      <w:pPr>
        <w:pStyle w:val="25"/>
        <w:ind w:firstLine="562" w:firstLineChars="200"/>
        <w:jc w:val="center"/>
        <w:rPr>
          <w:rFonts w:hint="default" w:ascii="仿宋" w:hAnsi="仿宋" w:eastAsia="仿宋" w:cs="仿宋"/>
          <w:b/>
          <w:bCs/>
          <w:color w:val="auto"/>
          <w:sz w:val="28"/>
          <w:szCs w:val="22"/>
          <w:highlight w:val="none"/>
          <w:lang w:val="en-US" w:eastAsia="zh-CN"/>
        </w:rPr>
      </w:pPr>
      <w:r>
        <w:rPr>
          <w:rFonts w:hint="eastAsia" w:ascii="仿宋" w:hAnsi="仿宋" w:eastAsia="仿宋" w:cs="仿宋"/>
          <w:b/>
          <w:bCs/>
          <w:color w:val="auto"/>
          <w:sz w:val="28"/>
          <w:szCs w:val="22"/>
          <w:highlight w:val="none"/>
          <w:lang w:val="en-US" w:eastAsia="zh-CN"/>
        </w:rPr>
        <w:t>2、3.8吨泡沫消防车主要参数</w:t>
      </w:r>
    </w:p>
    <w:tbl>
      <w:tblPr>
        <w:tblStyle w:val="965"/>
        <w:tblW w:w="9692"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64"/>
        <w:gridCol w:w="870"/>
        <w:gridCol w:w="745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1" w:hRule="atLeast"/>
          <w:jc w:val="center"/>
        </w:trPr>
        <w:tc>
          <w:tcPr>
            <w:tcW w:w="1364" w:type="dxa"/>
            <w:vAlign w:val="center"/>
          </w:tcPr>
          <w:p>
            <w:pPr>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设备名称</w:t>
            </w:r>
          </w:p>
        </w:tc>
        <w:tc>
          <w:tcPr>
            <w:tcW w:w="870" w:type="dxa"/>
            <w:vAlign w:val="center"/>
          </w:tcPr>
          <w:p>
            <w:pPr>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数量</w:t>
            </w:r>
          </w:p>
        </w:tc>
        <w:tc>
          <w:tcPr>
            <w:tcW w:w="7458" w:type="dxa"/>
            <w:vAlign w:val="center"/>
          </w:tcPr>
          <w:p>
            <w:pPr>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主要性能和技术指标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98" w:hRule="atLeast"/>
          <w:jc w:val="center"/>
        </w:trPr>
        <w:tc>
          <w:tcPr>
            <w:tcW w:w="1364" w:type="dxa"/>
            <w:vAlign w:val="top"/>
          </w:tcPr>
          <w:p>
            <w:pPr>
              <w:jc w:val="center"/>
              <w:rPr>
                <w:rFonts w:hint="eastAsia" w:ascii="仿宋" w:hAnsi="仿宋" w:eastAsia="仿宋" w:cs="仿宋"/>
                <w:color w:val="auto"/>
                <w:kern w:val="0"/>
                <w:sz w:val="24"/>
                <w:szCs w:val="24"/>
                <w:highlight w:val="none"/>
              </w:rPr>
            </w:pPr>
          </w:p>
          <w:p>
            <w:pPr>
              <w:jc w:val="center"/>
              <w:rPr>
                <w:rFonts w:hint="eastAsia" w:ascii="仿宋" w:hAnsi="仿宋" w:eastAsia="仿宋" w:cs="仿宋"/>
                <w:color w:val="auto"/>
                <w:kern w:val="0"/>
                <w:sz w:val="24"/>
                <w:szCs w:val="24"/>
                <w:highlight w:val="none"/>
              </w:rPr>
            </w:pPr>
          </w:p>
          <w:p>
            <w:pPr>
              <w:jc w:val="center"/>
              <w:rPr>
                <w:rFonts w:hint="eastAsia" w:ascii="仿宋" w:hAnsi="仿宋" w:eastAsia="仿宋" w:cs="仿宋"/>
                <w:color w:val="auto"/>
                <w:kern w:val="0"/>
                <w:sz w:val="24"/>
                <w:szCs w:val="24"/>
                <w:highlight w:val="none"/>
              </w:rPr>
            </w:pPr>
          </w:p>
          <w:p>
            <w:pPr>
              <w:jc w:val="center"/>
              <w:rPr>
                <w:rFonts w:hint="eastAsia" w:ascii="仿宋" w:hAnsi="仿宋" w:eastAsia="仿宋" w:cs="仿宋"/>
                <w:color w:val="auto"/>
                <w:kern w:val="0"/>
                <w:sz w:val="24"/>
                <w:szCs w:val="24"/>
                <w:highlight w:val="none"/>
              </w:rPr>
            </w:pPr>
          </w:p>
          <w:p>
            <w:pPr>
              <w:jc w:val="center"/>
              <w:rPr>
                <w:rFonts w:hint="eastAsia" w:ascii="仿宋" w:hAnsi="仿宋" w:eastAsia="仿宋" w:cs="仿宋"/>
                <w:color w:val="auto"/>
                <w:kern w:val="0"/>
                <w:sz w:val="24"/>
                <w:szCs w:val="24"/>
                <w:highlight w:val="none"/>
              </w:rPr>
            </w:pPr>
          </w:p>
          <w:p>
            <w:pPr>
              <w:jc w:val="center"/>
              <w:rPr>
                <w:rFonts w:hint="eastAsia" w:ascii="仿宋" w:hAnsi="仿宋" w:eastAsia="仿宋" w:cs="仿宋"/>
                <w:color w:val="auto"/>
                <w:kern w:val="0"/>
                <w:sz w:val="24"/>
                <w:szCs w:val="24"/>
                <w:highlight w:val="none"/>
              </w:rPr>
            </w:pPr>
          </w:p>
          <w:p>
            <w:pPr>
              <w:jc w:val="center"/>
              <w:rPr>
                <w:rFonts w:hint="eastAsia" w:ascii="仿宋" w:hAnsi="仿宋" w:eastAsia="仿宋" w:cs="仿宋"/>
                <w:color w:val="auto"/>
                <w:kern w:val="0"/>
                <w:sz w:val="24"/>
                <w:szCs w:val="24"/>
                <w:highlight w:val="none"/>
              </w:rPr>
            </w:pPr>
          </w:p>
          <w:p>
            <w:pPr>
              <w:jc w:val="center"/>
              <w:rPr>
                <w:rFonts w:hint="eastAsia" w:ascii="仿宋" w:hAnsi="仿宋" w:eastAsia="仿宋" w:cs="仿宋"/>
                <w:color w:val="auto"/>
                <w:kern w:val="0"/>
                <w:sz w:val="24"/>
                <w:szCs w:val="24"/>
                <w:highlight w:val="none"/>
              </w:rPr>
            </w:pPr>
          </w:p>
          <w:p>
            <w:pPr>
              <w:jc w:val="center"/>
              <w:rPr>
                <w:rFonts w:hint="eastAsia" w:ascii="仿宋" w:hAnsi="仿宋" w:eastAsia="仿宋" w:cs="仿宋"/>
                <w:color w:val="auto"/>
                <w:kern w:val="0"/>
                <w:sz w:val="24"/>
                <w:szCs w:val="24"/>
                <w:highlight w:val="none"/>
              </w:rPr>
            </w:pPr>
          </w:p>
          <w:p>
            <w:pPr>
              <w:jc w:val="center"/>
              <w:rPr>
                <w:rFonts w:hint="eastAsia" w:ascii="仿宋" w:hAnsi="仿宋" w:eastAsia="仿宋" w:cs="仿宋"/>
                <w:color w:val="auto"/>
                <w:kern w:val="0"/>
                <w:sz w:val="24"/>
                <w:szCs w:val="24"/>
                <w:highlight w:val="none"/>
              </w:rPr>
            </w:pPr>
          </w:p>
          <w:p>
            <w:pPr>
              <w:jc w:val="center"/>
              <w:rPr>
                <w:rFonts w:hint="eastAsia" w:ascii="仿宋" w:hAnsi="仿宋" w:eastAsia="仿宋" w:cs="仿宋"/>
                <w:color w:val="auto"/>
                <w:kern w:val="0"/>
                <w:sz w:val="24"/>
                <w:szCs w:val="24"/>
                <w:highlight w:val="none"/>
              </w:rPr>
            </w:pPr>
          </w:p>
          <w:p>
            <w:pPr>
              <w:jc w:val="center"/>
              <w:rPr>
                <w:rFonts w:hint="eastAsia" w:ascii="仿宋" w:hAnsi="仿宋" w:eastAsia="仿宋" w:cs="仿宋"/>
                <w:color w:val="auto"/>
                <w:kern w:val="0"/>
                <w:sz w:val="24"/>
                <w:szCs w:val="24"/>
                <w:highlight w:val="none"/>
              </w:rPr>
            </w:pPr>
          </w:p>
          <w:p>
            <w:pPr>
              <w:jc w:val="center"/>
              <w:rPr>
                <w:rFonts w:hint="eastAsia" w:ascii="仿宋" w:hAnsi="仿宋" w:eastAsia="仿宋" w:cs="仿宋"/>
                <w:color w:val="auto"/>
                <w:kern w:val="0"/>
                <w:sz w:val="24"/>
                <w:szCs w:val="24"/>
                <w:highlight w:val="none"/>
              </w:rPr>
            </w:pPr>
          </w:p>
          <w:p>
            <w:pPr>
              <w:jc w:val="center"/>
              <w:rPr>
                <w:rFonts w:hint="eastAsia" w:ascii="仿宋" w:hAnsi="仿宋" w:eastAsia="仿宋" w:cs="仿宋"/>
                <w:color w:val="auto"/>
                <w:kern w:val="0"/>
                <w:sz w:val="24"/>
                <w:szCs w:val="24"/>
                <w:highlight w:val="none"/>
              </w:rPr>
            </w:pPr>
          </w:p>
          <w:p>
            <w:pPr>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lang w:val="en-US" w:eastAsia="zh-CN"/>
              </w:rPr>
              <w:t>泡沫</w:t>
            </w:r>
            <w:r>
              <w:rPr>
                <w:rFonts w:hint="eastAsia" w:ascii="仿宋" w:hAnsi="仿宋" w:eastAsia="仿宋" w:cs="仿宋"/>
                <w:color w:val="auto"/>
                <w:kern w:val="0"/>
                <w:sz w:val="24"/>
                <w:szCs w:val="24"/>
                <w:highlight w:val="none"/>
              </w:rPr>
              <w:t>消防车</w:t>
            </w:r>
          </w:p>
        </w:tc>
        <w:tc>
          <w:tcPr>
            <w:tcW w:w="870" w:type="dxa"/>
            <w:vAlign w:val="top"/>
          </w:tcPr>
          <w:p>
            <w:pPr>
              <w:jc w:val="center"/>
              <w:rPr>
                <w:rFonts w:hint="eastAsia" w:ascii="仿宋" w:hAnsi="仿宋" w:eastAsia="仿宋" w:cs="仿宋"/>
                <w:color w:val="auto"/>
                <w:kern w:val="0"/>
                <w:sz w:val="24"/>
                <w:szCs w:val="24"/>
                <w:highlight w:val="none"/>
              </w:rPr>
            </w:pPr>
          </w:p>
          <w:p>
            <w:pPr>
              <w:jc w:val="center"/>
              <w:rPr>
                <w:rFonts w:hint="eastAsia" w:ascii="仿宋" w:hAnsi="仿宋" w:eastAsia="仿宋" w:cs="仿宋"/>
                <w:color w:val="auto"/>
                <w:kern w:val="0"/>
                <w:sz w:val="24"/>
                <w:szCs w:val="24"/>
                <w:highlight w:val="none"/>
              </w:rPr>
            </w:pPr>
          </w:p>
          <w:p>
            <w:pPr>
              <w:jc w:val="center"/>
              <w:rPr>
                <w:rFonts w:hint="eastAsia" w:ascii="仿宋" w:hAnsi="仿宋" w:eastAsia="仿宋" w:cs="仿宋"/>
                <w:color w:val="auto"/>
                <w:kern w:val="0"/>
                <w:sz w:val="24"/>
                <w:szCs w:val="24"/>
                <w:highlight w:val="none"/>
              </w:rPr>
            </w:pPr>
          </w:p>
          <w:p>
            <w:pPr>
              <w:jc w:val="center"/>
              <w:rPr>
                <w:rFonts w:hint="eastAsia" w:ascii="仿宋" w:hAnsi="仿宋" w:eastAsia="仿宋" w:cs="仿宋"/>
                <w:color w:val="auto"/>
                <w:kern w:val="0"/>
                <w:sz w:val="24"/>
                <w:szCs w:val="24"/>
                <w:highlight w:val="none"/>
              </w:rPr>
            </w:pPr>
          </w:p>
          <w:p>
            <w:pPr>
              <w:jc w:val="center"/>
              <w:rPr>
                <w:rFonts w:hint="eastAsia" w:ascii="仿宋" w:hAnsi="仿宋" w:eastAsia="仿宋" w:cs="仿宋"/>
                <w:color w:val="auto"/>
                <w:kern w:val="0"/>
                <w:sz w:val="24"/>
                <w:szCs w:val="24"/>
                <w:highlight w:val="none"/>
              </w:rPr>
            </w:pPr>
          </w:p>
          <w:p>
            <w:pPr>
              <w:jc w:val="center"/>
              <w:rPr>
                <w:rFonts w:hint="eastAsia" w:ascii="仿宋" w:hAnsi="仿宋" w:eastAsia="仿宋" w:cs="仿宋"/>
                <w:color w:val="auto"/>
                <w:kern w:val="0"/>
                <w:sz w:val="24"/>
                <w:szCs w:val="24"/>
                <w:highlight w:val="none"/>
              </w:rPr>
            </w:pPr>
          </w:p>
          <w:p>
            <w:pPr>
              <w:jc w:val="center"/>
              <w:rPr>
                <w:rFonts w:hint="eastAsia" w:ascii="仿宋" w:hAnsi="仿宋" w:eastAsia="仿宋" w:cs="仿宋"/>
                <w:color w:val="auto"/>
                <w:kern w:val="0"/>
                <w:sz w:val="24"/>
                <w:szCs w:val="24"/>
                <w:highlight w:val="none"/>
              </w:rPr>
            </w:pPr>
          </w:p>
          <w:p>
            <w:pPr>
              <w:jc w:val="center"/>
              <w:rPr>
                <w:rFonts w:hint="eastAsia" w:ascii="仿宋" w:hAnsi="仿宋" w:eastAsia="仿宋" w:cs="仿宋"/>
                <w:color w:val="auto"/>
                <w:kern w:val="0"/>
                <w:sz w:val="24"/>
                <w:szCs w:val="24"/>
                <w:highlight w:val="none"/>
              </w:rPr>
            </w:pPr>
          </w:p>
          <w:p>
            <w:pPr>
              <w:jc w:val="center"/>
              <w:rPr>
                <w:rFonts w:hint="eastAsia" w:ascii="仿宋" w:hAnsi="仿宋" w:eastAsia="仿宋" w:cs="仿宋"/>
                <w:color w:val="auto"/>
                <w:kern w:val="0"/>
                <w:sz w:val="24"/>
                <w:szCs w:val="24"/>
                <w:highlight w:val="none"/>
              </w:rPr>
            </w:pPr>
          </w:p>
          <w:p>
            <w:pPr>
              <w:jc w:val="center"/>
              <w:rPr>
                <w:rFonts w:hint="eastAsia" w:ascii="仿宋" w:hAnsi="仿宋" w:eastAsia="仿宋" w:cs="仿宋"/>
                <w:color w:val="auto"/>
                <w:kern w:val="0"/>
                <w:sz w:val="24"/>
                <w:szCs w:val="24"/>
                <w:highlight w:val="none"/>
              </w:rPr>
            </w:pPr>
          </w:p>
          <w:p>
            <w:pPr>
              <w:jc w:val="center"/>
              <w:rPr>
                <w:rFonts w:hint="eastAsia" w:ascii="仿宋" w:hAnsi="仿宋" w:eastAsia="仿宋" w:cs="仿宋"/>
                <w:color w:val="auto"/>
                <w:kern w:val="0"/>
                <w:sz w:val="24"/>
                <w:szCs w:val="24"/>
                <w:highlight w:val="none"/>
              </w:rPr>
            </w:pPr>
          </w:p>
          <w:p>
            <w:pPr>
              <w:jc w:val="center"/>
              <w:rPr>
                <w:rFonts w:hint="eastAsia" w:ascii="仿宋" w:hAnsi="仿宋" w:eastAsia="仿宋" w:cs="仿宋"/>
                <w:color w:val="auto"/>
                <w:kern w:val="0"/>
                <w:sz w:val="24"/>
                <w:szCs w:val="24"/>
                <w:highlight w:val="none"/>
              </w:rPr>
            </w:pPr>
          </w:p>
          <w:p>
            <w:pPr>
              <w:jc w:val="center"/>
              <w:rPr>
                <w:rFonts w:hint="eastAsia" w:ascii="仿宋" w:hAnsi="仿宋" w:eastAsia="仿宋" w:cs="仿宋"/>
                <w:color w:val="auto"/>
                <w:kern w:val="0"/>
                <w:sz w:val="24"/>
                <w:szCs w:val="24"/>
                <w:highlight w:val="none"/>
              </w:rPr>
            </w:pPr>
          </w:p>
          <w:p>
            <w:pPr>
              <w:jc w:val="center"/>
              <w:rPr>
                <w:rFonts w:hint="eastAsia" w:ascii="仿宋" w:hAnsi="仿宋" w:eastAsia="仿宋" w:cs="仿宋"/>
                <w:color w:val="auto"/>
                <w:kern w:val="0"/>
                <w:sz w:val="24"/>
                <w:szCs w:val="24"/>
                <w:highlight w:val="none"/>
              </w:rPr>
            </w:pPr>
          </w:p>
          <w:p>
            <w:pPr>
              <w:ind w:firstLine="480" w:firstLineChars="200"/>
              <w:rPr>
                <w:rFonts w:hint="eastAsia" w:ascii="仿宋" w:hAnsi="仿宋" w:eastAsia="仿宋" w:cs="仿宋"/>
                <w:color w:val="auto"/>
                <w:kern w:val="0"/>
                <w:sz w:val="24"/>
                <w:szCs w:val="24"/>
                <w:highlight w:val="none"/>
                <w:lang w:eastAsia="zh-CN"/>
              </w:rPr>
            </w:pPr>
            <w:r>
              <w:rPr>
                <w:rFonts w:hint="eastAsia" w:ascii="仿宋" w:hAnsi="仿宋" w:eastAsia="仿宋" w:cs="仿宋"/>
                <w:color w:val="auto"/>
                <w:kern w:val="0"/>
                <w:sz w:val="24"/>
                <w:szCs w:val="24"/>
                <w:highlight w:val="none"/>
                <w:lang w:val="en-US" w:eastAsia="zh-CN"/>
              </w:rPr>
              <w:t>2</w:t>
            </w:r>
          </w:p>
        </w:tc>
        <w:tc>
          <w:tcPr>
            <w:tcW w:w="7458" w:type="dxa"/>
            <w:vAlign w:val="top"/>
          </w:tcPr>
          <w:p>
            <w:pP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1、底盘：国六排放标准,驱动形式：4×2；</w:t>
            </w:r>
          </w:p>
          <w:p>
            <w:pP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2、总质量≥</w:t>
            </w:r>
            <w:r>
              <w:rPr>
                <w:rFonts w:hint="eastAsia" w:ascii="仿宋" w:hAnsi="仿宋" w:eastAsia="仿宋" w:cs="仿宋"/>
                <w:color w:val="auto"/>
                <w:kern w:val="0"/>
                <w:sz w:val="24"/>
                <w:szCs w:val="24"/>
                <w:highlight w:val="none"/>
                <w:lang w:val="en-US" w:eastAsia="zh-CN"/>
              </w:rPr>
              <w:t>10900</w:t>
            </w:r>
            <w:r>
              <w:rPr>
                <w:rFonts w:hint="eastAsia" w:ascii="仿宋" w:hAnsi="仿宋" w:eastAsia="仿宋" w:cs="仿宋"/>
                <w:color w:val="auto"/>
                <w:kern w:val="0"/>
                <w:sz w:val="24"/>
                <w:szCs w:val="24"/>
                <w:highlight w:val="none"/>
              </w:rPr>
              <w:t>kg</w:t>
            </w:r>
          </w:p>
          <w:p>
            <w:pP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3、额定载质量≥</w:t>
            </w:r>
            <w:r>
              <w:rPr>
                <w:rFonts w:hint="eastAsia" w:ascii="仿宋" w:hAnsi="仿宋" w:eastAsia="仿宋" w:cs="仿宋"/>
                <w:color w:val="auto"/>
                <w:kern w:val="0"/>
                <w:sz w:val="24"/>
                <w:szCs w:val="24"/>
                <w:highlight w:val="none"/>
                <w:lang w:val="en-US" w:eastAsia="zh-CN"/>
              </w:rPr>
              <w:t>48</w:t>
            </w:r>
            <w:r>
              <w:rPr>
                <w:rFonts w:hint="eastAsia" w:ascii="仿宋" w:hAnsi="仿宋" w:eastAsia="仿宋" w:cs="仿宋"/>
                <w:color w:val="auto"/>
                <w:kern w:val="0"/>
                <w:sz w:val="24"/>
                <w:szCs w:val="24"/>
                <w:highlight w:val="none"/>
              </w:rPr>
              <w:t>00kg</w:t>
            </w:r>
          </w:p>
          <w:p>
            <w:pPr>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4</w:t>
            </w:r>
            <w:r>
              <w:rPr>
                <w:rFonts w:hint="eastAsia" w:ascii="仿宋" w:hAnsi="仿宋" w:eastAsia="仿宋" w:cs="仿宋"/>
                <w:color w:val="auto"/>
                <w:kern w:val="0"/>
                <w:sz w:val="24"/>
                <w:szCs w:val="24"/>
                <w:highlight w:val="none"/>
              </w:rPr>
              <w:t>、罐体总容积≥</w:t>
            </w:r>
            <w:r>
              <w:rPr>
                <w:rFonts w:hint="eastAsia" w:ascii="仿宋" w:hAnsi="仿宋" w:eastAsia="仿宋" w:cs="仿宋"/>
                <w:color w:val="auto"/>
                <w:kern w:val="0"/>
                <w:sz w:val="24"/>
                <w:szCs w:val="24"/>
                <w:highlight w:val="none"/>
                <w:lang w:val="en-US" w:eastAsia="zh-CN"/>
              </w:rPr>
              <w:t>4.8</w:t>
            </w:r>
            <w:r>
              <w:rPr>
                <w:rFonts w:hint="eastAsia" w:ascii="仿宋" w:hAnsi="仿宋" w:eastAsia="仿宋" w:cs="仿宋"/>
                <w:color w:val="auto"/>
                <w:kern w:val="0"/>
                <w:sz w:val="24"/>
                <w:szCs w:val="24"/>
                <w:highlight w:val="none"/>
              </w:rPr>
              <w:t>立方米</w:t>
            </w:r>
            <w:r>
              <w:rPr>
                <w:rFonts w:hint="eastAsia" w:ascii="仿宋" w:hAnsi="仿宋" w:eastAsia="仿宋" w:cs="仿宋"/>
                <w:color w:val="auto"/>
                <w:kern w:val="0"/>
                <w:sz w:val="24"/>
                <w:szCs w:val="24"/>
                <w:highlight w:val="none"/>
                <w:lang w:eastAsia="zh-CN"/>
              </w:rPr>
              <w:t>、</w:t>
            </w:r>
            <w:r>
              <w:rPr>
                <w:rFonts w:hint="eastAsia" w:ascii="仿宋" w:hAnsi="仿宋" w:eastAsia="仿宋" w:cs="仿宋"/>
                <w:color w:val="auto"/>
                <w:kern w:val="0"/>
                <w:sz w:val="24"/>
                <w:szCs w:val="24"/>
                <w:highlight w:val="none"/>
                <w:lang w:val="en-US" w:eastAsia="zh-CN"/>
              </w:rPr>
              <w:t>水罐容积≥3200L、泡沫罐容积≥1500L</w:t>
            </w:r>
          </w:p>
          <w:p>
            <w:pP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lang w:val="en-US" w:eastAsia="zh-CN"/>
              </w:rPr>
              <w:t>5</w:t>
            </w:r>
            <w:r>
              <w:rPr>
                <w:rFonts w:hint="eastAsia" w:ascii="仿宋" w:hAnsi="仿宋" w:eastAsia="仿宋" w:cs="仿宋"/>
                <w:color w:val="auto"/>
                <w:kern w:val="0"/>
                <w:sz w:val="24"/>
                <w:szCs w:val="24"/>
                <w:highlight w:val="none"/>
              </w:rPr>
              <w:t>、水罐容积≥</w:t>
            </w:r>
            <w:r>
              <w:rPr>
                <w:rFonts w:hint="eastAsia" w:ascii="仿宋" w:hAnsi="仿宋" w:eastAsia="仿宋" w:cs="仿宋"/>
                <w:color w:val="auto"/>
                <w:kern w:val="0"/>
                <w:sz w:val="24"/>
                <w:szCs w:val="24"/>
                <w:highlight w:val="none"/>
                <w:lang w:val="en-US" w:eastAsia="zh-CN"/>
              </w:rPr>
              <w:t>4.8</w:t>
            </w:r>
            <w:r>
              <w:rPr>
                <w:rFonts w:hint="eastAsia" w:ascii="仿宋" w:hAnsi="仿宋" w:eastAsia="仿宋" w:cs="仿宋"/>
                <w:color w:val="auto"/>
                <w:kern w:val="0"/>
                <w:sz w:val="24"/>
                <w:szCs w:val="24"/>
                <w:highlight w:val="none"/>
              </w:rPr>
              <w:t>立方米，材质：优质碳钢，容罐结构：焊接式 结构：内设防荡板，格间留有人孔，符合国家标准。</w:t>
            </w:r>
          </w:p>
          <w:p>
            <w:pP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lang w:val="en-US" w:eastAsia="zh-CN"/>
              </w:rPr>
              <w:t>6</w:t>
            </w:r>
            <w:r>
              <w:rPr>
                <w:rFonts w:hint="eastAsia" w:ascii="仿宋" w:hAnsi="仿宋" w:eastAsia="仿宋" w:cs="仿宋"/>
                <w:color w:val="auto"/>
                <w:kern w:val="0"/>
                <w:sz w:val="24"/>
                <w:szCs w:val="24"/>
                <w:highlight w:val="none"/>
              </w:rPr>
              <w:t>、驾驶室准乘人数≥6 (人)</w:t>
            </w:r>
          </w:p>
          <w:p>
            <w:pP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lang w:val="en-US" w:eastAsia="zh-CN"/>
              </w:rPr>
              <w:t>7</w:t>
            </w:r>
            <w:r>
              <w:rPr>
                <w:rFonts w:hint="eastAsia" w:ascii="仿宋" w:hAnsi="仿宋" w:eastAsia="仿宋" w:cs="仿宋"/>
                <w:color w:val="auto"/>
                <w:kern w:val="0"/>
                <w:sz w:val="24"/>
                <w:szCs w:val="24"/>
                <w:highlight w:val="none"/>
              </w:rPr>
              <w:t>、最高车速≥95km/h</w:t>
            </w:r>
          </w:p>
          <w:p>
            <w:pP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lang w:val="en-US" w:eastAsia="zh-CN"/>
              </w:rPr>
              <w:t>7</w:t>
            </w:r>
            <w:r>
              <w:rPr>
                <w:rFonts w:hint="eastAsia" w:ascii="仿宋" w:hAnsi="仿宋" w:eastAsia="仿宋" w:cs="仿宋"/>
                <w:color w:val="auto"/>
                <w:kern w:val="0"/>
                <w:sz w:val="24"/>
                <w:szCs w:val="24"/>
                <w:highlight w:val="none"/>
              </w:rPr>
              <w:t>、发动机功率≥</w:t>
            </w:r>
            <w:r>
              <w:rPr>
                <w:rFonts w:hint="eastAsia" w:ascii="仿宋" w:hAnsi="仿宋" w:eastAsia="仿宋" w:cs="仿宋"/>
                <w:color w:val="auto"/>
                <w:kern w:val="0"/>
                <w:sz w:val="24"/>
                <w:szCs w:val="24"/>
                <w:highlight w:val="none"/>
                <w:lang w:val="en-US" w:eastAsia="zh-CN"/>
              </w:rPr>
              <w:t>125</w:t>
            </w:r>
            <w:r>
              <w:rPr>
                <w:rFonts w:hint="eastAsia" w:ascii="仿宋" w:hAnsi="仿宋" w:eastAsia="仿宋" w:cs="仿宋"/>
                <w:color w:val="auto"/>
                <w:kern w:val="0"/>
                <w:sz w:val="24"/>
                <w:szCs w:val="24"/>
                <w:highlight w:val="none"/>
              </w:rPr>
              <w:t xml:space="preserve"> (kw)</w:t>
            </w:r>
          </w:p>
          <w:p>
            <w:pP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lang w:val="en-US" w:eastAsia="zh-CN"/>
              </w:rPr>
              <w:t>8</w:t>
            </w:r>
            <w:r>
              <w:rPr>
                <w:rFonts w:hint="eastAsia" w:ascii="仿宋" w:hAnsi="仿宋" w:eastAsia="仿宋" w:cs="仿宋"/>
                <w:color w:val="auto"/>
                <w:kern w:val="0"/>
                <w:sz w:val="24"/>
                <w:szCs w:val="24"/>
                <w:highlight w:val="none"/>
              </w:rPr>
              <w:t>、排量≥</w:t>
            </w:r>
            <w:r>
              <w:rPr>
                <w:rFonts w:hint="eastAsia" w:ascii="仿宋" w:hAnsi="仿宋" w:eastAsia="仿宋" w:cs="仿宋"/>
                <w:color w:val="auto"/>
                <w:kern w:val="0"/>
                <w:sz w:val="24"/>
                <w:szCs w:val="24"/>
                <w:highlight w:val="none"/>
                <w:lang w:val="en-US" w:eastAsia="zh-CN"/>
              </w:rPr>
              <w:t>2900</w:t>
            </w:r>
            <w:r>
              <w:rPr>
                <w:rFonts w:hint="eastAsia" w:ascii="仿宋" w:hAnsi="仿宋" w:eastAsia="仿宋" w:cs="仿宋"/>
                <w:color w:val="auto"/>
                <w:kern w:val="0"/>
                <w:sz w:val="24"/>
                <w:szCs w:val="24"/>
                <w:highlight w:val="none"/>
              </w:rPr>
              <w:t>ml</w:t>
            </w:r>
          </w:p>
          <w:p>
            <w:pP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lang w:val="en-US" w:eastAsia="zh-CN"/>
              </w:rPr>
              <w:t>9</w:t>
            </w:r>
            <w:r>
              <w:rPr>
                <w:rFonts w:hint="eastAsia" w:ascii="仿宋" w:hAnsi="仿宋" w:eastAsia="仿宋" w:cs="仿宋"/>
                <w:color w:val="auto"/>
                <w:kern w:val="0"/>
                <w:sz w:val="24"/>
                <w:szCs w:val="24"/>
                <w:highlight w:val="none"/>
              </w:rPr>
              <w:t>、后防护离地高度</w:t>
            </w:r>
            <w:r>
              <w:rPr>
                <w:rFonts w:hint="eastAsia" w:ascii="仿宋" w:hAnsi="仿宋" w:eastAsia="仿宋" w:cs="仿宋"/>
                <w:color w:val="auto"/>
                <w:kern w:val="0"/>
                <w:sz w:val="24"/>
                <w:szCs w:val="24"/>
                <w:highlight w:val="none"/>
                <w:lang w:val="en-US" w:eastAsia="zh-CN"/>
              </w:rPr>
              <w:t>≥39</w:t>
            </w:r>
            <w:r>
              <w:rPr>
                <w:rFonts w:hint="eastAsia" w:ascii="仿宋" w:hAnsi="仿宋" w:eastAsia="仿宋" w:cs="仿宋"/>
                <w:color w:val="auto"/>
                <w:kern w:val="0"/>
                <w:sz w:val="24"/>
                <w:szCs w:val="24"/>
                <w:highlight w:val="none"/>
              </w:rPr>
              <w:t>0mm</w:t>
            </w:r>
          </w:p>
          <w:p>
            <w:pP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1</w:t>
            </w:r>
            <w:r>
              <w:rPr>
                <w:rFonts w:hint="eastAsia" w:ascii="仿宋" w:hAnsi="仿宋" w:eastAsia="仿宋" w:cs="仿宋"/>
                <w:color w:val="auto"/>
                <w:kern w:val="0"/>
                <w:sz w:val="24"/>
                <w:szCs w:val="24"/>
                <w:highlight w:val="none"/>
                <w:lang w:val="en-US" w:eastAsia="zh-CN"/>
              </w:rPr>
              <w:t>0</w:t>
            </w:r>
            <w:r>
              <w:rPr>
                <w:rFonts w:hint="eastAsia" w:ascii="仿宋" w:hAnsi="仿宋" w:eastAsia="仿宋" w:cs="仿宋"/>
                <w:color w:val="auto"/>
                <w:kern w:val="0"/>
                <w:sz w:val="24"/>
                <w:szCs w:val="24"/>
                <w:highlight w:val="none"/>
              </w:rPr>
              <w:t>、消防泵：离心式消防泵，机械密封， 活塞式引水；流量≥</w:t>
            </w:r>
            <w:r>
              <w:rPr>
                <w:rFonts w:hint="eastAsia" w:ascii="仿宋" w:hAnsi="仿宋" w:eastAsia="仿宋" w:cs="仿宋"/>
                <w:color w:val="auto"/>
                <w:kern w:val="0"/>
                <w:sz w:val="24"/>
                <w:szCs w:val="24"/>
                <w:highlight w:val="none"/>
                <w:lang w:val="en-US" w:eastAsia="zh-CN"/>
              </w:rPr>
              <w:t>3</w:t>
            </w:r>
            <w:r>
              <w:rPr>
                <w:rFonts w:hint="eastAsia" w:ascii="仿宋" w:hAnsi="仿宋" w:eastAsia="仿宋" w:cs="仿宋"/>
                <w:color w:val="auto"/>
                <w:kern w:val="0"/>
                <w:sz w:val="24"/>
                <w:szCs w:val="24"/>
                <w:highlight w:val="none"/>
              </w:rPr>
              <w:t>0L/S； 引水时间≤50s  (吸深 7m 时) ；安装形式：后置式。</w:t>
            </w:r>
          </w:p>
          <w:p>
            <w:pPr>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rPr>
              <w:t>1</w:t>
            </w:r>
            <w:r>
              <w:rPr>
                <w:rFonts w:hint="eastAsia" w:ascii="仿宋" w:hAnsi="仿宋" w:eastAsia="仿宋" w:cs="仿宋"/>
                <w:color w:val="auto"/>
                <w:kern w:val="0"/>
                <w:sz w:val="24"/>
                <w:szCs w:val="24"/>
                <w:highlight w:val="none"/>
                <w:lang w:val="en-US" w:eastAsia="zh-CN"/>
              </w:rPr>
              <w:t>1</w:t>
            </w:r>
            <w:r>
              <w:rPr>
                <w:rFonts w:hint="eastAsia" w:ascii="仿宋" w:hAnsi="仿宋" w:eastAsia="仿宋" w:cs="仿宋"/>
                <w:color w:val="auto"/>
                <w:kern w:val="0"/>
                <w:sz w:val="24"/>
                <w:szCs w:val="24"/>
                <w:highlight w:val="none"/>
              </w:rPr>
              <w:t>、消防炮：流量≥30L/S；射程：水≥</w:t>
            </w:r>
            <w:r>
              <w:rPr>
                <w:rFonts w:hint="eastAsia" w:ascii="仿宋" w:hAnsi="仿宋" w:eastAsia="仿宋" w:cs="仿宋"/>
                <w:color w:val="auto"/>
                <w:kern w:val="0"/>
                <w:sz w:val="24"/>
                <w:szCs w:val="24"/>
                <w:highlight w:val="none"/>
                <w:lang w:val="en-US" w:eastAsia="zh-CN"/>
              </w:rPr>
              <w:t>55</w:t>
            </w:r>
            <w:r>
              <w:rPr>
                <w:rFonts w:hint="eastAsia" w:ascii="仿宋" w:hAnsi="仿宋" w:eastAsia="仿宋" w:cs="仿宋"/>
                <w:color w:val="auto"/>
                <w:kern w:val="0"/>
                <w:sz w:val="24"/>
                <w:szCs w:val="24"/>
                <w:highlight w:val="none"/>
              </w:rPr>
              <w:t>m</w:t>
            </w:r>
            <w:r>
              <w:rPr>
                <w:rFonts w:hint="eastAsia" w:ascii="仿宋" w:hAnsi="仿宋" w:eastAsia="仿宋" w:cs="仿宋"/>
                <w:color w:val="auto"/>
                <w:kern w:val="0"/>
                <w:sz w:val="24"/>
                <w:szCs w:val="24"/>
                <w:highlight w:val="none"/>
                <w:lang w:eastAsia="zh-CN"/>
              </w:rPr>
              <w:t>、</w:t>
            </w:r>
            <w:r>
              <w:rPr>
                <w:rFonts w:hint="eastAsia" w:ascii="仿宋" w:hAnsi="仿宋" w:eastAsia="仿宋" w:cs="仿宋"/>
                <w:color w:val="auto"/>
                <w:kern w:val="0"/>
                <w:sz w:val="24"/>
                <w:szCs w:val="24"/>
                <w:highlight w:val="none"/>
                <w:lang w:val="en-US" w:eastAsia="zh-CN"/>
              </w:rPr>
              <w:t>泡沫≥50m</w:t>
            </w:r>
            <w:r>
              <w:rPr>
                <w:rFonts w:hint="eastAsia" w:ascii="仿宋" w:hAnsi="仿宋" w:eastAsia="仿宋" w:cs="仿宋"/>
                <w:color w:val="auto"/>
                <w:kern w:val="0"/>
                <w:sz w:val="24"/>
                <w:szCs w:val="24"/>
                <w:highlight w:val="none"/>
              </w:rPr>
              <w:t>。</w:t>
            </w:r>
          </w:p>
          <w:p>
            <w:pP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lang w:val="en-US" w:eastAsia="zh-CN"/>
              </w:rPr>
              <w:t>12</w:t>
            </w:r>
            <w:r>
              <w:rPr>
                <w:rFonts w:hint="eastAsia" w:ascii="仿宋" w:hAnsi="仿宋" w:eastAsia="仿宋" w:cs="仿宋"/>
                <w:color w:val="auto"/>
                <w:kern w:val="0"/>
                <w:sz w:val="24"/>
                <w:szCs w:val="24"/>
                <w:highlight w:val="none"/>
              </w:rPr>
              <w:t>、取力器型式：夹心式</w:t>
            </w:r>
          </w:p>
          <w:p>
            <w:pP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lang w:val="en-US" w:eastAsia="zh-CN"/>
              </w:rPr>
              <w:t>13</w:t>
            </w:r>
            <w:r>
              <w:rPr>
                <w:rFonts w:hint="eastAsia" w:ascii="仿宋" w:hAnsi="仿宋" w:eastAsia="仿宋" w:cs="仿宋"/>
                <w:color w:val="auto"/>
                <w:kern w:val="0"/>
                <w:sz w:val="24"/>
                <w:szCs w:val="24"/>
                <w:highlight w:val="none"/>
              </w:rPr>
              <w:t>、器材厢结构：器材箱位于乘员室后部，两边设铝合金卷帘门， 内有照明灯。器材箱室内根据需求设储物盒。侧下裙边设有工具箱 及卷帘门，可放置小型工具。主框架结构采用优质方管焊接，外装饰板采用碳钢板焊接，车顶防滑，可行走，两边设翻转踏板，防滑 设计。</w:t>
            </w:r>
          </w:p>
          <w:p>
            <w:pP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lang w:val="en-US" w:eastAsia="zh-CN"/>
              </w:rPr>
              <w:t>14</w:t>
            </w:r>
            <w:r>
              <w:rPr>
                <w:rFonts w:hint="eastAsia" w:ascii="仿宋" w:hAnsi="仿宋" w:eastAsia="仿宋" w:cs="仿宋"/>
                <w:color w:val="auto"/>
                <w:kern w:val="0"/>
                <w:sz w:val="24"/>
                <w:szCs w:val="24"/>
                <w:highlight w:val="none"/>
              </w:rPr>
              <w:t>、泵房：全钢框架焊接结构，泵房左右后三侧均有铝合金卷帘门， 轻便可靠、噪音小。</w:t>
            </w:r>
          </w:p>
          <w:p>
            <w:pP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lang w:val="en-US" w:eastAsia="zh-CN"/>
              </w:rPr>
              <w:t>15</w:t>
            </w:r>
            <w:r>
              <w:rPr>
                <w:rFonts w:hint="eastAsia" w:ascii="仿宋" w:hAnsi="仿宋" w:eastAsia="仿宋" w:cs="仿宋"/>
                <w:color w:val="auto"/>
                <w:kern w:val="0"/>
                <w:sz w:val="24"/>
                <w:szCs w:val="24"/>
                <w:highlight w:val="none"/>
              </w:rPr>
              <w:t>、电器系统：</w:t>
            </w:r>
          </w:p>
          <w:p>
            <w:pP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(1) 附加电气：设独立电路；</w:t>
            </w:r>
          </w:p>
          <w:p>
            <w:pP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(2) 辅助照明：消防员室、水泵房及器材箱分别设有照明灯，操纵仪表板上设有照明、指示灯等；</w:t>
            </w:r>
          </w:p>
        </w:tc>
      </w:tr>
    </w:tbl>
    <w:p>
      <w:pPr>
        <w:spacing w:line="360" w:lineRule="auto"/>
        <w:jc w:val="left"/>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二、底盘</w:t>
      </w:r>
    </w:p>
    <w:p>
      <w:pPr>
        <w:pStyle w:val="100"/>
        <w:numPr>
          <w:ilvl w:val="0"/>
          <w:numId w:val="0"/>
        </w:numPr>
        <w:spacing w:line="360" w:lineRule="auto"/>
        <w:ind w:leftChars="0"/>
        <w:jc w:val="left"/>
        <w:rPr>
          <w:rFonts w:hint="eastAsia" w:ascii="仿宋" w:hAnsi="仿宋" w:eastAsia="仿宋" w:cs="仿宋"/>
          <w:b w:val="0"/>
          <w:bCs/>
          <w:color w:val="auto"/>
          <w:sz w:val="24"/>
          <w:szCs w:val="24"/>
          <w:highlight w:val="none"/>
        </w:rPr>
      </w:pPr>
      <w:r>
        <w:rPr>
          <w:rFonts w:hint="eastAsia" w:ascii="仿宋" w:hAnsi="仿宋" w:eastAsia="仿宋" w:cs="仿宋"/>
          <w:b w:val="0"/>
          <w:bCs/>
          <w:color w:val="auto"/>
          <w:sz w:val="24"/>
          <w:szCs w:val="24"/>
          <w:highlight w:val="none"/>
          <w:lang w:val="en-US" w:eastAsia="zh-CN"/>
        </w:rPr>
        <w:t>1、</w:t>
      </w:r>
      <w:r>
        <w:rPr>
          <w:rFonts w:hint="eastAsia" w:ascii="仿宋" w:hAnsi="仿宋" w:eastAsia="仿宋" w:cs="仿宋"/>
          <w:b w:val="0"/>
          <w:bCs/>
          <w:color w:val="auto"/>
          <w:sz w:val="24"/>
          <w:szCs w:val="24"/>
          <w:highlight w:val="none"/>
        </w:rPr>
        <w:t>底盘主要参数</w:t>
      </w:r>
    </w:p>
    <w:tbl>
      <w:tblPr>
        <w:tblStyle w:val="63"/>
        <w:tblW w:w="9615" w:type="dxa"/>
        <w:tblInd w:w="-48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589"/>
        <w:gridCol w:w="702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4" w:hRule="atLeast"/>
        </w:trPr>
        <w:tc>
          <w:tcPr>
            <w:tcW w:w="2589" w:type="dxa"/>
            <w:vAlign w:val="center"/>
          </w:tcPr>
          <w:p>
            <w:p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发动机额定功率</w:t>
            </w:r>
          </w:p>
        </w:tc>
        <w:tc>
          <w:tcPr>
            <w:tcW w:w="7026" w:type="dxa"/>
            <w:vAlign w:val="center"/>
          </w:tcPr>
          <w:p>
            <w:p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125kw</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4" w:hRule="atLeast"/>
        </w:trPr>
        <w:tc>
          <w:tcPr>
            <w:tcW w:w="2589" w:type="dxa"/>
            <w:vAlign w:val="center"/>
          </w:tcPr>
          <w:p>
            <w:p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发动机排量</w:t>
            </w:r>
          </w:p>
        </w:tc>
        <w:tc>
          <w:tcPr>
            <w:tcW w:w="7026" w:type="dxa"/>
            <w:vAlign w:val="center"/>
          </w:tcPr>
          <w:p>
            <w:p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2977ml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4" w:hRule="atLeast"/>
        </w:trPr>
        <w:tc>
          <w:tcPr>
            <w:tcW w:w="2589" w:type="dxa"/>
            <w:vAlign w:val="center"/>
          </w:tcPr>
          <w:p>
            <w:p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发动机排放标准</w:t>
            </w:r>
          </w:p>
        </w:tc>
        <w:tc>
          <w:tcPr>
            <w:tcW w:w="7026" w:type="dxa"/>
            <w:vAlign w:val="center"/>
          </w:tcPr>
          <w:p>
            <w:p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GB17691-2018国Ⅵ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4" w:hRule="atLeast"/>
        </w:trPr>
        <w:tc>
          <w:tcPr>
            <w:tcW w:w="2589" w:type="dxa"/>
            <w:vAlign w:val="center"/>
          </w:tcPr>
          <w:p>
            <w:p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驱动形式</w:t>
            </w:r>
          </w:p>
        </w:tc>
        <w:tc>
          <w:tcPr>
            <w:tcW w:w="7026" w:type="dxa"/>
            <w:vAlign w:val="center"/>
          </w:tcPr>
          <w:p>
            <w:p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4" w:hRule="atLeast"/>
        </w:trPr>
        <w:tc>
          <w:tcPr>
            <w:tcW w:w="2589" w:type="dxa"/>
            <w:vAlign w:val="center"/>
          </w:tcPr>
          <w:p>
            <w:p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最小转弯半径</w:t>
            </w:r>
          </w:p>
        </w:tc>
        <w:tc>
          <w:tcPr>
            <w:tcW w:w="7026" w:type="dxa"/>
            <w:vAlign w:val="center"/>
          </w:tcPr>
          <w:p>
            <w:p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≤19m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4" w:hRule="atLeast"/>
        </w:trPr>
        <w:tc>
          <w:tcPr>
            <w:tcW w:w="2589" w:type="dxa"/>
            <w:vAlign w:val="center"/>
          </w:tcPr>
          <w:p>
            <w:p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取力器</w:t>
            </w:r>
          </w:p>
        </w:tc>
        <w:tc>
          <w:tcPr>
            <w:tcW w:w="7026" w:type="dxa"/>
            <w:vAlign w:val="center"/>
          </w:tcPr>
          <w:p>
            <w:p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夹心取力器</w:t>
            </w:r>
          </w:p>
        </w:tc>
      </w:tr>
    </w:tbl>
    <w:p>
      <w:pPr>
        <w:spacing w:line="360" w:lineRule="auto"/>
        <w:jc w:val="left"/>
        <w:rPr>
          <w:rFonts w:hint="eastAsia" w:ascii="仿宋" w:hAnsi="仿宋" w:eastAsia="仿宋" w:cs="仿宋"/>
          <w:b w:val="0"/>
          <w:bCs/>
          <w:color w:val="auto"/>
          <w:sz w:val="24"/>
          <w:szCs w:val="24"/>
          <w:highlight w:val="none"/>
        </w:rPr>
      </w:pPr>
      <w:r>
        <w:rPr>
          <w:rFonts w:hint="eastAsia" w:ascii="仿宋" w:hAnsi="仿宋" w:eastAsia="仿宋" w:cs="仿宋"/>
          <w:b w:val="0"/>
          <w:bCs/>
          <w:color w:val="auto"/>
          <w:sz w:val="24"/>
          <w:szCs w:val="24"/>
          <w:highlight w:val="none"/>
        </w:rPr>
        <w:t>2、乘员室</w:t>
      </w:r>
    </w:p>
    <w:tbl>
      <w:tblPr>
        <w:tblStyle w:val="63"/>
        <w:tblW w:w="9645" w:type="dxa"/>
        <w:tblInd w:w="-50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585"/>
        <w:gridCol w:w="706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585" w:type="dxa"/>
            <w:vAlign w:val="center"/>
          </w:tcPr>
          <w:p>
            <w:p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结构</w:t>
            </w:r>
          </w:p>
        </w:tc>
        <w:tc>
          <w:tcPr>
            <w:tcW w:w="7060" w:type="dxa"/>
            <w:vAlign w:val="top"/>
          </w:tcPr>
          <w:p>
            <w:pPr>
              <w:spacing w:line="360" w:lineRule="auto"/>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平头、四门，改制双排驾驶室</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585" w:type="dxa"/>
            <w:vAlign w:val="center"/>
          </w:tcPr>
          <w:p>
            <w:p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司乘人员数</w:t>
            </w:r>
          </w:p>
        </w:tc>
        <w:tc>
          <w:tcPr>
            <w:tcW w:w="7060" w:type="dxa"/>
            <w:vAlign w:val="top"/>
          </w:tcPr>
          <w:p>
            <w:pPr>
              <w:spacing w:line="360" w:lineRule="auto"/>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3+3人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2585" w:type="dxa"/>
            <w:vAlign w:val="center"/>
          </w:tcPr>
          <w:p>
            <w:p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驾驶员位置</w:t>
            </w:r>
          </w:p>
        </w:tc>
        <w:tc>
          <w:tcPr>
            <w:tcW w:w="7060" w:type="dxa"/>
            <w:vAlign w:val="top"/>
          </w:tcPr>
          <w:p>
            <w:pPr>
              <w:spacing w:line="360" w:lineRule="auto"/>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左置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585" w:type="dxa"/>
            <w:vAlign w:val="center"/>
          </w:tcPr>
          <w:p>
            <w:p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设备</w:t>
            </w:r>
          </w:p>
        </w:tc>
        <w:tc>
          <w:tcPr>
            <w:tcW w:w="7060" w:type="dxa"/>
            <w:vAlign w:val="top"/>
          </w:tcPr>
          <w:p>
            <w:pPr>
              <w:spacing w:line="360" w:lineRule="auto"/>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原车仪表板处设置消防操作仪表板及警灯控制盒，加装</w:t>
            </w:r>
          </w:p>
          <w:p>
            <w:pPr>
              <w:pStyle w:val="100"/>
              <w:numPr>
                <w:ilvl w:val="0"/>
                <w:numId w:val="6"/>
              </w:numPr>
              <w:spacing w:line="360" w:lineRule="auto"/>
              <w:ind w:firstLineChars="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警报器；</w:t>
            </w:r>
          </w:p>
          <w:p>
            <w:pPr>
              <w:pStyle w:val="100"/>
              <w:numPr>
                <w:ilvl w:val="0"/>
                <w:numId w:val="6"/>
              </w:numPr>
              <w:spacing w:line="360" w:lineRule="auto"/>
              <w:ind w:firstLineChars="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取力器控制开关及指示灯；</w:t>
            </w:r>
          </w:p>
          <w:p>
            <w:pPr>
              <w:pStyle w:val="100"/>
              <w:numPr>
                <w:ilvl w:val="0"/>
                <w:numId w:val="6"/>
              </w:numPr>
              <w:spacing w:line="360" w:lineRule="auto"/>
              <w:ind w:firstLineChars="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附加电源开关；</w:t>
            </w:r>
          </w:p>
        </w:tc>
      </w:tr>
    </w:tbl>
    <w:p>
      <w:pPr>
        <w:pStyle w:val="100"/>
        <w:numPr>
          <w:ilvl w:val="0"/>
          <w:numId w:val="0"/>
        </w:numPr>
        <w:spacing w:line="360" w:lineRule="auto"/>
        <w:ind w:leftChars="0"/>
        <w:jc w:val="left"/>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lang w:val="en-US" w:eastAsia="zh-CN"/>
        </w:rPr>
        <w:t>三、</w:t>
      </w:r>
      <w:r>
        <w:rPr>
          <w:rFonts w:hint="eastAsia" w:ascii="仿宋" w:hAnsi="仿宋" w:eastAsia="仿宋" w:cs="仿宋"/>
          <w:b/>
          <w:color w:val="auto"/>
          <w:sz w:val="24"/>
          <w:szCs w:val="24"/>
          <w:highlight w:val="none"/>
        </w:rPr>
        <w:t>上装结构及性能参数</w:t>
      </w:r>
    </w:p>
    <w:tbl>
      <w:tblPr>
        <w:tblStyle w:val="63"/>
        <w:tblW w:w="9600" w:type="dxa"/>
        <w:tblInd w:w="-47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554"/>
        <w:gridCol w:w="704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564" w:hRule="atLeast"/>
        </w:trPr>
        <w:tc>
          <w:tcPr>
            <w:tcW w:w="2554" w:type="dxa"/>
            <w:vAlign w:val="top"/>
          </w:tcPr>
          <w:p>
            <w:pPr>
              <w:spacing w:line="360" w:lineRule="auto"/>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总体布置</w:t>
            </w:r>
          </w:p>
        </w:tc>
        <w:tc>
          <w:tcPr>
            <w:tcW w:w="7046" w:type="dxa"/>
            <w:vAlign w:val="top"/>
          </w:tcPr>
          <w:p>
            <w:pPr>
              <w:spacing w:line="360" w:lineRule="auto"/>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整车由消防员乘员室和车身两大部分组成，车身布置采用三分体式结构，前部为器材箱，中部为水罐，后部为水泵房，罐体为平行六面体厢式容罐。</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74" w:hRule="atLeast"/>
        </w:trPr>
        <w:tc>
          <w:tcPr>
            <w:tcW w:w="9600" w:type="dxa"/>
            <w:gridSpan w:val="2"/>
            <w:vAlign w:val="top"/>
          </w:tcPr>
          <w:p>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kern w:val="2"/>
                <w:sz w:val="24"/>
                <w:szCs w:val="24"/>
                <w:highlight w:val="none"/>
                <w:lang w:val="en-US" w:eastAsia="zh-CN" w:bidi="ar-SA"/>
              </w:rPr>
              <w:drawing>
                <wp:inline distT="0" distB="0" distL="114300" distR="114300">
                  <wp:extent cx="5981065" cy="2187575"/>
                  <wp:effectExtent l="0" t="0" r="635" b="9525"/>
                  <wp:docPr id="17"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4"/>
                          <pic:cNvPicPr>
                            <a:picLocks noChangeAspect="1"/>
                          </pic:cNvPicPr>
                        </pic:nvPicPr>
                        <pic:blipFill>
                          <a:blip r:embed="rId40">
                            <a:lum/>
                          </a:blip>
                          <a:stretch>
                            <a:fillRect/>
                          </a:stretch>
                        </pic:blipFill>
                        <pic:spPr>
                          <a:xfrm>
                            <a:off x="0" y="0"/>
                            <a:ext cx="5981065" cy="2187575"/>
                          </a:xfrm>
                          <a:prstGeom prst="rect">
                            <a:avLst/>
                          </a:prstGeom>
                          <a:noFill/>
                          <a:ln>
                            <a:noFill/>
                          </a:ln>
                        </pic:spPr>
                      </pic:pic>
                    </a:graphicData>
                  </a:graphic>
                </wp:inline>
              </w:drawing>
            </w:r>
          </w:p>
        </w:tc>
      </w:tr>
    </w:tbl>
    <w:p>
      <w:pPr>
        <w:spacing w:line="360" w:lineRule="auto"/>
        <w:jc w:val="left"/>
        <w:rPr>
          <w:rFonts w:hint="eastAsia" w:ascii="仿宋" w:hAnsi="仿宋" w:eastAsia="仿宋" w:cs="仿宋"/>
          <w:b w:val="0"/>
          <w:bCs/>
          <w:color w:val="auto"/>
          <w:sz w:val="24"/>
          <w:szCs w:val="24"/>
          <w:highlight w:val="none"/>
        </w:rPr>
      </w:pPr>
      <w:r>
        <w:rPr>
          <w:rFonts w:hint="eastAsia" w:ascii="仿宋" w:hAnsi="仿宋" w:eastAsia="仿宋" w:cs="仿宋"/>
          <w:b w:val="0"/>
          <w:bCs/>
          <w:color w:val="auto"/>
          <w:sz w:val="24"/>
          <w:szCs w:val="24"/>
          <w:highlight w:val="none"/>
        </w:rPr>
        <w:t>1、器材箱</w:t>
      </w:r>
    </w:p>
    <w:tbl>
      <w:tblPr>
        <w:tblStyle w:val="63"/>
        <w:tblW w:w="9555" w:type="dxa"/>
        <w:tblInd w:w="-45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221"/>
        <w:gridCol w:w="733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83" w:hRule="atLeast"/>
        </w:trPr>
        <w:tc>
          <w:tcPr>
            <w:tcW w:w="2221" w:type="dxa"/>
            <w:vAlign w:val="center"/>
          </w:tcPr>
          <w:p>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结构</w:t>
            </w:r>
          </w:p>
        </w:tc>
        <w:tc>
          <w:tcPr>
            <w:tcW w:w="7334" w:type="dxa"/>
            <w:vAlign w:val="top"/>
          </w:tcPr>
          <w:p>
            <w:pPr>
              <w:spacing w:line="360" w:lineRule="auto"/>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主框架结构采用优质方管焊接，外装饰板采用碳钢板焊接，车顶防滑，可行走。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221" w:type="dxa"/>
            <w:vAlign w:val="center"/>
          </w:tcPr>
          <w:p>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器材箱</w:t>
            </w:r>
          </w:p>
        </w:tc>
        <w:tc>
          <w:tcPr>
            <w:tcW w:w="7334" w:type="dxa"/>
            <w:vAlign w:val="top"/>
          </w:tcPr>
          <w:p>
            <w:pPr>
              <w:spacing w:line="360" w:lineRule="auto"/>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器材箱位于乘员室后部，两边设铝合金卷帘门，内有照明灯。器材箱室内根据需求设储物盒。侧下裙边设有工具箱及卷帘门，可放置小型工具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221" w:type="dxa"/>
            <w:vAlign w:val="center"/>
          </w:tcPr>
          <w:p>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泵房</w:t>
            </w:r>
          </w:p>
        </w:tc>
        <w:tc>
          <w:tcPr>
            <w:tcW w:w="7334" w:type="dxa"/>
            <w:vAlign w:val="top"/>
          </w:tcPr>
          <w:p>
            <w:pPr>
              <w:spacing w:line="360" w:lineRule="auto"/>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泵房位于整车后部，两边与后边设铝合金卷帘门，内有照明灯，泵室两侧可放置部分常用器材</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221" w:type="dxa"/>
            <w:vAlign w:val="center"/>
          </w:tcPr>
          <w:p>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爬梯及上车拉手</w:t>
            </w:r>
          </w:p>
        </w:tc>
        <w:tc>
          <w:tcPr>
            <w:tcW w:w="7334" w:type="dxa"/>
            <w:vAlign w:val="top"/>
          </w:tcPr>
          <w:p>
            <w:pPr>
              <w:spacing w:line="360" w:lineRule="auto"/>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后爬梯采用铝合金两节翻转爬梯，使用，使用时离地不超过350mm，上车拉手采用表面带凹槽防滑圆钢管，表面喷塑处理。</w:t>
            </w:r>
          </w:p>
        </w:tc>
      </w:tr>
    </w:tbl>
    <w:p>
      <w:pPr>
        <w:spacing w:line="360" w:lineRule="auto"/>
        <w:jc w:val="left"/>
        <w:rPr>
          <w:rFonts w:hint="eastAsia" w:ascii="仿宋" w:hAnsi="仿宋" w:eastAsia="仿宋" w:cs="仿宋"/>
          <w:b w:val="0"/>
          <w:bCs/>
          <w:color w:val="auto"/>
          <w:sz w:val="24"/>
          <w:szCs w:val="24"/>
          <w:highlight w:val="none"/>
        </w:rPr>
      </w:pPr>
      <w:r>
        <w:rPr>
          <w:rFonts w:hint="eastAsia" w:ascii="仿宋" w:hAnsi="仿宋" w:eastAsia="仿宋" w:cs="仿宋"/>
          <w:b w:val="0"/>
          <w:bCs/>
          <w:color w:val="auto"/>
          <w:sz w:val="24"/>
          <w:szCs w:val="24"/>
          <w:highlight w:val="none"/>
        </w:rPr>
        <w:t>2、水罐</w:t>
      </w:r>
    </w:p>
    <w:tbl>
      <w:tblPr>
        <w:tblStyle w:val="63"/>
        <w:tblW w:w="9585" w:type="dxa"/>
        <w:tblInd w:w="-47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236"/>
        <w:gridCol w:w="734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8" w:hRule="atLeast"/>
        </w:trPr>
        <w:tc>
          <w:tcPr>
            <w:tcW w:w="2236" w:type="dxa"/>
            <w:vAlign w:val="center"/>
          </w:tcPr>
          <w:p>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容量</w:t>
            </w:r>
          </w:p>
        </w:tc>
        <w:tc>
          <w:tcPr>
            <w:tcW w:w="7349" w:type="dxa"/>
            <w:vAlign w:val="top"/>
          </w:tcPr>
          <w:p>
            <w:pPr>
              <w:spacing w:line="360" w:lineRule="auto"/>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不小于</w:t>
            </w:r>
            <w:r>
              <w:rPr>
                <w:rFonts w:hint="eastAsia" w:ascii="仿宋" w:hAnsi="仿宋" w:eastAsia="仿宋" w:cs="仿宋"/>
                <w:color w:val="auto"/>
                <w:sz w:val="24"/>
                <w:szCs w:val="24"/>
                <w:highlight w:val="none"/>
              </w:rPr>
              <w:t>3400kg</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236" w:type="dxa"/>
            <w:vAlign w:val="center"/>
          </w:tcPr>
          <w:p>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材质</w:t>
            </w:r>
          </w:p>
        </w:tc>
        <w:tc>
          <w:tcPr>
            <w:tcW w:w="7349" w:type="dxa"/>
            <w:vAlign w:val="top"/>
          </w:tcPr>
          <w:p>
            <w:pPr>
              <w:spacing w:line="360" w:lineRule="auto"/>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优质碳钢，厚度为</w:t>
            </w:r>
            <w:r>
              <w:rPr>
                <w:rFonts w:hint="eastAsia" w:ascii="仿宋" w:hAnsi="仿宋" w:eastAsia="仿宋" w:cs="仿宋"/>
                <w:color w:val="auto"/>
                <w:sz w:val="24"/>
                <w:szCs w:val="24"/>
                <w:highlight w:val="none"/>
                <w:lang w:val="en-US" w:eastAsia="zh-CN"/>
              </w:rPr>
              <w:t>3-4</w:t>
            </w:r>
            <w:r>
              <w:rPr>
                <w:rFonts w:hint="eastAsia" w:ascii="仿宋" w:hAnsi="仿宋" w:eastAsia="仿宋" w:cs="仿宋"/>
                <w:color w:val="auto"/>
                <w:sz w:val="24"/>
                <w:szCs w:val="24"/>
                <w:highlight w:val="none"/>
              </w:rPr>
              <w:t xml:space="preserve">mm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21" w:hRule="atLeast"/>
        </w:trPr>
        <w:tc>
          <w:tcPr>
            <w:tcW w:w="2236" w:type="dxa"/>
            <w:vAlign w:val="center"/>
          </w:tcPr>
          <w:p>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罐体固定</w:t>
            </w:r>
          </w:p>
        </w:tc>
        <w:tc>
          <w:tcPr>
            <w:tcW w:w="7349" w:type="dxa"/>
            <w:vAlign w:val="center"/>
          </w:tcPr>
          <w:p>
            <w:p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与底盘车架弹性连接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236" w:type="dxa"/>
            <w:vMerge w:val="restart"/>
            <w:vAlign w:val="center"/>
          </w:tcPr>
          <w:p>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罐体设置</w:t>
            </w:r>
          </w:p>
        </w:tc>
        <w:tc>
          <w:tcPr>
            <w:tcW w:w="7349" w:type="dxa"/>
            <w:vAlign w:val="top"/>
          </w:tcPr>
          <w:p>
            <w:pPr>
              <w:spacing w:line="360" w:lineRule="auto"/>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人孔：设DN470人孔1个，带有快速锁定/开启装置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236" w:type="dxa"/>
            <w:vMerge w:val="continue"/>
            <w:vAlign w:val="center"/>
          </w:tcPr>
          <w:p>
            <w:pPr>
              <w:spacing w:line="360" w:lineRule="auto"/>
              <w:jc w:val="center"/>
              <w:rPr>
                <w:rFonts w:hint="eastAsia" w:ascii="仿宋" w:hAnsi="仿宋" w:eastAsia="仿宋" w:cs="仿宋"/>
                <w:color w:val="auto"/>
                <w:sz w:val="24"/>
                <w:szCs w:val="24"/>
                <w:highlight w:val="none"/>
              </w:rPr>
            </w:pPr>
          </w:p>
        </w:tc>
        <w:tc>
          <w:tcPr>
            <w:tcW w:w="7349" w:type="dxa"/>
            <w:vAlign w:val="top"/>
          </w:tcPr>
          <w:p>
            <w:pPr>
              <w:spacing w:line="360" w:lineRule="auto"/>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溢流口：设DN65溢流口1个</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236" w:type="dxa"/>
            <w:vMerge w:val="continue"/>
            <w:vAlign w:val="center"/>
          </w:tcPr>
          <w:p>
            <w:pPr>
              <w:spacing w:line="360" w:lineRule="auto"/>
              <w:jc w:val="center"/>
              <w:rPr>
                <w:rFonts w:hint="eastAsia" w:ascii="仿宋" w:hAnsi="仿宋" w:eastAsia="仿宋" w:cs="仿宋"/>
                <w:color w:val="auto"/>
                <w:sz w:val="24"/>
                <w:szCs w:val="24"/>
                <w:highlight w:val="none"/>
              </w:rPr>
            </w:pPr>
          </w:p>
        </w:tc>
        <w:tc>
          <w:tcPr>
            <w:tcW w:w="7349" w:type="dxa"/>
            <w:vAlign w:val="top"/>
          </w:tcPr>
          <w:p>
            <w:pPr>
              <w:spacing w:line="360" w:lineRule="auto"/>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放余水口：设1个DN40水罐放余水口，配球阀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2236" w:type="dxa"/>
            <w:vMerge w:val="continue"/>
            <w:vAlign w:val="center"/>
          </w:tcPr>
          <w:p>
            <w:pPr>
              <w:spacing w:line="360" w:lineRule="auto"/>
              <w:jc w:val="center"/>
              <w:rPr>
                <w:rFonts w:hint="eastAsia" w:ascii="仿宋" w:hAnsi="仿宋" w:eastAsia="仿宋" w:cs="仿宋"/>
                <w:color w:val="auto"/>
                <w:sz w:val="24"/>
                <w:szCs w:val="24"/>
                <w:highlight w:val="none"/>
              </w:rPr>
            </w:pPr>
          </w:p>
        </w:tc>
        <w:tc>
          <w:tcPr>
            <w:tcW w:w="7349" w:type="dxa"/>
            <w:vAlign w:val="top"/>
          </w:tcPr>
          <w:p>
            <w:pPr>
              <w:spacing w:line="360" w:lineRule="auto"/>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注水口：在水罐左右两侧各接1只DN65接口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236" w:type="dxa"/>
            <w:vMerge w:val="continue"/>
            <w:vAlign w:val="center"/>
          </w:tcPr>
          <w:p>
            <w:pPr>
              <w:spacing w:line="360" w:lineRule="auto"/>
              <w:jc w:val="center"/>
              <w:rPr>
                <w:rFonts w:hint="eastAsia" w:ascii="仿宋" w:hAnsi="仿宋" w:eastAsia="仿宋" w:cs="仿宋"/>
                <w:color w:val="auto"/>
                <w:sz w:val="24"/>
                <w:szCs w:val="24"/>
                <w:highlight w:val="none"/>
              </w:rPr>
            </w:pPr>
          </w:p>
        </w:tc>
        <w:tc>
          <w:tcPr>
            <w:tcW w:w="7349" w:type="dxa"/>
            <w:vAlign w:val="top"/>
          </w:tcPr>
          <w:p>
            <w:pPr>
              <w:spacing w:line="360" w:lineRule="auto"/>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进出水口：设1个水罐到水泵进水管，DN150阀门，设1个水泵至水罐充水管，DN65阀门</w:t>
            </w:r>
          </w:p>
        </w:tc>
      </w:tr>
    </w:tbl>
    <w:p>
      <w:pPr>
        <w:spacing w:line="360" w:lineRule="auto"/>
        <w:jc w:val="left"/>
        <w:rPr>
          <w:rFonts w:hint="eastAsia" w:ascii="仿宋" w:hAnsi="仿宋" w:eastAsia="仿宋" w:cs="仿宋"/>
          <w:b w:val="0"/>
          <w:bCs/>
          <w:color w:val="auto"/>
          <w:sz w:val="24"/>
          <w:szCs w:val="24"/>
          <w:highlight w:val="none"/>
        </w:rPr>
      </w:pPr>
    </w:p>
    <w:p>
      <w:pPr>
        <w:spacing w:line="360" w:lineRule="auto"/>
        <w:jc w:val="left"/>
        <w:rPr>
          <w:rFonts w:hint="eastAsia" w:ascii="仿宋" w:hAnsi="仿宋" w:eastAsia="仿宋" w:cs="仿宋"/>
          <w:b w:val="0"/>
          <w:bCs/>
          <w:color w:val="auto"/>
          <w:sz w:val="24"/>
          <w:szCs w:val="24"/>
          <w:highlight w:val="none"/>
        </w:rPr>
      </w:pPr>
      <w:r>
        <w:rPr>
          <w:rFonts w:hint="eastAsia" w:ascii="仿宋" w:hAnsi="仿宋" w:eastAsia="仿宋" w:cs="仿宋"/>
          <w:b w:val="0"/>
          <w:bCs/>
          <w:color w:val="auto"/>
          <w:sz w:val="24"/>
          <w:szCs w:val="24"/>
          <w:highlight w:val="none"/>
        </w:rPr>
        <w:t>3、泡沫罐</w:t>
      </w:r>
    </w:p>
    <w:tbl>
      <w:tblPr>
        <w:tblStyle w:val="63"/>
        <w:tblW w:w="9570" w:type="dxa"/>
        <w:tblInd w:w="-47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236"/>
        <w:gridCol w:w="733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236" w:type="dxa"/>
            <w:vAlign w:val="center"/>
          </w:tcPr>
          <w:p>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容量</w:t>
            </w:r>
          </w:p>
        </w:tc>
        <w:tc>
          <w:tcPr>
            <w:tcW w:w="7334" w:type="dxa"/>
            <w:vAlign w:val="top"/>
          </w:tcPr>
          <w:p>
            <w:pPr>
              <w:spacing w:line="360" w:lineRule="auto"/>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不小于</w:t>
            </w:r>
            <w:r>
              <w:rPr>
                <w:rFonts w:hint="eastAsia" w:ascii="仿宋" w:hAnsi="仿宋" w:eastAsia="仿宋" w:cs="仿宋"/>
                <w:color w:val="auto"/>
                <w:sz w:val="24"/>
                <w:szCs w:val="24"/>
                <w:highlight w:val="none"/>
              </w:rPr>
              <w:t>15</w:t>
            </w:r>
            <w:r>
              <w:rPr>
                <w:rFonts w:hint="eastAsia" w:ascii="仿宋" w:hAnsi="仿宋" w:eastAsia="仿宋" w:cs="仿宋"/>
                <w:color w:val="auto"/>
                <w:sz w:val="24"/>
                <w:szCs w:val="24"/>
                <w:highlight w:val="none"/>
                <w:lang w:val="en-US" w:eastAsia="zh-CN"/>
              </w:rPr>
              <w:t>00</w:t>
            </w:r>
            <w:r>
              <w:rPr>
                <w:rFonts w:hint="eastAsia" w:ascii="仿宋" w:hAnsi="仿宋" w:eastAsia="仿宋" w:cs="仿宋"/>
                <w:color w:val="auto"/>
                <w:sz w:val="24"/>
                <w:szCs w:val="24"/>
                <w:highlight w:val="none"/>
              </w:rPr>
              <w:t>kg</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236" w:type="dxa"/>
            <w:vAlign w:val="center"/>
          </w:tcPr>
          <w:p>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材质</w:t>
            </w:r>
          </w:p>
        </w:tc>
        <w:tc>
          <w:tcPr>
            <w:tcW w:w="7334" w:type="dxa"/>
            <w:vAlign w:val="top"/>
          </w:tcPr>
          <w:p>
            <w:pPr>
              <w:spacing w:line="360" w:lineRule="auto"/>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304不锈钢，厚度为</w:t>
            </w:r>
            <w:r>
              <w:rPr>
                <w:rFonts w:hint="eastAsia" w:ascii="仿宋" w:hAnsi="仿宋" w:eastAsia="仿宋" w:cs="仿宋"/>
                <w:color w:val="auto"/>
                <w:sz w:val="24"/>
                <w:szCs w:val="24"/>
                <w:highlight w:val="none"/>
                <w:lang w:val="en-US" w:eastAsia="zh-CN"/>
              </w:rPr>
              <w:t>3-4</w:t>
            </w:r>
            <w:r>
              <w:rPr>
                <w:rFonts w:hint="eastAsia" w:ascii="仿宋" w:hAnsi="仿宋" w:eastAsia="仿宋" w:cs="仿宋"/>
                <w:color w:val="auto"/>
                <w:sz w:val="24"/>
                <w:szCs w:val="24"/>
                <w:highlight w:val="none"/>
              </w:rPr>
              <w:t xml:space="preserve">mm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21" w:hRule="atLeast"/>
        </w:trPr>
        <w:tc>
          <w:tcPr>
            <w:tcW w:w="2236" w:type="dxa"/>
            <w:vAlign w:val="center"/>
          </w:tcPr>
          <w:p>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罐体固定</w:t>
            </w:r>
          </w:p>
        </w:tc>
        <w:tc>
          <w:tcPr>
            <w:tcW w:w="7334" w:type="dxa"/>
            <w:vAlign w:val="center"/>
          </w:tcPr>
          <w:p>
            <w:p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与底盘车架弹性连接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236" w:type="dxa"/>
            <w:vMerge w:val="restart"/>
            <w:vAlign w:val="center"/>
          </w:tcPr>
          <w:p>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罐体设置</w:t>
            </w:r>
          </w:p>
        </w:tc>
        <w:tc>
          <w:tcPr>
            <w:tcW w:w="7334" w:type="dxa"/>
            <w:vAlign w:val="top"/>
          </w:tcPr>
          <w:p>
            <w:pPr>
              <w:spacing w:line="360" w:lineRule="auto"/>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人孔：设DN470人孔1个，带有快速锁定/开启装置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236" w:type="dxa"/>
            <w:vMerge w:val="continue"/>
            <w:vAlign w:val="center"/>
          </w:tcPr>
          <w:p>
            <w:pPr>
              <w:spacing w:line="360" w:lineRule="auto"/>
              <w:jc w:val="center"/>
              <w:rPr>
                <w:rFonts w:hint="eastAsia" w:ascii="仿宋" w:hAnsi="仿宋" w:eastAsia="仿宋" w:cs="仿宋"/>
                <w:color w:val="auto"/>
                <w:sz w:val="24"/>
                <w:szCs w:val="24"/>
                <w:highlight w:val="none"/>
              </w:rPr>
            </w:pPr>
          </w:p>
        </w:tc>
        <w:tc>
          <w:tcPr>
            <w:tcW w:w="7334" w:type="dxa"/>
            <w:vAlign w:val="top"/>
          </w:tcPr>
          <w:p>
            <w:pPr>
              <w:widowControl/>
              <w:spacing w:line="360" w:lineRule="auto"/>
              <w:jc w:val="left"/>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val="en-US" w:eastAsia="zh-CN"/>
              </w:rPr>
              <w:t>溢流口：设 DN40 溢流口 1 个</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236" w:type="dxa"/>
            <w:vMerge w:val="continue"/>
            <w:vAlign w:val="center"/>
          </w:tcPr>
          <w:p>
            <w:pPr>
              <w:spacing w:line="360" w:lineRule="auto"/>
              <w:jc w:val="center"/>
              <w:rPr>
                <w:rFonts w:hint="eastAsia" w:ascii="仿宋" w:hAnsi="仿宋" w:eastAsia="仿宋" w:cs="仿宋"/>
                <w:color w:val="auto"/>
                <w:sz w:val="24"/>
                <w:szCs w:val="24"/>
                <w:highlight w:val="none"/>
              </w:rPr>
            </w:pPr>
          </w:p>
        </w:tc>
        <w:tc>
          <w:tcPr>
            <w:tcW w:w="7334" w:type="dxa"/>
            <w:vAlign w:val="top"/>
          </w:tcPr>
          <w:p>
            <w:pPr>
              <w:spacing w:line="360" w:lineRule="auto"/>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放余水口：设1个DN40水罐放余水口，配球阀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2236" w:type="dxa"/>
            <w:vMerge w:val="continue"/>
            <w:vAlign w:val="center"/>
          </w:tcPr>
          <w:p>
            <w:pPr>
              <w:spacing w:line="360" w:lineRule="auto"/>
              <w:jc w:val="center"/>
              <w:rPr>
                <w:rFonts w:hint="eastAsia" w:ascii="仿宋" w:hAnsi="仿宋" w:eastAsia="仿宋" w:cs="仿宋"/>
                <w:color w:val="auto"/>
                <w:sz w:val="24"/>
                <w:szCs w:val="24"/>
                <w:highlight w:val="none"/>
              </w:rPr>
            </w:pPr>
          </w:p>
        </w:tc>
        <w:tc>
          <w:tcPr>
            <w:tcW w:w="7334" w:type="dxa"/>
            <w:vAlign w:val="top"/>
          </w:tcPr>
          <w:p>
            <w:pPr>
              <w:widowControl/>
              <w:spacing w:line="360" w:lineRule="auto"/>
              <w:jc w:val="left"/>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val="en-US" w:eastAsia="zh-CN"/>
              </w:rPr>
              <w:t>出泡沫口：设 1 个 DN40 泡沫罐到水泵出泡沫管</w:t>
            </w:r>
          </w:p>
        </w:tc>
      </w:tr>
    </w:tbl>
    <w:p>
      <w:pPr>
        <w:spacing w:line="360" w:lineRule="auto"/>
        <w:jc w:val="left"/>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四、水力系统</w:t>
      </w:r>
    </w:p>
    <w:p>
      <w:pPr>
        <w:spacing w:line="360" w:lineRule="auto"/>
        <w:jc w:val="left"/>
        <w:rPr>
          <w:rFonts w:hint="eastAsia" w:ascii="仿宋" w:hAnsi="仿宋" w:eastAsia="仿宋" w:cs="仿宋"/>
          <w:color w:val="auto"/>
          <w:sz w:val="24"/>
          <w:szCs w:val="24"/>
          <w:highlight w:val="none"/>
        </w:rPr>
      </w:pPr>
      <w:r>
        <w:rPr>
          <w:rFonts w:hint="eastAsia" w:ascii="仿宋" w:hAnsi="仿宋" w:eastAsia="仿宋" w:cs="仿宋"/>
          <w:b w:val="0"/>
          <w:bCs/>
          <w:color w:val="auto"/>
          <w:sz w:val="24"/>
          <w:szCs w:val="24"/>
          <w:highlight w:val="none"/>
        </w:rPr>
        <w:t xml:space="preserve">1、水泵 </w:t>
      </w:r>
      <w:r>
        <w:rPr>
          <w:rFonts w:hint="eastAsia" w:ascii="仿宋" w:hAnsi="仿宋" w:eastAsia="仿宋" w:cs="仿宋"/>
          <w:b/>
          <w:color w:val="auto"/>
          <w:sz w:val="24"/>
          <w:szCs w:val="24"/>
          <w:highlight w:val="none"/>
        </w:rPr>
        <w:t xml:space="preserve">  </w:t>
      </w:r>
      <w:r>
        <w:rPr>
          <w:rFonts w:hint="eastAsia" w:ascii="仿宋" w:hAnsi="仿宋" w:eastAsia="仿宋" w:cs="仿宋"/>
          <w:color w:val="auto"/>
          <w:sz w:val="24"/>
          <w:szCs w:val="24"/>
          <w:highlight w:val="none"/>
        </w:rPr>
        <w:t xml:space="preserve">  </w:t>
      </w:r>
    </w:p>
    <w:tbl>
      <w:tblPr>
        <w:tblStyle w:val="63"/>
        <w:tblW w:w="9585" w:type="dxa"/>
        <w:tblInd w:w="-48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251"/>
        <w:gridCol w:w="4219"/>
        <w:gridCol w:w="311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251" w:type="dxa"/>
            <w:vAlign w:val="top"/>
          </w:tcPr>
          <w:p>
            <w:pPr>
              <w:spacing w:line="360" w:lineRule="auto"/>
              <w:jc w:val="cente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val="en-US" w:eastAsia="zh-CN"/>
              </w:rPr>
              <w:t>名称</w:t>
            </w:r>
          </w:p>
        </w:tc>
        <w:tc>
          <w:tcPr>
            <w:tcW w:w="4219" w:type="dxa"/>
            <w:vAlign w:val="top"/>
          </w:tcPr>
          <w:p>
            <w:pPr>
              <w:spacing w:line="360" w:lineRule="auto"/>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常压车用消防泵</w:t>
            </w:r>
          </w:p>
        </w:tc>
        <w:tc>
          <w:tcPr>
            <w:tcW w:w="3115" w:type="dxa"/>
            <w:vMerge w:val="restart"/>
            <w:vAlign w:val="top"/>
          </w:tcPr>
          <w:p>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kern w:val="2"/>
                <w:sz w:val="24"/>
                <w:szCs w:val="24"/>
                <w:highlight w:val="none"/>
                <w:lang w:val="en-US" w:eastAsia="zh-CN" w:bidi="ar-SA"/>
              </w:rPr>
              <w:drawing>
                <wp:inline distT="0" distB="0" distL="114300" distR="114300">
                  <wp:extent cx="1855470" cy="1718945"/>
                  <wp:effectExtent l="0" t="0" r="11430" b="8255"/>
                  <wp:docPr id="18"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5"/>
                          <pic:cNvPicPr>
                            <a:picLocks noChangeAspect="1"/>
                          </pic:cNvPicPr>
                        </pic:nvPicPr>
                        <pic:blipFill>
                          <a:blip r:embed="rId41">
                            <a:lum/>
                          </a:blip>
                          <a:stretch>
                            <a:fillRect/>
                          </a:stretch>
                        </pic:blipFill>
                        <pic:spPr>
                          <a:xfrm>
                            <a:off x="0" y="0"/>
                            <a:ext cx="1855470" cy="1718945"/>
                          </a:xfrm>
                          <a:prstGeom prst="rect">
                            <a:avLst/>
                          </a:prstGeom>
                          <a:noFill/>
                          <a:ln>
                            <a:noFill/>
                          </a:ln>
                        </pic:spPr>
                      </pic:pic>
                    </a:graphicData>
                  </a:graphic>
                </wp:inline>
              </w:drawing>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251" w:type="dxa"/>
            <w:vAlign w:val="top"/>
          </w:tcPr>
          <w:p>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形式</w:t>
            </w:r>
          </w:p>
        </w:tc>
        <w:tc>
          <w:tcPr>
            <w:tcW w:w="4219" w:type="dxa"/>
            <w:vAlign w:val="top"/>
          </w:tcPr>
          <w:p>
            <w:pPr>
              <w:spacing w:line="360" w:lineRule="auto"/>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低压离心式</w:t>
            </w:r>
          </w:p>
        </w:tc>
        <w:tc>
          <w:tcPr>
            <w:tcW w:w="3115" w:type="dxa"/>
            <w:vMerge w:val="continue"/>
            <w:vAlign w:val="top"/>
          </w:tcPr>
          <w:p>
            <w:pPr>
              <w:spacing w:line="360" w:lineRule="auto"/>
              <w:jc w:val="left"/>
              <w:rPr>
                <w:rFonts w:hint="eastAsia" w:ascii="仿宋" w:hAnsi="仿宋" w:eastAsia="仿宋" w:cs="仿宋"/>
                <w:color w:val="auto"/>
                <w:sz w:val="24"/>
                <w:szCs w:val="24"/>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251" w:type="dxa"/>
            <w:vAlign w:val="top"/>
          </w:tcPr>
          <w:p>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额定流量</w:t>
            </w:r>
          </w:p>
        </w:tc>
        <w:tc>
          <w:tcPr>
            <w:tcW w:w="4219" w:type="dxa"/>
            <w:vAlign w:val="top"/>
          </w:tcPr>
          <w:p>
            <w:pPr>
              <w:spacing w:line="360" w:lineRule="auto"/>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不小于</w:t>
            </w:r>
            <w:r>
              <w:rPr>
                <w:rFonts w:hint="eastAsia" w:ascii="仿宋" w:hAnsi="仿宋" w:eastAsia="仿宋" w:cs="仿宋"/>
                <w:color w:val="auto"/>
                <w:sz w:val="24"/>
                <w:szCs w:val="24"/>
                <w:highlight w:val="none"/>
              </w:rPr>
              <w:t>30L/s @1.0MPa</w:t>
            </w:r>
          </w:p>
        </w:tc>
        <w:tc>
          <w:tcPr>
            <w:tcW w:w="3115" w:type="dxa"/>
            <w:vMerge w:val="continue"/>
            <w:vAlign w:val="top"/>
          </w:tcPr>
          <w:p>
            <w:pPr>
              <w:spacing w:line="360" w:lineRule="auto"/>
              <w:jc w:val="left"/>
              <w:rPr>
                <w:rFonts w:hint="eastAsia" w:ascii="仿宋" w:hAnsi="仿宋" w:eastAsia="仿宋" w:cs="仿宋"/>
                <w:color w:val="auto"/>
                <w:sz w:val="24"/>
                <w:szCs w:val="24"/>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251" w:type="dxa"/>
            <w:vAlign w:val="top"/>
          </w:tcPr>
          <w:p>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出口额定压力</w:t>
            </w:r>
          </w:p>
        </w:tc>
        <w:tc>
          <w:tcPr>
            <w:tcW w:w="4219" w:type="dxa"/>
            <w:vAlign w:val="top"/>
          </w:tcPr>
          <w:p>
            <w:pPr>
              <w:spacing w:line="360" w:lineRule="auto"/>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不小于</w:t>
            </w:r>
            <w:r>
              <w:rPr>
                <w:rFonts w:hint="eastAsia" w:ascii="仿宋" w:hAnsi="仿宋" w:eastAsia="仿宋" w:cs="仿宋"/>
                <w:color w:val="auto"/>
                <w:sz w:val="24"/>
                <w:szCs w:val="24"/>
                <w:highlight w:val="none"/>
              </w:rPr>
              <w:t>1.0MPa</w:t>
            </w:r>
          </w:p>
        </w:tc>
        <w:tc>
          <w:tcPr>
            <w:tcW w:w="3115" w:type="dxa"/>
            <w:vMerge w:val="continue"/>
            <w:vAlign w:val="top"/>
          </w:tcPr>
          <w:p>
            <w:pPr>
              <w:spacing w:line="360" w:lineRule="auto"/>
              <w:jc w:val="left"/>
              <w:rPr>
                <w:rFonts w:hint="eastAsia" w:ascii="仿宋" w:hAnsi="仿宋" w:eastAsia="仿宋" w:cs="仿宋"/>
                <w:color w:val="auto"/>
                <w:sz w:val="24"/>
                <w:szCs w:val="24"/>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251" w:type="dxa"/>
            <w:vAlign w:val="top"/>
          </w:tcPr>
          <w:p>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最大吸深</w:t>
            </w:r>
          </w:p>
        </w:tc>
        <w:tc>
          <w:tcPr>
            <w:tcW w:w="4219" w:type="dxa"/>
            <w:vAlign w:val="top"/>
          </w:tcPr>
          <w:p>
            <w:pPr>
              <w:spacing w:line="360" w:lineRule="auto"/>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不小于</w:t>
            </w:r>
            <w:r>
              <w:rPr>
                <w:rFonts w:hint="eastAsia" w:ascii="仿宋" w:hAnsi="仿宋" w:eastAsia="仿宋" w:cs="仿宋"/>
                <w:color w:val="auto"/>
                <w:sz w:val="24"/>
                <w:szCs w:val="24"/>
                <w:highlight w:val="none"/>
              </w:rPr>
              <w:t>7m</w:t>
            </w:r>
          </w:p>
        </w:tc>
        <w:tc>
          <w:tcPr>
            <w:tcW w:w="3115" w:type="dxa"/>
            <w:vMerge w:val="continue"/>
            <w:vAlign w:val="top"/>
          </w:tcPr>
          <w:p>
            <w:pPr>
              <w:spacing w:line="360" w:lineRule="auto"/>
              <w:jc w:val="left"/>
              <w:rPr>
                <w:rFonts w:hint="eastAsia" w:ascii="仿宋" w:hAnsi="仿宋" w:eastAsia="仿宋" w:cs="仿宋"/>
                <w:color w:val="auto"/>
                <w:sz w:val="24"/>
                <w:szCs w:val="24"/>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251" w:type="dxa"/>
            <w:vAlign w:val="top"/>
          </w:tcPr>
          <w:p>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引水装置</w:t>
            </w:r>
          </w:p>
        </w:tc>
        <w:tc>
          <w:tcPr>
            <w:tcW w:w="4219" w:type="dxa"/>
            <w:vAlign w:val="top"/>
          </w:tcPr>
          <w:p>
            <w:pPr>
              <w:spacing w:line="360" w:lineRule="auto"/>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自带滑片泵</w:t>
            </w:r>
          </w:p>
        </w:tc>
        <w:tc>
          <w:tcPr>
            <w:tcW w:w="3115" w:type="dxa"/>
            <w:vMerge w:val="continue"/>
            <w:vAlign w:val="top"/>
          </w:tcPr>
          <w:p>
            <w:pPr>
              <w:spacing w:line="360" w:lineRule="auto"/>
              <w:jc w:val="left"/>
              <w:rPr>
                <w:rFonts w:hint="eastAsia" w:ascii="仿宋" w:hAnsi="仿宋" w:eastAsia="仿宋" w:cs="仿宋"/>
                <w:color w:val="auto"/>
                <w:sz w:val="24"/>
                <w:szCs w:val="24"/>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251" w:type="dxa"/>
            <w:vAlign w:val="top"/>
          </w:tcPr>
          <w:p>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引水时间</w:t>
            </w:r>
          </w:p>
        </w:tc>
        <w:tc>
          <w:tcPr>
            <w:tcW w:w="4219" w:type="dxa"/>
            <w:vAlign w:val="top"/>
          </w:tcPr>
          <w:p>
            <w:pPr>
              <w:spacing w:line="360" w:lineRule="auto"/>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最大吸深时≤50s</w:t>
            </w:r>
          </w:p>
        </w:tc>
        <w:tc>
          <w:tcPr>
            <w:tcW w:w="3115" w:type="dxa"/>
            <w:vMerge w:val="continue"/>
            <w:vAlign w:val="top"/>
          </w:tcPr>
          <w:p>
            <w:pPr>
              <w:spacing w:line="360" w:lineRule="auto"/>
              <w:jc w:val="left"/>
              <w:rPr>
                <w:rFonts w:hint="eastAsia" w:ascii="仿宋" w:hAnsi="仿宋" w:eastAsia="仿宋" w:cs="仿宋"/>
                <w:color w:val="auto"/>
                <w:sz w:val="24"/>
                <w:szCs w:val="24"/>
                <w:highlight w:val="none"/>
              </w:rPr>
            </w:pPr>
          </w:p>
        </w:tc>
      </w:tr>
    </w:tbl>
    <w:p>
      <w:pPr>
        <w:pStyle w:val="100"/>
        <w:numPr>
          <w:ilvl w:val="0"/>
          <w:numId w:val="0"/>
        </w:numPr>
        <w:spacing w:line="360" w:lineRule="auto"/>
        <w:ind w:leftChars="0"/>
        <w:jc w:val="left"/>
        <w:rPr>
          <w:rFonts w:hint="eastAsia" w:ascii="仿宋" w:hAnsi="仿宋" w:eastAsia="仿宋" w:cs="仿宋"/>
          <w:b w:val="0"/>
          <w:bCs/>
          <w:color w:val="auto"/>
          <w:sz w:val="24"/>
          <w:szCs w:val="24"/>
          <w:highlight w:val="none"/>
        </w:rPr>
      </w:pPr>
      <w:r>
        <w:rPr>
          <w:rFonts w:hint="eastAsia" w:ascii="仿宋" w:hAnsi="仿宋" w:eastAsia="仿宋" w:cs="仿宋"/>
          <w:b w:val="0"/>
          <w:bCs/>
          <w:color w:val="auto"/>
          <w:sz w:val="24"/>
          <w:szCs w:val="24"/>
          <w:highlight w:val="none"/>
          <w:lang w:val="en-US" w:eastAsia="zh-CN"/>
        </w:rPr>
        <w:t>2、</w:t>
      </w:r>
      <w:r>
        <w:rPr>
          <w:rFonts w:hint="eastAsia" w:ascii="仿宋" w:hAnsi="仿宋" w:eastAsia="仿宋" w:cs="仿宋"/>
          <w:b w:val="0"/>
          <w:bCs/>
          <w:color w:val="auto"/>
          <w:sz w:val="24"/>
          <w:szCs w:val="24"/>
          <w:highlight w:val="none"/>
        </w:rPr>
        <w:t>管路系统</w:t>
      </w:r>
    </w:p>
    <w:tbl>
      <w:tblPr>
        <w:tblStyle w:val="63"/>
        <w:tblW w:w="9600" w:type="dxa"/>
        <w:tblInd w:w="-51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300"/>
        <w:gridCol w:w="730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2" w:hRule="atLeast"/>
        </w:trPr>
        <w:tc>
          <w:tcPr>
            <w:tcW w:w="2300" w:type="dxa"/>
            <w:vAlign w:val="center"/>
          </w:tcPr>
          <w:p>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管道材质</w:t>
            </w:r>
          </w:p>
        </w:tc>
        <w:tc>
          <w:tcPr>
            <w:tcW w:w="7300" w:type="dxa"/>
            <w:vAlign w:val="center"/>
          </w:tcPr>
          <w:p>
            <w:p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优质无缝钢管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1" w:hRule="atLeast"/>
        </w:trPr>
        <w:tc>
          <w:tcPr>
            <w:tcW w:w="2300" w:type="dxa"/>
            <w:vAlign w:val="center"/>
          </w:tcPr>
          <w:p>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吸水管路</w:t>
            </w:r>
          </w:p>
        </w:tc>
        <w:tc>
          <w:tcPr>
            <w:tcW w:w="7300" w:type="dxa"/>
            <w:vAlign w:val="center"/>
          </w:tcPr>
          <w:p>
            <w:p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泵房后侧设一个DN100吸水口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98" w:hRule="atLeast"/>
        </w:trPr>
        <w:tc>
          <w:tcPr>
            <w:tcW w:w="2300" w:type="dxa"/>
            <w:vAlign w:val="center"/>
          </w:tcPr>
          <w:p>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注水管路</w:t>
            </w:r>
          </w:p>
        </w:tc>
        <w:tc>
          <w:tcPr>
            <w:tcW w:w="7300" w:type="dxa"/>
            <w:vAlign w:val="center"/>
          </w:tcPr>
          <w:p>
            <w:p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水罐左右两侧各设一个DN65注水口，泵房内设置1个DN65水泵向罐内注水管路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04" w:hRule="atLeast"/>
        </w:trPr>
        <w:tc>
          <w:tcPr>
            <w:tcW w:w="2300" w:type="dxa"/>
            <w:vAlign w:val="center"/>
          </w:tcPr>
          <w:p>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出水管路</w:t>
            </w:r>
          </w:p>
        </w:tc>
        <w:tc>
          <w:tcPr>
            <w:tcW w:w="7300" w:type="dxa"/>
            <w:vAlign w:val="center"/>
          </w:tcPr>
          <w:p>
            <w:p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泵房左右两侧各设1个DN65常压出水口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38" w:hRule="atLeast"/>
        </w:trPr>
        <w:tc>
          <w:tcPr>
            <w:tcW w:w="2300" w:type="dxa"/>
            <w:vAlign w:val="center"/>
          </w:tcPr>
          <w:p>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冷却水管路</w:t>
            </w:r>
          </w:p>
        </w:tc>
        <w:tc>
          <w:tcPr>
            <w:tcW w:w="7300" w:type="dxa"/>
            <w:vAlign w:val="center"/>
          </w:tcPr>
          <w:p>
            <w:p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配有冷却取力器的冷却水管路及控制阀</w:t>
            </w:r>
          </w:p>
        </w:tc>
      </w:tr>
    </w:tbl>
    <w:p>
      <w:pPr>
        <w:spacing w:line="360" w:lineRule="auto"/>
        <w:jc w:val="left"/>
        <w:rPr>
          <w:rFonts w:hint="eastAsia" w:ascii="仿宋" w:hAnsi="仿宋" w:eastAsia="仿宋" w:cs="仿宋"/>
          <w:b/>
          <w:color w:val="auto"/>
          <w:sz w:val="24"/>
          <w:szCs w:val="24"/>
          <w:highlight w:val="none"/>
        </w:rPr>
      </w:pPr>
    </w:p>
    <w:p>
      <w:pPr>
        <w:spacing w:line="360" w:lineRule="auto"/>
        <w:jc w:val="left"/>
        <w:rPr>
          <w:rFonts w:hint="eastAsia" w:ascii="仿宋" w:hAnsi="仿宋" w:eastAsia="仿宋" w:cs="仿宋"/>
          <w:b/>
          <w:color w:val="auto"/>
          <w:sz w:val="24"/>
          <w:szCs w:val="24"/>
          <w:highlight w:val="none"/>
          <w:lang w:val="en-US" w:eastAsia="zh-CN"/>
        </w:rPr>
      </w:pPr>
      <w:r>
        <w:rPr>
          <w:rFonts w:hint="eastAsia" w:ascii="仿宋" w:hAnsi="仿宋" w:eastAsia="仿宋" w:cs="仿宋"/>
          <w:b/>
          <w:color w:val="auto"/>
          <w:sz w:val="24"/>
          <w:szCs w:val="24"/>
          <w:highlight w:val="none"/>
          <w:lang w:val="en-US" w:eastAsia="zh-CN"/>
        </w:rPr>
        <w:t>五、灭火装置</w:t>
      </w:r>
    </w:p>
    <w:tbl>
      <w:tblPr>
        <w:tblStyle w:val="63"/>
        <w:tblpPr w:leftFromText="180" w:rightFromText="180" w:vertAnchor="text" w:horzAnchor="page" w:tblpX="1285" w:tblpY="334"/>
        <w:tblOverlap w:val="never"/>
        <w:tblW w:w="9600"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325"/>
        <w:gridCol w:w="3962"/>
        <w:gridCol w:w="331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325" w:type="dxa"/>
            <w:vAlign w:val="center"/>
          </w:tcPr>
          <w:p>
            <w:pPr>
              <w:spacing w:line="360" w:lineRule="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lang w:val="en-US" w:eastAsia="zh-CN"/>
              </w:rPr>
              <w:t>名称</w:t>
            </w:r>
          </w:p>
        </w:tc>
        <w:tc>
          <w:tcPr>
            <w:tcW w:w="3962" w:type="dxa"/>
            <w:vAlign w:val="center"/>
          </w:tcPr>
          <w:p>
            <w:pPr>
              <w:spacing w:line="360" w:lineRule="auto"/>
              <w:ind w:right="-48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两用</w:t>
            </w:r>
            <w:r>
              <w:rPr>
                <w:rFonts w:hint="eastAsia" w:ascii="仿宋" w:hAnsi="仿宋" w:eastAsia="仿宋" w:cs="仿宋"/>
                <w:color w:val="auto"/>
                <w:sz w:val="24"/>
                <w:szCs w:val="24"/>
                <w:highlight w:val="none"/>
              </w:rPr>
              <w:t>炮</w:t>
            </w:r>
          </w:p>
        </w:tc>
        <w:tc>
          <w:tcPr>
            <w:tcW w:w="3313" w:type="dxa"/>
            <w:vMerge w:val="restart"/>
            <w:vAlign w:val="top"/>
          </w:tcPr>
          <w:p>
            <w:pPr>
              <w:spacing w:line="360" w:lineRule="auto"/>
              <w:jc w:val="left"/>
              <w:rPr>
                <w:rFonts w:hint="eastAsia" w:ascii="仿宋" w:hAnsi="仿宋" w:eastAsia="仿宋" w:cs="仿宋"/>
                <w:color w:val="auto"/>
                <w:sz w:val="24"/>
                <w:szCs w:val="24"/>
                <w:highlight w:val="none"/>
              </w:rPr>
            </w:pPr>
            <w:r>
              <w:rPr>
                <w:rFonts w:hint="eastAsia" w:ascii="仿宋" w:hAnsi="仿宋" w:eastAsia="仿宋" w:cs="仿宋"/>
                <w:color w:val="auto"/>
                <w:kern w:val="2"/>
                <w:sz w:val="24"/>
                <w:szCs w:val="24"/>
                <w:highlight w:val="none"/>
                <w:lang w:val="en-US" w:eastAsia="zh-CN" w:bidi="ar-SA"/>
              </w:rPr>
              <w:drawing>
                <wp:inline distT="0" distB="0" distL="114300" distR="114300">
                  <wp:extent cx="1971040" cy="1654810"/>
                  <wp:effectExtent l="0" t="0" r="10160" b="8890"/>
                  <wp:docPr id="19"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6"/>
                          <pic:cNvPicPr>
                            <a:picLocks noChangeAspect="1"/>
                          </pic:cNvPicPr>
                        </pic:nvPicPr>
                        <pic:blipFill>
                          <a:blip r:embed="rId42">
                            <a:lum/>
                          </a:blip>
                          <a:stretch>
                            <a:fillRect/>
                          </a:stretch>
                        </pic:blipFill>
                        <pic:spPr>
                          <a:xfrm>
                            <a:off x="0" y="0"/>
                            <a:ext cx="1971040" cy="1654810"/>
                          </a:xfrm>
                          <a:prstGeom prst="rect">
                            <a:avLst/>
                          </a:prstGeom>
                          <a:noFill/>
                          <a:ln>
                            <a:noFill/>
                          </a:ln>
                        </pic:spPr>
                      </pic:pic>
                    </a:graphicData>
                  </a:graphic>
                </wp:inline>
              </w:drawing>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325" w:type="dxa"/>
            <w:vAlign w:val="center"/>
          </w:tcPr>
          <w:p>
            <w:pPr>
              <w:spacing w:line="360" w:lineRule="auto"/>
              <w:rPr>
                <w:rFonts w:hint="eastAsia" w:ascii="仿宋" w:hAnsi="仿宋" w:eastAsia="仿宋" w:cs="仿宋"/>
                <w:color w:val="auto"/>
                <w:kern w:val="0"/>
                <w:sz w:val="24"/>
                <w:szCs w:val="24"/>
                <w:highlight w:val="none"/>
              </w:rPr>
            </w:pPr>
            <w:r>
              <w:rPr>
                <w:rFonts w:hint="eastAsia" w:ascii="仿宋" w:hAnsi="仿宋" w:eastAsia="仿宋" w:cs="仿宋"/>
                <w:color w:val="auto"/>
                <w:sz w:val="24"/>
                <w:szCs w:val="24"/>
                <w:highlight w:val="none"/>
              </w:rPr>
              <w:t>额定流量</w:t>
            </w:r>
          </w:p>
        </w:tc>
        <w:tc>
          <w:tcPr>
            <w:tcW w:w="3962" w:type="dxa"/>
            <w:vAlign w:val="center"/>
          </w:tcPr>
          <w:p>
            <w:pPr>
              <w:tabs>
                <w:tab w:val="left" w:pos="2715"/>
              </w:tabs>
              <w:spacing w:line="390" w:lineRule="exact"/>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24</w:t>
            </w:r>
            <w:r>
              <w:rPr>
                <w:rFonts w:hint="eastAsia" w:ascii="仿宋" w:hAnsi="仿宋" w:eastAsia="仿宋" w:cs="仿宋"/>
                <w:color w:val="auto"/>
                <w:sz w:val="24"/>
                <w:szCs w:val="24"/>
                <w:highlight w:val="none"/>
              </w:rPr>
              <w:t xml:space="preserve">L/S  </w:t>
            </w:r>
          </w:p>
        </w:tc>
        <w:tc>
          <w:tcPr>
            <w:tcW w:w="3313" w:type="dxa"/>
            <w:vMerge w:val="continue"/>
            <w:vAlign w:val="top"/>
          </w:tcPr>
          <w:p>
            <w:pPr>
              <w:spacing w:line="360" w:lineRule="auto"/>
              <w:jc w:val="left"/>
              <w:rPr>
                <w:rFonts w:hint="eastAsia" w:ascii="仿宋" w:hAnsi="仿宋" w:eastAsia="仿宋" w:cs="仿宋"/>
                <w:color w:val="auto"/>
                <w:sz w:val="24"/>
                <w:szCs w:val="24"/>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325" w:type="dxa"/>
            <w:vAlign w:val="center"/>
          </w:tcPr>
          <w:p>
            <w:pPr>
              <w:spacing w:line="360" w:lineRule="auto"/>
              <w:rPr>
                <w:rFonts w:hint="eastAsia" w:ascii="仿宋" w:hAnsi="仿宋" w:eastAsia="仿宋" w:cs="仿宋"/>
                <w:color w:val="auto"/>
                <w:kern w:val="0"/>
                <w:sz w:val="24"/>
                <w:szCs w:val="24"/>
                <w:highlight w:val="none"/>
              </w:rPr>
            </w:pPr>
            <w:r>
              <w:rPr>
                <w:rFonts w:hint="eastAsia" w:ascii="仿宋" w:hAnsi="仿宋" w:eastAsia="仿宋" w:cs="仿宋"/>
                <w:color w:val="auto"/>
                <w:sz w:val="24"/>
                <w:szCs w:val="24"/>
                <w:highlight w:val="none"/>
              </w:rPr>
              <w:t>额定压力</w:t>
            </w:r>
          </w:p>
        </w:tc>
        <w:tc>
          <w:tcPr>
            <w:tcW w:w="3962" w:type="dxa"/>
            <w:vAlign w:val="center"/>
          </w:tcPr>
          <w:p>
            <w:pPr>
              <w:tabs>
                <w:tab w:val="left" w:pos="2715"/>
              </w:tabs>
              <w:spacing w:line="390" w:lineRule="exact"/>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0.8</w:t>
            </w:r>
            <w:r>
              <w:rPr>
                <w:rFonts w:hint="eastAsia" w:ascii="仿宋" w:hAnsi="仿宋" w:eastAsia="仿宋" w:cs="仿宋"/>
                <w:bCs/>
                <w:color w:val="auto"/>
                <w:sz w:val="24"/>
                <w:szCs w:val="24"/>
                <w:highlight w:val="none"/>
              </w:rPr>
              <w:t xml:space="preserve"> MPa</w:t>
            </w:r>
          </w:p>
        </w:tc>
        <w:tc>
          <w:tcPr>
            <w:tcW w:w="3313" w:type="dxa"/>
            <w:vMerge w:val="continue"/>
            <w:vAlign w:val="top"/>
          </w:tcPr>
          <w:p>
            <w:pPr>
              <w:spacing w:line="360" w:lineRule="auto"/>
              <w:jc w:val="left"/>
              <w:rPr>
                <w:rFonts w:hint="eastAsia" w:ascii="仿宋" w:hAnsi="仿宋" w:eastAsia="仿宋" w:cs="仿宋"/>
                <w:color w:val="auto"/>
                <w:sz w:val="24"/>
                <w:szCs w:val="24"/>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325" w:type="dxa"/>
            <w:vAlign w:val="center"/>
          </w:tcPr>
          <w:p>
            <w:pPr>
              <w:spacing w:line="360" w:lineRule="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仰角</w:t>
            </w:r>
          </w:p>
        </w:tc>
        <w:tc>
          <w:tcPr>
            <w:tcW w:w="3962" w:type="dxa"/>
            <w:vAlign w:val="top"/>
          </w:tcPr>
          <w:p>
            <w:p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7</w:t>
            </w:r>
            <w:r>
              <w:rPr>
                <w:rFonts w:hint="eastAsia" w:ascii="仿宋" w:hAnsi="仿宋" w:eastAsia="仿宋" w:cs="仿宋"/>
                <w:color w:val="auto"/>
                <w:sz w:val="24"/>
                <w:szCs w:val="24"/>
                <w:highlight w:val="none"/>
              </w:rPr>
              <w:t>0°</w:t>
            </w:r>
          </w:p>
        </w:tc>
        <w:tc>
          <w:tcPr>
            <w:tcW w:w="3313" w:type="dxa"/>
            <w:vMerge w:val="continue"/>
            <w:vAlign w:val="top"/>
          </w:tcPr>
          <w:p>
            <w:pPr>
              <w:spacing w:line="360" w:lineRule="auto"/>
              <w:jc w:val="left"/>
              <w:rPr>
                <w:rFonts w:hint="eastAsia" w:ascii="仿宋" w:hAnsi="仿宋" w:eastAsia="仿宋" w:cs="仿宋"/>
                <w:color w:val="auto"/>
                <w:sz w:val="24"/>
                <w:szCs w:val="24"/>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325" w:type="dxa"/>
            <w:vAlign w:val="center"/>
          </w:tcPr>
          <w:p>
            <w:pPr>
              <w:spacing w:line="360" w:lineRule="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俯角</w:t>
            </w:r>
          </w:p>
        </w:tc>
        <w:tc>
          <w:tcPr>
            <w:tcW w:w="3962" w:type="dxa"/>
            <w:vAlign w:val="center"/>
          </w:tcPr>
          <w:p>
            <w:pP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30</w:t>
            </w:r>
            <w:r>
              <w:rPr>
                <w:rFonts w:hint="eastAsia" w:ascii="仿宋" w:hAnsi="仿宋" w:eastAsia="仿宋" w:cs="仿宋"/>
                <w:color w:val="auto"/>
                <w:sz w:val="24"/>
                <w:szCs w:val="24"/>
                <w:highlight w:val="none"/>
              </w:rPr>
              <w:t>°</w:t>
            </w:r>
          </w:p>
        </w:tc>
        <w:tc>
          <w:tcPr>
            <w:tcW w:w="3313" w:type="dxa"/>
            <w:vMerge w:val="continue"/>
            <w:vAlign w:val="top"/>
          </w:tcPr>
          <w:p>
            <w:pPr>
              <w:spacing w:line="360" w:lineRule="auto"/>
              <w:jc w:val="left"/>
              <w:rPr>
                <w:rFonts w:hint="eastAsia" w:ascii="仿宋" w:hAnsi="仿宋" w:eastAsia="仿宋" w:cs="仿宋"/>
                <w:color w:val="auto"/>
                <w:sz w:val="24"/>
                <w:szCs w:val="24"/>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325" w:type="dxa"/>
            <w:vAlign w:val="center"/>
          </w:tcPr>
          <w:p>
            <w:pPr>
              <w:spacing w:line="360" w:lineRule="auto"/>
              <w:ind w:right="-480"/>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射程（</w:t>
            </w:r>
            <w:r>
              <w:rPr>
                <w:rFonts w:hint="eastAsia" w:ascii="仿宋" w:hAnsi="仿宋" w:eastAsia="仿宋" w:cs="仿宋"/>
                <w:color w:val="auto"/>
                <w:sz w:val="24"/>
                <w:szCs w:val="24"/>
                <w:highlight w:val="none"/>
              </w:rPr>
              <w:t>m</w:t>
            </w:r>
            <w:r>
              <w:rPr>
                <w:rFonts w:hint="eastAsia" w:ascii="仿宋" w:hAnsi="仿宋" w:eastAsia="仿宋" w:cs="仿宋"/>
                <w:color w:val="auto"/>
                <w:kern w:val="0"/>
                <w:sz w:val="24"/>
                <w:szCs w:val="24"/>
                <w:highlight w:val="none"/>
              </w:rPr>
              <w:t>）</w:t>
            </w:r>
          </w:p>
        </w:tc>
        <w:tc>
          <w:tcPr>
            <w:tcW w:w="3962" w:type="dxa"/>
            <w:vAlign w:val="center"/>
          </w:tcPr>
          <w:p>
            <w:pPr>
              <w:spacing w:line="360" w:lineRule="auto"/>
              <w:ind w:right="-48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水：</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60</w:t>
            </w:r>
            <w:r>
              <w:rPr>
                <w:rFonts w:hint="eastAsia" w:ascii="仿宋" w:hAnsi="仿宋" w:eastAsia="仿宋" w:cs="仿宋"/>
                <w:color w:val="auto"/>
                <w:sz w:val="24"/>
                <w:szCs w:val="24"/>
                <w:highlight w:val="none"/>
              </w:rPr>
              <w:t>m</w:t>
            </w:r>
            <w:r>
              <w:rPr>
                <w:rFonts w:hint="eastAsia" w:ascii="仿宋" w:hAnsi="仿宋" w:eastAsia="仿宋" w:cs="仿宋"/>
                <w:color w:val="auto"/>
                <w:sz w:val="24"/>
                <w:szCs w:val="24"/>
                <w:highlight w:val="none"/>
                <w:lang w:val="en-US" w:eastAsia="zh-CN"/>
              </w:rPr>
              <w:t xml:space="preserve">   泡沫</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45m</w:t>
            </w:r>
          </w:p>
        </w:tc>
        <w:tc>
          <w:tcPr>
            <w:tcW w:w="3313" w:type="dxa"/>
            <w:vMerge w:val="continue"/>
            <w:vAlign w:val="top"/>
          </w:tcPr>
          <w:p>
            <w:pPr>
              <w:spacing w:line="360" w:lineRule="auto"/>
              <w:jc w:val="left"/>
              <w:rPr>
                <w:rFonts w:hint="eastAsia" w:ascii="仿宋" w:hAnsi="仿宋" w:eastAsia="仿宋" w:cs="仿宋"/>
                <w:color w:val="auto"/>
                <w:sz w:val="24"/>
                <w:szCs w:val="24"/>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325" w:type="dxa"/>
            <w:vAlign w:val="center"/>
          </w:tcPr>
          <w:p>
            <w:pPr>
              <w:spacing w:line="360" w:lineRule="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水平回转角度</w:t>
            </w:r>
          </w:p>
        </w:tc>
        <w:tc>
          <w:tcPr>
            <w:tcW w:w="3962" w:type="dxa"/>
            <w:vAlign w:val="center"/>
          </w:tcPr>
          <w:p>
            <w:pPr>
              <w:spacing w:line="360" w:lineRule="auto"/>
              <w:ind w:right="-48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36</w:t>
            </w:r>
            <w:r>
              <w:rPr>
                <w:rFonts w:hint="eastAsia" w:ascii="仿宋" w:hAnsi="仿宋" w:eastAsia="仿宋" w:cs="仿宋"/>
                <w:color w:val="auto"/>
                <w:sz w:val="24"/>
                <w:szCs w:val="24"/>
                <w:highlight w:val="none"/>
              </w:rPr>
              <w:t>0°</w:t>
            </w:r>
          </w:p>
        </w:tc>
        <w:tc>
          <w:tcPr>
            <w:tcW w:w="3313" w:type="dxa"/>
            <w:vMerge w:val="continue"/>
            <w:vAlign w:val="top"/>
          </w:tcPr>
          <w:p>
            <w:pPr>
              <w:spacing w:line="360" w:lineRule="auto"/>
              <w:jc w:val="left"/>
              <w:rPr>
                <w:rFonts w:hint="eastAsia" w:ascii="仿宋" w:hAnsi="仿宋" w:eastAsia="仿宋" w:cs="仿宋"/>
                <w:color w:val="auto"/>
                <w:sz w:val="24"/>
                <w:szCs w:val="24"/>
                <w:highlight w:val="none"/>
              </w:rPr>
            </w:pPr>
          </w:p>
        </w:tc>
      </w:tr>
    </w:tbl>
    <w:p>
      <w:pPr>
        <w:spacing w:line="240" w:lineRule="auto"/>
        <w:jc w:val="left"/>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1、车载消防水炮</w:t>
      </w:r>
    </w:p>
    <w:p>
      <w:pPr>
        <w:numPr>
          <w:ilvl w:val="0"/>
          <w:numId w:val="0"/>
        </w:numPr>
        <w:spacing w:line="360" w:lineRule="auto"/>
        <w:jc w:val="left"/>
        <w:rPr>
          <w:rFonts w:hint="eastAsia" w:ascii="仿宋" w:hAnsi="仿宋" w:eastAsia="仿宋" w:cs="仿宋"/>
          <w:b w:val="0"/>
          <w:bCs/>
          <w:color w:val="auto"/>
          <w:sz w:val="24"/>
          <w:szCs w:val="24"/>
          <w:highlight w:val="none"/>
          <w:lang w:val="en-US" w:eastAsia="zh-CN"/>
        </w:rPr>
      </w:pPr>
      <w:r>
        <w:rPr>
          <w:rFonts w:hint="eastAsia" w:ascii="仿宋" w:hAnsi="仿宋" w:eastAsia="仿宋" w:cs="仿宋"/>
          <w:b w:val="0"/>
          <w:bCs/>
          <w:color w:val="auto"/>
          <w:sz w:val="24"/>
          <w:szCs w:val="24"/>
          <w:highlight w:val="none"/>
          <w:lang w:val="en-US" w:eastAsia="zh-CN"/>
        </w:rPr>
        <w:t>2、泡沫比例混合器</w:t>
      </w:r>
    </w:p>
    <w:tbl>
      <w:tblPr>
        <w:tblStyle w:val="63"/>
        <w:tblW w:w="9615" w:type="dxa"/>
        <w:tblInd w:w="-54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338"/>
        <w:gridCol w:w="727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87" w:hRule="atLeast"/>
        </w:trPr>
        <w:tc>
          <w:tcPr>
            <w:tcW w:w="2338" w:type="dxa"/>
            <w:vAlign w:val="center"/>
          </w:tcPr>
          <w:p>
            <w:pPr>
              <w:spacing w:line="240" w:lineRule="auto"/>
              <w:jc w:val="cente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val="en-US" w:eastAsia="zh-CN"/>
              </w:rPr>
              <w:t>名称</w:t>
            </w:r>
          </w:p>
        </w:tc>
        <w:tc>
          <w:tcPr>
            <w:tcW w:w="7277" w:type="dxa"/>
            <w:vAlign w:val="center"/>
          </w:tcPr>
          <w:p>
            <w:pPr>
              <w:spacing w:line="24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PH48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7" w:hRule="atLeast"/>
        </w:trPr>
        <w:tc>
          <w:tcPr>
            <w:tcW w:w="2338" w:type="dxa"/>
            <w:vAlign w:val="center"/>
          </w:tcPr>
          <w:p>
            <w:pPr>
              <w:spacing w:line="24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材质</w:t>
            </w:r>
          </w:p>
        </w:tc>
        <w:tc>
          <w:tcPr>
            <w:tcW w:w="7277" w:type="dxa"/>
            <w:vAlign w:val="center"/>
          </w:tcPr>
          <w:p>
            <w:pPr>
              <w:spacing w:line="24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壳体为铸铝，过流截面为不锈钢</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77" w:hRule="atLeast"/>
        </w:trPr>
        <w:tc>
          <w:tcPr>
            <w:tcW w:w="2338" w:type="dxa"/>
            <w:vAlign w:val="center"/>
          </w:tcPr>
          <w:p>
            <w:pPr>
              <w:spacing w:line="24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形式</w:t>
            </w:r>
          </w:p>
        </w:tc>
        <w:tc>
          <w:tcPr>
            <w:tcW w:w="7277" w:type="dxa"/>
            <w:vAlign w:val="center"/>
          </w:tcPr>
          <w:p>
            <w:pPr>
              <w:spacing w:line="24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负压环泵式，带冲洗装置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77" w:hRule="atLeast"/>
        </w:trPr>
        <w:tc>
          <w:tcPr>
            <w:tcW w:w="2338" w:type="dxa"/>
            <w:vAlign w:val="center"/>
          </w:tcPr>
          <w:p>
            <w:pPr>
              <w:spacing w:line="24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混合比</w:t>
            </w:r>
          </w:p>
        </w:tc>
        <w:tc>
          <w:tcPr>
            <w:tcW w:w="7277" w:type="dxa"/>
            <w:vAlign w:val="center"/>
          </w:tcPr>
          <w:p>
            <w:pPr>
              <w:spacing w:line="24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3-6%</w:t>
            </w:r>
          </w:p>
        </w:tc>
      </w:tr>
    </w:tbl>
    <w:p>
      <w:pPr>
        <w:spacing w:line="360" w:lineRule="auto"/>
        <w:jc w:val="left"/>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六、消防控制系统</w:t>
      </w:r>
    </w:p>
    <w:p>
      <w:pPr>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控制面板主要包括驾驶室控制和泵室控制两部分</w:t>
      </w:r>
    </w:p>
    <w:tbl>
      <w:tblPr>
        <w:tblStyle w:val="63"/>
        <w:tblW w:w="9615" w:type="dxa"/>
        <w:tblInd w:w="-56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423"/>
        <w:gridCol w:w="719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4" w:hRule="atLeast"/>
        </w:trPr>
        <w:tc>
          <w:tcPr>
            <w:tcW w:w="2423" w:type="dxa"/>
            <w:vAlign w:val="top"/>
          </w:tcPr>
          <w:p>
            <w:pPr>
              <w:spacing w:line="360" w:lineRule="auto"/>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驾驶室内控制</w:t>
            </w:r>
          </w:p>
        </w:tc>
        <w:tc>
          <w:tcPr>
            <w:tcW w:w="7192" w:type="dxa"/>
            <w:vAlign w:val="top"/>
          </w:tcPr>
          <w:p>
            <w:pPr>
              <w:spacing w:line="360" w:lineRule="auto"/>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水泵脱挂档、警灯警报、照明及信号装置控制等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423" w:type="dxa"/>
            <w:vAlign w:val="top"/>
          </w:tcPr>
          <w:p>
            <w:pPr>
              <w:spacing w:line="360" w:lineRule="auto"/>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泵室内控制</w:t>
            </w:r>
          </w:p>
        </w:tc>
        <w:tc>
          <w:tcPr>
            <w:tcW w:w="7192" w:type="dxa"/>
            <w:vAlign w:val="top"/>
          </w:tcPr>
          <w:p>
            <w:pPr>
              <w:spacing w:line="360" w:lineRule="auto"/>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上装总电源开关、参数显示、状态显示</w:t>
            </w:r>
          </w:p>
        </w:tc>
      </w:tr>
    </w:tbl>
    <w:p>
      <w:pPr>
        <w:spacing w:line="360" w:lineRule="auto"/>
        <w:jc w:val="left"/>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七、电气设备</w:t>
      </w:r>
    </w:p>
    <w:tbl>
      <w:tblPr>
        <w:tblStyle w:val="63"/>
        <w:tblW w:w="9615" w:type="dxa"/>
        <w:tblInd w:w="-57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438"/>
        <w:gridCol w:w="717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438" w:type="dxa"/>
            <w:vAlign w:val="top"/>
          </w:tcPr>
          <w:p>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附加电气</w:t>
            </w:r>
          </w:p>
        </w:tc>
        <w:tc>
          <w:tcPr>
            <w:tcW w:w="7177" w:type="dxa"/>
            <w:vAlign w:val="top"/>
          </w:tcPr>
          <w:p>
            <w:pPr>
              <w:spacing w:line="360" w:lineRule="auto"/>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设独立电路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438" w:type="dxa"/>
            <w:vAlign w:val="center"/>
          </w:tcPr>
          <w:p>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辅助照明</w:t>
            </w:r>
          </w:p>
        </w:tc>
        <w:tc>
          <w:tcPr>
            <w:tcW w:w="7177" w:type="dxa"/>
            <w:vAlign w:val="top"/>
          </w:tcPr>
          <w:p>
            <w:pPr>
              <w:spacing w:line="360" w:lineRule="auto"/>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消防员室、水泵房及器材箱分别设有照明灯，操纵仪表板上设有照明、指示灯等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438" w:type="dxa"/>
            <w:vAlign w:val="top"/>
          </w:tcPr>
          <w:p>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频闪灯</w:t>
            </w:r>
          </w:p>
        </w:tc>
        <w:tc>
          <w:tcPr>
            <w:tcW w:w="7177" w:type="dxa"/>
            <w:vAlign w:val="top"/>
          </w:tcPr>
          <w:p>
            <w:pPr>
              <w:spacing w:line="360" w:lineRule="auto"/>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车身两侧安装红、蓝两色频闪灯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438" w:type="dxa"/>
            <w:vMerge w:val="restart"/>
            <w:vAlign w:val="center"/>
          </w:tcPr>
          <w:p>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警示装置</w:t>
            </w:r>
          </w:p>
        </w:tc>
        <w:tc>
          <w:tcPr>
            <w:tcW w:w="7177" w:type="dxa"/>
            <w:vAlign w:val="top"/>
          </w:tcPr>
          <w:p>
            <w:pPr>
              <w:spacing w:line="360" w:lineRule="auto"/>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长排全红警灯，安装在驾驶室顶部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438" w:type="dxa"/>
            <w:vMerge w:val="continue"/>
            <w:vAlign w:val="top"/>
          </w:tcPr>
          <w:p>
            <w:pPr>
              <w:spacing w:line="360" w:lineRule="auto"/>
              <w:jc w:val="center"/>
              <w:rPr>
                <w:rFonts w:hint="eastAsia" w:ascii="仿宋" w:hAnsi="仿宋" w:eastAsia="仿宋" w:cs="仿宋"/>
                <w:color w:val="auto"/>
                <w:sz w:val="24"/>
                <w:szCs w:val="24"/>
                <w:highlight w:val="none"/>
              </w:rPr>
            </w:pPr>
          </w:p>
        </w:tc>
        <w:tc>
          <w:tcPr>
            <w:tcW w:w="7177" w:type="dxa"/>
            <w:vAlign w:val="top"/>
          </w:tcPr>
          <w:p>
            <w:pPr>
              <w:spacing w:line="360" w:lineRule="auto"/>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警报器，其控制盒在驾驶员前下方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32" w:hRule="atLeast"/>
        </w:trPr>
        <w:tc>
          <w:tcPr>
            <w:tcW w:w="2438" w:type="dxa"/>
            <w:vAlign w:val="center"/>
          </w:tcPr>
          <w:p>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火场照明</w:t>
            </w:r>
          </w:p>
        </w:tc>
        <w:tc>
          <w:tcPr>
            <w:tcW w:w="7177" w:type="dxa"/>
            <w:vAlign w:val="center"/>
          </w:tcPr>
          <w:p>
            <w:p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上装后部安装35W消防探照灯1个</w:t>
            </w:r>
          </w:p>
        </w:tc>
      </w:tr>
    </w:tbl>
    <w:p>
      <w:pPr>
        <w:spacing w:line="360" w:lineRule="auto"/>
        <w:jc w:val="left"/>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八、表面处理</w:t>
      </w:r>
    </w:p>
    <w:tbl>
      <w:tblPr>
        <w:tblStyle w:val="63"/>
        <w:tblW w:w="9615" w:type="dxa"/>
        <w:tblInd w:w="-57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418"/>
        <w:gridCol w:w="719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418" w:type="dxa"/>
            <w:vAlign w:val="top"/>
          </w:tcPr>
          <w:p>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颜色</w:t>
            </w:r>
          </w:p>
        </w:tc>
        <w:tc>
          <w:tcPr>
            <w:tcW w:w="7197" w:type="dxa"/>
            <w:vAlign w:val="top"/>
          </w:tcPr>
          <w:p>
            <w:pPr>
              <w:spacing w:line="360" w:lineRule="auto"/>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车体外表面主色为RO3消防红</w:t>
            </w:r>
          </w:p>
        </w:tc>
      </w:tr>
    </w:tbl>
    <w:p>
      <w:pPr>
        <w:spacing w:line="360" w:lineRule="auto"/>
        <w:jc w:val="left"/>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九、随车消防器材的布置和配备</w:t>
      </w:r>
    </w:p>
    <w:p>
      <w:pPr>
        <w:spacing w:line="360" w:lineRule="auto"/>
        <w:jc w:val="left"/>
        <w:rPr>
          <w:rFonts w:hint="eastAsia" w:ascii="仿宋" w:hAnsi="仿宋" w:eastAsia="仿宋" w:cs="仿宋"/>
          <w:b w:val="0"/>
          <w:bCs/>
          <w:color w:val="auto"/>
          <w:sz w:val="24"/>
          <w:szCs w:val="24"/>
          <w:highlight w:val="none"/>
        </w:rPr>
      </w:pPr>
      <w:r>
        <w:rPr>
          <w:rFonts w:hint="eastAsia" w:ascii="仿宋" w:hAnsi="仿宋" w:eastAsia="仿宋" w:cs="仿宋"/>
          <w:b w:val="0"/>
          <w:bCs/>
          <w:color w:val="auto"/>
          <w:sz w:val="24"/>
          <w:szCs w:val="24"/>
          <w:highlight w:val="none"/>
        </w:rPr>
        <w:t>1、器材布置</w:t>
      </w:r>
    </w:p>
    <w:tbl>
      <w:tblPr>
        <w:tblStyle w:val="63"/>
        <w:tblW w:w="9615" w:type="dxa"/>
        <w:tblInd w:w="-56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393"/>
        <w:gridCol w:w="722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393" w:type="dxa"/>
            <w:vAlign w:val="center"/>
          </w:tcPr>
          <w:p>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p>
        </w:tc>
        <w:tc>
          <w:tcPr>
            <w:tcW w:w="7222" w:type="dxa"/>
            <w:vAlign w:val="top"/>
          </w:tcPr>
          <w:p>
            <w:pPr>
              <w:spacing w:line="360" w:lineRule="auto"/>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按照消防实战需要，根据消防操作程序，就近取放。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393" w:type="dxa"/>
            <w:vAlign w:val="center"/>
          </w:tcPr>
          <w:p>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w:t>
            </w:r>
          </w:p>
        </w:tc>
        <w:tc>
          <w:tcPr>
            <w:tcW w:w="7222" w:type="dxa"/>
            <w:vAlign w:val="top"/>
          </w:tcPr>
          <w:p>
            <w:pPr>
              <w:spacing w:line="360" w:lineRule="auto"/>
              <w:jc w:val="left"/>
              <w:rPr>
                <w:rFonts w:hint="eastAsia" w:ascii="仿宋" w:hAnsi="仿宋" w:eastAsia="仿宋" w:cs="仿宋"/>
                <w:b/>
                <w:color w:val="auto"/>
                <w:sz w:val="24"/>
                <w:szCs w:val="24"/>
                <w:highlight w:val="none"/>
              </w:rPr>
            </w:pPr>
            <w:r>
              <w:rPr>
                <w:rFonts w:hint="eastAsia" w:ascii="仿宋" w:hAnsi="仿宋" w:eastAsia="仿宋" w:cs="仿宋"/>
                <w:color w:val="auto"/>
                <w:sz w:val="24"/>
                <w:szCs w:val="24"/>
                <w:highlight w:val="none"/>
              </w:rPr>
              <w:t>使用防锈蚀、防振动、防脱落、防划伤的专用夹具固定。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393" w:type="dxa"/>
            <w:vAlign w:val="center"/>
          </w:tcPr>
          <w:p>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w:t>
            </w:r>
          </w:p>
        </w:tc>
        <w:tc>
          <w:tcPr>
            <w:tcW w:w="7222" w:type="dxa"/>
            <w:vAlign w:val="top"/>
          </w:tcPr>
          <w:p>
            <w:pPr>
              <w:spacing w:line="360" w:lineRule="auto"/>
              <w:jc w:val="left"/>
              <w:rPr>
                <w:rFonts w:hint="eastAsia" w:ascii="仿宋" w:hAnsi="仿宋" w:eastAsia="仿宋" w:cs="仿宋"/>
                <w:b/>
                <w:color w:val="auto"/>
                <w:sz w:val="24"/>
                <w:szCs w:val="24"/>
                <w:highlight w:val="none"/>
              </w:rPr>
            </w:pPr>
            <w:r>
              <w:rPr>
                <w:rFonts w:hint="eastAsia" w:ascii="仿宋" w:hAnsi="仿宋" w:eastAsia="仿宋" w:cs="仿宋"/>
                <w:color w:val="auto"/>
                <w:sz w:val="24"/>
                <w:szCs w:val="24"/>
                <w:highlight w:val="none"/>
              </w:rPr>
              <w:t>标示醒目，多人操作，互不干涉。</w:t>
            </w:r>
          </w:p>
        </w:tc>
      </w:tr>
    </w:tbl>
    <w:p>
      <w:pPr>
        <w:numPr>
          <w:ilvl w:val="0"/>
          <w:numId w:val="0"/>
        </w:numPr>
        <w:spacing w:line="360" w:lineRule="auto"/>
        <w:jc w:val="left"/>
        <w:rPr>
          <w:rFonts w:hint="eastAsia" w:ascii="仿宋" w:hAnsi="仿宋" w:eastAsia="仿宋" w:cs="仿宋"/>
          <w:b w:val="0"/>
          <w:bCs/>
          <w:color w:val="auto"/>
          <w:sz w:val="24"/>
          <w:szCs w:val="24"/>
          <w:highlight w:val="none"/>
        </w:rPr>
      </w:pPr>
      <w:r>
        <w:rPr>
          <w:rFonts w:hint="eastAsia" w:ascii="仿宋" w:hAnsi="仿宋" w:eastAsia="仿宋" w:cs="仿宋"/>
          <w:b w:val="0"/>
          <w:bCs/>
          <w:color w:val="auto"/>
          <w:sz w:val="24"/>
          <w:szCs w:val="24"/>
          <w:highlight w:val="none"/>
          <w:lang w:val="en-US" w:eastAsia="zh-CN"/>
        </w:rPr>
        <w:t>2、</w:t>
      </w:r>
      <w:r>
        <w:rPr>
          <w:rFonts w:hint="eastAsia" w:ascii="仿宋" w:hAnsi="仿宋" w:eastAsia="仿宋" w:cs="仿宋"/>
          <w:b w:val="0"/>
          <w:bCs/>
          <w:color w:val="auto"/>
          <w:sz w:val="24"/>
          <w:szCs w:val="24"/>
          <w:highlight w:val="none"/>
        </w:rPr>
        <w:t>器材配备</w:t>
      </w:r>
    </w:p>
    <w:p>
      <w:pPr>
        <w:spacing w:line="360" w:lineRule="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 xml:space="preserve">   </w:t>
      </w:r>
      <w:r>
        <w:rPr>
          <w:rFonts w:hint="eastAsia" w:ascii="仿宋" w:hAnsi="仿宋" w:eastAsia="仿宋" w:cs="仿宋"/>
          <w:bCs/>
          <w:color w:val="auto"/>
          <w:sz w:val="24"/>
          <w:szCs w:val="24"/>
          <w:highlight w:val="none"/>
        </w:rPr>
        <w:t>随车消防器材明细表：（泡沫消防车）</w:t>
      </w:r>
    </w:p>
    <w:tbl>
      <w:tblPr>
        <w:tblStyle w:val="62"/>
        <w:tblW w:w="961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5"/>
        <w:gridCol w:w="2130"/>
        <w:gridCol w:w="2590"/>
        <w:gridCol w:w="740"/>
        <w:gridCol w:w="713"/>
        <w:gridCol w:w="25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925" w:type="dxa"/>
            <w:vAlign w:val="center"/>
          </w:tcPr>
          <w:p>
            <w:pPr>
              <w:spacing w:line="360" w:lineRule="auto"/>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序号</w:t>
            </w:r>
          </w:p>
        </w:tc>
        <w:tc>
          <w:tcPr>
            <w:tcW w:w="2130" w:type="dxa"/>
            <w:vAlign w:val="center"/>
          </w:tcPr>
          <w:p>
            <w:pPr>
              <w:spacing w:line="360" w:lineRule="auto"/>
              <w:jc w:val="center"/>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名    称</w:t>
            </w:r>
          </w:p>
        </w:tc>
        <w:tc>
          <w:tcPr>
            <w:tcW w:w="2590" w:type="dxa"/>
            <w:vAlign w:val="center"/>
          </w:tcPr>
          <w:p>
            <w:pPr>
              <w:spacing w:line="360" w:lineRule="auto"/>
              <w:ind w:firstLine="361" w:firstLineChars="150"/>
              <w:jc w:val="center"/>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规    格</w:t>
            </w:r>
          </w:p>
        </w:tc>
        <w:tc>
          <w:tcPr>
            <w:tcW w:w="740" w:type="dxa"/>
            <w:vAlign w:val="top"/>
          </w:tcPr>
          <w:p>
            <w:pPr>
              <w:spacing w:line="360" w:lineRule="auto"/>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数量</w:t>
            </w:r>
          </w:p>
        </w:tc>
        <w:tc>
          <w:tcPr>
            <w:tcW w:w="713" w:type="dxa"/>
            <w:vAlign w:val="top"/>
          </w:tcPr>
          <w:p>
            <w:pPr>
              <w:spacing w:line="360" w:lineRule="auto"/>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单位</w:t>
            </w:r>
          </w:p>
        </w:tc>
        <w:tc>
          <w:tcPr>
            <w:tcW w:w="2519" w:type="dxa"/>
            <w:vAlign w:val="center"/>
          </w:tcPr>
          <w:p>
            <w:pPr>
              <w:spacing w:line="360" w:lineRule="auto"/>
              <w:jc w:val="center"/>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备    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925" w:type="dxa"/>
            <w:vAlign w:val="top"/>
          </w:tcPr>
          <w:p>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p>
        </w:tc>
        <w:tc>
          <w:tcPr>
            <w:tcW w:w="2130" w:type="dxa"/>
            <w:vAlign w:val="top"/>
          </w:tcPr>
          <w:p>
            <w:p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吸水管</w:t>
            </w:r>
          </w:p>
        </w:tc>
        <w:tc>
          <w:tcPr>
            <w:tcW w:w="2590" w:type="dxa"/>
            <w:vAlign w:val="top"/>
          </w:tcPr>
          <w:p>
            <w:p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KD100/2 m</w:t>
            </w:r>
          </w:p>
        </w:tc>
        <w:tc>
          <w:tcPr>
            <w:tcW w:w="740" w:type="dxa"/>
            <w:vAlign w:val="top"/>
          </w:tcPr>
          <w:p>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w:t>
            </w:r>
          </w:p>
        </w:tc>
        <w:tc>
          <w:tcPr>
            <w:tcW w:w="713" w:type="dxa"/>
            <w:vAlign w:val="top"/>
          </w:tcPr>
          <w:p>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根</w:t>
            </w:r>
          </w:p>
        </w:tc>
        <w:tc>
          <w:tcPr>
            <w:tcW w:w="2519" w:type="dxa"/>
            <w:vAlign w:val="top"/>
          </w:tcPr>
          <w:p>
            <w:p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螺纹式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5" w:type="dxa"/>
            <w:vAlign w:val="top"/>
          </w:tcPr>
          <w:p>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w:t>
            </w:r>
          </w:p>
        </w:tc>
        <w:tc>
          <w:tcPr>
            <w:tcW w:w="2130" w:type="dxa"/>
            <w:vAlign w:val="top"/>
          </w:tcPr>
          <w:p>
            <w:p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滤水器</w:t>
            </w:r>
          </w:p>
        </w:tc>
        <w:tc>
          <w:tcPr>
            <w:tcW w:w="2590" w:type="dxa"/>
            <w:vAlign w:val="top"/>
          </w:tcPr>
          <w:p>
            <w:p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FLF100</w:t>
            </w:r>
          </w:p>
        </w:tc>
        <w:tc>
          <w:tcPr>
            <w:tcW w:w="740" w:type="dxa"/>
            <w:vAlign w:val="top"/>
          </w:tcPr>
          <w:p>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p>
        </w:tc>
        <w:tc>
          <w:tcPr>
            <w:tcW w:w="713" w:type="dxa"/>
            <w:vAlign w:val="top"/>
          </w:tcPr>
          <w:p>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件</w:t>
            </w:r>
          </w:p>
        </w:tc>
        <w:tc>
          <w:tcPr>
            <w:tcW w:w="2519" w:type="dxa"/>
            <w:vAlign w:val="top"/>
          </w:tcPr>
          <w:p>
            <w:p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螺纹式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5" w:type="dxa"/>
            <w:vAlign w:val="top"/>
          </w:tcPr>
          <w:p>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w:t>
            </w:r>
          </w:p>
        </w:tc>
        <w:tc>
          <w:tcPr>
            <w:tcW w:w="2130" w:type="dxa"/>
            <w:vAlign w:val="top"/>
          </w:tcPr>
          <w:p>
            <w:p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分水器</w:t>
            </w:r>
          </w:p>
        </w:tc>
        <w:tc>
          <w:tcPr>
            <w:tcW w:w="2590" w:type="dxa"/>
            <w:vAlign w:val="top"/>
          </w:tcPr>
          <w:p>
            <w:p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FII80/65×2-1.6</w:t>
            </w:r>
          </w:p>
        </w:tc>
        <w:tc>
          <w:tcPr>
            <w:tcW w:w="740" w:type="dxa"/>
            <w:vAlign w:val="top"/>
          </w:tcPr>
          <w:p>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p>
        </w:tc>
        <w:tc>
          <w:tcPr>
            <w:tcW w:w="713" w:type="dxa"/>
            <w:vAlign w:val="top"/>
          </w:tcPr>
          <w:p>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件</w:t>
            </w:r>
          </w:p>
        </w:tc>
        <w:tc>
          <w:tcPr>
            <w:tcW w:w="2519" w:type="dxa"/>
            <w:vAlign w:val="top"/>
          </w:tcPr>
          <w:p>
            <w:p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内扣式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5" w:type="dxa"/>
            <w:vAlign w:val="top"/>
          </w:tcPr>
          <w:p>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w:t>
            </w:r>
          </w:p>
        </w:tc>
        <w:tc>
          <w:tcPr>
            <w:tcW w:w="2130" w:type="dxa"/>
            <w:vAlign w:val="top"/>
          </w:tcPr>
          <w:p>
            <w:p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集水器</w:t>
            </w:r>
          </w:p>
        </w:tc>
        <w:tc>
          <w:tcPr>
            <w:tcW w:w="2590" w:type="dxa"/>
            <w:vAlign w:val="top"/>
          </w:tcPr>
          <w:p>
            <w:p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JII100/65×2-1.0</w:t>
            </w:r>
          </w:p>
        </w:tc>
        <w:tc>
          <w:tcPr>
            <w:tcW w:w="740" w:type="dxa"/>
            <w:tcBorders>
              <w:bottom w:val="single" w:color="auto" w:sz="4" w:space="0"/>
            </w:tcBorders>
            <w:vAlign w:val="top"/>
          </w:tcPr>
          <w:p>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p>
        </w:tc>
        <w:tc>
          <w:tcPr>
            <w:tcW w:w="713" w:type="dxa"/>
            <w:tcBorders>
              <w:bottom w:val="single" w:color="auto" w:sz="4" w:space="0"/>
            </w:tcBorders>
            <w:vAlign w:val="top"/>
          </w:tcPr>
          <w:p>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件</w:t>
            </w:r>
          </w:p>
        </w:tc>
        <w:tc>
          <w:tcPr>
            <w:tcW w:w="2519" w:type="dxa"/>
            <w:tcBorders>
              <w:bottom w:val="single" w:color="auto" w:sz="4" w:space="0"/>
              <w:right w:val="single" w:color="auto" w:sz="4" w:space="0"/>
            </w:tcBorders>
            <w:vAlign w:val="top"/>
          </w:tcPr>
          <w:p>
            <w:p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内扣式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jc w:val="center"/>
        </w:trPr>
        <w:tc>
          <w:tcPr>
            <w:tcW w:w="925" w:type="dxa"/>
            <w:vAlign w:val="top"/>
          </w:tcPr>
          <w:p>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w:t>
            </w:r>
          </w:p>
        </w:tc>
        <w:tc>
          <w:tcPr>
            <w:tcW w:w="2130" w:type="dxa"/>
            <w:vAlign w:val="top"/>
          </w:tcPr>
          <w:p>
            <w:p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水带</w:t>
            </w:r>
          </w:p>
        </w:tc>
        <w:tc>
          <w:tcPr>
            <w:tcW w:w="2590" w:type="dxa"/>
            <w:vAlign w:val="top"/>
          </w:tcPr>
          <w:p>
            <w:p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13-65-20</w:t>
            </w:r>
          </w:p>
        </w:tc>
        <w:tc>
          <w:tcPr>
            <w:tcW w:w="740" w:type="dxa"/>
            <w:vAlign w:val="top"/>
          </w:tcPr>
          <w:p>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8</w:t>
            </w:r>
          </w:p>
        </w:tc>
        <w:tc>
          <w:tcPr>
            <w:tcW w:w="713" w:type="dxa"/>
            <w:tcBorders>
              <w:top w:val="nil"/>
            </w:tcBorders>
            <w:vAlign w:val="top"/>
          </w:tcPr>
          <w:p>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盘</w:t>
            </w:r>
          </w:p>
        </w:tc>
        <w:tc>
          <w:tcPr>
            <w:tcW w:w="2519" w:type="dxa"/>
            <w:tcBorders>
              <w:top w:val="single" w:color="auto" w:sz="4" w:space="0"/>
              <w:right w:val="single" w:color="auto" w:sz="4" w:space="0"/>
            </w:tcBorders>
            <w:vAlign w:val="top"/>
          </w:tcPr>
          <w:p>
            <w:p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内扣式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5" w:type="dxa"/>
            <w:vAlign w:val="top"/>
          </w:tcPr>
          <w:p>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w:t>
            </w:r>
          </w:p>
        </w:tc>
        <w:tc>
          <w:tcPr>
            <w:tcW w:w="2130" w:type="dxa"/>
            <w:vAlign w:val="top"/>
          </w:tcPr>
          <w:p>
            <w:p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异径接口</w:t>
            </w:r>
          </w:p>
        </w:tc>
        <w:tc>
          <w:tcPr>
            <w:tcW w:w="2590" w:type="dxa"/>
            <w:vAlign w:val="top"/>
          </w:tcPr>
          <w:p>
            <w:p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KJ65/80</w:t>
            </w:r>
          </w:p>
        </w:tc>
        <w:tc>
          <w:tcPr>
            <w:tcW w:w="740" w:type="dxa"/>
            <w:vAlign w:val="top"/>
          </w:tcPr>
          <w:p>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w:t>
            </w:r>
          </w:p>
        </w:tc>
        <w:tc>
          <w:tcPr>
            <w:tcW w:w="713" w:type="dxa"/>
            <w:vAlign w:val="top"/>
          </w:tcPr>
          <w:p>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件</w:t>
            </w:r>
          </w:p>
        </w:tc>
        <w:tc>
          <w:tcPr>
            <w:tcW w:w="2519" w:type="dxa"/>
            <w:tcBorders>
              <w:bottom w:val="single" w:color="auto" w:sz="4" w:space="0"/>
              <w:right w:val="single" w:color="auto" w:sz="4" w:space="0"/>
            </w:tcBorders>
            <w:vAlign w:val="top"/>
          </w:tcPr>
          <w:p>
            <w:p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内扣式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5" w:type="dxa"/>
            <w:vAlign w:val="top"/>
          </w:tcPr>
          <w:p>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7</w:t>
            </w:r>
          </w:p>
        </w:tc>
        <w:tc>
          <w:tcPr>
            <w:tcW w:w="2130" w:type="dxa"/>
            <w:vAlign w:val="top"/>
          </w:tcPr>
          <w:p>
            <w:p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水带包布</w:t>
            </w:r>
          </w:p>
        </w:tc>
        <w:tc>
          <w:tcPr>
            <w:tcW w:w="2590" w:type="dxa"/>
            <w:vAlign w:val="top"/>
          </w:tcPr>
          <w:p>
            <w:p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DT-SB</w:t>
            </w:r>
          </w:p>
        </w:tc>
        <w:tc>
          <w:tcPr>
            <w:tcW w:w="740" w:type="dxa"/>
            <w:vAlign w:val="top"/>
          </w:tcPr>
          <w:p>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w:t>
            </w:r>
          </w:p>
        </w:tc>
        <w:tc>
          <w:tcPr>
            <w:tcW w:w="713" w:type="dxa"/>
            <w:vAlign w:val="top"/>
          </w:tcPr>
          <w:p>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件</w:t>
            </w:r>
          </w:p>
        </w:tc>
        <w:tc>
          <w:tcPr>
            <w:tcW w:w="2519" w:type="dxa"/>
            <w:tcBorders>
              <w:top w:val="nil"/>
            </w:tcBorders>
            <w:vAlign w:val="top"/>
          </w:tcPr>
          <w:p>
            <w:pPr>
              <w:spacing w:line="360" w:lineRule="auto"/>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5" w:type="dxa"/>
            <w:vAlign w:val="top"/>
          </w:tcPr>
          <w:p>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8</w:t>
            </w:r>
          </w:p>
        </w:tc>
        <w:tc>
          <w:tcPr>
            <w:tcW w:w="2130" w:type="dxa"/>
            <w:vAlign w:val="top"/>
          </w:tcPr>
          <w:p>
            <w:p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水带挂钩</w:t>
            </w:r>
          </w:p>
        </w:tc>
        <w:tc>
          <w:tcPr>
            <w:tcW w:w="2590" w:type="dxa"/>
            <w:vAlign w:val="top"/>
          </w:tcPr>
          <w:p>
            <w:pPr>
              <w:spacing w:line="360" w:lineRule="auto"/>
              <w:ind w:firstLine="120" w:firstLineChars="50"/>
              <w:rPr>
                <w:rFonts w:hint="eastAsia" w:ascii="仿宋" w:hAnsi="仿宋" w:eastAsia="仿宋" w:cs="仿宋"/>
                <w:color w:val="auto"/>
                <w:sz w:val="24"/>
                <w:szCs w:val="24"/>
                <w:highlight w:val="none"/>
              </w:rPr>
            </w:pPr>
          </w:p>
        </w:tc>
        <w:tc>
          <w:tcPr>
            <w:tcW w:w="740" w:type="dxa"/>
            <w:vAlign w:val="top"/>
          </w:tcPr>
          <w:p>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w:t>
            </w:r>
          </w:p>
        </w:tc>
        <w:tc>
          <w:tcPr>
            <w:tcW w:w="713" w:type="dxa"/>
            <w:vAlign w:val="top"/>
          </w:tcPr>
          <w:p>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件</w:t>
            </w:r>
          </w:p>
        </w:tc>
        <w:tc>
          <w:tcPr>
            <w:tcW w:w="2519" w:type="dxa"/>
            <w:vAlign w:val="top"/>
          </w:tcPr>
          <w:p>
            <w:pPr>
              <w:spacing w:line="360" w:lineRule="auto"/>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5" w:type="dxa"/>
            <w:vAlign w:val="top"/>
          </w:tcPr>
          <w:p>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9</w:t>
            </w:r>
          </w:p>
        </w:tc>
        <w:tc>
          <w:tcPr>
            <w:tcW w:w="2130" w:type="dxa"/>
            <w:vAlign w:val="top"/>
          </w:tcPr>
          <w:p>
            <w:p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地上消火栓扳手</w:t>
            </w:r>
          </w:p>
        </w:tc>
        <w:tc>
          <w:tcPr>
            <w:tcW w:w="2590" w:type="dxa"/>
            <w:vAlign w:val="top"/>
          </w:tcPr>
          <w:p>
            <w:p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QT-DS1；长400</w:t>
            </w:r>
          </w:p>
        </w:tc>
        <w:tc>
          <w:tcPr>
            <w:tcW w:w="740" w:type="dxa"/>
            <w:vAlign w:val="top"/>
          </w:tcPr>
          <w:p>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p>
        </w:tc>
        <w:tc>
          <w:tcPr>
            <w:tcW w:w="713" w:type="dxa"/>
            <w:vAlign w:val="top"/>
          </w:tcPr>
          <w:p>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件</w:t>
            </w:r>
          </w:p>
        </w:tc>
        <w:tc>
          <w:tcPr>
            <w:tcW w:w="2519" w:type="dxa"/>
            <w:vAlign w:val="top"/>
          </w:tcPr>
          <w:p>
            <w:pPr>
              <w:spacing w:line="360" w:lineRule="auto"/>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5" w:type="dxa"/>
            <w:vAlign w:val="top"/>
          </w:tcPr>
          <w:p>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10</w:t>
            </w:r>
          </w:p>
        </w:tc>
        <w:tc>
          <w:tcPr>
            <w:tcW w:w="2130" w:type="dxa"/>
            <w:vAlign w:val="top"/>
          </w:tcPr>
          <w:p>
            <w:p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地下消火栓扳手</w:t>
            </w:r>
          </w:p>
        </w:tc>
        <w:tc>
          <w:tcPr>
            <w:tcW w:w="2590" w:type="dxa"/>
            <w:vAlign w:val="top"/>
          </w:tcPr>
          <w:p>
            <w:p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长860</w:t>
            </w:r>
          </w:p>
        </w:tc>
        <w:tc>
          <w:tcPr>
            <w:tcW w:w="740" w:type="dxa"/>
            <w:vAlign w:val="top"/>
          </w:tcPr>
          <w:p>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p>
        </w:tc>
        <w:tc>
          <w:tcPr>
            <w:tcW w:w="713" w:type="dxa"/>
            <w:vAlign w:val="top"/>
          </w:tcPr>
          <w:p>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件</w:t>
            </w:r>
          </w:p>
        </w:tc>
        <w:tc>
          <w:tcPr>
            <w:tcW w:w="2519" w:type="dxa"/>
            <w:vAlign w:val="top"/>
          </w:tcPr>
          <w:p>
            <w:pPr>
              <w:spacing w:line="360" w:lineRule="auto"/>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5" w:type="dxa"/>
            <w:vAlign w:val="top"/>
          </w:tcPr>
          <w:p>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11</w:t>
            </w:r>
          </w:p>
        </w:tc>
        <w:tc>
          <w:tcPr>
            <w:tcW w:w="2130" w:type="dxa"/>
            <w:vAlign w:val="top"/>
          </w:tcPr>
          <w:p>
            <w:p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吸水管扳手</w:t>
            </w:r>
          </w:p>
        </w:tc>
        <w:tc>
          <w:tcPr>
            <w:tcW w:w="2590" w:type="dxa"/>
            <w:vAlign w:val="top"/>
          </w:tcPr>
          <w:p>
            <w:p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FS100</w:t>
            </w:r>
          </w:p>
        </w:tc>
        <w:tc>
          <w:tcPr>
            <w:tcW w:w="740" w:type="dxa"/>
            <w:vAlign w:val="top"/>
          </w:tcPr>
          <w:p>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w:t>
            </w:r>
          </w:p>
        </w:tc>
        <w:tc>
          <w:tcPr>
            <w:tcW w:w="713" w:type="dxa"/>
            <w:vAlign w:val="top"/>
          </w:tcPr>
          <w:p>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件</w:t>
            </w:r>
          </w:p>
        </w:tc>
        <w:tc>
          <w:tcPr>
            <w:tcW w:w="2519" w:type="dxa"/>
            <w:vAlign w:val="top"/>
          </w:tcPr>
          <w:p>
            <w:pPr>
              <w:spacing w:line="360" w:lineRule="auto"/>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5" w:type="dxa"/>
            <w:vAlign w:val="top"/>
          </w:tcPr>
          <w:p>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12</w:t>
            </w:r>
          </w:p>
        </w:tc>
        <w:tc>
          <w:tcPr>
            <w:tcW w:w="2130" w:type="dxa"/>
            <w:vAlign w:val="top"/>
          </w:tcPr>
          <w:p>
            <w:pPr>
              <w:spacing w:line="360" w:lineRule="auto"/>
              <w:ind w:left="1080" w:hanging="1080" w:hangingChars="45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直流开关水枪</w:t>
            </w:r>
          </w:p>
        </w:tc>
        <w:tc>
          <w:tcPr>
            <w:tcW w:w="2590" w:type="dxa"/>
            <w:vAlign w:val="top"/>
          </w:tcPr>
          <w:p>
            <w:p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QZG3.5/7.5；65</w:t>
            </w:r>
          </w:p>
        </w:tc>
        <w:tc>
          <w:tcPr>
            <w:tcW w:w="740" w:type="dxa"/>
            <w:vAlign w:val="top"/>
          </w:tcPr>
          <w:p>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p>
        </w:tc>
        <w:tc>
          <w:tcPr>
            <w:tcW w:w="713" w:type="dxa"/>
            <w:vAlign w:val="top"/>
          </w:tcPr>
          <w:p>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支</w:t>
            </w:r>
          </w:p>
        </w:tc>
        <w:tc>
          <w:tcPr>
            <w:tcW w:w="2519" w:type="dxa"/>
            <w:vAlign w:val="top"/>
          </w:tcPr>
          <w:p>
            <w:p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内扣式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5" w:type="dxa"/>
            <w:vAlign w:val="top"/>
          </w:tcPr>
          <w:p>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13</w:t>
            </w:r>
          </w:p>
        </w:tc>
        <w:tc>
          <w:tcPr>
            <w:tcW w:w="2130" w:type="dxa"/>
            <w:vAlign w:val="top"/>
          </w:tcPr>
          <w:p>
            <w:pPr>
              <w:spacing w:line="360" w:lineRule="auto"/>
              <w:ind w:left="1080" w:hanging="1080" w:hangingChars="45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直流开花水枪</w:t>
            </w:r>
          </w:p>
        </w:tc>
        <w:tc>
          <w:tcPr>
            <w:tcW w:w="2590" w:type="dxa"/>
            <w:vAlign w:val="top"/>
          </w:tcPr>
          <w:p>
            <w:p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QZK3.5/7.5；65</w:t>
            </w:r>
          </w:p>
        </w:tc>
        <w:tc>
          <w:tcPr>
            <w:tcW w:w="740" w:type="dxa"/>
            <w:vAlign w:val="top"/>
          </w:tcPr>
          <w:p>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p>
        </w:tc>
        <w:tc>
          <w:tcPr>
            <w:tcW w:w="713" w:type="dxa"/>
            <w:vAlign w:val="top"/>
          </w:tcPr>
          <w:p>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支</w:t>
            </w:r>
          </w:p>
        </w:tc>
        <w:tc>
          <w:tcPr>
            <w:tcW w:w="2519" w:type="dxa"/>
            <w:vAlign w:val="top"/>
          </w:tcPr>
          <w:p>
            <w:p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内扣式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925" w:type="dxa"/>
            <w:vAlign w:val="top"/>
          </w:tcPr>
          <w:p>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14</w:t>
            </w:r>
          </w:p>
        </w:tc>
        <w:tc>
          <w:tcPr>
            <w:tcW w:w="2130" w:type="dxa"/>
            <w:vAlign w:val="top"/>
          </w:tcPr>
          <w:p>
            <w:p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灭火器</w:t>
            </w:r>
          </w:p>
        </w:tc>
        <w:tc>
          <w:tcPr>
            <w:tcW w:w="2590" w:type="dxa"/>
            <w:vAlign w:val="top"/>
          </w:tcPr>
          <w:p>
            <w:p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 kg/ABC</w:t>
            </w:r>
          </w:p>
        </w:tc>
        <w:tc>
          <w:tcPr>
            <w:tcW w:w="740" w:type="dxa"/>
            <w:vAlign w:val="top"/>
          </w:tcPr>
          <w:p>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p>
        </w:tc>
        <w:tc>
          <w:tcPr>
            <w:tcW w:w="713" w:type="dxa"/>
            <w:vAlign w:val="top"/>
          </w:tcPr>
          <w:p>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具</w:t>
            </w:r>
          </w:p>
        </w:tc>
        <w:tc>
          <w:tcPr>
            <w:tcW w:w="2519" w:type="dxa"/>
            <w:vAlign w:val="top"/>
          </w:tcPr>
          <w:p>
            <w:pPr>
              <w:spacing w:line="360" w:lineRule="auto"/>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925" w:type="dxa"/>
            <w:vAlign w:val="top"/>
          </w:tcPr>
          <w:p>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15</w:t>
            </w:r>
          </w:p>
        </w:tc>
        <w:tc>
          <w:tcPr>
            <w:tcW w:w="2130" w:type="dxa"/>
            <w:vAlign w:val="top"/>
          </w:tcPr>
          <w:p>
            <w:p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消防斧</w:t>
            </w:r>
          </w:p>
        </w:tc>
        <w:tc>
          <w:tcPr>
            <w:tcW w:w="2590" w:type="dxa"/>
            <w:vAlign w:val="top"/>
          </w:tcPr>
          <w:p>
            <w:p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GFP890</w:t>
            </w:r>
          </w:p>
        </w:tc>
        <w:tc>
          <w:tcPr>
            <w:tcW w:w="740" w:type="dxa"/>
            <w:vAlign w:val="top"/>
          </w:tcPr>
          <w:p>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p>
        </w:tc>
        <w:tc>
          <w:tcPr>
            <w:tcW w:w="713" w:type="dxa"/>
            <w:vAlign w:val="top"/>
          </w:tcPr>
          <w:p>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件</w:t>
            </w:r>
          </w:p>
        </w:tc>
        <w:tc>
          <w:tcPr>
            <w:tcW w:w="2519" w:type="dxa"/>
            <w:vAlign w:val="top"/>
          </w:tcPr>
          <w:p>
            <w:pPr>
              <w:spacing w:line="360" w:lineRule="auto"/>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925" w:type="dxa"/>
            <w:vAlign w:val="top"/>
          </w:tcPr>
          <w:p>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16</w:t>
            </w:r>
          </w:p>
        </w:tc>
        <w:tc>
          <w:tcPr>
            <w:tcW w:w="2130" w:type="dxa"/>
            <w:vAlign w:val="top"/>
          </w:tcPr>
          <w:p>
            <w:p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橡皮锤</w:t>
            </w:r>
          </w:p>
        </w:tc>
        <w:tc>
          <w:tcPr>
            <w:tcW w:w="2590" w:type="dxa"/>
            <w:vAlign w:val="top"/>
          </w:tcPr>
          <w:p>
            <w:pPr>
              <w:spacing w:line="360" w:lineRule="auto"/>
              <w:rPr>
                <w:rFonts w:hint="eastAsia" w:ascii="仿宋" w:hAnsi="仿宋" w:eastAsia="仿宋" w:cs="仿宋"/>
                <w:color w:val="auto"/>
                <w:sz w:val="24"/>
                <w:szCs w:val="24"/>
                <w:highlight w:val="none"/>
              </w:rPr>
            </w:pPr>
          </w:p>
        </w:tc>
        <w:tc>
          <w:tcPr>
            <w:tcW w:w="740" w:type="dxa"/>
            <w:vAlign w:val="top"/>
          </w:tcPr>
          <w:p>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p>
        </w:tc>
        <w:tc>
          <w:tcPr>
            <w:tcW w:w="713" w:type="dxa"/>
            <w:vAlign w:val="top"/>
          </w:tcPr>
          <w:p>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件</w:t>
            </w:r>
          </w:p>
        </w:tc>
        <w:tc>
          <w:tcPr>
            <w:tcW w:w="2519" w:type="dxa"/>
            <w:vAlign w:val="top"/>
          </w:tcPr>
          <w:p>
            <w:pPr>
              <w:spacing w:line="360" w:lineRule="auto"/>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925" w:type="dxa"/>
            <w:vAlign w:val="top"/>
          </w:tcPr>
          <w:p>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17</w:t>
            </w:r>
          </w:p>
        </w:tc>
        <w:tc>
          <w:tcPr>
            <w:tcW w:w="2130" w:type="dxa"/>
            <w:vAlign w:val="top"/>
          </w:tcPr>
          <w:p>
            <w:p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水带护桥</w:t>
            </w:r>
          </w:p>
        </w:tc>
        <w:tc>
          <w:tcPr>
            <w:tcW w:w="2590" w:type="dxa"/>
            <w:vAlign w:val="top"/>
          </w:tcPr>
          <w:p>
            <w:p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FH80</w:t>
            </w:r>
          </w:p>
        </w:tc>
        <w:tc>
          <w:tcPr>
            <w:tcW w:w="740" w:type="dxa"/>
            <w:vAlign w:val="top"/>
          </w:tcPr>
          <w:p>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w:t>
            </w:r>
          </w:p>
        </w:tc>
        <w:tc>
          <w:tcPr>
            <w:tcW w:w="713" w:type="dxa"/>
            <w:vAlign w:val="top"/>
          </w:tcPr>
          <w:p>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副</w:t>
            </w:r>
          </w:p>
        </w:tc>
        <w:tc>
          <w:tcPr>
            <w:tcW w:w="2519" w:type="dxa"/>
            <w:vAlign w:val="top"/>
          </w:tcPr>
          <w:p>
            <w:pPr>
              <w:spacing w:line="360" w:lineRule="auto"/>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925" w:type="dxa"/>
            <w:vAlign w:val="top"/>
          </w:tcPr>
          <w:p>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18</w:t>
            </w:r>
          </w:p>
        </w:tc>
        <w:tc>
          <w:tcPr>
            <w:tcW w:w="2130" w:type="dxa"/>
            <w:vAlign w:val="top"/>
          </w:tcPr>
          <w:p>
            <w:p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消防桶   </w:t>
            </w:r>
          </w:p>
        </w:tc>
        <w:tc>
          <w:tcPr>
            <w:tcW w:w="2590" w:type="dxa"/>
            <w:vAlign w:val="top"/>
          </w:tcPr>
          <w:p>
            <w:pPr>
              <w:spacing w:line="360" w:lineRule="auto"/>
              <w:rPr>
                <w:rFonts w:hint="eastAsia" w:ascii="仿宋" w:hAnsi="仿宋" w:eastAsia="仿宋" w:cs="仿宋"/>
                <w:color w:val="auto"/>
                <w:sz w:val="24"/>
                <w:szCs w:val="24"/>
                <w:highlight w:val="none"/>
              </w:rPr>
            </w:pPr>
          </w:p>
        </w:tc>
        <w:tc>
          <w:tcPr>
            <w:tcW w:w="740" w:type="dxa"/>
            <w:vAlign w:val="top"/>
          </w:tcPr>
          <w:p>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p>
        </w:tc>
        <w:tc>
          <w:tcPr>
            <w:tcW w:w="713" w:type="dxa"/>
            <w:vAlign w:val="top"/>
          </w:tcPr>
          <w:p>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个</w:t>
            </w:r>
          </w:p>
        </w:tc>
        <w:tc>
          <w:tcPr>
            <w:tcW w:w="2519" w:type="dxa"/>
            <w:vAlign w:val="top"/>
          </w:tcPr>
          <w:p>
            <w:pPr>
              <w:spacing w:line="360" w:lineRule="auto"/>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925" w:type="dxa"/>
            <w:vAlign w:val="top"/>
          </w:tcPr>
          <w:p>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19</w:t>
            </w:r>
          </w:p>
        </w:tc>
        <w:tc>
          <w:tcPr>
            <w:tcW w:w="2130" w:type="dxa"/>
            <w:vAlign w:val="top"/>
          </w:tcPr>
          <w:p>
            <w:p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空气泡沫枪（含枪吸液管）</w:t>
            </w:r>
          </w:p>
        </w:tc>
        <w:tc>
          <w:tcPr>
            <w:tcW w:w="2590" w:type="dxa"/>
            <w:vAlign w:val="top"/>
          </w:tcPr>
          <w:p>
            <w:p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QP4/0.7Z；65</w:t>
            </w:r>
          </w:p>
        </w:tc>
        <w:tc>
          <w:tcPr>
            <w:tcW w:w="740" w:type="dxa"/>
            <w:vAlign w:val="top"/>
          </w:tcPr>
          <w:p>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p>
        </w:tc>
        <w:tc>
          <w:tcPr>
            <w:tcW w:w="713" w:type="dxa"/>
            <w:vAlign w:val="top"/>
          </w:tcPr>
          <w:p>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支</w:t>
            </w:r>
          </w:p>
        </w:tc>
        <w:tc>
          <w:tcPr>
            <w:tcW w:w="2519" w:type="dxa"/>
            <w:vAlign w:val="top"/>
          </w:tcPr>
          <w:p>
            <w:p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内扣式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925" w:type="dxa"/>
            <w:vAlign w:val="top"/>
          </w:tcPr>
          <w:p>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20</w:t>
            </w:r>
          </w:p>
        </w:tc>
        <w:tc>
          <w:tcPr>
            <w:tcW w:w="2130" w:type="dxa"/>
            <w:vAlign w:val="top"/>
          </w:tcPr>
          <w:p>
            <w:p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泡沫外吸液管</w:t>
            </w:r>
          </w:p>
        </w:tc>
        <w:tc>
          <w:tcPr>
            <w:tcW w:w="2590" w:type="dxa"/>
            <w:vAlign w:val="top"/>
          </w:tcPr>
          <w:p>
            <w:p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Φ40×2700</w:t>
            </w:r>
          </w:p>
        </w:tc>
        <w:tc>
          <w:tcPr>
            <w:tcW w:w="740" w:type="dxa"/>
            <w:vAlign w:val="top"/>
          </w:tcPr>
          <w:p>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p>
        </w:tc>
        <w:tc>
          <w:tcPr>
            <w:tcW w:w="713" w:type="dxa"/>
            <w:vAlign w:val="top"/>
          </w:tcPr>
          <w:p>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根</w:t>
            </w:r>
          </w:p>
        </w:tc>
        <w:tc>
          <w:tcPr>
            <w:tcW w:w="2519" w:type="dxa"/>
            <w:vAlign w:val="top"/>
          </w:tcPr>
          <w:p>
            <w:pPr>
              <w:spacing w:line="360" w:lineRule="auto"/>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925" w:type="dxa"/>
            <w:vAlign w:val="top"/>
          </w:tcPr>
          <w:p>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21</w:t>
            </w:r>
          </w:p>
        </w:tc>
        <w:tc>
          <w:tcPr>
            <w:tcW w:w="2130" w:type="dxa"/>
            <w:vAlign w:val="top"/>
          </w:tcPr>
          <w:p>
            <w:p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储物盒</w:t>
            </w:r>
          </w:p>
        </w:tc>
        <w:tc>
          <w:tcPr>
            <w:tcW w:w="2590" w:type="dxa"/>
            <w:vAlign w:val="top"/>
          </w:tcPr>
          <w:p>
            <w:p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小</w:t>
            </w:r>
          </w:p>
        </w:tc>
        <w:tc>
          <w:tcPr>
            <w:tcW w:w="740" w:type="dxa"/>
            <w:vAlign w:val="top"/>
          </w:tcPr>
          <w:p>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p>
        </w:tc>
        <w:tc>
          <w:tcPr>
            <w:tcW w:w="713" w:type="dxa"/>
            <w:vAlign w:val="top"/>
          </w:tcPr>
          <w:p>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个</w:t>
            </w:r>
          </w:p>
        </w:tc>
        <w:tc>
          <w:tcPr>
            <w:tcW w:w="2519" w:type="dxa"/>
            <w:vAlign w:val="top"/>
          </w:tcPr>
          <w:p>
            <w:pPr>
              <w:spacing w:line="360" w:lineRule="auto"/>
              <w:rPr>
                <w:rFonts w:hint="eastAsia" w:ascii="仿宋" w:hAnsi="仿宋" w:eastAsia="仿宋" w:cs="仿宋"/>
                <w:color w:val="auto"/>
                <w:sz w:val="24"/>
                <w:szCs w:val="24"/>
                <w:highlight w:val="none"/>
              </w:rPr>
            </w:pPr>
          </w:p>
        </w:tc>
      </w:tr>
    </w:tbl>
    <w:p>
      <w:pPr>
        <w:rPr>
          <w:rFonts w:hint="default" w:ascii="仿宋" w:hAnsi="仿宋" w:eastAsia="仿宋" w:cs="仿宋"/>
          <w:b w:val="0"/>
          <w:bCs w:val="0"/>
          <w:snapToGrid w:val="0"/>
          <w:color w:val="auto"/>
          <w:kern w:val="2"/>
          <w:sz w:val="24"/>
          <w:szCs w:val="21"/>
          <w:highlight w:val="none"/>
          <w:lang w:val="en-US" w:eastAsia="zh-CN" w:bidi="ar-SA"/>
        </w:rPr>
      </w:pPr>
    </w:p>
    <w:p>
      <w:pPr>
        <w:ind w:firstLine="480" w:firstLineChars="200"/>
        <w:rPr>
          <w:rFonts w:hint="eastAsia" w:ascii="仿宋" w:hAnsi="仿宋" w:eastAsia="仿宋" w:cs="仿宋"/>
          <w:b w:val="0"/>
          <w:bCs w:val="0"/>
          <w:snapToGrid w:val="0"/>
          <w:color w:val="auto"/>
          <w:kern w:val="2"/>
          <w:sz w:val="24"/>
          <w:szCs w:val="21"/>
          <w:highlight w:val="none"/>
          <w:lang w:val="en-US" w:eastAsia="zh-CN" w:bidi="ar-SA"/>
        </w:rPr>
      </w:pPr>
    </w:p>
    <w:p>
      <w:pPr>
        <w:jc w:val="center"/>
        <w:rPr>
          <w:rFonts w:hint="eastAsia" w:ascii="仿宋" w:hAnsi="仿宋" w:eastAsia="仿宋" w:cs="仿宋"/>
          <w:b/>
          <w:bCs/>
          <w:color w:val="auto"/>
          <w:sz w:val="28"/>
          <w:szCs w:val="28"/>
          <w:highlight w:val="none"/>
          <w:lang w:val="en-US" w:eastAsia="zh-CN"/>
        </w:rPr>
      </w:pPr>
      <w:r>
        <w:rPr>
          <w:rFonts w:hint="eastAsia" w:ascii="仿宋" w:hAnsi="仿宋" w:eastAsia="仿宋" w:cs="仿宋"/>
          <w:b/>
          <w:bCs/>
          <w:color w:val="auto"/>
          <w:sz w:val="28"/>
          <w:szCs w:val="28"/>
          <w:highlight w:val="none"/>
          <w:lang w:val="en-US" w:eastAsia="zh-CN"/>
        </w:rPr>
        <w:t>3、</w:t>
      </w:r>
      <w:r>
        <w:rPr>
          <w:rFonts w:hint="eastAsia" w:ascii="仿宋" w:hAnsi="仿宋" w:eastAsia="仿宋" w:cs="仿宋"/>
          <w:b/>
          <w:bCs/>
          <w:color w:val="auto"/>
          <w:sz w:val="28"/>
          <w:szCs w:val="28"/>
          <w:highlight w:val="none"/>
          <w:lang w:eastAsia="zh-CN"/>
        </w:rPr>
        <w:t>细水雾消防车</w:t>
      </w:r>
      <w:r>
        <w:rPr>
          <w:rFonts w:hint="eastAsia" w:ascii="仿宋" w:hAnsi="仿宋" w:eastAsia="仿宋" w:cs="仿宋"/>
          <w:b/>
          <w:bCs/>
          <w:color w:val="auto"/>
          <w:sz w:val="28"/>
          <w:szCs w:val="28"/>
          <w:highlight w:val="none"/>
          <w:lang w:val="en-US" w:eastAsia="zh-CN"/>
        </w:rPr>
        <w:t>参考图片</w:t>
      </w:r>
    </w:p>
    <w:p>
      <w:pPr>
        <w:pStyle w:val="2"/>
        <w:rPr>
          <w:rFonts w:hint="eastAsia" w:ascii="宋体" w:hAnsi="宋体" w:eastAsia="宋体" w:cs="宋体"/>
          <w:snapToGrid w:val="0"/>
          <w:color w:val="auto"/>
          <w:kern w:val="0"/>
          <w:sz w:val="32"/>
          <w:szCs w:val="32"/>
          <w:highlight w:val="none"/>
          <w:lang w:val="zh-CN" w:eastAsia="zh-CN" w:bidi="ar-SA"/>
        </w:rPr>
      </w:pPr>
      <w:r>
        <w:rPr>
          <w:rFonts w:hint="eastAsia" w:ascii="宋体" w:hAnsi="宋体" w:eastAsia="宋体" w:cs="宋体"/>
          <w:snapToGrid w:val="0"/>
          <w:color w:val="auto"/>
          <w:kern w:val="0"/>
          <w:sz w:val="32"/>
          <w:szCs w:val="32"/>
          <w:highlight w:val="none"/>
          <w:lang w:val="zh-CN" w:eastAsia="zh-CN" w:bidi="ar-SA"/>
        </w:rPr>
        <w:drawing>
          <wp:inline distT="0" distB="0" distL="114300" distR="114300">
            <wp:extent cx="4594225" cy="2153920"/>
            <wp:effectExtent l="0" t="0" r="3175" b="5080"/>
            <wp:docPr id="20"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7"/>
                    <pic:cNvPicPr>
                      <a:picLocks noChangeAspect="1"/>
                    </pic:cNvPicPr>
                  </pic:nvPicPr>
                  <pic:blipFill>
                    <a:blip r:embed="rId43">
                      <a:lum/>
                    </a:blip>
                    <a:stretch>
                      <a:fillRect/>
                    </a:stretch>
                  </pic:blipFill>
                  <pic:spPr>
                    <a:xfrm>
                      <a:off x="0" y="0"/>
                      <a:ext cx="4594225" cy="2153920"/>
                    </a:xfrm>
                    <a:prstGeom prst="rect">
                      <a:avLst/>
                    </a:prstGeom>
                    <a:noFill/>
                    <a:ln>
                      <a:noFill/>
                    </a:ln>
                  </pic:spPr>
                </pic:pic>
              </a:graphicData>
            </a:graphic>
          </wp:inline>
        </w:drawing>
      </w:r>
    </w:p>
    <w:p>
      <w:pPr>
        <w:pStyle w:val="2"/>
        <w:jc w:val="center"/>
        <w:rPr>
          <w:rFonts w:hint="eastAsia" w:ascii="仿宋" w:hAnsi="仿宋" w:eastAsia="仿宋" w:cs="仿宋"/>
          <w:b/>
          <w:bCs/>
          <w:color w:val="auto"/>
          <w:sz w:val="28"/>
          <w:szCs w:val="21"/>
          <w:highlight w:val="none"/>
          <w:lang w:eastAsia="zh-CN"/>
        </w:rPr>
      </w:pPr>
    </w:p>
    <w:p>
      <w:pPr>
        <w:pStyle w:val="2"/>
        <w:jc w:val="center"/>
        <w:rPr>
          <w:rFonts w:hint="eastAsia"/>
          <w:b/>
          <w:bCs/>
          <w:color w:val="auto"/>
          <w:sz w:val="32"/>
          <w:szCs w:val="21"/>
          <w:highlight w:val="none"/>
          <w:lang w:val="en-US" w:eastAsia="zh-CN"/>
        </w:rPr>
      </w:pPr>
      <w:r>
        <w:rPr>
          <w:rFonts w:hint="eastAsia" w:ascii="仿宋" w:hAnsi="仿宋" w:eastAsia="仿宋" w:cs="仿宋"/>
          <w:b/>
          <w:bCs/>
          <w:color w:val="auto"/>
          <w:sz w:val="28"/>
          <w:szCs w:val="21"/>
          <w:highlight w:val="none"/>
          <w:lang w:val="en-US" w:eastAsia="zh-CN"/>
        </w:rPr>
        <w:t>4、</w:t>
      </w:r>
      <w:r>
        <w:rPr>
          <w:rFonts w:hint="eastAsia" w:ascii="仿宋" w:hAnsi="仿宋" w:eastAsia="仿宋" w:cs="仿宋"/>
          <w:b/>
          <w:bCs/>
          <w:color w:val="auto"/>
          <w:sz w:val="28"/>
          <w:szCs w:val="21"/>
          <w:highlight w:val="none"/>
          <w:lang w:eastAsia="zh-CN"/>
        </w:rPr>
        <w:t>细水雾消防车</w:t>
      </w:r>
      <w:r>
        <w:rPr>
          <w:rFonts w:hint="eastAsia" w:ascii="仿宋" w:hAnsi="仿宋" w:eastAsia="仿宋" w:cs="仿宋"/>
          <w:b/>
          <w:bCs/>
          <w:color w:val="auto"/>
          <w:sz w:val="28"/>
          <w:szCs w:val="21"/>
          <w:highlight w:val="none"/>
          <w:lang w:val="en-US" w:eastAsia="zh-CN"/>
        </w:rPr>
        <w:t>主要参数</w:t>
      </w:r>
    </w:p>
    <w:tbl>
      <w:tblPr>
        <w:tblStyle w:val="62"/>
        <w:tblW w:w="9592"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650"/>
        <w:gridCol w:w="852"/>
        <w:gridCol w:w="3708"/>
        <w:gridCol w:w="3382"/>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30" w:hRule="atLeast"/>
          <w:jc w:val="center"/>
        </w:trPr>
        <w:tc>
          <w:tcPr>
            <w:tcW w:w="1650" w:type="dxa"/>
            <w:tcBorders>
              <w:top w:val="single" w:color="auto" w:sz="4" w:space="0"/>
              <w:bottom w:val="single" w:color="auto" w:sz="4" w:space="0"/>
              <w:right w:val="single" w:color="auto" w:sz="4" w:space="0"/>
            </w:tcBorders>
            <w:shd w:val="clear" w:color="auto" w:fill="FFFFFF"/>
            <w:vAlign w:val="center"/>
          </w:tcPr>
          <w:p>
            <w:pPr>
              <w:widowControl/>
              <w:jc w:val="center"/>
              <w:textAlignment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设备名称</w:t>
            </w:r>
          </w:p>
        </w:tc>
        <w:tc>
          <w:tcPr>
            <w:tcW w:w="852" w:type="dxa"/>
            <w:tcBorders>
              <w:left w:val="single" w:color="auto" w:sz="4" w:space="0"/>
              <w:bottom w:val="single" w:color="000000" w:sz="4" w:space="0"/>
              <w:right w:val="single" w:color="000000" w:sz="4" w:space="0"/>
            </w:tcBorders>
            <w:shd w:val="clear" w:color="auto" w:fill="FFFFFF"/>
            <w:vAlign w:val="center"/>
          </w:tcPr>
          <w:p>
            <w:pPr>
              <w:widowControl/>
              <w:jc w:val="center"/>
              <w:textAlignment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数量</w:t>
            </w:r>
          </w:p>
        </w:tc>
        <w:tc>
          <w:tcPr>
            <w:tcW w:w="7090" w:type="dxa"/>
            <w:gridSpan w:val="2"/>
            <w:tcBorders>
              <w:left w:val="single" w:color="000000" w:sz="4" w:space="0"/>
              <w:bottom w:val="single" w:color="000000" w:sz="4" w:space="0"/>
            </w:tcBorders>
            <w:shd w:val="clear" w:color="auto" w:fill="FFFFFF"/>
            <w:vAlign w:val="center"/>
          </w:tcPr>
          <w:p>
            <w:pPr>
              <w:widowControl/>
              <w:jc w:val="center"/>
              <w:textAlignment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kern w:val="0"/>
                <w:sz w:val="24"/>
                <w:szCs w:val="24"/>
                <w:highlight w:val="none"/>
              </w:rPr>
              <w:t>主要性能和技术指标</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30" w:hRule="atLeast"/>
          <w:jc w:val="center"/>
        </w:trPr>
        <w:tc>
          <w:tcPr>
            <w:tcW w:w="1650" w:type="dxa"/>
            <w:vMerge w:val="restart"/>
            <w:tcBorders>
              <w:top w:val="single" w:color="auto" w:sz="4" w:space="0"/>
              <w:bottom w:val="single" w:color="auto" w:sz="4" w:space="0"/>
              <w:right w:val="single" w:color="auto" w:sz="4" w:space="0"/>
            </w:tcBorders>
            <w:shd w:val="clear" w:color="auto" w:fill="FFFFFF"/>
            <w:vAlign w:val="center"/>
          </w:tcPr>
          <w:p>
            <w:pPr>
              <w:widowControl/>
              <w:jc w:val="center"/>
              <w:textAlignment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皮卡救险车</w:t>
            </w:r>
          </w:p>
        </w:tc>
        <w:tc>
          <w:tcPr>
            <w:tcW w:w="852" w:type="dxa"/>
            <w:vMerge w:val="restart"/>
            <w:tcBorders>
              <w:left w:val="single" w:color="auto" w:sz="4" w:space="0"/>
              <w:right w:val="single" w:color="000000" w:sz="4" w:space="0"/>
            </w:tcBorders>
            <w:shd w:val="clear" w:color="auto" w:fill="FFFFFF"/>
            <w:vAlign w:val="center"/>
          </w:tcPr>
          <w:p>
            <w:pPr>
              <w:widowControl/>
              <w:jc w:val="center"/>
              <w:textAlignment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lang w:val="en-US" w:eastAsia="zh-CN"/>
              </w:rPr>
              <w:t>6</w:t>
            </w:r>
          </w:p>
        </w:tc>
        <w:tc>
          <w:tcPr>
            <w:tcW w:w="3708" w:type="dxa"/>
            <w:tcBorders>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车型</w:t>
            </w:r>
          </w:p>
        </w:tc>
        <w:tc>
          <w:tcPr>
            <w:tcW w:w="3382" w:type="dxa"/>
            <w:tcBorders>
              <w:left w:val="single" w:color="000000" w:sz="4" w:space="0"/>
              <w:bottom w:val="single" w:color="000000" w:sz="4" w:space="0"/>
            </w:tcBorders>
            <w:shd w:val="clear" w:color="auto" w:fill="FFFFFF"/>
            <w:vAlign w:val="center"/>
          </w:tcPr>
          <w:p>
            <w:pPr>
              <w:widowControl/>
              <w:jc w:val="center"/>
              <w:textAlignment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皮卡</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30" w:hRule="atLeast"/>
          <w:jc w:val="center"/>
        </w:trPr>
        <w:tc>
          <w:tcPr>
            <w:tcW w:w="1650" w:type="dxa"/>
            <w:vMerge w:val="continue"/>
            <w:tcBorders>
              <w:top w:val="single" w:color="auto" w:sz="4" w:space="0"/>
              <w:bottom w:val="single" w:color="auto" w:sz="4" w:space="0"/>
              <w:right w:val="single" w:color="auto" w:sz="4" w:space="0"/>
            </w:tcBorders>
            <w:shd w:val="clear" w:color="auto" w:fill="FFFFFF"/>
            <w:vAlign w:val="center"/>
          </w:tcPr>
          <w:p>
            <w:pPr>
              <w:widowControl/>
              <w:jc w:val="center"/>
              <w:textAlignment w:val="center"/>
              <w:rPr>
                <w:rFonts w:hint="eastAsia" w:ascii="仿宋" w:hAnsi="仿宋" w:eastAsia="仿宋" w:cs="仿宋"/>
                <w:color w:val="auto"/>
                <w:sz w:val="24"/>
                <w:szCs w:val="24"/>
                <w:highlight w:val="none"/>
                <w:lang w:val="en-US" w:eastAsia="zh-CN"/>
              </w:rPr>
            </w:pPr>
          </w:p>
        </w:tc>
        <w:tc>
          <w:tcPr>
            <w:tcW w:w="852" w:type="dxa"/>
            <w:vMerge w:val="continue"/>
            <w:tcBorders>
              <w:left w:val="single" w:color="auto" w:sz="4" w:space="0"/>
              <w:right w:val="single" w:color="000000" w:sz="4" w:space="0"/>
            </w:tcBorders>
            <w:shd w:val="clear" w:color="auto" w:fill="FFFFFF"/>
            <w:vAlign w:val="center"/>
          </w:tcPr>
          <w:p>
            <w:pPr>
              <w:widowControl/>
              <w:jc w:val="center"/>
              <w:textAlignment w:val="center"/>
              <w:rPr>
                <w:rFonts w:hint="eastAsia" w:ascii="仿宋" w:hAnsi="仿宋" w:eastAsia="仿宋" w:cs="仿宋"/>
                <w:color w:val="auto"/>
                <w:sz w:val="24"/>
                <w:szCs w:val="24"/>
                <w:highlight w:val="none"/>
                <w:lang w:val="en-US" w:eastAsia="zh-CN"/>
              </w:rPr>
            </w:pPr>
          </w:p>
        </w:tc>
        <w:tc>
          <w:tcPr>
            <w:tcW w:w="370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hint="eastAsia" w:ascii="仿宋" w:hAnsi="仿宋" w:eastAsia="仿宋" w:cs="仿宋"/>
                <w:color w:val="auto"/>
                <w:kern w:val="0"/>
                <w:sz w:val="24"/>
                <w:szCs w:val="24"/>
                <w:highlight w:val="none"/>
              </w:rPr>
            </w:pPr>
            <w:r>
              <w:rPr>
                <w:rFonts w:hint="eastAsia" w:ascii="仿宋" w:hAnsi="仿宋" w:eastAsia="仿宋" w:cs="仿宋"/>
                <w:color w:val="auto"/>
                <w:sz w:val="24"/>
                <w:szCs w:val="24"/>
                <w:highlight w:val="none"/>
                <w:lang w:val="en-US" w:eastAsia="zh-CN"/>
              </w:rPr>
              <w:t>驱动</w:t>
            </w:r>
          </w:p>
        </w:tc>
        <w:tc>
          <w:tcPr>
            <w:tcW w:w="3382" w:type="dxa"/>
            <w:tcBorders>
              <w:top w:val="single" w:color="000000" w:sz="4" w:space="0"/>
              <w:left w:val="single" w:color="000000" w:sz="4" w:space="0"/>
              <w:bottom w:val="single" w:color="000000" w:sz="4" w:space="0"/>
            </w:tcBorders>
            <w:shd w:val="clear" w:color="auto" w:fill="FFFFFF"/>
            <w:vAlign w:val="center"/>
          </w:tcPr>
          <w:p>
            <w:pPr>
              <w:widowControl/>
              <w:jc w:val="center"/>
              <w:textAlignment w:val="center"/>
              <w:rPr>
                <w:rFonts w:hint="eastAsia" w:ascii="仿宋" w:hAnsi="仿宋" w:eastAsia="仿宋" w:cs="仿宋"/>
                <w:color w:val="auto"/>
                <w:kern w:val="0"/>
                <w:sz w:val="24"/>
                <w:szCs w:val="24"/>
                <w:highlight w:val="none"/>
              </w:rPr>
            </w:pPr>
            <w:r>
              <w:rPr>
                <w:rFonts w:hint="eastAsia" w:ascii="仿宋" w:hAnsi="仿宋" w:eastAsia="仿宋" w:cs="仿宋"/>
                <w:color w:val="auto"/>
                <w:sz w:val="24"/>
                <w:szCs w:val="24"/>
                <w:highlight w:val="none"/>
                <w:lang w:val="en-US" w:eastAsia="zh-CN"/>
              </w:rPr>
              <w:t>四驱</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30" w:hRule="atLeast"/>
          <w:jc w:val="center"/>
        </w:trPr>
        <w:tc>
          <w:tcPr>
            <w:tcW w:w="1650" w:type="dxa"/>
            <w:vMerge w:val="continue"/>
            <w:tcBorders>
              <w:top w:val="single" w:color="auto" w:sz="4" w:space="0"/>
              <w:bottom w:val="single" w:color="auto" w:sz="4" w:space="0"/>
              <w:right w:val="single" w:color="auto" w:sz="4" w:space="0"/>
            </w:tcBorders>
            <w:shd w:val="clear" w:color="auto" w:fill="FFFFFF"/>
            <w:vAlign w:val="center"/>
          </w:tcPr>
          <w:p>
            <w:pPr>
              <w:widowControl/>
              <w:jc w:val="center"/>
              <w:textAlignment w:val="center"/>
              <w:rPr>
                <w:rFonts w:hint="eastAsia" w:ascii="仿宋" w:hAnsi="仿宋" w:eastAsia="仿宋" w:cs="仿宋"/>
                <w:color w:val="auto"/>
                <w:sz w:val="24"/>
                <w:szCs w:val="24"/>
                <w:highlight w:val="none"/>
                <w:lang w:val="en-US" w:eastAsia="zh-CN"/>
              </w:rPr>
            </w:pPr>
          </w:p>
        </w:tc>
        <w:tc>
          <w:tcPr>
            <w:tcW w:w="852" w:type="dxa"/>
            <w:vMerge w:val="continue"/>
            <w:tcBorders>
              <w:left w:val="single" w:color="auto" w:sz="4" w:space="0"/>
              <w:right w:val="single" w:color="000000" w:sz="4" w:space="0"/>
            </w:tcBorders>
            <w:shd w:val="clear" w:color="auto" w:fill="FFFFFF"/>
            <w:vAlign w:val="center"/>
          </w:tcPr>
          <w:p>
            <w:pPr>
              <w:widowControl/>
              <w:jc w:val="center"/>
              <w:textAlignment w:val="center"/>
              <w:rPr>
                <w:rFonts w:hint="eastAsia" w:ascii="仿宋" w:hAnsi="仿宋" w:eastAsia="仿宋" w:cs="仿宋"/>
                <w:color w:val="auto"/>
                <w:sz w:val="24"/>
                <w:szCs w:val="24"/>
                <w:highlight w:val="none"/>
                <w:lang w:val="en-US" w:eastAsia="zh-CN"/>
              </w:rPr>
            </w:pPr>
          </w:p>
        </w:tc>
        <w:tc>
          <w:tcPr>
            <w:tcW w:w="370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hint="eastAsia" w:ascii="仿宋" w:hAnsi="仿宋" w:eastAsia="仿宋" w:cs="仿宋"/>
                <w:color w:val="auto"/>
                <w:kern w:val="0"/>
                <w:sz w:val="24"/>
                <w:szCs w:val="24"/>
                <w:highlight w:val="none"/>
              </w:rPr>
            </w:pPr>
            <w:r>
              <w:rPr>
                <w:rFonts w:hint="eastAsia" w:ascii="仿宋" w:hAnsi="仿宋" w:eastAsia="仿宋" w:cs="仿宋"/>
                <w:color w:val="auto"/>
                <w:sz w:val="24"/>
                <w:szCs w:val="24"/>
                <w:highlight w:val="none"/>
                <w:lang w:val="en-US" w:eastAsia="zh-CN"/>
              </w:rPr>
              <w:t>排放标准</w:t>
            </w:r>
          </w:p>
        </w:tc>
        <w:tc>
          <w:tcPr>
            <w:tcW w:w="3382" w:type="dxa"/>
            <w:tcBorders>
              <w:top w:val="single" w:color="000000" w:sz="4" w:space="0"/>
              <w:left w:val="single" w:color="000000" w:sz="4" w:space="0"/>
              <w:bottom w:val="single" w:color="000000" w:sz="4" w:space="0"/>
            </w:tcBorders>
            <w:shd w:val="clear" w:color="auto" w:fill="FFFFFF"/>
            <w:vAlign w:val="center"/>
          </w:tcPr>
          <w:p>
            <w:pPr>
              <w:widowControl/>
              <w:jc w:val="center"/>
              <w:textAlignment w:val="center"/>
              <w:rPr>
                <w:rFonts w:hint="eastAsia" w:ascii="仿宋" w:hAnsi="仿宋" w:eastAsia="仿宋" w:cs="仿宋"/>
                <w:color w:val="auto"/>
                <w:kern w:val="0"/>
                <w:sz w:val="24"/>
                <w:szCs w:val="24"/>
                <w:highlight w:val="none"/>
              </w:rPr>
            </w:pPr>
            <w:r>
              <w:rPr>
                <w:rFonts w:hint="eastAsia" w:ascii="仿宋" w:hAnsi="仿宋" w:eastAsia="仿宋" w:cs="仿宋"/>
                <w:color w:val="auto"/>
                <w:sz w:val="24"/>
                <w:szCs w:val="24"/>
                <w:highlight w:val="none"/>
                <w:lang w:val="en-US" w:eastAsia="zh-CN"/>
              </w:rPr>
              <w:t>国VI</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30" w:hRule="atLeast"/>
          <w:jc w:val="center"/>
        </w:trPr>
        <w:tc>
          <w:tcPr>
            <w:tcW w:w="1650" w:type="dxa"/>
            <w:vMerge w:val="continue"/>
            <w:tcBorders>
              <w:top w:val="single" w:color="auto" w:sz="4" w:space="0"/>
              <w:bottom w:val="single" w:color="auto" w:sz="4" w:space="0"/>
              <w:right w:val="single" w:color="auto" w:sz="4" w:space="0"/>
            </w:tcBorders>
            <w:shd w:val="clear" w:color="auto" w:fill="FFFFFF"/>
            <w:vAlign w:val="center"/>
          </w:tcPr>
          <w:p>
            <w:pPr>
              <w:jc w:val="center"/>
              <w:rPr>
                <w:rFonts w:hint="eastAsia" w:ascii="仿宋" w:hAnsi="仿宋" w:eastAsia="仿宋" w:cs="仿宋"/>
                <w:color w:val="auto"/>
                <w:kern w:val="2"/>
                <w:sz w:val="24"/>
                <w:szCs w:val="24"/>
                <w:highlight w:val="none"/>
                <w:lang w:val="en-US" w:eastAsia="zh-CN" w:bidi="ar-SA"/>
              </w:rPr>
            </w:pPr>
          </w:p>
        </w:tc>
        <w:tc>
          <w:tcPr>
            <w:tcW w:w="852" w:type="dxa"/>
            <w:vMerge w:val="continue"/>
            <w:tcBorders>
              <w:left w:val="single" w:color="auto" w:sz="4" w:space="0"/>
              <w:right w:val="single" w:color="000000" w:sz="4" w:space="0"/>
            </w:tcBorders>
            <w:shd w:val="clear" w:color="auto" w:fill="FFFFFF"/>
            <w:vAlign w:val="center"/>
          </w:tcPr>
          <w:p>
            <w:pPr>
              <w:jc w:val="center"/>
              <w:rPr>
                <w:rFonts w:hint="eastAsia" w:ascii="仿宋" w:hAnsi="仿宋" w:eastAsia="仿宋" w:cs="仿宋"/>
                <w:color w:val="auto"/>
                <w:kern w:val="2"/>
                <w:sz w:val="24"/>
                <w:szCs w:val="24"/>
                <w:highlight w:val="none"/>
                <w:lang w:val="en-US" w:eastAsia="zh-CN" w:bidi="ar-SA"/>
              </w:rPr>
            </w:pPr>
          </w:p>
        </w:tc>
        <w:tc>
          <w:tcPr>
            <w:tcW w:w="3708" w:type="dxa"/>
            <w:tcBorders>
              <w:top w:val="single" w:color="000000" w:sz="4" w:space="0"/>
              <w:left w:val="single" w:color="000000" w:sz="4" w:space="0"/>
              <w:bottom w:val="single" w:color="000000" w:sz="4" w:space="0"/>
              <w:right w:val="single" w:color="000000" w:sz="4" w:space="0"/>
            </w:tcBorders>
            <w:shd w:val="clear" w:color="auto" w:fill="FFFFFF"/>
            <w:vAlign w:val="bottom"/>
          </w:tcPr>
          <w:p>
            <w:pPr>
              <w:widowControl/>
              <w:jc w:val="left"/>
              <w:textAlignment w:val="bottom"/>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轴距（mm）</w:t>
            </w:r>
          </w:p>
        </w:tc>
        <w:tc>
          <w:tcPr>
            <w:tcW w:w="3382" w:type="dxa"/>
            <w:tcBorders>
              <w:top w:val="single" w:color="000000" w:sz="4" w:space="0"/>
              <w:left w:val="single" w:color="000000" w:sz="4" w:space="0"/>
              <w:bottom w:val="single" w:color="000000" w:sz="4" w:space="0"/>
            </w:tcBorders>
            <w:shd w:val="clear" w:color="auto" w:fill="FFFFFF"/>
            <w:vAlign w:val="center"/>
          </w:tcPr>
          <w:p>
            <w:pPr>
              <w:widowControl/>
              <w:jc w:val="center"/>
              <w:textAlignment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0"/>
                <w:sz w:val="24"/>
                <w:szCs w:val="24"/>
                <w:highlight w:val="none"/>
              </w:rPr>
              <w:t>≥</w:t>
            </w:r>
            <w:r>
              <w:rPr>
                <w:rFonts w:hint="eastAsia" w:ascii="仿宋" w:hAnsi="仿宋" w:eastAsia="仿宋" w:cs="仿宋"/>
                <w:color w:val="auto"/>
                <w:kern w:val="2"/>
                <w:sz w:val="24"/>
                <w:szCs w:val="24"/>
                <w:highlight w:val="none"/>
                <w:lang w:val="en-US" w:eastAsia="zh-CN" w:bidi="ar-SA"/>
              </w:rPr>
              <w:t>3400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30" w:hRule="atLeast"/>
          <w:jc w:val="center"/>
        </w:trPr>
        <w:tc>
          <w:tcPr>
            <w:tcW w:w="1650" w:type="dxa"/>
            <w:vMerge w:val="continue"/>
            <w:tcBorders>
              <w:top w:val="single" w:color="auto" w:sz="4" w:space="0"/>
              <w:bottom w:val="single" w:color="auto" w:sz="4" w:space="0"/>
              <w:right w:val="single" w:color="auto" w:sz="4" w:space="0"/>
            </w:tcBorders>
            <w:shd w:val="clear" w:color="auto" w:fill="FFFFFF"/>
            <w:vAlign w:val="center"/>
          </w:tcPr>
          <w:p>
            <w:pPr>
              <w:jc w:val="center"/>
              <w:rPr>
                <w:rFonts w:hint="eastAsia" w:ascii="仿宋" w:hAnsi="仿宋" w:eastAsia="仿宋" w:cs="仿宋"/>
                <w:color w:val="auto"/>
                <w:kern w:val="2"/>
                <w:sz w:val="24"/>
                <w:szCs w:val="24"/>
                <w:highlight w:val="none"/>
                <w:lang w:val="en-US" w:eastAsia="zh-CN" w:bidi="ar-SA"/>
              </w:rPr>
            </w:pPr>
          </w:p>
        </w:tc>
        <w:tc>
          <w:tcPr>
            <w:tcW w:w="852" w:type="dxa"/>
            <w:vMerge w:val="continue"/>
            <w:tcBorders>
              <w:left w:val="single" w:color="auto" w:sz="4" w:space="0"/>
              <w:right w:val="single" w:color="000000" w:sz="4" w:space="0"/>
            </w:tcBorders>
            <w:shd w:val="clear" w:color="auto" w:fill="FFFFFF"/>
            <w:vAlign w:val="center"/>
          </w:tcPr>
          <w:p>
            <w:pPr>
              <w:jc w:val="center"/>
              <w:rPr>
                <w:rFonts w:hint="eastAsia" w:ascii="仿宋" w:hAnsi="仿宋" w:eastAsia="仿宋" w:cs="仿宋"/>
                <w:color w:val="auto"/>
                <w:kern w:val="2"/>
                <w:sz w:val="24"/>
                <w:szCs w:val="24"/>
                <w:highlight w:val="none"/>
                <w:lang w:val="en-US" w:eastAsia="zh-CN" w:bidi="ar-SA"/>
              </w:rPr>
            </w:pPr>
          </w:p>
        </w:tc>
        <w:tc>
          <w:tcPr>
            <w:tcW w:w="3708" w:type="dxa"/>
            <w:tcBorders>
              <w:top w:val="single" w:color="000000" w:sz="4" w:space="0"/>
              <w:left w:val="single" w:color="000000" w:sz="4" w:space="0"/>
              <w:bottom w:val="single" w:color="000000" w:sz="4" w:space="0"/>
              <w:right w:val="single" w:color="000000" w:sz="4" w:space="0"/>
            </w:tcBorders>
            <w:shd w:val="clear" w:color="auto" w:fill="FFFFFF"/>
            <w:vAlign w:val="bottom"/>
          </w:tcPr>
          <w:p>
            <w:pPr>
              <w:widowControl/>
              <w:jc w:val="left"/>
              <w:textAlignment w:val="bottom"/>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满载总质量(kg)</w:t>
            </w:r>
          </w:p>
        </w:tc>
        <w:tc>
          <w:tcPr>
            <w:tcW w:w="3382" w:type="dxa"/>
            <w:tcBorders>
              <w:top w:val="single" w:color="000000" w:sz="4" w:space="0"/>
              <w:left w:val="single" w:color="000000" w:sz="4" w:space="0"/>
              <w:bottom w:val="single" w:color="000000" w:sz="4" w:space="0"/>
            </w:tcBorders>
            <w:shd w:val="clear" w:color="auto" w:fill="FFFFFF"/>
            <w:vAlign w:val="center"/>
          </w:tcPr>
          <w:p>
            <w:pPr>
              <w:widowControl/>
              <w:jc w:val="center"/>
              <w:textAlignment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0"/>
                <w:sz w:val="24"/>
                <w:szCs w:val="24"/>
                <w:highlight w:val="none"/>
              </w:rPr>
              <w:t>≥</w:t>
            </w:r>
            <w:r>
              <w:rPr>
                <w:rFonts w:hint="eastAsia" w:ascii="仿宋" w:hAnsi="仿宋" w:eastAsia="仿宋" w:cs="仿宋"/>
                <w:color w:val="auto"/>
                <w:kern w:val="2"/>
                <w:sz w:val="24"/>
                <w:szCs w:val="24"/>
                <w:highlight w:val="none"/>
                <w:lang w:val="en-US" w:eastAsia="zh-CN" w:bidi="ar-SA"/>
              </w:rPr>
              <w:t>2810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30" w:hRule="atLeast"/>
          <w:jc w:val="center"/>
        </w:trPr>
        <w:tc>
          <w:tcPr>
            <w:tcW w:w="1650" w:type="dxa"/>
            <w:vMerge w:val="continue"/>
            <w:tcBorders>
              <w:top w:val="single" w:color="auto" w:sz="4" w:space="0"/>
              <w:bottom w:val="single" w:color="auto" w:sz="4" w:space="0"/>
              <w:right w:val="single" w:color="auto" w:sz="4" w:space="0"/>
            </w:tcBorders>
            <w:shd w:val="clear" w:color="auto" w:fill="FFFFFF"/>
            <w:vAlign w:val="center"/>
          </w:tcPr>
          <w:p>
            <w:pPr>
              <w:jc w:val="center"/>
              <w:rPr>
                <w:rFonts w:hint="eastAsia" w:ascii="仿宋" w:hAnsi="仿宋" w:eastAsia="仿宋" w:cs="仿宋"/>
                <w:color w:val="auto"/>
                <w:kern w:val="2"/>
                <w:sz w:val="24"/>
                <w:szCs w:val="24"/>
                <w:highlight w:val="none"/>
                <w:lang w:val="en-US" w:eastAsia="zh-CN" w:bidi="ar-SA"/>
              </w:rPr>
            </w:pPr>
          </w:p>
        </w:tc>
        <w:tc>
          <w:tcPr>
            <w:tcW w:w="852" w:type="dxa"/>
            <w:vMerge w:val="continue"/>
            <w:tcBorders>
              <w:left w:val="single" w:color="auto" w:sz="4" w:space="0"/>
              <w:right w:val="single" w:color="000000" w:sz="4" w:space="0"/>
            </w:tcBorders>
            <w:shd w:val="clear" w:color="auto" w:fill="FFFFFF"/>
            <w:vAlign w:val="center"/>
          </w:tcPr>
          <w:p>
            <w:pPr>
              <w:jc w:val="center"/>
              <w:rPr>
                <w:rFonts w:hint="eastAsia" w:ascii="仿宋" w:hAnsi="仿宋" w:eastAsia="仿宋" w:cs="仿宋"/>
                <w:color w:val="auto"/>
                <w:kern w:val="2"/>
                <w:sz w:val="24"/>
                <w:szCs w:val="24"/>
                <w:highlight w:val="none"/>
                <w:lang w:val="en-US" w:eastAsia="zh-CN" w:bidi="ar-SA"/>
              </w:rPr>
            </w:pPr>
          </w:p>
        </w:tc>
        <w:tc>
          <w:tcPr>
            <w:tcW w:w="3708" w:type="dxa"/>
            <w:tcBorders>
              <w:top w:val="single" w:color="000000" w:sz="4" w:space="0"/>
              <w:left w:val="single" w:color="000000" w:sz="4" w:space="0"/>
              <w:bottom w:val="single" w:color="000000" w:sz="4" w:space="0"/>
              <w:right w:val="single" w:color="000000" w:sz="4" w:space="0"/>
            </w:tcBorders>
            <w:shd w:val="clear" w:color="auto" w:fill="FFFFFF"/>
            <w:vAlign w:val="bottom"/>
          </w:tcPr>
          <w:p>
            <w:pPr>
              <w:widowControl/>
              <w:jc w:val="left"/>
              <w:textAlignment w:val="bottom"/>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接近角/离去角(°)</w:t>
            </w:r>
          </w:p>
        </w:tc>
        <w:tc>
          <w:tcPr>
            <w:tcW w:w="3382" w:type="dxa"/>
            <w:tcBorders>
              <w:top w:val="single" w:color="000000" w:sz="4" w:space="0"/>
              <w:left w:val="single" w:color="000000" w:sz="4" w:space="0"/>
              <w:bottom w:val="single" w:color="000000" w:sz="4" w:space="0"/>
            </w:tcBorders>
            <w:shd w:val="clear" w:color="auto" w:fill="FFFFFF"/>
            <w:vAlign w:val="center"/>
          </w:tcPr>
          <w:p>
            <w:pPr>
              <w:widowControl/>
              <w:jc w:val="center"/>
              <w:textAlignment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0"/>
                <w:sz w:val="24"/>
                <w:szCs w:val="24"/>
                <w:highlight w:val="none"/>
              </w:rPr>
              <w:t>≥</w:t>
            </w:r>
            <w:r>
              <w:rPr>
                <w:rFonts w:hint="eastAsia" w:ascii="仿宋" w:hAnsi="仿宋" w:eastAsia="仿宋" w:cs="仿宋"/>
                <w:color w:val="auto"/>
                <w:kern w:val="2"/>
                <w:sz w:val="24"/>
                <w:szCs w:val="24"/>
                <w:highlight w:val="none"/>
                <w:lang w:val="en-US" w:eastAsia="zh-CN" w:bidi="ar-SA"/>
              </w:rPr>
              <w:t>31/26</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30" w:hRule="atLeast"/>
          <w:jc w:val="center"/>
        </w:trPr>
        <w:tc>
          <w:tcPr>
            <w:tcW w:w="1650" w:type="dxa"/>
            <w:vMerge w:val="continue"/>
            <w:tcBorders>
              <w:top w:val="single" w:color="auto" w:sz="4" w:space="0"/>
              <w:bottom w:val="single" w:color="auto" w:sz="4" w:space="0"/>
              <w:right w:val="single" w:color="auto" w:sz="4" w:space="0"/>
            </w:tcBorders>
            <w:shd w:val="clear" w:color="auto" w:fill="FFFFFF"/>
            <w:vAlign w:val="center"/>
          </w:tcPr>
          <w:p>
            <w:pPr>
              <w:jc w:val="center"/>
              <w:rPr>
                <w:rFonts w:hint="eastAsia" w:ascii="仿宋" w:hAnsi="仿宋" w:eastAsia="仿宋" w:cs="仿宋"/>
                <w:color w:val="auto"/>
                <w:kern w:val="2"/>
                <w:sz w:val="24"/>
                <w:szCs w:val="24"/>
                <w:highlight w:val="none"/>
                <w:lang w:val="en-US" w:eastAsia="zh-CN" w:bidi="ar-SA"/>
              </w:rPr>
            </w:pPr>
          </w:p>
        </w:tc>
        <w:tc>
          <w:tcPr>
            <w:tcW w:w="852" w:type="dxa"/>
            <w:vMerge w:val="continue"/>
            <w:tcBorders>
              <w:left w:val="single" w:color="auto" w:sz="4" w:space="0"/>
              <w:right w:val="single" w:color="000000" w:sz="4" w:space="0"/>
            </w:tcBorders>
            <w:shd w:val="clear" w:color="auto" w:fill="FFFFFF"/>
            <w:vAlign w:val="center"/>
          </w:tcPr>
          <w:p>
            <w:pPr>
              <w:jc w:val="center"/>
              <w:rPr>
                <w:rFonts w:hint="eastAsia" w:ascii="仿宋" w:hAnsi="仿宋" w:eastAsia="仿宋" w:cs="仿宋"/>
                <w:color w:val="auto"/>
                <w:kern w:val="2"/>
                <w:sz w:val="24"/>
                <w:szCs w:val="24"/>
                <w:highlight w:val="none"/>
                <w:lang w:val="en-US" w:eastAsia="zh-CN" w:bidi="ar-SA"/>
              </w:rPr>
            </w:pPr>
          </w:p>
        </w:tc>
        <w:tc>
          <w:tcPr>
            <w:tcW w:w="3708" w:type="dxa"/>
            <w:tcBorders>
              <w:top w:val="single" w:color="000000" w:sz="4" w:space="0"/>
              <w:left w:val="single" w:color="000000" w:sz="4" w:space="0"/>
              <w:bottom w:val="single" w:color="000000" w:sz="4" w:space="0"/>
              <w:right w:val="single" w:color="000000" w:sz="4" w:space="0"/>
            </w:tcBorders>
            <w:shd w:val="clear" w:color="auto" w:fill="FFFFFF"/>
            <w:vAlign w:val="bottom"/>
          </w:tcPr>
          <w:p>
            <w:pPr>
              <w:widowControl/>
              <w:jc w:val="left"/>
              <w:textAlignment w:val="bottom"/>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最大爬坡度(°)</w:t>
            </w:r>
          </w:p>
        </w:tc>
        <w:tc>
          <w:tcPr>
            <w:tcW w:w="3382" w:type="dxa"/>
            <w:tcBorders>
              <w:top w:val="single" w:color="000000" w:sz="4" w:space="0"/>
              <w:left w:val="single" w:color="000000" w:sz="4" w:space="0"/>
              <w:bottom w:val="single" w:color="000000" w:sz="4" w:space="0"/>
            </w:tcBorders>
            <w:shd w:val="clear" w:color="auto" w:fill="FFFFFF"/>
            <w:vAlign w:val="center"/>
          </w:tcPr>
          <w:p>
            <w:pPr>
              <w:widowControl/>
              <w:jc w:val="center"/>
              <w:textAlignment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0"/>
                <w:sz w:val="24"/>
                <w:szCs w:val="24"/>
                <w:highlight w:val="none"/>
              </w:rPr>
              <w:t>≥</w:t>
            </w:r>
            <w:r>
              <w:rPr>
                <w:rFonts w:hint="eastAsia" w:ascii="仿宋" w:hAnsi="仿宋" w:eastAsia="仿宋" w:cs="仿宋"/>
                <w:color w:val="auto"/>
                <w:kern w:val="2"/>
                <w:sz w:val="24"/>
                <w:szCs w:val="24"/>
                <w:highlight w:val="none"/>
                <w:lang w:val="en-US" w:eastAsia="zh-CN" w:bidi="ar-SA"/>
              </w:rPr>
              <w:t>30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30" w:hRule="atLeast"/>
          <w:jc w:val="center"/>
        </w:trPr>
        <w:tc>
          <w:tcPr>
            <w:tcW w:w="1650" w:type="dxa"/>
            <w:vMerge w:val="continue"/>
            <w:tcBorders>
              <w:top w:val="single" w:color="auto" w:sz="4" w:space="0"/>
              <w:bottom w:val="single" w:color="auto" w:sz="4" w:space="0"/>
              <w:right w:val="single" w:color="auto" w:sz="4" w:space="0"/>
            </w:tcBorders>
            <w:shd w:val="clear" w:color="auto" w:fill="FFFFFF"/>
            <w:vAlign w:val="center"/>
          </w:tcPr>
          <w:p>
            <w:pPr>
              <w:jc w:val="center"/>
              <w:rPr>
                <w:rFonts w:hint="eastAsia" w:ascii="仿宋" w:hAnsi="仿宋" w:eastAsia="仿宋" w:cs="仿宋"/>
                <w:color w:val="auto"/>
                <w:kern w:val="2"/>
                <w:sz w:val="24"/>
                <w:szCs w:val="24"/>
                <w:highlight w:val="none"/>
                <w:lang w:val="en-US" w:eastAsia="zh-CN" w:bidi="ar-SA"/>
              </w:rPr>
            </w:pPr>
          </w:p>
        </w:tc>
        <w:tc>
          <w:tcPr>
            <w:tcW w:w="852" w:type="dxa"/>
            <w:vMerge w:val="continue"/>
            <w:tcBorders>
              <w:left w:val="single" w:color="auto" w:sz="4" w:space="0"/>
              <w:right w:val="single" w:color="000000" w:sz="4" w:space="0"/>
            </w:tcBorders>
            <w:shd w:val="clear" w:color="auto" w:fill="FFFFFF"/>
            <w:vAlign w:val="center"/>
          </w:tcPr>
          <w:p>
            <w:pPr>
              <w:jc w:val="center"/>
              <w:rPr>
                <w:rFonts w:hint="eastAsia" w:ascii="仿宋" w:hAnsi="仿宋" w:eastAsia="仿宋" w:cs="仿宋"/>
                <w:color w:val="auto"/>
                <w:kern w:val="2"/>
                <w:sz w:val="24"/>
                <w:szCs w:val="24"/>
                <w:highlight w:val="none"/>
                <w:lang w:val="en-US" w:eastAsia="zh-CN" w:bidi="ar-SA"/>
              </w:rPr>
            </w:pPr>
          </w:p>
        </w:tc>
        <w:tc>
          <w:tcPr>
            <w:tcW w:w="3708" w:type="dxa"/>
            <w:tcBorders>
              <w:top w:val="single" w:color="000000" w:sz="4" w:space="0"/>
              <w:left w:val="single" w:color="000000" w:sz="4" w:space="0"/>
              <w:bottom w:val="single" w:color="000000" w:sz="4" w:space="0"/>
              <w:right w:val="single" w:color="000000" w:sz="4" w:space="0"/>
            </w:tcBorders>
            <w:shd w:val="clear" w:color="auto" w:fill="FFFFFF"/>
            <w:vAlign w:val="bottom"/>
          </w:tcPr>
          <w:p>
            <w:pPr>
              <w:widowControl/>
              <w:jc w:val="left"/>
              <w:textAlignment w:val="bottom"/>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乘坐人数(人)</w:t>
            </w:r>
          </w:p>
        </w:tc>
        <w:tc>
          <w:tcPr>
            <w:tcW w:w="3382" w:type="dxa"/>
            <w:tcBorders>
              <w:top w:val="single" w:color="000000" w:sz="4" w:space="0"/>
              <w:left w:val="single" w:color="000000" w:sz="4" w:space="0"/>
              <w:bottom w:val="single" w:color="000000" w:sz="4" w:space="0"/>
            </w:tcBorders>
            <w:shd w:val="clear" w:color="auto" w:fill="FFFFFF"/>
            <w:vAlign w:val="center"/>
          </w:tcPr>
          <w:p>
            <w:pPr>
              <w:widowControl/>
              <w:jc w:val="center"/>
              <w:textAlignment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5</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30" w:hRule="atLeast"/>
          <w:jc w:val="center"/>
        </w:trPr>
        <w:tc>
          <w:tcPr>
            <w:tcW w:w="1650" w:type="dxa"/>
            <w:vMerge w:val="continue"/>
            <w:tcBorders>
              <w:top w:val="single" w:color="auto" w:sz="4" w:space="0"/>
              <w:bottom w:val="single" w:color="auto" w:sz="4" w:space="0"/>
              <w:right w:val="single" w:color="auto" w:sz="4" w:space="0"/>
            </w:tcBorders>
            <w:shd w:val="clear" w:color="auto" w:fill="FFFFFF"/>
            <w:vAlign w:val="center"/>
          </w:tcPr>
          <w:p>
            <w:pPr>
              <w:jc w:val="center"/>
              <w:rPr>
                <w:rFonts w:hint="eastAsia" w:ascii="仿宋" w:hAnsi="仿宋" w:eastAsia="仿宋" w:cs="仿宋"/>
                <w:color w:val="auto"/>
                <w:kern w:val="2"/>
                <w:sz w:val="24"/>
                <w:szCs w:val="24"/>
                <w:highlight w:val="none"/>
                <w:lang w:val="en-US" w:eastAsia="zh-CN" w:bidi="ar-SA"/>
              </w:rPr>
            </w:pPr>
          </w:p>
        </w:tc>
        <w:tc>
          <w:tcPr>
            <w:tcW w:w="852" w:type="dxa"/>
            <w:vMerge w:val="continue"/>
            <w:tcBorders>
              <w:left w:val="single" w:color="auto" w:sz="4" w:space="0"/>
              <w:right w:val="single" w:color="000000" w:sz="4" w:space="0"/>
            </w:tcBorders>
            <w:shd w:val="clear" w:color="auto" w:fill="FFFFFF"/>
            <w:vAlign w:val="center"/>
          </w:tcPr>
          <w:p>
            <w:pPr>
              <w:jc w:val="center"/>
              <w:rPr>
                <w:rFonts w:hint="eastAsia" w:ascii="仿宋" w:hAnsi="仿宋" w:eastAsia="仿宋" w:cs="仿宋"/>
                <w:color w:val="auto"/>
                <w:kern w:val="2"/>
                <w:sz w:val="24"/>
                <w:szCs w:val="24"/>
                <w:highlight w:val="none"/>
                <w:lang w:val="en-US" w:eastAsia="zh-CN" w:bidi="ar-SA"/>
              </w:rPr>
            </w:pPr>
          </w:p>
        </w:tc>
        <w:tc>
          <w:tcPr>
            <w:tcW w:w="3708" w:type="dxa"/>
            <w:tcBorders>
              <w:top w:val="single" w:color="000000" w:sz="4" w:space="0"/>
              <w:left w:val="single" w:color="000000" w:sz="4" w:space="0"/>
              <w:bottom w:val="single" w:color="000000" w:sz="4" w:space="0"/>
              <w:right w:val="single" w:color="000000" w:sz="4" w:space="0"/>
            </w:tcBorders>
            <w:shd w:val="clear" w:color="auto" w:fill="FFFFFF"/>
            <w:vAlign w:val="bottom"/>
          </w:tcPr>
          <w:p>
            <w:pPr>
              <w:widowControl/>
              <w:jc w:val="left"/>
              <w:textAlignment w:val="bottom"/>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油箱容量(L)</w:t>
            </w:r>
          </w:p>
        </w:tc>
        <w:tc>
          <w:tcPr>
            <w:tcW w:w="3382" w:type="dxa"/>
            <w:tcBorders>
              <w:top w:val="single" w:color="000000" w:sz="4" w:space="0"/>
              <w:left w:val="single" w:color="000000" w:sz="4" w:space="0"/>
              <w:bottom w:val="single" w:color="000000" w:sz="4" w:space="0"/>
            </w:tcBorders>
            <w:shd w:val="clear" w:color="auto" w:fill="FFFFFF"/>
            <w:vAlign w:val="center"/>
          </w:tcPr>
          <w:p>
            <w:pPr>
              <w:widowControl/>
              <w:jc w:val="center"/>
              <w:textAlignment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70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30" w:hRule="atLeast"/>
          <w:jc w:val="center"/>
        </w:trPr>
        <w:tc>
          <w:tcPr>
            <w:tcW w:w="1650" w:type="dxa"/>
            <w:vMerge w:val="continue"/>
            <w:tcBorders>
              <w:top w:val="single" w:color="auto" w:sz="4" w:space="0"/>
              <w:bottom w:val="single" w:color="auto" w:sz="4" w:space="0"/>
              <w:right w:val="single" w:color="auto" w:sz="4" w:space="0"/>
            </w:tcBorders>
            <w:shd w:val="clear" w:color="auto" w:fill="FFFFFF"/>
            <w:vAlign w:val="center"/>
          </w:tcPr>
          <w:p>
            <w:pPr>
              <w:jc w:val="center"/>
              <w:rPr>
                <w:rFonts w:hint="eastAsia" w:ascii="仿宋" w:hAnsi="仿宋" w:eastAsia="仿宋" w:cs="仿宋"/>
                <w:color w:val="auto"/>
                <w:kern w:val="2"/>
                <w:sz w:val="24"/>
                <w:szCs w:val="24"/>
                <w:highlight w:val="none"/>
                <w:lang w:val="en-US" w:eastAsia="zh-CN" w:bidi="ar-SA"/>
              </w:rPr>
            </w:pPr>
          </w:p>
        </w:tc>
        <w:tc>
          <w:tcPr>
            <w:tcW w:w="852" w:type="dxa"/>
            <w:vMerge w:val="continue"/>
            <w:tcBorders>
              <w:left w:val="single" w:color="auto" w:sz="4" w:space="0"/>
              <w:right w:val="single" w:color="000000" w:sz="4" w:space="0"/>
            </w:tcBorders>
            <w:shd w:val="clear" w:color="auto" w:fill="FFFFFF"/>
            <w:vAlign w:val="center"/>
          </w:tcPr>
          <w:p>
            <w:pPr>
              <w:jc w:val="center"/>
              <w:rPr>
                <w:rFonts w:hint="eastAsia" w:ascii="仿宋" w:hAnsi="仿宋" w:eastAsia="仿宋" w:cs="仿宋"/>
                <w:color w:val="auto"/>
                <w:kern w:val="2"/>
                <w:sz w:val="24"/>
                <w:szCs w:val="24"/>
                <w:highlight w:val="none"/>
                <w:lang w:val="en-US" w:eastAsia="zh-CN" w:bidi="ar-SA"/>
              </w:rPr>
            </w:pPr>
          </w:p>
        </w:tc>
        <w:tc>
          <w:tcPr>
            <w:tcW w:w="3708" w:type="dxa"/>
            <w:tcBorders>
              <w:top w:val="single" w:color="000000" w:sz="4" w:space="0"/>
              <w:left w:val="single" w:color="000000" w:sz="4" w:space="0"/>
              <w:bottom w:val="single" w:color="000000" w:sz="4" w:space="0"/>
              <w:right w:val="single" w:color="000000" w:sz="4" w:space="0"/>
            </w:tcBorders>
            <w:shd w:val="clear" w:color="auto" w:fill="FFFFFF"/>
            <w:vAlign w:val="bottom"/>
          </w:tcPr>
          <w:p>
            <w:pPr>
              <w:widowControl/>
              <w:jc w:val="left"/>
              <w:textAlignment w:val="bottom"/>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最高车速(km/h)</w:t>
            </w:r>
          </w:p>
        </w:tc>
        <w:tc>
          <w:tcPr>
            <w:tcW w:w="3382" w:type="dxa"/>
            <w:tcBorders>
              <w:top w:val="single" w:color="000000" w:sz="4" w:space="0"/>
              <w:left w:val="single" w:color="000000" w:sz="4" w:space="0"/>
              <w:bottom w:val="single" w:color="000000" w:sz="4" w:space="0"/>
            </w:tcBorders>
            <w:shd w:val="clear" w:color="auto" w:fill="FFFFFF"/>
            <w:vAlign w:val="center"/>
          </w:tcPr>
          <w:p>
            <w:pPr>
              <w:widowControl/>
              <w:jc w:val="center"/>
              <w:textAlignment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0"/>
                <w:sz w:val="24"/>
                <w:szCs w:val="24"/>
                <w:highlight w:val="none"/>
              </w:rPr>
              <w:t>≥</w:t>
            </w:r>
            <w:r>
              <w:rPr>
                <w:rFonts w:hint="eastAsia" w:ascii="仿宋" w:hAnsi="仿宋" w:eastAsia="仿宋" w:cs="仿宋"/>
                <w:color w:val="auto"/>
                <w:kern w:val="2"/>
                <w:sz w:val="24"/>
                <w:szCs w:val="24"/>
                <w:highlight w:val="none"/>
                <w:lang w:val="en-US" w:eastAsia="zh-CN" w:bidi="ar-SA"/>
              </w:rPr>
              <w:t>120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30" w:hRule="atLeast"/>
          <w:jc w:val="center"/>
        </w:trPr>
        <w:tc>
          <w:tcPr>
            <w:tcW w:w="1650" w:type="dxa"/>
            <w:vMerge w:val="continue"/>
            <w:tcBorders>
              <w:top w:val="single" w:color="auto" w:sz="4" w:space="0"/>
              <w:bottom w:val="single" w:color="auto" w:sz="4" w:space="0"/>
              <w:right w:val="single" w:color="auto" w:sz="4" w:space="0"/>
            </w:tcBorders>
            <w:shd w:val="clear" w:color="auto" w:fill="FFFFFF"/>
            <w:vAlign w:val="center"/>
          </w:tcPr>
          <w:p>
            <w:pPr>
              <w:jc w:val="center"/>
              <w:rPr>
                <w:rFonts w:hint="eastAsia" w:ascii="仿宋" w:hAnsi="仿宋" w:eastAsia="仿宋" w:cs="仿宋"/>
                <w:color w:val="auto"/>
                <w:kern w:val="2"/>
                <w:sz w:val="24"/>
                <w:szCs w:val="24"/>
                <w:highlight w:val="none"/>
                <w:lang w:val="en-US" w:eastAsia="zh-CN" w:bidi="ar-SA"/>
              </w:rPr>
            </w:pPr>
          </w:p>
        </w:tc>
        <w:tc>
          <w:tcPr>
            <w:tcW w:w="852" w:type="dxa"/>
            <w:vMerge w:val="continue"/>
            <w:tcBorders>
              <w:left w:val="single" w:color="auto" w:sz="4" w:space="0"/>
              <w:right w:val="single" w:color="000000" w:sz="4" w:space="0"/>
            </w:tcBorders>
            <w:shd w:val="clear" w:color="auto" w:fill="FFFFFF"/>
            <w:vAlign w:val="center"/>
          </w:tcPr>
          <w:p>
            <w:pPr>
              <w:jc w:val="center"/>
              <w:rPr>
                <w:rFonts w:hint="eastAsia" w:ascii="仿宋" w:hAnsi="仿宋" w:eastAsia="仿宋" w:cs="仿宋"/>
                <w:color w:val="auto"/>
                <w:kern w:val="2"/>
                <w:sz w:val="24"/>
                <w:szCs w:val="24"/>
                <w:highlight w:val="none"/>
                <w:lang w:val="en-US" w:eastAsia="zh-CN" w:bidi="ar-SA"/>
              </w:rPr>
            </w:pPr>
          </w:p>
        </w:tc>
        <w:tc>
          <w:tcPr>
            <w:tcW w:w="370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燃油形式</w:t>
            </w:r>
          </w:p>
        </w:tc>
        <w:tc>
          <w:tcPr>
            <w:tcW w:w="3382" w:type="dxa"/>
            <w:tcBorders>
              <w:top w:val="single" w:color="000000" w:sz="4" w:space="0"/>
              <w:left w:val="single" w:color="000000" w:sz="4" w:space="0"/>
              <w:bottom w:val="single" w:color="000000" w:sz="4" w:space="0"/>
            </w:tcBorders>
            <w:shd w:val="clear" w:color="auto" w:fill="FFFFFF"/>
            <w:vAlign w:val="center"/>
          </w:tcPr>
          <w:p>
            <w:pPr>
              <w:widowControl/>
              <w:jc w:val="center"/>
              <w:textAlignment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柴油</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30" w:hRule="atLeast"/>
          <w:jc w:val="center"/>
        </w:trPr>
        <w:tc>
          <w:tcPr>
            <w:tcW w:w="1650" w:type="dxa"/>
            <w:vMerge w:val="continue"/>
            <w:tcBorders>
              <w:top w:val="single" w:color="auto" w:sz="4" w:space="0"/>
              <w:bottom w:val="single" w:color="auto" w:sz="4" w:space="0"/>
              <w:right w:val="single" w:color="auto" w:sz="4" w:space="0"/>
            </w:tcBorders>
            <w:shd w:val="clear" w:color="auto" w:fill="FFFFFF"/>
            <w:vAlign w:val="center"/>
          </w:tcPr>
          <w:p>
            <w:pPr>
              <w:jc w:val="center"/>
              <w:rPr>
                <w:rFonts w:hint="eastAsia" w:ascii="仿宋" w:hAnsi="仿宋" w:eastAsia="仿宋" w:cs="仿宋"/>
                <w:color w:val="auto"/>
                <w:kern w:val="2"/>
                <w:sz w:val="24"/>
                <w:szCs w:val="24"/>
                <w:highlight w:val="none"/>
                <w:lang w:val="en-US" w:eastAsia="zh-CN" w:bidi="ar-SA"/>
              </w:rPr>
            </w:pPr>
          </w:p>
        </w:tc>
        <w:tc>
          <w:tcPr>
            <w:tcW w:w="852" w:type="dxa"/>
            <w:vMerge w:val="continue"/>
            <w:tcBorders>
              <w:left w:val="single" w:color="auto" w:sz="4" w:space="0"/>
              <w:right w:val="single" w:color="000000" w:sz="4" w:space="0"/>
            </w:tcBorders>
            <w:shd w:val="clear" w:color="auto" w:fill="FFFFFF"/>
            <w:vAlign w:val="center"/>
          </w:tcPr>
          <w:p>
            <w:pPr>
              <w:jc w:val="center"/>
              <w:rPr>
                <w:rFonts w:hint="eastAsia" w:ascii="仿宋" w:hAnsi="仿宋" w:eastAsia="仿宋" w:cs="仿宋"/>
                <w:color w:val="auto"/>
                <w:kern w:val="2"/>
                <w:sz w:val="24"/>
                <w:szCs w:val="24"/>
                <w:highlight w:val="none"/>
                <w:lang w:val="en-US" w:eastAsia="zh-CN" w:bidi="ar-SA"/>
              </w:rPr>
            </w:pPr>
          </w:p>
        </w:tc>
        <w:tc>
          <w:tcPr>
            <w:tcW w:w="370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排量(mL)</w:t>
            </w:r>
          </w:p>
        </w:tc>
        <w:tc>
          <w:tcPr>
            <w:tcW w:w="3382" w:type="dxa"/>
            <w:tcBorders>
              <w:top w:val="single" w:color="000000" w:sz="4" w:space="0"/>
              <w:left w:val="single" w:color="000000" w:sz="4" w:space="0"/>
              <w:bottom w:val="single" w:color="000000" w:sz="4" w:space="0"/>
            </w:tcBorders>
            <w:shd w:val="clear" w:color="auto" w:fill="FFFFFF"/>
            <w:vAlign w:val="center"/>
          </w:tcPr>
          <w:p>
            <w:pPr>
              <w:widowControl/>
              <w:jc w:val="center"/>
              <w:textAlignment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0"/>
                <w:sz w:val="24"/>
                <w:szCs w:val="24"/>
                <w:highlight w:val="none"/>
              </w:rPr>
              <w:t>≥</w:t>
            </w:r>
            <w:r>
              <w:rPr>
                <w:rFonts w:hint="eastAsia" w:ascii="仿宋" w:hAnsi="仿宋" w:eastAsia="仿宋" w:cs="仿宋"/>
                <w:color w:val="auto"/>
                <w:kern w:val="2"/>
                <w:sz w:val="24"/>
                <w:szCs w:val="24"/>
                <w:highlight w:val="none"/>
                <w:lang w:val="en-US" w:eastAsia="zh-CN" w:bidi="ar-SA"/>
              </w:rPr>
              <w:t>2298</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30" w:hRule="atLeast"/>
          <w:jc w:val="center"/>
        </w:trPr>
        <w:tc>
          <w:tcPr>
            <w:tcW w:w="1650" w:type="dxa"/>
            <w:vMerge w:val="continue"/>
            <w:tcBorders>
              <w:top w:val="single" w:color="auto" w:sz="4" w:space="0"/>
              <w:bottom w:val="single" w:color="auto" w:sz="4" w:space="0"/>
              <w:right w:val="single" w:color="auto" w:sz="4" w:space="0"/>
            </w:tcBorders>
            <w:shd w:val="clear" w:color="auto" w:fill="FFFFFF"/>
            <w:vAlign w:val="center"/>
          </w:tcPr>
          <w:p>
            <w:pPr>
              <w:jc w:val="center"/>
              <w:rPr>
                <w:rFonts w:hint="eastAsia" w:ascii="仿宋" w:hAnsi="仿宋" w:eastAsia="仿宋" w:cs="仿宋"/>
                <w:color w:val="auto"/>
                <w:kern w:val="2"/>
                <w:sz w:val="24"/>
                <w:szCs w:val="24"/>
                <w:highlight w:val="none"/>
                <w:lang w:val="en-US" w:eastAsia="zh-CN" w:bidi="ar-SA"/>
              </w:rPr>
            </w:pPr>
          </w:p>
        </w:tc>
        <w:tc>
          <w:tcPr>
            <w:tcW w:w="852" w:type="dxa"/>
            <w:vMerge w:val="continue"/>
            <w:tcBorders>
              <w:left w:val="single" w:color="auto" w:sz="4" w:space="0"/>
              <w:right w:val="single" w:color="000000" w:sz="4" w:space="0"/>
            </w:tcBorders>
            <w:shd w:val="clear" w:color="auto" w:fill="FFFFFF"/>
            <w:vAlign w:val="center"/>
          </w:tcPr>
          <w:p>
            <w:pPr>
              <w:jc w:val="center"/>
              <w:rPr>
                <w:rFonts w:hint="eastAsia" w:ascii="仿宋" w:hAnsi="仿宋" w:eastAsia="仿宋" w:cs="仿宋"/>
                <w:color w:val="auto"/>
                <w:kern w:val="2"/>
                <w:sz w:val="24"/>
                <w:szCs w:val="24"/>
                <w:highlight w:val="none"/>
                <w:lang w:val="en-US" w:eastAsia="zh-CN" w:bidi="ar-SA"/>
              </w:rPr>
            </w:pPr>
          </w:p>
        </w:tc>
        <w:tc>
          <w:tcPr>
            <w:tcW w:w="370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最大功率(Kw)</w:t>
            </w:r>
          </w:p>
        </w:tc>
        <w:tc>
          <w:tcPr>
            <w:tcW w:w="3382" w:type="dxa"/>
            <w:tcBorders>
              <w:top w:val="single" w:color="000000" w:sz="4" w:space="0"/>
              <w:left w:val="single" w:color="000000" w:sz="4" w:space="0"/>
              <w:bottom w:val="single" w:color="000000" w:sz="4" w:space="0"/>
            </w:tcBorders>
            <w:shd w:val="clear" w:color="auto" w:fill="FFFFFF"/>
            <w:vAlign w:val="center"/>
          </w:tcPr>
          <w:p>
            <w:pPr>
              <w:widowControl/>
              <w:jc w:val="center"/>
              <w:textAlignment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0"/>
                <w:sz w:val="24"/>
                <w:szCs w:val="24"/>
                <w:highlight w:val="none"/>
              </w:rPr>
              <w:t>≥</w:t>
            </w:r>
            <w:r>
              <w:rPr>
                <w:rFonts w:hint="eastAsia" w:ascii="仿宋" w:hAnsi="仿宋" w:eastAsia="仿宋" w:cs="仿宋"/>
                <w:color w:val="auto"/>
                <w:kern w:val="2"/>
                <w:sz w:val="24"/>
                <w:szCs w:val="24"/>
                <w:highlight w:val="none"/>
                <w:lang w:val="en-US" w:eastAsia="zh-CN" w:bidi="ar-SA"/>
              </w:rPr>
              <w:t>120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30" w:hRule="atLeast"/>
          <w:jc w:val="center"/>
        </w:trPr>
        <w:tc>
          <w:tcPr>
            <w:tcW w:w="1650" w:type="dxa"/>
            <w:vMerge w:val="continue"/>
            <w:tcBorders>
              <w:top w:val="single" w:color="auto" w:sz="4" w:space="0"/>
              <w:bottom w:val="single" w:color="auto" w:sz="4" w:space="0"/>
              <w:right w:val="single" w:color="auto" w:sz="4" w:space="0"/>
            </w:tcBorders>
            <w:shd w:val="clear" w:color="auto" w:fill="FFFFFF"/>
            <w:vAlign w:val="center"/>
          </w:tcPr>
          <w:p>
            <w:pPr>
              <w:jc w:val="center"/>
              <w:rPr>
                <w:rFonts w:hint="eastAsia" w:ascii="仿宋" w:hAnsi="仿宋" w:eastAsia="仿宋" w:cs="仿宋"/>
                <w:color w:val="auto"/>
                <w:kern w:val="2"/>
                <w:sz w:val="24"/>
                <w:szCs w:val="24"/>
                <w:highlight w:val="none"/>
                <w:lang w:val="en-US" w:eastAsia="zh-CN" w:bidi="ar-SA"/>
              </w:rPr>
            </w:pPr>
          </w:p>
        </w:tc>
        <w:tc>
          <w:tcPr>
            <w:tcW w:w="852" w:type="dxa"/>
            <w:vMerge w:val="continue"/>
            <w:tcBorders>
              <w:left w:val="single" w:color="auto" w:sz="4" w:space="0"/>
              <w:right w:val="single" w:color="000000" w:sz="4" w:space="0"/>
            </w:tcBorders>
            <w:shd w:val="clear" w:color="auto" w:fill="FFFFFF"/>
            <w:vAlign w:val="center"/>
          </w:tcPr>
          <w:p>
            <w:pPr>
              <w:jc w:val="center"/>
              <w:rPr>
                <w:rFonts w:hint="eastAsia" w:ascii="仿宋" w:hAnsi="仿宋" w:eastAsia="仿宋" w:cs="仿宋"/>
                <w:color w:val="auto"/>
                <w:kern w:val="2"/>
                <w:sz w:val="24"/>
                <w:szCs w:val="24"/>
                <w:highlight w:val="none"/>
                <w:lang w:val="en-US" w:eastAsia="zh-CN" w:bidi="ar-SA"/>
              </w:rPr>
            </w:pPr>
          </w:p>
        </w:tc>
        <w:tc>
          <w:tcPr>
            <w:tcW w:w="370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最大扭矩(Nm)</w:t>
            </w:r>
          </w:p>
        </w:tc>
        <w:tc>
          <w:tcPr>
            <w:tcW w:w="3382" w:type="dxa"/>
            <w:tcBorders>
              <w:top w:val="single" w:color="000000" w:sz="4" w:space="0"/>
              <w:left w:val="single" w:color="000000" w:sz="4" w:space="0"/>
              <w:bottom w:val="single" w:color="000000" w:sz="4" w:space="0"/>
            </w:tcBorders>
            <w:shd w:val="clear" w:color="auto" w:fill="FFFFFF"/>
            <w:vAlign w:val="center"/>
          </w:tcPr>
          <w:p>
            <w:pPr>
              <w:widowControl/>
              <w:jc w:val="center"/>
              <w:textAlignment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0"/>
                <w:sz w:val="24"/>
                <w:szCs w:val="24"/>
                <w:highlight w:val="none"/>
              </w:rPr>
              <w:t>≥</w:t>
            </w:r>
            <w:r>
              <w:rPr>
                <w:rFonts w:hint="eastAsia" w:ascii="仿宋" w:hAnsi="仿宋" w:eastAsia="仿宋" w:cs="仿宋"/>
                <w:color w:val="auto"/>
                <w:kern w:val="2"/>
                <w:sz w:val="24"/>
                <w:szCs w:val="24"/>
                <w:highlight w:val="none"/>
                <w:lang w:val="en-US" w:eastAsia="zh-CN" w:bidi="ar-SA"/>
              </w:rPr>
              <w:t>380</w:t>
            </w:r>
          </w:p>
        </w:tc>
      </w:tr>
    </w:tbl>
    <w:p>
      <w:pPr>
        <w:pStyle w:val="2"/>
        <w:ind w:left="0" w:leftChars="0" w:firstLine="0" w:firstLineChars="0"/>
        <w:rPr>
          <w:rFonts w:hint="eastAsia" w:ascii="仿宋" w:hAnsi="仿宋" w:eastAsia="仿宋" w:cs="仿宋"/>
          <w:color w:val="auto"/>
          <w:sz w:val="24"/>
          <w:szCs w:val="24"/>
          <w:highlight w:val="none"/>
        </w:rPr>
      </w:pPr>
    </w:p>
    <w:p>
      <w:pPr>
        <w:numPr>
          <w:ilvl w:val="0"/>
          <w:numId w:val="7"/>
        </w:numPr>
        <w:snapToGrid/>
        <w:spacing w:before="0" w:beforeAutospacing="0" w:after="0" w:afterAutospacing="0" w:line="240" w:lineRule="auto"/>
        <w:ind w:left="1140" w:leftChars="0" w:firstLineChars="0"/>
        <w:jc w:val="both"/>
        <w:textAlignment w:val="baseline"/>
        <w:rPr>
          <w:rFonts w:hint="eastAsia" w:ascii="仿宋" w:hAnsi="仿宋" w:eastAsia="仿宋" w:cs="仿宋"/>
          <w:b/>
          <w:i w:val="0"/>
          <w:caps w:val="0"/>
          <w:color w:val="auto"/>
          <w:spacing w:val="0"/>
          <w:w w:val="100"/>
          <w:sz w:val="24"/>
          <w:szCs w:val="24"/>
          <w:highlight w:val="none"/>
        </w:rPr>
      </w:pPr>
      <w:r>
        <w:rPr>
          <w:rFonts w:hint="eastAsia" w:ascii="仿宋" w:hAnsi="仿宋" w:eastAsia="仿宋" w:cs="仿宋"/>
          <w:b/>
          <w:i w:val="0"/>
          <w:caps w:val="0"/>
          <w:color w:val="auto"/>
          <w:spacing w:val="0"/>
          <w:w w:val="100"/>
          <w:sz w:val="24"/>
          <w:szCs w:val="24"/>
          <w:highlight w:val="none"/>
        </w:rPr>
        <w:t>整车</w:t>
      </w:r>
    </w:p>
    <w:p>
      <w:pPr>
        <w:numPr>
          <w:ilvl w:val="0"/>
          <w:numId w:val="8"/>
        </w:numPr>
        <w:tabs>
          <w:tab w:val="left" w:pos="1080"/>
        </w:tabs>
        <w:snapToGrid/>
        <w:spacing w:before="0" w:beforeAutospacing="0" w:after="0" w:afterAutospacing="0" w:line="240" w:lineRule="auto"/>
        <w:jc w:val="both"/>
        <w:textAlignment w:val="baseline"/>
        <w:rPr>
          <w:rFonts w:hint="eastAsia" w:ascii="仿宋" w:hAnsi="仿宋" w:eastAsia="仿宋" w:cs="仿宋"/>
          <w:b w:val="0"/>
          <w:i w:val="0"/>
          <w:caps w:val="0"/>
          <w:color w:val="auto"/>
          <w:spacing w:val="0"/>
          <w:w w:val="100"/>
          <w:sz w:val="24"/>
          <w:szCs w:val="24"/>
          <w:highlight w:val="none"/>
        </w:rPr>
      </w:pPr>
      <w:r>
        <w:rPr>
          <w:rFonts w:hint="eastAsia" w:ascii="仿宋" w:hAnsi="仿宋" w:eastAsia="仿宋" w:cs="仿宋"/>
          <w:b w:val="0"/>
          <w:i w:val="0"/>
          <w:caps w:val="0"/>
          <w:color w:val="auto"/>
          <w:spacing w:val="0"/>
          <w:w w:val="100"/>
          <w:sz w:val="24"/>
          <w:szCs w:val="24"/>
          <w:highlight w:val="none"/>
        </w:rPr>
        <w:t xml:space="preserve">乘员人数： </w:t>
      </w:r>
      <w:r>
        <w:rPr>
          <w:rFonts w:hint="eastAsia" w:ascii="仿宋" w:hAnsi="仿宋" w:eastAsia="仿宋" w:cs="仿宋"/>
          <w:b w:val="0"/>
          <w:i w:val="0"/>
          <w:caps w:val="0"/>
          <w:color w:val="auto"/>
          <w:spacing w:val="0"/>
          <w:w w:val="100"/>
          <w:sz w:val="24"/>
          <w:szCs w:val="24"/>
          <w:highlight w:val="none"/>
          <w:lang w:val="en-US" w:eastAsia="zh-CN"/>
        </w:rPr>
        <w:t>2+</w:t>
      </w:r>
      <w:r>
        <w:rPr>
          <w:rFonts w:hint="eastAsia" w:ascii="仿宋" w:hAnsi="仿宋" w:eastAsia="仿宋" w:cs="仿宋"/>
          <w:b w:val="0"/>
          <w:i w:val="0"/>
          <w:caps w:val="0"/>
          <w:color w:val="auto"/>
          <w:spacing w:val="0"/>
          <w:w w:val="100"/>
          <w:sz w:val="24"/>
          <w:szCs w:val="24"/>
          <w:highlight w:val="none"/>
        </w:rPr>
        <w:t>3</w:t>
      </w:r>
    </w:p>
    <w:p>
      <w:pPr>
        <w:numPr>
          <w:ilvl w:val="0"/>
          <w:numId w:val="8"/>
        </w:numPr>
        <w:tabs>
          <w:tab w:val="left" w:pos="1080"/>
        </w:tabs>
        <w:snapToGrid/>
        <w:spacing w:before="0" w:beforeAutospacing="0" w:after="0" w:afterAutospacing="0" w:line="240" w:lineRule="auto"/>
        <w:jc w:val="both"/>
        <w:textAlignment w:val="baseline"/>
        <w:rPr>
          <w:rFonts w:hint="eastAsia" w:ascii="仿宋" w:hAnsi="仿宋" w:eastAsia="仿宋" w:cs="仿宋"/>
          <w:b w:val="0"/>
          <w:i w:val="0"/>
          <w:caps w:val="0"/>
          <w:color w:val="auto"/>
          <w:spacing w:val="0"/>
          <w:w w:val="100"/>
          <w:sz w:val="24"/>
          <w:szCs w:val="24"/>
          <w:highlight w:val="none"/>
        </w:rPr>
      </w:pPr>
      <w:r>
        <w:rPr>
          <w:rFonts w:hint="eastAsia" w:ascii="仿宋" w:hAnsi="仿宋" w:eastAsia="仿宋" w:cs="仿宋"/>
          <w:b w:val="0"/>
          <w:i w:val="0"/>
          <w:caps w:val="0"/>
          <w:color w:val="auto"/>
          <w:spacing w:val="0"/>
          <w:w w:val="100"/>
          <w:sz w:val="24"/>
          <w:szCs w:val="24"/>
          <w:highlight w:val="none"/>
        </w:rPr>
        <w:t>水罐容积</w:t>
      </w:r>
      <w:r>
        <w:rPr>
          <w:rFonts w:hint="eastAsia" w:ascii="仿宋" w:hAnsi="仿宋" w:eastAsia="仿宋" w:cs="仿宋"/>
          <w:b w:val="0"/>
          <w:i w:val="0"/>
          <w:caps w:val="0"/>
          <w:color w:val="auto"/>
          <w:spacing w:val="0"/>
          <w:w w:val="100"/>
          <w:sz w:val="24"/>
          <w:szCs w:val="24"/>
          <w:highlight w:val="none"/>
          <w:lang w:val="en-US" w:eastAsia="zh-CN"/>
        </w:rPr>
        <w:t>: 800</w:t>
      </w:r>
      <w:r>
        <w:rPr>
          <w:rFonts w:hint="eastAsia" w:ascii="仿宋" w:hAnsi="仿宋" w:eastAsia="仿宋" w:cs="仿宋"/>
          <w:b w:val="0"/>
          <w:i w:val="0"/>
          <w:caps w:val="0"/>
          <w:color w:val="auto"/>
          <w:spacing w:val="0"/>
          <w:w w:val="100"/>
          <w:sz w:val="24"/>
          <w:szCs w:val="24"/>
          <w:highlight w:val="none"/>
        </w:rPr>
        <w:t xml:space="preserve"> L</w:t>
      </w:r>
    </w:p>
    <w:p>
      <w:pPr>
        <w:numPr>
          <w:ilvl w:val="0"/>
          <w:numId w:val="8"/>
        </w:numPr>
        <w:tabs>
          <w:tab w:val="left" w:pos="1080"/>
        </w:tabs>
        <w:snapToGrid/>
        <w:spacing w:before="0" w:beforeAutospacing="0" w:after="0" w:afterAutospacing="0" w:line="240" w:lineRule="auto"/>
        <w:jc w:val="both"/>
        <w:textAlignment w:val="baseline"/>
        <w:rPr>
          <w:rFonts w:hint="eastAsia" w:ascii="仿宋" w:hAnsi="仿宋" w:eastAsia="仿宋" w:cs="仿宋"/>
          <w:b w:val="0"/>
          <w:i w:val="0"/>
          <w:caps w:val="0"/>
          <w:color w:val="auto"/>
          <w:spacing w:val="0"/>
          <w:w w:val="100"/>
          <w:sz w:val="24"/>
          <w:szCs w:val="24"/>
          <w:highlight w:val="none"/>
        </w:rPr>
      </w:pPr>
      <w:r>
        <w:rPr>
          <w:rFonts w:hint="eastAsia" w:ascii="仿宋" w:hAnsi="仿宋" w:eastAsia="仿宋" w:cs="仿宋"/>
          <w:b w:val="0"/>
          <w:i w:val="0"/>
          <w:caps w:val="0"/>
          <w:color w:val="auto"/>
          <w:spacing w:val="0"/>
          <w:w w:val="100"/>
          <w:sz w:val="24"/>
          <w:szCs w:val="24"/>
          <w:highlight w:val="none"/>
          <w:lang w:val="en-US" w:eastAsia="zh-CN"/>
        </w:rPr>
        <w:t>细水雾装置额定</w:t>
      </w:r>
      <w:r>
        <w:rPr>
          <w:rFonts w:hint="eastAsia" w:ascii="仿宋" w:hAnsi="仿宋" w:eastAsia="仿宋" w:cs="仿宋"/>
          <w:b w:val="0"/>
          <w:i w:val="0"/>
          <w:caps w:val="0"/>
          <w:color w:val="auto"/>
          <w:spacing w:val="0"/>
          <w:w w:val="100"/>
          <w:sz w:val="24"/>
          <w:szCs w:val="24"/>
          <w:highlight w:val="none"/>
        </w:rPr>
        <w:t>流</w:t>
      </w:r>
      <w:r>
        <w:rPr>
          <w:rFonts w:hint="eastAsia" w:ascii="仿宋" w:hAnsi="仿宋" w:eastAsia="仿宋" w:cs="仿宋"/>
          <w:b w:val="0"/>
          <w:i w:val="0"/>
          <w:caps w:val="0"/>
          <w:color w:val="auto"/>
          <w:spacing w:val="0"/>
          <w:w w:val="100"/>
          <w:sz w:val="24"/>
          <w:szCs w:val="24"/>
          <w:highlight w:val="none"/>
          <w:lang w:val="en-US" w:eastAsia="zh-CN"/>
        </w:rPr>
        <w:t>量: 0.42L/S</w:t>
      </w:r>
    </w:p>
    <w:p>
      <w:pPr>
        <w:numPr>
          <w:ilvl w:val="0"/>
          <w:numId w:val="8"/>
        </w:numPr>
        <w:tabs>
          <w:tab w:val="left" w:pos="1080"/>
        </w:tabs>
        <w:snapToGrid/>
        <w:spacing w:before="0" w:beforeAutospacing="0" w:after="0" w:afterAutospacing="0" w:line="240" w:lineRule="auto"/>
        <w:jc w:val="both"/>
        <w:textAlignment w:val="baseline"/>
        <w:rPr>
          <w:rFonts w:hint="eastAsia" w:ascii="仿宋" w:hAnsi="仿宋" w:eastAsia="仿宋" w:cs="仿宋"/>
          <w:b w:val="0"/>
          <w:i w:val="0"/>
          <w:caps w:val="0"/>
          <w:color w:val="auto"/>
          <w:spacing w:val="0"/>
          <w:w w:val="100"/>
          <w:sz w:val="24"/>
          <w:szCs w:val="24"/>
          <w:highlight w:val="none"/>
        </w:rPr>
      </w:pPr>
      <w:r>
        <w:rPr>
          <w:rFonts w:hint="eastAsia" w:ascii="仿宋" w:hAnsi="仿宋" w:eastAsia="仿宋" w:cs="仿宋"/>
          <w:b w:val="0"/>
          <w:i w:val="0"/>
          <w:caps w:val="0"/>
          <w:color w:val="auto"/>
          <w:spacing w:val="0"/>
          <w:w w:val="100"/>
          <w:sz w:val="24"/>
          <w:szCs w:val="24"/>
          <w:highlight w:val="none"/>
          <w:lang w:val="en-US" w:eastAsia="zh-CN"/>
        </w:rPr>
        <w:t>直流喷射距离: 15</w:t>
      </w:r>
      <w:r>
        <w:rPr>
          <w:rFonts w:hint="eastAsia" w:ascii="仿宋" w:hAnsi="仿宋" w:eastAsia="仿宋" w:cs="仿宋"/>
          <w:b w:val="0"/>
          <w:i w:val="0"/>
          <w:caps w:val="0"/>
          <w:color w:val="auto"/>
          <w:spacing w:val="0"/>
          <w:w w:val="100"/>
          <w:sz w:val="24"/>
          <w:szCs w:val="24"/>
          <w:highlight w:val="none"/>
        </w:rPr>
        <w:t>m。</w:t>
      </w:r>
    </w:p>
    <w:p>
      <w:pPr>
        <w:numPr>
          <w:ilvl w:val="0"/>
          <w:numId w:val="7"/>
        </w:numPr>
        <w:snapToGrid/>
        <w:spacing w:before="0" w:beforeAutospacing="0" w:after="0" w:afterAutospacing="0" w:line="240" w:lineRule="auto"/>
        <w:ind w:left="1140" w:leftChars="0" w:firstLineChars="0"/>
        <w:jc w:val="both"/>
        <w:textAlignment w:val="baseline"/>
        <w:rPr>
          <w:rFonts w:hint="eastAsia" w:ascii="仿宋" w:hAnsi="仿宋" w:eastAsia="仿宋" w:cs="仿宋"/>
          <w:b/>
          <w:i w:val="0"/>
          <w:caps w:val="0"/>
          <w:color w:val="auto"/>
          <w:spacing w:val="0"/>
          <w:w w:val="100"/>
          <w:sz w:val="24"/>
          <w:szCs w:val="24"/>
          <w:highlight w:val="none"/>
        </w:rPr>
      </w:pPr>
      <w:r>
        <w:rPr>
          <w:rFonts w:hint="eastAsia" w:ascii="仿宋" w:hAnsi="仿宋" w:eastAsia="仿宋" w:cs="仿宋"/>
          <w:b/>
          <w:i w:val="0"/>
          <w:caps w:val="0"/>
          <w:color w:val="auto"/>
          <w:spacing w:val="0"/>
          <w:w w:val="100"/>
          <w:sz w:val="24"/>
          <w:szCs w:val="24"/>
          <w:highlight w:val="none"/>
        </w:rPr>
        <w:t>底盘</w:t>
      </w:r>
    </w:p>
    <w:p>
      <w:pPr>
        <w:numPr>
          <w:ilvl w:val="0"/>
          <w:numId w:val="9"/>
        </w:numPr>
        <w:tabs>
          <w:tab w:val="left" w:pos="1080"/>
        </w:tabs>
        <w:snapToGrid/>
        <w:spacing w:before="0" w:beforeAutospacing="0" w:after="0" w:afterAutospacing="0" w:line="240" w:lineRule="auto"/>
        <w:ind w:left="70" w:leftChars="0" w:firstLine="560" w:firstLineChars="0"/>
        <w:jc w:val="both"/>
        <w:textAlignment w:val="baseline"/>
        <w:rPr>
          <w:rFonts w:hint="eastAsia" w:ascii="仿宋" w:hAnsi="仿宋" w:eastAsia="仿宋" w:cs="仿宋"/>
          <w:b w:val="0"/>
          <w:i w:val="0"/>
          <w:caps w:val="0"/>
          <w:color w:val="auto"/>
          <w:spacing w:val="0"/>
          <w:w w:val="100"/>
          <w:sz w:val="24"/>
          <w:szCs w:val="24"/>
          <w:highlight w:val="none"/>
        </w:rPr>
      </w:pPr>
      <w:r>
        <w:rPr>
          <w:rFonts w:hint="eastAsia" w:ascii="仿宋" w:hAnsi="仿宋" w:eastAsia="仿宋" w:cs="仿宋"/>
          <w:b w:val="0"/>
          <w:i w:val="0"/>
          <w:caps w:val="0"/>
          <w:color w:val="auto"/>
          <w:spacing w:val="0"/>
          <w:w w:val="100"/>
          <w:sz w:val="24"/>
          <w:szCs w:val="24"/>
          <w:highlight w:val="none"/>
        </w:rPr>
        <w:t>驱动型式：4×</w:t>
      </w:r>
      <w:r>
        <w:rPr>
          <w:rFonts w:hint="eastAsia" w:ascii="仿宋" w:hAnsi="仿宋" w:eastAsia="仿宋" w:cs="仿宋"/>
          <w:b w:val="0"/>
          <w:i w:val="0"/>
          <w:caps w:val="0"/>
          <w:color w:val="auto"/>
          <w:spacing w:val="0"/>
          <w:w w:val="100"/>
          <w:sz w:val="24"/>
          <w:szCs w:val="24"/>
          <w:highlight w:val="none"/>
          <w:lang w:val="en-US" w:eastAsia="zh-CN"/>
        </w:rPr>
        <w:t>4</w:t>
      </w:r>
    </w:p>
    <w:p>
      <w:pPr>
        <w:numPr>
          <w:ilvl w:val="0"/>
          <w:numId w:val="0"/>
        </w:numPr>
        <w:tabs>
          <w:tab w:val="left" w:pos="1080"/>
        </w:tabs>
        <w:snapToGrid/>
        <w:spacing w:before="0" w:beforeAutospacing="0" w:after="0" w:afterAutospacing="0" w:line="240" w:lineRule="auto"/>
        <w:ind w:left="630" w:leftChars="0"/>
        <w:jc w:val="both"/>
        <w:textAlignment w:val="baseline"/>
        <w:rPr>
          <w:rFonts w:hint="eastAsia" w:ascii="仿宋" w:hAnsi="仿宋" w:eastAsia="仿宋" w:cs="仿宋"/>
          <w:b w:val="0"/>
          <w:i w:val="0"/>
          <w:caps w:val="0"/>
          <w:color w:val="auto"/>
          <w:spacing w:val="0"/>
          <w:w w:val="100"/>
          <w:sz w:val="24"/>
          <w:szCs w:val="24"/>
          <w:highlight w:val="none"/>
        </w:rPr>
      </w:pPr>
      <w:r>
        <w:rPr>
          <w:rFonts w:hint="eastAsia" w:ascii="仿宋" w:hAnsi="仿宋" w:eastAsia="仿宋" w:cs="仿宋"/>
          <w:b w:val="0"/>
          <w:i w:val="0"/>
          <w:caps w:val="0"/>
          <w:color w:val="auto"/>
          <w:spacing w:val="0"/>
          <w:w w:val="100"/>
          <w:sz w:val="24"/>
          <w:szCs w:val="24"/>
          <w:highlight w:val="none"/>
          <w:lang w:val="en-US" w:eastAsia="zh-CN"/>
        </w:rPr>
        <w:t xml:space="preserve">2. </w:t>
      </w:r>
      <w:r>
        <w:rPr>
          <w:rFonts w:hint="eastAsia" w:ascii="仿宋" w:hAnsi="仿宋" w:eastAsia="仿宋" w:cs="仿宋"/>
          <w:b w:val="0"/>
          <w:i w:val="0"/>
          <w:caps w:val="0"/>
          <w:color w:val="auto"/>
          <w:spacing w:val="0"/>
          <w:w w:val="100"/>
          <w:sz w:val="24"/>
          <w:szCs w:val="24"/>
          <w:highlight w:val="none"/>
        </w:rPr>
        <w:t>发动机：</w:t>
      </w:r>
    </w:p>
    <w:p>
      <w:pPr>
        <w:numPr>
          <w:ilvl w:val="0"/>
          <w:numId w:val="0"/>
        </w:numPr>
        <w:tabs>
          <w:tab w:val="left" w:pos="1080"/>
        </w:tabs>
        <w:snapToGrid/>
        <w:spacing w:before="0" w:beforeAutospacing="0" w:after="0" w:afterAutospacing="0" w:line="240" w:lineRule="auto"/>
        <w:ind w:left="840" w:leftChars="0"/>
        <w:jc w:val="both"/>
        <w:textAlignment w:val="baseline"/>
        <w:rPr>
          <w:rFonts w:hint="eastAsia" w:ascii="仿宋" w:hAnsi="仿宋" w:eastAsia="仿宋" w:cs="仿宋"/>
          <w:b w:val="0"/>
          <w:i w:val="0"/>
          <w:caps w:val="0"/>
          <w:color w:val="auto"/>
          <w:spacing w:val="0"/>
          <w:w w:val="100"/>
          <w:sz w:val="24"/>
          <w:szCs w:val="24"/>
          <w:highlight w:val="none"/>
        </w:rPr>
      </w:pPr>
      <w:r>
        <w:rPr>
          <w:rFonts w:hint="eastAsia" w:ascii="仿宋" w:hAnsi="仿宋" w:eastAsia="仿宋" w:cs="仿宋"/>
          <w:b w:val="0"/>
          <w:i w:val="0"/>
          <w:caps w:val="0"/>
          <w:color w:val="auto"/>
          <w:spacing w:val="0"/>
          <w:w w:val="100"/>
          <w:sz w:val="24"/>
          <w:szCs w:val="24"/>
          <w:highlight w:val="none"/>
        </w:rPr>
        <w:t>额定输出功率为：1</w:t>
      </w:r>
      <w:r>
        <w:rPr>
          <w:rFonts w:hint="eastAsia" w:ascii="仿宋" w:hAnsi="仿宋" w:eastAsia="仿宋" w:cs="仿宋"/>
          <w:b w:val="0"/>
          <w:i w:val="0"/>
          <w:caps w:val="0"/>
          <w:color w:val="auto"/>
          <w:spacing w:val="0"/>
          <w:w w:val="100"/>
          <w:sz w:val="24"/>
          <w:szCs w:val="24"/>
          <w:highlight w:val="none"/>
          <w:lang w:val="en-US" w:eastAsia="zh-CN"/>
        </w:rPr>
        <w:t>40</w:t>
      </w:r>
      <w:r>
        <w:rPr>
          <w:rFonts w:hint="eastAsia" w:ascii="仿宋" w:hAnsi="仿宋" w:eastAsia="仿宋" w:cs="仿宋"/>
          <w:b w:val="0"/>
          <w:i w:val="0"/>
          <w:caps w:val="0"/>
          <w:color w:val="auto"/>
          <w:spacing w:val="0"/>
          <w:w w:val="100"/>
          <w:sz w:val="24"/>
          <w:szCs w:val="24"/>
          <w:highlight w:val="none"/>
        </w:rPr>
        <w:t>KW</w:t>
      </w:r>
    </w:p>
    <w:p>
      <w:pPr>
        <w:numPr>
          <w:ilvl w:val="0"/>
          <w:numId w:val="0"/>
        </w:numPr>
        <w:tabs>
          <w:tab w:val="left" w:pos="1080"/>
        </w:tabs>
        <w:snapToGrid/>
        <w:spacing w:before="0" w:beforeAutospacing="0" w:after="0" w:afterAutospacing="0" w:line="240" w:lineRule="auto"/>
        <w:ind w:left="840" w:leftChars="0"/>
        <w:jc w:val="both"/>
        <w:textAlignment w:val="baseline"/>
        <w:rPr>
          <w:rFonts w:hint="eastAsia" w:ascii="仿宋" w:hAnsi="仿宋" w:eastAsia="仿宋" w:cs="仿宋"/>
          <w:b w:val="0"/>
          <w:i w:val="0"/>
          <w:caps w:val="0"/>
          <w:color w:val="auto"/>
          <w:spacing w:val="0"/>
          <w:w w:val="100"/>
          <w:sz w:val="24"/>
          <w:szCs w:val="24"/>
          <w:highlight w:val="none"/>
        </w:rPr>
      </w:pPr>
      <w:r>
        <w:rPr>
          <w:rFonts w:hint="eastAsia" w:ascii="仿宋" w:hAnsi="仿宋" w:eastAsia="仿宋" w:cs="仿宋"/>
          <w:b w:val="0"/>
          <w:i w:val="0"/>
          <w:caps w:val="0"/>
          <w:color w:val="auto"/>
          <w:spacing w:val="0"/>
          <w:w w:val="100"/>
          <w:sz w:val="24"/>
          <w:szCs w:val="24"/>
          <w:highlight w:val="none"/>
        </w:rPr>
        <w:t>排放标准：国</w:t>
      </w:r>
      <w:r>
        <w:rPr>
          <w:rFonts w:hint="eastAsia" w:ascii="仿宋" w:hAnsi="仿宋" w:eastAsia="仿宋" w:cs="仿宋"/>
          <w:b w:val="0"/>
          <w:i w:val="0"/>
          <w:caps w:val="0"/>
          <w:color w:val="auto"/>
          <w:spacing w:val="0"/>
          <w:w w:val="100"/>
          <w:sz w:val="24"/>
          <w:szCs w:val="24"/>
          <w:highlight w:val="none"/>
          <w:lang w:eastAsia="zh-CN"/>
        </w:rPr>
        <w:t>Ⅵ</w:t>
      </w:r>
    </w:p>
    <w:p>
      <w:pPr>
        <w:tabs>
          <w:tab w:val="left" w:pos="1080"/>
        </w:tabs>
        <w:snapToGrid/>
        <w:spacing w:before="0" w:beforeAutospacing="0" w:after="0" w:afterAutospacing="0" w:line="240" w:lineRule="auto"/>
        <w:ind w:left="0" w:leftChars="0" w:firstLine="480" w:firstLineChars="200"/>
        <w:jc w:val="both"/>
        <w:textAlignment w:val="baseline"/>
        <w:rPr>
          <w:rFonts w:hint="eastAsia" w:ascii="仿宋" w:hAnsi="仿宋" w:eastAsia="仿宋" w:cs="仿宋"/>
          <w:b w:val="0"/>
          <w:i w:val="0"/>
          <w:caps w:val="0"/>
          <w:color w:val="auto"/>
          <w:spacing w:val="0"/>
          <w:w w:val="100"/>
          <w:sz w:val="24"/>
          <w:szCs w:val="24"/>
          <w:highlight w:val="none"/>
        </w:rPr>
      </w:pPr>
      <w:r>
        <w:rPr>
          <w:rFonts w:hint="eastAsia" w:ascii="仿宋" w:hAnsi="仿宋" w:eastAsia="仿宋" w:cs="仿宋"/>
          <w:b w:val="0"/>
          <w:i w:val="0"/>
          <w:caps w:val="0"/>
          <w:color w:val="auto"/>
          <w:spacing w:val="0"/>
          <w:w w:val="100"/>
          <w:sz w:val="24"/>
          <w:szCs w:val="24"/>
          <w:highlight w:val="none"/>
          <w:lang w:val="en-US" w:eastAsia="zh-CN"/>
        </w:rPr>
        <w:t>3.</w:t>
      </w:r>
      <w:r>
        <w:rPr>
          <w:rFonts w:hint="eastAsia" w:ascii="仿宋" w:hAnsi="仿宋" w:eastAsia="仿宋" w:cs="仿宋"/>
          <w:b w:val="0"/>
          <w:i w:val="0"/>
          <w:caps w:val="0"/>
          <w:color w:val="auto"/>
          <w:spacing w:val="0"/>
          <w:w w:val="100"/>
          <w:sz w:val="24"/>
          <w:szCs w:val="24"/>
          <w:highlight w:val="none"/>
        </w:rPr>
        <w:t>最高车速：</w:t>
      </w:r>
      <w:r>
        <w:rPr>
          <w:rFonts w:hint="eastAsia" w:ascii="仿宋" w:hAnsi="仿宋" w:eastAsia="仿宋" w:cs="仿宋"/>
          <w:b w:val="0"/>
          <w:i w:val="0"/>
          <w:caps w:val="0"/>
          <w:color w:val="auto"/>
          <w:spacing w:val="0"/>
          <w:w w:val="100"/>
          <w:sz w:val="24"/>
          <w:szCs w:val="24"/>
          <w:highlight w:val="none"/>
          <w:lang w:val="en-US" w:eastAsia="zh-CN"/>
        </w:rPr>
        <w:t>不小于90</w:t>
      </w:r>
      <w:r>
        <w:rPr>
          <w:rFonts w:hint="eastAsia" w:ascii="仿宋" w:hAnsi="仿宋" w:eastAsia="仿宋" w:cs="仿宋"/>
          <w:b w:val="0"/>
          <w:i w:val="0"/>
          <w:caps w:val="0"/>
          <w:color w:val="auto"/>
          <w:spacing w:val="0"/>
          <w:w w:val="100"/>
          <w:sz w:val="24"/>
          <w:szCs w:val="24"/>
          <w:highlight w:val="none"/>
        </w:rPr>
        <w:t>km/h</w:t>
      </w:r>
    </w:p>
    <w:p>
      <w:pPr>
        <w:numPr>
          <w:ilvl w:val="0"/>
          <w:numId w:val="7"/>
        </w:numPr>
        <w:snapToGrid/>
        <w:spacing w:before="0" w:beforeAutospacing="0" w:after="0" w:afterAutospacing="0" w:line="240" w:lineRule="auto"/>
        <w:ind w:left="1140" w:leftChars="0" w:firstLineChars="0"/>
        <w:jc w:val="both"/>
        <w:textAlignment w:val="baseline"/>
        <w:rPr>
          <w:rFonts w:hint="eastAsia" w:ascii="仿宋" w:hAnsi="仿宋" w:eastAsia="仿宋" w:cs="仿宋"/>
          <w:b/>
          <w:i w:val="0"/>
          <w:caps w:val="0"/>
          <w:color w:val="auto"/>
          <w:spacing w:val="0"/>
          <w:w w:val="100"/>
          <w:sz w:val="24"/>
          <w:szCs w:val="24"/>
          <w:highlight w:val="none"/>
        </w:rPr>
      </w:pPr>
      <w:r>
        <w:rPr>
          <w:rFonts w:hint="eastAsia" w:ascii="仿宋" w:hAnsi="仿宋" w:eastAsia="仿宋" w:cs="仿宋"/>
          <w:b/>
          <w:i w:val="0"/>
          <w:caps w:val="0"/>
          <w:color w:val="auto"/>
          <w:spacing w:val="0"/>
          <w:w w:val="100"/>
          <w:sz w:val="24"/>
          <w:szCs w:val="24"/>
          <w:highlight w:val="none"/>
        </w:rPr>
        <w:t>驾乘室</w:t>
      </w:r>
    </w:p>
    <w:p>
      <w:pPr>
        <w:numPr>
          <w:ilvl w:val="0"/>
          <w:numId w:val="10"/>
        </w:numPr>
        <w:tabs>
          <w:tab w:val="left" w:pos="1080"/>
        </w:tabs>
        <w:snapToGrid/>
        <w:spacing w:before="0" w:beforeAutospacing="0" w:after="0" w:afterAutospacing="0" w:line="240" w:lineRule="auto"/>
        <w:jc w:val="both"/>
        <w:textAlignment w:val="baseline"/>
        <w:rPr>
          <w:rFonts w:hint="eastAsia" w:ascii="仿宋" w:hAnsi="仿宋" w:eastAsia="仿宋" w:cs="仿宋"/>
          <w:b w:val="0"/>
          <w:i w:val="0"/>
          <w:caps w:val="0"/>
          <w:color w:val="auto"/>
          <w:spacing w:val="0"/>
          <w:w w:val="100"/>
          <w:sz w:val="24"/>
          <w:szCs w:val="24"/>
          <w:highlight w:val="none"/>
        </w:rPr>
      </w:pPr>
      <w:r>
        <w:rPr>
          <w:rFonts w:hint="eastAsia" w:ascii="仿宋" w:hAnsi="仿宋" w:eastAsia="仿宋" w:cs="仿宋"/>
          <w:b w:val="0"/>
          <w:i w:val="0"/>
          <w:caps w:val="0"/>
          <w:color w:val="auto"/>
          <w:spacing w:val="0"/>
          <w:w w:val="100"/>
          <w:sz w:val="24"/>
          <w:szCs w:val="24"/>
          <w:highlight w:val="none"/>
        </w:rPr>
        <w:t>布局：</w:t>
      </w:r>
      <w:r>
        <w:rPr>
          <w:rFonts w:hint="eastAsia" w:ascii="仿宋" w:hAnsi="仿宋" w:eastAsia="仿宋" w:cs="仿宋"/>
          <w:b w:val="0"/>
          <w:i w:val="0"/>
          <w:caps w:val="0"/>
          <w:color w:val="auto"/>
          <w:spacing w:val="0"/>
          <w:w w:val="100"/>
          <w:sz w:val="24"/>
          <w:szCs w:val="24"/>
          <w:highlight w:val="none"/>
          <w:lang w:eastAsia="zh-CN"/>
        </w:rPr>
        <w:t>双</w:t>
      </w:r>
      <w:r>
        <w:rPr>
          <w:rFonts w:hint="eastAsia" w:ascii="仿宋" w:hAnsi="仿宋" w:eastAsia="仿宋" w:cs="仿宋"/>
          <w:b w:val="0"/>
          <w:i w:val="0"/>
          <w:caps w:val="0"/>
          <w:color w:val="auto"/>
          <w:spacing w:val="0"/>
          <w:w w:val="100"/>
          <w:sz w:val="24"/>
          <w:szCs w:val="24"/>
          <w:highlight w:val="none"/>
        </w:rPr>
        <w:t>排</w:t>
      </w:r>
      <w:r>
        <w:rPr>
          <w:rFonts w:hint="eastAsia" w:ascii="仿宋" w:hAnsi="仿宋" w:eastAsia="仿宋" w:cs="仿宋"/>
          <w:b w:val="0"/>
          <w:i w:val="0"/>
          <w:caps w:val="0"/>
          <w:color w:val="auto"/>
          <w:spacing w:val="0"/>
          <w:w w:val="100"/>
          <w:sz w:val="24"/>
          <w:szCs w:val="24"/>
          <w:highlight w:val="none"/>
          <w:lang w:eastAsia="zh-CN"/>
        </w:rPr>
        <w:t>四</w:t>
      </w:r>
      <w:r>
        <w:rPr>
          <w:rFonts w:hint="eastAsia" w:ascii="仿宋" w:hAnsi="仿宋" w:eastAsia="仿宋" w:cs="仿宋"/>
          <w:b w:val="0"/>
          <w:i w:val="0"/>
          <w:caps w:val="0"/>
          <w:color w:val="auto"/>
          <w:spacing w:val="0"/>
          <w:w w:val="100"/>
          <w:sz w:val="24"/>
          <w:szCs w:val="24"/>
          <w:highlight w:val="none"/>
        </w:rPr>
        <w:t>门，乘员人数为</w:t>
      </w:r>
      <w:r>
        <w:rPr>
          <w:rFonts w:hint="eastAsia" w:ascii="仿宋" w:hAnsi="仿宋" w:eastAsia="仿宋" w:cs="仿宋"/>
          <w:b w:val="0"/>
          <w:i w:val="0"/>
          <w:caps w:val="0"/>
          <w:color w:val="auto"/>
          <w:spacing w:val="0"/>
          <w:w w:val="100"/>
          <w:sz w:val="24"/>
          <w:szCs w:val="24"/>
          <w:highlight w:val="none"/>
          <w:lang w:val="en-US" w:eastAsia="zh-CN"/>
        </w:rPr>
        <w:t>2+</w:t>
      </w:r>
      <w:r>
        <w:rPr>
          <w:rFonts w:hint="eastAsia" w:ascii="仿宋" w:hAnsi="仿宋" w:eastAsia="仿宋" w:cs="仿宋"/>
          <w:b w:val="0"/>
          <w:i w:val="0"/>
          <w:caps w:val="0"/>
          <w:color w:val="auto"/>
          <w:spacing w:val="0"/>
          <w:w w:val="100"/>
          <w:sz w:val="24"/>
          <w:szCs w:val="24"/>
          <w:highlight w:val="none"/>
        </w:rPr>
        <w:t>3。</w:t>
      </w:r>
    </w:p>
    <w:p>
      <w:pPr>
        <w:numPr>
          <w:ilvl w:val="0"/>
          <w:numId w:val="7"/>
        </w:numPr>
        <w:snapToGrid/>
        <w:spacing w:before="0" w:beforeAutospacing="0" w:after="0" w:afterAutospacing="0" w:line="240" w:lineRule="auto"/>
        <w:ind w:left="1140" w:leftChars="0" w:firstLineChars="0"/>
        <w:jc w:val="both"/>
        <w:textAlignment w:val="baseline"/>
        <w:rPr>
          <w:rFonts w:hint="eastAsia" w:ascii="仿宋" w:hAnsi="仿宋" w:eastAsia="仿宋" w:cs="仿宋"/>
          <w:b/>
          <w:i w:val="0"/>
          <w:caps w:val="0"/>
          <w:color w:val="auto"/>
          <w:spacing w:val="0"/>
          <w:w w:val="100"/>
          <w:sz w:val="24"/>
          <w:szCs w:val="24"/>
          <w:highlight w:val="none"/>
        </w:rPr>
      </w:pPr>
      <w:r>
        <w:rPr>
          <w:rFonts w:hint="eastAsia" w:ascii="仿宋" w:hAnsi="仿宋" w:eastAsia="仿宋" w:cs="仿宋"/>
          <w:b/>
          <w:i w:val="0"/>
          <w:caps w:val="0"/>
          <w:color w:val="auto"/>
          <w:spacing w:val="0"/>
          <w:w w:val="100"/>
          <w:sz w:val="24"/>
          <w:szCs w:val="24"/>
          <w:highlight w:val="none"/>
        </w:rPr>
        <w:t>上装</w:t>
      </w:r>
    </w:p>
    <w:p>
      <w:pPr>
        <w:numPr>
          <w:ilvl w:val="0"/>
          <w:numId w:val="11"/>
        </w:numPr>
        <w:snapToGrid/>
        <w:spacing w:before="0" w:beforeAutospacing="0" w:after="0" w:afterAutospacing="0" w:line="240" w:lineRule="auto"/>
        <w:jc w:val="both"/>
        <w:textAlignment w:val="baseline"/>
        <w:rPr>
          <w:rFonts w:hint="eastAsia" w:ascii="仿宋" w:hAnsi="仿宋" w:eastAsia="仿宋" w:cs="仿宋"/>
          <w:b/>
          <w:i w:val="0"/>
          <w:caps w:val="0"/>
          <w:color w:val="auto"/>
          <w:spacing w:val="0"/>
          <w:w w:val="100"/>
          <w:sz w:val="24"/>
          <w:szCs w:val="24"/>
          <w:highlight w:val="none"/>
        </w:rPr>
      </w:pPr>
      <w:r>
        <w:rPr>
          <w:rFonts w:hint="eastAsia" w:ascii="仿宋" w:hAnsi="仿宋" w:eastAsia="仿宋" w:cs="仿宋"/>
          <w:b/>
          <w:i w:val="0"/>
          <w:caps w:val="0"/>
          <w:color w:val="auto"/>
          <w:spacing w:val="0"/>
          <w:w w:val="100"/>
          <w:sz w:val="24"/>
          <w:szCs w:val="24"/>
          <w:highlight w:val="none"/>
        </w:rPr>
        <w:t>罐体</w:t>
      </w:r>
    </w:p>
    <w:p>
      <w:pPr>
        <w:numPr>
          <w:ilvl w:val="0"/>
          <w:numId w:val="12"/>
        </w:numPr>
        <w:snapToGrid/>
        <w:spacing w:before="0" w:beforeAutospacing="0" w:after="0" w:afterAutospacing="0" w:line="240" w:lineRule="auto"/>
        <w:jc w:val="both"/>
        <w:textAlignment w:val="baseline"/>
        <w:rPr>
          <w:rFonts w:hint="eastAsia" w:ascii="仿宋" w:hAnsi="仿宋" w:eastAsia="仿宋" w:cs="仿宋"/>
          <w:b w:val="0"/>
          <w:i w:val="0"/>
          <w:caps w:val="0"/>
          <w:color w:val="auto"/>
          <w:spacing w:val="0"/>
          <w:w w:val="100"/>
          <w:sz w:val="24"/>
          <w:szCs w:val="24"/>
          <w:highlight w:val="none"/>
        </w:rPr>
      </w:pPr>
      <w:r>
        <w:rPr>
          <w:rFonts w:hint="eastAsia" w:ascii="仿宋" w:hAnsi="仿宋" w:eastAsia="仿宋" w:cs="仿宋"/>
          <w:b w:val="0"/>
          <w:i w:val="0"/>
          <w:caps w:val="0"/>
          <w:color w:val="auto"/>
          <w:spacing w:val="0"/>
          <w:w w:val="100"/>
          <w:sz w:val="24"/>
          <w:szCs w:val="24"/>
          <w:highlight w:val="none"/>
        </w:rPr>
        <w:t>容积：</w:t>
      </w:r>
      <w:r>
        <w:rPr>
          <w:rFonts w:hint="eastAsia" w:ascii="仿宋" w:hAnsi="仿宋" w:eastAsia="仿宋" w:cs="仿宋"/>
          <w:b w:val="0"/>
          <w:i w:val="0"/>
          <w:caps w:val="0"/>
          <w:color w:val="auto"/>
          <w:spacing w:val="0"/>
          <w:w w:val="100"/>
          <w:sz w:val="24"/>
          <w:szCs w:val="24"/>
          <w:highlight w:val="none"/>
          <w:lang w:val="en-US" w:eastAsia="zh-CN"/>
        </w:rPr>
        <w:t>80</w:t>
      </w:r>
      <w:r>
        <w:rPr>
          <w:rFonts w:hint="eastAsia" w:ascii="仿宋" w:hAnsi="仿宋" w:eastAsia="仿宋" w:cs="仿宋"/>
          <w:b w:val="0"/>
          <w:i w:val="0"/>
          <w:caps w:val="0"/>
          <w:color w:val="auto"/>
          <w:spacing w:val="0"/>
          <w:w w:val="100"/>
          <w:sz w:val="24"/>
          <w:szCs w:val="24"/>
          <w:highlight w:val="none"/>
        </w:rPr>
        <w:t>0L（水）。</w:t>
      </w:r>
    </w:p>
    <w:p>
      <w:pPr>
        <w:numPr>
          <w:ilvl w:val="0"/>
          <w:numId w:val="12"/>
        </w:numPr>
        <w:snapToGrid/>
        <w:spacing w:before="0" w:beforeAutospacing="0" w:after="0" w:afterAutospacing="0" w:line="240" w:lineRule="auto"/>
        <w:jc w:val="both"/>
        <w:textAlignment w:val="baseline"/>
        <w:rPr>
          <w:rFonts w:hint="eastAsia" w:ascii="仿宋" w:hAnsi="仿宋" w:eastAsia="仿宋" w:cs="仿宋"/>
          <w:b w:val="0"/>
          <w:i w:val="0"/>
          <w:caps w:val="0"/>
          <w:color w:val="auto"/>
          <w:spacing w:val="0"/>
          <w:w w:val="100"/>
          <w:sz w:val="24"/>
          <w:szCs w:val="24"/>
          <w:highlight w:val="none"/>
        </w:rPr>
      </w:pPr>
      <w:r>
        <w:rPr>
          <w:rFonts w:hint="eastAsia" w:ascii="仿宋" w:hAnsi="仿宋" w:eastAsia="仿宋" w:cs="仿宋"/>
          <w:b w:val="0"/>
          <w:i w:val="0"/>
          <w:caps w:val="0"/>
          <w:color w:val="auto"/>
          <w:spacing w:val="0"/>
          <w:w w:val="100"/>
          <w:sz w:val="24"/>
          <w:szCs w:val="24"/>
          <w:highlight w:val="none"/>
        </w:rPr>
        <w:t>结构：</w:t>
      </w:r>
    </w:p>
    <w:p>
      <w:pPr>
        <w:numPr>
          <w:ilvl w:val="0"/>
          <w:numId w:val="0"/>
        </w:numPr>
        <w:tabs>
          <w:tab w:val="left" w:pos="1080"/>
        </w:tabs>
        <w:snapToGrid/>
        <w:spacing w:before="0" w:beforeAutospacing="0" w:after="0" w:afterAutospacing="0" w:line="240" w:lineRule="auto"/>
        <w:ind w:left="840" w:leftChars="0"/>
        <w:jc w:val="both"/>
        <w:textAlignment w:val="baseline"/>
        <w:rPr>
          <w:rFonts w:hint="eastAsia" w:ascii="仿宋" w:hAnsi="仿宋" w:eastAsia="仿宋" w:cs="仿宋"/>
          <w:b w:val="0"/>
          <w:i w:val="0"/>
          <w:caps w:val="0"/>
          <w:color w:val="auto"/>
          <w:spacing w:val="0"/>
          <w:w w:val="100"/>
          <w:sz w:val="24"/>
          <w:szCs w:val="24"/>
          <w:highlight w:val="none"/>
        </w:rPr>
      </w:pPr>
      <w:r>
        <w:rPr>
          <w:rFonts w:hint="eastAsia" w:ascii="仿宋" w:hAnsi="仿宋" w:eastAsia="仿宋" w:cs="仿宋"/>
          <w:b w:val="0"/>
          <w:i w:val="0"/>
          <w:caps w:val="0"/>
          <w:color w:val="auto"/>
          <w:spacing w:val="0"/>
          <w:w w:val="100"/>
          <w:sz w:val="24"/>
          <w:szCs w:val="24"/>
          <w:highlight w:val="none"/>
          <w:lang w:val="en-US" w:eastAsia="zh-CN"/>
        </w:rPr>
        <w:t>罐体做保温材质包覆</w:t>
      </w:r>
      <w:r>
        <w:rPr>
          <w:rFonts w:hint="eastAsia" w:ascii="仿宋" w:hAnsi="仿宋" w:eastAsia="仿宋" w:cs="仿宋"/>
          <w:b w:val="0"/>
          <w:i w:val="0"/>
          <w:caps w:val="0"/>
          <w:color w:val="auto"/>
          <w:spacing w:val="0"/>
          <w:w w:val="100"/>
          <w:sz w:val="24"/>
          <w:szCs w:val="24"/>
          <w:highlight w:val="none"/>
        </w:rPr>
        <w:t>。</w:t>
      </w:r>
    </w:p>
    <w:p>
      <w:pPr>
        <w:numPr>
          <w:ilvl w:val="0"/>
          <w:numId w:val="0"/>
        </w:numPr>
        <w:tabs>
          <w:tab w:val="left" w:pos="1080"/>
        </w:tabs>
        <w:snapToGrid/>
        <w:spacing w:before="0" w:beforeAutospacing="0" w:after="0" w:afterAutospacing="0" w:line="240" w:lineRule="auto"/>
        <w:ind w:left="840" w:leftChars="0"/>
        <w:jc w:val="both"/>
        <w:textAlignment w:val="baseline"/>
        <w:rPr>
          <w:rFonts w:hint="eastAsia" w:ascii="仿宋" w:hAnsi="仿宋" w:eastAsia="仿宋" w:cs="仿宋"/>
          <w:b w:val="0"/>
          <w:i w:val="0"/>
          <w:caps w:val="0"/>
          <w:color w:val="auto"/>
          <w:spacing w:val="0"/>
          <w:w w:val="100"/>
          <w:sz w:val="24"/>
          <w:szCs w:val="24"/>
          <w:highlight w:val="none"/>
        </w:rPr>
      </w:pPr>
      <w:r>
        <w:rPr>
          <w:rFonts w:hint="eastAsia" w:ascii="仿宋" w:hAnsi="仿宋" w:eastAsia="仿宋" w:cs="仿宋"/>
          <w:b w:val="0"/>
          <w:i w:val="0"/>
          <w:caps w:val="0"/>
          <w:color w:val="auto"/>
          <w:spacing w:val="0"/>
          <w:w w:val="100"/>
          <w:sz w:val="24"/>
          <w:szCs w:val="24"/>
          <w:highlight w:val="none"/>
        </w:rPr>
        <w:t>孔盖1</w:t>
      </w:r>
      <w:r>
        <w:rPr>
          <w:rFonts w:hint="eastAsia" w:ascii="仿宋" w:hAnsi="仿宋" w:eastAsia="仿宋" w:cs="仿宋"/>
          <w:b w:val="0"/>
          <w:i w:val="0"/>
          <w:caps w:val="0"/>
          <w:color w:val="auto"/>
          <w:spacing w:val="0"/>
          <w:w w:val="100"/>
          <w:sz w:val="24"/>
          <w:szCs w:val="24"/>
          <w:highlight w:val="none"/>
          <w:lang w:val="en-US" w:eastAsia="zh-CN"/>
        </w:rPr>
        <w:t>个</w:t>
      </w:r>
      <w:r>
        <w:rPr>
          <w:rFonts w:hint="eastAsia" w:ascii="仿宋" w:hAnsi="仿宋" w:eastAsia="仿宋" w:cs="仿宋"/>
          <w:b w:val="0"/>
          <w:i w:val="0"/>
          <w:caps w:val="0"/>
          <w:color w:val="auto"/>
          <w:spacing w:val="0"/>
          <w:w w:val="100"/>
          <w:sz w:val="24"/>
          <w:szCs w:val="24"/>
          <w:highlight w:val="none"/>
        </w:rPr>
        <w:t>，直径φ</w:t>
      </w:r>
      <w:r>
        <w:rPr>
          <w:rFonts w:hint="eastAsia" w:ascii="仿宋" w:hAnsi="仿宋" w:eastAsia="仿宋" w:cs="仿宋"/>
          <w:b w:val="0"/>
          <w:i w:val="0"/>
          <w:caps w:val="0"/>
          <w:color w:val="auto"/>
          <w:spacing w:val="0"/>
          <w:w w:val="100"/>
          <w:sz w:val="24"/>
          <w:szCs w:val="24"/>
          <w:highlight w:val="none"/>
          <w:lang w:val="en-US" w:eastAsia="zh-CN"/>
        </w:rPr>
        <w:t>8</w:t>
      </w:r>
      <w:r>
        <w:rPr>
          <w:rFonts w:hint="eastAsia" w:ascii="仿宋" w:hAnsi="仿宋" w:eastAsia="仿宋" w:cs="仿宋"/>
          <w:b w:val="0"/>
          <w:i w:val="0"/>
          <w:caps w:val="0"/>
          <w:color w:val="auto"/>
          <w:spacing w:val="0"/>
          <w:w w:val="100"/>
          <w:sz w:val="24"/>
          <w:szCs w:val="24"/>
          <w:highlight w:val="none"/>
        </w:rPr>
        <w:t>0 mm。</w:t>
      </w:r>
    </w:p>
    <w:p>
      <w:pPr>
        <w:numPr>
          <w:ilvl w:val="0"/>
          <w:numId w:val="0"/>
        </w:numPr>
        <w:tabs>
          <w:tab w:val="left" w:pos="1080"/>
        </w:tabs>
        <w:snapToGrid/>
        <w:spacing w:before="0" w:beforeAutospacing="0" w:after="0" w:afterAutospacing="0" w:line="240" w:lineRule="auto"/>
        <w:ind w:left="840" w:leftChars="0"/>
        <w:jc w:val="both"/>
        <w:textAlignment w:val="baseline"/>
        <w:rPr>
          <w:rFonts w:hint="eastAsia" w:ascii="仿宋" w:hAnsi="仿宋" w:eastAsia="仿宋" w:cs="仿宋"/>
          <w:b w:val="0"/>
          <w:i w:val="0"/>
          <w:caps w:val="0"/>
          <w:color w:val="auto"/>
          <w:spacing w:val="0"/>
          <w:w w:val="100"/>
          <w:sz w:val="24"/>
          <w:szCs w:val="24"/>
          <w:highlight w:val="none"/>
        </w:rPr>
      </w:pPr>
      <w:r>
        <w:rPr>
          <w:rFonts w:hint="eastAsia" w:ascii="仿宋" w:hAnsi="仿宋" w:eastAsia="仿宋" w:cs="仿宋"/>
          <w:b w:val="0"/>
          <w:i w:val="0"/>
          <w:caps w:val="0"/>
          <w:color w:val="auto"/>
          <w:spacing w:val="0"/>
          <w:w w:val="100"/>
          <w:sz w:val="24"/>
          <w:szCs w:val="24"/>
          <w:highlight w:val="none"/>
        </w:rPr>
        <w:t>注水管位于罐体</w:t>
      </w:r>
      <w:r>
        <w:rPr>
          <w:rFonts w:hint="eastAsia" w:ascii="仿宋" w:hAnsi="仿宋" w:eastAsia="仿宋" w:cs="仿宋"/>
          <w:b w:val="0"/>
          <w:i w:val="0"/>
          <w:caps w:val="0"/>
          <w:color w:val="auto"/>
          <w:spacing w:val="0"/>
          <w:w w:val="100"/>
          <w:sz w:val="24"/>
          <w:szCs w:val="24"/>
          <w:highlight w:val="none"/>
          <w:lang w:val="en-US" w:eastAsia="zh-CN"/>
        </w:rPr>
        <w:t>侧</w:t>
      </w:r>
      <w:r>
        <w:rPr>
          <w:rFonts w:hint="eastAsia" w:ascii="仿宋" w:hAnsi="仿宋" w:eastAsia="仿宋" w:cs="仿宋"/>
          <w:b w:val="0"/>
          <w:i w:val="0"/>
          <w:caps w:val="0"/>
          <w:color w:val="auto"/>
          <w:spacing w:val="0"/>
          <w:w w:val="100"/>
          <w:sz w:val="24"/>
          <w:szCs w:val="24"/>
          <w:highlight w:val="none"/>
        </w:rPr>
        <w:t>边，通径为DN</w:t>
      </w:r>
      <w:r>
        <w:rPr>
          <w:rFonts w:hint="eastAsia" w:ascii="仿宋" w:hAnsi="仿宋" w:eastAsia="仿宋" w:cs="仿宋"/>
          <w:b w:val="0"/>
          <w:i w:val="0"/>
          <w:caps w:val="0"/>
          <w:color w:val="auto"/>
          <w:spacing w:val="0"/>
          <w:w w:val="100"/>
          <w:sz w:val="24"/>
          <w:szCs w:val="24"/>
          <w:highlight w:val="none"/>
          <w:lang w:val="en-US" w:eastAsia="zh-CN"/>
        </w:rPr>
        <w:t>80</w:t>
      </w:r>
      <w:r>
        <w:rPr>
          <w:rFonts w:hint="eastAsia" w:ascii="仿宋" w:hAnsi="仿宋" w:eastAsia="仿宋" w:cs="仿宋"/>
          <w:b w:val="0"/>
          <w:i w:val="0"/>
          <w:caps w:val="0"/>
          <w:color w:val="auto"/>
          <w:spacing w:val="0"/>
          <w:w w:val="100"/>
          <w:sz w:val="24"/>
          <w:szCs w:val="24"/>
          <w:highlight w:val="none"/>
        </w:rPr>
        <w:t>。</w:t>
      </w:r>
    </w:p>
    <w:p>
      <w:pPr>
        <w:numPr>
          <w:ilvl w:val="0"/>
          <w:numId w:val="0"/>
        </w:numPr>
        <w:tabs>
          <w:tab w:val="left" w:pos="1080"/>
        </w:tabs>
        <w:snapToGrid/>
        <w:spacing w:before="0" w:beforeAutospacing="0" w:after="0" w:afterAutospacing="0" w:line="240" w:lineRule="auto"/>
        <w:ind w:left="840" w:leftChars="0"/>
        <w:jc w:val="both"/>
        <w:textAlignment w:val="baseline"/>
        <w:rPr>
          <w:rFonts w:hint="eastAsia" w:ascii="仿宋" w:hAnsi="仿宋" w:eastAsia="仿宋" w:cs="仿宋"/>
          <w:b w:val="0"/>
          <w:i w:val="0"/>
          <w:caps w:val="0"/>
          <w:color w:val="auto"/>
          <w:spacing w:val="0"/>
          <w:w w:val="100"/>
          <w:sz w:val="24"/>
          <w:szCs w:val="24"/>
          <w:highlight w:val="none"/>
        </w:rPr>
      </w:pPr>
      <w:r>
        <w:rPr>
          <w:rFonts w:hint="eastAsia" w:ascii="仿宋" w:hAnsi="仿宋" w:eastAsia="仿宋" w:cs="仿宋"/>
          <w:b w:val="0"/>
          <w:i w:val="0"/>
          <w:caps w:val="0"/>
          <w:color w:val="auto"/>
          <w:spacing w:val="0"/>
          <w:w w:val="100"/>
          <w:sz w:val="24"/>
          <w:szCs w:val="24"/>
          <w:highlight w:val="none"/>
        </w:rPr>
        <w:t>排污管1个，位于罐体底部，通径为DN</w:t>
      </w:r>
      <w:r>
        <w:rPr>
          <w:rFonts w:hint="eastAsia" w:ascii="仿宋" w:hAnsi="仿宋" w:eastAsia="仿宋" w:cs="仿宋"/>
          <w:b w:val="0"/>
          <w:i w:val="0"/>
          <w:caps w:val="0"/>
          <w:color w:val="auto"/>
          <w:spacing w:val="0"/>
          <w:w w:val="100"/>
          <w:sz w:val="24"/>
          <w:szCs w:val="24"/>
          <w:highlight w:val="none"/>
          <w:lang w:val="en-US" w:eastAsia="zh-CN"/>
        </w:rPr>
        <w:t>6</w:t>
      </w:r>
      <w:r>
        <w:rPr>
          <w:rFonts w:hint="eastAsia" w:ascii="仿宋" w:hAnsi="仿宋" w:eastAsia="仿宋" w:cs="仿宋"/>
          <w:b w:val="0"/>
          <w:i w:val="0"/>
          <w:caps w:val="0"/>
          <w:color w:val="auto"/>
          <w:spacing w:val="0"/>
          <w:w w:val="100"/>
          <w:sz w:val="24"/>
          <w:szCs w:val="24"/>
          <w:highlight w:val="none"/>
        </w:rPr>
        <w:t>0。</w:t>
      </w:r>
    </w:p>
    <w:p>
      <w:pPr>
        <w:numPr>
          <w:ilvl w:val="0"/>
          <w:numId w:val="12"/>
        </w:numPr>
        <w:snapToGrid/>
        <w:spacing w:before="0" w:beforeAutospacing="0" w:after="0" w:afterAutospacing="0" w:line="240" w:lineRule="auto"/>
        <w:jc w:val="both"/>
        <w:textAlignment w:val="baseline"/>
        <w:rPr>
          <w:rFonts w:hint="eastAsia" w:ascii="仿宋" w:hAnsi="仿宋" w:eastAsia="仿宋" w:cs="仿宋"/>
          <w:b w:val="0"/>
          <w:i w:val="0"/>
          <w:caps w:val="0"/>
          <w:color w:val="auto"/>
          <w:spacing w:val="0"/>
          <w:w w:val="100"/>
          <w:sz w:val="24"/>
          <w:szCs w:val="24"/>
          <w:highlight w:val="none"/>
        </w:rPr>
      </w:pPr>
      <w:r>
        <w:rPr>
          <w:rFonts w:hint="eastAsia" w:ascii="仿宋" w:hAnsi="仿宋" w:eastAsia="仿宋" w:cs="仿宋"/>
          <w:b w:val="0"/>
          <w:i w:val="0"/>
          <w:caps w:val="0"/>
          <w:color w:val="auto"/>
          <w:spacing w:val="0"/>
          <w:w w:val="100"/>
          <w:sz w:val="24"/>
          <w:szCs w:val="24"/>
          <w:highlight w:val="none"/>
        </w:rPr>
        <w:t>材质：采用优质</w:t>
      </w:r>
      <w:r>
        <w:rPr>
          <w:rFonts w:hint="eastAsia" w:ascii="仿宋" w:hAnsi="仿宋" w:eastAsia="仿宋" w:cs="仿宋"/>
          <w:b w:val="0"/>
          <w:i w:val="0"/>
          <w:caps w:val="0"/>
          <w:color w:val="auto"/>
          <w:spacing w:val="0"/>
          <w:w w:val="100"/>
          <w:sz w:val="24"/>
          <w:szCs w:val="24"/>
          <w:highlight w:val="none"/>
          <w:lang w:val="en-US" w:eastAsia="zh-CN"/>
        </w:rPr>
        <w:t>不锈钢</w:t>
      </w:r>
      <w:r>
        <w:rPr>
          <w:rFonts w:hint="eastAsia" w:ascii="仿宋" w:hAnsi="仿宋" w:eastAsia="仿宋" w:cs="仿宋"/>
          <w:b w:val="0"/>
          <w:i w:val="0"/>
          <w:caps w:val="0"/>
          <w:color w:val="auto"/>
          <w:spacing w:val="0"/>
          <w:w w:val="100"/>
          <w:sz w:val="24"/>
          <w:szCs w:val="24"/>
          <w:highlight w:val="none"/>
        </w:rPr>
        <w:t>材料焊接而成，筒体厚度为3mm，经久耐用。</w:t>
      </w:r>
    </w:p>
    <w:p>
      <w:pPr>
        <w:numPr>
          <w:ilvl w:val="0"/>
          <w:numId w:val="7"/>
        </w:numPr>
        <w:snapToGrid/>
        <w:spacing w:before="0" w:beforeAutospacing="0" w:after="0" w:afterAutospacing="0" w:line="240" w:lineRule="auto"/>
        <w:ind w:left="1140" w:leftChars="0" w:firstLineChars="0"/>
        <w:jc w:val="both"/>
        <w:textAlignment w:val="baseline"/>
        <w:rPr>
          <w:rFonts w:hint="eastAsia" w:ascii="仿宋" w:hAnsi="仿宋" w:eastAsia="仿宋" w:cs="仿宋"/>
          <w:b/>
          <w:i w:val="0"/>
          <w:caps w:val="0"/>
          <w:color w:val="auto"/>
          <w:spacing w:val="0"/>
          <w:w w:val="100"/>
          <w:sz w:val="24"/>
          <w:szCs w:val="24"/>
          <w:highlight w:val="none"/>
        </w:rPr>
      </w:pPr>
      <w:r>
        <w:rPr>
          <w:rFonts w:hint="eastAsia" w:ascii="仿宋" w:hAnsi="仿宋" w:eastAsia="仿宋" w:cs="仿宋"/>
          <w:b/>
          <w:i w:val="0"/>
          <w:caps w:val="0"/>
          <w:color w:val="auto"/>
          <w:spacing w:val="0"/>
          <w:w w:val="100"/>
          <w:sz w:val="24"/>
          <w:szCs w:val="24"/>
          <w:highlight w:val="none"/>
          <w:lang w:val="en-US" w:eastAsia="zh-CN"/>
        </w:rPr>
        <w:t>灭火</w:t>
      </w:r>
      <w:r>
        <w:rPr>
          <w:rFonts w:hint="eastAsia" w:ascii="仿宋" w:hAnsi="仿宋" w:eastAsia="仿宋" w:cs="仿宋"/>
          <w:b/>
          <w:i w:val="0"/>
          <w:caps w:val="0"/>
          <w:color w:val="auto"/>
          <w:spacing w:val="0"/>
          <w:w w:val="100"/>
          <w:sz w:val="24"/>
          <w:szCs w:val="24"/>
          <w:highlight w:val="none"/>
        </w:rPr>
        <w:t>系统</w:t>
      </w:r>
    </w:p>
    <w:p>
      <w:pPr>
        <w:numPr>
          <w:ilvl w:val="0"/>
          <w:numId w:val="0"/>
        </w:numPr>
        <w:tabs>
          <w:tab w:val="left" w:pos="1080"/>
        </w:tabs>
        <w:snapToGrid/>
        <w:spacing w:before="0" w:beforeAutospacing="0" w:after="0" w:afterAutospacing="0" w:line="240" w:lineRule="auto"/>
        <w:ind w:left="540" w:leftChars="0"/>
        <w:jc w:val="both"/>
        <w:textAlignment w:val="baseline"/>
        <w:rPr>
          <w:rFonts w:hint="eastAsia" w:ascii="仿宋" w:hAnsi="仿宋" w:eastAsia="仿宋" w:cs="仿宋"/>
          <w:b w:val="0"/>
          <w:i w:val="0"/>
          <w:caps w:val="0"/>
          <w:color w:val="auto"/>
          <w:spacing w:val="0"/>
          <w:w w:val="100"/>
          <w:sz w:val="24"/>
          <w:szCs w:val="24"/>
          <w:highlight w:val="none"/>
          <w:lang w:val="en-US" w:eastAsia="zh-CN"/>
        </w:rPr>
      </w:pPr>
      <w:r>
        <w:rPr>
          <w:rFonts w:hint="eastAsia" w:ascii="仿宋" w:hAnsi="仿宋" w:eastAsia="仿宋" w:cs="仿宋"/>
          <w:b w:val="0"/>
          <w:i w:val="0"/>
          <w:caps w:val="0"/>
          <w:color w:val="auto"/>
          <w:spacing w:val="0"/>
          <w:w w:val="100"/>
          <w:sz w:val="24"/>
          <w:szCs w:val="24"/>
          <w:highlight w:val="none"/>
          <w:lang w:val="en-US" w:eastAsia="zh-CN"/>
        </w:rPr>
        <w:t xml:space="preserve">1.细水雾装置 </w:t>
      </w:r>
    </w:p>
    <w:p>
      <w:pPr>
        <w:numPr>
          <w:ilvl w:val="0"/>
          <w:numId w:val="0"/>
        </w:numPr>
        <w:tabs>
          <w:tab w:val="left" w:pos="1080"/>
        </w:tabs>
        <w:snapToGrid/>
        <w:spacing w:before="0" w:beforeAutospacing="0" w:after="0" w:afterAutospacing="0" w:line="240" w:lineRule="auto"/>
        <w:ind w:left="840" w:leftChars="0"/>
        <w:jc w:val="both"/>
        <w:textAlignment w:val="baseline"/>
        <w:rPr>
          <w:rFonts w:hint="eastAsia" w:ascii="仿宋" w:hAnsi="仿宋" w:eastAsia="仿宋" w:cs="仿宋"/>
          <w:b w:val="0"/>
          <w:i w:val="0"/>
          <w:caps w:val="0"/>
          <w:color w:val="auto"/>
          <w:spacing w:val="0"/>
          <w:w w:val="100"/>
          <w:sz w:val="24"/>
          <w:szCs w:val="24"/>
          <w:highlight w:val="none"/>
          <w:lang w:val="en-US" w:eastAsia="zh-CN"/>
        </w:rPr>
      </w:pPr>
      <w:r>
        <w:rPr>
          <w:rFonts w:hint="eastAsia" w:ascii="仿宋" w:hAnsi="仿宋" w:eastAsia="仿宋" w:cs="仿宋"/>
          <w:b w:val="0"/>
          <w:i w:val="0"/>
          <w:caps w:val="0"/>
          <w:color w:val="auto"/>
          <w:spacing w:val="0"/>
          <w:w w:val="100"/>
          <w:sz w:val="24"/>
          <w:szCs w:val="24"/>
          <w:highlight w:val="none"/>
          <w:lang w:val="en-US" w:eastAsia="zh-CN"/>
        </w:rPr>
        <w:t>泵性能：10MPa</w:t>
      </w:r>
    </w:p>
    <w:p>
      <w:pPr>
        <w:numPr>
          <w:ilvl w:val="0"/>
          <w:numId w:val="0"/>
        </w:numPr>
        <w:tabs>
          <w:tab w:val="left" w:pos="1080"/>
        </w:tabs>
        <w:snapToGrid/>
        <w:spacing w:before="0" w:beforeAutospacing="0" w:after="0" w:afterAutospacing="0" w:line="240" w:lineRule="auto"/>
        <w:ind w:left="840" w:leftChars="0"/>
        <w:jc w:val="both"/>
        <w:textAlignment w:val="baseline"/>
        <w:rPr>
          <w:rFonts w:hint="eastAsia" w:ascii="仿宋" w:hAnsi="仿宋" w:eastAsia="仿宋" w:cs="仿宋"/>
          <w:b w:val="0"/>
          <w:i w:val="0"/>
          <w:caps w:val="0"/>
          <w:color w:val="auto"/>
          <w:spacing w:val="0"/>
          <w:w w:val="100"/>
          <w:sz w:val="24"/>
          <w:szCs w:val="24"/>
          <w:highlight w:val="none"/>
          <w:lang w:val="en-US" w:eastAsia="zh-CN"/>
        </w:rPr>
      </w:pPr>
      <w:r>
        <w:rPr>
          <w:rFonts w:hint="eastAsia" w:ascii="仿宋" w:hAnsi="仿宋" w:eastAsia="仿宋" w:cs="仿宋"/>
          <w:b w:val="0"/>
          <w:i w:val="0"/>
          <w:caps w:val="0"/>
          <w:color w:val="auto"/>
          <w:spacing w:val="0"/>
          <w:w w:val="100"/>
          <w:sz w:val="24"/>
          <w:szCs w:val="24"/>
          <w:highlight w:val="none"/>
          <w:lang w:val="en-US" w:eastAsia="zh-CN"/>
        </w:rPr>
        <w:t xml:space="preserve">出水流量：36L/min </w:t>
      </w:r>
    </w:p>
    <w:p>
      <w:pPr>
        <w:numPr>
          <w:ilvl w:val="0"/>
          <w:numId w:val="0"/>
        </w:numPr>
        <w:tabs>
          <w:tab w:val="left" w:pos="1080"/>
        </w:tabs>
        <w:snapToGrid/>
        <w:spacing w:before="0" w:beforeAutospacing="0" w:after="0" w:afterAutospacing="0" w:line="240" w:lineRule="auto"/>
        <w:ind w:left="840" w:leftChars="0"/>
        <w:jc w:val="both"/>
        <w:textAlignment w:val="baseline"/>
        <w:rPr>
          <w:rFonts w:hint="eastAsia" w:ascii="仿宋" w:hAnsi="仿宋" w:eastAsia="仿宋" w:cs="仿宋"/>
          <w:b w:val="0"/>
          <w:i w:val="0"/>
          <w:caps w:val="0"/>
          <w:color w:val="auto"/>
          <w:spacing w:val="0"/>
          <w:w w:val="100"/>
          <w:sz w:val="24"/>
          <w:szCs w:val="24"/>
          <w:highlight w:val="none"/>
          <w:lang w:val="en-US" w:eastAsia="zh-CN"/>
        </w:rPr>
      </w:pPr>
      <w:r>
        <w:rPr>
          <w:rFonts w:hint="eastAsia" w:ascii="仿宋" w:hAnsi="仿宋" w:eastAsia="仿宋" w:cs="仿宋"/>
          <w:b w:val="0"/>
          <w:i w:val="0"/>
          <w:caps w:val="0"/>
          <w:color w:val="auto"/>
          <w:spacing w:val="0"/>
          <w:w w:val="100"/>
          <w:sz w:val="24"/>
          <w:szCs w:val="24"/>
          <w:highlight w:val="none"/>
          <w:lang w:val="en-US" w:eastAsia="zh-CN"/>
        </w:rPr>
        <w:t>细水雾射程：15m</w:t>
      </w:r>
    </w:p>
    <w:p>
      <w:pPr>
        <w:numPr>
          <w:ilvl w:val="0"/>
          <w:numId w:val="0"/>
        </w:numPr>
        <w:tabs>
          <w:tab w:val="left" w:pos="1080"/>
        </w:tabs>
        <w:snapToGrid/>
        <w:spacing w:before="0" w:beforeAutospacing="0" w:after="0" w:afterAutospacing="0" w:line="240" w:lineRule="auto"/>
        <w:ind w:left="840" w:leftChars="0"/>
        <w:jc w:val="both"/>
        <w:textAlignment w:val="baseline"/>
        <w:rPr>
          <w:rFonts w:hint="eastAsia" w:ascii="仿宋" w:hAnsi="仿宋" w:eastAsia="仿宋" w:cs="仿宋"/>
          <w:b w:val="0"/>
          <w:i w:val="0"/>
          <w:caps w:val="0"/>
          <w:color w:val="auto"/>
          <w:spacing w:val="0"/>
          <w:w w:val="100"/>
          <w:sz w:val="24"/>
          <w:szCs w:val="24"/>
          <w:highlight w:val="none"/>
          <w:lang w:val="en-US" w:eastAsia="zh-CN"/>
        </w:rPr>
      </w:pPr>
      <w:r>
        <w:rPr>
          <w:rFonts w:hint="eastAsia" w:ascii="仿宋" w:hAnsi="仿宋" w:eastAsia="仿宋" w:cs="仿宋"/>
          <w:b w:val="0"/>
          <w:i w:val="0"/>
          <w:caps w:val="0"/>
          <w:color w:val="auto"/>
          <w:spacing w:val="0"/>
          <w:w w:val="100"/>
          <w:sz w:val="24"/>
          <w:szCs w:val="24"/>
          <w:highlight w:val="none"/>
          <w:lang w:val="en-US" w:eastAsia="zh-CN"/>
        </w:rPr>
        <w:t>高压管长度：30m</w:t>
      </w:r>
    </w:p>
    <w:p>
      <w:pPr>
        <w:numPr>
          <w:ilvl w:val="0"/>
          <w:numId w:val="0"/>
        </w:numPr>
        <w:tabs>
          <w:tab w:val="left" w:pos="1080"/>
        </w:tabs>
        <w:snapToGrid/>
        <w:spacing w:before="0" w:beforeAutospacing="0" w:after="0" w:afterAutospacing="0" w:line="240" w:lineRule="auto"/>
        <w:ind w:left="840" w:leftChars="0"/>
        <w:jc w:val="both"/>
        <w:textAlignment w:val="baseline"/>
        <w:rPr>
          <w:rFonts w:hint="eastAsia" w:ascii="仿宋" w:hAnsi="仿宋" w:eastAsia="仿宋" w:cs="仿宋"/>
          <w:b w:val="0"/>
          <w:i w:val="0"/>
          <w:caps w:val="0"/>
          <w:color w:val="auto"/>
          <w:spacing w:val="0"/>
          <w:w w:val="100"/>
          <w:sz w:val="24"/>
          <w:szCs w:val="24"/>
          <w:highlight w:val="none"/>
          <w:lang w:val="en-US" w:eastAsia="zh-CN"/>
        </w:rPr>
      </w:pPr>
      <w:r>
        <w:rPr>
          <w:rFonts w:hint="eastAsia" w:ascii="仿宋" w:hAnsi="仿宋" w:eastAsia="仿宋" w:cs="仿宋"/>
          <w:b w:val="0"/>
          <w:i w:val="0"/>
          <w:caps w:val="0"/>
          <w:color w:val="auto"/>
          <w:spacing w:val="0"/>
          <w:w w:val="100"/>
          <w:sz w:val="24"/>
          <w:szCs w:val="24"/>
          <w:highlight w:val="none"/>
          <w:lang w:val="en-US" w:eastAsia="zh-CN"/>
        </w:rPr>
        <w:t>形式：单缸、风冷四冲程</w:t>
      </w:r>
    </w:p>
    <w:p>
      <w:pPr>
        <w:numPr>
          <w:ilvl w:val="0"/>
          <w:numId w:val="0"/>
        </w:numPr>
        <w:tabs>
          <w:tab w:val="left" w:pos="1080"/>
        </w:tabs>
        <w:snapToGrid/>
        <w:spacing w:before="0" w:beforeAutospacing="0" w:after="0" w:afterAutospacing="0" w:line="240" w:lineRule="auto"/>
        <w:ind w:left="840" w:leftChars="0"/>
        <w:jc w:val="both"/>
        <w:textAlignment w:val="baseline"/>
        <w:rPr>
          <w:rFonts w:hint="eastAsia" w:ascii="仿宋" w:hAnsi="仿宋" w:eastAsia="仿宋" w:cs="仿宋"/>
          <w:b w:val="0"/>
          <w:i w:val="0"/>
          <w:caps w:val="0"/>
          <w:color w:val="auto"/>
          <w:spacing w:val="0"/>
          <w:w w:val="100"/>
          <w:sz w:val="24"/>
          <w:szCs w:val="24"/>
          <w:highlight w:val="none"/>
          <w:lang w:val="en-US" w:eastAsia="zh-CN"/>
        </w:rPr>
      </w:pPr>
      <w:r>
        <w:rPr>
          <w:rFonts w:hint="eastAsia" w:ascii="仿宋" w:hAnsi="仿宋" w:eastAsia="仿宋" w:cs="仿宋"/>
          <w:b w:val="0"/>
          <w:i w:val="0"/>
          <w:caps w:val="0"/>
          <w:color w:val="auto"/>
          <w:spacing w:val="0"/>
          <w:w w:val="100"/>
          <w:sz w:val="24"/>
          <w:szCs w:val="24"/>
          <w:highlight w:val="none"/>
          <w:lang w:val="en-US" w:eastAsia="zh-CN"/>
        </w:rPr>
        <w:t xml:space="preserve">燃料：汽油 </w:t>
      </w:r>
    </w:p>
    <w:p>
      <w:pPr>
        <w:numPr>
          <w:ilvl w:val="0"/>
          <w:numId w:val="0"/>
        </w:numPr>
        <w:snapToGrid/>
        <w:spacing w:before="0" w:beforeAutospacing="0" w:after="0" w:afterAutospacing="0" w:line="240" w:lineRule="auto"/>
        <w:ind w:firstLine="480" w:firstLineChars="200"/>
        <w:jc w:val="both"/>
        <w:textAlignment w:val="baseline"/>
        <w:rPr>
          <w:rFonts w:hint="eastAsia" w:ascii="仿宋" w:hAnsi="仿宋" w:eastAsia="仿宋" w:cs="仿宋"/>
          <w:b w:val="0"/>
          <w:i w:val="0"/>
          <w:caps w:val="0"/>
          <w:color w:val="auto"/>
          <w:spacing w:val="0"/>
          <w:w w:val="100"/>
          <w:sz w:val="24"/>
          <w:szCs w:val="24"/>
          <w:highlight w:val="none"/>
        </w:rPr>
      </w:pPr>
      <w:r>
        <w:rPr>
          <w:rFonts w:hint="eastAsia" w:ascii="仿宋" w:hAnsi="仿宋" w:eastAsia="仿宋" w:cs="仿宋"/>
          <w:b w:val="0"/>
          <w:i w:val="0"/>
          <w:caps w:val="0"/>
          <w:color w:val="auto"/>
          <w:spacing w:val="0"/>
          <w:w w:val="100"/>
          <w:sz w:val="24"/>
          <w:szCs w:val="24"/>
          <w:highlight w:val="none"/>
          <w:lang w:val="en-US" w:eastAsia="zh-CN"/>
        </w:rPr>
        <w:t>2.</w:t>
      </w:r>
      <w:r>
        <w:rPr>
          <w:rFonts w:hint="eastAsia" w:ascii="仿宋" w:hAnsi="仿宋" w:eastAsia="仿宋" w:cs="仿宋"/>
          <w:b w:val="0"/>
          <w:i w:val="0"/>
          <w:caps w:val="0"/>
          <w:color w:val="auto"/>
          <w:spacing w:val="0"/>
          <w:w w:val="100"/>
          <w:sz w:val="24"/>
          <w:szCs w:val="24"/>
          <w:highlight w:val="none"/>
          <w:lang w:eastAsia="zh-CN"/>
        </w:rPr>
        <w:t>管</w:t>
      </w:r>
      <w:r>
        <w:rPr>
          <w:rFonts w:hint="eastAsia" w:ascii="仿宋" w:hAnsi="仿宋" w:eastAsia="仿宋" w:cs="仿宋"/>
          <w:b w:val="0"/>
          <w:i w:val="0"/>
          <w:caps w:val="0"/>
          <w:color w:val="auto"/>
          <w:spacing w:val="0"/>
          <w:w w:val="100"/>
          <w:sz w:val="24"/>
          <w:szCs w:val="24"/>
          <w:highlight w:val="none"/>
        </w:rPr>
        <w:t>路</w:t>
      </w:r>
    </w:p>
    <w:p>
      <w:pPr>
        <w:numPr>
          <w:ilvl w:val="0"/>
          <w:numId w:val="0"/>
        </w:numPr>
        <w:tabs>
          <w:tab w:val="left" w:pos="1080"/>
        </w:tabs>
        <w:snapToGrid/>
        <w:spacing w:before="0" w:beforeAutospacing="0" w:after="0" w:afterAutospacing="0" w:line="240" w:lineRule="auto"/>
        <w:ind w:left="840" w:leftChars="0"/>
        <w:jc w:val="both"/>
        <w:textAlignment w:val="baseline"/>
        <w:rPr>
          <w:rFonts w:hint="eastAsia" w:ascii="仿宋" w:hAnsi="仿宋" w:eastAsia="仿宋" w:cs="仿宋"/>
          <w:b w:val="0"/>
          <w:i w:val="0"/>
          <w:caps w:val="0"/>
          <w:color w:val="auto"/>
          <w:spacing w:val="0"/>
          <w:w w:val="100"/>
          <w:sz w:val="24"/>
          <w:szCs w:val="24"/>
          <w:highlight w:val="none"/>
        </w:rPr>
      </w:pPr>
      <w:r>
        <w:rPr>
          <w:rFonts w:hint="eastAsia" w:ascii="仿宋" w:hAnsi="仿宋" w:eastAsia="仿宋" w:cs="仿宋"/>
          <w:b w:val="0"/>
          <w:i w:val="0"/>
          <w:caps w:val="0"/>
          <w:color w:val="auto"/>
          <w:spacing w:val="0"/>
          <w:w w:val="100"/>
          <w:sz w:val="24"/>
          <w:szCs w:val="24"/>
          <w:highlight w:val="none"/>
        </w:rPr>
        <w:t>罐</w:t>
      </w:r>
      <w:r>
        <w:rPr>
          <w:rFonts w:hint="eastAsia" w:ascii="仿宋" w:hAnsi="仿宋" w:eastAsia="仿宋" w:cs="仿宋"/>
          <w:b w:val="0"/>
          <w:i w:val="0"/>
          <w:caps w:val="0"/>
          <w:color w:val="auto"/>
          <w:spacing w:val="0"/>
          <w:w w:val="100"/>
          <w:sz w:val="24"/>
          <w:szCs w:val="24"/>
          <w:highlight w:val="none"/>
          <w:lang w:val="en-US" w:eastAsia="zh-CN"/>
        </w:rPr>
        <w:t>进</w:t>
      </w:r>
      <w:r>
        <w:rPr>
          <w:rFonts w:hint="eastAsia" w:ascii="仿宋" w:hAnsi="仿宋" w:eastAsia="仿宋" w:cs="仿宋"/>
          <w:b w:val="0"/>
          <w:i w:val="0"/>
          <w:caps w:val="0"/>
          <w:color w:val="auto"/>
          <w:spacing w:val="0"/>
          <w:w w:val="100"/>
          <w:sz w:val="24"/>
          <w:szCs w:val="24"/>
          <w:highlight w:val="none"/>
        </w:rPr>
        <w:t>水管路：DN</w:t>
      </w:r>
      <w:r>
        <w:rPr>
          <w:rFonts w:hint="eastAsia" w:ascii="仿宋" w:hAnsi="仿宋" w:eastAsia="仿宋" w:cs="仿宋"/>
          <w:b w:val="0"/>
          <w:i w:val="0"/>
          <w:caps w:val="0"/>
          <w:color w:val="auto"/>
          <w:spacing w:val="0"/>
          <w:w w:val="100"/>
          <w:sz w:val="24"/>
          <w:szCs w:val="24"/>
          <w:highlight w:val="none"/>
          <w:lang w:val="en-US" w:eastAsia="zh-CN"/>
        </w:rPr>
        <w:t>8</w:t>
      </w:r>
      <w:r>
        <w:rPr>
          <w:rFonts w:hint="eastAsia" w:ascii="仿宋" w:hAnsi="仿宋" w:eastAsia="仿宋" w:cs="仿宋"/>
          <w:b w:val="0"/>
          <w:i w:val="0"/>
          <w:caps w:val="0"/>
          <w:color w:val="auto"/>
          <w:spacing w:val="0"/>
          <w:w w:val="100"/>
          <w:sz w:val="24"/>
          <w:szCs w:val="24"/>
          <w:highlight w:val="none"/>
        </w:rPr>
        <w:t>0。</w:t>
      </w:r>
    </w:p>
    <w:p>
      <w:pPr>
        <w:numPr>
          <w:ilvl w:val="0"/>
          <w:numId w:val="0"/>
        </w:numPr>
        <w:tabs>
          <w:tab w:val="left" w:pos="1080"/>
        </w:tabs>
        <w:snapToGrid/>
        <w:spacing w:before="0" w:beforeAutospacing="0" w:after="0" w:afterAutospacing="0" w:line="240" w:lineRule="auto"/>
        <w:ind w:left="840" w:leftChars="0"/>
        <w:jc w:val="both"/>
        <w:textAlignment w:val="baseline"/>
        <w:rPr>
          <w:rFonts w:hint="eastAsia" w:ascii="仿宋" w:hAnsi="仿宋" w:eastAsia="仿宋" w:cs="仿宋"/>
          <w:b w:val="0"/>
          <w:i w:val="0"/>
          <w:caps w:val="0"/>
          <w:color w:val="auto"/>
          <w:spacing w:val="0"/>
          <w:w w:val="100"/>
          <w:sz w:val="24"/>
          <w:szCs w:val="24"/>
          <w:highlight w:val="none"/>
        </w:rPr>
      </w:pPr>
      <w:r>
        <w:rPr>
          <w:rFonts w:hint="eastAsia" w:ascii="仿宋" w:hAnsi="仿宋" w:eastAsia="仿宋" w:cs="仿宋"/>
          <w:b w:val="0"/>
          <w:i w:val="0"/>
          <w:caps w:val="0"/>
          <w:color w:val="auto"/>
          <w:spacing w:val="0"/>
          <w:w w:val="100"/>
          <w:sz w:val="24"/>
          <w:szCs w:val="24"/>
          <w:highlight w:val="none"/>
          <w:lang w:val="en-US" w:eastAsia="zh-CN"/>
        </w:rPr>
        <w:t>出水</w:t>
      </w:r>
      <w:r>
        <w:rPr>
          <w:rFonts w:hint="eastAsia" w:ascii="仿宋" w:hAnsi="仿宋" w:eastAsia="仿宋" w:cs="仿宋"/>
          <w:b w:val="0"/>
          <w:i w:val="0"/>
          <w:caps w:val="0"/>
          <w:color w:val="auto"/>
          <w:spacing w:val="0"/>
          <w:w w:val="100"/>
          <w:sz w:val="24"/>
          <w:szCs w:val="24"/>
          <w:highlight w:val="none"/>
        </w:rPr>
        <w:t>管路：DN</w:t>
      </w:r>
      <w:r>
        <w:rPr>
          <w:rFonts w:hint="eastAsia" w:ascii="仿宋" w:hAnsi="仿宋" w:eastAsia="仿宋" w:cs="仿宋"/>
          <w:b w:val="0"/>
          <w:i w:val="0"/>
          <w:caps w:val="0"/>
          <w:color w:val="auto"/>
          <w:spacing w:val="0"/>
          <w:w w:val="100"/>
          <w:sz w:val="24"/>
          <w:szCs w:val="24"/>
          <w:highlight w:val="none"/>
          <w:lang w:val="en-US" w:eastAsia="zh-CN"/>
        </w:rPr>
        <w:t>6</w:t>
      </w:r>
      <w:r>
        <w:rPr>
          <w:rFonts w:hint="eastAsia" w:ascii="仿宋" w:hAnsi="仿宋" w:eastAsia="仿宋" w:cs="仿宋"/>
          <w:b w:val="0"/>
          <w:i w:val="0"/>
          <w:caps w:val="0"/>
          <w:color w:val="auto"/>
          <w:spacing w:val="0"/>
          <w:w w:val="100"/>
          <w:sz w:val="24"/>
          <w:szCs w:val="24"/>
          <w:highlight w:val="none"/>
        </w:rPr>
        <w:t>0，</w:t>
      </w:r>
      <w:r>
        <w:rPr>
          <w:rFonts w:hint="eastAsia" w:ascii="仿宋" w:hAnsi="仿宋" w:eastAsia="仿宋" w:cs="仿宋"/>
          <w:b w:val="0"/>
          <w:i w:val="0"/>
          <w:caps w:val="0"/>
          <w:color w:val="auto"/>
          <w:spacing w:val="0"/>
          <w:w w:val="100"/>
          <w:sz w:val="24"/>
          <w:szCs w:val="24"/>
          <w:highlight w:val="none"/>
          <w:lang w:eastAsia="zh-CN"/>
        </w:rPr>
        <w:t>侧</w:t>
      </w:r>
      <w:r>
        <w:rPr>
          <w:rFonts w:hint="eastAsia" w:ascii="仿宋" w:hAnsi="仿宋" w:eastAsia="仿宋" w:cs="仿宋"/>
          <w:b w:val="0"/>
          <w:i w:val="0"/>
          <w:caps w:val="0"/>
          <w:color w:val="auto"/>
          <w:spacing w:val="0"/>
          <w:w w:val="100"/>
          <w:sz w:val="24"/>
          <w:szCs w:val="24"/>
          <w:highlight w:val="none"/>
        </w:rPr>
        <w:t>置向</w:t>
      </w:r>
      <w:r>
        <w:rPr>
          <w:rFonts w:hint="eastAsia" w:ascii="仿宋" w:hAnsi="仿宋" w:eastAsia="仿宋" w:cs="仿宋"/>
          <w:b w:val="0"/>
          <w:i w:val="0"/>
          <w:caps w:val="0"/>
          <w:color w:val="auto"/>
          <w:spacing w:val="0"/>
          <w:w w:val="100"/>
          <w:sz w:val="24"/>
          <w:szCs w:val="24"/>
          <w:highlight w:val="none"/>
          <w:lang w:eastAsia="zh-CN"/>
        </w:rPr>
        <w:t>外</w:t>
      </w:r>
      <w:r>
        <w:rPr>
          <w:rFonts w:hint="eastAsia" w:ascii="仿宋" w:hAnsi="仿宋" w:eastAsia="仿宋" w:cs="仿宋"/>
          <w:b w:val="0"/>
          <w:i w:val="0"/>
          <w:caps w:val="0"/>
          <w:color w:val="auto"/>
          <w:spacing w:val="0"/>
          <w:w w:val="100"/>
          <w:sz w:val="24"/>
          <w:szCs w:val="24"/>
          <w:highlight w:val="none"/>
        </w:rPr>
        <w:t>。</w:t>
      </w:r>
    </w:p>
    <w:p>
      <w:pPr>
        <w:numPr>
          <w:ilvl w:val="0"/>
          <w:numId w:val="0"/>
        </w:numPr>
        <w:tabs>
          <w:tab w:val="left" w:pos="1080"/>
        </w:tabs>
        <w:snapToGrid/>
        <w:spacing w:before="0" w:beforeAutospacing="0" w:after="0" w:afterAutospacing="0" w:line="240" w:lineRule="auto"/>
        <w:ind w:leftChars="0" w:firstLine="241" w:firstLineChars="100"/>
        <w:jc w:val="both"/>
        <w:textAlignment w:val="baseline"/>
        <w:rPr>
          <w:rFonts w:hint="eastAsia" w:ascii="仿宋" w:hAnsi="仿宋" w:eastAsia="仿宋" w:cs="仿宋"/>
          <w:b/>
          <w:i w:val="0"/>
          <w:caps w:val="0"/>
          <w:color w:val="auto"/>
          <w:spacing w:val="0"/>
          <w:w w:val="100"/>
          <w:sz w:val="24"/>
          <w:szCs w:val="24"/>
          <w:highlight w:val="none"/>
        </w:rPr>
      </w:pPr>
      <w:r>
        <w:rPr>
          <w:rFonts w:hint="eastAsia" w:ascii="仿宋" w:hAnsi="仿宋" w:eastAsia="仿宋" w:cs="仿宋"/>
          <w:b/>
          <w:i w:val="0"/>
          <w:caps w:val="0"/>
          <w:color w:val="auto"/>
          <w:spacing w:val="0"/>
          <w:w w:val="100"/>
          <w:sz w:val="24"/>
          <w:szCs w:val="24"/>
          <w:highlight w:val="none"/>
          <w:lang w:val="en-US" w:eastAsia="zh-CN"/>
        </w:rPr>
        <w:t>六、</w:t>
      </w:r>
      <w:r>
        <w:rPr>
          <w:rFonts w:hint="eastAsia" w:ascii="仿宋" w:hAnsi="仿宋" w:eastAsia="仿宋" w:cs="仿宋"/>
          <w:b/>
          <w:i w:val="0"/>
          <w:caps w:val="0"/>
          <w:color w:val="auto"/>
          <w:spacing w:val="0"/>
          <w:w w:val="100"/>
          <w:sz w:val="24"/>
          <w:szCs w:val="24"/>
          <w:highlight w:val="none"/>
        </w:rPr>
        <w:t>电气系统</w:t>
      </w:r>
    </w:p>
    <w:p>
      <w:pPr>
        <w:numPr>
          <w:ilvl w:val="0"/>
          <w:numId w:val="13"/>
        </w:numPr>
        <w:snapToGrid/>
        <w:spacing w:before="0" w:beforeAutospacing="0" w:after="0" w:afterAutospacing="0" w:line="240" w:lineRule="auto"/>
        <w:ind w:left="1260" w:leftChars="0" w:firstLineChars="0"/>
        <w:jc w:val="both"/>
        <w:textAlignment w:val="baseline"/>
        <w:rPr>
          <w:rFonts w:hint="eastAsia" w:ascii="仿宋" w:hAnsi="仿宋" w:eastAsia="仿宋" w:cs="仿宋"/>
          <w:b w:val="0"/>
          <w:i w:val="0"/>
          <w:caps w:val="0"/>
          <w:color w:val="auto"/>
          <w:spacing w:val="0"/>
          <w:w w:val="100"/>
          <w:sz w:val="24"/>
          <w:szCs w:val="24"/>
          <w:highlight w:val="none"/>
        </w:rPr>
      </w:pPr>
      <w:r>
        <w:rPr>
          <w:rFonts w:hint="eastAsia" w:ascii="仿宋" w:hAnsi="仿宋" w:eastAsia="仿宋" w:cs="仿宋"/>
          <w:b w:val="0"/>
          <w:i w:val="0"/>
          <w:caps w:val="0"/>
          <w:color w:val="auto"/>
          <w:spacing w:val="0"/>
          <w:w w:val="100"/>
          <w:sz w:val="24"/>
          <w:szCs w:val="24"/>
          <w:highlight w:val="none"/>
          <w:lang w:val="en-US" w:eastAsia="zh-CN"/>
        </w:rPr>
        <w:t>顶部安装长排警灯</w:t>
      </w:r>
      <w:r>
        <w:rPr>
          <w:rFonts w:hint="eastAsia" w:ascii="仿宋" w:hAnsi="仿宋" w:eastAsia="仿宋" w:cs="仿宋"/>
          <w:b w:val="0"/>
          <w:i w:val="0"/>
          <w:caps w:val="0"/>
          <w:color w:val="auto"/>
          <w:spacing w:val="0"/>
          <w:w w:val="100"/>
          <w:sz w:val="24"/>
          <w:szCs w:val="24"/>
          <w:highlight w:val="none"/>
        </w:rPr>
        <w:t>。</w:t>
      </w:r>
    </w:p>
    <w:p>
      <w:pPr>
        <w:numPr>
          <w:ilvl w:val="0"/>
          <w:numId w:val="0"/>
        </w:numPr>
        <w:snapToGrid/>
        <w:spacing w:before="0" w:beforeAutospacing="0" w:after="0" w:afterAutospacing="0" w:line="240" w:lineRule="auto"/>
        <w:ind w:left="210" w:leftChars="0"/>
        <w:jc w:val="both"/>
        <w:textAlignment w:val="baseline"/>
        <w:rPr>
          <w:rFonts w:hint="eastAsia" w:ascii="仿宋" w:hAnsi="仿宋" w:eastAsia="仿宋" w:cs="仿宋"/>
          <w:b/>
          <w:i w:val="0"/>
          <w:caps w:val="0"/>
          <w:color w:val="auto"/>
          <w:spacing w:val="0"/>
          <w:w w:val="100"/>
          <w:sz w:val="24"/>
          <w:szCs w:val="24"/>
          <w:highlight w:val="none"/>
        </w:rPr>
      </w:pPr>
      <w:r>
        <w:rPr>
          <w:rFonts w:hint="eastAsia" w:ascii="仿宋" w:hAnsi="仿宋" w:eastAsia="仿宋" w:cs="仿宋"/>
          <w:b/>
          <w:i w:val="0"/>
          <w:caps w:val="0"/>
          <w:color w:val="auto"/>
          <w:spacing w:val="0"/>
          <w:w w:val="100"/>
          <w:sz w:val="24"/>
          <w:szCs w:val="24"/>
          <w:highlight w:val="none"/>
          <w:lang w:val="en-US" w:eastAsia="zh-CN"/>
        </w:rPr>
        <w:t xml:space="preserve"> 七、</w:t>
      </w:r>
      <w:r>
        <w:rPr>
          <w:rFonts w:hint="eastAsia" w:ascii="仿宋" w:hAnsi="仿宋" w:eastAsia="仿宋" w:cs="仿宋"/>
          <w:b/>
          <w:i w:val="0"/>
          <w:caps w:val="0"/>
          <w:color w:val="auto"/>
          <w:spacing w:val="0"/>
          <w:w w:val="100"/>
          <w:sz w:val="24"/>
          <w:szCs w:val="24"/>
          <w:highlight w:val="none"/>
        </w:rPr>
        <w:t>随车基本配备清单</w:t>
      </w:r>
    </w:p>
    <w:tbl>
      <w:tblPr>
        <w:tblStyle w:val="62"/>
        <w:tblW w:w="9239" w:type="dxa"/>
        <w:tblInd w:w="28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0"/>
        <w:gridCol w:w="2139"/>
        <w:gridCol w:w="2480"/>
        <w:gridCol w:w="1860"/>
        <w:gridCol w:w="18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0" w:type="dxa"/>
            <w:vAlign w:val="center"/>
          </w:tcPr>
          <w:p>
            <w:pPr>
              <w:tabs>
                <w:tab w:val="left" w:pos="0"/>
              </w:tabs>
              <w:snapToGrid/>
              <w:spacing w:before="0" w:beforeAutospacing="0" w:after="0" w:afterAutospacing="0" w:line="240" w:lineRule="atLeast"/>
              <w:ind w:left="0" w:hanging="2"/>
              <w:jc w:val="center"/>
              <w:textAlignment w:val="baseline"/>
              <w:rPr>
                <w:rFonts w:hint="eastAsia" w:ascii="仿宋" w:hAnsi="仿宋" w:eastAsia="仿宋" w:cs="仿宋"/>
                <w:b w:val="0"/>
                <w:i w:val="0"/>
                <w:caps w:val="0"/>
                <w:color w:val="auto"/>
                <w:spacing w:val="0"/>
                <w:w w:val="100"/>
                <w:sz w:val="24"/>
                <w:szCs w:val="24"/>
                <w:highlight w:val="none"/>
              </w:rPr>
            </w:pPr>
            <w:r>
              <w:rPr>
                <w:rFonts w:hint="eastAsia" w:ascii="仿宋" w:hAnsi="仿宋" w:eastAsia="仿宋" w:cs="仿宋"/>
                <w:b w:val="0"/>
                <w:i w:val="0"/>
                <w:caps w:val="0"/>
                <w:color w:val="auto"/>
                <w:spacing w:val="0"/>
                <w:w w:val="100"/>
                <w:sz w:val="24"/>
                <w:szCs w:val="24"/>
                <w:highlight w:val="none"/>
              </w:rPr>
              <w:t>序号</w:t>
            </w:r>
          </w:p>
        </w:tc>
        <w:tc>
          <w:tcPr>
            <w:tcW w:w="2139" w:type="dxa"/>
            <w:vAlign w:val="center"/>
          </w:tcPr>
          <w:p>
            <w:pPr>
              <w:snapToGrid/>
              <w:spacing w:before="0" w:beforeAutospacing="0" w:after="0" w:afterAutospacing="0" w:line="240" w:lineRule="atLeast"/>
              <w:ind w:left="170"/>
              <w:jc w:val="center"/>
              <w:textAlignment w:val="baseline"/>
              <w:rPr>
                <w:rFonts w:hint="eastAsia" w:ascii="仿宋" w:hAnsi="仿宋" w:eastAsia="仿宋" w:cs="仿宋"/>
                <w:b w:val="0"/>
                <w:i w:val="0"/>
                <w:caps w:val="0"/>
                <w:color w:val="auto"/>
                <w:spacing w:val="0"/>
                <w:w w:val="100"/>
                <w:sz w:val="24"/>
                <w:szCs w:val="24"/>
                <w:highlight w:val="none"/>
              </w:rPr>
            </w:pPr>
            <w:r>
              <w:rPr>
                <w:rFonts w:hint="eastAsia" w:ascii="仿宋" w:hAnsi="仿宋" w:eastAsia="仿宋" w:cs="仿宋"/>
                <w:b w:val="0"/>
                <w:i w:val="0"/>
                <w:caps w:val="0"/>
                <w:color w:val="auto"/>
                <w:spacing w:val="0"/>
                <w:w w:val="100"/>
                <w:sz w:val="24"/>
                <w:szCs w:val="24"/>
                <w:highlight w:val="none"/>
              </w:rPr>
              <w:t>名 称</w:t>
            </w:r>
          </w:p>
        </w:tc>
        <w:tc>
          <w:tcPr>
            <w:tcW w:w="2480" w:type="dxa"/>
            <w:vAlign w:val="center"/>
          </w:tcPr>
          <w:p>
            <w:pPr>
              <w:snapToGrid/>
              <w:spacing w:before="0" w:beforeAutospacing="0" w:after="0" w:afterAutospacing="0" w:line="240" w:lineRule="atLeast"/>
              <w:ind w:left="170"/>
              <w:jc w:val="center"/>
              <w:textAlignment w:val="baseline"/>
              <w:rPr>
                <w:rFonts w:hint="eastAsia" w:ascii="仿宋" w:hAnsi="仿宋" w:eastAsia="仿宋" w:cs="仿宋"/>
                <w:b w:val="0"/>
                <w:i w:val="0"/>
                <w:caps w:val="0"/>
                <w:color w:val="auto"/>
                <w:spacing w:val="0"/>
                <w:w w:val="100"/>
                <w:sz w:val="24"/>
                <w:szCs w:val="24"/>
                <w:highlight w:val="none"/>
              </w:rPr>
            </w:pPr>
            <w:r>
              <w:rPr>
                <w:rFonts w:hint="eastAsia" w:ascii="仿宋" w:hAnsi="仿宋" w:eastAsia="仿宋" w:cs="仿宋"/>
                <w:b w:val="0"/>
                <w:i w:val="0"/>
                <w:caps w:val="0"/>
                <w:color w:val="auto"/>
                <w:spacing w:val="0"/>
                <w:w w:val="100"/>
                <w:sz w:val="24"/>
                <w:szCs w:val="24"/>
                <w:highlight w:val="none"/>
              </w:rPr>
              <w:t>数 量</w:t>
            </w:r>
          </w:p>
        </w:tc>
        <w:tc>
          <w:tcPr>
            <w:tcW w:w="1860" w:type="dxa"/>
            <w:vAlign w:val="center"/>
          </w:tcPr>
          <w:p>
            <w:pPr>
              <w:snapToGrid/>
              <w:spacing w:before="0" w:beforeAutospacing="0" w:after="0" w:afterAutospacing="0" w:line="240" w:lineRule="atLeast"/>
              <w:ind w:left="170"/>
              <w:jc w:val="center"/>
              <w:textAlignment w:val="baseline"/>
              <w:rPr>
                <w:rFonts w:hint="eastAsia" w:ascii="仿宋" w:hAnsi="仿宋" w:eastAsia="仿宋" w:cs="仿宋"/>
                <w:b w:val="0"/>
                <w:i w:val="0"/>
                <w:caps w:val="0"/>
                <w:color w:val="auto"/>
                <w:spacing w:val="0"/>
                <w:w w:val="100"/>
                <w:sz w:val="24"/>
                <w:szCs w:val="24"/>
                <w:highlight w:val="none"/>
                <w:lang w:val="en-US" w:eastAsia="zh-CN"/>
              </w:rPr>
            </w:pPr>
            <w:r>
              <w:rPr>
                <w:rFonts w:hint="eastAsia" w:ascii="仿宋" w:hAnsi="仿宋" w:eastAsia="仿宋" w:cs="仿宋"/>
                <w:b w:val="0"/>
                <w:i w:val="0"/>
                <w:caps w:val="0"/>
                <w:color w:val="auto"/>
                <w:spacing w:val="0"/>
                <w:w w:val="100"/>
                <w:sz w:val="24"/>
                <w:szCs w:val="24"/>
                <w:highlight w:val="none"/>
                <w:lang w:val="en-US" w:eastAsia="zh-CN"/>
              </w:rPr>
              <w:t>规格</w:t>
            </w:r>
          </w:p>
        </w:tc>
        <w:tc>
          <w:tcPr>
            <w:tcW w:w="1860" w:type="dxa"/>
            <w:vAlign w:val="center"/>
          </w:tcPr>
          <w:p>
            <w:pPr>
              <w:snapToGrid/>
              <w:spacing w:before="0" w:beforeAutospacing="0" w:after="0" w:afterAutospacing="0" w:line="240" w:lineRule="atLeast"/>
              <w:ind w:left="170"/>
              <w:jc w:val="center"/>
              <w:textAlignment w:val="baseline"/>
              <w:rPr>
                <w:rFonts w:hint="eastAsia" w:ascii="仿宋" w:hAnsi="仿宋" w:eastAsia="仿宋" w:cs="仿宋"/>
                <w:b w:val="0"/>
                <w:i w:val="0"/>
                <w:caps w:val="0"/>
                <w:color w:val="auto"/>
                <w:spacing w:val="0"/>
                <w:w w:val="100"/>
                <w:sz w:val="24"/>
                <w:szCs w:val="24"/>
                <w:highlight w:val="none"/>
                <w:lang w:val="en-US" w:eastAsia="zh-CN"/>
              </w:rPr>
            </w:pPr>
            <w:r>
              <w:rPr>
                <w:rFonts w:hint="eastAsia" w:ascii="仿宋" w:hAnsi="仿宋" w:eastAsia="仿宋" w:cs="仿宋"/>
                <w:b w:val="0"/>
                <w:i w:val="0"/>
                <w:caps w:val="0"/>
                <w:color w:val="auto"/>
                <w:spacing w:val="0"/>
                <w:w w:val="100"/>
                <w:sz w:val="24"/>
                <w:szCs w:val="24"/>
                <w:highlight w:val="none"/>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0" w:type="dxa"/>
            <w:vAlign w:val="center"/>
          </w:tcPr>
          <w:p>
            <w:pPr>
              <w:snapToGrid/>
              <w:spacing w:before="0" w:beforeAutospacing="0" w:after="0" w:afterAutospacing="0" w:line="240" w:lineRule="atLeast"/>
              <w:ind w:left="170"/>
              <w:jc w:val="center"/>
              <w:textAlignment w:val="baseline"/>
              <w:rPr>
                <w:rFonts w:hint="eastAsia" w:ascii="仿宋" w:hAnsi="仿宋" w:eastAsia="仿宋" w:cs="仿宋"/>
                <w:b w:val="0"/>
                <w:i w:val="0"/>
                <w:caps w:val="0"/>
                <w:color w:val="auto"/>
                <w:spacing w:val="0"/>
                <w:w w:val="100"/>
                <w:sz w:val="24"/>
                <w:szCs w:val="24"/>
                <w:highlight w:val="none"/>
              </w:rPr>
            </w:pPr>
            <w:r>
              <w:rPr>
                <w:rFonts w:hint="eastAsia" w:ascii="仿宋" w:hAnsi="仿宋" w:eastAsia="仿宋" w:cs="仿宋"/>
                <w:b w:val="0"/>
                <w:i w:val="0"/>
                <w:caps w:val="0"/>
                <w:color w:val="auto"/>
                <w:spacing w:val="0"/>
                <w:w w:val="100"/>
                <w:sz w:val="24"/>
                <w:szCs w:val="24"/>
                <w:highlight w:val="none"/>
              </w:rPr>
              <w:t>1</w:t>
            </w:r>
          </w:p>
        </w:tc>
        <w:tc>
          <w:tcPr>
            <w:tcW w:w="2139" w:type="dxa"/>
            <w:vAlign w:val="center"/>
          </w:tcPr>
          <w:p>
            <w:pPr>
              <w:snapToGrid/>
              <w:spacing w:before="0" w:beforeAutospacing="0" w:after="0" w:afterAutospacing="0" w:line="240" w:lineRule="atLeast"/>
              <w:ind w:leftChars="-132" w:hangingChars="115"/>
              <w:jc w:val="center"/>
              <w:textAlignment w:val="baseline"/>
              <w:rPr>
                <w:rFonts w:hint="eastAsia" w:ascii="仿宋" w:hAnsi="仿宋" w:eastAsia="仿宋" w:cs="仿宋"/>
                <w:b w:val="0"/>
                <w:i w:val="0"/>
                <w:caps w:val="0"/>
                <w:color w:val="auto"/>
                <w:spacing w:val="0"/>
                <w:w w:val="100"/>
                <w:sz w:val="24"/>
                <w:szCs w:val="24"/>
                <w:highlight w:val="none"/>
                <w:lang w:val="en-US" w:eastAsia="zh-CN"/>
              </w:rPr>
            </w:pPr>
            <w:r>
              <w:rPr>
                <w:rFonts w:hint="eastAsia" w:ascii="仿宋" w:hAnsi="仿宋" w:eastAsia="仿宋" w:cs="仿宋"/>
                <w:b w:val="0"/>
                <w:i w:val="0"/>
                <w:caps w:val="0"/>
                <w:color w:val="auto"/>
                <w:spacing w:val="0"/>
                <w:w w:val="100"/>
                <w:sz w:val="24"/>
                <w:szCs w:val="24"/>
                <w:highlight w:val="none"/>
                <w:lang w:val="en-US" w:eastAsia="zh-CN"/>
              </w:rPr>
              <w:t xml:space="preserve"> </w:t>
            </w:r>
            <w:r>
              <w:rPr>
                <w:rFonts w:hint="eastAsia" w:ascii="仿宋" w:hAnsi="仿宋" w:eastAsia="仿宋" w:cs="仿宋"/>
                <w:b w:val="0"/>
                <w:i w:val="0"/>
                <w:caps w:val="0"/>
                <w:color w:val="auto"/>
                <w:spacing w:val="0"/>
                <w:w w:val="100"/>
                <w:sz w:val="24"/>
                <w:szCs w:val="24"/>
                <w:highlight w:val="none"/>
              </w:rPr>
              <w:t>吸水</w:t>
            </w:r>
            <w:r>
              <w:rPr>
                <w:rFonts w:hint="eastAsia" w:ascii="仿宋" w:hAnsi="仿宋" w:eastAsia="仿宋" w:cs="仿宋"/>
                <w:b w:val="0"/>
                <w:i w:val="0"/>
                <w:caps w:val="0"/>
                <w:color w:val="auto"/>
                <w:spacing w:val="0"/>
                <w:w w:val="100"/>
                <w:sz w:val="24"/>
                <w:szCs w:val="24"/>
                <w:highlight w:val="none"/>
                <w:lang w:val="en-US" w:eastAsia="zh-CN"/>
              </w:rPr>
              <w:t>水带</w:t>
            </w:r>
          </w:p>
        </w:tc>
        <w:tc>
          <w:tcPr>
            <w:tcW w:w="2480" w:type="dxa"/>
            <w:vAlign w:val="center"/>
          </w:tcPr>
          <w:p>
            <w:pPr>
              <w:snapToGrid/>
              <w:spacing w:before="0" w:beforeAutospacing="0" w:after="0" w:afterAutospacing="0" w:line="240" w:lineRule="atLeast"/>
              <w:ind w:left="170"/>
              <w:jc w:val="center"/>
              <w:textAlignment w:val="baseline"/>
              <w:rPr>
                <w:rFonts w:hint="eastAsia" w:ascii="仿宋" w:hAnsi="仿宋" w:eastAsia="仿宋" w:cs="仿宋"/>
                <w:b w:val="0"/>
                <w:i w:val="0"/>
                <w:caps w:val="0"/>
                <w:color w:val="auto"/>
                <w:spacing w:val="0"/>
                <w:w w:val="100"/>
                <w:sz w:val="24"/>
                <w:szCs w:val="24"/>
                <w:highlight w:val="none"/>
                <w:lang w:eastAsia="zh-CN"/>
              </w:rPr>
            </w:pPr>
            <w:r>
              <w:rPr>
                <w:rFonts w:hint="eastAsia" w:ascii="仿宋" w:hAnsi="仿宋" w:eastAsia="仿宋" w:cs="仿宋"/>
                <w:b w:val="0"/>
                <w:i w:val="0"/>
                <w:caps w:val="0"/>
                <w:color w:val="auto"/>
                <w:spacing w:val="0"/>
                <w:w w:val="100"/>
                <w:sz w:val="24"/>
                <w:szCs w:val="24"/>
                <w:highlight w:val="none"/>
                <w:lang w:val="en-US" w:eastAsia="zh-CN"/>
              </w:rPr>
              <w:t>4盘</w:t>
            </w:r>
          </w:p>
        </w:tc>
        <w:tc>
          <w:tcPr>
            <w:tcW w:w="1860" w:type="dxa"/>
            <w:vAlign w:val="center"/>
          </w:tcPr>
          <w:p>
            <w:pPr>
              <w:snapToGrid/>
              <w:spacing w:before="0" w:beforeAutospacing="0" w:after="0" w:afterAutospacing="0" w:line="240" w:lineRule="atLeast"/>
              <w:ind w:left="170"/>
              <w:jc w:val="center"/>
              <w:textAlignment w:val="baseline"/>
              <w:rPr>
                <w:rFonts w:hint="eastAsia" w:ascii="仿宋" w:hAnsi="仿宋" w:eastAsia="仿宋" w:cs="仿宋"/>
                <w:b w:val="0"/>
                <w:i w:val="0"/>
                <w:caps w:val="0"/>
                <w:color w:val="auto"/>
                <w:spacing w:val="0"/>
                <w:w w:val="100"/>
                <w:sz w:val="24"/>
                <w:szCs w:val="24"/>
                <w:highlight w:val="none"/>
                <w:lang w:val="en-US" w:eastAsia="zh-CN"/>
              </w:rPr>
            </w:pPr>
            <w:r>
              <w:rPr>
                <w:rFonts w:hint="eastAsia" w:ascii="仿宋" w:hAnsi="仿宋" w:eastAsia="仿宋" w:cs="仿宋"/>
                <w:b w:val="0"/>
                <w:i w:val="0"/>
                <w:caps w:val="0"/>
                <w:color w:val="auto"/>
                <w:spacing w:val="0"/>
                <w:w w:val="100"/>
                <w:sz w:val="24"/>
                <w:szCs w:val="24"/>
                <w:highlight w:val="none"/>
                <w:lang w:val="en-US" w:eastAsia="zh-CN"/>
              </w:rPr>
              <w:t>16-80-20</w:t>
            </w:r>
          </w:p>
        </w:tc>
        <w:tc>
          <w:tcPr>
            <w:tcW w:w="1860" w:type="dxa"/>
            <w:vAlign w:val="center"/>
          </w:tcPr>
          <w:p>
            <w:pPr>
              <w:snapToGrid/>
              <w:spacing w:before="0" w:beforeAutospacing="0" w:after="0" w:afterAutospacing="0" w:line="240" w:lineRule="atLeast"/>
              <w:ind w:left="170"/>
              <w:jc w:val="center"/>
              <w:textAlignment w:val="baseline"/>
              <w:rPr>
                <w:rFonts w:hint="eastAsia" w:ascii="仿宋" w:hAnsi="仿宋" w:eastAsia="仿宋" w:cs="仿宋"/>
                <w:b w:val="0"/>
                <w:i w:val="0"/>
                <w:caps w:val="0"/>
                <w:color w:val="auto"/>
                <w:spacing w:val="0"/>
                <w:w w:val="100"/>
                <w:sz w:val="24"/>
                <w:szCs w:val="24"/>
                <w:highlight w:val="none"/>
                <w:lang w:val="en-US" w:eastAsia="zh-CN"/>
              </w:rPr>
            </w:pPr>
            <w:r>
              <w:rPr>
                <w:rFonts w:hint="eastAsia" w:ascii="仿宋" w:hAnsi="仿宋" w:eastAsia="仿宋" w:cs="仿宋"/>
                <w:b w:val="0"/>
                <w:i w:val="0"/>
                <w:caps w:val="0"/>
                <w:color w:val="auto"/>
                <w:spacing w:val="0"/>
                <w:w w:val="100"/>
                <w:sz w:val="24"/>
                <w:szCs w:val="24"/>
                <w:highlight w:val="none"/>
                <w:lang w:val="en-US" w:eastAsia="zh-CN"/>
              </w:rPr>
              <w:t>内扣式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0" w:type="dxa"/>
            <w:vAlign w:val="center"/>
          </w:tcPr>
          <w:p>
            <w:pPr>
              <w:snapToGrid/>
              <w:spacing w:before="0" w:beforeAutospacing="0" w:after="0" w:afterAutospacing="0" w:line="240" w:lineRule="atLeast"/>
              <w:ind w:left="170"/>
              <w:jc w:val="center"/>
              <w:textAlignment w:val="baseline"/>
              <w:rPr>
                <w:rFonts w:hint="eastAsia" w:ascii="仿宋" w:hAnsi="仿宋" w:eastAsia="仿宋" w:cs="仿宋"/>
                <w:b w:val="0"/>
                <w:i w:val="0"/>
                <w:caps w:val="0"/>
                <w:color w:val="auto"/>
                <w:spacing w:val="0"/>
                <w:w w:val="100"/>
                <w:sz w:val="24"/>
                <w:szCs w:val="24"/>
                <w:highlight w:val="none"/>
                <w:lang w:eastAsia="zh-CN"/>
              </w:rPr>
            </w:pPr>
            <w:r>
              <w:rPr>
                <w:rFonts w:hint="eastAsia" w:ascii="仿宋" w:hAnsi="仿宋" w:eastAsia="仿宋" w:cs="仿宋"/>
                <w:b w:val="0"/>
                <w:i w:val="0"/>
                <w:caps w:val="0"/>
                <w:color w:val="auto"/>
                <w:spacing w:val="0"/>
                <w:w w:val="100"/>
                <w:sz w:val="24"/>
                <w:szCs w:val="24"/>
                <w:highlight w:val="none"/>
                <w:lang w:val="en-US" w:eastAsia="zh-CN"/>
              </w:rPr>
              <w:t>2</w:t>
            </w:r>
          </w:p>
        </w:tc>
        <w:tc>
          <w:tcPr>
            <w:tcW w:w="2139" w:type="dxa"/>
            <w:vAlign w:val="center"/>
          </w:tcPr>
          <w:p>
            <w:pPr>
              <w:snapToGrid/>
              <w:spacing w:before="0" w:beforeAutospacing="0" w:after="0" w:afterAutospacing="0" w:line="240" w:lineRule="atLeast"/>
              <w:ind w:left="170"/>
              <w:jc w:val="center"/>
              <w:textAlignment w:val="baseline"/>
              <w:rPr>
                <w:rFonts w:hint="eastAsia" w:ascii="仿宋" w:hAnsi="仿宋" w:eastAsia="仿宋" w:cs="仿宋"/>
                <w:b w:val="0"/>
                <w:i w:val="0"/>
                <w:caps w:val="0"/>
                <w:color w:val="auto"/>
                <w:spacing w:val="0"/>
                <w:w w:val="100"/>
                <w:sz w:val="24"/>
                <w:szCs w:val="24"/>
                <w:highlight w:val="none"/>
              </w:rPr>
            </w:pPr>
            <w:r>
              <w:rPr>
                <w:rFonts w:hint="eastAsia" w:ascii="仿宋" w:hAnsi="仿宋" w:eastAsia="仿宋" w:cs="仿宋"/>
                <w:b w:val="0"/>
                <w:i w:val="0"/>
                <w:caps w:val="0"/>
                <w:color w:val="auto"/>
                <w:spacing w:val="0"/>
                <w:w w:val="100"/>
                <w:sz w:val="24"/>
                <w:szCs w:val="24"/>
                <w:highlight w:val="none"/>
              </w:rPr>
              <w:t>吸水管扳手</w:t>
            </w:r>
          </w:p>
        </w:tc>
        <w:tc>
          <w:tcPr>
            <w:tcW w:w="2480" w:type="dxa"/>
            <w:vAlign w:val="center"/>
          </w:tcPr>
          <w:p>
            <w:pPr>
              <w:snapToGrid/>
              <w:spacing w:before="0" w:beforeAutospacing="0" w:after="0" w:afterAutospacing="0" w:line="240" w:lineRule="atLeast"/>
              <w:ind w:left="170"/>
              <w:jc w:val="center"/>
              <w:textAlignment w:val="baseline"/>
              <w:rPr>
                <w:rFonts w:hint="eastAsia" w:ascii="仿宋" w:hAnsi="仿宋" w:eastAsia="仿宋" w:cs="仿宋"/>
                <w:b w:val="0"/>
                <w:i w:val="0"/>
                <w:caps w:val="0"/>
                <w:color w:val="auto"/>
                <w:spacing w:val="0"/>
                <w:w w:val="100"/>
                <w:sz w:val="24"/>
                <w:szCs w:val="24"/>
                <w:highlight w:val="none"/>
              </w:rPr>
            </w:pPr>
            <w:r>
              <w:rPr>
                <w:rFonts w:hint="eastAsia" w:ascii="仿宋" w:hAnsi="仿宋" w:eastAsia="仿宋" w:cs="仿宋"/>
                <w:b w:val="0"/>
                <w:i w:val="0"/>
                <w:caps w:val="0"/>
                <w:color w:val="auto"/>
                <w:spacing w:val="0"/>
                <w:w w:val="100"/>
                <w:sz w:val="24"/>
                <w:szCs w:val="24"/>
                <w:highlight w:val="none"/>
              </w:rPr>
              <w:t>2个</w:t>
            </w:r>
          </w:p>
        </w:tc>
        <w:tc>
          <w:tcPr>
            <w:tcW w:w="1860" w:type="dxa"/>
            <w:vAlign w:val="center"/>
          </w:tcPr>
          <w:p>
            <w:pPr>
              <w:snapToGrid/>
              <w:spacing w:before="0" w:beforeAutospacing="0" w:after="0" w:afterAutospacing="0" w:line="240" w:lineRule="atLeast"/>
              <w:ind w:left="170"/>
              <w:jc w:val="center"/>
              <w:textAlignment w:val="baseline"/>
              <w:rPr>
                <w:rFonts w:hint="eastAsia" w:ascii="仿宋" w:hAnsi="仿宋" w:eastAsia="仿宋" w:cs="仿宋"/>
                <w:b w:val="0"/>
                <w:i w:val="0"/>
                <w:caps w:val="0"/>
                <w:color w:val="auto"/>
                <w:spacing w:val="0"/>
                <w:w w:val="100"/>
                <w:sz w:val="24"/>
                <w:szCs w:val="24"/>
                <w:highlight w:val="none"/>
              </w:rPr>
            </w:pPr>
          </w:p>
        </w:tc>
        <w:tc>
          <w:tcPr>
            <w:tcW w:w="1860" w:type="dxa"/>
            <w:vAlign w:val="center"/>
          </w:tcPr>
          <w:p>
            <w:pPr>
              <w:snapToGrid/>
              <w:spacing w:before="0" w:beforeAutospacing="0" w:after="0" w:afterAutospacing="0" w:line="240" w:lineRule="atLeast"/>
              <w:ind w:left="170"/>
              <w:jc w:val="center"/>
              <w:textAlignment w:val="baseline"/>
              <w:rPr>
                <w:rFonts w:hint="eastAsia" w:ascii="仿宋" w:hAnsi="仿宋" w:eastAsia="仿宋" w:cs="仿宋"/>
                <w:b w:val="0"/>
                <w:i w:val="0"/>
                <w:caps w:val="0"/>
                <w:color w:val="auto"/>
                <w:spacing w:val="0"/>
                <w:w w:val="10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0" w:type="dxa"/>
            <w:vAlign w:val="center"/>
          </w:tcPr>
          <w:p>
            <w:pPr>
              <w:snapToGrid/>
              <w:spacing w:before="0" w:beforeAutospacing="0" w:after="0" w:afterAutospacing="0" w:line="240" w:lineRule="atLeast"/>
              <w:ind w:left="170"/>
              <w:jc w:val="center"/>
              <w:textAlignment w:val="baseline"/>
              <w:rPr>
                <w:rFonts w:hint="eastAsia" w:ascii="仿宋" w:hAnsi="仿宋" w:eastAsia="仿宋" w:cs="仿宋"/>
                <w:b w:val="0"/>
                <w:i w:val="0"/>
                <w:caps w:val="0"/>
                <w:color w:val="auto"/>
                <w:spacing w:val="0"/>
                <w:w w:val="100"/>
                <w:sz w:val="24"/>
                <w:szCs w:val="24"/>
                <w:highlight w:val="none"/>
                <w:lang w:val="en-US" w:eastAsia="zh-CN"/>
              </w:rPr>
            </w:pPr>
            <w:r>
              <w:rPr>
                <w:rFonts w:hint="eastAsia" w:ascii="仿宋" w:hAnsi="仿宋" w:eastAsia="仿宋" w:cs="仿宋"/>
                <w:b w:val="0"/>
                <w:i w:val="0"/>
                <w:caps w:val="0"/>
                <w:color w:val="auto"/>
                <w:spacing w:val="0"/>
                <w:w w:val="100"/>
                <w:sz w:val="24"/>
                <w:szCs w:val="24"/>
                <w:highlight w:val="none"/>
                <w:lang w:val="en-US" w:eastAsia="zh-CN"/>
              </w:rPr>
              <w:t>3</w:t>
            </w:r>
          </w:p>
        </w:tc>
        <w:tc>
          <w:tcPr>
            <w:tcW w:w="2139" w:type="dxa"/>
            <w:vAlign w:val="center"/>
          </w:tcPr>
          <w:p>
            <w:pPr>
              <w:snapToGrid/>
              <w:spacing w:before="0" w:beforeAutospacing="0" w:after="0" w:afterAutospacing="0" w:line="240" w:lineRule="atLeast"/>
              <w:ind w:left="170"/>
              <w:jc w:val="center"/>
              <w:textAlignment w:val="baseline"/>
              <w:rPr>
                <w:rFonts w:hint="eastAsia" w:ascii="仿宋" w:hAnsi="仿宋" w:eastAsia="仿宋" w:cs="仿宋"/>
                <w:b w:val="0"/>
                <w:i w:val="0"/>
                <w:caps w:val="0"/>
                <w:color w:val="auto"/>
                <w:spacing w:val="0"/>
                <w:w w:val="100"/>
                <w:sz w:val="24"/>
                <w:szCs w:val="24"/>
                <w:highlight w:val="none"/>
                <w:lang w:val="en-US" w:eastAsia="zh-CN"/>
              </w:rPr>
            </w:pPr>
            <w:r>
              <w:rPr>
                <w:rFonts w:hint="eastAsia" w:ascii="仿宋" w:hAnsi="仿宋" w:eastAsia="仿宋" w:cs="仿宋"/>
                <w:b w:val="0"/>
                <w:i w:val="0"/>
                <w:caps w:val="0"/>
                <w:color w:val="auto"/>
                <w:spacing w:val="0"/>
                <w:w w:val="100"/>
                <w:sz w:val="24"/>
                <w:szCs w:val="24"/>
                <w:highlight w:val="none"/>
                <w:lang w:val="en-US" w:eastAsia="zh-CN"/>
              </w:rPr>
              <w:t>防沙桶</w:t>
            </w:r>
          </w:p>
        </w:tc>
        <w:tc>
          <w:tcPr>
            <w:tcW w:w="2480" w:type="dxa"/>
            <w:vAlign w:val="center"/>
          </w:tcPr>
          <w:p>
            <w:pPr>
              <w:snapToGrid/>
              <w:spacing w:before="0" w:beforeAutospacing="0" w:after="0" w:afterAutospacing="0" w:line="240" w:lineRule="atLeast"/>
              <w:ind w:left="170"/>
              <w:jc w:val="center"/>
              <w:textAlignment w:val="baseline"/>
              <w:rPr>
                <w:rFonts w:hint="eastAsia" w:ascii="仿宋" w:hAnsi="仿宋" w:eastAsia="仿宋" w:cs="仿宋"/>
                <w:b w:val="0"/>
                <w:i w:val="0"/>
                <w:caps w:val="0"/>
                <w:color w:val="auto"/>
                <w:spacing w:val="0"/>
                <w:w w:val="100"/>
                <w:sz w:val="24"/>
                <w:szCs w:val="24"/>
                <w:highlight w:val="none"/>
                <w:lang w:val="en-US" w:eastAsia="zh-CN"/>
              </w:rPr>
            </w:pPr>
            <w:r>
              <w:rPr>
                <w:rFonts w:hint="eastAsia" w:ascii="仿宋" w:hAnsi="仿宋" w:eastAsia="仿宋" w:cs="仿宋"/>
                <w:b w:val="0"/>
                <w:i w:val="0"/>
                <w:caps w:val="0"/>
                <w:color w:val="auto"/>
                <w:spacing w:val="0"/>
                <w:w w:val="100"/>
                <w:sz w:val="24"/>
                <w:szCs w:val="24"/>
                <w:highlight w:val="none"/>
                <w:lang w:val="en-US" w:eastAsia="zh-CN"/>
              </w:rPr>
              <w:t>1</w:t>
            </w:r>
            <w:r>
              <w:rPr>
                <w:rFonts w:hint="eastAsia" w:ascii="仿宋" w:hAnsi="仿宋" w:eastAsia="仿宋" w:cs="仿宋"/>
                <w:b w:val="0"/>
                <w:i w:val="0"/>
                <w:caps w:val="0"/>
                <w:color w:val="auto"/>
                <w:spacing w:val="0"/>
                <w:w w:val="100"/>
                <w:sz w:val="24"/>
                <w:szCs w:val="24"/>
                <w:highlight w:val="none"/>
              </w:rPr>
              <w:t>个</w:t>
            </w:r>
          </w:p>
        </w:tc>
        <w:tc>
          <w:tcPr>
            <w:tcW w:w="1860" w:type="dxa"/>
            <w:vAlign w:val="center"/>
          </w:tcPr>
          <w:p>
            <w:pPr>
              <w:snapToGrid/>
              <w:spacing w:before="0" w:beforeAutospacing="0" w:after="0" w:afterAutospacing="0" w:line="240" w:lineRule="atLeast"/>
              <w:ind w:left="170"/>
              <w:jc w:val="center"/>
              <w:textAlignment w:val="baseline"/>
              <w:rPr>
                <w:rFonts w:hint="eastAsia" w:ascii="仿宋" w:hAnsi="仿宋" w:eastAsia="仿宋" w:cs="仿宋"/>
                <w:b w:val="0"/>
                <w:i w:val="0"/>
                <w:caps w:val="0"/>
                <w:color w:val="auto"/>
                <w:spacing w:val="0"/>
                <w:w w:val="100"/>
                <w:sz w:val="24"/>
                <w:szCs w:val="24"/>
                <w:highlight w:val="none"/>
              </w:rPr>
            </w:pPr>
          </w:p>
        </w:tc>
        <w:tc>
          <w:tcPr>
            <w:tcW w:w="1860" w:type="dxa"/>
            <w:vAlign w:val="center"/>
          </w:tcPr>
          <w:p>
            <w:pPr>
              <w:snapToGrid/>
              <w:spacing w:before="0" w:beforeAutospacing="0" w:after="0" w:afterAutospacing="0" w:line="240" w:lineRule="atLeast"/>
              <w:ind w:left="170"/>
              <w:jc w:val="center"/>
              <w:textAlignment w:val="baseline"/>
              <w:rPr>
                <w:rFonts w:hint="eastAsia" w:ascii="仿宋" w:hAnsi="仿宋" w:eastAsia="仿宋" w:cs="仿宋"/>
                <w:b w:val="0"/>
                <w:i w:val="0"/>
                <w:caps w:val="0"/>
                <w:color w:val="auto"/>
                <w:spacing w:val="0"/>
                <w:w w:val="10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0" w:type="dxa"/>
            <w:vAlign w:val="center"/>
          </w:tcPr>
          <w:p>
            <w:pPr>
              <w:snapToGrid/>
              <w:spacing w:before="0" w:beforeAutospacing="0" w:after="0" w:afterAutospacing="0" w:line="240" w:lineRule="atLeast"/>
              <w:ind w:left="170"/>
              <w:jc w:val="center"/>
              <w:textAlignment w:val="baseline"/>
              <w:rPr>
                <w:rFonts w:hint="eastAsia" w:ascii="仿宋" w:hAnsi="仿宋" w:eastAsia="仿宋" w:cs="仿宋"/>
                <w:b w:val="0"/>
                <w:i w:val="0"/>
                <w:caps w:val="0"/>
                <w:color w:val="auto"/>
                <w:spacing w:val="0"/>
                <w:w w:val="100"/>
                <w:sz w:val="24"/>
                <w:szCs w:val="24"/>
                <w:highlight w:val="none"/>
                <w:lang w:val="en-US" w:eastAsia="zh-CN"/>
              </w:rPr>
            </w:pPr>
            <w:r>
              <w:rPr>
                <w:rFonts w:hint="eastAsia" w:ascii="仿宋" w:hAnsi="仿宋" w:eastAsia="仿宋" w:cs="仿宋"/>
                <w:b w:val="0"/>
                <w:i w:val="0"/>
                <w:caps w:val="0"/>
                <w:color w:val="auto"/>
                <w:spacing w:val="0"/>
                <w:w w:val="100"/>
                <w:sz w:val="24"/>
                <w:szCs w:val="24"/>
                <w:highlight w:val="none"/>
                <w:lang w:val="en-US" w:eastAsia="zh-CN"/>
              </w:rPr>
              <w:t>4</w:t>
            </w:r>
          </w:p>
        </w:tc>
        <w:tc>
          <w:tcPr>
            <w:tcW w:w="2139" w:type="dxa"/>
            <w:vAlign w:val="center"/>
          </w:tcPr>
          <w:p>
            <w:pPr>
              <w:snapToGrid/>
              <w:spacing w:before="0" w:beforeAutospacing="0" w:after="0" w:afterAutospacing="0" w:line="240" w:lineRule="atLeast"/>
              <w:ind w:left="170"/>
              <w:jc w:val="center"/>
              <w:textAlignment w:val="baseline"/>
              <w:rPr>
                <w:rFonts w:hint="eastAsia" w:ascii="仿宋" w:hAnsi="仿宋" w:eastAsia="仿宋" w:cs="仿宋"/>
                <w:b w:val="0"/>
                <w:i w:val="0"/>
                <w:caps w:val="0"/>
                <w:color w:val="auto"/>
                <w:spacing w:val="0"/>
                <w:w w:val="100"/>
                <w:sz w:val="24"/>
                <w:szCs w:val="24"/>
                <w:highlight w:val="none"/>
                <w:lang w:val="en-US" w:eastAsia="zh-CN"/>
              </w:rPr>
            </w:pPr>
            <w:r>
              <w:rPr>
                <w:rFonts w:hint="eastAsia" w:ascii="仿宋" w:hAnsi="仿宋" w:eastAsia="仿宋" w:cs="仿宋"/>
                <w:b w:val="0"/>
                <w:i w:val="0"/>
                <w:caps w:val="0"/>
                <w:color w:val="auto"/>
                <w:spacing w:val="0"/>
                <w:w w:val="100"/>
                <w:sz w:val="24"/>
                <w:szCs w:val="24"/>
                <w:highlight w:val="none"/>
                <w:lang w:val="en-US" w:eastAsia="zh-CN"/>
              </w:rPr>
              <w:t>救水桶</w:t>
            </w:r>
          </w:p>
        </w:tc>
        <w:tc>
          <w:tcPr>
            <w:tcW w:w="2480" w:type="dxa"/>
            <w:vAlign w:val="center"/>
          </w:tcPr>
          <w:p>
            <w:pPr>
              <w:snapToGrid/>
              <w:spacing w:before="0" w:beforeAutospacing="0" w:after="0" w:afterAutospacing="0" w:line="240" w:lineRule="atLeast"/>
              <w:ind w:left="170"/>
              <w:jc w:val="center"/>
              <w:textAlignment w:val="baseline"/>
              <w:rPr>
                <w:rFonts w:hint="eastAsia" w:ascii="仿宋" w:hAnsi="仿宋" w:eastAsia="仿宋" w:cs="仿宋"/>
                <w:b w:val="0"/>
                <w:i w:val="0"/>
                <w:caps w:val="0"/>
                <w:color w:val="auto"/>
                <w:spacing w:val="0"/>
                <w:w w:val="100"/>
                <w:sz w:val="24"/>
                <w:szCs w:val="24"/>
                <w:highlight w:val="none"/>
                <w:lang w:val="en-US" w:eastAsia="zh-CN"/>
              </w:rPr>
            </w:pPr>
            <w:r>
              <w:rPr>
                <w:rFonts w:hint="eastAsia" w:ascii="仿宋" w:hAnsi="仿宋" w:eastAsia="仿宋" w:cs="仿宋"/>
                <w:b w:val="0"/>
                <w:i w:val="0"/>
                <w:caps w:val="0"/>
                <w:color w:val="auto"/>
                <w:spacing w:val="0"/>
                <w:w w:val="100"/>
                <w:sz w:val="24"/>
                <w:szCs w:val="24"/>
                <w:highlight w:val="none"/>
                <w:lang w:val="en-US" w:eastAsia="zh-CN"/>
              </w:rPr>
              <w:t>1</w:t>
            </w:r>
            <w:r>
              <w:rPr>
                <w:rFonts w:hint="eastAsia" w:ascii="仿宋" w:hAnsi="仿宋" w:eastAsia="仿宋" w:cs="仿宋"/>
                <w:b w:val="0"/>
                <w:i w:val="0"/>
                <w:caps w:val="0"/>
                <w:color w:val="auto"/>
                <w:spacing w:val="0"/>
                <w:w w:val="100"/>
                <w:sz w:val="24"/>
                <w:szCs w:val="24"/>
                <w:highlight w:val="none"/>
              </w:rPr>
              <w:t>个</w:t>
            </w:r>
          </w:p>
        </w:tc>
        <w:tc>
          <w:tcPr>
            <w:tcW w:w="1860" w:type="dxa"/>
            <w:vAlign w:val="center"/>
          </w:tcPr>
          <w:p>
            <w:pPr>
              <w:snapToGrid/>
              <w:spacing w:before="0" w:beforeAutospacing="0" w:after="0" w:afterAutospacing="0" w:line="240" w:lineRule="atLeast"/>
              <w:ind w:left="170"/>
              <w:jc w:val="center"/>
              <w:textAlignment w:val="baseline"/>
              <w:rPr>
                <w:rFonts w:hint="eastAsia" w:ascii="仿宋" w:hAnsi="仿宋" w:eastAsia="仿宋" w:cs="仿宋"/>
                <w:b w:val="0"/>
                <w:i w:val="0"/>
                <w:caps w:val="0"/>
                <w:color w:val="auto"/>
                <w:spacing w:val="0"/>
                <w:w w:val="100"/>
                <w:sz w:val="24"/>
                <w:szCs w:val="24"/>
                <w:highlight w:val="none"/>
              </w:rPr>
            </w:pPr>
          </w:p>
        </w:tc>
        <w:tc>
          <w:tcPr>
            <w:tcW w:w="1860" w:type="dxa"/>
            <w:vAlign w:val="center"/>
          </w:tcPr>
          <w:p>
            <w:pPr>
              <w:snapToGrid/>
              <w:spacing w:before="0" w:beforeAutospacing="0" w:after="0" w:afterAutospacing="0" w:line="240" w:lineRule="atLeast"/>
              <w:ind w:left="170"/>
              <w:jc w:val="center"/>
              <w:textAlignment w:val="baseline"/>
              <w:rPr>
                <w:rFonts w:hint="eastAsia" w:ascii="仿宋" w:hAnsi="仿宋" w:eastAsia="仿宋" w:cs="仿宋"/>
                <w:b w:val="0"/>
                <w:i w:val="0"/>
                <w:caps w:val="0"/>
                <w:color w:val="auto"/>
                <w:spacing w:val="0"/>
                <w:w w:val="10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0" w:type="dxa"/>
            <w:vAlign w:val="center"/>
          </w:tcPr>
          <w:p>
            <w:pPr>
              <w:snapToGrid/>
              <w:spacing w:before="0" w:beforeAutospacing="0" w:after="0" w:afterAutospacing="0" w:line="240" w:lineRule="atLeast"/>
              <w:ind w:left="170"/>
              <w:jc w:val="center"/>
              <w:textAlignment w:val="baseline"/>
              <w:rPr>
                <w:rFonts w:hint="eastAsia" w:ascii="仿宋" w:hAnsi="仿宋" w:eastAsia="仿宋" w:cs="仿宋"/>
                <w:b w:val="0"/>
                <w:i w:val="0"/>
                <w:caps w:val="0"/>
                <w:color w:val="auto"/>
                <w:spacing w:val="0"/>
                <w:w w:val="100"/>
                <w:sz w:val="24"/>
                <w:szCs w:val="24"/>
                <w:highlight w:val="none"/>
                <w:lang w:val="en-US" w:eastAsia="zh-CN"/>
              </w:rPr>
            </w:pPr>
            <w:r>
              <w:rPr>
                <w:rFonts w:hint="eastAsia" w:ascii="仿宋" w:hAnsi="仿宋" w:eastAsia="仿宋" w:cs="仿宋"/>
                <w:b w:val="0"/>
                <w:i w:val="0"/>
                <w:caps w:val="0"/>
                <w:color w:val="auto"/>
                <w:spacing w:val="0"/>
                <w:w w:val="100"/>
                <w:sz w:val="24"/>
                <w:szCs w:val="24"/>
                <w:highlight w:val="none"/>
                <w:lang w:val="en-US" w:eastAsia="zh-CN"/>
              </w:rPr>
              <w:t>5</w:t>
            </w:r>
          </w:p>
        </w:tc>
        <w:tc>
          <w:tcPr>
            <w:tcW w:w="2139" w:type="dxa"/>
            <w:vAlign w:val="center"/>
          </w:tcPr>
          <w:p>
            <w:pPr>
              <w:snapToGrid/>
              <w:spacing w:before="0" w:beforeAutospacing="0" w:after="0" w:afterAutospacing="0" w:line="240" w:lineRule="atLeast"/>
              <w:ind w:left="170"/>
              <w:jc w:val="center"/>
              <w:textAlignment w:val="baseline"/>
              <w:rPr>
                <w:rFonts w:hint="eastAsia" w:ascii="仿宋" w:hAnsi="仿宋" w:eastAsia="仿宋" w:cs="仿宋"/>
                <w:b w:val="0"/>
                <w:i w:val="0"/>
                <w:caps w:val="0"/>
                <w:color w:val="auto"/>
                <w:spacing w:val="0"/>
                <w:w w:val="100"/>
                <w:sz w:val="24"/>
                <w:szCs w:val="24"/>
                <w:highlight w:val="none"/>
                <w:lang w:val="en-US" w:eastAsia="zh-CN"/>
              </w:rPr>
            </w:pPr>
            <w:r>
              <w:rPr>
                <w:rFonts w:hint="eastAsia" w:ascii="仿宋" w:hAnsi="仿宋" w:eastAsia="仿宋" w:cs="仿宋"/>
                <w:b w:val="0"/>
                <w:i w:val="0"/>
                <w:caps w:val="0"/>
                <w:color w:val="auto"/>
                <w:spacing w:val="0"/>
                <w:w w:val="100"/>
                <w:sz w:val="24"/>
                <w:szCs w:val="24"/>
                <w:highlight w:val="none"/>
                <w:lang w:val="en-US" w:eastAsia="zh-CN"/>
              </w:rPr>
              <w:t>撬棍</w:t>
            </w:r>
          </w:p>
        </w:tc>
        <w:tc>
          <w:tcPr>
            <w:tcW w:w="2480" w:type="dxa"/>
            <w:vAlign w:val="center"/>
          </w:tcPr>
          <w:p>
            <w:pPr>
              <w:snapToGrid/>
              <w:spacing w:before="0" w:beforeAutospacing="0" w:after="0" w:afterAutospacing="0" w:line="240" w:lineRule="atLeast"/>
              <w:ind w:left="170"/>
              <w:jc w:val="center"/>
              <w:textAlignment w:val="baseline"/>
              <w:rPr>
                <w:rFonts w:hint="eastAsia" w:ascii="仿宋" w:hAnsi="仿宋" w:eastAsia="仿宋" w:cs="仿宋"/>
                <w:b w:val="0"/>
                <w:i w:val="0"/>
                <w:caps w:val="0"/>
                <w:color w:val="auto"/>
                <w:spacing w:val="0"/>
                <w:w w:val="100"/>
                <w:sz w:val="24"/>
                <w:szCs w:val="24"/>
                <w:highlight w:val="none"/>
                <w:lang w:val="en-US" w:eastAsia="zh-CN"/>
              </w:rPr>
            </w:pPr>
            <w:r>
              <w:rPr>
                <w:rFonts w:hint="eastAsia" w:ascii="仿宋" w:hAnsi="仿宋" w:eastAsia="仿宋" w:cs="仿宋"/>
                <w:b w:val="0"/>
                <w:i w:val="0"/>
                <w:caps w:val="0"/>
                <w:color w:val="auto"/>
                <w:spacing w:val="0"/>
                <w:w w:val="100"/>
                <w:sz w:val="24"/>
                <w:szCs w:val="24"/>
                <w:highlight w:val="none"/>
                <w:lang w:val="en-US" w:eastAsia="zh-CN"/>
              </w:rPr>
              <w:t>1</w:t>
            </w:r>
            <w:r>
              <w:rPr>
                <w:rFonts w:hint="eastAsia" w:ascii="仿宋" w:hAnsi="仿宋" w:eastAsia="仿宋" w:cs="仿宋"/>
                <w:b w:val="0"/>
                <w:i w:val="0"/>
                <w:caps w:val="0"/>
                <w:color w:val="auto"/>
                <w:spacing w:val="0"/>
                <w:w w:val="100"/>
                <w:sz w:val="24"/>
                <w:szCs w:val="24"/>
                <w:highlight w:val="none"/>
              </w:rPr>
              <w:t>个</w:t>
            </w:r>
          </w:p>
        </w:tc>
        <w:tc>
          <w:tcPr>
            <w:tcW w:w="1860" w:type="dxa"/>
            <w:vAlign w:val="center"/>
          </w:tcPr>
          <w:p>
            <w:pPr>
              <w:snapToGrid/>
              <w:spacing w:before="0" w:beforeAutospacing="0" w:after="0" w:afterAutospacing="0" w:line="240" w:lineRule="atLeast"/>
              <w:ind w:left="170"/>
              <w:jc w:val="center"/>
              <w:textAlignment w:val="baseline"/>
              <w:rPr>
                <w:rFonts w:hint="eastAsia" w:ascii="仿宋" w:hAnsi="仿宋" w:eastAsia="仿宋" w:cs="仿宋"/>
                <w:b w:val="0"/>
                <w:i w:val="0"/>
                <w:caps w:val="0"/>
                <w:color w:val="auto"/>
                <w:spacing w:val="0"/>
                <w:w w:val="100"/>
                <w:sz w:val="24"/>
                <w:szCs w:val="24"/>
                <w:highlight w:val="none"/>
              </w:rPr>
            </w:pPr>
          </w:p>
        </w:tc>
        <w:tc>
          <w:tcPr>
            <w:tcW w:w="1860" w:type="dxa"/>
            <w:vAlign w:val="center"/>
          </w:tcPr>
          <w:p>
            <w:pPr>
              <w:snapToGrid/>
              <w:spacing w:before="0" w:beforeAutospacing="0" w:after="0" w:afterAutospacing="0" w:line="240" w:lineRule="atLeast"/>
              <w:ind w:left="170"/>
              <w:jc w:val="center"/>
              <w:textAlignment w:val="baseline"/>
              <w:rPr>
                <w:rFonts w:hint="eastAsia" w:ascii="仿宋" w:hAnsi="仿宋" w:eastAsia="仿宋" w:cs="仿宋"/>
                <w:b w:val="0"/>
                <w:i w:val="0"/>
                <w:caps w:val="0"/>
                <w:color w:val="auto"/>
                <w:spacing w:val="0"/>
                <w:w w:val="100"/>
                <w:sz w:val="24"/>
                <w:szCs w:val="24"/>
                <w:highlight w:val="none"/>
              </w:rPr>
            </w:pPr>
          </w:p>
        </w:tc>
      </w:tr>
    </w:tbl>
    <w:p>
      <w:pPr>
        <w:numPr>
          <w:ilvl w:val="0"/>
          <w:numId w:val="0"/>
        </w:numPr>
        <w:snapToGrid/>
        <w:spacing w:before="0" w:beforeAutospacing="0" w:after="0" w:afterAutospacing="0" w:line="240" w:lineRule="auto"/>
        <w:ind w:left="420" w:leftChars="0"/>
        <w:jc w:val="both"/>
        <w:textAlignment w:val="baseline"/>
        <w:rPr>
          <w:rFonts w:hint="eastAsia" w:ascii="仿宋" w:hAnsi="仿宋" w:eastAsia="仿宋" w:cs="仿宋"/>
          <w:b/>
          <w:i w:val="0"/>
          <w:caps w:val="0"/>
          <w:color w:val="auto"/>
          <w:spacing w:val="0"/>
          <w:w w:val="100"/>
          <w:sz w:val="24"/>
          <w:szCs w:val="24"/>
          <w:highlight w:val="none"/>
        </w:rPr>
      </w:pPr>
      <w:r>
        <w:rPr>
          <w:rFonts w:hint="eastAsia" w:ascii="仿宋" w:hAnsi="仿宋" w:eastAsia="仿宋" w:cs="仿宋"/>
          <w:b/>
          <w:i w:val="0"/>
          <w:caps w:val="0"/>
          <w:color w:val="auto"/>
          <w:spacing w:val="0"/>
          <w:w w:val="100"/>
          <w:sz w:val="24"/>
          <w:szCs w:val="24"/>
          <w:highlight w:val="none"/>
          <w:lang w:val="en-US" w:eastAsia="zh-CN"/>
        </w:rPr>
        <w:t>八、</w:t>
      </w:r>
      <w:r>
        <w:rPr>
          <w:rFonts w:hint="eastAsia" w:ascii="仿宋" w:hAnsi="仿宋" w:eastAsia="仿宋" w:cs="仿宋"/>
          <w:b/>
          <w:i w:val="0"/>
          <w:caps w:val="0"/>
          <w:color w:val="auto"/>
          <w:spacing w:val="0"/>
          <w:w w:val="100"/>
          <w:sz w:val="24"/>
          <w:szCs w:val="24"/>
          <w:highlight w:val="none"/>
        </w:rPr>
        <w:t>整车涂装</w:t>
      </w:r>
    </w:p>
    <w:p>
      <w:pPr>
        <w:numPr>
          <w:ilvl w:val="0"/>
          <w:numId w:val="0"/>
        </w:numPr>
        <w:tabs>
          <w:tab w:val="left" w:pos="1080"/>
        </w:tabs>
        <w:snapToGrid/>
        <w:spacing w:before="0" w:beforeAutospacing="0" w:after="0" w:afterAutospacing="0" w:line="240" w:lineRule="auto"/>
        <w:ind w:left="840" w:leftChars="0"/>
        <w:jc w:val="both"/>
        <w:textAlignment w:val="baseline"/>
        <w:rPr>
          <w:rFonts w:hint="eastAsia" w:ascii="仿宋" w:hAnsi="仿宋" w:eastAsia="仿宋" w:cs="仿宋"/>
          <w:b w:val="0"/>
          <w:i w:val="0"/>
          <w:caps w:val="0"/>
          <w:color w:val="auto"/>
          <w:spacing w:val="0"/>
          <w:w w:val="100"/>
          <w:sz w:val="24"/>
          <w:szCs w:val="24"/>
          <w:highlight w:val="none"/>
        </w:rPr>
      </w:pPr>
      <w:r>
        <w:rPr>
          <w:rFonts w:hint="eastAsia" w:ascii="仿宋" w:hAnsi="仿宋" w:eastAsia="仿宋" w:cs="仿宋"/>
          <w:b w:val="0"/>
          <w:i w:val="0"/>
          <w:caps w:val="0"/>
          <w:color w:val="auto"/>
          <w:spacing w:val="0"/>
          <w:w w:val="100"/>
          <w:sz w:val="24"/>
          <w:szCs w:val="24"/>
          <w:highlight w:val="none"/>
        </w:rPr>
        <w:t>外表喷涂</w:t>
      </w:r>
      <w:r>
        <w:rPr>
          <w:rFonts w:hint="eastAsia" w:ascii="仿宋" w:hAnsi="仿宋" w:eastAsia="仿宋" w:cs="仿宋"/>
          <w:b w:val="0"/>
          <w:i w:val="0"/>
          <w:caps w:val="0"/>
          <w:color w:val="auto"/>
          <w:spacing w:val="0"/>
          <w:w w:val="100"/>
          <w:sz w:val="24"/>
          <w:szCs w:val="24"/>
          <w:highlight w:val="none"/>
          <w:lang w:val="en-US" w:eastAsia="zh-CN"/>
        </w:rPr>
        <w:t>红色</w:t>
      </w:r>
      <w:r>
        <w:rPr>
          <w:rFonts w:hint="eastAsia" w:ascii="仿宋" w:hAnsi="仿宋" w:eastAsia="仿宋" w:cs="仿宋"/>
          <w:b w:val="0"/>
          <w:i w:val="0"/>
          <w:caps w:val="0"/>
          <w:color w:val="auto"/>
          <w:spacing w:val="0"/>
          <w:w w:val="100"/>
          <w:sz w:val="24"/>
          <w:szCs w:val="24"/>
          <w:highlight w:val="none"/>
        </w:rPr>
        <w:t>；</w:t>
      </w:r>
    </w:p>
    <w:p>
      <w:pPr>
        <w:pStyle w:val="25"/>
        <w:jc w:val="center"/>
        <w:rPr>
          <w:rFonts w:hint="default"/>
          <w:color w:val="auto"/>
          <w:highlight w:val="none"/>
          <w:lang w:val="en-US" w:eastAsia="zh-CN"/>
        </w:rPr>
      </w:pPr>
      <w:r>
        <w:rPr>
          <w:rFonts w:hint="eastAsia" w:ascii="仿宋" w:hAnsi="仿宋" w:eastAsia="仿宋" w:cs="仿宋"/>
          <w:b/>
          <w:bCs/>
          <w:color w:val="auto"/>
          <w:sz w:val="28"/>
          <w:szCs w:val="28"/>
          <w:highlight w:val="none"/>
          <w:lang w:val="en-US" w:eastAsia="zh-CN"/>
        </w:rPr>
        <w:t>5、宣传检查新能源车参考图片</w:t>
      </w:r>
    </w:p>
    <w:p>
      <w:pPr>
        <w:pStyle w:val="25"/>
        <w:spacing w:line="360" w:lineRule="auto"/>
        <w:ind w:firstLine="643" w:firstLineChars="200"/>
        <w:jc w:val="center"/>
        <w:rPr>
          <w:rFonts w:hint="eastAsia" w:ascii="仿宋" w:hAnsi="仿宋" w:eastAsia="仿宋" w:cs="仿宋"/>
          <w:b/>
          <w:bCs/>
          <w:color w:val="auto"/>
          <w:sz w:val="24"/>
          <w:szCs w:val="24"/>
          <w:highlight w:val="none"/>
          <w:lang w:val="en-US" w:eastAsia="zh-CN"/>
        </w:rPr>
      </w:pPr>
      <w:r>
        <w:rPr>
          <w:rFonts w:hint="eastAsia" w:ascii="宋体" w:hAnsi="宋体" w:eastAsia="宋体" w:cs="宋体"/>
          <w:b/>
          <w:bCs/>
          <w:snapToGrid w:val="0"/>
          <w:color w:val="auto"/>
          <w:kern w:val="0"/>
          <w:sz w:val="32"/>
          <w:szCs w:val="32"/>
          <w:highlight w:val="none"/>
          <w:lang w:val="en-US" w:eastAsia="zh-CN" w:bidi="ar-SA"/>
        </w:rPr>
        <w:drawing>
          <wp:inline distT="0" distB="0" distL="114300" distR="114300">
            <wp:extent cx="3035300" cy="1377950"/>
            <wp:effectExtent l="0" t="0" r="0" b="6350"/>
            <wp:docPr id="21"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8"/>
                    <pic:cNvPicPr>
                      <a:picLocks noChangeAspect="1"/>
                    </pic:cNvPicPr>
                  </pic:nvPicPr>
                  <pic:blipFill>
                    <a:blip r:embed="rId44">
                      <a:lum/>
                    </a:blip>
                    <a:stretch>
                      <a:fillRect/>
                    </a:stretch>
                  </pic:blipFill>
                  <pic:spPr>
                    <a:xfrm>
                      <a:off x="0" y="0"/>
                      <a:ext cx="3035300" cy="1377950"/>
                    </a:xfrm>
                    <a:prstGeom prst="rect">
                      <a:avLst/>
                    </a:prstGeom>
                    <a:noFill/>
                    <a:ln>
                      <a:noFill/>
                    </a:ln>
                  </pic:spPr>
                </pic:pic>
              </a:graphicData>
            </a:graphic>
          </wp:inline>
        </w:drawing>
      </w:r>
    </w:p>
    <w:p>
      <w:pPr>
        <w:widowControl w:val="0"/>
        <w:numPr>
          <w:ilvl w:val="0"/>
          <w:numId w:val="0"/>
        </w:numPr>
        <w:wordWrap/>
        <w:adjustRightInd/>
        <w:snapToGrid/>
        <w:spacing w:line="460" w:lineRule="exact"/>
        <w:textAlignment w:val="auto"/>
        <w:rPr>
          <w:rFonts w:hint="eastAsia" w:ascii="仿宋" w:hAnsi="仿宋" w:eastAsia="仿宋" w:cs="仿宋"/>
          <w:b/>
          <w:bCs/>
          <w:color w:val="auto"/>
          <w:sz w:val="28"/>
          <w:szCs w:val="28"/>
          <w:highlight w:val="none"/>
          <w:lang w:val="en-US" w:eastAsia="zh-CN"/>
        </w:rPr>
      </w:pPr>
      <w:r>
        <w:rPr>
          <w:rFonts w:hint="eastAsia" w:ascii="仿宋" w:hAnsi="仿宋" w:eastAsia="仿宋" w:cs="仿宋"/>
          <w:b/>
          <w:bCs/>
          <w:color w:val="auto"/>
          <w:sz w:val="28"/>
          <w:szCs w:val="28"/>
          <w:highlight w:val="none"/>
          <w:lang w:val="en-US" w:eastAsia="zh-CN"/>
        </w:rPr>
        <w:t>附件2：</w:t>
      </w:r>
    </w:p>
    <w:p>
      <w:pPr>
        <w:widowControl w:val="0"/>
        <w:wordWrap/>
        <w:adjustRightInd/>
        <w:snapToGrid/>
        <w:spacing w:line="570" w:lineRule="exact"/>
        <w:ind w:left="0" w:leftChars="0" w:right="0"/>
        <w:jc w:val="center"/>
        <w:textAlignment w:val="auto"/>
        <w:outlineLvl w:val="9"/>
        <w:rPr>
          <w:rStyle w:val="946"/>
          <w:rFonts w:hint="eastAsia" w:ascii="仿宋" w:hAnsi="仿宋" w:eastAsia="仿宋" w:cs="仿宋"/>
          <w:color w:val="auto"/>
          <w:kern w:val="0"/>
          <w:sz w:val="24"/>
          <w:szCs w:val="24"/>
          <w:highlight w:val="none"/>
          <w:lang w:val="en-US" w:eastAsia="zh-CN" w:bidi="ar-SA"/>
        </w:rPr>
      </w:pPr>
      <w:r>
        <w:rPr>
          <w:rFonts w:hint="eastAsia" w:ascii="仿宋" w:hAnsi="仿宋" w:eastAsia="仿宋" w:cs="仿宋"/>
          <w:b/>
          <w:bCs/>
          <w:color w:val="auto"/>
          <w:spacing w:val="0"/>
          <w:kern w:val="0"/>
          <w:sz w:val="32"/>
          <w:szCs w:val="32"/>
          <w:highlight w:val="none"/>
          <w:lang w:val="en-US" w:eastAsia="zh-CN"/>
        </w:rPr>
        <w:t>余杭街道2023年区域性微型消防救援站</w:t>
      </w:r>
      <w:r>
        <w:rPr>
          <w:rFonts w:hint="eastAsia" w:ascii="仿宋" w:hAnsi="仿宋" w:eastAsia="仿宋" w:cs="仿宋"/>
          <w:b/>
          <w:bCs/>
          <w:color w:val="auto"/>
          <w:spacing w:val="0"/>
          <w:kern w:val="0"/>
          <w:sz w:val="32"/>
          <w:szCs w:val="32"/>
          <w:highlight w:val="none"/>
        </w:rPr>
        <w:t>考核</w:t>
      </w:r>
      <w:r>
        <w:rPr>
          <w:rFonts w:hint="eastAsia" w:ascii="仿宋" w:hAnsi="仿宋" w:eastAsia="仿宋" w:cs="仿宋"/>
          <w:b/>
          <w:bCs/>
          <w:color w:val="auto"/>
          <w:spacing w:val="0"/>
          <w:kern w:val="0"/>
          <w:sz w:val="32"/>
          <w:szCs w:val="32"/>
          <w:highlight w:val="none"/>
          <w:lang w:val="en-US" w:eastAsia="zh-CN"/>
        </w:rPr>
        <w:t>办法</w:t>
      </w:r>
    </w:p>
    <w:p>
      <w:pPr>
        <w:widowControl w:val="0"/>
        <w:numPr>
          <w:ilvl w:val="0"/>
          <w:numId w:val="0"/>
        </w:numPr>
        <w:wordWrap/>
        <w:adjustRightInd/>
        <w:snapToGrid/>
        <w:spacing w:beforeAutospacing="0" w:afterAutospacing="0" w:line="570" w:lineRule="exact"/>
        <w:ind w:left="0" w:leftChars="0" w:right="0"/>
        <w:jc w:val="both"/>
        <w:textAlignment w:val="auto"/>
        <w:outlineLvl w:val="9"/>
        <w:rPr>
          <w:rStyle w:val="946"/>
          <w:rFonts w:hint="eastAsia" w:ascii="仿宋" w:hAnsi="仿宋" w:eastAsia="仿宋" w:cs="仿宋"/>
          <w:color w:val="auto"/>
          <w:kern w:val="0"/>
          <w:sz w:val="24"/>
          <w:szCs w:val="24"/>
          <w:highlight w:val="none"/>
          <w:lang w:val="en-US" w:eastAsia="zh-CN" w:bidi="ar-SA"/>
        </w:rPr>
      </w:pPr>
      <w:r>
        <w:rPr>
          <w:rStyle w:val="946"/>
          <w:rFonts w:hint="eastAsia" w:ascii="仿宋" w:hAnsi="仿宋" w:eastAsia="仿宋" w:cs="仿宋"/>
          <w:color w:val="auto"/>
          <w:kern w:val="0"/>
          <w:sz w:val="24"/>
          <w:szCs w:val="24"/>
          <w:highlight w:val="none"/>
          <w:lang w:val="en-US" w:eastAsia="zh-CN" w:bidi="ar-SA"/>
        </w:rPr>
        <w:t xml:space="preserve">    一、余杭街道通过第三方购买服务配置区域性微型消防救援站专职队员，对第三方工作开展情况每月进行考核奖惩。</w:t>
      </w:r>
    </w:p>
    <w:p>
      <w:pPr>
        <w:widowControl w:val="0"/>
        <w:wordWrap/>
        <w:adjustRightInd/>
        <w:snapToGrid/>
        <w:spacing w:beforeAutospacing="0" w:afterAutospacing="0" w:line="570" w:lineRule="exact"/>
        <w:ind w:left="0" w:leftChars="0" w:right="0" w:firstLine="480" w:firstLineChars="200"/>
        <w:jc w:val="both"/>
        <w:textAlignment w:val="auto"/>
        <w:outlineLvl w:val="9"/>
        <w:rPr>
          <w:rStyle w:val="946"/>
          <w:rFonts w:hint="eastAsia" w:ascii="仿宋" w:hAnsi="仿宋" w:eastAsia="仿宋" w:cs="仿宋"/>
          <w:color w:val="auto"/>
          <w:kern w:val="0"/>
          <w:sz w:val="24"/>
          <w:szCs w:val="24"/>
          <w:highlight w:val="none"/>
          <w:lang w:val="en-US" w:eastAsia="zh-CN" w:bidi="ar-SA"/>
        </w:rPr>
      </w:pPr>
      <w:r>
        <w:rPr>
          <w:rStyle w:val="946"/>
          <w:rFonts w:hint="eastAsia" w:ascii="仿宋" w:hAnsi="仿宋" w:eastAsia="仿宋" w:cs="仿宋"/>
          <w:color w:val="auto"/>
          <w:kern w:val="0"/>
          <w:sz w:val="24"/>
          <w:szCs w:val="24"/>
          <w:highlight w:val="none"/>
          <w:lang w:val="en-US" w:eastAsia="zh-CN" w:bidi="ar-SA"/>
        </w:rPr>
        <w:t>二、第三方提供的执勤人员不得随意更换，如需更换，需事先经街道同意，如擅自更换人员或者人员数量不足的，每发现一次，街道有权从第三方结算款扣除（具体金额明细在与第三方服务合同中约定）。如因此导致街道工作无法正常开展的，街道有权解除合同，且第三方应向街道支付违约金。</w:t>
      </w:r>
    </w:p>
    <w:p>
      <w:pPr>
        <w:widowControl w:val="0"/>
        <w:wordWrap/>
        <w:adjustRightInd/>
        <w:snapToGrid/>
        <w:spacing w:beforeAutospacing="0" w:afterAutospacing="0" w:line="570" w:lineRule="exact"/>
        <w:ind w:left="0" w:leftChars="0" w:right="0" w:firstLine="480" w:firstLineChars="200"/>
        <w:jc w:val="both"/>
        <w:textAlignment w:val="auto"/>
        <w:outlineLvl w:val="9"/>
        <w:rPr>
          <w:rStyle w:val="946"/>
          <w:rFonts w:hint="eastAsia" w:ascii="仿宋" w:hAnsi="仿宋" w:eastAsia="仿宋" w:cs="仿宋"/>
          <w:color w:val="auto"/>
          <w:kern w:val="0"/>
          <w:sz w:val="24"/>
          <w:szCs w:val="24"/>
          <w:highlight w:val="none"/>
          <w:lang w:val="en-US" w:eastAsia="zh-CN" w:bidi="ar-SA"/>
        </w:rPr>
      </w:pPr>
      <w:r>
        <w:rPr>
          <w:rStyle w:val="946"/>
          <w:rFonts w:hint="eastAsia" w:ascii="仿宋" w:hAnsi="仿宋" w:eastAsia="仿宋" w:cs="仿宋"/>
          <w:color w:val="auto"/>
          <w:kern w:val="0"/>
          <w:sz w:val="24"/>
          <w:szCs w:val="24"/>
          <w:highlight w:val="none"/>
          <w:lang w:val="en-US" w:eastAsia="zh-CN" w:bidi="ar-SA"/>
        </w:rPr>
        <w:t>三、街道区域性微型消防救援站接警后应在1分钟内出警，15分钟内到达事故地点进行处置。如未达到上述要求的，街道有权对第三方进行处罚（具体金额明细在与第三方服务合同中约定）。</w:t>
      </w:r>
    </w:p>
    <w:p>
      <w:pPr>
        <w:widowControl w:val="0"/>
        <w:wordWrap/>
        <w:adjustRightInd/>
        <w:snapToGrid/>
        <w:spacing w:beforeAutospacing="0" w:afterAutospacing="0" w:line="570" w:lineRule="exact"/>
        <w:ind w:left="0" w:leftChars="0" w:right="0" w:firstLine="480" w:firstLineChars="200"/>
        <w:jc w:val="both"/>
        <w:textAlignment w:val="auto"/>
        <w:outlineLvl w:val="9"/>
        <w:rPr>
          <w:rStyle w:val="946"/>
          <w:rFonts w:hint="eastAsia" w:ascii="仿宋" w:hAnsi="仿宋" w:eastAsia="仿宋" w:cs="仿宋"/>
          <w:color w:val="auto"/>
          <w:kern w:val="0"/>
          <w:sz w:val="24"/>
          <w:szCs w:val="24"/>
          <w:highlight w:val="none"/>
          <w:lang w:val="en-US" w:eastAsia="zh-CN" w:bidi="ar-SA"/>
        </w:rPr>
      </w:pPr>
      <w:r>
        <w:rPr>
          <w:rStyle w:val="946"/>
          <w:rFonts w:hint="eastAsia" w:ascii="仿宋" w:hAnsi="仿宋" w:eastAsia="仿宋" w:cs="仿宋"/>
          <w:color w:val="auto"/>
          <w:kern w:val="0"/>
          <w:sz w:val="24"/>
          <w:szCs w:val="24"/>
          <w:highlight w:val="none"/>
          <w:lang w:val="en-US" w:eastAsia="zh-CN" w:bidi="ar-SA"/>
        </w:rPr>
        <w:t>四、街道区域性微型消防救援站每月应完成既定的安全巡查任务（具体数量根据上级部门的要求确定），未按时完成或者巡查不力的，街道有权对第三方进行处罚。被区级及以上部门明查暗访问题突出或反复被通报的，街道酌情对第三方进行处罚。</w:t>
      </w:r>
    </w:p>
    <w:p>
      <w:pPr>
        <w:widowControl w:val="0"/>
        <w:wordWrap/>
        <w:adjustRightInd/>
        <w:snapToGrid/>
        <w:spacing w:beforeAutospacing="0" w:afterAutospacing="0" w:line="570" w:lineRule="exact"/>
        <w:ind w:left="0" w:leftChars="0" w:right="0" w:firstLine="480" w:firstLineChars="200"/>
        <w:jc w:val="both"/>
        <w:textAlignment w:val="auto"/>
        <w:outlineLvl w:val="9"/>
        <w:rPr>
          <w:rStyle w:val="946"/>
          <w:rFonts w:hint="eastAsia" w:ascii="仿宋" w:hAnsi="仿宋" w:eastAsia="仿宋" w:cs="仿宋"/>
          <w:color w:val="auto"/>
          <w:kern w:val="0"/>
          <w:sz w:val="24"/>
          <w:szCs w:val="24"/>
          <w:highlight w:val="none"/>
          <w:lang w:val="en-US" w:eastAsia="zh-CN" w:bidi="ar-SA"/>
        </w:rPr>
      </w:pPr>
      <w:r>
        <w:rPr>
          <w:rStyle w:val="946"/>
          <w:rFonts w:hint="eastAsia" w:ascii="仿宋" w:hAnsi="仿宋" w:eastAsia="仿宋" w:cs="仿宋"/>
          <w:color w:val="auto"/>
          <w:kern w:val="0"/>
          <w:sz w:val="24"/>
          <w:szCs w:val="24"/>
          <w:highlight w:val="none"/>
          <w:lang w:val="en-US" w:eastAsia="zh-CN" w:bidi="ar-SA"/>
        </w:rPr>
        <w:t>五、街道区域性微型消防救援站应每月在辖区内开展不少于1次的消防安全宣传活动、不少于一次的应急演练，未完成的街道有权对第三方进行处罚。</w:t>
      </w:r>
    </w:p>
    <w:p>
      <w:pPr>
        <w:widowControl w:val="0"/>
        <w:wordWrap/>
        <w:adjustRightInd/>
        <w:snapToGrid/>
        <w:spacing w:beforeAutospacing="0" w:afterAutospacing="0" w:line="570" w:lineRule="exact"/>
        <w:ind w:left="0" w:leftChars="0" w:right="0" w:firstLine="480" w:firstLineChars="200"/>
        <w:jc w:val="both"/>
        <w:textAlignment w:val="auto"/>
        <w:outlineLvl w:val="9"/>
        <w:rPr>
          <w:rStyle w:val="946"/>
          <w:rFonts w:hint="eastAsia" w:ascii="仿宋" w:hAnsi="仿宋" w:eastAsia="仿宋" w:cs="仿宋"/>
          <w:color w:val="auto"/>
          <w:kern w:val="0"/>
          <w:sz w:val="24"/>
          <w:szCs w:val="24"/>
          <w:highlight w:val="none"/>
          <w:lang w:val="en-US" w:eastAsia="zh-CN" w:bidi="ar-SA"/>
        </w:rPr>
      </w:pPr>
      <w:r>
        <w:rPr>
          <w:rStyle w:val="946"/>
          <w:rFonts w:hint="eastAsia" w:ascii="仿宋" w:hAnsi="仿宋" w:eastAsia="仿宋" w:cs="仿宋"/>
          <w:color w:val="auto"/>
          <w:kern w:val="0"/>
          <w:sz w:val="24"/>
          <w:szCs w:val="24"/>
          <w:highlight w:val="none"/>
          <w:lang w:val="en-US" w:eastAsia="zh-CN" w:bidi="ar-SA"/>
        </w:rPr>
        <w:t>六、街道区域性微型消防救援站应每月组织不少于1次的面向辖区内社会单位从业人员的消防安全培训，未完成的街道有权对第三方进行处罚。</w:t>
      </w:r>
    </w:p>
    <w:p>
      <w:pPr>
        <w:widowControl w:val="0"/>
        <w:wordWrap/>
        <w:adjustRightInd/>
        <w:snapToGrid/>
        <w:spacing w:beforeAutospacing="0" w:afterAutospacing="0" w:line="570" w:lineRule="exact"/>
        <w:ind w:left="0" w:leftChars="0" w:right="0" w:firstLine="480" w:firstLineChars="200"/>
        <w:jc w:val="both"/>
        <w:textAlignment w:val="auto"/>
        <w:outlineLvl w:val="9"/>
        <w:rPr>
          <w:rStyle w:val="946"/>
          <w:rFonts w:hint="eastAsia" w:ascii="仿宋" w:hAnsi="仿宋" w:eastAsia="仿宋" w:cs="仿宋"/>
          <w:color w:val="auto"/>
          <w:kern w:val="0"/>
          <w:sz w:val="24"/>
          <w:szCs w:val="24"/>
          <w:highlight w:val="none"/>
          <w:lang w:val="en-US" w:eastAsia="zh-CN" w:bidi="ar-SA"/>
        </w:rPr>
      </w:pPr>
      <w:r>
        <w:rPr>
          <w:rStyle w:val="946"/>
          <w:rFonts w:hint="eastAsia" w:ascii="仿宋" w:hAnsi="仿宋" w:eastAsia="仿宋" w:cs="仿宋"/>
          <w:color w:val="auto"/>
          <w:kern w:val="0"/>
          <w:sz w:val="24"/>
          <w:szCs w:val="24"/>
          <w:highlight w:val="none"/>
          <w:lang w:val="en-US" w:eastAsia="zh-CN" w:bidi="ar-SA"/>
        </w:rPr>
        <w:t>七、街道定期对区域性微型消防站人员进行业务能力考核，考核内容由双方共同确认，如有人员未通过考核的，街道有权要求第三方整改，经整改仍未合格的，街道有权对第三方进行处罚。</w:t>
      </w:r>
    </w:p>
    <w:p>
      <w:pPr>
        <w:widowControl w:val="0"/>
        <w:wordWrap/>
        <w:adjustRightInd/>
        <w:snapToGrid/>
        <w:spacing w:beforeAutospacing="0" w:afterAutospacing="0" w:line="570" w:lineRule="exact"/>
        <w:ind w:left="0" w:leftChars="0" w:right="0" w:firstLine="480" w:firstLineChars="200"/>
        <w:jc w:val="both"/>
        <w:textAlignment w:val="auto"/>
        <w:outlineLvl w:val="9"/>
        <w:rPr>
          <w:rFonts w:hint="default"/>
          <w:color w:val="auto"/>
          <w:highlight w:val="none"/>
          <w:lang w:val="en-US" w:eastAsia="zh-CN"/>
        </w:rPr>
      </w:pPr>
      <w:r>
        <w:rPr>
          <w:rStyle w:val="946"/>
          <w:rFonts w:hint="eastAsia" w:ascii="仿宋" w:hAnsi="仿宋" w:eastAsia="仿宋" w:cs="仿宋"/>
          <w:color w:val="auto"/>
          <w:kern w:val="0"/>
          <w:sz w:val="24"/>
          <w:szCs w:val="24"/>
          <w:highlight w:val="none"/>
          <w:lang w:val="en-US" w:eastAsia="zh-CN" w:bidi="ar-SA"/>
        </w:rPr>
        <w:t>八、街道每月根据</w:t>
      </w:r>
      <w:r>
        <w:rPr>
          <w:rFonts w:hint="eastAsia" w:ascii="方正仿宋_GB2312" w:hAnsi="方正仿宋_GB2312" w:eastAsia="方正仿宋_GB2312" w:cs="方正仿宋_GB2312"/>
          <w:color w:val="auto"/>
          <w:sz w:val="24"/>
          <w:highlight w:val="none"/>
          <w:lang w:val="en-US" w:eastAsia="zh-CN"/>
        </w:rPr>
        <w:t>第三方是否按时足额发放人员劳动报酬及员工福利等情况进行考核，如三次未按时足额发放人员劳动报酬及员工福利的，</w:t>
      </w:r>
      <w:r>
        <w:rPr>
          <w:rStyle w:val="946"/>
          <w:rFonts w:hint="eastAsia" w:ascii="仿宋" w:hAnsi="仿宋" w:eastAsia="仿宋" w:cs="仿宋"/>
          <w:color w:val="auto"/>
          <w:kern w:val="0"/>
          <w:sz w:val="24"/>
          <w:szCs w:val="24"/>
          <w:highlight w:val="none"/>
          <w:lang w:val="en-US" w:eastAsia="zh-CN" w:bidi="ar-SA"/>
        </w:rPr>
        <w:t>街道有权解除合同，且第三方应向街道支付违约金。</w:t>
      </w:r>
    </w:p>
    <w:p>
      <w:pPr>
        <w:widowControl w:val="0"/>
        <w:wordWrap/>
        <w:adjustRightInd/>
        <w:snapToGrid/>
        <w:spacing w:beforeAutospacing="0" w:afterAutospacing="0" w:line="570" w:lineRule="exact"/>
        <w:ind w:left="0" w:leftChars="0" w:right="0" w:firstLine="480" w:firstLineChars="200"/>
        <w:jc w:val="both"/>
        <w:textAlignment w:val="auto"/>
        <w:outlineLvl w:val="9"/>
        <w:rPr>
          <w:rStyle w:val="946"/>
          <w:rFonts w:hint="eastAsia" w:ascii="仿宋" w:hAnsi="仿宋" w:eastAsia="仿宋" w:cs="仿宋"/>
          <w:color w:val="auto"/>
          <w:kern w:val="0"/>
          <w:sz w:val="24"/>
          <w:szCs w:val="24"/>
          <w:highlight w:val="none"/>
          <w:lang w:val="en-US" w:eastAsia="zh-CN" w:bidi="ar-SA"/>
        </w:rPr>
      </w:pPr>
      <w:r>
        <w:rPr>
          <w:rStyle w:val="946"/>
          <w:rFonts w:hint="eastAsia" w:ascii="仿宋" w:hAnsi="仿宋" w:eastAsia="仿宋" w:cs="仿宋"/>
          <w:color w:val="auto"/>
          <w:kern w:val="0"/>
          <w:sz w:val="24"/>
          <w:szCs w:val="24"/>
          <w:highlight w:val="none"/>
          <w:lang w:val="en-US" w:eastAsia="zh-CN" w:bidi="ar-SA"/>
        </w:rPr>
        <w:t>九、如因第三方工作失误造成群众举报、新闻媒体曝光等不良影响的，街道有权对第三方进行处罚，处罚额度为每次壹万元。影响严重的，街道有权解除合同，且第三方应向街道支付违约金。</w:t>
      </w:r>
    </w:p>
    <w:p>
      <w:pPr>
        <w:widowControl w:val="0"/>
        <w:wordWrap/>
        <w:adjustRightInd/>
        <w:snapToGrid/>
        <w:spacing w:beforeAutospacing="0" w:afterAutospacing="0" w:line="570" w:lineRule="exact"/>
        <w:ind w:left="0" w:leftChars="0" w:right="0" w:firstLine="480" w:firstLineChars="200"/>
        <w:jc w:val="both"/>
        <w:textAlignment w:val="auto"/>
        <w:outlineLvl w:val="9"/>
        <w:rPr>
          <w:rStyle w:val="946"/>
          <w:rFonts w:hint="eastAsia" w:ascii="仿宋" w:hAnsi="仿宋" w:eastAsia="仿宋" w:cs="仿宋"/>
          <w:color w:val="auto"/>
          <w:kern w:val="0"/>
          <w:sz w:val="24"/>
          <w:szCs w:val="24"/>
          <w:highlight w:val="none"/>
          <w:lang w:val="en-US" w:eastAsia="zh-CN" w:bidi="ar-SA"/>
        </w:rPr>
      </w:pPr>
      <w:r>
        <w:rPr>
          <w:rStyle w:val="946"/>
          <w:rFonts w:hint="eastAsia" w:ascii="仿宋" w:hAnsi="仿宋" w:eastAsia="仿宋" w:cs="仿宋"/>
          <w:color w:val="auto"/>
          <w:kern w:val="0"/>
          <w:sz w:val="24"/>
          <w:szCs w:val="24"/>
          <w:highlight w:val="none"/>
          <w:lang w:val="en-US" w:eastAsia="zh-CN" w:bidi="ar-SA"/>
        </w:rPr>
        <w:t>十、如因第三方工作失误导致街道被上级部门通报批评，影响评优、评先的，街道有权解除合同，且第三方应向街道支付违约金。</w:t>
      </w:r>
    </w:p>
    <w:p>
      <w:pPr>
        <w:widowControl w:val="0"/>
        <w:wordWrap/>
        <w:adjustRightInd/>
        <w:snapToGrid/>
        <w:spacing w:beforeAutospacing="0" w:afterAutospacing="0" w:line="570" w:lineRule="exact"/>
        <w:ind w:left="0" w:leftChars="0" w:right="0" w:firstLine="480" w:firstLineChars="200"/>
        <w:jc w:val="both"/>
        <w:textAlignment w:val="auto"/>
        <w:outlineLvl w:val="9"/>
        <w:rPr>
          <w:rStyle w:val="946"/>
          <w:rFonts w:hint="eastAsia" w:ascii="仿宋" w:hAnsi="仿宋" w:eastAsia="仿宋" w:cs="仿宋"/>
          <w:b/>
          <w:bCs/>
          <w:color w:val="auto"/>
          <w:kern w:val="0"/>
          <w:sz w:val="24"/>
          <w:szCs w:val="24"/>
          <w:highlight w:val="none"/>
          <w:lang w:val="en-US" w:eastAsia="zh-CN" w:bidi="ar-SA"/>
        </w:rPr>
      </w:pPr>
      <w:r>
        <w:rPr>
          <w:rStyle w:val="946"/>
          <w:rFonts w:hint="eastAsia" w:ascii="仿宋" w:hAnsi="仿宋" w:eastAsia="仿宋" w:cs="仿宋"/>
          <w:color w:val="auto"/>
          <w:kern w:val="0"/>
          <w:sz w:val="24"/>
          <w:szCs w:val="24"/>
          <w:highlight w:val="none"/>
          <w:lang w:val="en-US" w:eastAsia="zh-CN" w:bidi="ar-SA"/>
        </w:rPr>
        <w:t>十一、如因第三方维护保养或操作不当造成装备、器材损坏无法修复的，第三方应照价赔偿，如因此导致影响灭火救援工作的，街道有权对第三方进行处罚。</w:t>
      </w:r>
    </w:p>
    <w:p>
      <w:pPr>
        <w:widowControl w:val="0"/>
        <w:tabs>
          <w:tab w:val="left" w:pos="3390"/>
        </w:tabs>
        <w:spacing w:before="0" w:beforeAutospacing="0" w:after="0" w:afterAutospacing="0" w:line="360" w:lineRule="auto"/>
        <w:ind w:left="0" w:right="0"/>
        <w:jc w:val="center"/>
        <w:rPr>
          <w:rStyle w:val="946"/>
          <w:rFonts w:hint="eastAsia" w:ascii="仿宋" w:hAnsi="仿宋" w:eastAsia="仿宋" w:cs="仿宋"/>
          <w:b/>
          <w:bCs/>
          <w:color w:val="auto"/>
          <w:kern w:val="0"/>
          <w:sz w:val="24"/>
          <w:szCs w:val="24"/>
          <w:highlight w:val="none"/>
          <w:lang w:val="en-US" w:eastAsia="zh-CN" w:bidi="ar-SA"/>
        </w:rPr>
      </w:pPr>
      <w:r>
        <w:rPr>
          <w:rStyle w:val="946"/>
          <w:rFonts w:hint="eastAsia" w:ascii="仿宋" w:hAnsi="仿宋" w:eastAsia="仿宋" w:cs="仿宋"/>
          <w:b/>
          <w:bCs/>
          <w:color w:val="auto"/>
          <w:kern w:val="0"/>
          <w:sz w:val="24"/>
          <w:szCs w:val="24"/>
          <w:highlight w:val="none"/>
          <w:lang w:val="en-US" w:eastAsia="zh-CN" w:bidi="ar-SA"/>
        </w:rPr>
        <w:t>服务质量评价表</w:t>
      </w:r>
    </w:p>
    <w:tbl>
      <w:tblPr>
        <w:tblStyle w:val="62"/>
        <w:tblW w:w="9776" w:type="dxa"/>
        <w:tblInd w:w="-41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35"/>
        <w:gridCol w:w="711"/>
        <w:gridCol w:w="4574"/>
        <w:gridCol w:w="918"/>
        <w:gridCol w:w="1758"/>
        <w:gridCol w:w="7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35" w:type="dxa"/>
            <w:vMerge w:val="restart"/>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widowControl/>
              <w:wordWrap/>
              <w:adjustRightInd/>
              <w:snapToGrid/>
              <w:spacing w:beforeAutospacing="0" w:afterAutospacing="0" w:line="400" w:lineRule="exact"/>
              <w:ind w:left="0" w:leftChars="0" w:right="0" w:firstLine="0" w:firstLineChars="0"/>
              <w:jc w:val="center"/>
              <w:textAlignment w:val="center"/>
              <w:outlineLvl w:val="9"/>
              <w:rPr>
                <w:rStyle w:val="946"/>
                <w:rFonts w:hint="eastAsia" w:ascii="仿宋" w:hAnsi="仿宋" w:eastAsia="仿宋" w:cs="仿宋"/>
                <w:b/>
                <w:bCs/>
                <w:color w:val="auto"/>
                <w:kern w:val="0"/>
                <w:sz w:val="24"/>
                <w:szCs w:val="24"/>
                <w:highlight w:val="none"/>
                <w:lang w:val="en-US" w:eastAsia="zh-CN" w:bidi="ar-SA"/>
              </w:rPr>
            </w:pPr>
            <w:r>
              <w:rPr>
                <w:rStyle w:val="946"/>
                <w:rFonts w:hint="eastAsia" w:ascii="仿宋" w:hAnsi="仿宋" w:eastAsia="仿宋" w:cs="仿宋"/>
                <w:b/>
                <w:bCs/>
                <w:color w:val="auto"/>
                <w:kern w:val="0"/>
                <w:sz w:val="24"/>
                <w:szCs w:val="24"/>
                <w:highlight w:val="none"/>
                <w:lang w:val="en-US" w:eastAsia="zh-CN" w:bidi="ar-SA"/>
              </w:rPr>
              <w:t>考核项目</w:t>
            </w:r>
          </w:p>
        </w:tc>
        <w:tc>
          <w:tcPr>
            <w:tcW w:w="711" w:type="dxa"/>
            <w:vMerge w:val="restart"/>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widowControl/>
              <w:wordWrap/>
              <w:adjustRightInd/>
              <w:snapToGrid/>
              <w:spacing w:beforeAutospacing="0" w:afterAutospacing="0" w:line="400" w:lineRule="exact"/>
              <w:ind w:left="0" w:leftChars="0" w:right="0" w:firstLine="0" w:firstLineChars="0"/>
              <w:jc w:val="center"/>
              <w:textAlignment w:val="center"/>
              <w:outlineLvl w:val="9"/>
              <w:rPr>
                <w:rStyle w:val="946"/>
                <w:rFonts w:hint="eastAsia" w:ascii="仿宋" w:hAnsi="仿宋" w:eastAsia="仿宋" w:cs="仿宋"/>
                <w:b/>
                <w:bCs/>
                <w:color w:val="auto"/>
                <w:kern w:val="0"/>
                <w:sz w:val="24"/>
                <w:szCs w:val="24"/>
                <w:highlight w:val="none"/>
                <w:lang w:val="en-US" w:eastAsia="zh-CN" w:bidi="ar-SA"/>
              </w:rPr>
            </w:pPr>
            <w:r>
              <w:rPr>
                <w:rStyle w:val="946"/>
                <w:rFonts w:hint="eastAsia" w:ascii="仿宋" w:hAnsi="仿宋" w:eastAsia="仿宋" w:cs="仿宋"/>
                <w:b/>
                <w:bCs/>
                <w:color w:val="auto"/>
                <w:kern w:val="0"/>
                <w:sz w:val="24"/>
                <w:szCs w:val="24"/>
                <w:highlight w:val="none"/>
                <w:lang w:val="en-US" w:eastAsia="zh-CN" w:bidi="ar-SA"/>
              </w:rPr>
              <w:t>序号</w:t>
            </w:r>
          </w:p>
        </w:tc>
        <w:tc>
          <w:tcPr>
            <w:tcW w:w="4574" w:type="dxa"/>
            <w:vMerge w:val="restart"/>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widowControl/>
              <w:wordWrap/>
              <w:adjustRightInd/>
              <w:snapToGrid/>
              <w:spacing w:beforeAutospacing="0" w:afterAutospacing="0" w:line="400" w:lineRule="exact"/>
              <w:ind w:left="0" w:leftChars="0" w:right="0" w:firstLine="0" w:firstLineChars="0"/>
              <w:jc w:val="center"/>
              <w:textAlignment w:val="center"/>
              <w:outlineLvl w:val="9"/>
              <w:rPr>
                <w:rStyle w:val="946"/>
                <w:rFonts w:hint="eastAsia" w:ascii="仿宋" w:hAnsi="仿宋" w:eastAsia="仿宋" w:cs="仿宋"/>
                <w:b/>
                <w:bCs/>
                <w:color w:val="auto"/>
                <w:kern w:val="0"/>
                <w:sz w:val="24"/>
                <w:szCs w:val="24"/>
                <w:highlight w:val="none"/>
                <w:lang w:val="en-US" w:eastAsia="zh-CN" w:bidi="ar-SA"/>
              </w:rPr>
            </w:pPr>
            <w:r>
              <w:rPr>
                <w:rStyle w:val="946"/>
                <w:rFonts w:hint="eastAsia" w:ascii="仿宋" w:hAnsi="仿宋" w:eastAsia="仿宋" w:cs="仿宋"/>
                <w:b/>
                <w:bCs/>
                <w:color w:val="auto"/>
                <w:kern w:val="0"/>
                <w:sz w:val="24"/>
                <w:szCs w:val="24"/>
                <w:highlight w:val="none"/>
                <w:lang w:val="en-US" w:eastAsia="zh-CN" w:bidi="ar-SA"/>
              </w:rPr>
              <w:t>考核内容</w:t>
            </w:r>
          </w:p>
        </w:tc>
        <w:tc>
          <w:tcPr>
            <w:tcW w:w="918"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widowControl/>
              <w:wordWrap/>
              <w:adjustRightInd/>
              <w:snapToGrid/>
              <w:spacing w:beforeAutospacing="0" w:afterAutospacing="0" w:line="400" w:lineRule="exact"/>
              <w:ind w:left="0" w:leftChars="0" w:right="0" w:firstLine="0" w:firstLineChars="0"/>
              <w:jc w:val="center"/>
              <w:textAlignment w:val="center"/>
              <w:outlineLvl w:val="9"/>
              <w:rPr>
                <w:rStyle w:val="946"/>
                <w:rFonts w:hint="eastAsia" w:ascii="仿宋" w:hAnsi="仿宋" w:eastAsia="仿宋" w:cs="仿宋"/>
                <w:b/>
                <w:bCs/>
                <w:color w:val="auto"/>
                <w:kern w:val="0"/>
                <w:sz w:val="24"/>
                <w:szCs w:val="24"/>
                <w:highlight w:val="none"/>
                <w:lang w:val="en-US" w:eastAsia="zh-CN" w:bidi="ar-SA"/>
              </w:rPr>
            </w:pPr>
            <w:r>
              <w:rPr>
                <w:rStyle w:val="946"/>
                <w:rFonts w:hint="eastAsia" w:ascii="仿宋" w:hAnsi="仿宋" w:eastAsia="仿宋" w:cs="仿宋"/>
                <w:b/>
                <w:bCs/>
                <w:color w:val="auto"/>
                <w:kern w:val="0"/>
                <w:sz w:val="24"/>
                <w:szCs w:val="24"/>
                <w:highlight w:val="none"/>
                <w:lang w:val="en-US" w:eastAsia="zh-CN" w:bidi="ar-SA"/>
              </w:rPr>
              <w:t>标准</w:t>
            </w:r>
          </w:p>
        </w:tc>
        <w:tc>
          <w:tcPr>
            <w:tcW w:w="1758" w:type="dxa"/>
            <w:vMerge w:val="restart"/>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widowControl/>
              <w:wordWrap/>
              <w:adjustRightInd/>
              <w:snapToGrid/>
              <w:spacing w:beforeAutospacing="0" w:afterAutospacing="0" w:line="400" w:lineRule="exact"/>
              <w:ind w:left="0" w:leftChars="0" w:right="0" w:firstLine="0" w:firstLineChars="0"/>
              <w:jc w:val="center"/>
              <w:textAlignment w:val="center"/>
              <w:outlineLvl w:val="9"/>
              <w:rPr>
                <w:rStyle w:val="946"/>
                <w:rFonts w:hint="eastAsia" w:ascii="仿宋" w:hAnsi="仿宋" w:eastAsia="仿宋" w:cs="仿宋"/>
                <w:b/>
                <w:bCs/>
                <w:color w:val="auto"/>
                <w:kern w:val="0"/>
                <w:sz w:val="24"/>
                <w:szCs w:val="24"/>
                <w:highlight w:val="none"/>
                <w:lang w:val="en-US" w:eastAsia="zh-CN" w:bidi="ar-SA"/>
              </w:rPr>
            </w:pPr>
            <w:r>
              <w:rPr>
                <w:rStyle w:val="946"/>
                <w:rFonts w:hint="eastAsia" w:ascii="仿宋" w:hAnsi="仿宋" w:eastAsia="仿宋" w:cs="仿宋"/>
                <w:b/>
                <w:bCs/>
                <w:color w:val="auto"/>
                <w:kern w:val="0"/>
                <w:sz w:val="24"/>
                <w:szCs w:val="24"/>
                <w:highlight w:val="none"/>
                <w:lang w:val="en-US" w:eastAsia="zh-CN" w:bidi="ar-SA"/>
              </w:rPr>
              <w:t>扣分说明</w:t>
            </w:r>
          </w:p>
        </w:tc>
        <w:tc>
          <w:tcPr>
            <w:tcW w:w="780" w:type="dxa"/>
            <w:vMerge w:val="restart"/>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widowControl w:val="0"/>
              <w:wordWrap/>
              <w:adjustRightInd/>
              <w:snapToGrid/>
              <w:spacing w:beforeAutospacing="0" w:afterAutospacing="0" w:line="400" w:lineRule="exact"/>
              <w:ind w:left="0" w:leftChars="0" w:right="0" w:firstLine="0" w:firstLineChars="0"/>
              <w:jc w:val="center"/>
              <w:outlineLvl w:val="9"/>
              <w:rPr>
                <w:rStyle w:val="946"/>
                <w:rFonts w:hint="eastAsia" w:ascii="仿宋" w:hAnsi="仿宋" w:eastAsia="仿宋" w:cs="仿宋"/>
                <w:b/>
                <w:bCs/>
                <w:color w:val="auto"/>
                <w:kern w:val="0"/>
                <w:sz w:val="24"/>
                <w:szCs w:val="24"/>
                <w:highlight w:val="none"/>
                <w:lang w:val="en-US" w:eastAsia="zh-CN" w:bidi="ar-SA"/>
              </w:rPr>
            </w:pPr>
            <w:r>
              <w:rPr>
                <w:rStyle w:val="946"/>
                <w:rFonts w:hint="eastAsia" w:ascii="仿宋" w:hAnsi="仿宋" w:eastAsia="仿宋" w:cs="仿宋"/>
                <w:b/>
                <w:bCs/>
                <w:color w:val="auto"/>
                <w:kern w:val="0"/>
                <w:sz w:val="24"/>
                <w:szCs w:val="24"/>
                <w:highlight w:val="none"/>
                <w:lang w:val="en-US" w:eastAsia="zh-CN" w:bidi="ar-SA"/>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35" w:type="dxa"/>
            <w:vMerge w:val="continue"/>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wordWrap/>
              <w:adjustRightInd/>
              <w:snapToGrid/>
              <w:spacing w:line="400" w:lineRule="exact"/>
              <w:ind w:left="0" w:leftChars="0" w:right="0" w:firstLine="0" w:firstLineChars="0"/>
              <w:outlineLvl w:val="9"/>
              <w:rPr>
                <w:rStyle w:val="946"/>
                <w:rFonts w:hint="eastAsia" w:ascii="仿宋" w:hAnsi="仿宋" w:eastAsia="仿宋" w:cs="仿宋"/>
                <w:color w:val="auto"/>
                <w:kern w:val="0"/>
                <w:sz w:val="24"/>
                <w:szCs w:val="24"/>
                <w:highlight w:val="none"/>
                <w:lang w:val="en-US" w:eastAsia="zh-CN" w:bidi="ar-SA"/>
              </w:rPr>
            </w:pPr>
          </w:p>
        </w:tc>
        <w:tc>
          <w:tcPr>
            <w:tcW w:w="711" w:type="dxa"/>
            <w:vMerge w:val="continue"/>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wordWrap/>
              <w:adjustRightInd/>
              <w:snapToGrid/>
              <w:spacing w:line="400" w:lineRule="exact"/>
              <w:ind w:left="0" w:leftChars="0" w:right="0" w:firstLine="0" w:firstLineChars="0"/>
              <w:outlineLvl w:val="9"/>
              <w:rPr>
                <w:rStyle w:val="946"/>
                <w:rFonts w:hint="eastAsia" w:ascii="仿宋" w:hAnsi="仿宋" w:eastAsia="仿宋" w:cs="仿宋"/>
                <w:color w:val="auto"/>
                <w:kern w:val="0"/>
                <w:sz w:val="24"/>
                <w:szCs w:val="24"/>
                <w:highlight w:val="none"/>
                <w:lang w:val="en-US" w:eastAsia="zh-CN" w:bidi="ar-SA"/>
              </w:rPr>
            </w:pPr>
          </w:p>
        </w:tc>
        <w:tc>
          <w:tcPr>
            <w:tcW w:w="4574" w:type="dxa"/>
            <w:vMerge w:val="continue"/>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wordWrap/>
              <w:adjustRightInd/>
              <w:snapToGrid/>
              <w:spacing w:line="400" w:lineRule="exact"/>
              <w:ind w:left="0" w:leftChars="0" w:right="0" w:firstLine="0" w:firstLineChars="0"/>
              <w:outlineLvl w:val="9"/>
              <w:rPr>
                <w:rStyle w:val="946"/>
                <w:rFonts w:hint="eastAsia" w:ascii="仿宋" w:hAnsi="仿宋" w:eastAsia="仿宋" w:cs="仿宋"/>
                <w:color w:val="auto"/>
                <w:kern w:val="0"/>
                <w:sz w:val="24"/>
                <w:szCs w:val="24"/>
                <w:highlight w:val="none"/>
                <w:lang w:val="en-US" w:eastAsia="zh-CN" w:bidi="ar-SA"/>
              </w:rPr>
            </w:pPr>
          </w:p>
        </w:tc>
        <w:tc>
          <w:tcPr>
            <w:tcW w:w="918"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widowControl/>
              <w:wordWrap/>
              <w:adjustRightInd/>
              <w:snapToGrid/>
              <w:spacing w:beforeAutospacing="0" w:afterAutospacing="0" w:line="400" w:lineRule="exact"/>
              <w:ind w:left="0" w:leftChars="0" w:right="0" w:firstLine="0" w:firstLineChars="0"/>
              <w:jc w:val="center"/>
              <w:textAlignment w:val="center"/>
              <w:outlineLvl w:val="9"/>
              <w:rPr>
                <w:rStyle w:val="946"/>
                <w:rFonts w:hint="eastAsia" w:ascii="仿宋" w:hAnsi="仿宋" w:eastAsia="仿宋" w:cs="仿宋"/>
                <w:color w:val="auto"/>
                <w:kern w:val="0"/>
                <w:sz w:val="24"/>
                <w:szCs w:val="24"/>
                <w:highlight w:val="none"/>
                <w:lang w:val="en-US" w:eastAsia="zh-CN" w:bidi="ar-SA"/>
              </w:rPr>
            </w:pPr>
            <w:r>
              <w:rPr>
                <w:rStyle w:val="946"/>
                <w:rFonts w:hint="eastAsia" w:ascii="仿宋" w:hAnsi="仿宋" w:eastAsia="仿宋" w:cs="仿宋"/>
                <w:b/>
                <w:bCs/>
                <w:color w:val="auto"/>
                <w:kern w:val="0"/>
                <w:sz w:val="24"/>
                <w:szCs w:val="24"/>
                <w:highlight w:val="none"/>
                <w:lang w:val="en-US" w:eastAsia="zh-CN" w:bidi="ar-SA"/>
              </w:rPr>
              <w:t>分值</w:t>
            </w:r>
          </w:p>
        </w:tc>
        <w:tc>
          <w:tcPr>
            <w:tcW w:w="1758" w:type="dxa"/>
            <w:vMerge w:val="continue"/>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wordWrap/>
              <w:adjustRightInd/>
              <w:snapToGrid/>
              <w:spacing w:line="400" w:lineRule="exact"/>
              <w:ind w:left="0" w:leftChars="0" w:right="0" w:firstLine="0" w:firstLineChars="0"/>
              <w:outlineLvl w:val="9"/>
              <w:rPr>
                <w:rStyle w:val="946"/>
                <w:rFonts w:hint="eastAsia" w:ascii="仿宋" w:hAnsi="仿宋" w:eastAsia="仿宋" w:cs="仿宋"/>
                <w:color w:val="auto"/>
                <w:kern w:val="0"/>
                <w:sz w:val="24"/>
                <w:szCs w:val="24"/>
                <w:highlight w:val="none"/>
                <w:lang w:val="en-US" w:eastAsia="zh-CN" w:bidi="ar-SA"/>
              </w:rPr>
            </w:pPr>
          </w:p>
        </w:tc>
        <w:tc>
          <w:tcPr>
            <w:tcW w:w="780" w:type="dxa"/>
            <w:vMerge w:val="continue"/>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wordWrap/>
              <w:adjustRightInd/>
              <w:snapToGrid/>
              <w:spacing w:line="400" w:lineRule="exact"/>
              <w:ind w:left="0" w:leftChars="0" w:right="0" w:firstLine="0" w:firstLineChars="0"/>
              <w:outlineLvl w:val="9"/>
              <w:rPr>
                <w:rStyle w:val="946"/>
                <w:rFonts w:hint="eastAsia" w:ascii="仿宋" w:hAnsi="仿宋" w:eastAsia="仿宋" w:cs="仿宋"/>
                <w:color w:val="auto"/>
                <w:kern w:val="0"/>
                <w:sz w:val="24"/>
                <w:szCs w:val="24"/>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35" w:type="dxa"/>
            <w:vMerge w:val="restart"/>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widowControl/>
              <w:wordWrap/>
              <w:adjustRightInd/>
              <w:snapToGrid/>
              <w:spacing w:beforeAutospacing="0" w:afterAutospacing="0" w:line="400" w:lineRule="exact"/>
              <w:ind w:left="0" w:leftChars="0" w:right="0" w:firstLine="0" w:firstLineChars="0"/>
              <w:jc w:val="center"/>
              <w:textAlignment w:val="center"/>
              <w:outlineLvl w:val="9"/>
              <w:rPr>
                <w:rStyle w:val="946"/>
                <w:rFonts w:hint="eastAsia" w:ascii="仿宋" w:hAnsi="仿宋" w:eastAsia="仿宋" w:cs="仿宋"/>
                <w:color w:val="auto"/>
                <w:kern w:val="0"/>
                <w:sz w:val="24"/>
                <w:szCs w:val="24"/>
                <w:highlight w:val="none"/>
                <w:lang w:val="en-US" w:eastAsia="zh-CN" w:bidi="ar-SA"/>
              </w:rPr>
            </w:pPr>
            <w:r>
              <w:rPr>
                <w:rStyle w:val="946"/>
                <w:rFonts w:hint="eastAsia" w:ascii="仿宋" w:hAnsi="仿宋" w:eastAsia="仿宋" w:cs="仿宋"/>
                <w:color w:val="auto"/>
                <w:kern w:val="0"/>
                <w:sz w:val="24"/>
                <w:szCs w:val="24"/>
                <w:highlight w:val="none"/>
                <w:lang w:val="en-US" w:eastAsia="zh-CN" w:bidi="ar-SA"/>
              </w:rPr>
              <w:t>仪容</w:t>
            </w:r>
          </w:p>
          <w:p>
            <w:pPr>
              <w:widowControl/>
              <w:wordWrap/>
              <w:adjustRightInd/>
              <w:snapToGrid/>
              <w:spacing w:beforeAutospacing="0" w:afterAutospacing="0" w:line="400" w:lineRule="exact"/>
              <w:ind w:left="0" w:leftChars="0" w:right="0" w:firstLine="0" w:firstLineChars="0"/>
              <w:jc w:val="center"/>
              <w:textAlignment w:val="center"/>
              <w:outlineLvl w:val="9"/>
              <w:rPr>
                <w:rStyle w:val="946"/>
                <w:rFonts w:hint="eastAsia" w:ascii="仿宋" w:hAnsi="仿宋" w:eastAsia="仿宋" w:cs="仿宋"/>
                <w:color w:val="auto"/>
                <w:kern w:val="0"/>
                <w:sz w:val="24"/>
                <w:szCs w:val="24"/>
                <w:highlight w:val="none"/>
                <w:lang w:val="en-US" w:eastAsia="zh-CN" w:bidi="ar-SA"/>
              </w:rPr>
            </w:pPr>
            <w:r>
              <w:rPr>
                <w:rStyle w:val="946"/>
                <w:rFonts w:hint="eastAsia" w:ascii="仿宋" w:hAnsi="仿宋" w:eastAsia="仿宋" w:cs="仿宋"/>
                <w:color w:val="auto"/>
                <w:kern w:val="0"/>
                <w:sz w:val="24"/>
                <w:szCs w:val="24"/>
                <w:highlight w:val="none"/>
                <w:lang w:val="en-US" w:eastAsia="zh-CN" w:bidi="ar-SA"/>
              </w:rPr>
              <w:t>仪表（6%）</w:t>
            </w:r>
          </w:p>
        </w:tc>
        <w:tc>
          <w:tcPr>
            <w:tcW w:w="711"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widowControl/>
              <w:wordWrap/>
              <w:adjustRightInd/>
              <w:snapToGrid/>
              <w:spacing w:beforeAutospacing="0" w:afterAutospacing="0" w:line="400" w:lineRule="exact"/>
              <w:ind w:left="0" w:leftChars="0" w:right="0" w:firstLine="0" w:firstLineChars="0"/>
              <w:jc w:val="center"/>
              <w:textAlignment w:val="center"/>
              <w:outlineLvl w:val="9"/>
              <w:rPr>
                <w:rStyle w:val="946"/>
                <w:rFonts w:hint="eastAsia" w:ascii="仿宋" w:hAnsi="仿宋" w:eastAsia="仿宋" w:cs="仿宋"/>
                <w:color w:val="auto"/>
                <w:kern w:val="0"/>
                <w:sz w:val="24"/>
                <w:szCs w:val="24"/>
                <w:highlight w:val="none"/>
                <w:lang w:val="en-US" w:eastAsia="zh-CN" w:bidi="ar-SA"/>
              </w:rPr>
            </w:pPr>
            <w:r>
              <w:rPr>
                <w:rStyle w:val="946"/>
                <w:rFonts w:hint="eastAsia" w:ascii="仿宋" w:hAnsi="仿宋" w:eastAsia="仿宋" w:cs="仿宋"/>
                <w:color w:val="auto"/>
                <w:kern w:val="0"/>
                <w:sz w:val="24"/>
                <w:szCs w:val="24"/>
                <w:highlight w:val="none"/>
                <w:lang w:val="en-US" w:eastAsia="zh-CN" w:bidi="ar-SA"/>
              </w:rPr>
              <w:t>1</w:t>
            </w:r>
          </w:p>
        </w:tc>
        <w:tc>
          <w:tcPr>
            <w:tcW w:w="4574"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widowControl/>
              <w:wordWrap/>
              <w:adjustRightInd/>
              <w:snapToGrid/>
              <w:spacing w:beforeAutospacing="0" w:afterAutospacing="0" w:line="400" w:lineRule="exact"/>
              <w:ind w:left="0" w:leftChars="0" w:right="0" w:firstLine="0" w:firstLineChars="0"/>
              <w:jc w:val="left"/>
              <w:textAlignment w:val="center"/>
              <w:outlineLvl w:val="9"/>
              <w:rPr>
                <w:rStyle w:val="946"/>
                <w:rFonts w:hint="eastAsia" w:ascii="仿宋" w:hAnsi="仿宋" w:eastAsia="仿宋" w:cs="仿宋"/>
                <w:color w:val="auto"/>
                <w:kern w:val="0"/>
                <w:sz w:val="24"/>
                <w:szCs w:val="24"/>
                <w:highlight w:val="none"/>
                <w:lang w:val="en-US" w:eastAsia="zh-CN" w:bidi="ar-SA"/>
              </w:rPr>
            </w:pPr>
            <w:r>
              <w:rPr>
                <w:rStyle w:val="946"/>
                <w:rFonts w:hint="eastAsia" w:ascii="仿宋" w:hAnsi="仿宋" w:eastAsia="仿宋" w:cs="仿宋"/>
                <w:color w:val="auto"/>
                <w:kern w:val="0"/>
                <w:sz w:val="24"/>
                <w:szCs w:val="24"/>
                <w:highlight w:val="none"/>
                <w:lang w:val="en-US" w:eastAsia="zh-CN" w:bidi="ar-SA"/>
              </w:rPr>
              <w:t>按规定统一穿着制服、佩戴工作证、其他必要装备等；</w:t>
            </w:r>
          </w:p>
        </w:tc>
        <w:tc>
          <w:tcPr>
            <w:tcW w:w="918"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widowControl/>
              <w:wordWrap/>
              <w:adjustRightInd/>
              <w:snapToGrid/>
              <w:spacing w:beforeAutospacing="0" w:afterAutospacing="0" w:line="400" w:lineRule="exact"/>
              <w:ind w:left="0" w:leftChars="0" w:right="0" w:firstLine="0" w:firstLineChars="0"/>
              <w:jc w:val="center"/>
              <w:textAlignment w:val="center"/>
              <w:outlineLvl w:val="9"/>
              <w:rPr>
                <w:rStyle w:val="946"/>
                <w:rFonts w:hint="eastAsia" w:ascii="仿宋" w:hAnsi="仿宋" w:eastAsia="仿宋" w:cs="仿宋"/>
                <w:color w:val="auto"/>
                <w:kern w:val="0"/>
                <w:sz w:val="24"/>
                <w:szCs w:val="24"/>
                <w:highlight w:val="none"/>
                <w:lang w:val="en-US" w:eastAsia="zh-CN" w:bidi="ar-SA"/>
              </w:rPr>
            </w:pPr>
            <w:r>
              <w:rPr>
                <w:rStyle w:val="946"/>
                <w:rFonts w:hint="eastAsia" w:ascii="仿宋" w:hAnsi="仿宋" w:eastAsia="仿宋" w:cs="仿宋"/>
                <w:color w:val="auto"/>
                <w:kern w:val="0"/>
                <w:sz w:val="24"/>
                <w:szCs w:val="24"/>
                <w:highlight w:val="none"/>
                <w:lang w:val="en-US" w:eastAsia="zh-CN" w:bidi="ar-SA"/>
              </w:rPr>
              <w:t>2</w:t>
            </w:r>
          </w:p>
        </w:tc>
        <w:tc>
          <w:tcPr>
            <w:tcW w:w="1758"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widowControl/>
              <w:wordWrap/>
              <w:adjustRightInd/>
              <w:snapToGrid/>
              <w:spacing w:beforeAutospacing="0" w:afterAutospacing="0" w:line="400" w:lineRule="exact"/>
              <w:ind w:left="0" w:leftChars="0" w:right="0" w:firstLine="0" w:firstLineChars="0"/>
              <w:jc w:val="left"/>
              <w:textAlignment w:val="center"/>
              <w:outlineLvl w:val="9"/>
              <w:rPr>
                <w:rStyle w:val="946"/>
                <w:rFonts w:hint="eastAsia" w:ascii="仿宋" w:hAnsi="仿宋" w:eastAsia="仿宋" w:cs="仿宋"/>
                <w:color w:val="auto"/>
                <w:kern w:val="0"/>
                <w:sz w:val="24"/>
                <w:szCs w:val="24"/>
                <w:highlight w:val="none"/>
                <w:lang w:val="en-US" w:eastAsia="zh-CN" w:bidi="ar-SA"/>
              </w:rPr>
            </w:pPr>
            <w:r>
              <w:rPr>
                <w:rStyle w:val="946"/>
                <w:rFonts w:hint="eastAsia" w:ascii="仿宋" w:hAnsi="仿宋" w:eastAsia="仿宋" w:cs="仿宋"/>
                <w:color w:val="auto"/>
                <w:kern w:val="0"/>
                <w:sz w:val="24"/>
                <w:szCs w:val="24"/>
                <w:highlight w:val="none"/>
                <w:lang w:val="en-US" w:eastAsia="zh-CN" w:bidi="ar-SA"/>
              </w:rPr>
              <w:t>违规一次扣1分，扣完为止</w:t>
            </w:r>
          </w:p>
        </w:tc>
        <w:tc>
          <w:tcPr>
            <w:tcW w:w="780"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widowControl w:val="0"/>
              <w:wordWrap/>
              <w:adjustRightInd/>
              <w:snapToGrid/>
              <w:spacing w:beforeAutospacing="0" w:afterAutospacing="0" w:line="400" w:lineRule="exact"/>
              <w:ind w:left="0" w:leftChars="0" w:right="0" w:firstLine="0" w:firstLineChars="0"/>
              <w:jc w:val="both"/>
              <w:outlineLvl w:val="9"/>
              <w:rPr>
                <w:rStyle w:val="946"/>
                <w:rFonts w:hint="eastAsia" w:ascii="仿宋" w:hAnsi="仿宋" w:eastAsia="仿宋" w:cs="仿宋"/>
                <w:color w:val="auto"/>
                <w:kern w:val="0"/>
                <w:sz w:val="24"/>
                <w:szCs w:val="24"/>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35" w:type="dxa"/>
            <w:vMerge w:val="continue"/>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wordWrap/>
              <w:adjustRightInd/>
              <w:snapToGrid/>
              <w:spacing w:line="400" w:lineRule="exact"/>
              <w:ind w:left="0" w:leftChars="0" w:right="0" w:firstLine="0" w:firstLineChars="0"/>
              <w:outlineLvl w:val="9"/>
              <w:rPr>
                <w:rStyle w:val="946"/>
                <w:rFonts w:hint="eastAsia" w:ascii="仿宋" w:hAnsi="仿宋" w:eastAsia="仿宋" w:cs="仿宋"/>
                <w:color w:val="auto"/>
                <w:kern w:val="0"/>
                <w:sz w:val="24"/>
                <w:szCs w:val="24"/>
                <w:highlight w:val="none"/>
                <w:lang w:val="en-US" w:eastAsia="zh-CN" w:bidi="ar-SA"/>
              </w:rPr>
            </w:pPr>
          </w:p>
        </w:tc>
        <w:tc>
          <w:tcPr>
            <w:tcW w:w="711"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widowControl/>
              <w:wordWrap/>
              <w:adjustRightInd/>
              <w:snapToGrid/>
              <w:spacing w:beforeAutospacing="0" w:afterAutospacing="0" w:line="400" w:lineRule="exact"/>
              <w:ind w:left="0" w:leftChars="0" w:right="0" w:firstLine="0" w:firstLineChars="0"/>
              <w:jc w:val="center"/>
              <w:textAlignment w:val="center"/>
              <w:outlineLvl w:val="9"/>
              <w:rPr>
                <w:rStyle w:val="946"/>
                <w:rFonts w:hint="eastAsia" w:ascii="仿宋" w:hAnsi="仿宋" w:eastAsia="仿宋" w:cs="仿宋"/>
                <w:color w:val="auto"/>
                <w:kern w:val="0"/>
                <w:sz w:val="24"/>
                <w:szCs w:val="24"/>
                <w:highlight w:val="none"/>
                <w:lang w:val="en-US" w:eastAsia="zh-CN" w:bidi="ar-SA"/>
              </w:rPr>
            </w:pPr>
            <w:r>
              <w:rPr>
                <w:rStyle w:val="946"/>
                <w:rFonts w:hint="eastAsia" w:ascii="仿宋" w:hAnsi="仿宋" w:eastAsia="仿宋" w:cs="仿宋"/>
                <w:color w:val="auto"/>
                <w:kern w:val="0"/>
                <w:sz w:val="24"/>
                <w:szCs w:val="24"/>
                <w:highlight w:val="none"/>
                <w:lang w:val="en-US" w:eastAsia="zh-CN" w:bidi="ar-SA"/>
              </w:rPr>
              <w:t>2</w:t>
            </w:r>
          </w:p>
        </w:tc>
        <w:tc>
          <w:tcPr>
            <w:tcW w:w="4574"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widowControl/>
              <w:wordWrap/>
              <w:adjustRightInd/>
              <w:snapToGrid/>
              <w:spacing w:beforeAutospacing="0" w:afterAutospacing="0" w:line="400" w:lineRule="exact"/>
              <w:ind w:left="0" w:leftChars="0" w:right="0" w:firstLine="0" w:firstLineChars="0"/>
              <w:jc w:val="left"/>
              <w:textAlignment w:val="center"/>
              <w:outlineLvl w:val="9"/>
              <w:rPr>
                <w:rStyle w:val="946"/>
                <w:rFonts w:hint="eastAsia" w:ascii="仿宋" w:hAnsi="仿宋" w:eastAsia="仿宋" w:cs="仿宋"/>
                <w:color w:val="auto"/>
                <w:kern w:val="0"/>
                <w:sz w:val="24"/>
                <w:szCs w:val="24"/>
                <w:highlight w:val="none"/>
                <w:lang w:val="en-US" w:eastAsia="zh-CN" w:bidi="ar-SA"/>
              </w:rPr>
            </w:pPr>
            <w:r>
              <w:rPr>
                <w:rStyle w:val="946"/>
                <w:rFonts w:hint="eastAsia" w:ascii="仿宋" w:hAnsi="仿宋" w:eastAsia="仿宋" w:cs="仿宋"/>
                <w:color w:val="auto"/>
                <w:kern w:val="0"/>
                <w:sz w:val="24"/>
                <w:szCs w:val="24"/>
                <w:highlight w:val="none"/>
                <w:lang w:val="en-US" w:eastAsia="zh-CN" w:bidi="ar-SA"/>
              </w:rPr>
              <w:t>不准留长发、胡须、留长指甲、不得随地吐痰，工作场所内吸烟等；</w:t>
            </w:r>
          </w:p>
        </w:tc>
        <w:tc>
          <w:tcPr>
            <w:tcW w:w="918"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widowControl/>
              <w:wordWrap/>
              <w:adjustRightInd/>
              <w:snapToGrid/>
              <w:spacing w:beforeAutospacing="0" w:afterAutospacing="0" w:line="400" w:lineRule="exact"/>
              <w:ind w:left="0" w:leftChars="0" w:right="0" w:firstLine="0" w:firstLineChars="0"/>
              <w:jc w:val="center"/>
              <w:textAlignment w:val="center"/>
              <w:outlineLvl w:val="9"/>
              <w:rPr>
                <w:rStyle w:val="946"/>
                <w:rFonts w:hint="eastAsia" w:ascii="仿宋" w:hAnsi="仿宋" w:eastAsia="仿宋" w:cs="仿宋"/>
                <w:color w:val="auto"/>
                <w:kern w:val="0"/>
                <w:sz w:val="24"/>
                <w:szCs w:val="24"/>
                <w:highlight w:val="none"/>
                <w:lang w:val="en-US" w:eastAsia="zh-CN" w:bidi="ar-SA"/>
              </w:rPr>
            </w:pPr>
            <w:r>
              <w:rPr>
                <w:rStyle w:val="946"/>
                <w:rFonts w:hint="eastAsia" w:ascii="仿宋" w:hAnsi="仿宋" w:eastAsia="仿宋" w:cs="仿宋"/>
                <w:color w:val="auto"/>
                <w:kern w:val="0"/>
                <w:sz w:val="24"/>
                <w:szCs w:val="24"/>
                <w:highlight w:val="none"/>
                <w:lang w:val="en-US" w:eastAsia="zh-CN" w:bidi="ar-SA"/>
              </w:rPr>
              <w:t>2</w:t>
            </w:r>
          </w:p>
        </w:tc>
        <w:tc>
          <w:tcPr>
            <w:tcW w:w="1758"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top"/>
          </w:tcPr>
          <w:p>
            <w:pPr>
              <w:widowControl/>
              <w:wordWrap/>
              <w:adjustRightInd/>
              <w:snapToGrid/>
              <w:spacing w:beforeAutospacing="0" w:afterAutospacing="0" w:line="400" w:lineRule="exact"/>
              <w:ind w:left="0" w:leftChars="0" w:right="0" w:firstLine="0" w:firstLineChars="0"/>
              <w:jc w:val="both"/>
              <w:textAlignment w:val="top"/>
              <w:outlineLvl w:val="9"/>
              <w:rPr>
                <w:rStyle w:val="946"/>
                <w:rFonts w:hint="eastAsia" w:ascii="仿宋" w:hAnsi="仿宋" w:eastAsia="仿宋" w:cs="仿宋"/>
                <w:color w:val="auto"/>
                <w:kern w:val="0"/>
                <w:sz w:val="24"/>
                <w:szCs w:val="24"/>
                <w:highlight w:val="none"/>
                <w:lang w:val="en-US" w:eastAsia="zh-CN" w:bidi="ar-SA"/>
              </w:rPr>
            </w:pPr>
            <w:r>
              <w:rPr>
                <w:rStyle w:val="946"/>
                <w:rFonts w:hint="eastAsia" w:ascii="仿宋" w:hAnsi="仿宋" w:eastAsia="仿宋" w:cs="仿宋"/>
                <w:color w:val="auto"/>
                <w:kern w:val="0"/>
                <w:sz w:val="24"/>
                <w:szCs w:val="24"/>
                <w:highlight w:val="none"/>
                <w:lang w:val="en-US" w:eastAsia="zh-CN" w:bidi="ar-SA"/>
              </w:rPr>
              <w:t>违规一次扣1分，扣完为止</w:t>
            </w:r>
          </w:p>
        </w:tc>
        <w:tc>
          <w:tcPr>
            <w:tcW w:w="780"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widowControl w:val="0"/>
              <w:wordWrap/>
              <w:adjustRightInd/>
              <w:snapToGrid/>
              <w:spacing w:beforeAutospacing="0" w:afterAutospacing="0" w:line="400" w:lineRule="exact"/>
              <w:ind w:left="0" w:leftChars="0" w:right="0" w:firstLine="0" w:firstLineChars="0"/>
              <w:jc w:val="both"/>
              <w:outlineLvl w:val="9"/>
              <w:rPr>
                <w:rStyle w:val="946"/>
                <w:rFonts w:hint="eastAsia" w:ascii="仿宋" w:hAnsi="仿宋" w:eastAsia="仿宋" w:cs="仿宋"/>
                <w:color w:val="auto"/>
                <w:kern w:val="0"/>
                <w:sz w:val="24"/>
                <w:szCs w:val="24"/>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35" w:type="dxa"/>
            <w:vMerge w:val="continue"/>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wordWrap/>
              <w:adjustRightInd/>
              <w:snapToGrid/>
              <w:spacing w:line="400" w:lineRule="exact"/>
              <w:ind w:left="0" w:leftChars="0" w:right="0" w:firstLine="0" w:firstLineChars="0"/>
              <w:outlineLvl w:val="9"/>
              <w:rPr>
                <w:rStyle w:val="946"/>
                <w:rFonts w:hint="eastAsia" w:ascii="仿宋" w:hAnsi="仿宋" w:eastAsia="仿宋" w:cs="仿宋"/>
                <w:color w:val="auto"/>
                <w:kern w:val="0"/>
                <w:sz w:val="24"/>
                <w:szCs w:val="24"/>
                <w:highlight w:val="none"/>
                <w:lang w:val="en-US" w:eastAsia="zh-CN" w:bidi="ar-SA"/>
              </w:rPr>
            </w:pPr>
          </w:p>
        </w:tc>
        <w:tc>
          <w:tcPr>
            <w:tcW w:w="711"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widowControl w:val="0"/>
              <w:wordWrap/>
              <w:adjustRightInd/>
              <w:snapToGrid/>
              <w:spacing w:beforeAutospacing="0" w:afterAutospacing="0" w:line="400" w:lineRule="exact"/>
              <w:ind w:left="0" w:leftChars="0" w:right="0" w:firstLine="0" w:firstLineChars="0"/>
              <w:jc w:val="center"/>
              <w:textAlignment w:val="center"/>
              <w:outlineLvl w:val="9"/>
              <w:rPr>
                <w:rStyle w:val="946"/>
                <w:rFonts w:hint="eastAsia" w:ascii="仿宋" w:hAnsi="仿宋" w:eastAsia="仿宋" w:cs="仿宋"/>
                <w:color w:val="auto"/>
                <w:kern w:val="0"/>
                <w:sz w:val="24"/>
                <w:szCs w:val="24"/>
                <w:highlight w:val="none"/>
                <w:lang w:val="en-US" w:eastAsia="zh-CN" w:bidi="ar-SA"/>
              </w:rPr>
            </w:pPr>
            <w:r>
              <w:rPr>
                <w:rStyle w:val="946"/>
                <w:rFonts w:hint="eastAsia" w:ascii="仿宋" w:hAnsi="仿宋" w:eastAsia="仿宋" w:cs="仿宋"/>
                <w:color w:val="auto"/>
                <w:kern w:val="0"/>
                <w:sz w:val="24"/>
                <w:szCs w:val="24"/>
                <w:highlight w:val="none"/>
                <w:lang w:val="en-US" w:eastAsia="zh-CN" w:bidi="ar-SA"/>
              </w:rPr>
              <w:t>3</w:t>
            </w:r>
          </w:p>
        </w:tc>
        <w:tc>
          <w:tcPr>
            <w:tcW w:w="4574"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widowControl w:val="0"/>
              <w:wordWrap/>
              <w:adjustRightInd/>
              <w:snapToGrid/>
              <w:spacing w:beforeAutospacing="0" w:afterAutospacing="0" w:line="400" w:lineRule="exact"/>
              <w:ind w:left="0" w:leftChars="0" w:right="0" w:firstLine="0" w:firstLineChars="0"/>
              <w:jc w:val="left"/>
              <w:textAlignment w:val="center"/>
              <w:outlineLvl w:val="9"/>
              <w:rPr>
                <w:rStyle w:val="946"/>
                <w:rFonts w:hint="eastAsia" w:ascii="仿宋" w:hAnsi="仿宋" w:eastAsia="仿宋" w:cs="仿宋"/>
                <w:color w:val="auto"/>
                <w:kern w:val="0"/>
                <w:sz w:val="24"/>
                <w:szCs w:val="24"/>
                <w:highlight w:val="none"/>
                <w:lang w:val="en-US" w:eastAsia="zh-CN" w:bidi="ar-SA"/>
              </w:rPr>
            </w:pPr>
            <w:r>
              <w:rPr>
                <w:rStyle w:val="946"/>
                <w:rFonts w:hint="eastAsia" w:ascii="仿宋" w:hAnsi="仿宋" w:eastAsia="仿宋" w:cs="仿宋"/>
                <w:color w:val="auto"/>
                <w:kern w:val="0"/>
                <w:sz w:val="24"/>
                <w:szCs w:val="24"/>
                <w:highlight w:val="none"/>
                <w:lang w:val="en-US" w:eastAsia="zh-CN" w:bidi="ar-SA"/>
              </w:rPr>
              <w:t>宿舍、办公室等工作区域应保持干净整洁，物品摆放整齐统一。</w:t>
            </w:r>
          </w:p>
        </w:tc>
        <w:tc>
          <w:tcPr>
            <w:tcW w:w="918"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widowControl w:val="0"/>
              <w:wordWrap/>
              <w:adjustRightInd/>
              <w:snapToGrid/>
              <w:spacing w:beforeAutospacing="0" w:afterAutospacing="0" w:line="400" w:lineRule="exact"/>
              <w:ind w:left="0" w:leftChars="0" w:right="0" w:firstLine="0" w:firstLineChars="0"/>
              <w:jc w:val="center"/>
              <w:textAlignment w:val="center"/>
              <w:outlineLvl w:val="9"/>
              <w:rPr>
                <w:rStyle w:val="946"/>
                <w:rFonts w:hint="eastAsia" w:ascii="仿宋" w:hAnsi="仿宋" w:eastAsia="仿宋" w:cs="仿宋"/>
                <w:color w:val="auto"/>
                <w:kern w:val="0"/>
                <w:sz w:val="24"/>
                <w:szCs w:val="24"/>
                <w:highlight w:val="none"/>
                <w:lang w:val="en-US" w:eastAsia="zh-CN" w:bidi="ar-SA"/>
              </w:rPr>
            </w:pPr>
            <w:r>
              <w:rPr>
                <w:rStyle w:val="946"/>
                <w:rFonts w:hint="eastAsia" w:ascii="仿宋" w:hAnsi="仿宋" w:eastAsia="仿宋" w:cs="仿宋"/>
                <w:color w:val="auto"/>
                <w:kern w:val="0"/>
                <w:sz w:val="24"/>
                <w:szCs w:val="24"/>
                <w:highlight w:val="none"/>
                <w:lang w:val="en-US" w:eastAsia="zh-CN" w:bidi="ar-SA"/>
              </w:rPr>
              <w:t>2</w:t>
            </w:r>
          </w:p>
        </w:tc>
        <w:tc>
          <w:tcPr>
            <w:tcW w:w="1758"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top"/>
          </w:tcPr>
          <w:p>
            <w:pPr>
              <w:widowControl w:val="0"/>
              <w:wordWrap/>
              <w:adjustRightInd/>
              <w:snapToGrid/>
              <w:spacing w:beforeAutospacing="0" w:afterAutospacing="0" w:line="400" w:lineRule="exact"/>
              <w:ind w:left="0" w:leftChars="0" w:right="0" w:firstLine="0" w:firstLineChars="0"/>
              <w:jc w:val="both"/>
              <w:textAlignment w:val="top"/>
              <w:outlineLvl w:val="9"/>
              <w:rPr>
                <w:rStyle w:val="946"/>
                <w:rFonts w:hint="eastAsia" w:ascii="仿宋" w:hAnsi="仿宋" w:eastAsia="仿宋" w:cs="仿宋"/>
                <w:color w:val="auto"/>
                <w:kern w:val="0"/>
                <w:sz w:val="24"/>
                <w:szCs w:val="24"/>
                <w:highlight w:val="none"/>
                <w:lang w:val="en-US" w:eastAsia="zh-CN" w:bidi="ar-SA"/>
              </w:rPr>
            </w:pPr>
            <w:r>
              <w:rPr>
                <w:rStyle w:val="946"/>
                <w:rFonts w:hint="eastAsia" w:ascii="仿宋" w:hAnsi="仿宋" w:eastAsia="仿宋" w:cs="仿宋"/>
                <w:color w:val="auto"/>
                <w:kern w:val="0"/>
                <w:sz w:val="24"/>
                <w:szCs w:val="24"/>
                <w:highlight w:val="none"/>
                <w:lang w:val="en-US" w:eastAsia="zh-CN" w:bidi="ar-SA"/>
              </w:rPr>
              <w:t>违规一次扣1分，扣完为止</w:t>
            </w:r>
          </w:p>
        </w:tc>
        <w:tc>
          <w:tcPr>
            <w:tcW w:w="780"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widowControl w:val="0"/>
              <w:wordWrap/>
              <w:adjustRightInd/>
              <w:snapToGrid/>
              <w:spacing w:beforeAutospacing="0" w:afterAutospacing="0" w:line="400" w:lineRule="exact"/>
              <w:ind w:left="0" w:leftChars="0" w:right="0" w:firstLine="0" w:firstLineChars="0"/>
              <w:jc w:val="both"/>
              <w:outlineLvl w:val="9"/>
              <w:rPr>
                <w:rStyle w:val="946"/>
                <w:rFonts w:hint="eastAsia" w:ascii="仿宋" w:hAnsi="仿宋" w:eastAsia="仿宋" w:cs="仿宋"/>
                <w:color w:val="auto"/>
                <w:kern w:val="0"/>
                <w:sz w:val="24"/>
                <w:szCs w:val="24"/>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9" w:hRule="atLeast"/>
        </w:trPr>
        <w:tc>
          <w:tcPr>
            <w:tcW w:w="1035" w:type="dxa"/>
            <w:vMerge w:val="restart"/>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widowControl/>
              <w:wordWrap/>
              <w:adjustRightInd/>
              <w:snapToGrid/>
              <w:spacing w:beforeAutospacing="0" w:afterAutospacing="0" w:line="400" w:lineRule="exact"/>
              <w:ind w:left="0" w:leftChars="0" w:right="0" w:firstLine="0" w:firstLineChars="0"/>
              <w:jc w:val="center"/>
              <w:textAlignment w:val="center"/>
              <w:outlineLvl w:val="9"/>
              <w:rPr>
                <w:rStyle w:val="946"/>
                <w:rFonts w:hint="eastAsia" w:ascii="仿宋" w:hAnsi="仿宋" w:eastAsia="仿宋" w:cs="仿宋"/>
                <w:color w:val="auto"/>
                <w:kern w:val="0"/>
                <w:sz w:val="24"/>
                <w:szCs w:val="24"/>
                <w:highlight w:val="none"/>
                <w:lang w:val="en-US" w:eastAsia="zh-CN" w:bidi="ar-SA"/>
              </w:rPr>
            </w:pPr>
            <w:r>
              <w:rPr>
                <w:rStyle w:val="946"/>
                <w:rFonts w:hint="eastAsia" w:ascii="仿宋" w:hAnsi="仿宋" w:eastAsia="仿宋" w:cs="仿宋"/>
                <w:color w:val="auto"/>
                <w:kern w:val="0"/>
                <w:sz w:val="24"/>
                <w:szCs w:val="24"/>
                <w:highlight w:val="none"/>
                <w:lang w:val="en-US" w:eastAsia="zh-CN" w:bidi="ar-SA"/>
              </w:rPr>
              <w:t>服务</w:t>
            </w:r>
          </w:p>
          <w:p>
            <w:pPr>
              <w:widowControl/>
              <w:wordWrap/>
              <w:adjustRightInd/>
              <w:snapToGrid/>
              <w:spacing w:beforeAutospacing="0" w:afterAutospacing="0" w:line="400" w:lineRule="exact"/>
              <w:ind w:left="0" w:leftChars="0" w:right="0" w:firstLine="0" w:firstLineChars="0"/>
              <w:jc w:val="center"/>
              <w:textAlignment w:val="center"/>
              <w:outlineLvl w:val="9"/>
              <w:rPr>
                <w:rStyle w:val="946"/>
                <w:rFonts w:hint="eastAsia" w:ascii="仿宋" w:hAnsi="仿宋" w:eastAsia="仿宋" w:cs="仿宋"/>
                <w:color w:val="auto"/>
                <w:kern w:val="0"/>
                <w:sz w:val="24"/>
                <w:szCs w:val="24"/>
                <w:highlight w:val="none"/>
                <w:lang w:val="en-US" w:eastAsia="zh-CN" w:bidi="ar-SA"/>
              </w:rPr>
            </w:pPr>
            <w:r>
              <w:rPr>
                <w:rStyle w:val="946"/>
                <w:rFonts w:hint="eastAsia" w:ascii="仿宋" w:hAnsi="仿宋" w:eastAsia="仿宋" w:cs="仿宋"/>
                <w:color w:val="auto"/>
                <w:kern w:val="0"/>
                <w:sz w:val="24"/>
                <w:szCs w:val="24"/>
                <w:highlight w:val="none"/>
                <w:lang w:val="en-US" w:eastAsia="zh-CN" w:bidi="ar-SA"/>
              </w:rPr>
              <w:t>态度（4%）</w:t>
            </w:r>
          </w:p>
        </w:tc>
        <w:tc>
          <w:tcPr>
            <w:tcW w:w="711"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widowControl/>
              <w:wordWrap/>
              <w:adjustRightInd/>
              <w:snapToGrid/>
              <w:spacing w:beforeAutospacing="0" w:afterAutospacing="0" w:line="400" w:lineRule="exact"/>
              <w:ind w:left="0" w:leftChars="0" w:right="0" w:firstLine="0" w:firstLineChars="0"/>
              <w:jc w:val="center"/>
              <w:textAlignment w:val="center"/>
              <w:outlineLvl w:val="9"/>
              <w:rPr>
                <w:rStyle w:val="946"/>
                <w:rFonts w:hint="eastAsia" w:ascii="仿宋" w:hAnsi="仿宋" w:eastAsia="仿宋" w:cs="仿宋"/>
                <w:color w:val="auto"/>
                <w:kern w:val="0"/>
                <w:sz w:val="24"/>
                <w:szCs w:val="24"/>
                <w:highlight w:val="none"/>
                <w:lang w:val="en-US" w:eastAsia="zh-CN" w:bidi="ar-SA"/>
              </w:rPr>
            </w:pPr>
            <w:r>
              <w:rPr>
                <w:rStyle w:val="946"/>
                <w:rFonts w:hint="eastAsia" w:ascii="仿宋" w:hAnsi="仿宋" w:eastAsia="仿宋" w:cs="仿宋"/>
                <w:color w:val="auto"/>
                <w:kern w:val="0"/>
                <w:sz w:val="24"/>
                <w:szCs w:val="24"/>
                <w:highlight w:val="none"/>
                <w:lang w:val="en-US" w:eastAsia="zh-CN" w:bidi="ar-SA"/>
              </w:rPr>
              <w:t>4</w:t>
            </w:r>
          </w:p>
        </w:tc>
        <w:tc>
          <w:tcPr>
            <w:tcW w:w="4574"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widowControl/>
              <w:wordWrap/>
              <w:adjustRightInd/>
              <w:snapToGrid/>
              <w:spacing w:beforeAutospacing="0" w:afterAutospacing="0" w:line="400" w:lineRule="exact"/>
              <w:ind w:left="0" w:leftChars="0" w:right="0" w:firstLine="0" w:firstLineChars="0"/>
              <w:jc w:val="left"/>
              <w:textAlignment w:val="center"/>
              <w:outlineLvl w:val="9"/>
              <w:rPr>
                <w:rStyle w:val="946"/>
                <w:rFonts w:hint="eastAsia" w:ascii="仿宋" w:hAnsi="仿宋" w:eastAsia="仿宋" w:cs="仿宋"/>
                <w:color w:val="auto"/>
                <w:kern w:val="0"/>
                <w:sz w:val="24"/>
                <w:szCs w:val="24"/>
                <w:highlight w:val="none"/>
                <w:lang w:val="en-US" w:eastAsia="zh-CN" w:bidi="ar-SA"/>
              </w:rPr>
            </w:pPr>
            <w:r>
              <w:rPr>
                <w:rStyle w:val="946"/>
                <w:rFonts w:hint="eastAsia" w:ascii="仿宋" w:hAnsi="仿宋" w:eastAsia="仿宋" w:cs="仿宋"/>
                <w:color w:val="auto"/>
                <w:kern w:val="0"/>
                <w:sz w:val="24"/>
                <w:szCs w:val="24"/>
                <w:highlight w:val="none"/>
                <w:lang w:val="en-US" w:eastAsia="zh-CN" w:bidi="ar-SA"/>
              </w:rPr>
              <w:t>精神饱满、热情，按规定使用礼貌用语；工作过程中使用规范礼貌用语，微笑服务；</w:t>
            </w:r>
          </w:p>
        </w:tc>
        <w:tc>
          <w:tcPr>
            <w:tcW w:w="918"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widowControl/>
              <w:wordWrap/>
              <w:adjustRightInd/>
              <w:snapToGrid/>
              <w:spacing w:beforeAutospacing="0" w:afterAutospacing="0" w:line="400" w:lineRule="exact"/>
              <w:ind w:left="0" w:leftChars="0" w:right="0" w:firstLine="0" w:firstLineChars="0"/>
              <w:jc w:val="center"/>
              <w:textAlignment w:val="center"/>
              <w:outlineLvl w:val="9"/>
              <w:rPr>
                <w:rStyle w:val="946"/>
                <w:rFonts w:hint="eastAsia" w:ascii="仿宋" w:hAnsi="仿宋" w:eastAsia="仿宋" w:cs="仿宋"/>
                <w:color w:val="auto"/>
                <w:kern w:val="0"/>
                <w:sz w:val="24"/>
                <w:szCs w:val="24"/>
                <w:highlight w:val="none"/>
                <w:lang w:val="en-US" w:eastAsia="zh-CN" w:bidi="ar-SA"/>
              </w:rPr>
            </w:pPr>
            <w:r>
              <w:rPr>
                <w:rStyle w:val="946"/>
                <w:rFonts w:hint="eastAsia" w:ascii="仿宋" w:hAnsi="仿宋" w:eastAsia="仿宋" w:cs="仿宋"/>
                <w:color w:val="auto"/>
                <w:kern w:val="0"/>
                <w:sz w:val="24"/>
                <w:szCs w:val="24"/>
                <w:highlight w:val="none"/>
                <w:lang w:val="en-US" w:eastAsia="zh-CN" w:bidi="ar-SA"/>
              </w:rPr>
              <w:t>2</w:t>
            </w:r>
          </w:p>
        </w:tc>
        <w:tc>
          <w:tcPr>
            <w:tcW w:w="1758"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top"/>
          </w:tcPr>
          <w:p>
            <w:pPr>
              <w:widowControl/>
              <w:wordWrap/>
              <w:adjustRightInd/>
              <w:snapToGrid/>
              <w:spacing w:beforeAutospacing="0" w:afterAutospacing="0" w:line="400" w:lineRule="exact"/>
              <w:ind w:left="0" w:leftChars="0" w:right="0" w:firstLine="0" w:firstLineChars="0"/>
              <w:jc w:val="both"/>
              <w:textAlignment w:val="top"/>
              <w:outlineLvl w:val="9"/>
              <w:rPr>
                <w:rStyle w:val="946"/>
                <w:rFonts w:hint="eastAsia" w:ascii="仿宋" w:hAnsi="仿宋" w:eastAsia="仿宋" w:cs="仿宋"/>
                <w:color w:val="auto"/>
                <w:kern w:val="0"/>
                <w:sz w:val="24"/>
                <w:szCs w:val="24"/>
                <w:highlight w:val="none"/>
                <w:lang w:val="en-US" w:eastAsia="zh-CN" w:bidi="ar-SA"/>
              </w:rPr>
            </w:pPr>
            <w:r>
              <w:rPr>
                <w:rStyle w:val="946"/>
                <w:rFonts w:hint="eastAsia" w:ascii="仿宋" w:hAnsi="仿宋" w:eastAsia="仿宋" w:cs="仿宋"/>
                <w:color w:val="auto"/>
                <w:kern w:val="0"/>
                <w:sz w:val="24"/>
                <w:szCs w:val="24"/>
                <w:highlight w:val="none"/>
                <w:lang w:val="en-US" w:eastAsia="zh-CN" w:bidi="ar-SA"/>
              </w:rPr>
              <w:t>违规一次扣1分，扣完为止</w:t>
            </w:r>
          </w:p>
        </w:tc>
        <w:tc>
          <w:tcPr>
            <w:tcW w:w="780"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widowControl w:val="0"/>
              <w:wordWrap/>
              <w:adjustRightInd/>
              <w:snapToGrid/>
              <w:spacing w:beforeAutospacing="0" w:afterAutospacing="0" w:line="400" w:lineRule="exact"/>
              <w:ind w:left="0" w:leftChars="0" w:right="0" w:firstLine="0" w:firstLineChars="0"/>
              <w:jc w:val="both"/>
              <w:outlineLvl w:val="9"/>
              <w:rPr>
                <w:rStyle w:val="946"/>
                <w:rFonts w:hint="eastAsia" w:ascii="仿宋" w:hAnsi="仿宋" w:eastAsia="仿宋" w:cs="仿宋"/>
                <w:color w:val="auto"/>
                <w:kern w:val="0"/>
                <w:sz w:val="24"/>
                <w:szCs w:val="24"/>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35" w:type="dxa"/>
            <w:vMerge w:val="continue"/>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wordWrap/>
              <w:adjustRightInd/>
              <w:snapToGrid/>
              <w:spacing w:line="400" w:lineRule="exact"/>
              <w:ind w:left="0" w:leftChars="0" w:right="0" w:firstLine="0" w:firstLineChars="0"/>
              <w:outlineLvl w:val="9"/>
              <w:rPr>
                <w:rStyle w:val="946"/>
                <w:rFonts w:hint="eastAsia" w:ascii="仿宋" w:hAnsi="仿宋" w:eastAsia="仿宋" w:cs="仿宋"/>
                <w:color w:val="auto"/>
                <w:kern w:val="0"/>
                <w:sz w:val="24"/>
                <w:szCs w:val="24"/>
                <w:highlight w:val="none"/>
                <w:lang w:val="en-US" w:eastAsia="zh-CN" w:bidi="ar-SA"/>
              </w:rPr>
            </w:pPr>
          </w:p>
        </w:tc>
        <w:tc>
          <w:tcPr>
            <w:tcW w:w="711"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widowControl/>
              <w:wordWrap/>
              <w:adjustRightInd/>
              <w:snapToGrid/>
              <w:spacing w:beforeAutospacing="0" w:afterAutospacing="0" w:line="400" w:lineRule="exact"/>
              <w:ind w:left="0" w:leftChars="0" w:right="0" w:firstLine="0" w:firstLineChars="0"/>
              <w:jc w:val="center"/>
              <w:textAlignment w:val="center"/>
              <w:outlineLvl w:val="9"/>
              <w:rPr>
                <w:rStyle w:val="946"/>
                <w:rFonts w:hint="eastAsia" w:ascii="仿宋" w:hAnsi="仿宋" w:eastAsia="仿宋" w:cs="仿宋"/>
                <w:color w:val="auto"/>
                <w:kern w:val="0"/>
                <w:sz w:val="24"/>
                <w:szCs w:val="24"/>
                <w:highlight w:val="none"/>
                <w:lang w:val="en-US" w:eastAsia="zh-CN" w:bidi="ar-SA"/>
              </w:rPr>
            </w:pPr>
            <w:r>
              <w:rPr>
                <w:rStyle w:val="946"/>
                <w:rFonts w:hint="eastAsia" w:ascii="仿宋" w:hAnsi="仿宋" w:eastAsia="仿宋" w:cs="仿宋"/>
                <w:color w:val="auto"/>
                <w:kern w:val="0"/>
                <w:sz w:val="24"/>
                <w:szCs w:val="24"/>
                <w:highlight w:val="none"/>
                <w:lang w:val="en-US" w:eastAsia="zh-CN" w:bidi="ar-SA"/>
              </w:rPr>
              <w:t>5</w:t>
            </w:r>
          </w:p>
        </w:tc>
        <w:tc>
          <w:tcPr>
            <w:tcW w:w="4574"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widowControl/>
              <w:wordWrap/>
              <w:adjustRightInd/>
              <w:snapToGrid/>
              <w:spacing w:beforeAutospacing="0" w:afterAutospacing="0" w:line="400" w:lineRule="exact"/>
              <w:ind w:left="0" w:leftChars="0" w:right="0" w:firstLine="0" w:firstLineChars="0"/>
              <w:jc w:val="left"/>
              <w:textAlignment w:val="center"/>
              <w:outlineLvl w:val="9"/>
              <w:rPr>
                <w:rStyle w:val="946"/>
                <w:rFonts w:hint="eastAsia" w:ascii="仿宋" w:hAnsi="仿宋" w:eastAsia="仿宋" w:cs="仿宋"/>
                <w:color w:val="auto"/>
                <w:kern w:val="0"/>
                <w:sz w:val="24"/>
                <w:szCs w:val="24"/>
                <w:highlight w:val="none"/>
                <w:lang w:val="en-US" w:eastAsia="zh-CN" w:bidi="ar-SA"/>
              </w:rPr>
            </w:pPr>
            <w:r>
              <w:rPr>
                <w:rStyle w:val="946"/>
                <w:rFonts w:hint="eastAsia" w:ascii="仿宋" w:hAnsi="仿宋" w:eastAsia="仿宋" w:cs="仿宋"/>
                <w:color w:val="auto"/>
                <w:kern w:val="0"/>
                <w:sz w:val="24"/>
                <w:szCs w:val="24"/>
                <w:highlight w:val="none"/>
                <w:lang w:val="en-US" w:eastAsia="zh-CN" w:bidi="ar-SA"/>
              </w:rPr>
              <w:t>服务意识良好，能够积极接受上级或同事的意见，不与上级或同事发生争吵或有失敬、失礼的行为。</w:t>
            </w:r>
          </w:p>
        </w:tc>
        <w:tc>
          <w:tcPr>
            <w:tcW w:w="918"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widowControl/>
              <w:wordWrap/>
              <w:adjustRightInd/>
              <w:snapToGrid/>
              <w:spacing w:beforeAutospacing="0" w:afterAutospacing="0" w:line="400" w:lineRule="exact"/>
              <w:ind w:left="0" w:leftChars="0" w:right="0" w:firstLine="0" w:firstLineChars="0"/>
              <w:jc w:val="center"/>
              <w:textAlignment w:val="center"/>
              <w:outlineLvl w:val="9"/>
              <w:rPr>
                <w:rStyle w:val="946"/>
                <w:rFonts w:hint="eastAsia" w:ascii="仿宋" w:hAnsi="仿宋" w:eastAsia="仿宋" w:cs="仿宋"/>
                <w:color w:val="auto"/>
                <w:kern w:val="0"/>
                <w:sz w:val="24"/>
                <w:szCs w:val="24"/>
                <w:highlight w:val="none"/>
                <w:lang w:val="en-US" w:eastAsia="zh-CN" w:bidi="ar-SA"/>
              </w:rPr>
            </w:pPr>
            <w:r>
              <w:rPr>
                <w:rStyle w:val="946"/>
                <w:rFonts w:hint="eastAsia" w:ascii="仿宋" w:hAnsi="仿宋" w:eastAsia="仿宋" w:cs="仿宋"/>
                <w:color w:val="auto"/>
                <w:kern w:val="0"/>
                <w:sz w:val="24"/>
                <w:szCs w:val="24"/>
                <w:highlight w:val="none"/>
                <w:lang w:val="en-US" w:eastAsia="zh-CN" w:bidi="ar-SA"/>
              </w:rPr>
              <w:t>2</w:t>
            </w:r>
          </w:p>
        </w:tc>
        <w:tc>
          <w:tcPr>
            <w:tcW w:w="1758"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top"/>
          </w:tcPr>
          <w:p>
            <w:pPr>
              <w:widowControl/>
              <w:wordWrap/>
              <w:adjustRightInd/>
              <w:snapToGrid/>
              <w:spacing w:beforeAutospacing="0" w:afterAutospacing="0" w:line="400" w:lineRule="exact"/>
              <w:ind w:left="0" w:leftChars="0" w:right="0" w:firstLine="0" w:firstLineChars="0"/>
              <w:jc w:val="both"/>
              <w:textAlignment w:val="top"/>
              <w:outlineLvl w:val="9"/>
              <w:rPr>
                <w:rStyle w:val="946"/>
                <w:rFonts w:hint="eastAsia" w:ascii="仿宋" w:hAnsi="仿宋" w:eastAsia="仿宋" w:cs="仿宋"/>
                <w:color w:val="auto"/>
                <w:kern w:val="0"/>
                <w:sz w:val="24"/>
                <w:szCs w:val="24"/>
                <w:highlight w:val="none"/>
                <w:lang w:val="en-US" w:eastAsia="zh-CN" w:bidi="ar-SA"/>
              </w:rPr>
            </w:pPr>
            <w:r>
              <w:rPr>
                <w:rStyle w:val="946"/>
                <w:rFonts w:hint="eastAsia" w:ascii="仿宋" w:hAnsi="仿宋" w:eastAsia="仿宋" w:cs="仿宋"/>
                <w:color w:val="auto"/>
                <w:kern w:val="0"/>
                <w:sz w:val="24"/>
                <w:szCs w:val="24"/>
                <w:highlight w:val="none"/>
                <w:lang w:val="en-US" w:eastAsia="zh-CN" w:bidi="ar-SA"/>
              </w:rPr>
              <w:t>违规一次扣1分，扣完为止</w:t>
            </w:r>
          </w:p>
        </w:tc>
        <w:tc>
          <w:tcPr>
            <w:tcW w:w="780"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widowControl w:val="0"/>
              <w:wordWrap/>
              <w:adjustRightInd/>
              <w:snapToGrid/>
              <w:spacing w:beforeAutospacing="0" w:afterAutospacing="0" w:line="400" w:lineRule="exact"/>
              <w:ind w:left="0" w:leftChars="0" w:right="0" w:firstLine="0" w:firstLineChars="0"/>
              <w:jc w:val="both"/>
              <w:outlineLvl w:val="9"/>
              <w:rPr>
                <w:rStyle w:val="946"/>
                <w:rFonts w:hint="eastAsia" w:ascii="仿宋" w:hAnsi="仿宋" w:eastAsia="仿宋" w:cs="仿宋"/>
                <w:color w:val="auto"/>
                <w:kern w:val="0"/>
                <w:sz w:val="24"/>
                <w:szCs w:val="24"/>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35" w:type="dxa"/>
            <w:vMerge w:val="restart"/>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widowControl/>
              <w:wordWrap/>
              <w:adjustRightInd/>
              <w:snapToGrid/>
              <w:spacing w:beforeAutospacing="0" w:afterAutospacing="0" w:line="400" w:lineRule="exact"/>
              <w:ind w:left="0" w:leftChars="0" w:right="0" w:firstLine="0" w:firstLineChars="0"/>
              <w:jc w:val="center"/>
              <w:textAlignment w:val="center"/>
              <w:outlineLvl w:val="9"/>
              <w:rPr>
                <w:rStyle w:val="946"/>
                <w:rFonts w:hint="eastAsia" w:ascii="仿宋" w:hAnsi="仿宋" w:eastAsia="仿宋" w:cs="仿宋"/>
                <w:color w:val="auto"/>
                <w:kern w:val="0"/>
                <w:sz w:val="24"/>
                <w:szCs w:val="24"/>
                <w:highlight w:val="none"/>
                <w:lang w:val="en-US" w:eastAsia="zh-CN" w:bidi="ar-SA"/>
              </w:rPr>
            </w:pPr>
            <w:r>
              <w:rPr>
                <w:rStyle w:val="946"/>
                <w:rFonts w:hint="eastAsia" w:ascii="仿宋" w:hAnsi="仿宋" w:eastAsia="仿宋" w:cs="仿宋"/>
                <w:color w:val="auto"/>
                <w:kern w:val="0"/>
                <w:sz w:val="24"/>
                <w:szCs w:val="24"/>
                <w:highlight w:val="none"/>
                <w:lang w:val="en-US" w:eastAsia="zh-CN" w:bidi="ar-SA"/>
              </w:rPr>
              <w:t>工作</w:t>
            </w:r>
          </w:p>
          <w:p>
            <w:pPr>
              <w:widowControl/>
              <w:wordWrap/>
              <w:adjustRightInd/>
              <w:snapToGrid/>
              <w:spacing w:beforeAutospacing="0" w:afterAutospacing="0" w:line="400" w:lineRule="exact"/>
              <w:ind w:left="0" w:leftChars="0" w:right="0" w:firstLine="0" w:firstLineChars="0"/>
              <w:jc w:val="center"/>
              <w:textAlignment w:val="center"/>
              <w:outlineLvl w:val="9"/>
              <w:rPr>
                <w:rStyle w:val="946"/>
                <w:rFonts w:hint="eastAsia" w:ascii="仿宋" w:hAnsi="仿宋" w:eastAsia="仿宋" w:cs="仿宋"/>
                <w:color w:val="auto"/>
                <w:kern w:val="0"/>
                <w:sz w:val="24"/>
                <w:szCs w:val="24"/>
                <w:highlight w:val="none"/>
                <w:lang w:val="en-US" w:eastAsia="zh-CN" w:bidi="ar-SA"/>
              </w:rPr>
            </w:pPr>
            <w:r>
              <w:rPr>
                <w:rStyle w:val="946"/>
                <w:rFonts w:hint="eastAsia" w:ascii="仿宋" w:hAnsi="仿宋" w:eastAsia="仿宋" w:cs="仿宋"/>
                <w:color w:val="auto"/>
                <w:kern w:val="0"/>
                <w:sz w:val="24"/>
                <w:szCs w:val="24"/>
                <w:highlight w:val="none"/>
                <w:lang w:val="en-US" w:eastAsia="zh-CN" w:bidi="ar-SA"/>
              </w:rPr>
              <w:t>纪律（30%）</w:t>
            </w:r>
          </w:p>
        </w:tc>
        <w:tc>
          <w:tcPr>
            <w:tcW w:w="711"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widowControl/>
              <w:wordWrap/>
              <w:adjustRightInd/>
              <w:snapToGrid/>
              <w:spacing w:beforeAutospacing="0" w:afterAutospacing="0" w:line="400" w:lineRule="exact"/>
              <w:ind w:left="0" w:leftChars="0" w:right="0" w:firstLine="0" w:firstLineChars="0"/>
              <w:jc w:val="center"/>
              <w:textAlignment w:val="center"/>
              <w:outlineLvl w:val="9"/>
              <w:rPr>
                <w:rStyle w:val="946"/>
                <w:rFonts w:hint="eastAsia" w:ascii="仿宋" w:hAnsi="仿宋" w:eastAsia="仿宋" w:cs="仿宋"/>
                <w:color w:val="auto"/>
                <w:kern w:val="0"/>
                <w:sz w:val="24"/>
                <w:szCs w:val="24"/>
                <w:highlight w:val="none"/>
                <w:lang w:val="en-US" w:eastAsia="zh-CN" w:bidi="ar-SA"/>
              </w:rPr>
            </w:pPr>
            <w:r>
              <w:rPr>
                <w:rStyle w:val="946"/>
                <w:rFonts w:hint="eastAsia" w:ascii="仿宋" w:hAnsi="仿宋" w:eastAsia="仿宋" w:cs="仿宋"/>
                <w:color w:val="auto"/>
                <w:kern w:val="0"/>
                <w:sz w:val="24"/>
                <w:szCs w:val="24"/>
                <w:highlight w:val="none"/>
                <w:lang w:val="en-US" w:eastAsia="zh-CN" w:bidi="ar-SA"/>
              </w:rPr>
              <w:t>6</w:t>
            </w:r>
          </w:p>
        </w:tc>
        <w:tc>
          <w:tcPr>
            <w:tcW w:w="4574"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widowControl/>
              <w:wordWrap/>
              <w:adjustRightInd/>
              <w:snapToGrid/>
              <w:spacing w:beforeAutospacing="0" w:afterAutospacing="0" w:line="400" w:lineRule="exact"/>
              <w:ind w:left="0" w:leftChars="0" w:right="0" w:firstLine="0" w:firstLineChars="0"/>
              <w:jc w:val="left"/>
              <w:textAlignment w:val="center"/>
              <w:outlineLvl w:val="9"/>
              <w:rPr>
                <w:rStyle w:val="946"/>
                <w:rFonts w:hint="eastAsia" w:ascii="仿宋" w:hAnsi="仿宋" w:eastAsia="仿宋" w:cs="仿宋"/>
                <w:color w:val="auto"/>
                <w:kern w:val="0"/>
                <w:sz w:val="24"/>
                <w:szCs w:val="24"/>
                <w:highlight w:val="none"/>
                <w:lang w:val="en-US" w:eastAsia="zh-CN" w:bidi="ar-SA"/>
              </w:rPr>
            </w:pPr>
            <w:r>
              <w:rPr>
                <w:rStyle w:val="946"/>
                <w:rFonts w:hint="eastAsia" w:ascii="仿宋" w:hAnsi="仿宋" w:eastAsia="仿宋" w:cs="仿宋"/>
                <w:color w:val="auto"/>
                <w:kern w:val="0"/>
                <w:sz w:val="24"/>
                <w:szCs w:val="24"/>
                <w:highlight w:val="none"/>
                <w:lang w:val="en-US" w:eastAsia="zh-CN" w:bidi="ar-SA"/>
              </w:rPr>
              <w:t>按规定时间作息，不得迟到、早退（无打卡记录扣1分/次，无故不在岗扣5分/次）</w:t>
            </w:r>
          </w:p>
        </w:tc>
        <w:tc>
          <w:tcPr>
            <w:tcW w:w="918"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widowControl/>
              <w:wordWrap/>
              <w:adjustRightInd/>
              <w:snapToGrid/>
              <w:spacing w:beforeAutospacing="0" w:afterAutospacing="0" w:line="400" w:lineRule="exact"/>
              <w:ind w:left="0" w:leftChars="0" w:right="0" w:firstLine="0" w:firstLineChars="0"/>
              <w:jc w:val="center"/>
              <w:textAlignment w:val="center"/>
              <w:outlineLvl w:val="9"/>
              <w:rPr>
                <w:rStyle w:val="946"/>
                <w:rFonts w:hint="eastAsia" w:ascii="仿宋" w:hAnsi="仿宋" w:eastAsia="仿宋" w:cs="仿宋"/>
                <w:color w:val="auto"/>
                <w:kern w:val="0"/>
                <w:sz w:val="24"/>
                <w:szCs w:val="24"/>
                <w:highlight w:val="none"/>
                <w:lang w:val="en-US" w:eastAsia="zh-CN" w:bidi="ar-SA"/>
              </w:rPr>
            </w:pPr>
            <w:r>
              <w:rPr>
                <w:rStyle w:val="946"/>
                <w:rFonts w:hint="eastAsia" w:ascii="仿宋" w:hAnsi="仿宋" w:eastAsia="仿宋" w:cs="仿宋"/>
                <w:color w:val="auto"/>
                <w:kern w:val="0"/>
                <w:sz w:val="24"/>
                <w:szCs w:val="24"/>
                <w:highlight w:val="none"/>
                <w:lang w:val="en-US" w:eastAsia="zh-CN" w:bidi="ar-SA"/>
              </w:rPr>
              <w:t>5</w:t>
            </w:r>
          </w:p>
        </w:tc>
        <w:tc>
          <w:tcPr>
            <w:tcW w:w="1758"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widowControl w:val="0"/>
              <w:wordWrap/>
              <w:adjustRightInd/>
              <w:snapToGrid/>
              <w:spacing w:beforeAutospacing="0" w:afterAutospacing="0" w:line="400" w:lineRule="exact"/>
              <w:ind w:left="0" w:leftChars="0" w:right="0" w:firstLine="0" w:firstLineChars="0"/>
              <w:jc w:val="left"/>
              <w:outlineLvl w:val="9"/>
              <w:rPr>
                <w:rStyle w:val="946"/>
                <w:rFonts w:hint="eastAsia" w:ascii="仿宋" w:hAnsi="仿宋" w:eastAsia="仿宋" w:cs="仿宋"/>
                <w:color w:val="auto"/>
                <w:kern w:val="0"/>
                <w:sz w:val="24"/>
                <w:szCs w:val="24"/>
                <w:highlight w:val="none"/>
                <w:lang w:val="en-US" w:eastAsia="zh-CN" w:bidi="ar-SA"/>
              </w:rPr>
            </w:pPr>
            <w:r>
              <w:rPr>
                <w:rStyle w:val="946"/>
                <w:rFonts w:hint="eastAsia" w:ascii="仿宋" w:hAnsi="仿宋" w:eastAsia="仿宋" w:cs="仿宋"/>
                <w:color w:val="auto"/>
                <w:kern w:val="0"/>
                <w:sz w:val="24"/>
                <w:szCs w:val="24"/>
                <w:highlight w:val="none"/>
                <w:lang w:val="en-US" w:eastAsia="zh-CN" w:bidi="ar-SA"/>
              </w:rPr>
              <w:t>按要求进行扣分，扣完为止</w:t>
            </w:r>
          </w:p>
        </w:tc>
        <w:tc>
          <w:tcPr>
            <w:tcW w:w="780"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widowControl w:val="0"/>
              <w:wordWrap/>
              <w:adjustRightInd/>
              <w:snapToGrid/>
              <w:spacing w:beforeAutospacing="0" w:afterAutospacing="0" w:line="400" w:lineRule="exact"/>
              <w:ind w:left="0" w:leftChars="0" w:right="0" w:firstLine="0" w:firstLineChars="0"/>
              <w:jc w:val="both"/>
              <w:outlineLvl w:val="9"/>
              <w:rPr>
                <w:rStyle w:val="946"/>
                <w:rFonts w:hint="eastAsia" w:ascii="仿宋" w:hAnsi="仿宋" w:eastAsia="仿宋" w:cs="仿宋"/>
                <w:color w:val="auto"/>
                <w:kern w:val="0"/>
                <w:sz w:val="24"/>
                <w:szCs w:val="24"/>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35" w:type="dxa"/>
            <w:vMerge w:val="continue"/>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wordWrap/>
              <w:adjustRightInd/>
              <w:snapToGrid/>
              <w:spacing w:line="400" w:lineRule="exact"/>
              <w:ind w:left="0" w:leftChars="0" w:right="0" w:firstLine="0" w:firstLineChars="0"/>
              <w:outlineLvl w:val="9"/>
              <w:rPr>
                <w:rStyle w:val="946"/>
                <w:rFonts w:hint="eastAsia" w:ascii="仿宋" w:hAnsi="仿宋" w:eastAsia="仿宋" w:cs="仿宋"/>
                <w:color w:val="auto"/>
                <w:kern w:val="0"/>
                <w:sz w:val="24"/>
                <w:szCs w:val="24"/>
                <w:highlight w:val="none"/>
                <w:lang w:val="en-US" w:eastAsia="zh-CN" w:bidi="ar-SA"/>
              </w:rPr>
            </w:pPr>
          </w:p>
        </w:tc>
        <w:tc>
          <w:tcPr>
            <w:tcW w:w="711"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widowControl/>
              <w:wordWrap/>
              <w:adjustRightInd/>
              <w:snapToGrid/>
              <w:spacing w:beforeAutospacing="0" w:afterAutospacing="0" w:line="400" w:lineRule="exact"/>
              <w:ind w:left="0" w:leftChars="0" w:right="0" w:firstLine="0" w:firstLineChars="0"/>
              <w:jc w:val="center"/>
              <w:textAlignment w:val="center"/>
              <w:outlineLvl w:val="9"/>
              <w:rPr>
                <w:rStyle w:val="946"/>
                <w:rFonts w:hint="eastAsia" w:ascii="仿宋" w:hAnsi="仿宋" w:eastAsia="仿宋" w:cs="仿宋"/>
                <w:color w:val="auto"/>
                <w:kern w:val="0"/>
                <w:sz w:val="24"/>
                <w:szCs w:val="24"/>
                <w:highlight w:val="none"/>
                <w:lang w:val="en-US" w:eastAsia="zh-CN" w:bidi="ar-SA"/>
              </w:rPr>
            </w:pPr>
            <w:r>
              <w:rPr>
                <w:rStyle w:val="946"/>
                <w:rFonts w:hint="eastAsia" w:ascii="仿宋" w:hAnsi="仿宋" w:eastAsia="仿宋" w:cs="仿宋"/>
                <w:color w:val="auto"/>
                <w:kern w:val="0"/>
                <w:sz w:val="24"/>
                <w:szCs w:val="24"/>
                <w:highlight w:val="none"/>
                <w:lang w:val="en-US" w:eastAsia="zh-CN" w:bidi="ar-SA"/>
              </w:rPr>
              <w:t>7</w:t>
            </w:r>
          </w:p>
        </w:tc>
        <w:tc>
          <w:tcPr>
            <w:tcW w:w="4574"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widowControl/>
              <w:wordWrap/>
              <w:adjustRightInd/>
              <w:snapToGrid/>
              <w:spacing w:beforeAutospacing="0" w:afterAutospacing="0" w:line="400" w:lineRule="exact"/>
              <w:ind w:left="0" w:leftChars="0" w:right="0" w:firstLine="0" w:firstLineChars="0"/>
              <w:jc w:val="left"/>
              <w:textAlignment w:val="center"/>
              <w:outlineLvl w:val="9"/>
              <w:rPr>
                <w:rStyle w:val="946"/>
                <w:rFonts w:hint="eastAsia" w:ascii="仿宋" w:hAnsi="仿宋" w:eastAsia="仿宋" w:cs="仿宋"/>
                <w:color w:val="auto"/>
                <w:kern w:val="0"/>
                <w:sz w:val="24"/>
                <w:szCs w:val="24"/>
                <w:highlight w:val="none"/>
                <w:lang w:val="en-US" w:eastAsia="zh-CN" w:bidi="ar-SA"/>
              </w:rPr>
            </w:pPr>
            <w:r>
              <w:rPr>
                <w:rStyle w:val="946"/>
                <w:rFonts w:hint="eastAsia" w:ascii="仿宋" w:hAnsi="仿宋" w:eastAsia="仿宋" w:cs="仿宋"/>
                <w:color w:val="auto"/>
                <w:kern w:val="0"/>
                <w:sz w:val="24"/>
                <w:szCs w:val="24"/>
                <w:highlight w:val="none"/>
                <w:lang w:val="en-US" w:eastAsia="zh-CN" w:bidi="ar-SA"/>
              </w:rPr>
              <w:t>轮休期间未经上级批准，不得擅自离开辖区</w:t>
            </w:r>
          </w:p>
        </w:tc>
        <w:tc>
          <w:tcPr>
            <w:tcW w:w="918"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widowControl/>
              <w:wordWrap/>
              <w:adjustRightInd/>
              <w:snapToGrid/>
              <w:spacing w:beforeAutospacing="0" w:afterAutospacing="0" w:line="400" w:lineRule="exact"/>
              <w:ind w:left="0" w:leftChars="0" w:right="0" w:firstLine="0" w:firstLineChars="0"/>
              <w:jc w:val="center"/>
              <w:textAlignment w:val="center"/>
              <w:outlineLvl w:val="9"/>
              <w:rPr>
                <w:rStyle w:val="946"/>
                <w:rFonts w:hint="eastAsia" w:ascii="仿宋" w:hAnsi="仿宋" w:eastAsia="仿宋" w:cs="仿宋"/>
                <w:color w:val="auto"/>
                <w:kern w:val="0"/>
                <w:sz w:val="24"/>
                <w:szCs w:val="24"/>
                <w:highlight w:val="none"/>
                <w:lang w:val="en-US" w:eastAsia="zh-CN" w:bidi="ar-SA"/>
              </w:rPr>
            </w:pPr>
            <w:r>
              <w:rPr>
                <w:rStyle w:val="946"/>
                <w:rFonts w:hint="eastAsia" w:ascii="仿宋" w:hAnsi="仿宋" w:eastAsia="仿宋" w:cs="仿宋"/>
                <w:color w:val="auto"/>
                <w:kern w:val="0"/>
                <w:sz w:val="24"/>
                <w:szCs w:val="24"/>
                <w:highlight w:val="none"/>
                <w:lang w:val="en-US" w:eastAsia="zh-CN" w:bidi="ar-SA"/>
              </w:rPr>
              <w:t>5</w:t>
            </w:r>
          </w:p>
        </w:tc>
        <w:tc>
          <w:tcPr>
            <w:tcW w:w="1758"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widowControl w:val="0"/>
              <w:wordWrap/>
              <w:adjustRightInd/>
              <w:snapToGrid/>
              <w:spacing w:beforeAutospacing="0" w:afterAutospacing="0" w:line="400" w:lineRule="exact"/>
              <w:ind w:left="0" w:leftChars="0" w:right="0" w:firstLine="0" w:firstLineChars="0"/>
              <w:jc w:val="left"/>
              <w:outlineLvl w:val="9"/>
              <w:rPr>
                <w:rStyle w:val="946"/>
                <w:rFonts w:hint="eastAsia" w:ascii="仿宋" w:hAnsi="仿宋" w:eastAsia="仿宋" w:cs="仿宋"/>
                <w:color w:val="auto"/>
                <w:kern w:val="0"/>
                <w:sz w:val="24"/>
                <w:szCs w:val="24"/>
                <w:highlight w:val="none"/>
                <w:lang w:val="en-US" w:eastAsia="zh-CN" w:bidi="ar-SA"/>
              </w:rPr>
            </w:pPr>
            <w:r>
              <w:rPr>
                <w:rStyle w:val="946"/>
                <w:rFonts w:hint="eastAsia" w:ascii="仿宋" w:hAnsi="仿宋" w:eastAsia="仿宋" w:cs="仿宋"/>
                <w:color w:val="auto"/>
                <w:kern w:val="0"/>
                <w:sz w:val="24"/>
                <w:szCs w:val="24"/>
                <w:highlight w:val="none"/>
                <w:lang w:val="en-US" w:eastAsia="zh-CN" w:bidi="ar-SA"/>
              </w:rPr>
              <w:t>违规一次扣2分，扣完为止</w:t>
            </w:r>
          </w:p>
        </w:tc>
        <w:tc>
          <w:tcPr>
            <w:tcW w:w="780"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widowControl w:val="0"/>
              <w:wordWrap/>
              <w:adjustRightInd/>
              <w:snapToGrid/>
              <w:spacing w:beforeAutospacing="0" w:afterAutospacing="0" w:line="400" w:lineRule="exact"/>
              <w:ind w:left="0" w:leftChars="0" w:right="0" w:firstLine="0" w:firstLineChars="0"/>
              <w:jc w:val="both"/>
              <w:outlineLvl w:val="9"/>
              <w:rPr>
                <w:rStyle w:val="946"/>
                <w:rFonts w:hint="eastAsia" w:ascii="仿宋" w:hAnsi="仿宋" w:eastAsia="仿宋" w:cs="仿宋"/>
                <w:color w:val="auto"/>
                <w:kern w:val="0"/>
                <w:sz w:val="24"/>
                <w:szCs w:val="24"/>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9" w:hRule="atLeast"/>
        </w:trPr>
        <w:tc>
          <w:tcPr>
            <w:tcW w:w="1035" w:type="dxa"/>
            <w:vMerge w:val="continue"/>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wordWrap/>
              <w:adjustRightInd/>
              <w:snapToGrid/>
              <w:spacing w:line="400" w:lineRule="exact"/>
              <w:ind w:left="0" w:leftChars="0" w:right="0" w:firstLine="0" w:firstLineChars="0"/>
              <w:outlineLvl w:val="9"/>
              <w:rPr>
                <w:rStyle w:val="946"/>
                <w:rFonts w:hint="eastAsia" w:ascii="仿宋" w:hAnsi="仿宋" w:eastAsia="仿宋" w:cs="仿宋"/>
                <w:color w:val="auto"/>
                <w:kern w:val="0"/>
                <w:sz w:val="24"/>
                <w:szCs w:val="24"/>
                <w:highlight w:val="none"/>
                <w:lang w:val="en-US" w:eastAsia="zh-CN" w:bidi="ar-SA"/>
              </w:rPr>
            </w:pPr>
          </w:p>
        </w:tc>
        <w:tc>
          <w:tcPr>
            <w:tcW w:w="711"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widowControl/>
              <w:wordWrap/>
              <w:adjustRightInd/>
              <w:snapToGrid/>
              <w:spacing w:beforeAutospacing="0" w:afterAutospacing="0" w:line="400" w:lineRule="exact"/>
              <w:ind w:left="0" w:leftChars="0" w:right="0" w:firstLine="0" w:firstLineChars="0"/>
              <w:jc w:val="center"/>
              <w:textAlignment w:val="center"/>
              <w:outlineLvl w:val="9"/>
              <w:rPr>
                <w:rStyle w:val="946"/>
                <w:rFonts w:hint="eastAsia" w:ascii="仿宋" w:hAnsi="仿宋" w:eastAsia="仿宋" w:cs="仿宋"/>
                <w:color w:val="auto"/>
                <w:kern w:val="0"/>
                <w:sz w:val="24"/>
                <w:szCs w:val="24"/>
                <w:highlight w:val="none"/>
                <w:lang w:val="en-US" w:eastAsia="zh-CN" w:bidi="ar-SA"/>
              </w:rPr>
            </w:pPr>
            <w:r>
              <w:rPr>
                <w:rStyle w:val="946"/>
                <w:rFonts w:hint="eastAsia" w:ascii="仿宋" w:hAnsi="仿宋" w:eastAsia="仿宋" w:cs="仿宋"/>
                <w:color w:val="auto"/>
                <w:kern w:val="0"/>
                <w:sz w:val="24"/>
                <w:szCs w:val="24"/>
                <w:highlight w:val="none"/>
                <w:lang w:val="en-US" w:eastAsia="zh-CN" w:bidi="ar-SA"/>
              </w:rPr>
              <w:t>8</w:t>
            </w:r>
          </w:p>
        </w:tc>
        <w:tc>
          <w:tcPr>
            <w:tcW w:w="4574"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widowControl/>
              <w:wordWrap/>
              <w:adjustRightInd/>
              <w:snapToGrid/>
              <w:spacing w:beforeAutospacing="0" w:afterAutospacing="0" w:line="400" w:lineRule="exact"/>
              <w:ind w:left="0" w:leftChars="0" w:right="0" w:firstLine="0" w:firstLineChars="0"/>
              <w:jc w:val="left"/>
              <w:textAlignment w:val="center"/>
              <w:outlineLvl w:val="9"/>
              <w:rPr>
                <w:rStyle w:val="946"/>
                <w:rFonts w:hint="eastAsia" w:ascii="仿宋" w:hAnsi="仿宋" w:eastAsia="仿宋" w:cs="仿宋"/>
                <w:color w:val="auto"/>
                <w:kern w:val="0"/>
                <w:sz w:val="24"/>
                <w:szCs w:val="24"/>
                <w:highlight w:val="none"/>
                <w:lang w:val="en-US" w:eastAsia="zh-CN" w:bidi="ar-SA"/>
              </w:rPr>
            </w:pPr>
            <w:r>
              <w:rPr>
                <w:rStyle w:val="946"/>
                <w:rFonts w:hint="eastAsia" w:ascii="仿宋" w:hAnsi="仿宋" w:eastAsia="仿宋" w:cs="仿宋"/>
                <w:color w:val="auto"/>
                <w:kern w:val="0"/>
                <w:sz w:val="24"/>
                <w:szCs w:val="24"/>
                <w:highlight w:val="none"/>
                <w:lang w:val="en-US" w:eastAsia="zh-CN" w:bidi="ar-SA"/>
              </w:rPr>
              <w:t>非工作原因不得擅自离开工作场所，确需外出的应履行请假手续</w:t>
            </w:r>
          </w:p>
        </w:tc>
        <w:tc>
          <w:tcPr>
            <w:tcW w:w="918"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widowControl/>
              <w:wordWrap/>
              <w:adjustRightInd/>
              <w:snapToGrid/>
              <w:spacing w:beforeAutospacing="0" w:afterAutospacing="0" w:line="400" w:lineRule="exact"/>
              <w:ind w:left="0" w:leftChars="0" w:right="0" w:firstLine="0" w:firstLineChars="0"/>
              <w:jc w:val="center"/>
              <w:textAlignment w:val="center"/>
              <w:outlineLvl w:val="9"/>
              <w:rPr>
                <w:rStyle w:val="946"/>
                <w:rFonts w:hint="eastAsia" w:ascii="仿宋" w:hAnsi="仿宋" w:eastAsia="仿宋" w:cs="仿宋"/>
                <w:color w:val="auto"/>
                <w:kern w:val="0"/>
                <w:sz w:val="24"/>
                <w:szCs w:val="24"/>
                <w:highlight w:val="none"/>
                <w:lang w:val="en-US" w:eastAsia="zh-CN" w:bidi="ar-SA"/>
              </w:rPr>
            </w:pPr>
            <w:r>
              <w:rPr>
                <w:rStyle w:val="946"/>
                <w:rFonts w:hint="eastAsia" w:ascii="仿宋" w:hAnsi="仿宋" w:eastAsia="仿宋" w:cs="仿宋"/>
                <w:color w:val="auto"/>
                <w:kern w:val="0"/>
                <w:sz w:val="24"/>
                <w:szCs w:val="24"/>
                <w:highlight w:val="none"/>
                <w:lang w:val="en-US" w:eastAsia="zh-CN" w:bidi="ar-SA"/>
              </w:rPr>
              <w:t>5</w:t>
            </w:r>
          </w:p>
        </w:tc>
        <w:tc>
          <w:tcPr>
            <w:tcW w:w="1758"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widowControl w:val="0"/>
              <w:wordWrap/>
              <w:adjustRightInd/>
              <w:snapToGrid/>
              <w:spacing w:beforeAutospacing="0" w:afterAutospacing="0" w:line="400" w:lineRule="exact"/>
              <w:ind w:left="0" w:leftChars="0" w:right="0" w:firstLine="0" w:firstLineChars="0"/>
              <w:jc w:val="left"/>
              <w:outlineLvl w:val="9"/>
              <w:rPr>
                <w:rStyle w:val="946"/>
                <w:rFonts w:hint="eastAsia" w:ascii="仿宋" w:hAnsi="仿宋" w:eastAsia="仿宋" w:cs="仿宋"/>
                <w:color w:val="auto"/>
                <w:kern w:val="0"/>
                <w:sz w:val="24"/>
                <w:szCs w:val="24"/>
                <w:highlight w:val="none"/>
                <w:lang w:val="en-US" w:eastAsia="zh-CN" w:bidi="ar-SA"/>
              </w:rPr>
            </w:pPr>
            <w:r>
              <w:rPr>
                <w:rStyle w:val="946"/>
                <w:rFonts w:hint="eastAsia" w:ascii="仿宋" w:hAnsi="仿宋" w:eastAsia="仿宋" w:cs="仿宋"/>
                <w:color w:val="auto"/>
                <w:kern w:val="0"/>
                <w:sz w:val="24"/>
                <w:szCs w:val="24"/>
                <w:highlight w:val="none"/>
                <w:lang w:val="en-US" w:eastAsia="zh-CN" w:bidi="ar-SA"/>
              </w:rPr>
              <w:t>违规一次扣1分，扣完为止</w:t>
            </w:r>
          </w:p>
        </w:tc>
        <w:tc>
          <w:tcPr>
            <w:tcW w:w="780"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widowControl w:val="0"/>
              <w:wordWrap/>
              <w:adjustRightInd/>
              <w:snapToGrid/>
              <w:spacing w:beforeAutospacing="0" w:afterAutospacing="0" w:line="400" w:lineRule="exact"/>
              <w:ind w:left="0" w:leftChars="0" w:right="0" w:firstLine="0" w:firstLineChars="0"/>
              <w:jc w:val="both"/>
              <w:outlineLvl w:val="9"/>
              <w:rPr>
                <w:rStyle w:val="946"/>
                <w:rFonts w:hint="eastAsia" w:ascii="仿宋" w:hAnsi="仿宋" w:eastAsia="仿宋" w:cs="仿宋"/>
                <w:color w:val="auto"/>
                <w:kern w:val="0"/>
                <w:sz w:val="24"/>
                <w:szCs w:val="24"/>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9" w:hRule="atLeast"/>
        </w:trPr>
        <w:tc>
          <w:tcPr>
            <w:tcW w:w="1035" w:type="dxa"/>
            <w:vMerge w:val="continue"/>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wordWrap/>
              <w:adjustRightInd/>
              <w:snapToGrid/>
              <w:spacing w:line="400" w:lineRule="exact"/>
              <w:ind w:left="0" w:leftChars="0" w:right="0" w:firstLine="0" w:firstLineChars="0"/>
              <w:outlineLvl w:val="9"/>
              <w:rPr>
                <w:rStyle w:val="946"/>
                <w:rFonts w:hint="eastAsia" w:ascii="仿宋" w:hAnsi="仿宋" w:eastAsia="仿宋" w:cs="仿宋"/>
                <w:color w:val="auto"/>
                <w:kern w:val="0"/>
                <w:sz w:val="24"/>
                <w:szCs w:val="24"/>
                <w:highlight w:val="none"/>
                <w:lang w:val="en-US" w:eastAsia="zh-CN" w:bidi="ar-SA"/>
              </w:rPr>
            </w:pPr>
          </w:p>
        </w:tc>
        <w:tc>
          <w:tcPr>
            <w:tcW w:w="711"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widowControl/>
              <w:wordWrap/>
              <w:adjustRightInd/>
              <w:snapToGrid/>
              <w:spacing w:beforeAutospacing="0" w:afterAutospacing="0" w:line="400" w:lineRule="exact"/>
              <w:ind w:left="0" w:leftChars="0" w:right="0" w:firstLine="0" w:firstLineChars="0"/>
              <w:jc w:val="center"/>
              <w:textAlignment w:val="center"/>
              <w:outlineLvl w:val="9"/>
              <w:rPr>
                <w:rStyle w:val="946"/>
                <w:rFonts w:hint="eastAsia" w:ascii="仿宋" w:hAnsi="仿宋" w:eastAsia="仿宋" w:cs="仿宋"/>
                <w:color w:val="auto"/>
                <w:kern w:val="0"/>
                <w:sz w:val="24"/>
                <w:szCs w:val="24"/>
                <w:highlight w:val="none"/>
                <w:lang w:val="en-US" w:eastAsia="zh-CN" w:bidi="ar-SA"/>
              </w:rPr>
            </w:pPr>
            <w:r>
              <w:rPr>
                <w:rStyle w:val="946"/>
                <w:rFonts w:hint="eastAsia" w:ascii="仿宋" w:hAnsi="仿宋" w:eastAsia="仿宋" w:cs="仿宋"/>
                <w:color w:val="auto"/>
                <w:kern w:val="0"/>
                <w:sz w:val="24"/>
                <w:szCs w:val="24"/>
                <w:highlight w:val="none"/>
                <w:lang w:val="en-US" w:eastAsia="zh-CN" w:bidi="ar-SA"/>
              </w:rPr>
              <w:t>9</w:t>
            </w:r>
          </w:p>
        </w:tc>
        <w:tc>
          <w:tcPr>
            <w:tcW w:w="4574"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widowControl/>
              <w:wordWrap/>
              <w:adjustRightInd/>
              <w:snapToGrid/>
              <w:spacing w:beforeAutospacing="0" w:afterAutospacing="0" w:line="400" w:lineRule="exact"/>
              <w:ind w:left="0" w:leftChars="0" w:right="0" w:firstLine="0" w:firstLineChars="0"/>
              <w:jc w:val="left"/>
              <w:textAlignment w:val="center"/>
              <w:outlineLvl w:val="9"/>
              <w:rPr>
                <w:rStyle w:val="946"/>
                <w:rFonts w:hint="eastAsia" w:ascii="仿宋" w:hAnsi="仿宋" w:eastAsia="仿宋" w:cs="仿宋"/>
                <w:color w:val="auto"/>
                <w:kern w:val="0"/>
                <w:sz w:val="24"/>
                <w:szCs w:val="24"/>
                <w:highlight w:val="none"/>
                <w:lang w:val="en-US" w:eastAsia="zh-CN" w:bidi="ar-SA"/>
              </w:rPr>
            </w:pPr>
            <w:r>
              <w:rPr>
                <w:rStyle w:val="946"/>
                <w:rFonts w:hint="eastAsia" w:ascii="仿宋" w:hAnsi="仿宋" w:eastAsia="仿宋" w:cs="仿宋"/>
                <w:color w:val="auto"/>
                <w:kern w:val="0"/>
                <w:sz w:val="24"/>
                <w:szCs w:val="24"/>
                <w:highlight w:val="none"/>
                <w:lang w:val="en-US" w:eastAsia="zh-CN" w:bidi="ar-SA"/>
              </w:rPr>
              <w:t>与被检查单位存在廉洁问题；不遵守本单位各项规章制度、服从领导、听从指挥；对上级工作指示及安排不执行或蓄意违抗现象；</w:t>
            </w:r>
          </w:p>
        </w:tc>
        <w:tc>
          <w:tcPr>
            <w:tcW w:w="918"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widowControl/>
              <w:wordWrap/>
              <w:adjustRightInd/>
              <w:snapToGrid/>
              <w:spacing w:beforeAutospacing="0" w:afterAutospacing="0" w:line="400" w:lineRule="exact"/>
              <w:ind w:left="0" w:leftChars="0" w:right="0" w:firstLine="0" w:firstLineChars="0"/>
              <w:jc w:val="center"/>
              <w:textAlignment w:val="center"/>
              <w:outlineLvl w:val="9"/>
              <w:rPr>
                <w:rStyle w:val="946"/>
                <w:rFonts w:hint="eastAsia" w:ascii="仿宋" w:hAnsi="仿宋" w:eastAsia="仿宋" w:cs="仿宋"/>
                <w:color w:val="auto"/>
                <w:kern w:val="0"/>
                <w:sz w:val="24"/>
                <w:szCs w:val="24"/>
                <w:highlight w:val="none"/>
                <w:lang w:val="en-US" w:eastAsia="zh-CN" w:bidi="ar-SA"/>
              </w:rPr>
            </w:pPr>
            <w:r>
              <w:rPr>
                <w:rStyle w:val="946"/>
                <w:rFonts w:hint="eastAsia" w:ascii="仿宋" w:hAnsi="仿宋" w:eastAsia="仿宋" w:cs="仿宋"/>
                <w:color w:val="auto"/>
                <w:kern w:val="0"/>
                <w:sz w:val="24"/>
                <w:szCs w:val="24"/>
                <w:highlight w:val="none"/>
                <w:lang w:val="en-US" w:eastAsia="zh-CN" w:bidi="ar-SA"/>
              </w:rPr>
              <w:t>5</w:t>
            </w:r>
          </w:p>
        </w:tc>
        <w:tc>
          <w:tcPr>
            <w:tcW w:w="1758"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top"/>
          </w:tcPr>
          <w:p>
            <w:pPr>
              <w:widowControl/>
              <w:wordWrap/>
              <w:adjustRightInd/>
              <w:snapToGrid/>
              <w:spacing w:beforeAutospacing="0" w:afterAutospacing="0" w:line="400" w:lineRule="exact"/>
              <w:ind w:left="0" w:leftChars="0" w:right="0" w:firstLine="0" w:firstLineChars="0"/>
              <w:jc w:val="both"/>
              <w:textAlignment w:val="top"/>
              <w:outlineLvl w:val="9"/>
              <w:rPr>
                <w:rStyle w:val="946"/>
                <w:rFonts w:hint="eastAsia" w:ascii="仿宋" w:hAnsi="仿宋" w:eastAsia="仿宋" w:cs="仿宋"/>
                <w:color w:val="auto"/>
                <w:kern w:val="0"/>
                <w:sz w:val="24"/>
                <w:szCs w:val="24"/>
                <w:highlight w:val="none"/>
                <w:lang w:val="en-US" w:eastAsia="zh-CN" w:bidi="ar-SA"/>
              </w:rPr>
            </w:pPr>
            <w:r>
              <w:rPr>
                <w:rStyle w:val="946"/>
                <w:rFonts w:hint="eastAsia" w:ascii="仿宋" w:hAnsi="仿宋" w:eastAsia="仿宋" w:cs="仿宋"/>
                <w:color w:val="auto"/>
                <w:kern w:val="0"/>
                <w:sz w:val="24"/>
                <w:szCs w:val="24"/>
                <w:highlight w:val="none"/>
                <w:lang w:val="en-US" w:eastAsia="zh-CN" w:bidi="ar-SA"/>
              </w:rPr>
              <w:t>每发现一次扣5分，扣完为止</w:t>
            </w:r>
          </w:p>
        </w:tc>
        <w:tc>
          <w:tcPr>
            <w:tcW w:w="780"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widowControl w:val="0"/>
              <w:wordWrap/>
              <w:adjustRightInd/>
              <w:snapToGrid/>
              <w:spacing w:beforeAutospacing="0" w:afterAutospacing="0" w:line="400" w:lineRule="exact"/>
              <w:ind w:left="0" w:leftChars="0" w:right="0" w:firstLine="0" w:firstLineChars="0"/>
              <w:jc w:val="both"/>
              <w:outlineLvl w:val="9"/>
              <w:rPr>
                <w:rStyle w:val="946"/>
                <w:rFonts w:hint="eastAsia" w:ascii="仿宋" w:hAnsi="仿宋" w:eastAsia="仿宋" w:cs="仿宋"/>
                <w:color w:val="auto"/>
                <w:kern w:val="0"/>
                <w:sz w:val="24"/>
                <w:szCs w:val="24"/>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035" w:type="dxa"/>
            <w:vMerge w:val="continue"/>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wordWrap/>
              <w:adjustRightInd/>
              <w:snapToGrid/>
              <w:spacing w:line="400" w:lineRule="exact"/>
              <w:ind w:left="0" w:leftChars="0" w:right="0" w:firstLine="0" w:firstLineChars="0"/>
              <w:outlineLvl w:val="9"/>
              <w:rPr>
                <w:rStyle w:val="946"/>
                <w:rFonts w:hint="eastAsia" w:ascii="仿宋" w:hAnsi="仿宋" w:eastAsia="仿宋" w:cs="仿宋"/>
                <w:color w:val="auto"/>
                <w:kern w:val="0"/>
                <w:sz w:val="24"/>
                <w:szCs w:val="24"/>
                <w:highlight w:val="none"/>
                <w:lang w:val="en-US" w:eastAsia="zh-CN" w:bidi="ar-SA"/>
              </w:rPr>
            </w:pPr>
          </w:p>
        </w:tc>
        <w:tc>
          <w:tcPr>
            <w:tcW w:w="711"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widowControl/>
              <w:wordWrap/>
              <w:adjustRightInd/>
              <w:snapToGrid/>
              <w:spacing w:beforeAutospacing="0" w:afterAutospacing="0" w:line="400" w:lineRule="exact"/>
              <w:ind w:left="0" w:leftChars="0" w:right="0" w:firstLine="0" w:firstLineChars="0"/>
              <w:jc w:val="center"/>
              <w:textAlignment w:val="center"/>
              <w:outlineLvl w:val="9"/>
              <w:rPr>
                <w:rStyle w:val="946"/>
                <w:rFonts w:hint="eastAsia" w:ascii="仿宋" w:hAnsi="仿宋" w:eastAsia="仿宋" w:cs="仿宋"/>
                <w:color w:val="auto"/>
                <w:kern w:val="0"/>
                <w:sz w:val="24"/>
                <w:szCs w:val="24"/>
                <w:highlight w:val="none"/>
                <w:lang w:val="en-US" w:eastAsia="zh-CN" w:bidi="ar-SA"/>
              </w:rPr>
            </w:pPr>
            <w:r>
              <w:rPr>
                <w:rStyle w:val="946"/>
                <w:rFonts w:hint="eastAsia" w:ascii="仿宋" w:hAnsi="仿宋" w:eastAsia="仿宋" w:cs="仿宋"/>
                <w:color w:val="auto"/>
                <w:kern w:val="0"/>
                <w:sz w:val="24"/>
                <w:szCs w:val="24"/>
                <w:highlight w:val="none"/>
                <w:lang w:val="en-US" w:eastAsia="zh-CN" w:bidi="ar-SA"/>
              </w:rPr>
              <w:t>10</w:t>
            </w:r>
          </w:p>
        </w:tc>
        <w:tc>
          <w:tcPr>
            <w:tcW w:w="4574"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widowControl/>
              <w:wordWrap/>
              <w:adjustRightInd/>
              <w:snapToGrid/>
              <w:spacing w:beforeAutospacing="0" w:afterAutospacing="0" w:line="400" w:lineRule="exact"/>
              <w:ind w:left="0" w:leftChars="0" w:right="0" w:firstLine="0" w:firstLineChars="0"/>
              <w:jc w:val="left"/>
              <w:textAlignment w:val="center"/>
              <w:outlineLvl w:val="9"/>
              <w:rPr>
                <w:rStyle w:val="946"/>
                <w:rFonts w:hint="eastAsia" w:ascii="仿宋" w:hAnsi="仿宋" w:eastAsia="仿宋" w:cs="仿宋"/>
                <w:color w:val="auto"/>
                <w:kern w:val="0"/>
                <w:sz w:val="24"/>
                <w:szCs w:val="24"/>
                <w:highlight w:val="none"/>
                <w:lang w:val="en-US" w:eastAsia="zh-CN" w:bidi="ar-SA"/>
              </w:rPr>
            </w:pPr>
            <w:r>
              <w:rPr>
                <w:rStyle w:val="946"/>
                <w:rFonts w:hint="eastAsia" w:ascii="仿宋" w:hAnsi="仿宋" w:eastAsia="仿宋" w:cs="仿宋"/>
                <w:color w:val="auto"/>
                <w:kern w:val="0"/>
                <w:sz w:val="24"/>
                <w:szCs w:val="24"/>
                <w:highlight w:val="none"/>
                <w:lang w:val="en-US" w:eastAsia="zh-CN" w:bidi="ar-SA"/>
              </w:rPr>
              <w:t>严禁酒后上岗或工作时间饮酒、严禁打架斗殴</w:t>
            </w:r>
          </w:p>
        </w:tc>
        <w:tc>
          <w:tcPr>
            <w:tcW w:w="918"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widowControl/>
              <w:wordWrap/>
              <w:adjustRightInd/>
              <w:snapToGrid/>
              <w:spacing w:beforeAutospacing="0" w:afterAutospacing="0" w:line="400" w:lineRule="exact"/>
              <w:ind w:left="0" w:leftChars="0" w:right="0" w:firstLine="0" w:firstLineChars="0"/>
              <w:jc w:val="center"/>
              <w:textAlignment w:val="center"/>
              <w:outlineLvl w:val="9"/>
              <w:rPr>
                <w:rStyle w:val="946"/>
                <w:rFonts w:hint="eastAsia" w:ascii="仿宋" w:hAnsi="仿宋" w:eastAsia="仿宋" w:cs="仿宋"/>
                <w:color w:val="auto"/>
                <w:kern w:val="0"/>
                <w:sz w:val="24"/>
                <w:szCs w:val="24"/>
                <w:highlight w:val="none"/>
                <w:lang w:val="en-US" w:eastAsia="zh-CN" w:bidi="ar-SA"/>
              </w:rPr>
            </w:pPr>
            <w:r>
              <w:rPr>
                <w:rStyle w:val="946"/>
                <w:rFonts w:hint="eastAsia" w:ascii="仿宋" w:hAnsi="仿宋" w:eastAsia="仿宋" w:cs="仿宋"/>
                <w:color w:val="auto"/>
                <w:kern w:val="0"/>
                <w:sz w:val="24"/>
                <w:szCs w:val="24"/>
                <w:highlight w:val="none"/>
                <w:lang w:val="en-US" w:eastAsia="zh-CN" w:bidi="ar-SA"/>
              </w:rPr>
              <w:t>10</w:t>
            </w:r>
          </w:p>
        </w:tc>
        <w:tc>
          <w:tcPr>
            <w:tcW w:w="1758"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widowControl/>
              <w:wordWrap/>
              <w:adjustRightInd/>
              <w:snapToGrid/>
              <w:spacing w:beforeAutospacing="0" w:afterAutospacing="0" w:line="400" w:lineRule="exact"/>
              <w:ind w:left="0" w:leftChars="0" w:right="0" w:firstLine="0" w:firstLineChars="0"/>
              <w:jc w:val="left"/>
              <w:textAlignment w:val="center"/>
              <w:outlineLvl w:val="9"/>
              <w:rPr>
                <w:rStyle w:val="946"/>
                <w:rFonts w:hint="eastAsia" w:ascii="仿宋" w:hAnsi="仿宋" w:eastAsia="仿宋" w:cs="仿宋"/>
                <w:color w:val="auto"/>
                <w:kern w:val="0"/>
                <w:sz w:val="24"/>
                <w:szCs w:val="24"/>
                <w:highlight w:val="none"/>
                <w:lang w:val="en-US" w:eastAsia="zh-CN" w:bidi="ar-SA"/>
              </w:rPr>
            </w:pPr>
            <w:r>
              <w:rPr>
                <w:rStyle w:val="946"/>
                <w:rFonts w:hint="eastAsia" w:ascii="仿宋" w:hAnsi="仿宋" w:eastAsia="仿宋" w:cs="仿宋"/>
                <w:color w:val="auto"/>
                <w:kern w:val="0"/>
                <w:sz w:val="24"/>
                <w:szCs w:val="24"/>
                <w:highlight w:val="none"/>
                <w:lang w:val="en-US" w:eastAsia="zh-CN" w:bidi="ar-SA"/>
              </w:rPr>
              <w:t>违规一次扣5分，扣完为止</w:t>
            </w:r>
          </w:p>
        </w:tc>
        <w:tc>
          <w:tcPr>
            <w:tcW w:w="780"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widowControl w:val="0"/>
              <w:wordWrap/>
              <w:adjustRightInd/>
              <w:snapToGrid/>
              <w:spacing w:beforeAutospacing="0" w:afterAutospacing="0" w:line="400" w:lineRule="exact"/>
              <w:ind w:left="0" w:leftChars="0" w:right="0" w:firstLine="0" w:firstLineChars="0"/>
              <w:jc w:val="both"/>
              <w:outlineLvl w:val="9"/>
              <w:rPr>
                <w:rStyle w:val="946"/>
                <w:rFonts w:hint="eastAsia" w:ascii="仿宋" w:hAnsi="仿宋" w:eastAsia="仿宋" w:cs="仿宋"/>
                <w:color w:val="auto"/>
                <w:kern w:val="0"/>
                <w:sz w:val="24"/>
                <w:szCs w:val="24"/>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035" w:type="dxa"/>
            <w:vMerge w:val="restart"/>
            <w:tcBorders>
              <w:top w:val="single" w:color="auto" w:sz="4" w:space="0"/>
              <w:left w:val="single" w:color="auto" w:sz="4" w:space="0"/>
              <w:right w:val="single" w:color="auto" w:sz="4" w:space="0"/>
            </w:tcBorders>
            <w:tcMar>
              <w:top w:w="15" w:type="dxa"/>
              <w:left w:w="15" w:type="dxa"/>
              <w:bottom w:w="15" w:type="dxa"/>
              <w:right w:w="15" w:type="dxa"/>
            </w:tcMar>
            <w:vAlign w:val="center"/>
          </w:tcPr>
          <w:p>
            <w:pPr>
              <w:widowControl/>
              <w:wordWrap/>
              <w:adjustRightInd/>
              <w:snapToGrid/>
              <w:spacing w:beforeAutospacing="0" w:afterAutospacing="0" w:line="400" w:lineRule="exact"/>
              <w:ind w:left="0" w:leftChars="0" w:right="0" w:firstLine="0" w:firstLineChars="0"/>
              <w:jc w:val="center"/>
              <w:textAlignment w:val="center"/>
              <w:outlineLvl w:val="9"/>
              <w:rPr>
                <w:rStyle w:val="946"/>
                <w:rFonts w:hint="eastAsia" w:ascii="仿宋" w:hAnsi="仿宋" w:eastAsia="仿宋" w:cs="仿宋"/>
                <w:color w:val="auto"/>
                <w:kern w:val="0"/>
                <w:sz w:val="24"/>
                <w:szCs w:val="24"/>
                <w:highlight w:val="none"/>
                <w:lang w:val="en-US" w:eastAsia="zh-CN" w:bidi="ar-SA"/>
              </w:rPr>
            </w:pPr>
            <w:r>
              <w:rPr>
                <w:rStyle w:val="946"/>
                <w:rFonts w:hint="eastAsia" w:ascii="仿宋" w:hAnsi="仿宋" w:eastAsia="仿宋" w:cs="仿宋"/>
                <w:color w:val="auto"/>
                <w:kern w:val="0"/>
                <w:sz w:val="24"/>
                <w:szCs w:val="24"/>
                <w:highlight w:val="none"/>
                <w:lang w:val="en-US" w:eastAsia="zh-CN" w:bidi="ar-SA"/>
              </w:rPr>
              <w:t>工作</w:t>
            </w:r>
          </w:p>
          <w:p>
            <w:pPr>
              <w:widowControl/>
              <w:wordWrap/>
              <w:adjustRightInd/>
              <w:snapToGrid/>
              <w:spacing w:beforeAutospacing="0" w:afterAutospacing="0" w:line="400" w:lineRule="exact"/>
              <w:ind w:left="0" w:leftChars="0" w:right="0" w:firstLine="0" w:firstLineChars="0"/>
              <w:jc w:val="center"/>
              <w:textAlignment w:val="center"/>
              <w:outlineLvl w:val="9"/>
              <w:rPr>
                <w:rStyle w:val="946"/>
                <w:rFonts w:hint="eastAsia" w:ascii="仿宋" w:hAnsi="仿宋" w:eastAsia="仿宋" w:cs="仿宋"/>
                <w:color w:val="auto"/>
                <w:kern w:val="0"/>
                <w:sz w:val="24"/>
                <w:szCs w:val="24"/>
                <w:highlight w:val="none"/>
                <w:lang w:val="en-US" w:eastAsia="zh-CN" w:bidi="ar-SA"/>
              </w:rPr>
            </w:pPr>
            <w:r>
              <w:rPr>
                <w:rStyle w:val="946"/>
                <w:rFonts w:hint="eastAsia" w:ascii="仿宋" w:hAnsi="仿宋" w:eastAsia="仿宋" w:cs="仿宋"/>
                <w:color w:val="auto"/>
                <w:kern w:val="0"/>
                <w:sz w:val="24"/>
                <w:szCs w:val="24"/>
                <w:highlight w:val="none"/>
                <w:lang w:val="en-US" w:eastAsia="zh-CN" w:bidi="ar-SA"/>
              </w:rPr>
              <w:t>要求（60%）</w:t>
            </w:r>
          </w:p>
        </w:tc>
        <w:tc>
          <w:tcPr>
            <w:tcW w:w="711" w:type="dxa"/>
            <w:vMerge w:val="restart"/>
            <w:tcBorders>
              <w:top w:val="single" w:color="auto" w:sz="4" w:space="0"/>
              <w:left w:val="single" w:color="auto" w:sz="4" w:space="0"/>
              <w:right w:val="single" w:color="auto" w:sz="4" w:space="0"/>
            </w:tcBorders>
            <w:tcMar>
              <w:top w:w="15" w:type="dxa"/>
              <w:left w:w="15" w:type="dxa"/>
              <w:bottom w:w="15" w:type="dxa"/>
              <w:right w:w="15" w:type="dxa"/>
            </w:tcMar>
            <w:vAlign w:val="center"/>
          </w:tcPr>
          <w:p>
            <w:pPr>
              <w:widowControl w:val="0"/>
              <w:wordWrap/>
              <w:adjustRightInd/>
              <w:snapToGrid/>
              <w:spacing w:beforeAutospacing="0" w:afterAutospacing="0" w:line="400" w:lineRule="exact"/>
              <w:ind w:left="0" w:leftChars="0" w:right="0" w:firstLine="0" w:firstLineChars="0"/>
              <w:jc w:val="center"/>
              <w:textAlignment w:val="center"/>
              <w:outlineLvl w:val="9"/>
              <w:rPr>
                <w:rStyle w:val="946"/>
                <w:rFonts w:hint="eastAsia" w:ascii="仿宋" w:hAnsi="仿宋" w:eastAsia="仿宋" w:cs="仿宋"/>
                <w:color w:val="auto"/>
                <w:kern w:val="0"/>
                <w:sz w:val="24"/>
                <w:szCs w:val="24"/>
                <w:highlight w:val="none"/>
                <w:lang w:val="en-US" w:eastAsia="zh-CN" w:bidi="ar-SA"/>
              </w:rPr>
            </w:pPr>
            <w:r>
              <w:rPr>
                <w:rStyle w:val="946"/>
                <w:rFonts w:hint="eastAsia" w:ascii="仿宋" w:hAnsi="仿宋" w:eastAsia="仿宋" w:cs="仿宋"/>
                <w:color w:val="auto"/>
                <w:kern w:val="0"/>
                <w:sz w:val="24"/>
                <w:szCs w:val="24"/>
                <w:highlight w:val="none"/>
                <w:lang w:val="en-US" w:eastAsia="zh-CN" w:bidi="ar-SA"/>
              </w:rPr>
              <w:t>11</w:t>
            </w:r>
          </w:p>
        </w:tc>
        <w:tc>
          <w:tcPr>
            <w:tcW w:w="4574"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widowControl/>
              <w:wordWrap/>
              <w:adjustRightInd/>
              <w:snapToGrid/>
              <w:spacing w:beforeAutospacing="0" w:afterAutospacing="0" w:line="400" w:lineRule="exact"/>
              <w:ind w:left="0" w:leftChars="0" w:right="0" w:firstLine="0" w:firstLineChars="0"/>
              <w:jc w:val="left"/>
              <w:textAlignment w:val="center"/>
              <w:outlineLvl w:val="9"/>
              <w:rPr>
                <w:rStyle w:val="946"/>
                <w:rFonts w:hint="eastAsia" w:ascii="仿宋" w:hAnsi="仿宋" w:eastAsia="仿宋" w:cs="仿宋"/>
                <w:color w:val="auto"/>
                <w:kern w:val="0"/>
                <w:sz w:val="24"/>
                <w:szCs w:val="24"/>
                <w:highlight w:val="none"/>
                <w:lang w:val="en-US" w:eastAsia="zh-CN" w:bidi="ar-SA"/>
              </w:rPr>
            </w:pPr>
            <w:r>
              <w:rPr>
                <w:rStyle w:val="946"/>
                <w:rFonts w:hint="eastAsia" w:ascii="仿宋" w:hAnsi="仿宋" w:eastAsia="仿宋" w:cs="仿宋"/>
                <w:color w:val="auto"/>
                <w:kern w:val="0"/>
                <w:sz w:val="24"/>
                <w:szCs w:val="24"/>
                <w:highlight w:val="none"/>
                <w:lang w:val="en-US" w:eastAsia="zh-CN" w:bidi="ar-SA"/>
              </w:rPr>
              <w:t>未按要求到岗，出现人员缺岗，人员数量不足的；</w:t>
            </w:r>
          </w:p>
        </w:tc>
        <w:tc>
          <w:tcPr>
            <w:tcW w:w="918"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widowControl/>
              <w:wordWrap/>
              <w:adjustRightInd/>
              <w:snapToGrid/>
              <w:spacing w:beforeAutospacing="0" w:afterAutospacing="0" w:line="400" w:lineRule="exact"/>
              <w:ind w:left="0" w:leftChars="0" w:right="0" w:firstLine="0" w:firstLineChars="0"/>
              <w:jc w:val="center"/>
              <w:textAlignment w:val="center"/>
              <w:outlineLvl w:val="9"/>
              <w:rPr>
                <w:rStyle w:val="946"/>
                <w:rFonts w:hint="default" w:ascii="仿宋" w:hAnsi="仿宋" w:eastAsia="仿宋" w:cs="仿宋"/>
                <w:color w:val="auto"/>
                <w:kern w:val="0"/>
                <w:sz w:val="24"/>
                <w:szCs w:val="24"/>
                <w:highlight w:val="none"/>
                <w:lang w:val="en-US" w:eastAsia="zh-CN" w:bidi="ar-SA"/>
              </w:rPr>
            </w:pPr>
            <w:r>
              <w:rPr>
                <w:rStyle w:val="946"/>
                <w:rFonts w:hint="eastAsia" w:ascii="仿宋" w:hAnsi="仿宋" w:eastAsia="仿宋" w:cs="仿宋"/>
                <w:color w:val="auto"/>
                <w:kern w:val="0"/>
                <w:sz w:val="24"/>
                <w:szCs w:val="24"/>
                <w:highlight w:val="none"/>
                <w:lang w:val="en-US" w:eastAsia="zh-CN" w:bidi="ar-SA"/>
              </w:rPr>
              <w:t>10</w:t>
            </w:r>
          </w:p>
        </w:tc>
        <w:tc>
          <w:tcPr>
            <w:tcW w:w="1758"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widowControl/>
              <w:wordWrap/>
              <w:adjustRightInd/>
              <w:snapToGrid/>
              <w:spacing w:beforeAutospacing="0" w:afterAutospacing="0" w:line="400" w:lineRule="exact"/>
              <w:ind w:left="0" w:leftChars="0" w:right="0" w:firstLine="0" w:firstLineChars="0"/>
              <w:jc w:val="left"/>
              <w:textAlignment w:val="center"/>
              <w:outlineLvl w:val="9"/>
              <w:rPr>
                <w:rStyle w:val="946"/>
                <w:rFonts w:hint="eastAsia" w:ascii="仿宋" w:hAnsi="仿宋" w:eastAsia="仿宋" w:cs="仿宋"/>
                <w:color w:val="auto"/>
                <w:kern w:val="0"/>
                <w:sz w:val="24"/>
                <w:szCs w:val="24"/>
                <w:highlight w:val="none"/>
                <w:lang w:val="en-US" w:eastAsia="zh-CN" w:bidi="ar-SA"/>
              </w:rPr>
            </w:pPr>
            <w:r>
              <w:rPr>
                <w:rStyle w:val="946"/>
                <w:rFonts w:hint="eastAsia" w:ascii="仿宋" w:hAnsi="仿宋" w:eastAsia="仿宋" w:cs="仿宋"/>
                <w:color w:val="auto"/>
                <w:kern w:val="0"/>
                <w:sz w:val="24"/>
                <w:szCs w:val="24"/>
                <w:highlight w:val="none"/>
                <w:lang w:val="en-US" w:eastAsia="zh-CN" w:bidi="ar-SA"/>
              </w:rPr>
              <w:t>违规一次扣5分，扣完为止，扣完为止</w:t>
            </w:r>
          </w:p>
        </w:tc>
        <w:tc>
          <w:tcPr>
            <w:tcW w:w="780"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widowControl w:val="0"/>
              <w:wordWrap/>
              <w:adjustRightInd/>
              <w:snapToGrid/>
              <w:spacing w:beforeAutospacing="0" w:afterAutospacing="0" w:line="400" w:lineRule="exact"/>
              <w:ind w:left="0" w:leftChars="0" w:right="0" w:firstLine="0" w:firstLineChars="0"/>
              <w:jc w:val="both"/>
              <w:outlineLvl w:val="9"/>
              <w:rPr>
                <w:rStyle w:val="946"/>
                <w:rFonts w:hint="eastAsia" w:ascii="仿宋" w:hAnsi="仿宋" w:eastAsia="仿宋" w:cs="仿宋"/>
                <w:color w:val="auto"/>
                <w:kern w:val="0"/>
                <w:sz w:val="24"/>
                <w:szCs w:val="24"/>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035" w:type="dxa"/>
            <w:vMerge w:val="continue"/>
            <w:tcBorders>
              <w:left w:val="single" w:color="auto" w:sz="4" w:space="0"/>
              <w:right w:val="single" w:color="auto" w:sz="4" w:space="0"/>
            </w:tcBorders>
            <w:tcMar>
              <w:top w:w="15" w:type="dxa"/>
              <w:left w:w="15" w:type="dxa"/>
              <w:bottom w:w="15" w:type="dxa"/>
              <w:right w:w="15" w:type="dxa"/>
            </w:tcMar>
            <w:vAlign w:val="center"/>
          </w:tcPr>
          <w:p>
            <w:pPr>
              <w:widowControl/>
              <w:wordWrap/>
              <w:adjustRightInd/>
              <w:snapToGrid/>
              <w:spacing w:beforeAutospacing="0" w:afterAutospacing="0" w:line="400" w:lineRule="exact"/>
              <w:ind w:left="0" w:leftChars="0" w:right="0" w:firstLine="0" w:firstLineChars="0"/>
              <w:jc w:val="center"/>
              <w:textAlignment w:val="center"/>
              <w:outlineLvl w:val="9"/>
              <w:rPr>
                <w:rStyle w:val="946"/>
                <w:rFonts w:hint="eastAsia" w:ascii="仿宋" w:hAnsi="仿宋" w:eastAsia="仿宋" w:cs="仿宋"/>
                <w:color w:val="auto"/>
                <w:kern w:val="0"/>
                <w:sz w:val="24"/>
                <w:szCs w:val="24"/>
                <w:highlight w:val="none"/>
                <w:lang w:val="en-US" w:eastAsia="zh-CN" w:bidi="ar-SA"/>
              </w:rPr>
            </w:pPr>
          </w:p>
        </w:tc>
        <w:tc>
          <w:tcPr>
            <w:tcW w:w="711" w:type="dxa"/>
            <w:vMerge w:val="continue"/>
            <w:tcBorders>
              <w:left w:val="single" w:color="auto" w:sz="4" w:space="0"/>
              <w:right w:val="single" w:color="auto" w:sz="4" w:space="0"/>
            </w:tcBorders>
            <w:tcMar>
              <w:top w:w="15" w:type="dxa"/>
              <w:left w:w="15" w:type="dxa"/>
              <w:bottom w:w="15" w:type="dxa"/>
              <w:right w:w="15" w:type="dxa"/>
            </w:tcMar>
            <w:vAlign w:val="center"/>
          </w:tcPr>
          <w:p>
            <w:pPr>
              <w:widowControl w:val="0"/>
              <w:wordWrap/>
              <w:adjustRightInd/>
              <w:snapToGrid/>
              <w:spacing w:beforeAutospacing="0" w:afterAutospacing="0" w:line="400" w:lineRule="exact"/>
              <w:ind w:left="0" w:leftChars="0" w:right="0" w:firstLine="0" w:firstLineChars="0"/>
              <w:jc w:val="center"/>
              <w:textAlignment w:val="center"/>
              <w:outlineLvl w:val="9"/>
              <w:rPr>
                <w:rStyle w:val="946"/>
                <w:rFonts w:hint="eastAsia" w:ascii="仿宋" w:hAnsi="仿宋" w:eastAsia="仿宋" w:cs="仿宋"/>
                <w:color w:val="auto"/>
                <w:kern w:val="0"/>
                <w:sz w:val="24"/>
                <w:szCs w:val="24"/>
                <w:highlight w:val="none"/>
                <w:lang w:val="en-US" w:eastAsia="zh-CN" w:bidi="ar-SA"/>
              </w:rPr>
            </w:pPr>
          </w:p>
        </w:tc>
        <w:tc>
          <w:tcPr>
            <w:tcW w:w="4574"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widowControl/>
              <w:wordWrap/>
              <w:adjustRightInd/>
              <w:snapToGrid/>
              <w:spacing w:beforeAutospacing="0" w:afterAutospacing="0" w:line="400" w:lineRule="exact"/>
              <w:ind w:left="0" w:leftChars="0" w:right="0" w:firstLine="0" w:firstLineChars="0"/>
              <w:jc w:val="left"/>
              <w:textAlignment w:val="center"/>
              <w:outlineLvl w:val="9"/>
              <w:rPr>
                <w:rStyle w:val="946"/>
                <w:rFonts w:hint="eastAsia" w:ascii="仿宋" w:hAnsi="仿宋" w:eastAsia="仿宋" w:cs="仿宋"/>
                <w:color w:val="auto"/>
                <w:kern w:val="0"/>
                <w:sz w:val="24"/>
                <w:szCs w:val="24"/>
                <w:highlight w:val="none"/>
                <w:lang w:val="en-US" w:eastAsia="zh-CN" w:bidi="ar-SA"/>
              </w:rPr>
            </w:pPr>
            <w:r>
              <w:rPr>
                <w:rStyle w:val="946"/>
                <w:rFonts w:hint="eastAsia" w:ascii="仿宋" w:hAnsi="仿宋" w:eastAsia="仿宋" w:cs="仿宋"/>
                <w:color w:val="auto"/>
                <w:kern w:val="0"/>
                <w:sz w:val="24"/>
                <w:szCs w:val="24"/>
                <w:highlight w:val="none"/>
                <w:lang w:val="en-US" w:eastAsia="zh-CN" w:bidi="ar-SA"/>
              </w:rPr>
              <w:t>接警后无客观原因未及时出警的;</w:t>
            </w:r>
          </w:p>
        </w:tc>
        <w:tc>
          <w:tcPr>
            <w:tcW w:w="918"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widowControl/>
              <w:wordWrap/>
              <w:adjustRightInd/>
              <w:snapToGrid/>
              <w:spacing w:beforeAutospacing="0" w:afterAutospacing="0" w:line="400" w:lineRule="exact"/>
              <w:ind w:left="0" w:leftChars="0" w:right="0" w:firstLine="0" w:firstLineChars="0"/>
              <w:jc w:val="center"/>
              <w:textAlignment w:val="center"/>
              <w:outlineLvl w:val="9"/>
              <w:rPr>
                <w:rStyle w:val="946"/>
                <w:rFonts w:hint="eastAsia" w:ascii="仿宋" w:hAnsi="仿宋" w:eastAsia="仿宋" w:cs="仿宋"/>
                <w:color w:val="auto"/>
                <w:kern w:val="0"/>
                <w:sz w:val="24"/>
                <w:szCs w:val="24"/>
                <w:highlight w:val="none"/>
                <w:lang w:val="en-US" w:eastAsia="zh-CN" w:bidi="ar-SA"/>
              </w:rPr>
            </w:pPr>
            <w:r>
              <w:rPr>
                <w:rStyle w:val="946"/>
                <w:rFonts w:hint="eastAsia" w:ascii="仿宋" w:hAnsi="仿宋" w:eastAsia="仿宋" w:cs="仿宋"/>
                <w:color w:val="auto"/>
                <w:kern w:val="0"/>
                <w:sz w:val="24"/>
                <w:szCs w:val="24"/>
                <w:highlight w:val="none"/>
                <w:lang w:val="en-US" w:eastAsia="zh-CN" w:bidi="ar-SA"/>
              </w:rPr>
              <w:t>10</w:t>
            </w:r>
          </w:p>
        </w:tc>
        <w:tc>
          <w:tcPr>
            <w:tcW w:w="1758"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widowControl/>
              <w:wordWrap/>
              <w:adjustRightInd/>
              <w:snapToGrid/>
              <w:spacing w:beforeAutospacing="0" w:afterAutospacing="0" w:line="400" w:lineRule="exact"/>
              <w:ind w:left="0" w:leftChars="0" w:right="0" w:firstLine="0" w:firstLineChars="0"/>
              <w:jc w:val="left"/>
              <w:textAlignment w:val="center"/>
              <w:outlineLvl w:val="9"/>
              <w:rPr>
                <w:rStyle w:val="946"/>
                <w:rFonts w:hint="eastAsia" w:ascii="仿宋" w:hAnsi="仿宋" w:eastAsia="仿宋" w:cs="仿宋"/>
                <w:color w:val="auto"/>
                <w:kern w:val="0"/>
                <w:sz w:val="24"/>
                <w:szCs w:val="24"/>
                <w:highlight w:val="none"/>
                <w:lang w:val="en-US" w:eastAsia="zh-CN" w:bidi="ar-SA"/>
              </w:rPr>
            </w:pPr>
            <w:r>
              <w:rPr>
                <w:rStyle w:val="946"/>
                <w:rFonts w:hint="eastAsia" w:ascii="仿宋" w:hAnsi="仿宋" w:eastAsia="仿宋" w:cs="仿宋"/>
                <w:color w:val="auto"/>
                <w:kern w:val="0"/>
                <w:sz w:val="24"/>
                <w:szCs w:val="24"/>
                <w:highlight w:val="none"/>
                <w:lang w:val="en-US" w:eastAsia="zh-CN" w:bidi="ar-SA"/>
              </w:rPr>
              <w:t>违规一次扣5分，扣完为止，扣完为止</w:t>
            </w:r>
          </w:p>
        </w:tc>
        <w:tc>
          <w:tcPr>
            <w:tcW w:w="780"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widowControl w:val="0"/>
              <w:wordWrap/>
              <w:adjustRightInd/>
              <w:snapToGrid/>
              <w:spacing w:beforeAutospacing="0" w:afterAutospacing="0" w:line="400" w:lineRule="exact"/>
              <w:ind w:left="0" w:leftChars="0" w:right="0" w:firstLine="0" w:firstLineChars="0"/>
              <w:jc w:val="both"/>
              <w:outlineLvl w:val="9"/>
              <w:rPr>
                <w:rStyle w:val="946"/>
                <w:rFonts w:hint="eastAsia" w:ascii="仿宋" w:hAnsi="仿宋" w:eastAsia="仿宋" w:cs="仿宋"/>
                <w:color w:val="auto"/>
                <w:kern w:val="0"/>
                <w:sz w:val="24"/>
                <w:szCs w:val="24"/>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035" w:type="dxa"/>
            <w:vMerge w:val="continue"/>
            <w:tcBorders>
              <w:left w:val="single" w:color="auto" w:sz="4" w:space="0"/>
              <w:right w:val="single" w:color="auto" w:sz="4" w:space="0"/>
            </w:tcBorders>
            <w:tcMar>
              <w:top w:w="15" w:type="dxa"/>
              <w:left w:w="15" w:type="dxa"/>
              <w:bottom w:w="15" w:type="dxa"/>
              <w:right w:w="15" w:type="dxa"/>
            </w:tcMar>
            <w:vAlign w:val="center"/>
          </w:tcPr>
          <w:p>
            <w:pPr>
              <w:wordWrap/>
              <w:adjustRightInd/>
              <w:snapToGrid/>
              <w:spacing w:line="400" w:lineRule="exact"/>
              <w:ind w:left="0" w:leftChars="0" w:right="0" w:firstLine="0" w:firstLineChars="0"/>
              <w:outlineLvl w:val="9"/>
              <w:rPr>
                <w:rStyle w:val="946"/>
                <w:rFonts w:hint="eastAsia" w:ascii="仿宋" w:hAnsi="仿宋" w:eastAsia="仿宋" w:cs="仿宋"/>
                <w:color w:val="auto"/>
                <w:kern w:val="0"/>
                <w:sz w:val="24"/>
                <w:szCs w:val="24"/>
                <w:highlight w:val="none"/>
                <w:lang w:val="en-US" w:eastAsia="zh-CN" w:bidi="ar-SA"/>
              </w:rPr>
            </w:pPr>
          </w:p>
        </w:tc>
        <w:tc>
          <w:tcPr>
            <w:tcW w:w="711" w:type="dxa"/>
            <w:vMerge w:val="continue"/>
            <w:tcBorders>
              <w:left w:val="single" w:color="auto" w:sz="4" w:space="0"/>
              <w:right w:val="single" w:color="auto" w:sz="4" w:space="0"/>
            </w:tcBorders>
            <w:tcMar>
              <w:top w:w="15" w:type="dxa"/>
              <w:left w:w="15" w:type="dxa"/>
              <w:bottom w:w="15" w:type="dxa"/>
              <w:right w:w="15" w:type="dxa"/>
            </w:tcMar>
            <w:vAlign w:val="center"/>
          </w:tcPr>
          <w:p>
            <w:pPr>
              <w:wordWrap/>
              <w:adjustRightInd/>
              <w:snapToGrid/>
              <w:spacing w:line="400" w:lineRule="exact"/>
              <w:ind w:left="0" w:leftChars="0" w:right="0" w:firstLine="0" w:firstLineChars="0"/>
              <w:outlineLvl w:val="9"/>
              <w:rPr>
                <w:rStyle w:val="946"/>
                <w:rFonts w:hint="eastAsia" w:ascii="仿宋" w:hAnsi="仿宋" w:eastAsia="仿宋" w:cs="仿宋"/>
                <w:color w:val="auto"/>
                <w:kern w:val="0"/>
                <w:sz w:val="24"/>
                <w:szCs w:val="24"/>
                <w:highlight w:val="none"/>
                <w:lang w:val="en-US" w:eastAsia="zh-CN" w:bidi="ar-SA"/>
              </w:rPr>
            </w:pPr>
          </w:p>
        </w:tc>
        <w:tc>
          <w:tcPr>
            <w:tcW w:w="4574"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widowControl/>
              <w:wordWrap/>
              <w:adjustRightInd/>
              <w:snapToGrid/>
              <w:spacing w:beforeAutospacing="0" w:afterAutospacing="0" w:line="400" w:lineRule="exact"/>
              <w:ind w:left="0" w:leftChars="0" w:right="0" w:firstLine="0" w:firstLineChars="0"/>
              <w:jc w:val="left"/>
              <w:textAlignment w:val="center"/>
              <w:outlineLvl w:val="9"/>
              <w:rPr>
                <w:rStyle w:val="946"/>
                <w:rFonts w:hint="eastAsia" w:ascii="仿宋" w:hAnsi="仿宋" w:eastAsia="仿宋" w:cs="仿宋"/>
                <w:color w:val="auto"/>
                <w:kern w:val="0"/>
                <w:sz w:val="24"/>
                <w:szCs w:val="24"/>
                <w:highlight w:val="none"/>
                <w:lang w:val="en-US" w:eastAsia="zh-CN" w:bidi="ar-SA"/>
              </w:rPr>
            </w:pPr>
            <w:r>
              <w:rPr>
                <w:rStyle w:val="946"/>
                <w:rFonts w:hint="eastAsia" w:ascii="仿宋" w:hAnsi="仿宋" w:eastAsia="仿宋" w:cs="仿宋"/>
                <w:color w:val="auto"/>
                <w:kern w:val="0"/>
                <w:sz w:val="24"/>
                <w:szCs w:val="24"/>
                <w:highlight w:val="none"/>
                <w:lang w:val="en-US" w:eastAsia="zh-CN" w:bidi="ar-SA"/>
              </w:rPr>
              <w:t>未经同意擅自减少人员或未按要求及时补充人员的，或派遣人员不符合合同要求的</w:t>
            </w:r>
          </w:p>
        </w:tc>
        <w:tc>
          <w:tcPr>
            <w:tcW w:w="918"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widowControl/>
              <w:wordWrap/>
              <w:adjustRightInd/>
              <w:snapToGrid/>
              <w:spacing w:beforeAutospacing="0" w:afterAutospacing="0" w:line="400" w:lineRule="exact"/>
              <w:ind w:left="0" w:leftChars="0" w:right="0" w:firstLine="0" w:firstLineChars="0"/>
              <w:jc w:val="center"/>
              <w:textAlignment w:val="center"/>
              <w:outlineLvl w:val="9"/>
              <w:rPr>
                <w:rStyle w:val="946"/>
                <w:rFonts w:hint="eastAsia" w:ascii="仿宋" w:hAnsi="仿宋" w:eastAsia="仿宋" w:cs="仿宋"/>
                <w:color w:val="auto"/>
                <w:kern w:val="0"/>
                <w:sz w:val="24"/>
                <w:szCs w:val="24"/>
                <w:highlight w:val="none"/>
                <w:lang w:val="en-US" w:eastAsia="zh-CN" w:bidi="ar-SA"/>
              </w:rPr>
            </w:pPr>
            <w:r>
              <w:rPr>
                <w:rStyle w:val="946"/>
                <w:rFonts w:hint="eastAsia" w:ascii="仿宋" w:hAnsi="仿宋" w:eastAsia="仿宋" w:cs="仿宋"/>
                <w:color w:val="auto"/>
                <w:kern w:val="0"/>
                <w:sz w:val="24"/>
                <w:szCs w:val="24"/>
                <w:highlight w:val="none"/>
                <w:lang w:val="en-US" w:eastAsia="zh-CN" w:bidi="ar-SA"/>
              </w:rPr>
              <w:t>5</w:t>
            </w:r>
          </w:p>
        </w:tc>
        <w:tc>
          <w:tcPr>
            <w:tcW w:w="1758"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widowControl/>
              <w:wordWrap/>
              <w:adjustRightInd/>
              <w:snapToGrid/>
              <w:spacing w:beforeAutospacing="0" w:afterAutospacing="0" w:line="400" w:lineRule="exact"/>
              <w:ind w:left="0" w:leftChars="0" w:right="0" w:firstLine="0" w:firstLineChars="0"/>
              <w:jc w:val="left"/>
              <w:textAlignment w:val="center"/>
              <w:outlineLvl w:val="9"/>
              <w:rPr>
                <w:rStyle w:val="946"/>
                <w:rFonts w:hint="eastAsia" w:ascii="仿宋" w:hAnsi="仿宋" w:eastAsia="仿宋" w:cs="仿宋"/>
                <w:color w:val="auto"/>
                <w:kern w:val="0"/>
                <w:sz w:val="24"/>
                <w:szCs w:val="24"/>
                <w:highlight w:val="none"/>
                <w:lang w:val="en-US" w:eastAsia="zh-CN" w:bidi="ar-SA"/>
              </w:rPr>
            </w:pPr>
            <w:r>
              <w:rPr>
                <w:rStyle w:val="946"/>
                <w:rFonts w:hint="eastAsia" w:ascii="仿宋" w:hAnsi="仿宋" w:eastAsia="仿宋" w:cs="仿宋"/>
                <w:color w:val="auto"/>
                <w:kern w:val="0"/>
                <w:sz w:val="24"/>
                <w:szCs w:val="24"/>
                <w:highlight w:val="none"/>
                <w:lang w:val="en-US" w:eastAsia="zh-CN" w:bidi="ar-SA"/>
              </w:rPr>
              <w:t>违规一次扣2分，扣完为止</w:t>
            </w:r>
          </w:p>
        </w:tc>
        <w:tc>
          <w:tcPr>
            <w:tcW w:w="780"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widowControl w:val="0"/>
              <w:wordWrap/>
              <w:adjustRightInd/>
              <w:snapToGrid/>
              <w:spacing w:beforeAutospacing="0" w:afterAutospacing="0" w:line="400" w:lineRule="exact"/>
              <w:ind w:left="0" w:leftChars="0" w:right="0" w:firstLine="0" w:firstLineChars="0"/>
              <w:jc w:val="both"/>
              <w:outlineLvl w:val="9"/>
              <w:rPr>
                <w:rStyle w:val="946"/>
                <w:rFonts w:hint="eastAsia" w:ascii="仿宋" w:hAnsi="仿宋" w:eastAsia="仿宋" w:cs="仿宋"/>
                <w:color w:val="auto"/>
                <w:kern w:val="0"/>
                <w:sz w:val="24"/>
                <w:szCs w:val="24"/>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9" w:hRule="atLeast"/>
        </w:trPr>
        <w:tc>
          <w:tcPr>
            <w:tcW w:w="1035" w:type="dxa"/>
            <w:vMerge w:val="continue"/>
            <w:tcBorders>
              <w:left w:val="single" w:color="auto" w:sz="4" w:space="0"/>
              <w:right w:val="single" w:color="auto" w:sz="4" w:space="0"/>
            </w:tcBorders>
            <w:tcMar>
              <w:top w:w="15" w:type="dxa"/>
              <w:left w:w="15" w:type="dxa"/>
              <w:bottom w:w="15" w:type="dxa"/>
              <w:right w:w="15" w:type="dxa"/>
            </w:tcMar>
            <w:vAlign w:val="center"/>
          </w:tcPr>
          <w:p>
            <w:pPr>
              <w:wordWrap/>
              <w:adjustRightInd/>
              <w:snapToGrid/>
              <w:spacing w:line="400" w:lineRule="exact"/>
              <w:ind w:left="0" w:leftChars="0" w:right="0" w:firstLine="0" w:firstLineChars="0"/>
              <w:outlineLvl w:val="9"/>
              <w:rPr>
                <w:rStyle w:val="946"/>
                <w:rFonts w:hint="eastAsia" w:ascii="仿宋" w:hAnsi="仿宋" w:eastAsia="仿宋" w:cs="仿宋"/>
                <w:color w:val="auto"/>
                <w:kern w:val="0"/>
                <w:sz w:val="24"/>
                <w:szCs w:val="24"/>
                <w:highlight w:val="none"/>
                <w:lang w:val="en-US" w:eastAsia="zh-CN" w:bidi="ar-SA"/>
              </w:rPr>
            </w:pPr>
          </w:p>
        </w:tc>
        <w:tc>
          <w:tcPr>
            <w:tcW w:w="711" w:type="dxa"/>
            <w:vMerge w:val="continue"/>
            <w:tcBorders>
              <w:left w:val="single" w:color="auto" w:sz="4" w:space="0"/>
              <w:right w:val="single" w:color="auto" w:sz="4" w:space="0"/>
            </w:tcBorders>
            <w:tcMar>
              <w:top w:w="15" w:type="dxa"/>
              <w:left w:w="15" w:type="dxa"/>
              <w:bottom w:w="15" w:type="dxa"/>
              <w:right w:w="15" w:type="dxa"/>
            </w:tcMar>
            <w:vAlign w:val="center"/>
          </w:tcPr>
          <w:p>
            <w:pPr>
              <w:wordWrap/>
              <w:adjustRightInd/>
              <w:snapToGrid/>
              <w:spacing w:line="400" w:lineRule="exact"/>
              <w:ind w:left="0" w:leftChars="0" w:right="0" w:firstLine="0" w:firstLineChars="0"/>
              <w:outlineLvl w:val="9"/>
              <w:rPr>
                <w:rStyle w:val="946"/>
                <w:rFonts w:hint="eastAsia" w:ascii="仿宋" w:hAnsi="仿宋" w:eastAsia="仿宋" w:cs="仿宋"/>
                <w:color w:val="auto"/>
                <w:kern w:val="0"/>
                <w:sz w:val="24"/>
                <w:szCs w:val="24"/>
                <w:highlight w:val="none"/>
                <w:lang w:val="en-US" w:eastAsia="zh-CN" w:bidi="ar-SA"/>
              </w:rPr>
            </w:pPr>
          </w:p>
        </w:tc>
        <w:tc>
          <w:tcPr>
            <w:tcW w:w="4574"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widowControl/>
              <w:wordWrap/>
              <w:adjustRightInd/>
              <w:snapToGrid/>
              <w:spacing w:beforeAutospacing="0" w:afterAutospacing="0" w:line="400" w:lineRule="exact"/>
              <w:ind w:left="0" w:leftChars="0" w:right="0" w:firstLine="0" w:firstLineChars="0"/>
              <w:jc w:val="left"/>
              <w:textAlignment w:val="center"/>
              <w:outlineLvl w:val="9"/>
              <w:rPr>
                <w:rStyle w:val="946"/>
                <w:rFonts w:hint="eastAsia" w:ascii="仿宋" w:hAnsi="仿宋" w:eastAsia="仿宋" w:cs="仿宋"/>
                <w:color w:val="auto"/>
                <w:kern w:val="0"/>
                <w:sz w:val="24"/>
                <w:szCs w:val="24"/>
                <w:highlight w:val="none"/>
                <w:lang w:val="en-US" w:eastAsia="zh-CN" w:bidi="ar-SA"/>
              </w:rPr>
            </w:pPr>
            <w:r>
              <w:rPr>
                <w:rStyle w:val="946"/>
                <w:rFonts w:hint="eastAsia" w:ascii="仿宋" w:hAnsi="仿宋" w:eastAsia="仿宋" w:cs="仿宋"/>
                <w:color w:val="auto"/>
                <w:kern w:val="0"/>
                <w:sz w:val="24"/>
                <w:szCs w:val="24"/>
                <w:highlight w:val="none"/>
                <w:lang w:val="en-US" w:eastAsia="zh-CN" w:bidi="ar-SA"/>
              </w:rPr>
              <w:t>未按要求完成上级安排的工作任务的;</w:t>
            </w:r>
          </w:p>
        </w:tc>
        <w:tc>
          <w:tcPr>
            <w:tcW w:w="918"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widowControl/>
              <w:wordWrap/>
              <w:adjustRightInd/>
              <w:snapToGrid/>
              <w:spacing w:beforeAutospacing="0" w:afterAutospacing="0" w:line="400" w:lineRule="exact"/>
              <w:ind w:left="0" w:leftChars="0" w:right="0" w:firstLine="0" w:firstLineChars="0"/>
              <w:jc w:val="center"/>
              <w:textAlignment w:val="center"/>
              <w:outlineLvl w:val="9"/>
              <w:rPr>
                <w:rStyle w:val="946"/>
                <w:rFonts w:hint="eastAsia" w:ascii="仿宋" w:hAnsi="仿宋" w:eastAsia="仿宋" w:cs="仿宋"/>
                <w:color w:val="auto"/>
                <w:kern w:val="0"/>
                <w:sz w:val="24"/>
                <w:szCs w:val="24"/>
                <w:highlight w:val="none"/>
                <w:lang w:val="en-US" w:eastAsia="zh-CN" w:bidi="ar-SA"/>
              </w:rPr>
            </w:pPr>
            <w:r>
              <w:rPr>
                <w:rStyle w:val="946"/>
                <w:rFonts w:hint="eastAsia" w:ascii="仿宋" w:hAnsi="仿宋" w:eastAsia="仿宋" w:cs="仿宋"/>
                <w:color w:val="auto"/>
                <w:kern w:val="0"/>
                <w:sz w:val="24"/>
                <w:szCs w:val="24"/>
                <w:highlight w:val="none"/>
                <w:lang w:val="en-US" w:eastAsia="zh-CN" w:bidi="ar-SA"/>
              </w:rPr>
              <w:t>10</w:t>
            </w:r>
          </w:p>
        </w:tc>
        <w:tc>
          <w:tcPr>
            <w:tcW w:w="1758"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widowControl/>
              <w:wordWrap/>
              <w:adjustRightInd/>
              <w:snapToGrid/>
              <w:spacing w:beforeAutospacing="0" w:afterAutospacing="0" w:line="400" w:lineRule="exact"/>
              <w:ind w:left="0" w:leftChars="0" w:right="0" w:firstLine="0" w:firstLineChars="0"/>
              <w:jc w:val="left"/>
              <w:textAlignment w:val="center"/>
              <w:outlineLvl w:val="9"/>
              <w:rPr>
                <w:rStyle w:val="946"/>
                <w:rFonts w:hint="eastAsia" w:ascii="仿宋" w:hAnsi="仿宋" w:eastAsia="仿宋" w:cs="仿宋"/>
                <w:color w:val="auto"/>
                <w:kern w:val="0"/>
                <w:sz w:val="24"/>
                <w:szCs w:val="24"/>
                <w:highlight w:val="none"/>
                <w:lang w:val="en-US" w:eastAsia="zh-CN" w:bidi="ar-SA"/>
              </w:rPr>
            </w:pPr>
            <w:r>
              <w:rPr>
                <w:rStyle w:val="946"/>
                <w:rFonts w:hint="eastAsia" w:ascii="仿宋" w:hAnsi="仿宋" w:eastAsia="仿宋" w:cs="仿宋"/>
                <w:color w:val="auto"/>
                <w:kern w:val="0"/>
                <w:sz w:val="24"/>
                <w:szCs w:val="24"/>
                <w:highlight w:val="none"/>
                <w:lang w:val="en-US" w:eastAsia="zh-CN" w:bidi="ar-SA"/>
              </w:rPr>
              <w:t>违规一次扣5分，扣完为止</w:t>
            </w:r>
          </w:p>
        </w:tc>
        <w:tc>
          <w:tcPr>
            <w:tcW w:w="780"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widowControl w:val="0"/>
              <w:wordWrap/>
              <w:adjustRightInd/>
              <w:snapToGrid/>
              <w:spacing w:beforeAutospacing="0" w:afterAutospacing="0" w:line="400" w:lineRule="exact"/>
              <w:ind w:left="0" w:leftChars="0" w:right="0" w:firstLine="0" w:firstLineChars="0"/>
              <w:jc w:val="both"/>
              <w:outlineLvl w:val="9"/>
              <w:rPr>
                <w:rStyle w:val="946"/>
                <w:rFonts w:hint="eastAsia" w:ascii="仿宋" w:hAnsi="仿宋" w:eastAsia="仿宋" w:cs="仿宋"/>
                <w:color w:val="auto"/>
                <w:kern w:val="0"/>
                <w:sz w:val="24"/>
                <w:szCs w:val="24"/>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1" w:hRule="atLeast"/>
        </w:trPr>
        <w:tc>
          <w:tcPr>
            <w:tcW w:w="1035" w:type="dxa"/>
            <w:vMerge w:val="continue"/>
            <w:tcBorders>
              <w:left w:val="single" w:color="auto" w:sz="4" w:space="0"/>
              <w:right w:val="single" w:color="auto" w:sz="4" w:space="0"/>
            </w:tcBorders>
            <w:tcMar>
              <w:top w:w="15" w:type="dxa"/>
              <w:left w:w="15" w:type="dxa"/>
              <w:bottom w:w="15" w:type="dxa"/>
              <w:right w:w="15" w:type="dxa"/>
            </w:tcMar>
            <w:vAlign w:val="center"/>
          </w:tcPr>
          <w:p>
            <w:pPr>
              <w:wordWrap/>
              <w:adjustRightInd/>
              <w:snapToGrid/>
              <w:spacing w:line="400" w:lineRule="exact"/>
              <w:ind w:left="0" w:leftChars="0" w:right="0" w:firstLine="0" w:firstLineChars="0"/>
              <w:outlineLvl w:val="9"/>
              <w:rPr>
                <w:rStyle w:val="946"/>
                <w:rFonts w:hint="eastAsia" w:ascii="仿宋" w:hAnsi="仿宋" w:eastAsia="仿宋" w:cs="仿宋"/>
                <w:color w:val="auto"/>
                <w:kern w:val="0"/>
                <w:sz w:val="24"/>
                <w:szCs w:val="24"/>
                <w:highlight w:val="none"/>
                <w:lang w:val="en-US" w:eastAsia="zh-CN" w:bidi="ar-SA"/>
              </w:rPr>
            </w:pPr>
          </w:p>
        </w:tc>
        <w:tc>
          <w:tcPr>
            <w:tcW w:w="711" w:type="dxa"/>
            <w:vMerge w:val="continue"/>
            <w:tcBorders>
              <w:left w:val="single" w:color="auto" w:sz="4" w:space="0"/>
              <w:right w:val="single" w:color="auto" w:sz="4" w:space="0"/>
            </w:tcBorders>
            <w:tcMar>
              <w:top w:w="15" w:type="dxa"/>
              <w:left w:w="15" w:type="dxa"/>
              <w:bottom w:w="15" w:type="dxa"/>
              <w:right w:w="15" w:type="dxa"/>
            </w:tcMar>
            <w:vAlign w:val="center"/>
          </w:tcPr>
          <w:p>
            <w:pPr>
              <w:wordWrap/>
              <w:adjustRightInd/>
              <w:snapToGrid/>
              <w:spacing w:line="400" w:lineRule="exact"/>
              <w:ind w:left="0" w:leftChars="0" w:right="0" w:firstLine="0" w:firstLineChars="0"/>
              <w:outlineLvl w:val="9"/>
              <w:rPr>
                <w:rStyle w:val="946"/>
                <w:rFonts w:hint="eastAsia" w:ascii="仿宋" w:hAnsi="仿宋" w:eastAsia="仿宋" w:cs="仿宋"/>
                <w:color w:val="auto"/>
                <w:kern w:val="0"/>
                <w:sz w:val="24"/>
                <w:szCs w:val="24"/>
                <w:highlight w:val="none"/>
                <w:lang w:val="en-US" w:eastAsia="zh-CN" w:bidi="ar-SA"/>
              </w:rPr>
            </w:pPr>
          </w:p>
        </w:tc>
        <w:tc>
          <w:tcPr>
            <w:tcW w:w="4574"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widowControl/>
              <w:wordWrap/>
              <w:adjustRightInd/>
              <w:snapToGrid/>
              <w:spacing w:beforeAutospacing="0" w:afterAutospacing="0" w:line="400" w:lineRule="exact"/>
              <w:ind w:left="0" w:leftChars="0" w:right="0" w:firstLine="0" w:firstLineChars="0"/>
              <w:jc w:val="left"/>
              <w:textAlignment w:val="center"/>
              <w:outlineLvl w:val="9"/>
              <w:rPr>
                <w:rStyle w:val="946"/>
                <w:rFonts w:hint="eastAsia" w:ascii="仿宋" w:hAnsi="仿宋" w:eastAsia="仿宋" w:cs="仿宋"/>
                <w:color w:val="auto"/>
                <w:kern w:val="0"/>
                <w:sz w:val="24"/>
                <w:szCs w:val="24"/>
                <w:highlight w:val="none"/>
                <w:lang w:val="en-US" w:eastAsia="zh-CN" w:bidi="ar-SA"/>
              </w:rPr>
            </w:pPr>
            <w:r>
              <w:rPr>
                <w:rStyle w:val="946"/>
                <w:rFonts w:hint="eastAsia" w:ascii="仿宋" w:hAnsi="仿宋" w:eastAsia="仿宋" w:cs="仿宋"/>
                <w:color w:val="auto"/>
                <w:kern w:val="0"/>
                <w:sz w:val="24"/>
                <w:szCs w:val="24"/>
                <w:highlight w:val="none"/>
                <w:lang w:val="en-US" w:eastAsia="zh-CN" w:bidi="ar-SA"/>
              </w:rPr>
              <w:t>未按计划开展人员培训或培训记录不全的;</w:t>
            </w:r>
          </w:p>
        </w:tc>
        <w:tc>
          <w:tcPr>
            <w:tcW w:w="918"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widowControl/>
              <w:wordWrap/>
              <w:adjustRightInd/>
              <w:snapToGrid/>
              <w:spacing w:beforeAutospacing="0" w:afterAutospacing="0" w:line="400" w:lineRule="exact"/>
              <w:ind w:left="0" w:leftChars="0" w:right="0" w:firstLine="0" w:firstLineChars="0"/>
              <w:jc w:val="center"/>
              <w:textAlignment w:val="center"/>
              <w:outlineLvl w:val="9"/>
              <w:rPr>
                <w:rStyle w:val="946"/>
                <w:rFonts w:hint="eastAsia" w:ascii="仿宋" w:hAnsi="仿宋" w:eastAsia="仿宋" w:cs="仿宋"/>
                <w:color w:val="auto"/>
                <w:kern w:val="0"/>
                <w:sz w:val="24"/>
                <w:szCs w:val="24"/>
                <w:highlight w:val="none"/>
                <w:lang w:val="en-US" w:eastAsia="zh-CN" w:bidi="ar-SA"/>
              </w:rPr>
            </w:pPr>
            <w:r>
              <w:rPr>
                <w:rStyle w:val="946"/>
                <w:rFonts w:hint="eastAsia" w:ascii="仿宋" w:hAnsi="仿宋" w:eastAsia="仿宋" w:cs="仿宋"/>
                <w:color w:val="auto"/>
                <w:kern w:val="0"/>
                <w:sz w:val="24"/>
                <w:szCs w:val="24"/>
                <w:highlight w:val="none"/>
                <w:lang w:val="en-US" w:eastAsia="zh-CN" w:bidi="ar-SA"/>
              </w:rPr>
              <w:t>5</w:t>
            </w:r>
          </w:p>
        </w:tc>
        <w:tc>
          <w:tcPr>
            <w:tcW w:w="1758"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widowControl/>
              <w:wordWrap/>
              <w:adjustRightInd/>
              <w:snapToGrid/>
              <w:spacing w:beforeAutospacing="0" w:afterAutospacing="0" w:line="400" w:lineRule="exact"/>
              <w:ind w:left="0" w:leftChars="0" w:right="0" w:firstLine="0" w:firstLineChars="0"/>
              <w:jc w:val="left"/>
              <w:textAlignment w:val="center"/>
              <w:outlineLvl w:val="9"/>
              <w:rPr>
                <w:rStyle w:val="946"/>
                <w:rFonts w:hint="eastAsia" w:ascii="仿宋" w:hAnsi="仿宋" w:eastAsia="仿宋" w:cs="仿宋"/>
                <w:color w:val="auto"/>
                <w:kern w:val="0"/>
                <w:sz w:val="24"/>
                <w:szCs w:val="24"/>
                <w:highlight w:val="none"/>
                <w:lang w:val="en-US" w:eastAsia="zh-CN" w:bidi="ar-SA"/>
              </w:rPr>
            </w:pPr>
            <w:r>
              <w:rPr>
                <w:rStyle w:val="946"/>
                <w:rFonts w:hint="eastAsia" w:ascii="仿宋" w:hAnsi="仿宋" w:eastAsia="仿宋" w:cs="仿宋"/>
                <w:color w:val="auto"/>
                <w:kern w:val="0"/>
                <w:sz w:val="24"/>
                <w:szCs w:val="24"/>
                <w:highlight w:val="none"/>
                <w:lang w:val="en-US" w:eastAsia="zh-CN" w:bidi="ar-SA"/>
              </w:rPr>
              <w:t>违规一次扣2分，扣完为止</w:t>
            </w:r>
          </w:p>
        </w:tc>
        <w:tc>
          <w:tcPr>
            <w:tcW w:w="780"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widowControl w:val="0"/>
              <w:wordWrap/>
              <w:adjustRightInd/>
              <w:snapToGrid/>
              <w:spacing w:beforeAutospacing="0" w:afterAutospacing="0" w:line="400" w:lineRule="exact"/>
              <w:ind w:left="0" w:leftChars="0" w:right="0" w:firstLine="0" w:firstLineChars="0"/>
              <w:jc w:val="both"/>
              <w:outlineLvl w:val="9"/>
              <w:rPr>
                <w:rStyle w:val="946"/>
                <w:rFonts w:hint="eastAsia" w:ascii="仿宋" w:hAnsi="仿宋" w:eastAsia="仿宋" w:cs="仿宋"/>
                <w:color w:val="auto"/>
                <w:kern w:val="0"/>
                <w:sz w:val="24"/>
                <w:szCs w:val="24"/>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1" w:hRule="atLeast"/>
        </w:trPr>
        <w:tc>
          <w:tcPr>
            <w:tcW w:w="1035" w:type="dxa"/>
            <w:vMerge w:val="continue"/>
            <w:tcBorders>
              <w:left w:val="single" w:color="auto" w:sz="4" w:space="0"/>
              <w:right w:val="single" w:color="auto" w:sz="4" w:space="0"/>
            </w:tcBorders>
            <w:tcMar>
              <w:top w:w="15" w:type="dxa"/>
              <w:left w:w="15" w:type="dxa"/>
              <w:bottom w:w="15" w:type="dxa"/>
              <w:right w:w="15" w:type="dxa"/>
            </w:tcMar>
            <w:vAlign w:val="center"/>
          </w:tcPr>
          <w:p>
            <w:pPr>
              <w:wordWrap/>
              <w:adjustRightInd/>
              <w:snapToGrid/>
              <w:spacing w:line="400" w:lineRule="exact"/>
              <w:ind w:left="0" w:leftChars="0" w:right="0" w:firstLine="0" w:firstLineChars="0"/>
              <w:outlineLvl w:val="9"/>
              <w:rPr>
                <w:rStyle w:val="946"/>
                <w:rFonts w:hint="eastAsia" w:ascii="仿宋" w:hAnsi="仿宋" w:eastAsia="仿宋" w:cs="仿宋"/>
                <w:color w:val="auto"/>
                <w:kern w:val="0"/>
                <w:sz w:val="24"/>
                <w:szCs w:val="24"/>
                <w:highlight w:val="none"/>
                <w:lang w:val="en-US" w:eastAsia="zh-CN" w:bidi="ar-SA"/>
              </w:rPr>
            </w:pPr>
          </w:p>
        </w:tc>
        <w:tc>
          <w:tcPr>
            <w:tcW w:w="711" w:type="dxa"/>
            <w:vMerge w:val="continue"/>
            <w:tcBorders>
              <w:left w:val="single" w:color="auto" w:sz="4" w:space="0"/>
              <w:right w:val="single" w:color="auto" w:sz="4" w:space="0"/>
            </w:tcBorders>
            <w:tcMar>
              <w:top w:w="15" w:type="dxa"/>
              <w:left w:w="15" w:type="dxa"/>
              <w:bottom w:w="15" w:type="dxa"/>
              <w:right w:w="15" w:type="dxa"/>
            </w:tcMar>
            <w:vAlign w:val="center"/>
          </w:tcPr>
          <w:p>
            <w:pPr>
              <w:wordWrap/>
              <w:adjustRightInd/>
              <w:snapToGrid/>
              <w:spacing w:line="400" w:lineRule="exact"/>
              <w:ind w:left="0" w:leftChars="0" w:right="0" w:firstLine="0" w:firstLineChars="0"/>
              <w:outlineLvl w:val="9"/>
              <w:rPr>
                <w:rStyle w:val="946"/>
                <w:rFonts w:hint="eastAsia" w:ascii="仿宋" w:hAnsi="仿宋" w:eastAsia="仿宋" w:cs="仿宋"/>
                <w:color w:val="auto"/>
                <w:kern w:val="0"/>
                <w:sz w:val="24"/>
                <w:szCs w:val="24"/>
                <w:highlight w:val="none"/>
                <w:lang w:val="en-US" w:eastAsia="zh-CN" w:bidi="ar-SA"/>
              </w:rPr>
            </w:pPr>
          </w:p>
        </w:tc>
        <w:tc>
          <w:tcPr>
            <w:tcW w:w="4574"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widowControl/>
              <w:wordWrap/>
              <w:adjustRightInd/>
              <w:snapToGrid/>
              <w:spacing w:beforeAutospacing="0" w:afterAutospacing="0" w:line="400" w:lineRule="exact"/>
              <w:ind w:left="0" w:leftChars="0" w:right="0" w:firstLine="0" w:firstLineChars="0"/>
              <w:jc w:val="left"/>
              <w:textAlignment w:val="center"/>
              <w:outlineLvl w:val="9"/>
              <w:rPr>
                <w:rStyle w:val="946"/>
                <w:rFonts w:hint="eastAsia" w:ascii="仿宋" w:hAnsi="仿宋" w:eastAsia="仿宋" w:cs="仿宋"/>
                <w:color w:val="auto"/>
                <w:kern w:val="0"/>
                <w:sz w:val="24"/>
                <w:szCs w:val="24"/>
                <w:highlight w:val="none"/>
                <w:lang w:val="en-US" w:eastAsia="zh-CN" w:bidi="ar-SA"/>
              </w:rPr>
            </w:pPr>
            <w:r>
              <w:rPr>
                <w:rStyle w:val="946"/>
                <w:rFonts w:hint="eastAsia" w:ascii="仿宋" w:hAnsi="仿宋" w:eastAsia="仿宋" w:cs="仿宋"/>
                <w:color w:val="auto"/>
                <w:kern w:val="0"/>
                <w:sz w:val="24"/>
                <w:szCs w:val="24"/>
                <w:highlight w:val="none"/>
                <w:lang w:val="en-US" w:eastAsia="zh-CN" w:bidi="ar-SA"/>
              </w:rPr>
              <w:t>未定期开展人员拉练的或拉练记录不全的；</w:t>
            </w:r>
          </w:p>
        </w:tc>
        <w:tc>
          <w:tcPr>
            <w:tcW w:w="918"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widowControl/>
              <w:wordWrap/>
              <w:adjustRightInd/>
              <w:snapToGrid/>
              <w:spacing w:beforeAutospacing="0" w:afterAutospacing="0" w:line="400" w:lineRule="exact"/>
              <w:ind w:left="0" w:leftChars="0" w:right="0" w:firstLine="0" w:firstLineChars="0"/>
              <w:jc w:val="center"/>
              <w:textAlignment w:val="center"/>
              <w:outlineLvl w:val="9"/>
              <w:rPr>
                <w:rStyle w:val="946"/>
                <w:rFonts w:hint="eastAsia" w:ascii="仿宋" w:hAnsi="仿宋" w:eastAsia="仿宋" w:cs="仿宋"/>
                <w:color w:val="auto"/>
                <w:kern w:val="0"/>
                <w:sz w:val="24"/>
                <w:szCs w:val="24"/>
                <w:highlight w:val="none"/>
                <w:lang w:val="en-US" w:eastAsia="zh-CN" w:bidi="ar-SA"/>
              </w:rPr>
            </w:pPr>
            <w:r>
              <w:rPr>
                <w:rStyle w:val="946"/>
                <w:rFonts w:hint="eastAsia" w:ascii="仿宋" w:hAnsi="仿宋" w:eastAsia="仿宋" w:cs="仿宋"/>
                <w:color w:val="auto"/>
                <w:kern w:val="0"/>
                <w:sz w:val="24"/>
                <w:szCs w:val="24"/>
                <w:highlight w:val="none"/>
                <w:lang w:val="en-US" w:eastAsia="zh-CN" w:bidi="ar-SA"/>
              </w:rPr>
              <w:t>5</w:t>
            </w:r>
          </w:p>
        </w:tc>
        <w:tc>
          <w:tcPr>
            <w:tcW w:w="1758"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widowControl/>
              <w:wordWrap/>
              <w:adjustRightInd/>
              <w:snapToGrid/>
              <w:spacing w:beforeAutospacing="0" w:afterAutospacing="0" w:line="400" w:lineRule="exact"/>
              <w:ind w:left="0" w:leftChars="0" w:right="0" w:firstLine="0" w:firstLineChars="0"/>
              <w:jc w:val="both"/>
              <w:textAlignment w:val="top"/>
              <w:outlineLvl w:val="9"/>
              <w:rPr>
                <w:rStyle w:val="946"/>
                <w:rFonts w:hint="eastAsia" w:ascii="仿宋" w:hAnsi="仿宋" w:eastAsia="仿宋" w:cs="仿宋"/>
                <w:color w:val="auto"/>
                <w:kern w:val="0"/>
                <w:sz w:val="24"/>
                <w:szCs w:val="24"/>
                <w:highlight w:val="none"/>
                <w:lang w:val="en-US" w:eastAsia="zh-CN" w:bidi="ar-SA"/>
              </w:rPr>
            </w:pPr>
            <w:r>
              <w:rPr>
                <w:rStyle w:val="946"/>
                <w:rFonts w:hint="eastAsia" w:ascii="仿宋" w:hAnsi="仿宋" w:eastAsia="仿宋" w:cs="仿宋"/>
                <w:color w:val="auto"/>
                <w:kern w:val="0"/>
                <w:sz w:val="24"/>
                <w:szCs w:val="24"/>
                <w:highlight w:val="none"/>
                <w:lang w:val="en-US" w:eastAsia="zh-CN" w:bidi="ar-SA"/>
              </w:rPr>
              <w:t>违规一次扣2分，扣完为止</w:t>
            </w:r>
          </w:p>
        </w:tc>
        <w:tc>
          <w:tcPr>
            <w:tcW w:w="780"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widowControl w:val="0"/>
              <w:wordWrap/>
              <w:adjustRightInd/>
              <w:snapToGrid/>
              <w:spacing w:beforeAutospacing="0" w:afterAutospacing="0" w:line="400" w:lineRule="exact"/>
              <w:ind w:left="0" w:leftChars="0" w:right="0" w:firstLine="0" w:firstLineChars="0"/>
              <w:jc w:val="both"/>
              <w:outlineLvl w:val="9"/>
              <w:rPr>
                <w:rStyle w:val="946"/>
                <w:rFonts w:hint="eastAsia" w:ascii="仿宋" w:hAnsi="仿宋" w:eastAsia="仿宋" w:cs="仿宋"/>
                <w:color w:val="auto"/>
                <w:kern w:val="0"/>
                <w:sz w:val="24"/>
                <w:szCs w:val="24"/>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1" w:hRule="atLeast"/>
        </w:trPr>
        <w:tc>
          <w:tcPr>
            <w:tcW w:w="1035" w:type="dxa"/>
            <w:vMerge w:val="continue"/>
            <w:tcBorders>
              <w:left w:val="single" w:color="auto" w:sz="4" w:space="0"/>
              <w:right w:val="single" w:color="auto" w:sz="4" w:space="0"/>
            </w:tcBorders>
            <w:tcMar>
              <w:top w:w="15" w:type="dxa"/>
              <w:left w:w="15" w:type="dxa"/>
              <w:bottom w:w="15" w:type="dxa"/>
              <w:right w:w="15" w:type="dxa"/>
            </w:tcMar>
            <w:vAlign w:val="center"/>
          </w:tcPr>
          <w:p>
            <w:pPr>
              <w:wordWrap/>
              <w:adjustRightInd/>
              <w:snapToGrid/>
              <w:spacing w:line="400" w:lineRule="exact"/>
              <w:ind w:left="0" w:leftChars="0" w:right="0" w:firstLine="0" w:firstLineChars="0"/>
              <w:outlineLvl w:val="9"/>
              <w:rPr>
                <w:rStyle w:val="946"/>
                <w:rFonts w:hint="eastAsia" w:ascii="仿宋" w:hAnsi="仿宋" w:eastAsia="仿宋" w:cs="仿宋"/>
                <w:color w:val="auto"/>
                <w:kern w:val="0"/>
                <w:sz w:val="24"/>
                <w:szCs w:val="24"/>
                <w:highlight w:val="none"/>
                <w:lang w:val="en-US" w:eastAsia="zh-CN" w:bidi="ar-SA"/>
              </w:rPr>
            </w:pPr>
          </w:p>
        </w:tc>
        <w:tc>
          <w:tcPr>
            <w:tcW w:w="711" w:type="dxa"/>
            <w:vMerge w:val="continue"/>
            <w:tcBorders>
              <w:left w:val="single" w:color="auto" w:sz="4" w:space="0"/>
              <w:right w:val="single" w:color="auto" w:sz="4" w:space="0"/>
            </w:tcBorders>
            <w:tcMar>
              <w:top w:w="15" w:type="dxa"/>
              <w:left w:w="15" w:type="dxa"/>
              <w:bottom w:w="15" w:type="dxa"/>
              <w:right w:w="15" w:type="dxa"/>
            </w:tcMar>
            <w:vAlign w:val="center"/>
          </w:tcPr>
          <w:p>
            <w:pPr>
              <w:wordWrap/>
              <w:adjustRightInd/>
              <w:snapToGrid/>
              <w:spacing w:line="400" w:lineRule="exact"/>
              <w:ind w:left="0" w:leftChars="0" w:right="0" w:firstLine="0" w:firstLineChars="0"/>
              <w:outlineLvl w:val="9"/>
              <w:rPr>
                <w:rStyle w:val="946"/>
                <w:rFonts w:hint="eastAsia" w:ascii="仿宋" w:hAnsi="仿宋" w:eastAsia="仿宋" w:cs="仿宋"/>
                <w:color w:val="auto"/>
                <w:kern w:val="0"/>
                <w:sz w:val="24"/>
                <w:szCs w:val="24"/>
                <w:highlight w:val="none"/>
                <w:lang w:val="en-US" w:eastAsia="zh-CN" w:bidi="ar-SA"/>
              </w:rPr>
            </w:pPr>
          </w:p>
        </w:tc>
        <w:tc>
          <w:tcPr>
            <w:tcW w:w="4574"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widowControl/>
              <w:wordWrap/>
              <w:adjustRightInd/>
              <w:snapToGrid/>
              <w:spacing w:beforeAutospacing="0" w:afterAutospacing="0" w:line="400" w:lineRule="exact"/>
              <w:ind w:left="0" w:leftChars="0" w:right="0" w:firstLine="0" w:firstLineChars="0"/>
              <w:jc w:val="left"/>
              <w:textAlignment w:val="center"/>
              <w:outlineLvl w:val="9"/>
              <w:rPr>
                <w:rStyle w:val="946"/>
                <w:rFonts w:hint="eastAsia" w:ascii="仿宋" w:hAnsi="仿宋" w:eastAsia="仿宋" w:cs="仿宋"/>
                <w:color w:val="auto"/>
                <w:kern w:val="0"/>
                <w:sz w:val="24"/>
                <w:szCs w:val="24"/>
                <w:highlight w:val="none"/>
                <w:lang w:val="en-US" w:eastAsia="zh-CN" w:bidi="ar-SA"/>
              </w:rPr>
            </w:pPr>
            <w:r>
              <w:rPr>
                <w:rStyle w:val="946"/>
                <w:rFonts w:hint="eastAsia" w:ascii="仿宋" w:hAnsi="仿宋" w:eastAsia="仿宋" w:cs="仿宋"/>
                <w:color w:val="auto"/>
                <w:kern w:val="0"/>
                <w:sz w:val="24"/>
                <w:szCs w:val="24"/>
                <w:highlight w:val="none"/>
                <w:lang w:val="en-US" w:eastAsia="zh-CN" w:bidi="ar-SA"/>
              </w:rPr>
              <w:t>抽查执勤人员装备操作及业务技能不熟练的;</w:t>
            </w:r>
          </w:p>
        </w:tc>
        <w:tc>
          <w:tcPr>
            <w:tcW w:w="918"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widowControl/>
              <w:wordWrap/>
              <w:adjustRightInd/>
              <w:snapToGrid/>
              <w:spacing w:beforeAutospacing="0" w:afterAutospacing="0" w:line="400" w:lineRule="exact"/>
              <w:ind w:left="0" w:leftChars="0" w:right="0" w:firstLine="0" w:firstLineChars="0"/>
              <w:jc w:val="center"/>
              <w:textAlignment w:val="center"/>
              <w:outlineLvl w:val="9"/>
              <w:rPr>
                <w:rStyle w:val="946"/>
                <w:rFonts w:hint="eastAsia" w:ascii="仿宋" w:hAnsi="仿宋" w:eastAsia="仿宋" w:cs="仿宋"/>
                <w:color w:val="auto"/>
                <w:kern w:val="0"/>
                <w:sz w:val="24"/>
                <w:szCs w:val="24"/>
                <w:highlight w:val="none"/>
                <w:lang w:val="en-US" w:eastAsia="zh-CN" w:bidi="ar-SA"/>
              </w:rPr>
            </w:pPr>
            <w:r>
              <w:rPr>
                <w:rStyle w:val="946"/>
                <w:rFonts w:hint="eastAsia" w:ascii="仿宋" w:hAnsi="仿宋" w:eastAsia="仿宋" w:cs="仿宋"/>
                <w:color w:val="auto"/>
                <w:kern w:val="0"/>
                <w:sz w:val="24"/>
                <w:szCs w:val="24"/>
                <w:highlight w:val="none"/>
                <w:lang w:val="en-US" w:eastAsia="zh-CN" w:bidi="ar-SA"/>
              </w:rPr>
              <w:t>5</w:t>
            </w:r>
          </w:p>
        </w:tc>
        <w:tc>
          <w:tcPr>
            <w:tcW w:w="1758"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top"/>
          </w:tcPr>
          <w:p>
            <w:pPr>
              <w:widowControl/>
              <w:wordWrap/>
              <w:adjustRightInd/>
              <w:snapToGrid/>
              <w:spacing w:beforeAutospacing="0" w:afterAutospacing="0" w:line="400" w:lineRule="exact"/>
              <w:ind w:left="0" w:leftChars="0" w:right="0" w:firstLine="0" w:firstLineChars="0"/>
              <w:jc w:val="both"/>
              <w:textAlignment w:val="top"/>
              <w:outlineLvl w:val="9"/>
              <w:rPr>
                <w:rStyle w:val="946"/>
                <w:rFonts w:hint="eastAsia" w:ascii="仿宋" w:hAnsi="仿宋" w:eastAsia="仿宋" w:cs="仿宋"/>
                <w:color w:val="auto"/>
                <w:kern w:val="0"/>
                <w:sz w:val="24"/>
                <w:szCs w:val="24"/>
                <w:highlight w:val="none"/>
                <w:lang w:val="en-US" w:eastAsia="zh-CN" w:bidi="ar-SA"/>
              </w:rPr>
            </w:pPr>
            <w:r>
              <w:rPr>
                <w:rStyle w:val="946"/>
                <w:rFonts w:hint="eastAsia" w:ascii="仿宋" w:hAnsi="仿宋" w:eastAsia="仿宋" w:cs="仿宋"/>
                <w:color w:val="auto"/>
                <w:kern w:val="0"/>
                <w:sz w:val="24"/>
                <w:szCs w:val="24"/>
                <w:highlight w:val="none"/>
                <w:lang w:val="en-US" w:eastAsia="zh-CN" w:bidi="ar-SA"/>
              </w:rPr>
              <w:t>违规一次扣1分，扣完为止</w:t>
            </w:r>
          </w:p>
        </w:tc>
        <w:tc>
          <w:tcPr>
            <w:tcW w:w="780"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widowControl w:val="0"/>
              <w:wordWrap/>
              <w:adjustRightInd/>
              <w:snapToGrid/>
              <w:spacing w:beforeAutospacing="0" w:afterAutospacing="0" w:line="400" w:lineRule="exact"/>
              <w:ind w:left="0" w:leftChars="0" w:right="0" w:firstLine="0" w:firstLineChars="0"/>
              <w:jc w:val="both"/>
              <w:outlineLvl w:val="9"/>
              <w:rPr>
                <w:rStyle w:val="946"/>
                <w:rFonts w:hint="eastAsia" w:ascii="仿宋" w:hAnsi="仿宋" w:eastAsia="仿宋" w:cs="仿宋"/>
                <w:color w:val="auto"/>
                <w:kern w:val="0"/>
                <w:sz w:val="24"/>
                <w:szCs w:val="24"/>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5" w:hRule="atLeast"/>
        </w:trPr>
        <w:tc>
          <w:tcPr>
            <w:tcW w:w="1035" w:type="dxa"/>
            <w:vMerge w:val="continue"/>
            <w:tcBorders>
              <w:left w:val="single" w:color="auto" w:sz="4" w:space="0"/>
              <w:right w:val="single" w:color="auto" w:sz="4" w:space="0"/>
            </w:tcBorders>
            <w:tcMar>
              <w:top w:w="15" w:type="dxa"/>
              <w:left w:w="15" w:type="dxa"/>
              <w:bottom w:w="15" w:type="dxa"/>
              <w:right w:w="15" w:type="dxa"/>
            </w:tcMar>
            <w:vAlign w:val="center"/>
          </w:tcPr>
          <w:p>
            <w:pPr>
              <w:wordWrap/>
              <w:adjustRightInd/>
              <w:snapToGrid/>
              <w:spacing w:line="400" w:lineRule="exact"/>
              <w:ind w:left="0" w:leftChars="0" w:right="0" w:firstLine="0" w:firstLineChars="0"/>
              <w:outlineLvl w:val="9"/>
              <w:rPr>
                <w:rStyle w:val="946"/>
                <w:rFonts w:hint="eastAsia" w:ascii="仿宋" w:hAnsi="仿宋" w:eastAsia="仿宋" w:cs="仿宋"/>
                <w:color w:val="auto"/>
                <w:kern w:val="0"/>
                <w:sz w:val="24"/>
                <w:szCs w:val="24"/>
                <w:highlight w:val="none"/>
                <w:lang w:val="en-US" w:eastAsia="zh-CN" w:bidi="ar-SA"/>
              </w:rPr>
            </w:pPr>
          </w:p>
        </w:tc>
        <w:tc>
          <w:tcPr>
            <w:tcW w:w="711" w:type="dxa"/>
            <w:vMerge w:val="continue"/>
            <w:tcBorders>
              <w:left w:val="single" w:color="auto" w:sz="4" w:space="0"/>
              <w:right w:val="single" w:color="auto" w:sz="4" w:space="0"/>
            </w:tcBorders>
            <w:tcMar>
              <w:top w:w="15" w:type="dxa"/>
              <w:left w:w="15" w:type="dxa"/>
              <w:bottom w:w="15" w:type="dxa"/>
              <w:right w:w="15" w:type="dxa"/>
            </w:tcMar>
            <w:vAlign w:val="center"/>
          </w:tcPr>
          <w:p>
            <w:pPr>
              <w:wordWrap/>
              <w:adjustRightInd/>
              <w:snapToGrid/>
              <w:spacing w:line="400" w:lineRule="exact"/>
              <w:ind w:left="0" w:leftChars="0" w:right="0" w:firstLine="0" w:firstLineChars="0"/>
              <w:outlineLvl w:val="9"/>
              <w:rPr>
                <w:rStyle w:val="946"/>
                <w:rFonts w:hint="eastAsia" w:ascii="仿宋" w:hAnsi="仿宋" w:eastAsia="仿宋" w:cs="仿宋"/>
                <w:color w:val="auto"/>
                <w:kern w:val="0"/>
                <w:sz w:val="24"/>
                <w:szCs w:val="24"/>
                <w:highlight w:val="none"/>
                <w:lang w:val="en-US" w:eastAsia="zh-CN" w:bidi="ar-SA"/>
              </w:rPr>
            </w:pPr>
          </w:p>
        </w:tc>
        <w:tc>
          <w:tcPr>
            <w:tcW w:w="4574"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widowControl/>
              <w:wordWrap/>
              <w:adjustRightInd/>
              <w:snapToGrid/>
              <w:spacing w:beforeAutospacing="0" w:afterAutospacing="0" w:line="400" w:lineRule="exact"/>
              <w:ind w:left="0" w:leftChars="0" w:right="0" w:firstLine="0" w:firstLineChars="0"/>
              <w:jc w:val="left"/>
              <w:textAlignment w:val="center"/>
              <w:outlineLvl w:val="9"/>
              <w:rPr>
                <w:rStyle w:val="946"/>
                <w:rFonts w:hint="eastAsia" w:ascii="仿宋" w:hAnsi="仿宋" w:eastAsia="仿宋" w:cs="仿宋"/>
                <w:color w:val="auto"/>
                <w:kern w:val="0"/>
                <w:sz w:val="24"/>
                <w:szCs w:val="24"/>
                <w:highlight w:val="none"/>
                <w:lang w:val="en-US" w:eastAsia="zh-CN" w:bidi="ar-SA"/>
              </w:rPr>
            </w:pPr>
            <w:r>
              <w:rPr>
                <w:rStyle w:val="946"/>
                <w:rFonts w:hint="eastAsia" w:ascii="仿宋" w:hAnsi="仿宋" w:eastAsia="仿宋" w:cs="仿宋"/>
                <w:color w:val="auto"/>
                <w:kern w:val="0"/>
                <w:sz w:val="24"/>
                <w:szCs w:val="24"/>
                <w:highlight w:val="none"/>
                <w:lang w:val="en-US" w:eastAsia="zh-CN" w:bidi="ar-SA"/>
              </w:rPr>
              <w:t>未定期对执勤装备及车辆进行维护保养的；或者损坏的装备不及时报修或更换的；</w:t>
            </w:r>
          </w:p>
        </w:tc>
        <w:tc>
          <w:tcPr>
            <w:tcW w:w="918"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widowControl/>
              <w:wordWrap/>
              <w:adjustRightInd/>
              <w:snapToGrid/>
              <w:spacing w:beforeAutospacing="0" w:afterAutospacing="0" w:line="400" w:lineRule="exact"/>
              <w:ind w:left="0" w:leftChars="0" w:right="0" w:firstLine="0" w:firstLineChars="0"/>
              <w:jc w:val="center"/>
              <w:textAlignment w:val="center"/>
              <w:outlineLvl w:val="9"/>
              <w:rPr>
                <w:rStyle w:val="946"/>
                <w:rFonts w:hint="eastAsia" w:ascii="仿宋" w:hAnsi="仿宋" w:eastAsia="仿宋" w:cs="仿宋"/>
                <w:color w:val="auto"/>
                <w:kern w:val="0"/>
                <w:sz w:val="24"/>
                <w:szCs w:val="24"/>
                <w:highlight w:val="none"/>
                <w:lang w:val="en-US" w:eastAsia="zh-CN" w:bidi="ar-SA"/>
              </w:rPr>
            </w:pPr>
            <w:r>
              <w:rPr>
                <w:rStyle w:val="946"/>
                <w:rFonts w:hint="eastAsia" w:ascii="仿宋" w:hAnsi="仿宋" w:eastAsia="仿宋" w:cs="仿宋"/>
                <w:color w:val="auto"/>
                <w:kern w:val="0"/>
                <w:sz w:val="24"/>
                <w:szCs w:val="24"/>
                <w:highlight w:val="none"/>
                <w:lang w:val="en-US" w:eastAsia="zh-CN" w:bidi="ar-SA"/>
              </w:rPr>
              <w:t>5</w:t>
            </w:r>
          </w:p>
        </w:tc>
        <w:tc>
          <w:tcPr>
            <w:tcW w:w="1758"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top"/>
          </w:tcPr>
          <w:p>
            <w:pPr>
              <w:widowControl/>
              <w:wordWrap/>
              <w:adjustRightInd/>
              <w:snapToGrid/>
              <w:spacing w:beforeAutospacing="0" w:afterAutospacing="0" w:line="400" w:lineRule="exact"/>
              <w:ind w:left="0" w:leftChars="0" w:right="0" w:firstLine="0" w:firstLineChars="0"/>
              <w:jc w:val="both"/>
              <w:textAlignment w:val="top"/>
              <w:outlineLvl w:val="9"/>
              <w:rPr>
                <w:rStyle w:val="946"/>
                <w:rFonts w:hint="eastAsia" w:ascii="仿宋" w:hAnsi="仿宋" w:eastAsia="仿宋" w:cs="仿宋"/>
                <w:color w:val="auto"/>
                <w:kern w:val="0"/>
                <w:sz w:val="24"/>
                <w:szCs w:val="24"/>
                <w:highlight w:val="none"/>
                <w:lang w:val="en-US" w:eastAsia="zh-CN" w:bidi="ar-SA"/>
              </w:rPr>
            </w:pPr>
            <w:r>
              <w:rPr>
                <w:rStyle w:val="946"/>
                <w:rFonts w:hint="eastAsia" w:ascii="仿宋" w:hAnsi="仿宋" w:eastAsia="仿宋" w:cs="仿宋"/>
                <w:color w:val="auto"/>
                <w:kern w:val="0"/>
                <w:sz w:val="24"/>
                <w:szCs w:val="24"/>
                <w:highlight w:val="none"/>
                <w:lang w:val="en-US" w:eastAsia="zh-CN" w:bidi="ar-SA"/>
              </w:rPr>
              <w:t>违规一次扣2分，扣完为止</w:t>
            </w:r>
          </w:p>
        </w:tc>
        <w:tc>
          <w:tcPr>
            <w:tcW w:w="780"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widowControl w:val="0"/>
              <w:wordWrap/>
              <w:adjustRightInd/>
              <w:snapToGrid/>
              <w:spacing w:beforeAutospacing="0" w:afterAutospacing="0" w:line="400" w:lineRule="exact"/>
              <w:ind w:left="0" w:leftChars="0" w:right="0" w:firstLine="0" w:firstLineChars="0"/>
              <w:jc w:val="both"/>
              <w:outlineLvl w:val="9"/>
              <w:rPr>
                <w:rStyle w:val="946"/>
                <w:rFonts w:hint="eastAsia" w:ascii="仿宋" w:hAnsi="仿宋" w:eastAsia="仿宋" w:cs="仿宋"/>
                <w:color w:val="auto"/>
                <w:kern w:val="0"/>
                <w:sz w:val="24"/>
                <w:szCs w:val="24"/>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5" w:hRule="atLeast"/>
        </w:trPr>
        <w:tc>
          <w:tcPr>
            <w:tcW w:w="1035" w:type="dxa"/>
            <w:vMerge w:val="continue"/>
            <w:tcBorders>
              <w:left w:val="single" w:color="auto" w:sz="4" w:space="0"/>
              <w:bottom w:val="single" w:color="auto" w:sz="4" w:space="0"/>
              <w:right w:val="single" w:color="auto" w:sz="4" w:space="0"/>
            </w:tcBorders>
            <w:tcMar>
              <w:top w:w="15" w:type="dxa"/>
              <w:left w:w="15" w:type="dxa"/>
              <w:bottom w:w="15" w:type="dxa"/>
              <w:right w:w="15" w:type="dxa"/>
            </w:tcMar>
            <w:vAlign w:val="center"/>
          </w:tcPr>
          <w:p>
            <w:pPr>
              <w:wordWrap/>
              <w:adjustRightInd/>
              <w:snapToGrid/>
              <w:spacing w:line="400" w:lineRule="exact"/>
              <w:ind w:left="0" w:leftChars="0" w:right="0" w:firstLine="0" w:firstLineChars="0"/>
              <w:outlineLvl w:val="9"/>
              <w:rPr>
                <w:rStyle w:val="946"/>
                <w:rFonts w:hint="eastAsia" w:ascii="仿宋" w:hAnsi="仿宋" w:eastAsia="仿宋" w:cs="仿宋"/>
                <w:color w:val="auto"/>
                <w:kern w:val="0"/>
                <w:sz w:val="24"/>
                <w:szCs w:val="24"/>
                <w:highlight w:val="none"/>
                <w:lang w:val="en-US" w:eastAsia="zh-CN" w:bidi="ar-SA"/>
              </w:rPr>
            </w:pPr>
          </w:p>
        </w:tc>
        <w:tc>
          <w:tcPr>
            <w:tcW w:w="711" w:type="dxa"/>
            <w:vMerge w:val="continue"/>
            <w:tcBorders>
              <w:left w:val="single" w:color="auto" w:sz="4" w:space="0"/>
              <w:bottom w:val="single" w:color="auto" w:sz="4" w:space="0"/>
              <w:right w:val="single" w:color="auto" w:sz="4" w:space="0"/>
            </w:tcBorders>
            <w:tcMar>
              <w:top w:w="15" w:type="dxa"/>
              <w:left w:w="15" w:type="dxa"/>
              <w:bottom w:w="15" w:type="dxa"/>
              <w:right w:w="15" w:type="dxa"/>
            </w:tcMar>
            <w:vAlign w:val="center"/>
          </w:tcPr>
          <w:p>
            <w:pPr>
              <w:wordWrap/>
              <w:adjustRightInd/>
              <w:snapToGrid/>
              <w:spacing w:line="400" w:lineRule="exact"/>
              <w:ind w:left="0" w:leftChars="0" w:right="0" w:firstLine="0" w:firstLineChars="0"/>
              <w:outlineLvl w:val="9"/>
              <w:rPr>
                <w:rStyle w:val="946"/>
                <w:rFonts w:hint="eastAsia" w:ascii="仿宋" w:hAnsi="仿宋" w:eastAsia="仿宋" w:cs="仿宋"/>
                <w:color w:val="auto"/>
                <w:kern w:val="0"/>
                <w:sz w:val="24"/>
                <w:szCs w:val="24"/>
                <w:highlight w:val="none"/>
                <w:lang w:val="en-US" w:eastAsia="zh-CN" w:bidi="ar-SA"/>
              </w:rPr>
            </w:pPr>
          </w:p>
        </w:tc>
        <w:tc>
          <w:tcPr>
            <w:tcW w:w="4574"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widowControl/>
              <w:wordWrap/>
              <w:adjustRightInd/>
              <w:snapToGrid/>
              <w:spacing w:beforeAutospacing="0" w:afterAutospacing="0" w:line="400" w:lineRule="exact"/>
              <w:ind w:left="0" w:leftChars="0" w:right="0" w:firstLine="0" w:firstLineChars="0"/>
              <w:jc w:val="left"/>
              <w:textAlignment w:val="center"/>
              <w:outlineLvl w:val="9"/>
              <w:rPr>
                <w:rStyle w:val="946"/>
                <w:rFonts w:hint="eastAsia" w:ascii="仿宋" w:hAnsi="仿宋" w:eastAsia="仿宋" w:cs="仿宋"/>
                <w:color w:val="auto"/>
                <w:kern w:val="0"/>
                <w:sz w:val="24"/>
                <w:szCs w:val="24"/>
                <w:highlight w:val="none"/>
                <w:lang w:val="en-US" w:eastAsia="zh-CN" w:bidi="ar-SA"/>
              </w:rPr>
            </w:pPr>
            <w:r>
              <w:rPr>
                <w:rStyle w:val="946"/>
                <w:rFonts w:hint="eastAsia" w:ascii="仿宋" w:hAnsi="仿宋" w:eastAsia="仿宋" w:cs="仿宋"/>
                <w:color w:val="auto"/>
                <w:kern w:val="0"/>
                <w:sz w:val="24"/>
                <w:szCs w:val="24"/>
                <w:highlight w:val="none"/>
                <w:lang w:val="en-US" w:eastAsia="zh-CN" w:bidi="ar-SA"/>
              </w:rPr>
              <w:t>损坏或丢失执勤装备(除照价赔偿外另作扣分处理);</w:t>
            </w:r>
          </w:p>
        </w:tc>
        <w:tc>
          <w:tcPr>
            <w:tcW w:w="918"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widowControl/>
              <w:wordWrap/>
              <w:adjustRightInd/>
              <w:snapToGrid/>
              <w:spacing w:beforeAutospacing="0" w:afterAutospacing="0" w:line="400" w:lineRule="exact"/>
              <w:ind w:left="0" w:leftChars="0" w:right="0" w:firstLine="0" w:firstLineChars="0"/>
              <w:jc w:val="center"/>
              <w:textAlignment w:val="center"/>
              <w:outlineLvl w:val="9"/>
              <w:rPr>
                <w:rStyle w:val="946"/>
                <w:rFonts w:hint="eastAsia" w:ascii="仿宋" w:hAnsi="仿宋" w:eastAsia="仿宋" w:cs="仿宋"/>
                <w:color w:val="auto"/>
                <w:kern w:val="0"/>
                <w:sz w:val="24"/>
                <w:szCs w:val="24"/>
                <w:highlight w:val="none"/>
                <w:lang w:val="en-US" w:eastAsia="zh-CN" w:bidi="ar-SA"/>
              </w:rPr>
            </w:pPr>
            <w:r>
              <w:rPr>
                <w:rStyle w:val="946"/>
                <w:rFonts w:hint="eastAsia" w:ascii="仿宋" w:hAnsi="仿宋" w:eastAsia="仿宋" w:cs="仿宋"/>
                <w:color w:val="auto"/>
                <w:kern w:val="0"/>
                <w:sz w:val="24"/>
                <w:szCs w:val="24"/>
                <w:highlight w:val="none"/>
                <w:lang w:val="en-US" w:eastAsia="zh-CN" w:bidi="ar-SA"/>
              </w:rPr>
              <w:t>5</w:t>
            </w:r>
          </w:p>
        </w:tc>
        <w:tc>
          <w:tcPr>
            <w:tcW w:w="1758"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top"/>
          </w:tcPr>
          <w:p>
            <w:pPr>
              <w:widowControl/>
              <w:wordWrap/>
              <w:adjustRightInd/>
              <w:snapToGrid/>
              <w:spacing w:beforeAutospacing="0" w:afterAutospacing="0" w:line="400" w:lineRule="exact"/>
              <w:ind w:left="0" w:leftChars="0" w:right="0" w:firstLine="0" w:firstLineChars="0"/>
              <w:jc w:val="both"/>
              <w:textAlignment w:val="top"/>
              <w:outlineLvl w:val="9"/>
              <w:rPr>
                <w:rStyle w:val="946"/>
                <w:rFonts w:hint="eastAsia" w:ascii="仿宋" w:hAnsi="仿宋" w:eastAsia="仿宋" w:cs="仿宋"/>
                <w:color w:val="auto"/>
                <w:kern w:val="0"/>
                <w:sz w:val="24"/>
                <w:szCs w:val="24"/>
                <w:highlight w:val="none"/>
                <w:lang w:val="en-US" w:eastAsia="zh-CN" w:bidi="ar-SA"/>
              </w:rPr>
            </w:pPr>
            <w:r>
              <w:rPr>
                <w:rStyle w:val="946"/>
                <w:rFonts w:hint="eastAsia" w:ascii="仿宋" w:hAnsi="仿宋" w:eastAsia="仿宋" w:cs="仿宋"/>
                <w:color w:val="auto"/>
                <w:kern w:val="0"/>
                <w:sz w:val="24"/>
                <w:szCs w:val="24"/>
                <w:highlight w:val="none"/>
                <w:lang w:val="en-US" w:eastAsia="zh-CN" w:bidi="ar-SA"/>
              </w:rPr>
              <w:t>违规一次扣2分，扣完为止</w:t>
            </w:r>
          </w:p>
        </w:tc>
        <w:tc>
          <w:tcPr>
            <w:tcW w:w="780"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widowControl w:val="0"/>
              <w:wordWrap/>
              <w:adjustRightInd/>
              <w:snapToGrid/>
              <w:spacing w:beforeAutospacing="0" w:afterAutospacing="0" w:line="400" w:lineRule="exact"/>
              <w:ind w:left="0" w:leftChars="0" w:right="0" w:firstLine="0" w:firstLineChars="0"/>
              <w:jc w:val="both"/>
              <w:outlineLvl w:val="9"/>
              <w:rPr>
                <w:rStyle w:val="946"/>
                <w:rFonts w:hint="eastAsia" w:ascii="仿宋" w:hAnsi="仿宋" w:eastAsia="仿宋" w:cs="仿宋"/>
                <w:color w:val="auto"/>
                <w:kern w:val="0"/>
                <w:sz w:val="24"/>
                <w:szCs w:val="24"/>
                <w:highlight w:val="none"/>
                <w:lang w:val="en-US" w:eastAsia="zh-CN" w:bidi="ar-SA"/>
              </w:rPr>
            </w:pPr>
          </w:p>
        </w:tc>
      </w:tr>
    </w:tbl>
    <w:p>
      <w:pPr>
        <w:widowControl w:val="0"/>
        <w:tabs>
          <w:tab w:val="left" w:pos="1095"/>
        </w:tabs>
        <w:wordWrap/>
        <w:adjustRightInd/>
        <w:snapToGrid/>
        <w:spacing w:beforeAutospacing="0" w:afterAutospacing="0" w:line="570" w:lineRule="exact"/>
        <w:ind w:left="0" w:leftChars="0" w:right="0"/>
        <w:jc w:val="both"/>
        <w:textAlignment w:val="auto"/>
        <w:outlineLvl w:val="9"/>
        <w:rPr>
          <w:rStyle w:val="946"/>
          <w:rFonts w:hint="eastAsia" w:ascii="仿宋" w:hAnsi="仿宋" w:eastAsia="仿宋" w:cs="仿宋"/>
          <w:color w:val="auto"/>
          <w:kern w:val="0"/>
          <w:sz w:val="24"/>
          <w:szCs w:val="24"/>
          <w:highlight w:val="none"/>
          <w:lang w:val="en-US" w:eastAsia="zh-CN" w:bidi="ar-SA"/>
        </w:rPr>
      </w:pPr>
      <w:r>
        <w:rPr>
          <w:rStyle w:val="946"/>
          <w:rFonts w:hint="eastAsia" w:ascii="仿宋" w:hAnsi="仿宋" w:eastAsia="仿宋" w:cs="仿宋"/>
          <w:color w:val="auto"/>
          <w:kern w:val="0"/>
          <w:sz w:val="24"/>
          <w:szCs w:val="24"/>
          <w:highlight w:val="none"/>
          <w:lang w:val="en-US" w:eastAsia="zh-CN" w:bidi="ar-SA"/>
        </w:rPr>
        <w:t xml:space="preserve">    备注：1、</w:t>
      </w:r>
      <w:r>
        <w:rPr>
          <w:rStyle w:val="946"/>
          <w:rFonts w:hint="eastAsia" w:ascii="仿宋" w:hAnsi="仿宋" w:eastAsia="仿宋" w:cs="仿宋"/>
          <w:color w:val="auto"/>
          <w:kern w:val="0"/>
          <w:sz w:val="24"/>
          <w:szCs w:val="24"/>
          <w:highlight w:val="none"/>
          <w:lang w:val="zh-CN" w:eastAsia="zh-CN" w:bidi="ar-SA"/>
        </w:rPr>
        <w:t>由于群众举报、新闻媒体曝光而影响街道整体形象的,经核实是由第三方引起的将予以处罚（</w:t>
      </w:r>
      <w:r>
        <w:rPr>
          <w:rStyle w:val="946"/>
          <w:rFonts w:hint="eastAsia" w:ascii="仿宋" w:hAnsi="仿宋" w:eastAsia="仿宋" w:cs="仿宋"/>
          <w:color w:val="auto"/>
          <w:kern w:val="0"/>
          <w:sz w:val="24"/>
          <w:szCs w:val="24"/>
          <w:highlight w:val="none"/>
          <w:lang w:val="en-US" w:eastAsia="zh-CN" w:bidi="ar-SA"/>
        </w:rPr>
        <w:t>处罚金额在合同中约定</w:t>
      </w:r>
      <w:r>
        <w:rPr>
          <w:rStyle w:val="946"/>
          <w:rFonts w:hint="eastAsia" w:ascii="仿宋" w:hAnsi="仿宋" w:eastAsia="仿宋" w:cs="仿宋"/>
          <w:color w:val="auto"/>
          <w:kern w:val="0"/>
          <w:sz w:val="24"/>
          <w:szCs w:val="24"/>
          <w:highlight w:val="none"/>
          <w:lang w:val="zh-CN" w:eastAsia="zh-CN" w:bidi="ar-SA"/>
        </w:rPr>
        <w:t>）</w:t>
      </w:r>
      <w:r>
        <w:rPr>
          <w:rStyle w:val="946"/>
          <w:rFonts w:hint="eastAsia" w:ascii="仿宋" w:hAnsi="仿宋" w:eastAsia="仿宋" w:cs="仿宋"/>
          <w:color w:val="auto"/>
          <w:kern w:val="0"/>
          <w:sz w:val="24"/>
          <w:szCs w:val="24"/>
          <w:highlight w:val="none"/>
          <w:lang w:val="en-US" w:eastAsia="zh-CN" w:bidi="ar-SA"/>
        </w:rPr>
        <w:t>。</w:t>
      </w:r>
    </w:p>
    <w:p>
      <w:pPr>
        <w:widowControl w:val="0"/>
        <w:wordWrap/>
        <w:adjustRightInd/>
        <w:snapToGrid/>
        <w:spacing w:beforeAutospacing="0" w:afterAutospacing="0" w:line="570" w:lineRule="exact"/>
        <w:ind w:left="0" w:leftChars="0" w:right="0" w:firstLine="480" w:firstLineChars="200"/>
        <w:jc w:val="both"/>
        <w:textAlignment w:val="auto"/>
        <w:outlineLvl w:val="9"/>
        <w:rPr>
          <w:rStyle w:val="946"/>
          <w:rFonts w:hint="eastAsia" w:ascii="仿宋" w:hAnsi="仿宋" w:eastAsia="仿宋" w:cs="仿宋"/>
          <w:color w:val="auto"/>
          <w:kern w:val="0"/>
          <w:sz w:val="24"/>
          <w:szCs w:val="24"/>
          <w:highlight w:val="none"/>
          <w:lang w:val="en-US" w:eastAsia="zh-CN" w:bidi="ar-SA"/>
        </w:rPr>
      </w:pPr>
      <w:r>
        <w:rPr>
          <w:rStyle w:val="946"/>
          <w:rFonts w:hint="eastAsia" w:ascii="仿宋" w:hAnsi="仿宋" w:eastAsia="仿宋" w:cs="仿宋"/>
          <w:color w:val="auto"/>
          <w:kern w:val="0"/>
          <w:sz w:val="24"/>
          <w:szCs w:val="24"/>
          <w:highlight w:val="none"/>
          <w:lang w:val="en-US" w:eastAsia="zh-CN" w:bidi="ar-SA"/>
        </w:rPr>
        <w:t>2、由上级部门进行的检查中发现的问题及工作不到位的加倍扣分。</w:t>
      </w:r>
    </w:p>
    <w:p>
      <w:pPr>
        <w:widowControl w:val="0"/>
        <w:wordWrap/>
        <w:adjustRightInd/>
        <w:snapToGrid/>
        <w:spacing w:beforeAutospacing="0" w:afterAutospacing="0" w:line="570" w:lineRule="exact"/>
        <w:ind w:left="0" w:leftChars="0" w:right="0" w:firstLine="480" w:firstLineChars="200"/>
        <w:jc w:val="both"/>
        <w:textAlignment w:val="auto"/>
        <w:outlineLvl w:val="9"/>
        <w:rPr>
          <w:rFonts w:hint="default"/>
          <w:color w:val="auto"/>
          <w:highlight w:val="none"/>
          <w:lang w:val="en-US"/>
        </w:rPr>
      </w:pPr>
      <w:r>
        <w:rPr>
          <w:rStyle w:val="946"/>
          <w:rFonts w:hint="eastAsia" w:ascii="仿宋" w:hAnsi="仿宋" w:eastAsia="仿宋" w:cs="仿宋"/>
          <w:color w:val="auto"/>
          <w:kern w:val="0"/>
          <w:sz w:val="24"/>
          <w:szCs w:val="24"/>
          <w:highlight w:val="none"/>
          <w:lang w:val="en-US" w:eastAsia="zh-CN" w:bidi="ar-SA"/>
        </w:rPr>
        <w:t>3、街道对服务单位每月进行考核，考核得分在90（含）分以上的为合格，考核得分在90分以下为不合格，月考核连续2次低于90予以解除合同，全年累计3次扣分低于90分予以解除合同。</w:t>
      </w:r>
    </w:p>
    <w:p>
      <w:pPr>
        <w:rPr>
          <w:rFonts w:hint="eastAsia" w:ascii="仿宋" w:hAnsi="仿宋" w:eastAsia="仿宋" w:cs="仿宋"/>
          <w:snapToGrid w:val="0"/>
          <w:color w:val="auto"/>
          <w:kern w:val="0"/>
          <w:sz w:val="24"/>
          <w:highlight w:val="none"/>
        </w:rPr>
      </w:pPr>
    </w:p>
    <w:p>
      <w:pPr>
        <w:spacing w:line="480" w:lineRule="auto"/>
        <w:jc w:val="center"/>
        <w:outlineLvl w:val="0"/>
        <w:rPr>
          <w:rFonts w:hint="eastAsia" w:ascii="仿宋" w:hAnsi="仿宋" w:eastAsia="仿宋" w:cs="仿宋"/>
          <w:b/>
          <w:color w:val="auto"/>
          <w:sz w:val="36"/>
          <w:szCs w:val="36"/>
          <w:highlight w:val="none"/>
        </w:rPr>
      </w:pPr>
    </w:p>
    <w:p>
      <w:pPr>
        <w:spacing w:line="480" w:lineRule="auto"/>
        <w:jc w:val="center"/>
        <w:outlineLvl w:val="0"/>
        <w:rPr>
          <w:rFonts w:hint="eastAsia" w:ascii="仿宋" w:hAnsi="仿宋" w:eastAsia="仿宋" w:cs="仿宋"/>
          <w:b/>
          <w:color w:val="auto"/>
          <w:sz w:val="36"/>
          <w:szCs w:val="36"/>
          <w:highlight w:val="none"/>
        </w:rPr>
      </w:pPr>
    </w:p>
    <w:p>
      <w:pPr>
        <w:spacing w:line="480" w:lineRule="auto"/>
        <w:jc w:val="center"/>
        <w:outlineLvl w:val="0"/>
        <w:rPr>
          <w:rFonts w:hint="eastAsia" w:ascii="仿宋" w:hAnsi="仿宋" w:eastAsia="仿宋" w:cs="仿宋"/>
          <w:b/>
          <w:color w:val="auto"/>
          <w:sz w:val="36"/>
          <w:szCs w:val="36"/>
          <w:highlight w:val="none"/>
        </w:rPr>
      </w:pPr>
    </w:p>
    <w:p>
      <w:pPr>
        <w:spacing w:line="480" w:lineRule="auto"/>
        <w:jc w:val="center"/>
        <w:outlineLvl w:val="0"/>
        <w:rPr>
          <w:rFonts w:hint="eastAsia" w:ascii="仿宋" w:hAnsi="仿宋" w:eastAsia="仿宋" w:cs="仿宋"/>
          <w:b/>
          <w:color w:val="auto"/>
          <w:sz w:val="36"/>
          <w:szCs w:val="36"/>
          <w:highlight w:val="none"/>
        </w:rPr>
      </w:pPr>
    </w:p>
    <w:p>
      <w:pPr>
        <w:spacing w:line="480" w:lineRule="auto"/>
        <w:jc w:val="center"/>
        <w:outlineLvl w:val="0"/>
        <w:rPr>
          <w:rFonts w:hint="eastAsia" w:ascii="仿宋" w:hAnsi="仿宋" w:eastAsia="仿宋" w:cs="仿宋"/>
          <w:b/>
          <w:color w:val="auto"/>
          <w:sz w:val="36"/>
          <w:szCs w:val="36"/>
          <w:highlight w:val="none"/>
        </w:rPr>
      </w:pPr>
    </w:p>
    <w:p>
      <w:pPr>
        <w:spacing w:line="480" w:lineRule="auto"/>
        <w:jc w:val="center"/>
        <w:outlineLvl w:val="0"/>
        <w:rPr>
          <w:rFonts w:hint="eastAsia" w:ascii="仿宋" w:hAnsi="仿宋" w:eastAsia="仿宋" w:cs="仿宋"/>
          <w:b/>
          <w:color w:val="auto"/>
          <w:sz w:val="36"/>
          <w:szCs w:val="36"/>
          <w:highlight w:val="none"/>
        </w:rPr>
      </w:pPr>
    </w:p>
    <w:p>
      <w:pPr>
        <w:spacing w:line="480" w:lineRule="auto"/>
        <w:jc w:val="center"/>
        <w:outlineLvl w:val="0"/>
        <w:rPr>
          <w:rFonts w:hint="eastAsia" w:ascii="仿宋" w:hAnsi="仿宋" w:eastAsia="仿宋" w:cs="仿宋"/>
          <w:b/>
          <w:color w:val="auto"/>
          <w:sz w:val="36"/>
          <w:szCs w:val="36"/>
          <w:highlight w:val="none"/>
        </w:rPr>
      </w:pPr>
    </w:p>
    <w:p>
      <w:pPr>
        <w:spacing w:line="480" w:lineRule="auto"/>
        <w:jc w:val="center"/>
        <w:outlineLvl w:val="0"/>
        <w:rPr>
          <w:rFonts w:hint="eastAsia" w:ascii="仿宋" w:hAnsi="仿宋" w:eastAsia="仿宋" w:cs="仿宋"/>
          <w:b/>
          <w:color w:val="auto"/>
          <w:sz w:val="36"/>
          <w:szCs w:val="36"/>
          <w:highlight w:val="none"/>
        </w:rPr>
      </w:pPr>
    </w:p>
    <w:p>
      <w:pPr>
        <w:spacing w:line="480" w:lineRule="auto"/>
        <w:jc w:val="center"/>
        <w:outlineLvl w:val="0"/>
        <w:rPr>
          <w:rFonts w:hint="eastAsia" w:ascii="仿宋" w:hAnsi="仿宋" w:eastAsia="仿宋" w:cs="仿宋"/>
          <w:b/>
          <w:color w:val="auto"/>
          <w:sz w:val="36"/>
          <w:szCs w:val="36"/>
          <w:highlight w:val="none"/>
        </w:rPr>
      </w:pPr>
    </w:p>
    <w:p>
      <w:pPr>
        <w:spacing w:line="480" w:lineRule="auto"/>
        <w:jc w:val="center"/>
        <w:outlineLvl w:val="0"/>
        <w:rPr>
          <w:rFonts w:hint="eastAsia" w:ascii="仿宋" w:hAnsi="仿宋" w:eastAsia="仿宋" w:cs="仿宋"/>
          <w:b/>
          <w:color w:val="auto"/>
          <w:sz w:val="36"/>
          <w:szCs w:val="36"/>
          <w:highlight w:val="none"/>
        </w:rPr>
      </w:pPr>
    </w:p>
    <w:p>
      <w:pPr>
        <w:spacing w:line="480" w:lineRule="auto"/>
        <w:jc w:val="center"/>
        <w:outlineLvl w:val="0"/>
        <w:rPr>
          <w:rFonts w:hint="eastAsia" w:ascii="仿宋" w:hAnsi="仿宋" w:eastAsia="仿宋" w:cs="仿宋"/>
          <w:b/>
          <w:color w:val="auto"/>
          <w:sz w:val="36"/>
          <w:szCs w:val="36"/>
          <w:highlight w:val="none"/>
        </w:rPr>
      </w:pPr>
    </w:p>
    <w:p>
      <w:pPr>
        <w:spacing w:line="480" w:lineRule="auto"/>
        <w:jc w:val="center"/>
        <w:outlineLvl w:val="0"/>
        <w:rPr>
          <w:rFonts w:hint="eastAsia" w:ascii="仿宋" w:hAnsi="仿宋" w:eastAsia="仿宋" w:cs="仿宋"/>
          <w:b/>
          <w:color w:val="auto"/>
          <w:sz w:val="36"/>
          <w:szCs w:val="36"/>
          <w:highlight w:val="none"/>
        </w:rPr>
      </w:pPr>
    </w:p>
    <w:p>
      <w:pPr>
        <w:spacing w:line="480" w:lineRule="auto"/>
        <w:jc w:val="center"/>
        <w:outlineLvl w:val="0"/>
        <w:rPr>
          <w:rFonts w:hint="eastAsia" w:ascii="仿宋" w:hAnsi="仿宋" w:eastAsia="仿宋" w:cs="仿宋"/>
          <w:b/>
          <w:color w:val="auto"/>
          <w:sz w:val="36"/>
          <w:szCs w:val="36"/>
          <w:highlight w:val="none"/>
        </w:rPr>
      </w:pPr>
    </w:p>
    <w:p>
      <w:pPr>
        <w:spacing w:line="480" w:lineRule="auto"/>
        <w:jc w:val="center"/>
        <w:outlineLvl w:val="0"/>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 xml:space="preserve">第四部分   </w:t>
      </w:r>
      <w:bookmarkStart w:id="28" w:name="_Toc184312092"/>
      <w:bookmarkEnd w:id="28"/>
      <w:bookmarkStart w:id="29" w:name="_Toc184314458"/>
      <w:bookmarkEnd w:id="29"/>
      <w:bookmarkStart w:id="30" w:name="_Toc184312099"/>
      <w:bookmarkEnd w:id="30"/>
      <w:bookmarkStart w:id="31" w:name="_Toc184312139"/>
      <w:bookmarkEnd w:id="31"/>
      <w:bookmarkStart w:id="32" w:name="_Toc184308046"/>
      <w:bookmarkEnd w:id="32"/>
      <w:bookmarkStart w:id="33" w:name="_Toc184312085"/>
      <w:bookmarkEnd w:id="33"/>
      <w:bookmarkStart w:id="34" w:name="_Toc184310303"/>
      <w:bookmarkEnd w:id="34"/>
      <w:bookmarkStart w:id="35" w:name="_Toc184310311"/>
      <w:bookmarkEnd w:id="35"/>
      <w:bookmarkStart w:id="36" w:name="_Toc184314461"/>
      <w:bookmarkEnd w:id="36"/>
      <w:bookmarkStart w:id="37" w:name="_Toc184308076"/>
      <w:bookmarkEnd w:id="37"/>
      <w:bookmarkStart w:id="38" w:name="_Toc184314477"/>
      <w:bookmarkEnd w:id="38"/>
      <w:bookmarkStart w:id="39" w:name="_Toc184308086"/>
      <w:bookmarkEnd w:id="39"/>
      <w:bookmarkStart w:id="40" w:name="_Toc184313247"/>
      <w:bookmarkEnd w:id="40"/>
      <w:bookmarkStart w:id="41" w:name="_Toc184308087"/>
      <w:bookmarkEnd w:id="41"/>
      <w:bookmarkStart w:id="42" w:name="_Toc184308088"/>
      <w:bookmarkEnd w:id="42"/>
      <w:bookmarkStart w:id="43" w:name="_Toc184313244"/>
      <w:bookmarkEnd w:id="43"/>
      <w:bookmarkStart w:id="44" w:name="_Toc184310305"/>
      <w:bookmarkEnd w:id="44"/>
      <w:bookmarkStart w:id="45" w:name="_Toc184314414"/>
      <w:bookmarkEnd w:id="45"/>
      <w:bookmarkStart w:id="46" w:name="_Toc184310288"/>
      <w:bookmarkEnd w:id="46"/>
      <w:bookmarkStart w:id="47" w:name="_Toc184314467"/>
      <w:bookmarkEnd w:id="47"/>
      <w:bookmarkStart w:id="48" w:name="_Toc184312121"/>
      <w:bookmarkEnd w:id="48"/>
      <w:bookmarkStart w:id="49" w:name="_Toc184308045"/>
      <w:bookmarkEnd w:id="49"/>
      <w:bookmarkStart w:id="50" w:name="_Toc184310290"/>
      <w:bookmarkEnd w:id="50"/>
      <w:bookmarkStart w:id="51" w:name="_Toc184312125"/>
      <w:bookmarkEnd w:id="51"/>
      <w:bookmarkStart w:id="52" w:name="_Toc184312118"/>
      <w:bookmarkEnd w:id="52"/>
      <w:bookmarkStart w:id="53" w:name="_Toc184314425"/>
      <w:bookmarkEnd w:id="53"/>
      <w:bookmarkStart w:id="54" w:name="_Toc184308073"/>
      <w:bookmarkEnd w:id="54"/>
      <w:bookmarkStart w:id="55" w:name="_Toc184313253"/>
      <w:bookmarkEnd w:id="55"/>
      <w:bookmarkStart w:id="56" w:name="_Toc184312100"/>
      <w:bookmarkEnd w:id="56"/>
      <w:bookmarkStart w:id="57" w:name="_Toc184313300"/>
      <w:bookmarkEnd w:id="57"/>
      <w:bookmarkStart w:id="58" w:name="_Toc184308065"/>
      <w:bookmarkEnd w:id="58"/>
      <w:bookmarkStart w:id="59" w:name="_Toc184312081"/>
      <w:bookmarkEnd w:id="59"/>
      <w:bookmarkStart w:id="60" w:name="_Toc184312127"/>
      <w:bookmarkEnd w:id="60"/>
      <w:bookmarkStart w:id="61" w:name="_Toc184310274"/>
      <w:bookmarkEnd w:id="61"/>
      <w:bookmarkStart w:id="62" w:name="_Toc184310330"/>
      <w:bookmarkEnd w:id="62"/>
      <w:bookmarkStart w:id="63" w:name="_Toc184314459"/>
      <w:bookmarkEnd w:id="63"/>
      <w:bookmarkStart w:id="64" w:name="_Toc184310319"/>
      <w:bookmarkEnd w:id="64"/>
      <w:bookmarkStart w:id="65" w:name="_Toc184310329"/>
      <w:bookmarkEnd w:id="65"/>
      <w:bookmarkStart w:id="66" w:name="_Toc184312089"/>
      <w:bookmarkEnd w:id="66"/>
      <w:bookmarkStart w:id="67" w:name="_Toc184314420"/>
      <w:bookmarkEnd w:id="67"/>
      <w:bookmarkStart w:id="68" w:name="_Toc184314412"/>
      <w:bookmarkEnd w:id="68"/>
      <w:bookmarkStart w:id="69" w:name="_Toc184314419"/>
      <w:bookmarkEnd w:id="69"/>
      <w:bookmarkStart w:id="70" w:name="_Toc184313308"/>
      <w:bookmarkEnd w:id="70"/>
      <w:bookmarkStart w:id="71" w:name="_Toc184310315"/>
      <w:bookmarkEnd w:id="71"/>
      <w:bookmarkStart w:id="72" w:name="_Toc184313272"/>
      <w:bookmarkEnd w:id="72"/>
      <w:bookmarkStart w:id="73" w:name="_Toc184308039"/>
      <w:bookmarkEnd w:id="73"/>
      <w:bookmarkStart w:id="74" w:name="_Toc184314438"/>
      <w:bookmarkEnd w:id="74"/>
      <w:bookmarkStart w:id="75" w:name="_Toc184308090"/>
      <w:bookmarkEnd w:id="75"/>
      <w:bookmarkStart w:id="76" w:name="_Toc184314427"/>
      <w:bookmarkEnd w:id="76"/>
      <w:bookmarkStart w:id="77" w:name="_Toc184310321"/>
      <w:bookmarkEnd w:id="77"/>
      <w:bookmarkStart w:id="78" w:name="_Toc184310344"/>
      <w:bookmarkEnd w:id="78"/>
      <w:bookmarkStart w:id="79" w:name="_Toc184314468"/>
      <w:bookmarkEnd w:id="79"/>
      <w:bookmarkStart w:id="80" w:name="_Toc184312074"/>
      <w:bookmarkEnd w:id="80"/>
      <w:bookmarkStart w:id="81" w:name="_Toc184310326"/>
      <w:bookmarkEnd w:id="81"/>
      <w:bookmarkStart w:id="82" w:name="_Toc184314440"/>
      <w:bookmarkEnd w:id="82"/>
      <w:bookmarkStart w:id="83" w:name="_Toc184308095"/>
      <w:bookmarkEnd w:id="83"/>
      <w:bookmarkStart w:id="84" w:name="_Toc184310278"/>
      <w:bookmarkEnd w:id="84"/>
      <w:bookmarkStart w:id="85" w:name="_Toc184314443"/>
      <w:bookmarkEnd w:id="85"/>
      <w:bookmarkStart w:id="86" w:name="_Toc184308077"/>
      <w:bookmarkEnd w:id="86"/>
      <w:bookmarkStart w:id="87" w:name="_Toc184310294"/>
      <w:bookmarkEnd w:id="87"/>
      <w:bookmarkStart w:id="88" w:name="_Toc184308042"/>
      <w:bookmarkEnd w:id="88"/>
      <w:bookmarkStart w:id="89" w:name="_Toc184313305"/>
      <w:bookmarkEnd w:id="89"/>
      <w:bookmarkStart w:id="90" w:name="_Toc184308105"/>
      <w:bookmarkEnd w:id="90"/>
      <w:bookmarkStart w:id="91" w:name="_Toc184313240"/>
      <w:bookmarkEnd w:id="91"/>
      <w:bookmarkStart w:id="92" w:name="_Toc184314476"/>
      <w:bookmarkEnd w:id="92"/>
      <w:bookmarkStart w:id="93" w:name="_Toc184314445"/>
      <w:bookmarkEnd w:id="93"/>
      <w:bookmarkStart w:id="94" w:name="_Toc184313273"/>
      <w:bookmarkEnd w:id="94"/>
      <w:bookmarkStart w:id="95" w:name="_Toc184313256"/>
      <w:bookmarkEnd w:id="95"/>
      <w:bookmarkStart w:id="96" w:name="_Toc184313249"/>
      <w:bookmarkEnd w:id="96"/>
      <w:bookmarkStart w:id="97" w:name="_Toc184310341"/>
      <w:bookmarkEnd w:id="97"/>
      <w:bookmarkStart w:id="98" w:name="_Toc184310282"/>
      <w:bookmarkEnd w:id="98"/>
      <w:bookmarkStart w:id="99" w:name="_Toc184313296"/>
      <w:bookmarkEnd w:id="99"/>
      <w:bookmarkStart w:id="100" w:name="_Toc184313257"/>
      <w:bookmarkEnd w:id="100"/>
      <w:bookmarkStart w:id="101" w:name="_Toc184308036"/>
      <w:bookmarkEnd w:id="101"/>
      <w:bookmarkStart w:id="102" w:name="_Toc184308038"/>
      <w:bookmarkEnd w:id="102"/>
      <w:bookmarkStart w:id="103" w:name="_Toc184308070"/>
      <w:bookmarkEnd w:id="103"/>
      <w:bookmarkStart w:id="104" w:name="_Toc184314431"/>
      <w:bookmarkEnd w:id="104"/>
      <w:bookmarkStart w:id="105" w:name="_Toc184310317"/>
      <w:bookmarkEnd w:id="105"/>
      <w:bookmarkStart w:id="106" w:name="_Toc184310286"/>
      <w:bookmarkEnd w:id="106"/>
      <w:bookmarkStart w:id="107" w:name="_Toc184312101"/>
      <w:bookmarkEnd w:id="107"/>
      <w:bookmarkStart w:id="108" w:name="_Toc184314436"/>
      <w:bookmarkEnd w:id="108"/>
      <w:bookmarkStart w:id="109" w:name="_Toc184310331"/>
      <w:bookmarkEnd w:id="109"/>
      <w:bookmarkStart w:id="110" w:name="_Toc184312129"/>
      <w:bookmarkEnd w:id="110"/>
      <w:bookmarkStart w:id="111" w:name="_Toc184314451"/>
      <w:bookmarkEnd w:id="111"/>
      <w:bookmarkStart w:id="112" w:name="_Toc184312128"/>
      <w:bookmarkEnd w:id="112"/>
      <w:bookmarkStart w:id="113" w:name="_Toc184314473"/>
      <w:bookmarkEnd w:id="113"/>
      <w:bookmarkStart w:id="114" w:name="_Toc184314474"/>
      <w:bookmarkEnd w:id="114"/>
      <w:bookmarkStart w:id="115" w:name="_Toc184308048"/>
      <w:bookmarkEnd w:id="115"/>
      <w:bookmarkStart w:id="116" w:name="_Toc184312133"/>
      <w:bookmarkEnd w:id="116"/>
      <w:bookmarkStart w:id="117" w:name="_Toc184313270"/>
      <w:bookmarkEnd w:id="117"/>
      <w:bookmarkStart w:id="118" w:name="_Toc184310279"/>
      <w:bookmarkEnd w:id="118"/>
      <w:bookmarkStart w:id="119" w:name="_Toc184314454"/>
      <w:bookmarkEnd w:id="119"/>
      <w:bookmarkStart w:id="120" w:name="_Toc184310277"/>
      <w:bookmarkEnd w:id="120"/>
      <w:bookmarkStart w:id="121" w:name="_Toc184313255"/>
      <w:bookmarkEnd w:id="121"/>
      <w:bookmarkStart w:id="122" w:name="_Toc184313299"/>
      <w:bookmarkEnd w:id="122"/>
      <w:bookmarkStart w:id="123" w:name="_Toc184312077"/>
      <w:bookmarkEnd w:id="123"/>
      <w:bookmarkStart w:id="124" w:name="_Toc184314481"/>
      <w:bookmarkEnd w:id="124"/>
      <w:bookmarkStart w:id="125" w:name="_Toc184310325"/>
      <w:bookmarkEnd w:id="125"/>
      <w:bookmarkStart w:id="126" w:name="_Toc184312111"/>
      <w:bookmarkEnd w:id="126"/>
      <w:bookmarkStart w:id="127" w:name="_Toc184313268"/>
      <w:bookmarkEnd w:id="127"/>
      <w:bookmarkStart w:id="128" w:name="_Toc184312075"/>
      <w:bookmarkEnd w:id="128"/>
      <w:bookmarkStart w:id="129" w:name="_Toc184314446"/>
      <w:bookmarkEnd w:id="129"/>
      <w:bookmarkStart w:id="130" w:name="_Toc184310299"/>
      <w:bookmarkEnd w:id="130"/>
      <w:bookmarkStart w:id="131" w:name="_Toc184308103"/>
      <w:bookmarkEnd w:id="131"/>
      <w:bookmarkStart w:id="132" w:name="_Toc184314452"/>
      <w:bookmarkEnd w:id="132"/>
      <w:bookmarkStart w:id="133" w:name="_Toc184314416"/>
      <w:bookmarkEnd w:id="133"/>
      <w:bookmarkStart w:id="134" w:name="_Toc184312097"/>
      <w:bookmarkEnd w:id="134"/>
      <w:bookmarkStart w:id="135" w:name="_Toc184312095"/>
      <w:bookmarkEnd w:id="135"/>
      <w:bookmarkStart w:id="136" w:name="_Toc184308072"/>
      <w:bookmarkEnd w:id="136"/>
      <w:bookmarkStart w:id="137" w:name="_Toc184312082"/>
      <w:bookmarkEnd w:id="137"/>
      <w:bookmarkStart w:id="138" w:name="_Toc184308063"/>
      <w:bookmarkEnd w:id="138"/>
      <w:bookmarkStart w:id="139" w:name="_Toc184313248"/>
      <w:bookmarkEnd w:id="139"/>
      <w:bookmarkStart w:id="140" w:name="_Toc184310307"/>
      <w:bookmarkEnd w:id="140"/>
      <w:bookmarkStart w:id="141" w:name="_Toc184308104"/>
      <w:bookmarkEnd w:id="141"/>
      <w:bookmarkStart w:id="142" w:name="_Toc184310316"/>
      <w:bookmarkEnd w:id="142"/>
      <w:bookmarkStart w:id="143" w:name="_Toc184314432"/>
      <w:bookmarkEnd w:id="143"/>
      <w:bookmarkStart w:id="144" w:name="_Toc184312134"/>
      <w:bookmarkEnd w:id="144"/>
      <w:bookmarkStart w:id="145" w:name="_Toc184314426"/>
      <w:bookmarkEnd w:id="145"/>
      <w:bookmarkStart w:id="146" w:name="_Toc184313294"/>
      <w:bookmarkEnd w:id="146"/>
      <w:bookmarkStart w:id="147" w:name="_Toc184308059"/>
      <w:bookmarkEnd w:id="147"/>
      <w:bookmarkStart w:id="148" w:name="_Toc184308069"/>
      <w:bookmarkEnd w:id="148"/>
      <w:bookmarkStart w:id="149" w:name="_Toc184310293"/>
      <w:bookmarkEnd w:id="149"/>
      <w:bookmarkStart w:id="150" w:name="_Toc184310314"/>
      <w:bookmarkEnd w:id="150"/>
      <w:bookmarkStart w:id="151" w:name="_Toc184308044"/>
      <w:bookmarkEnd w:id="151"/>
      <w:bookmarkStart w:id="152" w:name="_Toc184308092"/>
      <w:bookmarkEnd w:id="152"/>
      <w:bookmarkStart w:id="153" w:name="_Toc184313288"/>
      <w:bookmarkEnd w:id="153"/>
      <w:bookmarkStart w:id="154" w:name="_Toc184312108"/>
      <w:bookmarkEnd w:id="154"/>
      <w:bookmarkStart w:id="155" w:name="_Toc184314456"/>
      <w:bookmarkEnd w:id="155"/>
      <w:bookmarkStart w:id="156" w:name="_Toc184308102"/>
      <w:bookmarkEnd w:id="156"/>
      <w:bookmarkStart w:id="157" w:name="_Toc184310313"/>
      <w:bookmarkEnd w:id="157"/>
      <w:bookmarkStart w:id="158" w:name="_Toc184314417"/>
      <w:bookmarkEnd w:id="158"/>
      <w:bookmarkStart w:id="159" w:name="_Toc184312116"/>
      <w:bookmarkEnd w:id="159"/>
      <w:bookmarkStart w:id="160" w:name="_Toc184308055"/>
      <w:bookmarkEnd w:id="160"/>
      <w:bookmarkStart w:id="161" w:name="_Toc184313271"/>
      <w:bookmarkEnd w:id="161"/>
      <w:bookmarkStart w:id="162" w:name="_Toc184308050"/>
      <w:bookmarkEnd w:id="162"/>
      <w:bookmarkStart w:id="163" w:name="_Toc184314437"/>
      <w:bookmarkEnd w:id="163"/>
      <w:bookmarkStart w:id="164" w:name="_Toc184314439"/>
      <w:bookmarkEnd w:id="164"/>
      <w:bookmarkStart w:id="165" w:name="_Toc184312124"/>
      <w:bookmarkEnd w:id="165"/>
      <w:bookmarkStart w:id="166" w:name="_Toc184313274"/>
      <w:bookmarkEnd w:id="166"/>
      <w:bookmarkStart w:id="167" w:name="_Toc184314482"/>
      <w:bookmarkEnd w:id="167"/>
      <w:bookmarkStart w:id="168" w:name="_Toc184312068"/>
      <w:bookmarkEnd w:id="168"/>
      <w:bookmarkStart w:id="169" w:name="_Toc184314450"/>
      <w:bookmarkEnd w:id="169"/>
      <w:bookmarkStart w:id="170" w:name="_Toc184310338"/>
      <w:bookmarkEnd w:id="170"/>
      <w:bookmarkStart w:id="171" w:name="_Toc184313301"/>
      <w:bookmarkEnd w:id="171"/>
      <w:bookmarkStart w:id="172" w:name="_Toc184314448"/>
      <w:bookmarkEnd w:id="172"/>
      <w:bookmarkStart w:id="173" w:name="_Toc184314441"/>
      <w:bookmarkEnd w:id="173"/>
      <w:bookmarkStart w:id="174" w:name="_Toc184312069"/>
      <w:bookmarkEnd w:id="174"/>
      <w:bookmarkStart w:id="175" w:name="_Toc184314421"/>
      <w:bookmarkEnd w:id="175"/>
      <w:bookmarkStart w:id="176" w:name="_Toc184314469"/>
      <w:bookmarkEnd w:id="176"/>
      <w:bookmarkStart w:id="177" w:name="_Toc184314422"/>
      <w:bookmarkEnd w:id="177"/>
      <w:bookmarkStart w:id="178" w:name="_Toc184312106"/>
      <w:bookmarkEnd w:id="178"/>
      <w:bookmarkStart w:id="179" w:name="_Toc184310335"/>
      <w:bookmarkEnd w:id="179"/>
      <w:bookmarkStart w:id="180" w:name="_Toc184313241"/>
      <w:bookmarkEnd w:id="180"/>
      <w:bookmarkStart w:id="181" w:name="_Toc184308089"/>
      <w:bookmarkEnd w:id="181"/>
      <w:bookmarkStart w:id="182" w:name="_Toc184312084"/>
      <w:bookmarkEnd w:id="182"/>
      <w:bookmarkStart w:id="183" w:name="_Toc184312117"/>
      <w:bookmarkEnd w:id="183"/>
      <w:bookmarkStart w:id="184" w:name="_Toc184310287"/>
      <w:bookmarkEnd w:id="184"/>
      <w:bookmarkStart w:id="185" w:name="_Toc184313290"/>
      <w:bookmarkEnd w:id="185"/>
      <w:bookmarkStart w:id="186" w:name="_Toc184310310"/>
      <w:bookmarkEnd w:id="186"/>
      <w:bookmarkStart w:id="187" w:name="_Toc184310281"/>
      <w:bookmarkEnd w:id="187"/>
      <w:bookmarkStart w:id="188" w:name="_Toc184308075"/>
      <w:bookmarkEnd w:id="188"/>
      <w:bookmarkStart w:id="189" w:name="_Toc184310272"/>
      <w:bookmarkEnd w:id="189"/>
      <w:bookmarkStart w:id="190" w:name="_Toc184312071"/>
      <w:bookmarkEnd w:id="190"/>
      <w:bookmarkStart w:id="191" w:name="_Toc184313258"/>
      <w:bookmarkEnd w:id="191"/>
      <w:bookmarkStart w:id="192" w:name="_Toc184313280"/>
      <w:bookmarkEnd w:id="192"/>
      <w:bookmarkStart w:id="193" w:name="_Toc184313254"/>
      <w:bookmarkEnd w:id="193"/>
      <w:bookmarkStart w:id="194" w:name="_Toc184308056"/>
      <w:bookmarkEnd w:id="194"/>
      <w:bookmarkStart w:id="195" w:name="_Toc184310333"/>
      <w:bookmarkEnd w:id="195"/>
      <w:bookmarkStart w:id="196" w:name="_Toc184310337"/>
      <w:bookmarkEnd w:id="196"/>
      <w:bookmarkStart w:id="197" w:name="_Toc184314463"/>
      <w:bookmarkEnd w:id="197"/>
      <w:bookmarkStart w:id="198" w:name="_Toc184313264"/>
      <w:bookmarkEnd w:id="198"/>
      <w:bookmarkStart w:id="199" w:name="_Toc184314442"/>
      <w:bookmarkEnd w:id="199"/>
      <w:bookmarkStart w:id="200" w:name="_Toc184313261"/>
      <w:bookmarkEnd w:id="200"/>
      <w:bookmarkStart w:id="201" w:name="_Toc184312123"/>
      <w:bookmarkEnd w:id="201"/>
      <w:bookmarkStart w:id="202" w:name="_Toc184308064"/>
      <w:bookmarkEnd w:id="202"/>
      <w:bookmarkStart w:id="203" w:name="_Toc184313297"/>
      <w:bookmarkEnd w:id="203"/>
      <w:bookmarkStart w:id="204" w:name="_Toc184308071"/>
      <w:bookmarkEnd w:id="204"/>
      <w:bookmarkStart w:id="205" w:name="_Toc184312138"/>
      <w:bookmarkEnd w:id="205"/>
      <w:bookmarkStart w:id="206" w:name="_Toc184308080"/>
      <w:bookmarkEnd w:id="206"/>
      <w:bookmarkStart w:id="207" w:name="_Toc184313262"/>
      <w:bookmarkEnd w:id="207"/>
      <w:bookmarkStart w:id="208" w:name="_Toc184313298"/>
      <w:bookmarkEnd w:id="208"/>
      <w:bookmarkStart w:id="209" w:name="_Toc184310292"/>
      <w:bookmarkEnd w:id="209"/>
      <w:bookmarkStart w:id="210" w:name="_Toc184313259"/>
      <w:bookmarkEnd w:id="210"/>
      <w:bookmarkStart w:id="211" w:name="_Toc184313252"/>
      <w:bookmarkEnd w:id="211"/>
      <w:bookmarkStart w:id="212" w:name="_Toc184310298"/>
      <w:bookmarkEnd w:id="212"/>
      <w:bookmarkStart w:id="213" w:name="_Toc184308099"/>
      <w:bookmarkEnd w:id="213"/>
      <w:bookmarkStart w:id="214" w:name="_Toc184308043"/>
      <w:bookmarkEnd w:id="214"/>
      <w:bookmarkStart w:id="215" w:name="_Toc184312102"/>
      <w:bookmarkEnd w:id="215"/>
      <w:bookmarkStart w:id="216" w:name="_Toc184313266"/>
      <w:bookmarkEnd w:id="216"/>
      <w:bookmarkStart w:id="217" w:name="_Toc184308062"/>
      <w:bookmarkEnd w:id="217"/>
      <w:bookmarkStart w:id="218" w:name="_Toc184313283"/>
      <w:bookmarkEnd w:id="218"/>
      <w:bookmarkStart w:id="219" w:name="_Toc184314453"/>
      <w:bookmarkEnd w:id="219"/>
      <w:bookmarkStart w:id="220" w:name="_Toc184312104"/>
      <w:bookmarkEnd w:id="220"/>
      <w:bookmarkStart w:id="221" w:name="_Toc184312080"/>
      <w:bookmarkEnd w:id="221"/>
      <w:bookmarkStart w:id="222" w:name="_Toc184308041"/>
      <w:bookmarkEnd w:id="222"/>
      <w:bookmarkStart w:id="223" w:name="_Toc184313265"/>
      <w:bookmarkEnd w:id="223"/>
      <w:bookmarkStart w:id="224" w:name="_Toc184313238"/>
      <w:bookmarkEnd w:id="224"/>
      <w:bookmarkStart w:id="225" w:name="_Toc184310318"/>
      <w:bookmarkEnd w:id="225"/>
      <w:bookmarkStart w:id="226" w:name="_Toc184314449"/>
      <w:bookmarkEnd w:id="226"/>
      <w:bookmarkStart w:id="227" w:name="_Toc184313279"/>
      <w:bookmarkEnd w:id="227"/>
      <w:bookmarkStart w:id="228" w:name="_Toc184312109"/>
      <w:bookmarkEnd w:id="228"/>
      <w:bookmarkStart w:id="229" w:name="_Toc184308057"/>
      <w:bookmarkEnd w:id="229"/>
      <w:bookmarkStart w:id="230" w:name="_Toc184312087"/>
      <w:bookmarkEnd w:id="230"/>
      <w:bookmarkStart w:id="231" w:name="_Toc184313309"/>
      <w:bookmarkEnd w:id="231"/>
      <w:bookmarkStart w:id="232" w:name="_Toc184308096"/>
      <w:bookmarkEnd w:id="232"/>
      <w:bookmarkStart w:id="233" w:name="_Toc184310306"/>
      <w:bookmarkEnd w:id="233"/>
      <w:bookmarkStart w:id="234" w:name="_Toc184310273"/>
      <w:bookmarkEnd w:id="234"/>
      <w:bookmarkStart w:id="235" w:name="_Toc184308058"/>
      <w:bookmarkEnd w:id="235"/>
      <w:bookmarkStart w:id="236" w:name="_Toc184314479"/>
      <w:bookmarkEnd w:id="236"/>
      <w:bookmarkStart w:id="237" w:name="_Toc184313277"/>
      <w:bookmarkEnd w:id="237"/>
      <w:bookmarkStart w:id="238" w:name="_Toc184308098"/>
      <w:bookmarkEnd w:id="238"/>
      <w:bookmarkStart w:id="239" w:name="_Toc184312078"/>
      <w:bookmarkEnd w:id="239"/>
      <w:bookmarkStart w:id="240" w:name="_Toc184314447"/>
      <w:bookmarkEnd w:id="240"/>
      <w:bookmarkStart w:id="241" w:name="_Toc184308053"/>
      <w:bookmarkEnd w:id="241"/>
      <w:bookmarkStart w:id="242" w:name="_Toc184313303"/>
      <w:bookmarkEnd w:id="242"/>
      <w:bookmarkStart w:id="243" w:name="_Toc184312122"/>
      <w:bookmarkEnd w:id="243"/>
      <w:bookmarkStart w:id="244" w:name="_Toc184312120"/>
      <w:bookmarkEnd w:id="244"/>
      <w:bookmarkStart w:id="245" w:name="_Toc184314470"/>
      <w:bookmarkEnd w:id="245"/>
      <w:bookmarkStart w:id="246" w:name="_Toc184310309"/>
      <w:bookmarkEnd w:id="246"/>
      <w:bookmarkStart w:id="247" w:name="_Toc184314434"/>
      <w:bookmarkEnd w:id="247"/>
      <w:bookmarkStart w:id="248" w:name="_Toc184308066"/>
      <w:bookmarkEnd w:id="248"/>
      <w:bookmarkStart w:id="249" w:name="_Toc184310295"/>
      <w:bookmarkEnd w:id="249"/>
      <w:bookmarkStart w:id="250" w:name="_Toc184312083"/>
      <w:bookmarkEnd w:id="250"/>
      <w:bookmarkStart w:id="251" w:name="_Toc184308106"/>
      <w:bookmarkEnd w:id="251"/>
      <w:bookmarkStart w:id="252" w:name="_Toc184313267"/>
      <w:bookmarkEnd w:id="252"/>
      <w:bookmarkStart w:id="253" w:name="_Toc184308068"/>
      <w:bookmarkEnd w:id="253"/>
      <w:bookmarkStart w:id="254" w:name="_Toc184314430"/>
      <w:bookmarkEnd w:id="254"/>
      <w:bookmarkStart w:id="255" w:name="_Toc184313239"/>
      <w:bookmarkEnd w:id="255"/>
      <w:bookmarkStart w:id="256" w:name="_Toc184308037"/>
      <w:bookmarkEnd w:id="256"/>
      <w:bookmarkStart w:id="257" w:name="_Toc184313242"/>
      <w:bookmarkEnd w:id="257"/>
      <w:bookmarkStart w:id="258" w:name="_Toc184314433"/>
      <w:bookmarkEnd w:id="258"/>
      <w:bookmarkStart w:id="259" w:name="_Toc184308061"/>
      <w:bookmarkEnd w:id="259"/>
      <w:bookmarkStart w:id="260" w:name="_Toc184310339"/>
      <w:bookmarkEnd w:id="260"/>
      <w:bookmarkStart w:id="261" w:name="_Toc184314480"/>
      <w:bookmarkEnd w:id="261"/>
      <w:bookmarkStart w:id="262" w:name="_Toc184310297"/>
      <w:bookmarkEnd w:id="262"/>
      <w:bookmarkStart w:id="263" w:name="_Toc184313282"/>
      <w:bookmarkEnd w:id="263"/>
      <w:bookmarkStart w:id="264" w:name="_Toc184313295"/>
      <w:bookmarkEnd w:id="264"/>
      <w:bookmarkStart w:id="265" w:name="_Toc184308107"/>
      <w:bookmarkEnd w:id="265"/>
      <w:bookmarkStart w:id="266" w:name="_Toc184312086"/>
      <w:bookmarkEnd w:id="266"/>
      <w:bookmarkStart w:id="267" w:name="_Toc184310328"/>
      <w:bookmarkEnd w:id="267"/>
      <w:bookmarkStart w:id="268" w:name="_Toc184310322"/>
      <w:bookmarkEnd w:id="268"/>
      <w:bookmarkStart w:id="269" w:name="_Toc184313287"/>
      <w:bookmarkEnd w:id="269"/>
      <w:bookmarkStart w:id="270" w:name="_Toc184310312"/>
      <w:bookmarkEnd w:id="270"/>
      <w:bookmarkStart w:id="271" w:name="_Toc184308052"/>
      <w:bookmarkEnd w:id="271"/>
      <w:bookmarkStart w:id="272" w:name="_Toc184308094"/>
      <w:bookmarkEnd w:id="272"/>
      <w:bookmarkStart w:id="273" w:name="_Toc184310343"/>
      <w:bookmarkEnd w:id="273"/>
      <w:bookmarkStart w:id="274" w:name="_Toc184313251"/>
      <w:bookmarkEnd w:id="274"/>
      <w:bookmarkStart w:id="275" w:name="_Toc184310301"/>
      <w:bookmarkEnd w:id="275"/>
      <w:bookmarkStart w:id="276" w:name="_Toc184312103"/>
      <w:bookmarkEnd w:id="276"/>
      <w:bookmarkStart w:id="277" w:name="_Toc184312079"/>
      <w:bookmarkEnd w:id="277"/>
      <w:bookmarkStart w:id="278" w:name="_Toc184312114"/>
      <w:bookmarkEnd w:id="278"/>
      <w:bookmarkStart w:id="279" w:name="_Toc184308091"/>
      <w:bookmarkEnd w:id="279"/>
      <w:bookmarkStart w:id="280" w:name="_Toc184313278"/>
      <w:bookmarkEnd w:id="280"/>
      <w:bookmarkStart w:id="281" w:name="_Toc184308093"/>
      <w:bookmarkEnd w:id="281"/>
      <w:bookmarkStart w:id="282" w:name="_Toc184308040"/>
      <w:bookmarkEnd w:id="282"/>
      <w:bookmarkStart w:id="283" w:name="_Toc184310296"/>
      <w:bookmarkEnd w:id="283"/>
      <w:bookmarkStart w:id="284" w:name="_Toc184308108"/>
      <w:bookmarkEnd w:id="284"/>
      <w:bookmarkStart w:id="285" w:name="_Toc184314457"/>
      <w:bookmarkEnd w:id="285"/>
      <w:bookmarkStart w:id="286" w:name="_Toc184314462"/>
      <w:bookmarkEnd w:id="286"/>
      <w:bookmarkStart w:id="287" w:name="_Toc184312098"/>
      <w:bookmarkEnd w:id="287"/>
      <w:bookmarkStart w:id="288" w:name="_Toc184312072"/>
      <w:bookmarkEnd w:id="288"/>
      <w:bookmarkStart w:id="289" w:name="_Toc184310308"/>
      <w:bookmarkEnd w:id="289"/>
      <w:bookmarkStart w:id="290" w:name="_Toc184314411"/>
      <w:bookmarkEnd w:id="290"/>
      <w:bookmarkStart w:id="291" w:name="_Toc184313243"/>
      <w:bookmarkEnd w:id="291"/>
      <w:bookmarkStart w:id="292" w:name="_Toc184313291"/>
      <w:bookmarkEnd w:id="292"/>
      <w:bookmarkStart w:id="293" w:name="_Toc184312119"/>
      <w:bookmarkEnd w:id="293"/>
      <w:bookmarkStart w:id="294" w:name="_Toc184312073"/>
      <w:bookmarkEnd w:id="294"/>
      <w:bookmarkStart w:id="295" w:name="_Toc184314466"/>
      <w:bookmarkEnd w:id="295"/>
      <w:bookmarkStart w:id="296" w:name="_Toc184308051"/>
      <w:bookmarkEnd w:id="296"/>
      <w:bookmarkStart w:id="297" w:name="_Toc184313292"/>
      <w:bookmarkEnd w:id="297"/>
      <w:bookmarkStart w:id="298" w:name="_Toc184308082"/>
      <w:bookmarkEnd w:id="298"/>
      <w:bookmarkStart w:id="299" w:name="_Toc184312110"/>
      <w:bookmarkEnd w:id="299"/>
      <w:bookmarkStart w:id="300" w:name="_Toc184310304"/>
      <w:bookmarkEnd w:id="300"/>
      <w:bookmarkStart w:id="301" w:name="_Toc184308083"/>
      <w:bookmarkEnd w:id="301"/>
      <w:bookmarkStart w:id="302" w:name="_Toc184312076"/>
      <w:bookmarkEnd w:id="302"/>
      <w:bookmarkStart w:id="303" w:name="_Toc184312090"/>
      <w:bookmarkEnd w:id="303"/>
      <w:bookmarkStart w:id="304" w:name="_Toc184313263"/>
      <w:bookmarkEnd w:id="304"/>
      <w:bookmarkStart w:id="305" w:name="_Toc184310283"/>
      <w:bookmarkEnd w:id="305"/>
      <w:bookmarkStart w:id="306" w:name="_Toc184312115"/>
      <w:bookmarkEnd w:id="306"/>
      <w:bookmarkStart w:id="307" w:name="_Toc184312105"/>
      <w:bookmarkEnd w:id="307"/>
      <w:bookmarkStart w:id="308" w:name="_Toc184314444"/>
      <w:bookmarkEnd w:id="308"/>
      <w:bookmarkStart w:id="309" w:name="_Toc184314415"/>
      <w:bookmarkEnd w:id="309"/>
      <w:bookmarkStart w:id="310" w:name="_Toc184314455"/>
      <w:bookmarkEnd w:id="310"/>
      <w:bookmarkStart w:id="311" w:name="_Toc184308054"/>
      <w:bookmarkEnd w:id="311"/>
      <w:bookmarkStart w:id="312" w:name="_Toc184310332"/>
      <w:bookmarkEnd w:id="312"/>
      <w:bookmarkStart w:id="313" w:name="_Toc184308078"/>
      <w:bookmarkEnd w:id="313"/>
      <w:bookmarkStart w:id="314" w:name="_Toc184310342"/>
      <w:bookmarkEnd w:id="314"/>
      <w:bookmarkStart w:id="315" w:name="_Toc184313260"/>
      <w:bookmarkEnd w:id="315"/>
      <w:bookmarkStart w:id="316" w:name="_Toc184312137"/>
      <w:bookmarkEnd w:id="316"/>
      <w:bookmarkStart w:id="317" w:name="_Toc184310300"/>
      <w:bookmarkEnd w:id="317"/>
      <w:bookmarkStart w:id="318" w:name="_Toc184313286"/>
      <w:bookmarkEnd w:id="318"/>
      <w:bookmarkStart w:id="319" w:name="_Toc184308060"/>
      <w:bookmarkEnd w:id="319"/>
      <w:bookmarkStart w:id="320" w:name="_Toc184314413"/>
      <w:bookmarkEnd w:id="320"/>
      <w:bookmarkStart w:id="321" w:name="_Toc184308081"/>
      <w:bookmarkEnd w:id="321"/>
      <w:bookmarkStart w:id="322" w:name="_Toc184310289"/>
      <w:bookmarkEnd w:id="322"/>
      <w:bookmarkStart w:id="323" w:name="_Toc184308074"/>
      <w:bookmarkEnd w:id="323"/>
      <w:bookmarkStart w:id="324" w:name="_Toc184314465"/>
      <w:bookmarkEnd w:id="324"/>
      <w:bookmarkStart w:id="325" w:name="_Toc184313281"/>
      <w:bookmarkEnd w:id="325"/>
      <w:bookmarkStart w:id="326" w:name="_Toc184310285"/>
      <w:bookmarkEnd w:id="326"/>
      <w:bookmarkStart w:id="327" w:name="_Toc184312112"/>
      <w:bookmarkEnd w:id="327"/>
      <w:bookmarkStart w:id="328" w:name="_Toc184310291"/>
      <w:bookmarkEnd w:id="328"/>
      <w:bookmarkStart w:id="329" w:name="_Toc184314435"/>
      <w:bookmarkEnd w:id="329"/>
      <w:bookmarkStart w:id="330" w:name="_Toc184310276"/>
      <w:bookmarkEnd w:id="330"/>
      <w:bookmarkStart w:id="331" w:name="_Toc184308097"/>
      <w:bookmarkEnd w:id="331"/>
      <w:bookmarkStart w:id="332" w:name="_Toc184312113"/>
      <w:bookmarkEnd w:id="332"/>
      <w:bookmarkStart w:id="333" w:name="_Toc184312094"/>
      <w:bookmarkEnd w:id="333"/>
      <w:bookmarkStart w:id="334" w:name="_Toc184308084"/>
      <w:bookmarkEnd w:id="334"/>
      <w:bookmarkStart w:id="335" w:name="_Toc184310275"/>
      <w:bookmarkEnd w:id="335"/>
      <w:bookmarkStart w:id="336" w:name="_Toc184314418"/>
      <w:bookmarkEnd w:id="336"/>
      <w:bookmarkStart w:id="337" w:name="_Toc184314424"/>
      <w:bookmarkEnd w:id="337"/>
      <w:bookmarkStart w:id="338" w:name="_Toc184310327"/>
      <w:bookmarkEnd w:id="338"/>
      <w:bookmarkStart w:id="339" w:name="_Toc184313246"/>
      <w:bookmarkEnd w:id="339"/>
      <w:bookmarkStart w:id="340" w:name="_Toc184308100"/>
      <w:bookmarkEnd w:id="340"/>
      <w:bookmarkStart w:id="341" w:name="_Toc184314460"/>
      <w:bookmarkEnd w:id="341"/>
      <w:bookmarkStart w:id="342" w:name="_Toc184308067"/>
      <w:bookmarkEnd w:id="342"/>
      <w:bookmarkStart w:id="343" w:name="_Toc184313293"/>
      <w:bookmarkEnd w:id="343"/>
      <w:bookmarkStart w:id="344" w:name="_Toc184308079"/>
      <w:bookmarkEnd w:id="344"/>
      <w:bookmarkStart w:id="345" w:name="_Toc184314429"/>
      <w:bookmarkEnd w:id="345"/>
      <w:bookmarkStart w:id="346" w:name="_Toc184313302"/>
      <w:bookmarkEnd w:id="346"/>
      <w:bookmarkStart w:id="347" w:name="_Toc184312088"/>
      <w:bookmarkEnd w:id="347"/>
      <w:bookmarkStart w:id="348" w:name="_Toc184314471"/>
      <w:bookmarkEnd w:id="348"/>
      <w:bookmarkStart w:id="349" w:name="_Toc184312130"/>
      <w:bookmarkEnd w:id="349"/>
      <w:bookmarkStart w:id="350" w:name="_Toc184313310"/>
      <w:bookmarkEnd w:id="350"/>
      <w:bookmarkStart w:id="351" w:name="_Toc184312070"/>
      <w:bookmarkEnd w:id="351"/>
      <w:bookmarkStart w:id="352" w:name="_Toc184312091"/>
      <w:bookmarkEnd w:id="352"/>
      <w:bookmarkStart w:id="353" w:name="_Toc184310280"/>
      <w:bookmarkEnd w:id="353"/>
      <w:bookmarkStart w:id="354" w:name="_Toc184312132"/>
      <w:bookmarkEnd w:id="354"/>
      <w:bookmarkStart w:id="355" w:name="_Toc184310302"/>
      <w:bookmarkEnd w:id="355"/>
      <w:bookmarkStart w:id="356" w:name="_Toc184314478"/>
      <w:bookmarkEnd w:id="356"/>
      <w:bookmarkStart w:id="357" w:name="_Toc184308049"/>
      <w:bookmarkEnd w:id="357"/>
      <w:bookmarkStart w:id="358" w:name="_Toc184313275"/>
      <w:bookmarkEnd w:id="358"/>
      <w:bookmarkStart w:id="359" w:name="_Toc184314428"/>
      <w:bookmarkEnd w:id="359"/>
      <w:bookmarkStart w:id="360" w:name="_Toc184312135"/>
      <w:bookmarkEnd w:id="360"/>
      <w:bookmarkStart w:id="361" w:name="_Toc184310336"/>
      <w:bookmarkEnd w:id="361"/>
      <w:bookmarkStart w:id="362" w:name="_Toc184314423"/>
      <w:bookmarkEnd w:id="362"/>
      <w:bookmarkStart w:id="363" w:name="_Toc184312131"/>
      <w:bookmarkEnd w:id="363"/>
      <w:bookmarkStart w:id="364" w:name="_Toc184310320"/>
      <w:bookmarkEnd w:id="364"/>
      <w:bookmarkStart w:id="365" w:name="_Toc184308047"/>
      <w:bookmarkEnd w:id="365"/>
      <w:bookmarkStart w:id="366" w:name="_Toc184313289"/>
      <w:bookmarkEnd w:id="366"/>
      <w:bookmarkStart w:id="367" w:name="_Toc184310284"/>
      <w:bookmarkEnd w:id="367"/>
      <w:bookmarkStart w:id="368" w:name="_Toc184313304"/>
      <w:bookmarkEnd w:id="368"/>
      <w:bookmarkStart w:id="369" w:name="_Toc184312107"/>
      <w:bookmarkEnd w:id="369"/>
      <w:bookmarkStart w:id="370" w:name="_Toc184312126"/>
      <w:bookmarkEnd w:id="370"/>
      <w:bookmarkStart w:id="371" w:name="_Toc184313307"/>
      <w:bookmarkEnd w:id="371"/>
      <w:bookmarkStart w:id="372" w:name="_Toc184313269"/>
      <w:bookmarkEnd w:id="372"/>
      <w:bookmarkStart w:id="373" w:name="_Toc184313245"/>
      <w:bookmarkEnd w:id="373"/>
      <w:bookmarkStart w:id="374" w:name="_Toc184313285"/>
      <w:bookmarkEnd w:id="374"/>
      <w:bookmarkStart w:id="375" w:name="_Toc184313250"/>
      <w:bookmarkEnd w:id="375"/>
      <w:bookmarkStart w:id="376" w:name="_Toc184314472"/>
      <w:bookmarkEnd w:id="376"/>
      <w:bookmarkStart w:id="377" w:name="_Toc184312136"/>
      <w:bookmarkEnd w:id="377"/>
      <w:bookmarkStart w:id="378" w:name="_Toc184310323"/>
      <w:bookmarkEnd w:id="378"/>
      <w:bookmarkStart w:id="379" w:name="_Toc184310340"/>
      <w:bookmarkEnd w:id="379"/>
      <w:bookmarkStart w:id="380" w:name="_Toc184312093"/>
      <w:bookmarkEnd w:id="380"/>
      <w:bookmarkStart w:id="381" w:name="_Toc184313306"/>
      <w:bookmarkEnd w:id="381"/>
      <w:bookmarkStart w:id="382" w:name="_Toc184308085"/>
      <w:bookmarkEnd w:id="382"/>
      <w:bookmarkStart w:id="383" w:name="_Toc184313276"/>
      <w:bookmarkEnd w:id="383"/>
      <w:bookmarkStart w:id="384" w:name="_Toc184314410"/>
      <w:bookmarkEnd w:id="384"/>
      <w:bookmarkStart w:id="385" w:name="_Toc184313284"/>
      <w:bookmarkEnd w:id="385"/>
      <w:bookmarkStart w:id="386" w:name="_Toc184314464"/>
      <w:bookmarkEnd w:id="386"/>
      <w:bookmarkStart w:id="387" w:name="_Toc184310324"/>
      <w:bookmarkEnd w:id="387"/>
      <w:bookmarkStart w:id="388" w:name="_Toc184308101"/>
      <w:bookmarkEnd w:id="388"/>
      <w:bookmarkStart w:id="389" w:name="_Toc184312096"/>
      <w:bookmarkEnd w:id="389"/>
      <w:bookmarkStart w:id="390" w:name="_Toc184310334"/>
      <w:bookmarkEnd w:id="390"/>
      <w:bookmarkStart w:id="391" w:name="_Toc184314475"/>
      <w:bookmarkEnd w:id="391"/>
      <w:bookmarkStart w:id="392" w:name="_Toc184312067"/>
      <w:bookmarkEnd w:id="392"/>
      <w:r>
        <w:rPr>
          <w:rFonts w:hint="eastAsia" w:ascii="仿宋" w:hAnsi="仿宋" w:eastAsia="仿宋" w:cs="仿宋"/>
          <w:b/>
          <w:color w:val="auto"/>
          <w:sz w:val="36"/>
          <w:szCs w:val="36"/>
          <w:highlight w:val="none"/>
        </w:rPr>
        <w:t>评标办法</w:t>
      </w:r>
    </w:p>
    <w:p>
      <w:pPr>
        <w:snapToGrid w:val="0"/>
        <w:spacing w:line="480" w:lineRule="auto"/>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1、评标办法前附表</w:t>
      </w:r>
    </w:p>
    <w:p>
      <w:pPr>
        <w:pStyle w:val="85"/>
        <w:spacing w:before="0" w:line="480" w:lineRule="auto"/>
        <w:ind w:firstLine="482"/>
        <w:rPr>
          <w:rFonts w:ascii="仿宋" w:hAnsi="仿宋" w:eastAsia="仿宋" w:cs="仿宋"/>
          <w:color w:val="auto"/>
          <w:szCs w:val="24"/>
          <w:highlight w:val="none"/>
        </w:rPr>
      </w:pPr>
      <w:bookmarkStart w:id="393" w:name="_Toc4121"/>
      <w:bookmarkStart w:id="394" w:name="_Toc441007124"/>
      <w:bookmarkStart w:id="395" w:name="_Toc443415649"/>
      <w:r>
        <w:rPr>
          <w:rFonts w:hint="eastAsia" w:ascii="仿宋" w:hAnsi="仿宋" w:eastAsia="仿宋" w:cs="仿宋"/>
          <w:b/>
          <w:color w:val="auto"/>
          <w:szCs w:val="24"/>
          <w:highlight w:val="none"/>
        </w:rPr>
        <w:t>本次评标采用综合评分法，总分为100分。</w:t>
      </w:r>
      <w:r>
        <w:rPr>
          <w:rFonts w:hint="eastAsia" w:ascii="仿宋" w:hAnsi="仿宋" w:eastAsia="仿宋" w:cs="仿宋"/>
          <w:color w:val="auto"/>
          <w:szCs w:val="24"/>
          <w:highlight w:val="none"/>
        </w:rPr>
        <w:t>合格投标人的评标得分为各项目汇总得分，中标候选资格按评标得分由高到低顺序排列，得分相同的，按投标报价由低到高顺序排列；得分且投标报价相同的，按技术指标优劣顺序排列。排名第一的投标人为第一中标候选人。评分过程中采用四舍五入法，并保留小数2位。</w:t>
      </w:r>
    </w:p>
    <w:p>
      <w:pPr>
        <w:snapToGrid w:val="0"/>
        <w:spacing w:line="480" w:lineRule="auto"/>
        <w:ind w:firstLine="482" w:firstLineChars="200"/>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各投标人的综合得分为：投标价格得分+技术商务得分之和，总和为100分，其中：投标价格得分10分，商务技术得分90分。</w:t>
      </w:r>
    </w:p>
    <w:p>
      <w:pPr>
        <w:snapToGrid w:val="0"/>
        <w:spacing w:line="480" w:lineRule="auto"/>
        <w:ind w:firstLine="482" w:firstLineChars="200"/>
        <w:rPr>
          <w:rFonts w:ascii="仿宋" w:hAnsi="仿宋" w:eastAsia="仿宋" w:cs="仿宋"/>
          <w:b/>
          <w:color w:val="auto"/>
          <w:szCs w:val="24"/>
          <w:highlight w:val="none"/>
        </w:rPr>
      </w:pPr>
      <w:r>
        <w:rPr>
          <w:rFonts w:hint="eastAsia" w:ascii="仿宋" w:hAnsi="仿宋" w:eastAsia="仿宋" w:cs="仿宋"/>
          <w:b/>
          <w:color w:val="auto"/>
          <w:sz w:val="24"/>
          <w:highlight w:val="none"/>
        </w:rPr>
        <w:t>商务技术评标细则（90分）：</w:t>
      </w:r>
    </w:p>
    <w:bookmarkEnd w:id="393"/>
    <w:bookmarkEnd w:id="394"/>
    <w:bookmarkEnd w:id="395"/>
    <w:tbl>
      <w:tblPr>
        <w:tblStyle w:val="62"/>
        <w:tblW w:w="93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6"/>
        <w:gridCol w:w="1129"/>
        <w:gridCol w:w="1129"/>
        <w:gridCol w:w="5649"/>
        <w:gridCol w:w="7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706" w:type="dxa"/>
            <w:tcBorders>
              <w:tl2br w:val="nil"/>
              <w:tr2bl w:val="nil"/>
            </w:tcBorders>
            <w:shd w:val="clear" w:color="000000" w:fill="FFFFFF"/>
            <w:vAlign w:val="center"/>
          </w:tcPr>
          <w:p>
            <w:pPr>
              <w:jc w:val="center"/>
              <w:rPr>
                <w:rFonts w:hint="eastAsia" w:ascii="仿宋" w:hAnsi="仿宋" w:eastAsia="仿宋" w:cs="仿宋"/>
                <w:b/>
                <w:bCs/>
                <w:color w:val="auto"/>
                <w:kern w:val="0"/>
                <w:sz w:val="24"/>
                <w:szCs w:val="24"/>
                <w:highlight w:val="none"/>
              </w:rPr>
            </w:pPr>
            <w:r>
              <w:rPr>
                <w:rFonts w:hint="eastAsia" w:ascii="仿宋" w:hAnsi="仿宋" w:eastAsia="仿宋" w:cs="仿宋"/>
                <w:b/>
                <w:bCs/>
                <w:color w:val="auto"/>
                <w:kern w:val="0"/>
                <w:sz w:val="24"/>
                <w:szCs w:val="24"/>
                <w:highlight w:val="none"/>
              </w:rPr>
              <w:t>序号</w:t>
            </w:r>
          </w:p>
        </w:tc>
        <w:tc>
          <w:tcPr>
            <w:tcW w:w="1129" w:type="dxa"/>
            <w:tcBorders>
              <w:tl2br w:val="nil"/>
              <w:tr2bl w:val="nil"/>
            </w:tcBorders>
            <w:shd w:val="clear" w:color="000000" w:fill="FFFFFF"/>
            <w:vAlign w:val="center"/>
          </w:tcPr>
          <w:p>
            <w:pPr>
              <w:jc w:val="both"/>
              <w:rPr>
                <w:rFonts w:hint="eastAsia" w:ascii="仿宋" w:hAnsi="仿宋" w:eastAsia="仿宋" w:cs="仿宋"/>
                <w:b/>
                <w:bCs/>
                <w:color w:val="auto"/>
                <w:kern w:val="0"/>
                <w:sz w:val="24"/>
                <w:szCs w:val="24"/>
                <w:highlight w:val="none"/>
              </w:rPr>
            </w:pPr>
            <w:r>
              <w:rPr>
                <w:rFonts w:hint="eastAsia" w:ascii="仿宋" w:hAnsi="仿宋" w:eastAsia="仿宋" w:cs="仿宋"/>
                <w:b/>
                <w:bCs/>
                <w:color w:val="auto"/>
                <w:kern w:val="0"/>
                <w:sz w:val="24"/>
                <w:szCs w:val="24"/>
                <w:highlight w:val="none"/>
              </w:rPr>
              <w:t>考评项目</w:t>
            </w:r>
          </w:p>
        </w:tc>
        <w:tc>
          <w:tcPr>
            <w:tcW w:w="1129" w:type="dxa"/>
            <w:tcBorders>
              <w:tl2br w:val="nil"/>
              <w:tr2bl w:val="nil"/>
            </w:tcBorders>
            <w:shd w:val="clear" w:color="000000" w:fill="FFFFFF"/>
            <w:vAlign w:val="center"/>
          </w:tcPr>
          <w:p>
            <w:pPr>
              <w:jc w:val="center"/>
              <w:rPr>
                <w:rFonts w:hint="eastAsia" w:ascii="仿宋" w:hAnsi="仿宋" w:eastAsia="仿宋" w:cs="仿宋"/>
                <w:b/>
                <w:bCs/>
                <w:color w:val="auto"/>
                <w:kern w:val="0"/>
                <w:sz w:val="24"/>
                <w:szCs w:val="24"/>
                <w:highlight w:val="none"/>
              </w:rPr>
            </w:pPr>
            <w:r>
              <w:rPr>
                <w:rFonts w:hint="eastAsia" w:ascii="仿宋" w:hAnsi="仿宋" w:eastAsia="仿宋" w:cs="仿宋"/>
                <w:b/>
                <w:bCs/>
                <w:color w:val="auto"/>
                <w:kern w:val="0"/>
                <w:sz w:val="24"/>
                <w:szCs w:val="24"/>
                <w:highlight w:val="none"/>
              </w:rPr>
              <w:t>评审内容</w:t>
            </w:r>
          </w:p>
        </w:tc>
        <w:tc>
          <w:tcPr>
            <w:tcW w:w="5649" w:type="dxa"/>
            <w:tcBorders>
              <w:tl2br w:val="nil"/>
              <w:tr2bl w:val="nil"/>
            </w:tcBorders>
            <w:shd w:val="clear" w:color="000000" w:fill="FFFFFF"/>
            <w:vAlign w:val="top"/>
          </w:tcPr>
          <w:p>
            <w:pPr>
              <w:jc w:val="center"/>
              <w:rPr>
                <w:rFonts w:hint="eastAsia" w:ascii="仿宋" w:hAnsi="仿宋" w:eastAsia="仿宋" w:cs="仿宋"/>
                <w:b/>
                <w:bCs/>
                <w:color w:val="auto"/>
                <w:kern w:val="0"/>
                <w:sz w:val="24"/>
                <w:szCs w:val="24"/>
                <w:highlight w:val="none"/>
              </w:rPr>
            </w:pPr>
            <w:r>
              <w:rPr>
                <w:rFonts w:hint="eastAsia" w:ascii="仿宋" w:hAnsi="仿宋" w:eastAsia="仿宋" w:cs="仿宋"/>
                <w:b/>
                <w:bCs/>
                <w:color w:val="auto"/>
                <w:kern w:val="0"/>
                <w:sz w:val="24"/>
                <w:szCs w:val="24"/>
                <w:highlight w:val="none"/>
              </w:rPr>
              <w:t>评分因素及评分标准</w:t>
            </w:r>
          </w:p>
        </w:tc>
        <w:tc>
          <w:tcPr>
            <w:tcW w:w="706" w:type="dxa"/>
            <w:tcBorders>
              <w:tl2br w:val="nil"/>
              <w:tr2bl w:val="nil"/>
            </w:tcBorders>
            <w:shd w:val="clear" w:color="000000" w:fill="FFFFFF"/>
            <w:vAlign w:val="center"/>
          </w:tcPr>
          <w:p>
            <w:pPr>
              <w:jc w:val="center"/>
              <w:rPr>
                <w:rFonts w:hint="eastAsia" w:ascii="仿宋" w:hAnsi="仿宋" w:eastAsia="仿宋" w:cs="仿宋"/>
                <w:b/>
                <w:bCs/>
                <w:color w:val="auto"/>
                <w:kern w:val="0"/>
                <w:sz w:val="24"/>
                <w:szCs w:val="24"/>
                <w:highlight w:val="none"/>
              </w:rPr>
            </w:pPr>
            <w:r>
              <w:rPr>
                <w:rFonts w:hint="eastAsia" w:ascii="仿宋" w:hAnsi="仿宋" w:eastAsia="仿宋" w:cs="仿宋"/>
                <w:b/>
                <w:bCs/>
                <w:color w:val="auto"/>
                <w:kern w:val="0"/>
                <w:sz w:val="24"/>
                <w:szCs w:val="24"/>
                <w:highlight w:val="none"/>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4" w:hRule="atLeast"/>
          <w:jc w:val="center"/>
        </w:trPr>
        <w:tc>
          <w:tcPr>
            <w:tcW w:w="706" w:type="dxa"/>
            <w:tcBorders>
              <w:tl2br w:val="nil"/>
              <w:tr2bl w:val="nil"/>
            </w:tcBorders>
            <w:shd w:val="clear" w:color="000000" w:fill="FFFFFF"/>
            <w:vAlign w:val="center"/>
          </w:tcPr>
          <w:p>
            <w:pPr>
              <w:jc w:val="center"/>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1</w:t>
            </w:r>
          </w:p>
        </w:tc>
        <w:tc>
          <w:tcPr>
            <w:tcW w:w="1129" w:type="dxa"/>
            <w:vMerge w:val="restart"/>
            <w:tcBorders>
              <w:tl2br w:val="nil"/>
              <w:tr2bl w:val="nil"/>
            </w:tcBorders>
            <w:shd w:val="clear" w:color="000000" w:fill="FFFFFF"/>
            <w:vAlign w:val="center"/>
          </w:tcPr>
          <w:p>
            <w:pPr>
              <w:widowControl w:val="0"/>
              <w:wordWrap/>
              <w:adjustRightInd/>
              <w:snapToGrid/>
              <w:spacing w:line="380" w:lineRule="exact"/>
              <w:jc w:val="center"/>
              <w:textAlignment w:val="auto"/>
              <w:rPr>
                <w:rFonts w:hint="eastAsia" w:ascii="仿宋" w:hAnsi="仿宋" w:eastAsia="仿宋" w:cs="仿宋"/>
                <w:color w:val="auto"/>
                <w:kern w:val="0"/>
                <w:sz w:val="24"/>
                <w:szCs w:val="24"/>
                <w:highlight w:val="none"/>
              </w:rPr>
            </w:pPr>
          </w:p>
          <w:p>
            <w:pPr>
              <w:widowControl w:val="0"/>
              <w:wordWrap/>
              <w:adjustRightInd/>
              <w:snapToGrid/>
              <w:spacing w:line="380" w:lineRule="exact"/>
              <w:jc w:val="center"/>
              <w:textAlignment w:val="auto"/>
              <w:rPr>
                <w:rFonts w:hint="eastAsia" w:ascii="仿宋" w:hAnsi="仿宋" w:eastAsia="仿宋" w:cs="仿宋"/>
                <w:color w:val="auto"/>
                <w:kern w:val="0"/>
                <w:sz w:val="24"/>
                <w:szCs w:val="24"/>
                <w:highlight w:val="none"/>
              </w:rPr>
            </w:pPr>
          </w:p>
          <w:p>
            <w:pPr>
              <w:widowControl w:val="0"/>
              <w:wordWrap/>
              <w:adjustRightInd/>
              <w:snapToGrid/>
              <w:spacing w:line="380" w:lineRule="exact"/>
              <w:jc w:val="center"/>
              <w:textAlignment w:val="auto"/>
              <w:rPr>
                <w:rFonts w:hint="eastAsia" w:ascii="仿宋" w:hAnsi="仿宋" w:eastAsia="仿宋" w:cs="仿宋"/>
                <w:color w:val="auto"/>
                <w:kern w:val="0"/>
                <w:sz w:val="24"/>
                <w:szCs w:val="24"/>
                <w:highlight w:val="none"/>
              </w:rPr>
            </w:pPr>
          </w:p>
          <w:p>
            <w:pPr>
              <w:widowControl w:val="0"/>
              <w:wordWrap/>
              <w:adjustRightInd/>
              <w:snapToGrid/>
              <w:spacing w:line="380" w:lineRule="exact"/>
              <w:jc w:val="center"/>
              <w:textAlignment w:val="auto"/>
              <w:rPr>
                <w:rFonts w:hint="eastAsia" w:ascii="仿宋" w:hAnsi="仿宋" w:eastAsia="仿宋" w:cs="仿宋"/>
                <w:color w:val="auto"/>
                <w:kern w:val="0"/>
                <w:sz w:val="24"/>
                <w:szCs w:val="24"/>
                <w:highlight w:val="none"/>
              </w:rPr>
            </w:pPr>
          </w:p>
          <w:p>
            <w:pPr>
              <w:widowControl w:val="0"/>
              <w:wordWrap/>
              <w:adjustRightInd/>
              <w:snapToGrid/>
              <w:spacing w:line="380" w:lineRule="exact"/>
              <w:jc w:val="center"/>
              <w:textAlignment w:val="auto"/>
              <w:rPr>
                <w:rFonts w:hint="eastAsia" w:ascii="仿宋" w:hAnsi="仿宋" w:eastAsia="仿宋" w:cs="仿宋"/>
                <w:color w:val="auto"/>
                <w:kern w:val="0"/>
                <w:sz w:val="24"/>
                <w:szCs w:val="24"/>
                <w:highlight w:val="none"/>
              </w:rPr>
            </w:pPr>
          </w:p>
          <w:p>
            <w:pPr>
              <w:widowControl w:val="0"/>
              <w:wordWrap/>
              <w:adjustRightInd/>
              <w:snapToGrid/>
              <w:spacing w:line="380" w:lineRule="exact"/>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kern w:val="0"/>
                <w:sz w:val="24"/>
                <w:szCs w:val="24"/>
                <w:highlight w:val="none"/>
                <w:lang w:val="en-US" w:eastAsia="zh-CN"/>
              </w:rPr>
              <w:t>商务</w:t>
            </w:r>
            <w:r>
              <w:rPr>
                <w:rFonts w:hint="eastAsia" w:ascii="仿宋" w:hAnsi="仿宋" w:eastAsia="仿宋" w:cs="仿宋"/>
                <w:color w:val="auto"/>
                <w:kern w:val="0"/>
                <w:sz w:val="24"/>
                <w:szCs w:val="24"/>
                <w:highlight w:val="none"/>
              </w:rPr>
              <w:t>资信</w:t>
            </w:r>
          </w:p>
          <w:p>
            <w:pPr>
              <w:jc w:val="center"/>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（30</w:t>
            </w:r>
            <w:r>
              <w:rPr>
                <w:rFonts w:hint="eastAsia" w:ascii="仿宋" w:hAnsi="仿宋" w:eastAsia="仿宋" w:cs="仿宋"/>
                <w:color w:val="auto"/>
                <w:kern w:val="0"/>
                <w:sz w:val="24"/>
                <w:szCs w:val="24"/>
                <w:highlight w:val="none"/>
              </w:rPr>
              <w:t>分</w:t>
            </w:r>
            <w:r>
              <w:rPr>
                <w:rFonts w:hint="eastAsia" w:ascii="仿宋" w:hAnsi="仿宋" w:eastAsia="仿宋" w:cs="仿宋"/>
                <w:color w:val="auto"/>
                <w:kern w:val="0"/>
                <w:sz w:val="24"/>
                <w:szCs w:val="24"/>
                <w:highlight w:val="none"/>
                <w:lang w:eastAsia="zh-CN"/>
              </w:rPr>
              <w:t>）</w:t>
            </w:r>
          </w:p>
        </w:tc>
        <w:tc>
          <w:tcPr>
            <w:tcW w:w="1129" w:type="dxa"/>
            <w:tcBorders>
              <w:tl2br w:val="nil"/>
              <w:tr2bl w:val="nil"/>
            </w:tcBorders>
            <w:shd w:val="clear" w:color="000000" w:fill="FFFFFF"/>
            <w:vAlign w:val="center"/>
          </w:tcPr>
          <w:p>
            <w:pPr>
              <w:jc w:val="center"/>
              <w:rPr>
                <w:rFonts w:hint="default" w:ascii="仿宋" w:hAnsi="仿宋" w:eastAsia="仿宋" w:cs="仿宋"/>
                <w:color w:val="auto"/>
                <w:sz w:val="24"/>
                <w:szCs w:val="24"/>
                <w:highlight w:val="none"/>
                <w:lang w:val="en-US" w:eastAsia="zh-CN"/>
              </w:rPr>
            </w:pPr>
            <w:r>
              <w:rPr>
                <w:rFonts w:hint="eastAsia" w:ascii="仿宋" w:hAnsi="仿宋" w:eastAsia="仿宋" w:cs="仿宋"/>
                <w:color w:val="auto"/>
                <w:kern w:val="0"/>
                <w:sz w:val="24"/>
                <w:szCs w:val="24"/>
                <w:highlight w:val="none"/>
                <w:lang w:val="en-US" w:eastAsia="zh-CN"/>
              </w:rPr>
              <w:t>企业证书</w:t>
            </w:r>
          </w:p>
          <w:p>
            <w:pPr>
              <w:pStyle w:val="96"/>
              <w:rPr>
                <w:rFonts w:hint="eastAsia" w:ascii="仿宋" w:hAnsi="仿宋" w:eastAsia="仿宋" w:cs="仿宋"/>
                <w:color w:val="auto"/>
                <w:sz w:val="24"/>
                <w:szCs w:val="24"/>
                <w:highlight w:val="none"/>
                <w:lang w:val="en-US" w:eastAsia="zh-CN"/>
              </w:rPr>
            </w:pPr>
          </w:p>
        </w:tc>
        <w:tc>
          <w:tcPr>
            <w:tcW w:w="5649" w:type="dxa"/>
            <w:tcBorders>
              <w:tl2br w:val="nil"/>
              <w:tr2bl w:val="nil"/>
            </w:tcBorders>
            <w:shd w:val="clear" w:color="000000" w:fill="FFFFFF"/>
            <w:vAlign w:val="center"/>
          </w:tcPr>
          <w:p>
            <w:pPr>
              <w:spacing w:line="360" w:lineRule="auto"/>
              <w:jc w:val="left"/>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投标人通过ISO质量管理体系认证并在有效期内的得1分；通过ISO职业健康安全管理体系认证并在有效期内的得1分；通过ISO环境管理体系认证证书并在有效期内的得1分。</w:t>
            </w:r>
          </w:p>
          <w:p>
            <w:pPr>
              <w:spacing w:line="360" w:lineRule="auto"/>
              <w:jc w:val="left"/>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【证明材料：</w:t>
            </w:r>
            <w:r>
              <w:rPr>
                <w:rFonts w:hint="eastAsia" w:ascii="仿宋" w:hAnsi="仿宋" w:eastAsia="仿宋" w:cs="仿宋"/>
                <w:color w:val="auto"/>
                <w:sz w:val="24"/>
                <w:szCs w:val="24"/>
                <w:highlight w:val="none"/>
              </w:rPr>
              <w:t>投标文件中提供</w:t>
            </w:r>
            <w:r>
              <w:rPr>
                <w:rFonts w:hint="eastAsia" w:ascii="仿宋" w:hAnsi="仿宋" w:eastAsia="仿宋" w:cs="仿宋"/>
                <w:color w:val="auto"/>
                <w:sz w:val="24"/>
                <w:szCs w:val="24"/>
                <w:highlight w:val="none"/>
                <w:lang w:eastAsia="zh-CN"/>
              </w:rPr>
              <w:t>相关证书</w:t>
            </w:r>
            <w:r>
              <w:rPr>
                <w:rFonts w:hint="eastAsia" w:ascii="仿宋" w:hAnsi="仿宋" w:eastAsia="仿宋" w:cs="仿宋"/>
                <w:color w:val="auto"/>
                <w:sz w:val="24"/>
                <w:szCs w:val="24"/>
                <w:highlight w:val="none"/>
              </w:rPr>
              <w:t>复印件并加盖投标人公章</w:t>
            </w:r>
            <w:r>
              <w:rPr>
                <w:rFonts w:hint="eastAsia" w:ascii="仿宋" w:hAnsi="仿宋" w:eastAsia="仿宋" w:cs="仿宋"/>
                <w:color w:val="auto"/>
                <w:sz w:val="24"/>
                <w:szCs w:val="24"/>
                <w:highlight w:val="none"/>
                <w:lang w:eastAsia="zh-CN"/>
              </w:rPr>
              <w:t>，不提供不得分</w:t>
            </w:r>
            <w:r>
              <w:rPr>
                <w:rFonts w:hint="eastAsia" w:ascii="仿宋" w:hAnsi="仿宋" w:eastAsia="仿宋" w:cs="仿宋"/>
                <w:color w:val="auto"/>
                <w:kern w:val="0"/>
                <w:sz w:val="24"/>
                <w:szCs w:val="24"/>
                <w:highlight w:val="none"/>
                <w:lang w:val="en-US" w:eastAsia="zh-CN"/>
              </w:rPr>
              <w:t>。】</w:t>
            </w:r>
          </w:p>
        </w:tc>
        <w:tc>
          <w:tcPr>
            <w:tcW w:w="706" w:type="dxa"/>
            <w:tcBorders>
              <w:tl2br w:val="nil"/>
              <w:tr2bl w:val="nil"/>
            </w:tcBorders>
            <w:shd w:val="clear" w:color="000000" w:fill="FFFFFF"/>
            <w:vAlign w:val="center"/>
          </w:tcPr>
          <w:p>
            <w:pPr>
              <w:jc w:val="center"/>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1" w:hRule="atLeast"/>
          <w:jc w:val="center"/>
        </w:trPr>
        <w:tc>
          <w:tcPr>
            <w:tcW w:w="706" w:type="dxa"/>
            <w:tcBorders>
              <w:tl2br w:val="nil"/>
              <w:tr2bl w:val="nil"/>
            </w:tcBorders>
            <w:shd w:val="clear" w:color="000000" w:fill="FFFFFF"/>
            <w:vAlign w:val="center"/>
          </w:tcPr>
          <w:p>
            <w:pPr>
              <w:jc w:val="center"/>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2</w:t>
            </w:r>
          </w:p>
        </w:tc>
        <w:tc>
          <w:tcPr>
            <w:tcW w:w="1129" w:type="dxa"/>
            <w:vMerge w:val="continue"/>
            <w:tcBorders>
              <w:tl2br w:val="nil"/>
              <w:tr2bl w:val="nil"/>
            </w:tcBorders>
            <w:shd w:val="clear" w:color="000000" w:fill="FFFFFF"/>
            <w:vAlign w:val="center"/>
          </w:tcPr>
          <w:p>
            <w:pPr>
              <w:jc w:val="center"/>
              <w:rPr>
                <w:rFonts w:hint="eastAsia" w:ascii="仿宋" w:hAnsi="仿宋" w:eastAsia="仿宋" w:cs="仿宋"/>
                <w:color w:val="auto"/>
                <w:kern w:val="0"/>
                <w:sz w:val="24"/>
                <w:szCs w:val="24"/>
                <w:highlight w:val="none"/>
                <w:lang w:val="en-US" w:eastAsia="zh-CN"/>
              </w:rPr>
            </w:pPr>
          </w:p>
        </w:tc>
        <w:tc>
          <w:tcPr>
            <w:tcW w:w="1129" w:type="dxa"/>
            <w:tcBorders>
              <w:tl2br w:val="nil"/>
              <w:tr2bl w:val="nil"/>
            </w:tcBorders>
            <w:shd w:val="clear" w:color="000000" w:fill="FFFFFF"/>
            <w:vAlign w:val="center"/>
          </w:tcPr>
          <w:p>
            <w:pPr>
              <w:jc w:val="center"/>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企业业绩</w:t>
            </w:r>
          </w:p>
        </w:tc>
        <w:tc>
          <w:tcPr>
            <w:tcW w:w="5649" w:type="dxa"/>
            <w:tcBorders>
              <w:tl2br w:val="nil"/>
              <w:tr2bl w:val="nil"/>
            </w:tcBorders>
            <w:shd w:val="clear" w:color="000000" w:fill="FFFFFF"/>
            <w:vAlign w:val="center"/>
          </w:tcPr>
          <w:p>
            <w:pPr>
              <w:spacing w:line="360" w:lineRule="auto"/>
              <w:jc w:val="left"/>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投标人自2019年1月1日以来承接过的类似服务项目（</w:t>
            </w:r>
            <w:r>
              <w:rPr>
                <w:rFonts w:hint="eastAsia" w:ascii="仿宋" w:hAnsi="仿宋" w:eastAsia="仿宋" w:cs="仿宋"/>
                <w:color w:val="auto"/>
                <w:sz w:val="24"/>
                <w:szCs w:val="24"/>
                <w:highlight w:val="none"/>
                <w:lang w:eastAsia="zh-CN"/>
              </w:rPr>
              <w:t>微型消防站管理或提供专职消防队服务类项目</w:t>
            </w:r>
            <w:r>
              <w:rPr>
                <w:rFonts w:hint="eastAsia" w:ascii="仿宋" w:hAnsi="仿宋" w:eastAsia="仿宋" w:cs="仿宋"/>
                <w:color w:val="auto"/>
                <w:kern w:val="0"/>
                <w:sz w:val="24"/>
                <w:szCs w:val="24"/>
                <w:highlight w:val="none"/>
                <w:lang w:val="en-US" w:eastAsia="zh-CN"/>
              </w:rPr>
              <w:t>），每提供一个得0.2分，最多得1分。</w:t>
            </w:r>
          </w:p>
          <w:p>
            <w:pPr>
              <w:spacing w:line="360" w:lineRule="auto"/>
              <w:jc w:val="left"/>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【证明材料：提供合同或中标通知书扫描件并加盖公章，否则不得分。】</w:t>
            </w:r>
          </w:p>
        </w:tc>
        <w:tc>
          <w:tcPr>
            <w:tcW w:w="706" w:type="dxa"/>
            <w:tcBorders>
              <w:tl2br w:val="nil"/>
              <w:tr2bl w:val="nil"/>
            </w:tcBorders>
            <w:shd w:val="clear" w:color="000000" w:fill="FFFFFF"/>
            <w:vAlign w:val="center"/>
          </w:tcPr>
          <w:p>
            <w:pPr>
              <w:jc w:val="center"/>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8" w:hRule="atLeast"/>
          <w:jc w:val="center"/>
        </w:trPr>
        <w:tc>
          <w:tcPr>
            <w:tcW w:w="706" w:type="dxa"/>
            <w:vMerge w:val="restart"/>
            <w:tcBorders>
              <w:tl2br w:val="nil"/>
              <w:tr2bl w:val="nil"/>
            </w:tcBorders>
            <w:shd w:val="clear" w:color="000000" w:fill="FFFFFF"/>
            <w:vAlign w:val="center"/>
          </w:tcPr>
          <w:p>
            <w:pPr>
              <w:jc w:val="center"/>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3</w:t>
            </w:r>
          </w:p>
        </w:tc>
        <w:tc>
          <w:tcPr>
            <w:tcW w:w="1129" w:type="dxa"/>
            <w:vMerge w:val="continue"/>
            <w:tcBorders>
              <w:tl2br w:val="nil"/>
              <w:tr2bl w:val="nil"/>
            </w:tcBorders>
            <w:shd w:val="clear" w:color="000000" w:fill="FFFFFF"/>
            <w:vAlign w:val="center"/>
          </w:tcPr>
          <w:p>
            <w:pPr>
              <w:jc w:val="center"/>
              <w:rPr>
                <w:rFonts w:hint="eastAsia" w:ascii="仿宋" w:hAnsi="仿宋" w:eastAsia="仿宋" w:cs="仿宋"/>
                <w:color w:val="auto"/>
                <w:kern w:val="0"/>
                <w:sz w:val="24"/>
                <w:szCs w:val="24"/>
                <w:highlight w:val="none"/>
                <w:lang w:val="en-US" w:eastAsia="zh-CN"/>
              </w:rPr>
            </w:pPr>
          </w:p>
        </w:tc>
        <w:tc>
          <w:tcPr>
            <w:tcW w:w="1129" w:type="dxa"/>
            <w:vMerge w:val="restart"/>
            <w:tcBorders>
              <w:tl2br w:val="nil"/>
              <w:tr2bl w:val="nil"/>
            </w:tcBorders>
            <w:shd w:val="clear" w:color="000000" w:fill="FFFFFF"/>
            <w:vAlign w:val="center"/>
          </w:tcPr>
          <w:p>
            <w:pPr>
              <w:jc w:val="center"/>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color w:val="auto"/>
                <w:kern w:val="0"/>
                <w:sz w:val="24"/>
                <w:szCs w:val="24"/>
                <w:highlight w:val="none"/>
                <w:lang w:val="en-US" w:eastAsia="zh-CN"/>
              </w:rPr>
              <w:t>人员配置</w:t>
            </w:r>
          </w:p>
        </w:tc>
        <w:tc>
          <w:tcPr>
            <w:tcW w:w="5649" w:type="dxa"/>
            <w:tcBorders>
              <w:tl2br w:val="nil"/>
              <w:tr2bl w:val="nil"/>
            </w:tcBorders>
            <w:shd w:val="clear" w:color="000000" w:fill="FFFFFF"/>
            <w:vAlign w:val="center"/>
          </w:tcPr>
          <w:p>
            <w:pPr>
              <w:spacing w:line="360" w:lineRule="auto"/>
              <w:jc w:val="left"/>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color w:val="auto"/>
                <w:sz w:val="24"/>
                <w:szCs w:val="24"/>
                <w:highlight w:val="none"/>
                <w:lang w:val="en-US"/>
              </w:rPr>
              <w:t>项目负责人</w:t>
            </w:r>
            <w:r>
              <w:rPr>
                <w:rFonts w:hint="eastAsia" w:ascii="仿宋" w:hAnsi="仿宋" w:eastAsia="仿宋" w:cs="仿宋"/>
                <w:color w:val="auto"/>
                <w:kern w:val="0"/>
                <w:sz w:val="24"/>
                <w:szCs w:val="24"/>
                <w:highlight w:val="none"/>
                <w:lang w:val="en-US" w:eastAsia="zh-CN" w:bidi="ar-SA"/>
              </w:rPr>
              <w:t>：</w:t>
            </w:r>
          </w:p>
          <w:p>
            <w:pPr>
              <w:spacing w:line="360" w:lineRule="auto"/>
              <w:jc w:val="left"/>
              <w:rPr>
                <w:rFonts w:hint="eastAsia" w:ascii="仿宋" w:hAnsi="仿宋" w:eastAsia="仿宋" w:cs="仿宋"/>
                <w:color w:val="auto"/>
                <w:kern w:val="0"/>
                <w:sz w:val="24"/>
                <w:szCs w:val="24"/>
                <w:highlight w:val="none"/>
                <w:u w:val="none"/>
                <w:lang w:val="en-US" w:eastAsia="zh-CN" w:bidi="ar-SA"/>
              </w:rPr>
            </w:pPr>
            <w:r>
              <w:rPr>
                <w:rFonts w:hint="eastAsia" w:ascii="仿宋" w:hAnsi="仿宋" w:eastAsia="仿宋" w:cs="仿宋"/>
                <w:color w:val="auto"/>
                <w:kern w:val="0"/>
                <w:sz w:val="24"/>
                <w:szCs w:val="24"/>
                <w:highlight w:val="none"/>
                <w:u w:val="none"/>
                <w:lang w:val="en-US" w:eastAsia="zh-CN" w:bidi="ar-SA"/>
              </w:rPr>
              <w:t>①</w:t>
            </w:r>
            <w:r>
              <w:rPr>
                <w:rFonts w:hint="eastAsia" w:ascii="仿宋" w:hAnsi="仿宋" w:eastAsia="仿宋" w:cs="仿宋"/>
                <w:color w:val="auto"/>
                <w:sz w:val="24"/>
                <w:szCs w:val="24"/>
                <w:highlight w:val="none"/>
                <w:lang w:val="en-US"/>
              </w:rPr>
              <w:t>具</w:t>
            </w:r>
            <w:r>
              <w:rPr>
                <w:rFonts w:hint="eastAsia" w:ascii="仿宋" w:hAnsi="仿宋" w:eastAsia="仿宋" w:cs="仿宋"/>
                <w:color w:val="auto"/>
                <w:kern w:val="0"/>
                <w:sz w:val="24"/>
                <w:szCs w:val="24"/>
                <w:highlight w:val="none"/>
                <w:u w:val="none"/>
                <w:lang w:val="en-US" w:eastAsia="zh-CN" w:bidi="ar-SA"/>
              </w:rPr>
              <w:t>有本科及以上学历的</w:t>
            </w:r>
            <w:r>
              <w:rPr>
                <w:rFonts w:hint="eastAsia" w:ascii="仿宋" w:hAnsi="仿宋" w:eastAsia="仿宋" w:cs="仿宋"/>
                <w:color w:val="auto"/>
                <w:kern w:val="0"/>
                <w:sz w:val="24"/>
                <w:szCs w:val="24"/>
                <w:highlight w:val="none"/>
                <w:u w:val="none"/>
                <w:lang w:val="en-US" w:bidi="ar-SA"/>
              </w:rPr>
              <w:t>得</w:t>
            </w:r>
            <w:r>
              <w:rPr>
                <w:rFonts w:hint="eastAsia" w:ascii="仿宋" w:hAnsi="仿宋" w:eastAsia="仿宋" w:cs="仿宋"/>
                <w:color w:val="auto"/>
                <w:kern w:val="0"/>
                <w:sz w:val="24"/>
                <w:szCs w:val="24"/>
                <w:highlight w:val="none"/>
                <w:u w:val="none"/>
                <w:lang w:val="en-US" w:eastAsia="zh-CN" w:bidi="ar-SA"/>
              </w:rPr>
              <w:t>1</w:t>
            </w:r>
            <w:r>
              <w:rPr>
                <w:rFonts w:hint="eastAsia" w:ascii="仿宋" w:hAnsi="仿宋" w:eastAsia="仿宋" w:cs="仿宋"/>
                <w:color w:val="auto"/>
                <w:sz w:val="24"/>
                <w:szCs w:val="24"/>
                <w:highlight w:val="none"/>
                <w:lang w:val="en-US" w:eastAsia="zh-CN"/>
              </w:rPr>
              <w:t>分</w:t>
            </w:r>
            <w:r>
              <w:rPr>
                <w:rFonts w:hint="eastAsia" w:ascii="仿宋" w:hAnsi="仿宋" w:eastAsia="仿宋" w:cs="仿宋"/>
                <w:color w:val="auto"/>
                <w:kern w:val="0"/>
                <w:sz w:val="24"/>
                <w:szCs w:val="24"/>
                <w:highlight w:val="none"/>
                <w:u w:val="none"/>
                <w:lang w:val="en-US" w:eastAsia="zh-CN" w:bidi="ar-SA"/>
              </w:rPr>
              <w:t>；②具有</w:t>
            </w:r>
            <w:r>
              <w:rPr>
                <w:rFonts w:hint="eastAsia" w:ascii="仿宋" w:hAnsi="仿宋" w:eastAsia="仿宋" w:cs="仿宋"/>
                <w:color w:val="auto"/>
                <w:sz w:val="24"/>
                <w:szCs w:val="24"/>
                <w:highlight w:val="none"/>
                <w:u w:val="none"/>
                <w:lang w:val="en-US"/>
              </w:rPr>
              <w:t>消防员高级证书</w:t>
            </w:r>
            <w:r>
              <w:rPr>
                <w:rFonts w:hint="eastAsia" w:ascii="仿宋" w:hAnsi="仿宋" w:eastAsia="仿宋" w:cs="仿宋"/>
                <w:color w:val="auto"/>
                <w:sz w:val="24"/>
                <w:szCs w:val="24"/>
                <w:highlight w:val="none"/>
                <w:u w:val="none"/>
                <w:lang w:val="en-US" w:eastAsia="zh-CN"/>
              </w:rPr>
              <w:t>的</w:t>
            </w:r>
            <w:r>
              <w:rPr>
                <w:rFonts w:hint="eastAsia" w:ascii="仿宋" w:hAnsi="仿宋" w:eastAsia="仿宋" w:cs="仿宋"/>
                <w:color w:val="auto"/>
                <w:kern w:val="0"/>
                <w:sz w:val="24"/>
                <w:szCs w:val="24"/>
                <w:highlight w:val="none"/>
                <w:u w:val="none"/>
                <w:lang w:val="en-US" w:eastAsia="zh-CN" w:bidi="ar-SA"/>
              </w:rPr>
              <w:t>得1分；</w:t>
            </w:r>
            <w:r>
              <w:rPr>
                <w:rFonts w:hint="default" w:ascii="仿宋" w:hAnsi="仿宋" w:eastAsia="仿宋" w:cs="仿宋"/>
                <w:color w:val="auto"/>
                <w:kern w:val="0"/>
                <w:sz w:val="24"/>
                <w:szCs w:val="24"/>
                <w:highlight w:val="none"/>
                <w:u w:val="none"/>
                <w:lang w:val="en-US" w:eastAsia="zh-CN" w:bidi="ar-SA"/>
              </w:rPr>
              <w:t>③</w:t>
            </w:r>
            <w:r>
              <w:rPr>
                <w:rFonts w:hint="eastAsia" w:ascii="仿宋" w:hAnsi="仿宋" w:eastAsia="仿宋" w:cs="仿宋"/>
                <w:color w:val="auto"/>
                <w:sz w:val="24"/>
                <w:szCs w:val="24"/>
                <w:highlight w:val="none"/>
                <w:u w:val="none"/>
                <w:lang w:val="en-US"/>
              </w:rPr>
              <w:t>具</w:t>
            </w:r>
            <w:r>
              <w:rPr>
                <w:rFonts w:hint="eastAsia" w:ascii="仿宋" w:hAnsi="仿宋" w:eastAsia="仿宋" w:cs="仿宋"/>
                <w:color w:val="auto"/>
                <w:sz w:val="24"/>
                <w:szCs w:val="24"/>
                <w:highlight w:val="none"/>
                <w:lang w:val="en-US"/>
              </w:rPr>
              <w:t>有消防设施操作员证的得</w:t>
            </w: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lang w:val="en-US"/>
              </w:rPr>
              <w:t>分</w:t>
            </w:r>
            <w:r>
              <w:rPr>
                <w:rFonts w:hint="eastAsia" w:ascii="仿宋" w:hAnsi="仿宋" w:eastAsia="仿宋" w:cs="仿宋"/>
                <w:color w:val="auto"/>
                <w:sz w:val="24"/>
                <w:szCs w:val="24"/>
                <w:highlight w:val="none"/>
                <w:lang w:val="en-US" w:eastAsia="zh-CN"/>
              </w:rPr>
              <w:t>；</w:t>
            </w:r>
            <w:r>
              <w:rPr>
                <w:rFonts w:hint="eastAsia" w:ascii="仿宋" w:hAnsi="仿宋" w:eastAsia="仿宋" w:cs="仿宋"/>
                <w:color w:val="auto"/>
                <w:kern w:val="0"/>
                <w:sz w:val="24"/>
                <w:szCs w:val="24"/>
                <w:highlight w:val="none"/>
                <w:u w:val="none"/>
                <w:lang w:val="en-US" w:eastAsia="zh-CN" w:bidi="ar-SA"/>
              </w:rPr>
              <w:t>本项最高得3分。</w:t>
            </w:r>
          </w:p>
          <w:p>
            <w:pPr>
              <w:spacing w:line="360" w:lineRule="auto"/>
              <w:jc w:val="left"/>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b w:val="0"/>
                <w:bCs w:val="0"/>
                <w:color w:val="auto"/>
                <w:kern w:val="0"/>
                <w:sz w:val="24"/>
                <w:szCs w:val="24"/>
                <w:highlight w:val="none"/>
                <w:lang w:val="en-US" w:eastAsia="zh-CN" w:bidi="ar-SA"/>
              </w:rPr>
              <w:t>【证明材料：均须提供在</w:t>
            </w:r>
            <w:r>
              <w:rPr>
                <w:rFonts w:hint="eastAsia" w:ascii="仿宋" w:hAnsi="仿宋" w:eastAsia="仿宋" w:cs="仿宋"/>
                <w:color w:val="auto"/>
                <w:kern w:val="0"/>
                <w:sz w:val="24"/>
                <w:szCs w:val="24"/>
                <w:highlight w:val="none"/>
                <w:lang w:val="en-US" w:eastAsia="zh-CN" w:bidi="ar-SA"/>
              </w:rPr>
              <w:t>本单位近三个月缴纳的个人社保缴纳证明材料</w:t>
            </w:r>
            <w:r>
              <w:rPr>
                <w:rFonts w:hint="eastAsia" w:ascii="仿宋" w:hAnsi="仿宋" w:eastAsia="仿宋" w:cs="仿宋"/>
                <w:b w:val="0"/>
                <w:bCs w:val="0"/>
                <w:color w:val="auto"/>
                <w:kern w:val="0"/>
                <w:sz w:val="24"/>
                <w:szCs w:val="24"/>
                <w:highlight w:val="none"/>
                <w:lang w:val="en-US" w:eastAsia="zh-CN" w:bidi="ar-SA"/>
              </w:rPr>
              <w:t>，相关证书或证明材料等资料须提供原件扫描件并加盖公章。 】</w:t>
            </w:r>
          </w:p>
        </w:tc>
        <w:tc>
          <w:tcPr>
            <w:tcW w:w="706" w:type="dxa"/>
            <w:vMerge w:val="restart"/>
            <w:tcBorders>
              <w:tl2br w:val="nil"/>
              <w:tr2bl w:val="nil"/>
            </w:tcBorders>
            <w:shd w:val="clear" w:color="000000" w:fill="FFFFFF"/>
            <w:vAlign w:val="center"/>
          </w:tcPr>
          <w:p>
            <w:pPr>
              <w:jc w:val="center"/>
              <w:rPr>
                <w:rFonts w:hint="default"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1" w:hRule="atLeast"/>
          <w:jc w:val="center"/>
        </w:trPr>
        <w:tc>
          <w:tcPr>
            <w:tcW w:w="706" w:type="dxa"/>
            <w:vMerge w:val="continue"/>
            <w:tcBorders>
              <w:tl2br w:val="nil"/>
              <w:tr2bl w:val="nil"/>
            </w:tcBorders>
            <w:shd w:val="clear" w:color="000000" w:fill="FFFFFF"/>
            <w:vAlign w:val="center"/>
          </w:tcPr>
          <w:p>
            <w:pPr>
              <w:jc w:val="left"/>
              <w:rPr>
                <w:rFonts w:hint="eastAsia" w:ascii="仿宋" w:hAnsi="仿宋" w:eastAsia="仿宋" w:cs="仿宋"/>
                <w:b/>
                <w:bCs/>
                <w:color w:val="auto"/>
                <w:sz w:val="24"/>
                <w:szCs w:val="24"/>
                <w:highlight w:val="none"/>
              </w:rPr>
            </w:pPr>
          </w:p>
        </w:tc>
        <w:tc>
          <w:tcPr>
            <w:tcW w:w="1129" w:type="dxa"/>
            <w:vMerge w:val="continue"/>
            <w:tcBorders>
              <w:tl2br w:val="nil"/>
              <w:tr2bl w:val="nil"/>
            </w:tcBorders>
            <w:shd w:val="clear" w:color="000000" w:fill="FFFFFF"/>
            <w:vAlign w:val="center"/>
          </w:tcPr>
          <w:p>
            <w:pPr>
              <w:jc w:val="left"/>
              <w:rPr>
                <w:rFonts w:hint="eastAsia" w:ascii="仿宋" w:hAnsi="仿宋" w:eastAsia="仿宋" w:cs="仿宋"/>
                <w:b/>
                <w:bCs/>
                <w:color w:val="auto"/>
                <w:sz w:val="24"/>
                <w:szCs w:val="24"/>
                <w:highlight w:val="none"/>
              </w:rPr>
            </w:pPr>
          </w:p>
        </w:tc>
        <w:tc>
          <w:tcPr>
            <w:tcW w:w="1129" w:type="dxa"/>
            <w:vMerge w:val="continue"/>
            <w:tcBorders>
              <w:tl2br w:val="nil"/>
              <w:tr2bl w:val="nil"/>
            </w:tcBorders>
            <w:shd w:val="clear" w:color="000000" w:fill="FFFFFF"/>
            <w:vAlign w:val="center"/>
          </w:tcPr>
          <w:p>
            <w:pPr>
              <w:jc w:val="left"/>
              <w:rPr>
                <w:rFonts w:hint="eastAsia" w:ascii="仿宋" w:hAnsi="仿宋" w:eastAsia="仿宋" w:cs="仿宋"/>
                <w:b/>
                <w:bCs/>
                <w:color w:val="auto"/>
                <w:sz w:val="24"/>
                <w:szCs w:val="24"/>
                <w:highlight w:val="none"/>
              </w:rPr>
            </w:pPr>
          </w:p>
        </w:tc>
        <w:tc>
          <w:tcPr>
            <w:tcW w:w="5649" w:type="dxa"/>
            <w:tcBorders>
              <w:tl2br w:val="nil"/>
              <w:tr2bl w:val="nil"/>
            </w:tcBorders>
            <w:shd w:val="clear" w:color="000000" w:fill="FFFFFF"/>
            <w:vAlign w:val="center"/>
          </w:tcPr>
          <w:p>
            <w:pPr>
              <w:spacing w:line="360" w:lineRule="auto"/>
              <w:jc w:val="both"/>
              <w:rPr>
                <w:rFonts w:hint="eastAsia" w:ascii="仿宋" w:hAnsi="仿宋" w:eastAsia="仿宋" w:cs="仿宋"/>
                <w:b w:val="0"/>
                <w:bCs w:val="0"/>
                <w:color w:val="auto"/>
                <w:kern w:val="0"/>
                <w:sz w:val="24"/>
                <w:szCs w:val="24"/>
                <w:highlight w:val="none"/>
                <w:lang w:val="en-US" w:eastAsia="zh-CN" w:bidi="ar-SA"/>
              </w:rPr>
            </w:pPr>
            <w:r>
              <w:rPr>
                <w:rFonts w:hint="eastAsia" w:ascii="仿宋" w:hAnsi="仿宋" w:eastAsia="仿宋" w:cs="仿宋"/>
                <w:b w:val="0"/>
                <w:bCs w:val="0"/>
                <w:color w:val="auto"/>
                <w:kern w:val="0"/>
                <w:sz w:val="24"/>
                <w:szCs w:val="24"/>
                <w:highlight w:val="none"/>
                <w:lang w:val="en-US" w:eastAsia="zh-CN" w:bidi="ar-SA"/>
              </w:rPr>
              <w:t>拟投入项目组成员：</w:t>
            </w:r>
          </w:p>
          <w:p>
            <w:pPr>
              <w:pStyle w:val="96"/>
              <w:spacing w:line="360" w:lineRule="auto"/>
              <w:jc w:val="both"/>
              <w:rPr>
                <w:rFonts w:hint="eastAsia" w:ascii="仿宋" w:hAnsi="仿宋" w:eastAsia="仿宋" w:cs="仿宋"/>
                <w:color w:val="auto"/>
                <w:sz w:val="24"/>
                <w:szCs w:val="24"/>
                <w:highlight w:val="none"/>
                <w:u w:val="none"/>
                <w:lang w:val="en-US" w:eastAsia="zh-CN"/>
              </w:rPr>
            </w:pPr>
            <w:r>
              <w:rPr>
                <w:rFonts w:hint="eastAsia" w:ascii="仿宋" w:hAnsi="仿宋" w:eastAsia="仿宋" w:cs="仿宋"/>
                <w:color w:val="auto"/>
                <w:kern w:val="0"/>
                <w:sz w:val="24"/>
                <w:szCs w:val="24"/>
                <w:highlight w:val="none"/>
                <w:u w:val="none"/>
                <w:lang w:val="en-US" w:eastAsia="zh-CN" w:bidi="ar-SA"/>
              </w:rPr>
              <w:t>队员：</w:t>
            </w:r>
            <w:r>
              <w:rPr>
                <w:rFonts w:hint="eastAsia" w:ascii="仿宋" w:hAnsi="仿宋" w:eastAsia="仿宋" w:cs="仿宋"/>
                <w:color w:val="auto"/>
                <w:sz w:val="24"/>
                <w:szCs w:val="24"/>
                <w:highlight w:val="none"/>
                <w:lang w:val="en-US" w:eastAsia="zh-CN"/>
              </w:rPr>
              <w:t>根据</w:t>
            </w:r>
            <w:r>
              <w:rPr>
                <w:rFonts w:hint="eastAsia" w:ascii="仿宋" w:hAnsi="仿宋" w:eastAsia="仿宋" w:cs="仿宋"/>
                <w:color w:val="auto"/>
                <w:sz w:val="24"/>
                <w:szCs w:val="24"/>
                <w:highlight w:val="none"/>
              </w:rPr>
              <w:t>拟派的</w:t>
            </w:r>
            <w:r>
              <w:rPr>
                <w:rFonts w:hint="eastAsia" w:ascii="仿宋" w:hAnsi="仿宋" w:eastAsia="仿宋" w:cs="仿宋"/>
                <w:color w:val="auto"/>
                <w:sz w:val="24"/>
                <w:szCs w:val="24"/>
                <w:highlight w:val="none"/>
                <w:lang w:val="en-US" w:eastAsia="zh-CN"/>
              </w:rPr>
              <w:t>队员</w:t>
            </w:r>
            <w:r>
              <w:rPr>
                <w:rFonts w:hint="eastAsia" w:ascii="仿宋" w:hAnsi="仿宋" w:eastAsia="仿宋" w:cs="仿宋"/>
                <w:color w:val="auto"/>
                <w:sz w:val="24"/>
                <w:szCs w:val="24"/>
                <w:highlight w:val="none"/>
                <w:lang w:eastAsia="zh-CN"/>
              </w:rPr>
              <w:t>中，</w:t>
            </w:r>
            <w:r>
              <w:rPr>
                <w:rFonts w:hint="eastAsia" w:ascii="仿宋" w:hAnsi="仿宋" w:eastAsia="仿宋" w:cs="仿宋"/>
                <w:color w:val="auto"/>
                <w:sz w:val="24"/>
                <w:szCs w:val="24"/>
                <w:highlight w:val="none"/>
                <w:lang w:val="en-US" w:eastAsia="zh-CN"/>
              </w:rPr>
              <w:t>具有原武警消防部队退役士兵、改革转隶后国家综合性消防救援队伍退出消防员或有1年以上灭火救援工作经历的基层消防站合同制队员，</w:t>
            </w:r>
            <w:r>
              <w:rPr>
                <w:rFonts w:hint="eastAsia" w:ascii="仿宋" w:hAnsi="仿宋" w:eastAsia="仿宋" w:cs="仿宋"/>
                <w:color w:val="auto"/>
                <w:sz w:val="24"/>
                <w:szCs w:val="24"/>
                <w:highlight w:val="none"/>
                <w:u w:val="none"/>
                <w:lang w:val="en-US" w:eastAsia="zh-CN"/>
              </w:rPr>
              <w:t>每增加1个得0.5分</w:t>
            </w:r>
            <w:r>
              <w:rPr>
                <w:rFonts w:hint="eastAsia" w:ascii="仿宋" w:hAnsi="仿宋" w:eastAsia="仿宋" w:cs="仿宋"/>
                <w:b w:val="0"/>
                <w:bCs w:val="0"/>
                <w:color w:val="auto"/>
                <w:kern w:val="0"/>
                <w:sz w:val="24"/>
                <w:szCs w:val="24"/>
                <w:highlight w:val="none"/>
                <w:u w:val="none"/>
                <w:lang w:val="en-US" w:eastAsia="zh-CN" w:bidi="ar-SA"/>
              </w:rPr>
              <w:t>，</w:t>
            </w:r>
            <w:r>
              <w:rPr>
                <w:rFonts w:hint="eastAsia" w:ascii="仿宋" w:hAnsi="仿宋" w:eastAsia="仿宋" w:cs="仿宋"/>
                <w:b w:val="0"/>
                <w:bCs w:val="0"/>
                <w:color w:val="auto"/>
                <w:kern w:val="0"/>
                <w:sz w:val="24"/>
                <w:szCs w:val="24"/>
                <w:highlight w:val="none"/>
                <w:lang w:val="en-US" w:eastAsia="zh-CN" w:bidi="ar-SA"/>
              </w:rPr>
              <w:t>本项最高得10分。</w:t>
            </w:r>
          </w:p>
          <w:p>
            <w:pPr>
              <w:spacing w:line="360" w:lineRule="auto"/>
              <w:jc w:val="both"/>
              <w:rPr>
                <w:rFonts w:hint="eastAsia" w:ascii="仿宋" w:hAnsi="仿宋" w:eastAsia="仿宋" w:cs="仿宋"/>
                <w:b/>
                <w:bCs/>
                <w:color w:val="auto"/>
                <w:kern w:val="0"/>
                <w:sz w:val="24"/>
                <w:szCs w:val="24"/>
                <w:highlight w:val="none"/>
                <w:lang w:val="en-US" w:eastAsia="zh-CN" w:bidi="ar-SA"/>
              </w:rPr>
            </w:pPr>
            <w:r>
              <w:rPr>
                <w:rFonts w:hint="eastAsia" w:ascii="仿宋" w:hAnsi="仿宋" w:eastAsia="仿宋" w:cs="仿宋"/>
                <w:b w:val="0"/>
                <w:bCs w:val="0"/>
                <w:color w:val="auto"/>
                <w:kern w:val="0"/>
                <w:sz w:val="24"/>
                <w:szCs w:val="24"/>
                <w:highlight w:val="none"/>
                <w:lang w:val="en-US" w:eastAsia="zh-CN" w:bidi="ar-SA"/>
              </w:rPr>
              <w:t>【证明材料：以上人员均须提供在</w:t>
            </w:r>
            <w:r>
              <w:rPr>
                <w:rFonts w:hint="eastAsia" w:ascii="仿宋" w:hAnsi="仿宋" w:eastAsia="仿宋" w:cs="仿宋"/>
                <w:color w:val="auto"/>
                <w:kern w:val="0"/>
                <w:sz w:val="24"/>
                <w:szCs w:val="24"/>
                <w:highlight w:val="none"/>
                <w:lang w:val="en-US" w:eastAsia="zh-CN" w:bidi="ar-SA"/>
              </w:rPr>
              <w:t>本单位近一个月缴纳的个人社保缴纳证明材料</w:t>
            </w:r>
            <w:r>
              <w:rPr>
                <w:rFonts w:hint="eastAsia" w:ascii="仿宋" w:hAnsi="仿宋" w:eastAsia="仿宋" w:cs="仿宋"/>
                <w:b w:val="0"/>
                <w:bCs w:val="0"/>
                <w:color w:val="auto"/>
                <w:kern w:val="0"/>
                <w:sz w:val="24"/>
                <w:szCs w:val="24"/>
                <w:highlight w:val="none"/>
                <w:lang w:val="en-US" w:eastAsia="zh-CN" w:bidi="ar-SA"/>
              </w:rPr>
              <w:t>，相关证书或证明材料等资料须提供原件扫描件并加盖公章。 】</w:t>
            </w:r>
          </w:p>
        </w:tc>
        <w:tc>
          <w:tcPr>
            <w:tcW w:w="706" w:type="dxa"/>
            <w:vMerge w:val="continue"/>
            <w:tcBorders>
              <w:tl2br w:val="nil"/>
              <w:tr2bl w:val="nil"/>
            </w:tcBorders>
            <w:shd w:val="clear" w:color="000000" w:fill="FFFFFF"/>
            <w:vAlign w:val="center"/>
          </w:tcPr>
          <w:p>
            <w:pPr>
              <w:jc w:val="left"/>
              <w:rPr>
                <w:rFonts w:hint="eastAsia" w:ascii="仿宋" w:hAnsi="仿宋" w:eastAsia="仿宋" w:cs="仿宋"/>
                <w:color w:val="auto"/>
                <w:kern w:val="0"/>
                <w:sz w:val="24"/>
                <w:szCs w:val="24"/>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6" w:hRule="atLeast"/>
          <w:jc w:val="center"/>
        </w:trPr>
        <w:tc>
          <w:tcPr>
            <w:tcW w:w="706" w:type="dxa"/>
            <w:tcBorders>
              <w:tl2br w:val="nil"/>
              <w:tr2bl w:val="nil"/>
            </w:tcBorders>
            <w:shd w:val="clear" w:color="000000" w:fill="FFFFFF"/>
            <w:vAlign w:val="center"/>
          </w:tcPr>
          <w:p>
            <w:pPr>
              <w:jc w:val="center"/>
              <w:rPr>
                <w:rFonts w:hint="default"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4</w:t>
            </w:r>
          </w:p>
        </w:tc>
        <w:tc>
          <w:tcPr>
            <w:tcW w:w="1129" w:type="dxa"/>
            <w:vMerge w:val="continue"/>
            <w:tcBorders>
              <w:tl2br w:val="nil"/>
              <w:tr2bl w:val="nil"/>
            </w:tcBorders>
            <w:shd w:val="clear" w:color="000000" w:fill="FFFFFF"/>
            <w:vAlign w:val="center"/>
          </w:tcPr>
          <w:p>
            <w:pPr>
              <w:jc w:val="center"/>
              <w:rPr>
                <w:rFonts w:hint="eastAsia" w:ascii="仿宋" w:hAnsi="仿宋" w:eastAsia="仿宋" w:cs="仿宋"/>
                <w:color w:val="auto"/>
                <w:kern w:val="0"/>
                <w:sz w:val="24"/>
                <w:szCs w:val="24"/>
                <w:highlight w:val="none"/>
                <w:lang w:val="en-US" w:eastAsia="zh-CN"/>
              </w:rPr>
            </w:pPr>
          </w:p>
        </w:tc>
        <w:tc>
          <w:tcPr>
            <w:tcW w:w="1129" w:type="dxa"/>
            <w:tcBorders>
              <w:tl2br w:val="nil"/>
              <w:tr2bl w:val="nil"/>
            </w:tcBorders>
            <w:shd w:val="clear" w:color="000000" w:fill="FFFFFF"/>
            <w:vAlign w:val="center"/>
          </w:tcPr>
          <w:p>
            <w:pPr>
              <w:jc w:val="center"/>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车辆配备</w:t>
            </w:r>
          </w:p>
        </w:tc>
        <w:tc>
          <w:tcPr>
            <w:tcW w:w="5649" w:type="dxa"/>
            <w:tcBorders>
              <w:tl2br w:val="nil"/>
              <w:tr2bl w:val="nil"/>
            </w:tcBorders>
            <w:shd w:val="clear" w:color="000000" w:fill="FFFFFF"/>
            <w:vAlign w:val="center"/>
          </w:tcPr>
          <w:p>
            <w:pPr>
              <w:numPr>
                <w:ilvl w:val="0"/>
                <w:numId w:val="14"/>
              </w:numPr>
              <w:spacing w:line="360" w:lineRule="auto"/>
              <w:jc w:val="both"/>
              <w:rPr>
                <w:rFonts w:hint="eastAsia" w:ascii="仿宋" w:hAnsi="仿宋" w:eastAsia="仿宋" w:cs="仿宋"/>
                <w:b w:val="0"/>
                <w:bCs w:val="0"/>
                <w:color w:val="auto"/>
                <w:kern w:val="0"/>
                <w:sz w:val="24"/>
                <w:szCs w:val="24"/>
                <w:highlight w:val="none"/>
                <w:lang w:val="en-US" w:eastAsia="zh-CN" w:bidi="ar-SA"/>
              </w:rPr>
            </w:pPr>
            <w:r>
              <w:rPr>
                <w:rFonts w:hint="eastAsia" w:ascii="仿宋" w:hAnsi="仿宋" w:eastAsia="仿宋" w:cs="仿宋"/>
                <w:b w:val="0"/>
                <w:bCs w:val="0"/>
                <w:color w:val="auto"/>
                <w:kern w:val="0"/>
                <w:sz w:val="24"/>
                <w:szCs w:val="24"/>
                <w:highlight w:val="none"/>
                <w:lang w:val="en-US" w:eastAsia="zh-CN" w:bidi="ar-SA"/>
              </w:rPr>
              <w:t>、投标人具有</w:t>
            </w:r>
            <w:r>
              <w:rPr>
                <w:rFonts w:hint="eastAsia" w:ascii="仿宋" w:hAnsi="仿宋" w:eastAsia="仿宋" w:cs="仿宋"/>
                <w:b w:val="0"/>
                <w:bCs w:val="0"/>
                <w:color w:val="auto"/>
                <w:sz w:val="24"/>
                <w:highlight w:val="none"/>
                <w:lang w:val="en-US" w:eastAsia="zh-CN"/>
              </w:rPr>
              <w:t>3.8吨泡沫水罐消防车，一辆得2分，最高得4分。</w:t>
            </w:r>
          </w:p>
          <w:p>
            <w:pPr>
              <w:numPr>
                <w:ilvl w:val="0"/>
                <w:numId w:val="14"/>
              </w:numPr>
              <w:spacing w:line="360" w:lineRule="auto"/>
              <w:jc w:val="both"/>
              <w:rPr>
                <w:rFonts w:hint="eastAsia" w:ascii="仿宋" w:hAnsi="仿宋" w:eastAsia="仿宋" w:cs="仿宋"/>
                <w:color w:val="auto"/>
                <w:sz w:val="24"/>
                <w:szCs w:val="24"/>
                <w:highlight w:val="none"/>
                <w:lang w:val="en-US"/>
              </w:rPr>
            </w:pPr>
            <w:r>
              <w:rPr>
                <w:rFonts w:hint="eastAsia" w:ascii="仿宋" w:hAnsi="仿宋" w:eastAsia="仿宋" w:cs="仿宋"/>
                <w:b w:val="0"/>
                <w:bCs w:val="0"/>
                <w:color w:val="auto"/>
                <w:kern w:val="0"/>
                <w:sz w:val="24"/>
                <w:szCs w:val="24"/>
                <w:highlight w:val="none"/>
                <w:lang w:val="en-US" w:eastAsia="zh-CN" w:bidi="ar-SA"/>
              </w:rPr>
              <w:t>、投标人具有</w:t>
            </w:r>
            <w:r>
              <w:rPr>
                <w:rFonts w:hint="eastAsia" w:ascii="仿宋" w:hAnsi="仿宋" w:eastAsia="仿宋" w:cs="仿宋"/>
                <w:b w:val="0"/>
                <w:bCs w:val="0"/>
                <w:color w:val="auto"/>
                <w:sz w:val="24"/>
                <w:highlight w:val="none"/>
                <w:lang w:val="en-US" w:eastAsia="zh-CN"/>
              </w:rPr>
              <w:t>细水雾消防车，一辆得1分，最高得6分。</w:t>
            </w:r>
          </w:p>
          <w:p>
            <w:pPr>
              <w:numPr>
                <w:ilvl w:val="0"/>
                <w:numId w:val="14"/>
              </w:numPr>
              <w:spacing w:line="360" w:lineRule="auto"/>
              <w:jc w:val="both"/>
              <w:rPr>
                <w:rFonts w:hint="eastAsia" w:ascii="仿宋" w:hAnsi="仿宋" w:eastAsia="仿宋" w:cs="仿宋"/>
                <w:color w:val="auto"/>
                <w:sz w:val="24"/>
                <w:szCs w:val="24"/>
                <w:highlight w:val="none"/>
                <w:lang w:val="en-US"/>
              </w:rPr>
            </w:pPr>
            <w:r>
              <w:rPr>
                <w:rFonts w:hint="eastAsia" w:ascii="仿宋" w:hAnsi="仿宋" w:eastAsia="仿宋" w:cs="仿宋"/>
                <w:b w:val="0"/>
                <w:bCs w:val="0"/>
                <w:color w:val="auto"/>
                <w:kern w:val="0"/>
                <w:sz w:val="24"/>
                <w:szCs w:val="24"/>
                <w:highlight w:val="none"/>
                <w:lang w:val="en-US" w:eastAsia="zh-CN" w:bidi="ar-SA"/>
              </w:rPr>
              <w:t>、投标人具有</w:t>
            </w:r>
            <w:r>
              <w:rPr>
                <w:rFonts w:hint="eastAsia" w:ascii="仿宋" w:hAnsi="仿宋" w:eastAsia="仿宋" w:cs="仿宋"/>
                <w:b w:val="0"/>
                <w:bCs w:val="0"/>
                <w:color w:val="auto"/>
                <w:sz w:val="24"/>
                <w:highlight w:val="none"/>
                <w:lang w:val="en-US" w:eastAsia="zh-CN"/>
              </w:rPr>
              <w:t>宣传检查新能源车，一辆得0.5分，最高得3分。</w:t>
            </w:r>
          </w:p>
          <w:p>
            <w:pPr>
              <w:numPr>
                <w:ilvl w:val="0"/>
                <w:numId w:val="0"/>
              </w:numPr>
              <w:spacing w:line="360" w:lineRule="auto"/>
              <w:jc w:val="both"/>
              <w:rPr>
                <w:rFonts w:hint="eastAsia" w:ascii="仿宋" w:hAnsi="仿宋" w:eastAsia="仿宋" w:cs="仿宋"/>
                <w:color w:val="auto"/>
                <w:sz w:val="24"/>
                <w:szCs w:val="24"/>
                <w:highlight w:val="none"/>
                <w:lang w:val="en-US"/>
              </w:rPr>
            </w:pPr>
            <w:r>
              <w:rPr>
                <w:rFonts w:hint="eastAsia" w:ascii="仿宋" w:hAnsi="仿宋" w:eastAsia="仿宋" w:cs="仿宋"/>
                <w:b w:val="0"/>
                <w:bCs w:val="0"/>
                <w:color w:val="auto"/>
                <w:kern w:val="0"/>
                <w:sz w:val="24"/>
                <w:szCs w:val="24"/>
                <w:highlight w:val="none"/>
                <w:lang w:val="en-US" w:eastAsia="zh-CN" w:bidi="ar-SA"/>
              </w:rPr>
              <w:t>【证明材料：</w:t>
            </w:r>
            <w:r>
              <w:rPr>
                <w:rFonts w:hint="eastAsia" w:ascii="仿宋" w:hAnsi="仿宋" w:eastAsia="仿宋" w:cs="仿宋"/>
                <w:color w:val="auto"/>
                <w:sz w:val="24"/>
                <w:highlight w:val="none"/>
                <w:lang w:val="en-US"/>
              </w:rPr>
              <w:t>自有的提供</w:t>
            </w:r>
            <w:r>
              <w:rPr>
                <w:rFonts w:hint="eastAsia" w:ascii="仿宋" w:hAnsi="仿宋" w:eastAsia="仿宋" w:cs="仿宋"/>
                <w:color w:val="auto"/>
                <w:sz w:val="24"/>
                <w:highlight w:val="none"/>
                <w:lang w:val="en-US" w:eastAsia="zh-CN"/>
              </w:rPr>
              <w:t>购置发票复制件</w:t>
            </w:r>
            <w:r>
              <w:rPr>
                <w:rFonts w:hint="eastAsia" w:ascii="仿宋" w:hAnsi="仿宋" w:eastAsia="仿宋" w:cs="仿宋"/>
                <w:color w:val="auto"/>
                <w:sz w:val="24"/>
                <w:highlight w:val="none"/>
                <w:lang w:val="en-US"/>
              </w:rPr>
              <w:t>；租赁的提供租赁合同</w:t>
            </w:r>
            <w:r>
              <w:rPr>
                <w:rFonts w:hint="eastAsia" w:ascii="仿宋" w:hAnsi="仿宋" w:eastAsia="仿宋" w:cs="仿宋"/>
                <w:color w:val="auto"/>
                <w:sz w:val="24"/>
                <w:highlight w:val="none"/>
                <w:lang w:val="en-US" w:eastAsia="zh-CN"/>
              </w:rPr>
              <w:t>复制件</w:t>
            </w:r>
            <w:r>
              <w:rPr>
                <w:rFonts w:hint="eastAsia" w:ascii="仿宋" w:hAnsi="仿宋" w:eastAsia="仿宋" w:cs="仿宋"/>
                <w:color w:val="auto"/>
                <w:sz w:val="24"/>
                <w:highlight w:val="none"/>
                <w:lang w:val="en-US"/>
              </w:rPr>
              <w:t>加盖公章</w:t>
            </w:r>
            <w:r>
              <w:rPr>
                <w:rFonts w:hint="eastAsia" w:ascii="仿宋" w:hAnsi="仿宋" w:eastAsia="仿宋" w:cs="仿宋"/>
                <w:color w:val="auto"/>
                <w:sz w:val="24"/>
                <w:highlight w:val="none"/>
                <w:lang w:val="en-US" w:eastAsia="zh-CN"/>
              </w:rPr>
              <w:t>（租赁的时间需覆盖本项目的服务期限）</w:t>
            </w:r>
            <w:r>
              <w:rPr>
                <w:rFonts w:hint="eastAsia" w:ascii="仿宋" w:hAnsi="仿宋" w:eastAsia="仿宋" w:cs="仿宋"/>
                <w:color w:val="auto"/>
                <w:sz w:val="24"/>
                <w:highlight w:val="none"/>
                <w:lang w:val="en-US"/>
              </w:rPr>
              <w:t>；否则不得分</w:t>
            </w:r>
            <w:r>
              <w:rPr>
                <w:rFonts w:hint="eastAsia" w:ascii="仿宋" w:hAnsi="仿宋" w:eastAsia="仿宋" w:cs="仿宋"/>
                <w:b w:val="0"/>
                <w:bCs w:val="0"/>
                <w:color w:val="auto"/>
                <w:kern w:val="0"/>
                <w:sz w:val="24"/>
                <w:szCs w:val="24"/>
                <w:highlight w:val="none"/>
                <w:lang w:val="en-US" w:eastAsia="zh-CN" w:bidi="ar-SA"/>
              </w:rPr>
              <w:t>】</w:t>
            </w:r>
          </w:p>
        </w:tc>
        <w:tc>
          <w:tcPr>
            <w:tcW w:w="706" w:type="dxa"/>
            <w:tcBorders>
              <w:tl2br w:val="nil"/>
              <w:tr2bl w:val="nil"/>
            </w:tcBorders>
            <w:shd w:val="clear" w:color="000000" w:fill="FFFFFF"/>
            <w:vAlign w:val="center"/>
          </w:tcPr>
          <w:p>
            <w:pPr>
              <w:jc w:val="center"/>
              <w:rPr>
                <w:rFonts w:hint="default"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1" w:hRule="atLeast"/>
          <w:jc w:val="center"/>
        </w:trPr>
        <w:tc>
          <w:tcPr>
            <w:tcW w:w="706" w:type="dxa"/>
            <w:tcBorders>
              <w:tl2br w:val="nil"/>
              <w:tr2bl w:val="nil"/>
            </w:tcBorders>
            <w:shd w:val="clear" w:color="000000" w:fill="FFFFFF"/>
            <w:vAlign w:val="center"/>
          </w:tcPr>
          <w:p>
            <w:pPr>
              <w:jc w:val="center"/>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5</w:t>
            </w:r>
          </w:p>
        </w:tc>
        <w:tc>
          <w:tcPr>
            <w:tcW w:w="1129" w:type="dxa"/>
            <w:vMerge w:val="restart"/>
            <w:tcBorders>
              <w:tl2br w:val="nil"/>
              <w:tr2bl w:val="nil"/>
            </w:tcBorders>
            <w:shd w:val="clear" w:color="000000" w:fill="FFFFFF"/>
            <w:vAlign w:val="center"/>
          </w:tcPr>
          <w:p>
            <w:pPr>
              <w:spacing w:line="380" w:lineRule="exact"/>
              <w:jc w:val="center"/>
              <w:rPr>
                <w:rFonts w:hint="eastAsia" w:ascii="仿宋" w:hAnsi="仿宋" w:eastAsia="仿宋" w:cs="仿宋"/>
                <w:color w:val="auto"/>
                <w:kern w:val="0"/>
                <w:sz w:val="24"/>
                <w:szCs w:val="24"/>
                <w:highlight w:val="none"/>
              </w:rPr>
            </w:pPr>
          </w:p>
          <w:p>
            <w:pPr>
              <w:spacing w:line="380" w:lineRule="exact"/>
              <w:jc w:val="center"/>
              <w:rPr>
                <w:rFonts w:hint="eastAsia" w:ascii="仿宋" w:hAnsi="仿宋" w:eastAsia="仿宋" w:cs="仿宋"/>
                <w:color w:val="auto"/>
                <w:kern w:val="0"/>
                <w:sz w:val="24"/>
                <w:szCs w:val="24"/>
                <w:highlight w:val="none"/>
              </w:rPr>
            </w:pPr>
          </w:p>
          <w:p>
            <w:pPr>
              <w:spacing w:line="380" w:lineRule="exact"/>
              <w:jc w:val="center"/>
              <w:rPr>
                <w:rFonts w:hint="eastAsia" w:ascii="仿宋" w:hAnsi="仿宋" w:eastAsia="仿宋" w:cs="仿宋"/>
                <w:color w:val="auto"/>
                <w:kern w:val="0"/>
                <w:sz w:val="24"/>
                <w:szCs w:val="24"/>
                <w:highlight w:val="none"/>
              </w:rPr>
            </w:pPr>
          </w:p>
          <w:p>
            <w:pPr>
              <w:spacing w:line="380" w:lineRule="exact"/>
              <w:jc w:val="center"/>
              <w:rPr>
                <w:rFonts w:hint="eastAsia" w:ascii="仿宋" w:hAnsi="仿宋" w:eastAsia="仿宋" w:cs="仿宋"/>
                <w:color w:val="auto"/>
                <w:kern w:val="0"/>
                <w:sz w:val="24"/>
                <w:szCs w:val="24"/>
                <w:highlight w:val="none"/>
              </w:rPr>
            </w:pPr>
          </w:p>
          <w:p>
            <w:pPr>
              <w:spacing w:line="380" w:lineRule="exact"/>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技术</w:t>
            </w:r>
          </w:p>
          <w:p>
            <w:pPr>
              <w:spacing w:line="38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rPr>
              <w:t>方案</w:t>
            </w:r>
          </w:p>
          <w:p>
            <w:pPr>
              <w:jc w:val="center"/>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（60</w:t>
            </w:r>
            <w:r>
              <w:rPr>
                <w:rFonts w:hint="eastAsia" w:ascii="仿宋" w:hAnsi="仿宋" w:eastAsia="仿宋" w:cs="仿宋"/>
                <w:color w:val="auto"/>
                <w:kern w:val="0"/>
                <w:sz w:val="24"/>
                <w:szCs w:val="24"/>
                <w:highlight w:val="none"/>
              </w:rPr>
              <w:t>分</w:t>
            </w:r>
            <w:r>
              <w:rPr>
                <w:rFonts w:hint="eastAsia" w:ascii="仿宋" w:hAnsi="仿宋" w:eastAsia="仿宋" w:cs="仿宋"/>
                <w:color w:val="auto"/>
                <w:kern w:val="0"/>
                <w:sz w:val="24"/>
                <w:szCs w:val="24"/>
                <w:highlight w:val="none"/>
                <w:lang w:eastAsia="zh-CN"/>
              </w:rPr>
              <w:t>）</w:t>
            </w:r>
          </w:p>
        </w:tc>
        <w:tc>
          <w:tcPr>
            <w:tcW w:w="1129" w:type="dxa"/>
            <w:tcBorders>
              <w:tl2br w:val="nil"/>
              <w:tr2bl w:val="nil"/>
            </w:tcBorders>
            <w:shd w:val="clear" w:color="000000" w:fill="FFFFFF"/>
            <w:vAlign w:val="center"/>
          </w:tcPr>
          <w:p>
            <w:pPr>
              <w:jc w:val="center"/>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sz w:val="24"/>
                <w:szCs w:val="24"/>
                <w:highlight w:val="none"/>
                <w:lang w:val="en-US"/>
              </w:rPr>
              <w:t>抢险救援服务方案</w:t>
            </w:r>
          </w:p>
        </w:tc>
        <w:tc>
          <w:tcPr>
            <w:tcW w:w="5649" w:type="dxa"/>
            <w:tcBorders>
              <w:tl2br w:val="nil"/>
              <w:tr2bl w:val="nil"/>
            </w:tcBorders>
            <w:shd w:val="clear" w:color="000000" w:fill="FFFFFF"/>
            <w:vAlign w:val="center"/>
          </w:tcPr>
          <w:p>
            <w:pPr>
              <w:spacing w:line="360" w:lineRule="auto"/>
              <w:jc w:val="both"/>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sz w:val="24"/>
                <w:szCs w:val="24"/>
                <w:highlight w:val="none"/>
                <w:lang w:val="en-US"/>
              </w:rPr>
              <w:t>根据投标人提供的抢险救援服务方案：总体目标与保障措施；灭火及抢险救援操作流程；执勤战斗保障与考核</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rPr>
              <w:t>根据投标人提供的内容是否切实可行，内容详尽充实，科学合理，具有针对性及可操作性进行打分，方案科学、合理、符合实际的得</w:t>
            </w: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lang w:val="en-US"/>
              </w:rPr>
              <w:t>分；方案基本合理得</w:t>
            </w: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lang w:val="en-US"/>
              </w:rPr>
              <w:t>分；方案简单稍有欠缺得</w:t>
            </w: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lang w:val="en-US"/>
              </w:rPr>
              <w:t>分；方案不合理、不符合需求的不得分，最高得</w:t>
            </w: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lang w:val="en-US"/>
              </w:rPr>
              <w:t>分。</w:t>
            </w:r>
          </w:p>
        </w:tc>
        <w:tc>
          <w:tcPr>
            <w:tcW w:w="706" w:type="dxa"/>
            <w:tcBorders>
              <w:tl2br w:val="nil"/>
              <w:tr2bl w:val="nil"/>
            </w:tcBorders>
            <w:shd w:val="clear" w:color="000000" w:fill="FFFFFF"/>
            <w:vAlign w:val="center"/>
          </w:tcPr>
          <w:p>
            <w:pPr>
              <w:jc w:val="center"/>
              <w:rPr>
                <w:rFonts w:hint="default"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1" w:hRule="atLeast"/>
          <w:jc w:val="center"/>
        </w:trPr>
        <w:tc>
          <w:tcPr>
            <w:tcW w:w="706" w:type="dxa"/>
            <w:tcBorders>
              <w:tl2br w:val="nil"/>
              <w:tr2bl w:val="nil"/>
            </w:tcBorders>
            <w:shd w:val="clear" w:color="000000" w:fill="FFFFFF"/>
            <w:vAlign w:val="center"/>
          </w:tcPr>
          <w:p>
            <w:pPr>
              <w:jc w:val="center"/>
              <w:rPr>
                <w:rFonts w:hint="default"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6</w:t>
            </w:r>
          </w:p>
        </w:tc>
        <w:tc>
          <w:tcPr>
            <w:tcW w:w="1129" w:type="dxa"/>
            <w:vMerge w:val="continue"/>
            <w:tcBorders>
              <w:tl2br w:val="nil"/>
              <w:tr2bl w:val="nil"/>
            </w:tcBorders>
            <w:shd w:val="clear" w:color="000000" w:fill="FFFFFF"/>
            <w:vAlign w:val="center"/>
          </w:tcPr>
          <w:p>
            <w:pPr>
              <w:jc w:val="center"/>
              <w:rPr>
                <w:rFonts w:hint="eastAsia" w:ascii="仿宋" w:hAnsi="仿宋" w:eastAsia="仿宋" w:cs="仿宋"/>
                <w:color w:val="auto"/>
                <w:kern w:val="0"/>
                <w:sz w:val="24"/>
                <w:szCs w:val="24"/>
                <w:highlight w:val="none"/>
                <w:lang w:val="en-US" w:eastAsia="zh-CN"/>
              </w:rPr>
            </w:pPr>
          </w:p>
        </w:tc>
        <w:tc>
          <w:tcPr>
            <w:tcW w:w="1129" w:type="dxa"/>
            <w:tcBorders>
              <w:tl2br w:val="nil"/>
              <w:tr2bl w:val="nil"/>
            </w:tcBorders>
            <w:shd w:val="clear" w:color="000000" w:fill="FFFFFF"/>
            <w:vAlign w:val="center"/>
          </w:tcPr>
          <w:p>
            <w:pPr>
              <w:jc w:val="center"/>
              <w:rPr>
                <w:rFonts w:hint="eastAsia" w:ascii="仿宋" w:hAnsi="仿宋" w:eastAsia="仿宋" w:cs="仿宋"/>
                <w:color w:val="auto"/>
                <w:kern w:val="0"/>
                <w:sz w:val="24"/>
                <w:szCs w:val="24"/>
                <w:highlight w:val="none"/>
              </w:rPr>
            </w:pPr>
            <w:r>
              <w:rPr>
                <w:rFonts w:hint="eastAsia" w:ascii="仿宋" w:hAnsi="仿宋" w:eastAsia="仿宋" w:cs="仿宋"/>
                <w:color w:val="auto"/>
                <w:sz w:val="24"/>
                <w:szCs w:val="24"/>
                <w:highlight w:val="none"/>
                <w:lang w:val="en-US"/>
              </w:rPr>
              <w:t>日常排查</w:t>
            </w:r>
            <w:r>
              <w:rPr>
                <w:rFonts w:hint="eastAsia" w:ascii="仿宋" w:hAnsi="仿宋" w:eastAsia="仿宋" w:cs="仿宋"/>
                <w:color w:val="auto"/>
                <w:sz w:val="24"/>
                <w:szCs w:val="24"/>
                <w:highlight w:val="none"/>
              </w:rPr>
              <w:t>服务方案</w:t>
            </w:r>
          </w:p>
        </w:tc>
        <w:tc>
          <w:tcPr>
            <w:tcW w:w="5649" w:type="dxa"/>
            <w:tcBorders>
              <w:tl2br w:val="nil"/>
              <w:tr2bl w:val="nil"/>
            </w:tcBorders>
            <w:shd w:val="clear" w:color="000000" w:fill="FFFFFF"/>
            <w:vAlign w:val="center"/>
          </w:tcPr>
          <w:p>
            <w:pPr>
              <w:spacing w:line="360" w:lineRule="auto"/>
              <w:jc w:val="both"/>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sz w:val="24"/>
                <w:szCs w:val="24"/>
                <w:highlight w:val="none"/>
              </w:rPr>
              <w:t>根据投标人提供的</w:t>
            </w:r>
            <w:r>
              <w:rPr>
                <w:rFonts w:hint="eastAsia" w:ascii="仿宋" w:hAnsi="仿宋" w:eastAsia="仿宋" w:cs="仿宋"/>
                <w:color w:val="auto"/>
                <w:sz w:val="24"/>
                <w:szCs w:val="24"/>
                <w:highlight w:val="none"/>
                <w:lang w:val="en-US"/>
              </w:rPr>
              <w:t>日常排查</w:t>
            </w:r>
            <w:r>
              <w:rPr>
                <w:rFonts w:hint="eastAsia" w:ascii="仿宋" w:hAnsi="仿宋" w:eastAsia="仿宋" w:cs="仿宋"/>
                <w:color w:val="auto"/>
                <w:sz w:val="24"/>
                <w:szCs w:val="24"/>
                <w:highlight w:val="none"/>
              </w:rPr>
              <w:t>服务方案：制定完善的日常防火巡查检查、</w:t>
            </w:r>
            <w:r>
              <w:rPr>
                <w:rFonts w:hint="eastAsia" w:ascii="仿宋" w:hAnsi="仿宋" w:eastAsia="仿宋" w:cs="仿宋"/>
                <w:color w:val="auto"/>
                <w:sz w:val="24"/>
                <w:szCs w:val="24"/>
                <w:highlight w:val="none"/>
                <w:lang w:val="en-US"/>
              </w:rPr>
              <w:t>火灾隐患督改</w:t>
            </w:r>
            <w:r>
              <w:rPr>
                <w:rFonts w:hint="eastAsia" w:ascii="仿宋" w:hAnsi="仿宋" w:eastAsia="仿宋" w:cs="仿宋"/>
                <w:color w:val="auto"/>
                <w:sz w:val="24"/>
                <w:szCs w:val="24"/>
                <w:highlight w:val="none"/>
              </w:rPr>
              <w:t>制度；日常检查、督改、复查的形式和程序，</w:t>
            </w:r>
            <w:r>
              <w:rPr>
                <w:rFonts w:hint="eastAsia" w:ascii="仿宋" w:hAnsi="仿宋" w:eastAsia="仿宋" w:cs="仿宋"/>
                <w:color w:val="auto"/>
                <w:sz w:val="24"/>
                <w:szCs w:val="24"/>
                <w:highlight w:val="none"/>
                <w:lang w:val="en-US"/>
              </w:rPr>
              <w:t>根据投标人提供的内容是否切实可行，内容详尽充实，科学合理，具有针对性及可操作性进行打分，方案科学、合理、符合实际的得</w:t>
            </w: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lang w:val="en-US"/>
              </w:rPr>
              <w:t>分；方案基本合理得</w:t>
            </w: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lang w:val="en-US"/>
              </w:rPr>
              <w:t>分；方案简单稍有欠缺得</w:t>
            </w: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lang w:val="en-US"/>
              </w:rPr>
              <w:t>分；方案不合理、不符合需求的不得分，最高得</w:t>
            </w: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lang w:val="en-US"/>
              </w:rPr>
              <w:t>分。</w:t>
            </w:r>
          </w:p>
        </w:tc>
        <w:tc>
          <w:tcPr>
            <w:tcW w:w="706" w:type="dxa"/>
            <w:tcBorders>
              <w:tl2br w:val="nil"/>
              <w:tr2bl w:val="nil"/>
            </w:tcBorders>
            <w:shd w:val="clear" w:color="000000" w:fill="FFFFFF"/>
            <w:vAlign w:val="center"/>
          </w:tcPr>
          <w:p>
            <w:pPr>
              <w:jc w:val="center"/>
              <w:rPr>
                <w:rFonts w:hint="default"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4" w:hRule="atLeast"/>
          <w:jc w:val="center"/>
        </w:trPr>
        <w:tc>
          <w:tcPr>
            <w:tcW w:w="706" w:type="dxa"/>
            <w:tcBorders>
              <w:tl2br w:val="nil"/>
              <w:tr2bl w:val="nil"/>
            </w:tcBorders>
            <w:shd w:val="clear" w:color="000000" w:fill="FFFFFF"/>
            <w:vAlign w:val="center"/>
          </w:tcPr>
          <w:p>
            <w:pPr>
              <w:jc w:val="center"/>
              <w:rPr>
                <w:rFonts w:hint="default"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7</w:t>
            </w:r>
          </w:p>
        </w:tc>
        <w:tc>
          <w:tcPr>
            <w:tcW w:w="1129" w:type="dxa"/>
            <w:vMerge w:val="continue"/>
            <w:tcBorders>
              <w:tl2br w:val="nil"/>
              <w:tr2bl w:val="nil"/>
            </w:tcBorders>
            <w:shd w:val="clear" w:color="000000" w:fill="FFFFFF"/>
            <w:vAlign w:val="center"/>
          </w:tcPr>
          <w:p>
            <w:pPr>
              <w:jc w:val="center"/>
              <w:rPr>
                <w:rFonts w:hint="eastAsia" w:ascii="仿宋" w:hAnsi="仿宋" w:eastAsia="仿宋" w:cs="仿宋"/>
                <w:color w:val="auto"/>
                <w:kern w:val="0"/>
                <w:sz w:val="24"/>
                <w:szCs w:val="24"/>
                <w:highlight w:val="none"/>
                <w:lang w:val="en-US" w:eastAsia="zh-CN"/>
              </w:rPr>
            </w:pPr>
          </w:p>
        </w:tc>
        <w:tc>
          <w:tcPr>
            <w:tcW w:w="1129" w:type="dxa"/>
            <w:tcBorders>
              <w:tl2br w:val="nil"/>
              <w:tr2bl w:val="nil"/>
            </w:tcBorders>
            <w:shd w:val="clear" w:color="000000" w:fill="FFFFFF"/>
            <w:vAlign w:val="center"/>
          </w:tcPr>
          <w:p>
            <w:pPr>
              <w:jc w:val="center"/>
              <w:rPr>
                <w:rFonts w:hint="eastAsia" w:ascii="仿宋" w:hAnsi="仿宋" w:eastAsia="仿宋" w:cs="仿宋"/>
                <w:color w:val="auto"/>
                <w:kern w:val="0"/>
                <w:sz w:val="24"/>
                <w:szCs w:val="24"/>
                <w:highlight w:val="none"/>
              </w:rPr>
            </w:pPr>
            <w:r>
              <w:rPr>
                <w:rFonts w:hint="eastAsia" w:ascii="仿宋" w:hAnsi="仿宋" w:eastAsia="仿宋" w:cs="仿宋"/>
                <w:color w:val="auto"/>
                <w:sz w:val="24"/>
                <w:szCs w:val="24"/>
                <w:highlight w:val="none"/>
                <w:lang w:val="en-US"/>
              </w:rPr>
              <w:t>宣传培训服务</w:t>
            </w:r>
            <w:r>
              <w:rPr>
                <w:rFonts w:hint="eastAsia" w:ascii="仿宋" w:hAnsi="仿宋" w:eastAsia="仿宋" w:cs="仿宋"/>
                <w:color w:val="auto"/>
                <w:sz w:val="24"/>
                <w:szCs w:val="24"/>
                <w:highlight w:val="none"/>
              </w:rPr>
              <w:t>方案</w:t>
            </w:r>
          </w:p>
        </w:tc>
        <w:tc>
          <w:tcPr>
            <w:tcW w:w="5649" w:type="dxa"/>
            <w:tcBorders>
              <w:tl2br w:val="nil"/>
              <w:tr2bl w:val="nil"/>
            </w:tcBorders>
            <w:shd w:val="clear" w:color="000000" w:fill="FFFFFF"/>
            <w:vAlign w:val="center"/>
          </w:tcPr>
          <w:p>
            <w:pPr>
              <w:spacing w:line="360" w:lineRule="auto"/>
              <w:jc w:val="both"/>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sz w:val="24"/>
                <w:szCs w:val="24"/>
                <w:highlight w:val="none"/>
              </w:rPr>
              <w:t>根据投标人提供的</w:t>
            </w:r>
            <w:r>
              <w:rPr>
                <w:rFonts w:hint="eastAsia" w:ascii="仿宋" w:hAnsi="仿宋" w:eastAsia="仿宋" w:cs="仿宋"/>
                <w:color w:val="auto"/>
                <w:sz w:val="24"/>
                <w:szCs w:val="24"/>
                <w:highlight w:val="none"/>
                <w:lang w:val="en-US"/>
              </w:rPr>
              <w:t>宣传培训服务</w:t>
            </w:r>
            <w:r>
              <w:rPr>
                <w:rFonts w:hint="eastAsia" w:ascii="仿宋" w:hAnsi="仿宋" w:eastAsia="仿宋" w:cs="仿宋"/>
                <w:color w:val="auto"/>
                <w:sz w:val="24"/>
                <w:szCs w:val="24"/>
                <w:highlight w:val="none"/>
              </w:rPr>
              <w:t>方案：目的和意义；宣传的方式；宣传的内容，</w:t>
            </w:r>
            <w:r>
              <w:rPr>
                <w:rFonts w:hint="eastAsia" w:ascii="仿宋" w:hAnsi="仿宋" w:eastAsia="仿宋" w:cs="仿宋"/>
                <w:color w:val="auto"/>
                <w:sz w:val="24"/>
                <w:szCs w:val="24"/>
                <w:highlight w:val="none"/>
                <w:lang w:val="en-US"/>
              </w:rPr>
              <w:t>根据投标人提供的内容是否切实可行，内容详尽充实，科学合理，具有针对性及可操作性进行打分，方案科学、合理、符合实际的得</w:t>
            </w: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lang w:val="en-US"/>
              </w:rPr>
              <w:t>分；方案基本合理得</w:t>
            </w: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lang w:val="en-US"/>
              </w:rPr>
              <w:t>分；方案简单稍有欠缺得</w:t>
            </w: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lang w:val="en-US"/>
              </w:rPr>
              <w:t>分；方案不合理、不符合需求的不得分，最高得</w:t>
            </w: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lang w:val="en-US"/>
              </w:rPr>
              <w:t>分。</w:t>
            </w:r>
          </w:p>
        </w:tc>
        <w:tc>
          <w:tcPr>
            <w:tcW w:w="706" w:type="dxa"/>
            <w:tcBorders>
              <w:tl2br w:val="nil"/>
              <w:tr2bl w:val="nil"/>
            </w:tcBorders>
            <w:shd w:val="clear" w:color="000000" w:fill="FFFFFF"/>
            <w:vAlign w:val="center"/>
          </w:tcPr>
          <w:p>
            <w:pPr>
              <w:jc w:val="center"/>
              <w:rPr>
                <w:rFonts w:hint="default"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1" w:hRule="atLeast"/>
          <w:jc w:val="center"/>
        </w:trPr>
        <w:tc>
          <w:tcPr>
            <w:tcW w:w="706" w:type="dxa"/>
            <w:tcBorders>
              <w:tl2br w:val="nil"/>
              <w:tr2bl w:val="nil"/>
            </w:tcBorders>
            <w:shd w:val="clear" w:color="000000" w:fill="FFFFFF"/>
            <w:vAlign w:val="center"/>
          </w:tcPr>
          <w:p>
            <w:pPr>
              <w:jc w:val="center"/>
              <w:rPr>
                <w:rFonts w:hint="default"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8</w:t>
            </w:r>
          </w:p>
        </w:tc>
        <w:tc>
          <w:tcPr>
            <w:tcW w:w="1129" w:type="dxa"/>
            <w:vMerge w:val="continue"/>
            <w:tcBorders>
              <w:tl2br w:val="nil"/>
              <w:tr2bl w:val="nil"/>
            </w:tcBorders>
            <w:shd w:val="clear" w:color="000000" w:fill="FFFFFF"/>
            <w:vAlign w:val="center"/>
          </w:tcPr>
          <w:p>
            <w:pPr>
              <w:jc w:val="center"/>
              <w:rPr>
                <w:rFonts w:hint="eastAsia" w:ascii="仿宋" w:hAnsi="仿宋" w:eastAsia="仿宋" w:cs="仿宋"/>
                <w:color w:val="auto"/>
                <w:kern w:val="0"/>
                <w:sz w:val="24"/>
                <w:szCs w:val="24"/>
                <w:highlight w:val="none"/>
                <w:lang w:val="en-US" w:eastAsia="zh-CN"/>
              </w:rPr>
            </w:pPr>
          </w:p>
        </w:tc>
        <w:tc>
          <w:tcPr>
            <w:tcW w:w="1129" w:type="dxa"/>
            <w:tcBorders>
              <w:tl2br w:val="nil"/>
              <w:tr2bl w:val="nil"/>
            </w:tcBorders>
            <w:shd w:val="clear" w:color="000000" w:fill="FFFFFF"/>
            <w:vAlign w:val="center"/>
          </w:tcPr>
          <w:p>
            <w:pPr>
              <w:jc w:val="center"/>
              <w:rPr>
                <w:rFonts w:hint="eastAsia" w:ascii="仿宋" w:hAnsi="仿宋" w:eastAsia="仿宋" w:cs="仿宋"/>
                <w:color w:val="auto"/>
                <w:kern w:val="0"/>
                <w:sz w:val="24"/>
                <w:szCs w:val="24"/>
                <w:highlight w:val="none"/>
              </w:rPr>
            </w:pPr>
            <w:r>
              <w:rPr>
                <w:rFonts w:hint="eastAsia" w:ascii="仿宋" w:hAnsi="仿宋" w:eastAsia="仿宋" w:cs="仿宋"/>
                <w:color w:val="auto"/>
                <w:sz w:val="24"/>
                <w:szCs w:val="24"/>
                <w:highlight w:val="none"/>
                <w:lang w:val="en-US"/>
              </w:rPr>
              <w:t>微站拉练</w:t>
            </w:r>
            <w:r>
              <w:rPr>
                <w:rFonts w:hint="eastAsia" w:ascii="仿宋" w:hAnsi="仿宋" w:eastAsia="仿宋" w:cs="仿宋"/>
                <w:color w:val="auto"/>
                <w:sz w:val="24"/>
                <w:szCs w:val="24"/>
                <w:highlight w:val="none"/>
              </w:rPr>
              <w:t>服务方案</w:t>
            </w:r>
          </w:p>
        </w:tc>
        <w:tc>
          <w:tcPr>
            <w:tcW w:w="5649" w:type="dxa"/>
            <w:tcBorders>
              <w:tl2br w:val="nil"/>
              <w:tr2bl w:val="nil"/>
            </w:tcBorders>
            <w:shd w:val="clear" w:color="000000" w:fill="FFFFFF"/>
            <w:vAlign w:val="center"/>
          </w:tcPr>
          <w:p>
            <w:pPr>
              <w:spacing w:line="360" w:lineRule="auto"/>
              <w:jc w:val="both"/>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sz w:val="24"/>
                <w:szCs w:val="24"/>
                <w:highlight w:val="none"/>
              </w:rPr>
              <w:t>根据投标人提供的</w:t>
            </w:r>
            <w:r>
              <w:rPr>
                <w:rFonts w:hint="eastAsia" w:ascii="仿宋" w:hAnsi="仿宋" w:eastAsia="仿宋" w:cs="仿宋"/>
                <w:color w:val="auto"/>
                <w:sz w:val="24"/>
                <w:szCs w:val="24"/>
                <w:highlight w:val="none"/>
                <w:lang w:val="en-US"/>
              </w:rPr>
              <w:t>微站拉练</w:t>
            </w:r>
            <w:r>
              <w:rPr>
                <w:rFonts w:hint="eastAsia" w:ascii="仿宋" w:hAnsi="仿宋" w:eastAsia="仿宋" w:cs="仿宋"/>
                <w:color w:val="auto"/>
                <w:sz w:val="24"/>
                <w:szCs w:val="24"/>
                <w:highlight w:val="none"/>
              </w:rPr>
              <w:t>服务方案：</w:t>
            </w:r>
            <w:r>
              <w:rPr>
                <w:rFonts w:hint="eastAsia" w:ascii="仿宋" w:hAnsi="仿宋" w:eastAsia="仿宋" w:cs="仿宋"/>
                <w:color w:val="auto"/>
                <w:sz w:val="24"/>
                <w:szCs w:val="24"/>
                <w:highlight w:val="none"/>
                <w:lang w:val="en-US"/>
              </w:rPr>
              <w:t>目标、拉练时间及对象、考验与验收；业务教育训练制度及内容</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rPr>
              <w:t>根据投标人提供的内容是否切实可行，内容详尽充实，科学合理，具有针对性及可操作性进行打分，方案科学、合理、符合实际的得</w:t>
            </w: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lang w:val="en-US"/>
              </w:rPr>
              <w:t>分；方案基本合理得</w:t>
            </w: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lang w:val="en-US"/>
              </w:rPr>
              <w:t>分；方案简单稍有欠缺得</w:t>
            </w: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lang w:val="en-US"/>
              </w:rPr>
              <w:t>分；方案不合理、不符合需求的不得分，最高得</w:t>
            </w: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lang w:val="en-US"/>
              </w:rPr>
              <w:t>分。</w:t>
            </w:r>
          </w:p>
        </w:tc>
        <w:tc>
          <w:tcPr>
            <w:tcW w:w="706" w:type="dxa"/>
            <w:tcBorders>
              <w:tl2br w:val="nil"/>
              <w:tr2bl w:val="nil"/>
            </w:tcBorders>
            <w:shd w:val="clear" w:color="000000" w:fill="FFFFFF"/>
            <w:vAlign w:val="center"/>
          </w:tcPr>
          <w:p>
            <w:pPr>
              <w:jc w:val="center"/>
              <w:rPr>
                <w:rFonts w:hint="default"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1" w:hRule="atLeast"/>
          <w:jc w:val="center"/>
        </w:trPr>
        <w:tc>
          <w:tcPr>
            <w:tcW w:w="706" w:type="dxa"/>
            <w:tcBorders>
              <w:tl2br w:val="nil"/>
              <w:tr2bl w:val="nil"/>
            </w:tcBorders>
            <w:shd w:val="clear" w:color="000000" w:fill="FFFFFF"/>
            <w:vAlign w:val="center"/>
          </w:tcPr>
          <w:p>
            <w:pPr>
              <w:jc w:val="center"/>
              <w:rPr>
                <w:rFonts w:hint="default"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9</w:t>
            </w:r>
          </w:p>
        </w:tc>
        <w:tc>
          <w:tcPr>
            <w:tcW w:w="1129" w:type="dxa"/>
            <w:vMerge w:val="continue"/>
            <w:tcBorders>
              <w:tl2br w:val="nil"/>
              <w:tr2bl w:val="nil"/>
            </w:tcBorders>
            <w:shd w:val="clear" w:color="000000" w:fill="FFFFFF"/>
            <w:vAlign w:val="center"/>
          </w:tcPr>
          <w:p>
            <w:pPr>
              <w:jc w:val="center"/>
              <w:rPr>
                <w:rFonts w:hint="eastAsia" w:ascii="仿宋" w:hAnsi="仿宋" w:eastAsia="仿宋" w:cs="仿宋"/>
                <w:color w:val="auto"/>
                <w:kern w:val="0"/>
                <w:sz w:val="24"/>
                <w:szCs w:val="24"/>
                <w:highlight w:val="none"/>
                <w:lang w:val="en-US" w:eastAsia="zh-CN"/>
              </w:rPr>
            </w:pPr>
          </w:p>
        </w:tc>
        <w:tc>
          <w:tcPr>
            <w:tcW w:w="1129" w:type="dxa"/>
            <w:tcBorders>
              <w:tl2br w:val="nil"/>
              <w:tr2bl w:val="nil"/>
            </w:tcBorders>
            <w:shd w:val="clear" w:color="000000" w:fill="FFFFFF"/>
            <w:vAlign w:val="center"/>
          </w:tcPr>
          <w:p>
            <w:pPr>
              <w:jc w:val="center"/>
              <w:rPr>
                <w:rFonts w:hint="eastAsia" w:ascii="仿宋" w:hAnsi="仿宋" w:eastAsia="仿宋" w:cs="仿宋"/>
                <w:color w:val="auto"/>
                <w:kern w:val="0"/>
                <w:sz w:val="24"/>
                <w:szCs w:val="24"/>
                <w:highlight w:val="none"/>
              </w:rPr>
            </w:pPr>
            <w:r>
              <w:rPr>
                <w:rFonts w:hint="eastAsia" w:ascii="仿宋" w:hAnsi="仿宋" w:eastAsia="仿宋" w:cs="仿宋"/>
                <w:color w:val="auto"/>
                <w:sz w:val="24"/>
                <w:szCs w:val="24"/>
                <w:highlight w:val="none"/>
                <w:lang w:val="en-US"/>
              </w:rPr>
              <w:t>消防设施实操方案</w:t>
            </w:r>
          </w:p>
        </w:tc>
        <w:tc>
          <w:tcPr>
            <w:tcW w:w="5649" w:type="dxa"/>
            <w:tcBorders>
              <w:tl2br w:val="nil"/>
              <w:tr2bl w:val="nil"/>
            </w:tcBorders>
            <w:shd w:val="clear" w:color="000000" w:fill="FFFFFF"/>
            <w:vAlign w:val="center"/>
          </w:tcPr>
          <w:p>
            <w:pPr>
              <w:spacing w:line="360" w:lineRule="auto"/>
              <w:jc w:val="both"/>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sz w:val="24"/>
                <w:szCs w:val="24"/>
                <w:highlight w:val="none"/>
              </w:rPr>
              <w:t>根据投标人提供的</w:t>
            </w:r>
            <w:r>
              <w:rPr>
                <w:rFonts w:hint="eastAsia" w:ascii="仿宋" w:hAnsi="仿宋" w:eastAsia="仿宋" w:cs="仿宋"/>
                <w:color w:val="auto"/>
                <w:sz w:val="24"/>
                <w:szCs w:val="24"/>
                <w:highlight w:val="none"/>
                <w:lang w:val="en-US"/>
              </w:rPr>
              <w:t>消防设施实操方案</w:t>
            </w:r>
            <w:r>
              <w:rPr>
                <w:rFonts w:hint="eastAsia" w:ascii="仿宋" w:hAnsi="仿宋" w:eastAsia="仿宋" w:cs="仿宋"/>
                <w:color w:val="auto"/>
                <w:sz w:val="24"/>
                <w:szCs w:val="24"/>
                <w:highlight w:val="none"/>
              </w:rPr>
              <w:t>；消防安全管理方案；消防设施操作流程；消防设施实操方案，</w:t>
            </w:r>
            <w:r>
              <w:rPr>
                <w:rFonts w:hint="eastAsia" w:ascii="仿宋" w:hAnsi="仿宋" w:eastAsia="仿宋" w:cs="仿宋"/>
                <w:color w:val="auto"/>
                <w:sz w:val="24"/>
                <w:szCs w:val="24"/>
                <w:highlight w:val="none"/>
                <w:lang w:val="en-US"/>
              </w:rPr>
              <w:t>根据投标人提供的内容是否切实可行，内容详尽充实，科学合理，具有针对性及可操作性进行打分，方案科学、合理、符合实际的得</w:t>
            </w: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lang w:val="en-US"/>
              </w:rPr>
              <w:t>分；方案基本合理得</w:t>
            </w: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lang w:val="en-US"/>
              </w:rPr>
              <w:t>分；方案简单稍有欠缺得</w:t>
            </w: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lang w:val="en-US"/>
              </w:rPr>
              <w:t>分；方案不合理、不符合需求的不得分，最高得</w:t>
            </w: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lang w:val="en-US"/>
              </w:rPr>
              <w:t>分。</w:t>
            </w:r>
          </w:p>
        </w:tc>
        <w:tc>
          <w:tcPr>
            <w:tcW w:w="706" w:type="dxa"/>
            <w:tcBorders>
              <w:tl2br w:val="nil"/>
              <w:tr2bl w:val="nil"/>
            </w:tcBorders>
            <w:shd w:val="clear" w:color="000000" w:fill="FFFFFF"/>
            <w:vAlign w:val="center"/>
          </w:tcPr>
          <w:p>
            <w:pPr>
              <w:jc w:val="center"/>
              <w:rPr>
                <w:rFonts w:hint="default"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1" w:hRule="atLeast"/>
          <w:jc w:val="center"/>
        </w:trPr>
        <w:tc>
          <w:tcPr>
            <w:tcW w:w="706" w:type="dxa"/>
            <w:tcBorders>
              <w:tl2br w:val="nil"/>
              <w:tr2bl w:val="nil"/>
            </w:tcBorders>
            <w:shd w:val="clear" w:color="000000" w:fill="FFFFFF"/>
            <w:vAlign w:val="center"/>
          </w:tcPr>
          <w:p>
            <w:pPr>
              <w:jc w:val="center"/>
              <w:rPr>
                <w:rFonts w:hint="default"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10</w:t>
            </w:r>
          </w:p>
        </w:tc>
        <w:tc>
          <w:tcPr>
            <w:tcW w:w="1129" w:type="dxa"/>
            <w:vMerge w:val="continue"/>
            <w:tcBorders>
              <w:tl2br w:val="nil"/>
              <w:tr2bl w:val="nil"/>
            </w:tcBorders>
            <w:shd w:val="clear" w:color="000000" w:fill="FFFFFF"/>
            <w:vAlign w:val="center"/>
          </w:tcPr>
          <w:p>
            <w:pPr>
              <w:jc w:val="center"/>
              <w:rPr>
                <w:rFonts w:hint="eastAsia" w:ascii="仿宋" w:hAnsi="仿宋" w:eastAsia="仿宋" w:cs="仿宋"/>
                <w:color w:val="auto"/>
                <w:kern w:val="0"/>
                <w:sz w:val="24"/>
                <w:szCs w:val="24"/>
                <w:highlight w:val="none"/>
                <w:lang w:val="en-US" w:eastAsia="zh-CN"/>
              </w:rPr>
            </w:pPr>
          </w:p>
        </w:tc>
        <w:tc>
          <w:tcPr>
            <w:tcW w:w="1129" w:type="dxa"/>
            <w:tcBorders>
              <w:tl2br w:val="nil"/>
              <w:tr2bl w:val="nil"/>
            </w:tcBorders>
            <w:shd w:val="clear" w:color="000000" w:fill="FFFFFF"/>
            <w:vAlign w:val="center"/>
          </w:tcPr>
          <w:p>
            <w:pPr>
              <w:jc w:val="center"/>
              <w:rPr>
                <w:rFonts w:hint="eastAsia" w:ascii="仿宋" w:hAnsi="仿宋" w:eastAsia="仿宋" w:cs="仿宋"/>
                <w:color w:val="auto"/>
                <w:kern w:val="0"/>
                <w:sz w:val="24"/>
                <w:szCs w:val="24"/>
                <w:highlight w:val="none"/>
              </w:rPr>
            </w:pPr>
            <w:r>
              <w:rPr>
                <w:rFonts w:hint="eastAsia" w:ascii="仿宋" w:hAnsi="仿宋" w:eastAsia="仿宋" w:cs="仿宋"/>
                <w:color w:val="auto"/>
                <w:sz w:val="24"/>
                <w:szCs w:val="24"/>
                <w:highlight w:val="none"/>
                <w:lang w:val="en-US"/>
              </w:rPr>
              <w:t>消防队员</w:t>
            </w:r>
            <w:r>
              <w:rPr>
                <w:rFonts w:hint="eastAsia" w:ascii="仿宋" w:hAnsi="仿宋" w:eastAsia="仿宋" w:cs="仿宋"/>
                <w:color w:val="auto"/>
                <w:sz w:val="24"/>
                <w:szCs w:val="24"/>
                <w:highlight w:val="none"/>
              </w:rPr>
              <w:t>日常</w:t>
            </w:r>
            <w:r>
              <w:rPr>
                <w:rFonts w:hint="eastAsia" w:ascii="仿宋" w:hAnsi="仿宋" w:eastAsia="仿宋" w:cs="仿宋"/>
                <w:color w:val="auto"/>
                <w:sz w:val="24"/>
                <w:szCs w:val="24"/>
                <w:highlight w:val="none"/>
                <w:lang w:val="en-US"/>
              </w:rPr>
              <w:t>培训</w:t>
            </w:r>
            <w:r>
              <w:rPr>
                <w:rFonts w:hint="eastAsia" w:ascii="仿宋" w:hAnsi="仿宋" w:eastAsia="仿宋" w:cs="仿宋"/>
                <w:color w:val="auto"/>
                <w:sz w:val="24"/>
                <w:szCs w:val="24"/>
                <w:highlight w:val="none"/>
              </w:rPr>
              <w:t>的方案</w:t>
            </w:r>
          </w:p>
        </w:tc>
        <w:tc>
          <w:tcPr>
            <w:tcW w:w="5649" w:type="dxa"/>
            <w:tcBorders>
              <w:tl2br w:val="nil"/>
              <w:tr2bl w:val="nil"/>
            </w:tcBorders>
            <w:shd w:val="clear" w:color="000000" w:fill="FFFFFF"/>
            <w:vAlign w:val="center"/>
          </w:tcPr>
          <w:p>
            <w:pPr>
              <w:spacing w:line="360" w:lineRule="auto"/>
              <w:jc w:val="both"/>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sz w:val="24"/>
                <w:szCs w:val="24"/>
                <w:highlight w:val="none"/>
                <w:lang w:val="en-US"/>
              </w:rPr>
              <w:t>根据投标人提供的消防队员</w:t>
            </w:r>
            <w:r>
              <w:rPr>
                <w:rFonts w:hint="eastAsia" w:ascii="仿宋" w:hAnsi="仿宋" w:eastAsia="仿宋" w:cs="仿宋"/>
                <w:color w:val="auto"/>
                <w:sz w:val="24"/>
                <w:szCs w:val="24"/>
                <w:highlight w:val="none"/>
              </w:rPr>
              <w:t>日常</w:t>
            </w:r>
            <w:r>
              <w:rPr>
                <w:rFonts w:hint="eastAsia" w:ascii="仿宋" w:hAnsi="仿宋" w:eastAsia="仿宋" w:cs="仿宋"/>
                <w:color w:val="auto"/>
                <w:sz w:val="24"/>
                <w:szCs w:val="24"/>
                <w:highlight w:val="none"/>
                <w:lang w:val="en-US"/>
              </w:rPr>
              <w:t>培训</w:t>
            </w:r>
            <w:r>
              <w:rPr>
                <w:rFonts w:hint="eastAsia" w:ascii="仿宋" w:hAnsi="仿宋" w:eastAsia="仿宋" w:cs="仿宋"/>
                <w:color w:val="auto"/>
                <w:sz w:val="24"/>
                <w:szCs w:val="24"/>
                <w:highlight w:val="none"/>
              </w:rPr>
              <w:t>的方案（</w:t>
            </w:r>
            <w:r>
              <w:rPr>
                <w:rFonts w:hint="eastAsia" w:ascii="仿宋" w:hAnsi="仿宋" w:eastAsia="仿宋" w:cs="仿宋"/>
                <w:color w:val="auto"/>
                <w:sz w:val="24"/>
                <w:szCs w:val="24"/>
                <w:highlight w:val="none"/>
                <w:lang w:val="en-US"/>
              </w:rPr>
              <w:t>包括培训计划；消防设备培训；消防技能培训</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rPr>
              <w:t>根据投标人提供的内容是否切实可行，内容详尽充实，科学合理，具有针对性及可操作性进行打分，方案科学、合理、符合实际的得</w:t>
            </w: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lang w:val="en-US"/>
              </w:rPr>
              <w:t>分；方案基本合理得</w:t>
            </w: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lang w:val="en-US"/>
              </w:rPr>
              <w:t>分；方案简单稍有欠缺得</w:t>
            </w: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lang w:val="en-US"/>
              </w:rPr>
              <w:t>分；方案不合理、不符合需求的不得分，最高得</w:t>
            </w: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lang w:val="en-US"/>
              </w:rPr>
              <w:t>分。</w:t>
            </w:r>
          </w:p>
        </w:tc>
        <w:tc>
          <w:tcPr>
            <w:tcW w:w="706" w:type="dxa"/>
            <w:tcBorders>
              <w:tl2br w:val="nil"/>
              <w:tr2bl w:val="nil"/>
            </w:tcBorders>
            <w:shd w:val="clear" w:color="000000" w:fill="FFFFFF"/>
            <w:vAlign w:val="center"/>
          </w:tcPr>
          <w:p>
            <w:pPr>
              <w:jc w:val="center"/>
              <w:rPr>
                <w:rFonts w:hint="default"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1" w:hRule="atLeast"/>
          <w:jc w:val="center"/>
        </w:trPr>
        <w:tc>
          <w:tcPr>
            <w:tcW w:w="706" w:type="dxa"/>
            <w:tcBorders>
              <w:tl2br w:val="nil"/>
              <w:tr2bl w:val="nil"/>
            </w:tcBorders>
            <w:shd w:val="clear" w:color="000000" w:fill="FFFFFF"/>
            <w:vAlign w:val="center"/>
          </w:tcPr>
          <w:p>
            <w:pPr>
              <w:jc w:val="center"/>
              <w:rPr>
                <w:rFonts w:hint="default"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11</w:t>
            </w:r>
          </w:p>
        </w:tc>
        <w:tc>
          <w:tcPr>
            <w:tcW w:w="1129" w:type="dxa"/>
            <w:vMerge w:val="continue"/>
            <w:tcBorders>
              <w:tl2br w:val="nil"/>
              <w:tr2bl w:val="nil"/>
            </w:tcBorders>
            <w:shd w:val="clear" w:color="000000" w:fill="FFFFFF"/>
            <w:vAlign w:val="center"/>
          </w:tcPr>
          <w:p>
            <w:pPr>
              <w:jc w:val="center"/>
              <w:rPr>
                <w:rFonts w:hint="eastAsia" w:ascii="仿宋" w:hAnsi="仿宋" w:eastAsia="仿宋" w:cs="仿宋"/>
                <w:color w:val="auto"/>
                <w:kern w:val="0"/>
                <w:sz w:val="24"/>
                <w:szCs w:val="24"/>
                <w:highlight w:val="none"/>
                <w:lang w:val="en-US" w:eastAsia="zh-CN"/>
              </w:rPr>
            </w:pPr>
          </w:p>
        </w:tc>
        <w:tc>
          <w:tcPr>
            <w:tcW w:w="1129" w:type="dxa"/>
            <w:tcBorders>
              <w:tl2br w:val="nil"/>
              <w:tr2bl w:val="nil"/>
            </w:tcBorders>
            <w:shd w:val="clear" w:color="000000" w:fill="FFFFFF"/>
            <w:vAlign w:val="center"/>
          </w:tcPr>
          <w:p>
            <w:pPr>
              <w:jc w:val="center"/>
              <w:rPr>
                <w:rFonts w:hint="default"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项目</w:t>
            </w:r>
            <w:r>
              <w:rPr>
                <w:rFonts w:hint="eastAsia" w:ascii="仿宋" w:hAnsi="仿宋" w:eastAsia="仿宋" w:cs="仿宋"/>
                <w:color w:val="auto"/>
                <w:kern w:val="0"/>
                <w:sz w:val="24"/>
                <w:szCs w:val="24"/>
                <w:highlight w:val="none"/>
              </w:rPr>
              <w:t>配合、协调</w:t>
            </w:r>
            <w:r>
              <w:rPr>
                <w:rFonts w:hint="eastAsia" w:ascii="仿宋" w:hAnsi="仿宋" w:eastAsia="仿宋" w:cs="仿宋"/>
                <w:color w:val="auto"/>
                <w:kern w:val="0"/>
                <w:sz w:val="24"/>
                <w:szCs w:val="24"/>
                <w:highlight w:val="none"/>
                <w:lang w:val="en-US" w:eastAsia="zh-CN"/>
              </w:rPr>
              <w:t>方案</w:t>
            </w:r>
          </w:p>
        </w:tc>
        <w:tc>
          <w:tcPr>
            <w:tcW w:w="5649" w:type="dxa"/>
            <w:tcBorders>
              <w:tl2br w:val="nil"/>
              <w:tr2bl w:val="nil"/>
            </w:tcBorders>
            <w:shd w:val="clear" w:color="000000" w:fill="FFFFFF"/>
            <w:vAlign w:val="center"/>
          </w:tcPr>
          <w:p>
            <w:pPr>
              <w:spacing w:line="360" w:lineRule="auto"/>
              <w:jc w:val="both"/>
              <w:rPr>
                <w:rFonts w:hint="eastAsia" w:ascii="仿宋" w:hAnsi="仿宋" w:eastAsia="仿宋" w:cs="仿宋"/>
                <w:color w:val="auto"/>
                <w:sz w:val="24"/>
                <w:szCs w:val="24"/>
                <w:highlight w:val="none"/>
                <w:lang w:val="en-US"/>
              </w:rPr>
            </w:pPr>
            <w:r>
              <w:rPr>
                <w:rFonts w:hint="eastAsia" w:ascii="仿宋" w:hAnsi="仿宋" w:eastAsia="仿宋" w:cs="仿宋"/>
                <w:color w:val="auto"/>
                <w:kern w:val="0"/>
                <w:sz w:val="24"/>
                <w:szCs w:val="24"/>
                <w:highlight w:val="none"/>
              </w:rPr>
              <w:t>与</w:t>
            </w:r>
            <w:r>
              <w:rPr>
                <w:rFonts w:hint="eastAsia" w:ascii="仿宋" w:hAnsi="仿宋" w:eastAsia="仿宋" w:cs="仿宋"/>
                <w:color w:val="auto"/>
                <w:kern w:val="0"/>
                <w:sz w:val="24"/>
                <w:szCs w:val="24"/>
                <w:highlight w:val="none"/>
                <w:lang w:val="en-US" w:eastAsia="zh-CN"/>
              </w:rPr>
              <w:t>街道</w:t>
            </w:r>
            <w:r>
              <w:rPr>
                <w:rFonts w:hint="eastAsia" w:ascii="仿宋" w:hAnsi="仿宋" w:eastAsia="仿宋" w:cs="仿宋"/>
                <w:color w:val="auto"/>
                <w:kern w:val="0"/>
                <w:sz w:val="24"/>
                <w:szCs w:val="24"/>
                <w:highlight w:val="none"/>
              </w:rPr>
              <w:t>的配合、协调等事宜的措施方案</w:t>
            </w:r>
            <w:r>
              <w:rPr>
                <w:rFonts w:hint="eastAsia" w:ascii="仿宋" w:hAnsi="仿宋" w:eastAsia="仿宋" w:cs="仿宋"/>
                <w:color w:val="auto"/>
                <w:sz w:val="24"/>
                <w:szCs w:val="24"/>
                <w:highlight w:val="none"/>
              </w:rPr>
              <w:t>：项目接管配合、协调日程安排；与街道的配合、协调措施，</w:t>
            </w:r>
            <w:r>
              <w:rPr>
                <w:rFonts w:hint="eastAsia" w:ascii="仿宋" w:hAnsi="仿宋" w:eastAsia="仿宋" w:cs="仿宋"/>
                <w:color w:val="auto"/>
                <w:sz w:val="24"/>
                <w:szCs w:val="24"/>
                <w:highlight w:val="none"/>
                <w:lang w:val="en-US"/>
              </w:rPr>
              <w:t>根据投标人提供的内容是否切实可行，内容详尽充实，科学合理，具有针对性及可操作性进行打分，方案科学、合理、符合实际的得</w:t>
            </w: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lang w:val="en-US"/>
              </w:rPr>
              <w:t>分；方案基本合理得</w:t>
            </w: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lang w:val="en-US"/>
              </w:rPr>
              <w:t>分；方案简单稍有欠缺得</w:t>
            </w: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lang w:val="en-US"/>
              </w:rPr>
              <w:t>分；方案不合理、不符合需求的不得分，最高得</w:t>
            </w: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lang w:val="en-US"/>
              </w:rPr>
              <w:t>分。</w:t>
            </w:r>
          </w:p>
        </w:tc>
        <w:tc>
          <w:tcPr>
            <w:tcW w:w="706" w:type="dxa"/>
            <w:tcBorders>
              <w:tl2br w:val="nil"/>
              <w:tr2bl w:val="nil"/>
            </w:tcBorders>
            <w:shd w:val="clear" w:color="000000" w:fill="FFFFFF"/>
            <w:vAlign w:val="center"/>
          </w:tcPr>
          <w:p>
            <w:pPr>
              <w:jc w:val="center"/>
              <w:rPr>
                <w:rFonts w:hint="default"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1" w:hRule="atLeast"/>
          <w:jc w:val="center"/>
        </w:trPr>
        <w:tc>
          <w:tcPr>
            <w:tcW w:w="706" w:type="dxa"/>
            <w:tcBorders>
              <w:tl2br w:val="nil"/>
              <w:tr2bl w:val="nil"/>
            </w:tcBorders>
            <w:shd w:val="clear" w:color="000000" w:fill="FFFFFF"/>
            <w:vAlign w:val="center"/>
          </w:tcPr>
          <w:p>
            <w:pPr>
              <w:jc w:val="center"/>
              <w:rPr>
                <w:rFonts w:hint="default"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12</w:t>
            </w:r>
          </w:p>
        </w:tc>
        <w:tc>
          <w:tcPr>
            <w:tcW w:w="1129" w:type="dxa"/>
            <w:vMerge w:val="continue"/>
            <w:tcBorders>
              <w:tl2br w:val="nil"/>
              <w:tr2bl w:val="nil"/>
            </w:tcBorders>
            <w:shd w:val="clear" w:color="000000" w:fill="FFFFFF"/>
            <w:vAlign w:val="center"/>
          </w:tcPr>
          <w:p>
            <w:pPr>
              <w:jc w:val="center"/>
              <w:rPr>
                <w:rFonts w:hint="eastAsia" w:ascii="仿宋" w:hAnsi="仿宋" w:eastAsia="仿宋" w:cs="仿宋"/>
                <w:color w:val="auto"/>
                <w:kern w:val="0"/>
                <w:sz w:val="24"/>
                <w:szCs w:val="24"/>
                <w:highlight w:val="none"/>
                <w:lang w:val="en-US" w:eastAsia="zh-CN"/>
              </w:rPr>
            </w:pPr>
          </w:p>
        </w:tc>
        <w:tc>
          <w:tcPr>
            <w:tcW w:w="1129" w:type="dxa"/>
            <w:tcBorders>
              <w:tl2br w:val="nil"/>
              <w:tr2bl w:val="nil"/>
            </w:tcBorders>
            <w:shd w:val="clear" w:color="000000" w:fill="FFFFFF"/>
            <w:vAlign w:val="center"/>
          </w:tcPr>
          <w:p>
            <w:pPr>
              <w:jc w:val="center"/>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rPr>
              <w:t>管理</w:t>
            </w:r>
            <w:r>
              <w:rPr>
                <w:rFonts w:hint="eastAsia" w:ascii="仿宋" w:hAnsi="仿宋" w:eastAsia="仿宋" w:cs="仿宋"/>
                <w:color w:val="auto"/>
                <w:kern w:val="0"/>
                <w:sz w:val="24"/>
                <w:szCs w:val="24"/>
                <w:highlight w:val="none"/>
                <w:lang w:val="en-US" w:eastAsia="zh-CN"/>
              </w:rPr>
              <w:t>制度</w:t>
            </w:r>
          </w:p>
        </w:tc>
        <w:tc>
          <w:tcPr>
            <w:tcW w:w="5649" w:type="dxa"/>
            <w:tcBorders>
              <w:tl2br w:val="nil"/>
              <w:tr2bl w:val="nil"/>
            </w:tcBorders>
            <w:shd w:val="clear" w:color="000000" w:fill="FFFFFF"/>
            <w:vAlign w:val="center"/>
          </w:tcPr>
          <w:p>
            <w:pPr>
              <w:spacing w:line="360" w:lineRule="auto"/>
              <w:jc w:val="both"/>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sz w:val="24"/>
                <w:szCs w:val="24"/>
                <w:highlight w:val="none"/>
                <w:lang w:val="en-US"/>
              </w:rPr>
              <w:t>根据投标人制定的</w:t>
            </w:r>
            <w:r>
              <w:rPr>
                <w:rFonts w:hint="eastAsia" w:ascii="仿宋" w:hAnsi="仿宋" w:eastAsia="仿宋" w:cs="仿宋"/>
                <w:color w:val="auto"/>
                <w:sz w:val="24"/>
                <w:szCs w:val="24"/>
                <w:highlight w:val="none"/>
              </w:rPr>
              <w:t>管理制度（包括值守人员职责、交接班制度、</w:t>
            </w:r>
            <w:r>
              <w:rPr>
                <w:rFonts w:hint="eastAsia" w:ascii="仿宋" w:hAnsi="仿宋" w:eastAsia="仿宋" w:cs="仿宋"/>
                <w:color w:val="auto"/>
                <w:sz w:val="24"/>
                <w:szCs w:val="24"/>
                <w:highlight w:val="none"/>
                <w:lang w:val="en-US"/>
              </w:rPr>
              <w:t>人员考核制度</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rPr>
              <w:t>监督</w:t>
            </w:r>
            <w:r>
              <w:rPr>
                <w:rFonts w:hint="eastAsia" w:ascii="仿宋" w:hAnsi="仿宋" w:eastAsia="仿宋" w:cs="仿宋"/>
                <w:color w:val="auto"/>
                <w:sz w:val="24"/>
                <w:szCs w:val="24"/>
                <w:highlight w:val="none"/>
                <w:lang w:val="en-US" w:eastAsia="zh-CN"/>
              </w:rPr>
              <w:t>激励机制、信息反馈及处理机制</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rPr>
              <w:t>根据投标人提供的内容是否切实可行，内容详尽充实，科学合理，具有针对性及可操作性进行打分，方案科学、合理、符合实际的得</w:t>
            </w: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lang w:val="en-US"/>
              </w:rPr>
              <w:t>分；方案基本合理得</w:t>
            </w: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lang w:val="en-US"/>
              </w:rPr>
              <w:t>分；方案简单稍有欠缺得</w:t>
            </w: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lang w:val="en-US"/>
              </w:rPr>
              <w:t>分；方案不合理、不符合需求的不得分，最高得</w:t>
            </w: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lang w:val="en-US"/>
              </w:rPr>
              <w:t>分。</w:t>
            </w:r>
          </w:p>
        </w:tc>
        <w:tc>
          <w:tcPr>
            <w:tcW w:w="706" w:type="dxa"/>
            <w:tcBorders>
              <w:tl2br w:val="nil"/>
              <w:tr2bl w:val="nil"/>
            </w:tcBorders>
            <w:shd w:val="clear" w:color="000000" w:fill="FFFFFF"/>
            <w:vAlign w:val="center"/>
          </w:tcPr>
          <w:p>
            <w:pPr>
              <w:jc w:val="center"/>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24" w:hRule="atLeast"/>
          <w:jc w:val="center"/>
        </w:trPr>
        <w:tc>
          <w:tcPr>
            <w:tcW w:w="706" w:type="dxa"/>
            <w:tcBorders>
              <w:tl2br w:val="nil"/>
              <w:tr2bl w:val="nil"/>
            </w:tcBorders>
            <w:shd w:val="clear" w:color="000000" w:fill="FFFFFF"/>
            <w:vAlign w:val="center"/>
          </w:tcPr>
          <w:p>
            <w:pPr>
              <w:jc w:val="center"/>
              <w:rPr>
                <w:rFonts w:hint="default"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13</w:t>
            </w:r>
          </w:p>
        </w:tc>
        <w:tc>
          <w:tcPr>
            <w:tcW w:w="1129" w:type="dxa"/>
            <w:vMerge w:val="continue"/>
            <w:tcBorders>
              <w:tl2br w:val="nil"/>
              <w:tr2bl w:val="nil"/>
            </w:tcBorders>
            <w:shd w:val="clear" w:color="000000" w:fill="FFFFFF"/>
            <w:vAlign w:val="center"/>
          </w:tcPr>
          <w:p>
            <w:pPr>
              <w:jc w:val="center"/>
              <w:rPr>
                <w:rFonts w:hint="eastAsia" w:ascii="仿宋" w:hAnsi="仿宋" w:eastAsia="仿宋" w:cs="仿宋"/>
                <w:color w:val="auto"/>
                <w:kern w:val="0"/>
                <w:sz w:val="24"/>
                <w:szCs w:val="24"/>
                <w:highlight w:val="none"/>
                <w:lang w:val="en-US" w:eastAsia="zh-CN"/>
              </w:rPr>
            </w:pPr>
          </w:p>
        </w:tc>
        <w:tc>
          <w:tcPr>
            <w:tcW w:w="1129" w:type="dxa"/>
            <w:tcBorders>
              <w:tl2br w:val="nil"/>
              <w:tr2bl w:val="nil"/>
            </w:tcBorders>
            <w:shd w:val="clear" w:color="000000" w:fill="FFFFFF"/>
            <w:vAlign w:val="center"/>
          </w:tcPr>
          <w:p>
            <w:pPr>
              <w:jc w:val="center"/>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企业内部管理</w:t>
            </w:r>
          </w:p>
        </w:tc>
        <w:tc>
          <w:tcPr>
            <w:tcW w:w="5649" w:type="dxa"/>
            <w:tcBorders>
              <w:tl2br w:val="nil"/>
              <w:tr2bl w:val="nil"/>
            </w:tcBorders>
            <w:shd w:val="clear" w:color="000000" w:fill="FFFFFF"/>
            <w:vAlign w:val="center"/>
          </w:tcPr>
          <w:p>
            <w:pPr>
              <w:spacing w:line="360" w:lineRule="auto"/>
              <w:jc w:val="both"/>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sz w:val="24"/>
                <w:szCs w:val="24"/>
                <w:highlight w:val="none"/>
              </w:rPr>
              <w:t>针对本项目制定规范、合理的工作</w:t>
            </w:r>
            <w:r>
              <w:rPr>
                <w:rFonts w:hint="eastAsia" w:ascii="仿宋" w:hAnsi="仿宋" w:eastAsia="仿宋" w:cs="仿宋"/>
                <w:color w:val="auto"/>
                <w:sz w:val="24"/>
                <w:szCs w:val="24"/>
                <w:highlight w:val="none"/>
                <w:lang w:val="en-US"/>
              </w:rPr>
              <w:t>记录、</w:t>
            </w:r>
            <w:r>
              <w:rPr>
                <w:rFonts w:hint="eastAsia" w:ascii="仿宋" w:hAnsi="仿宋" w:eastAsia="仿宋" w:cs="仿宋"/>
                <w:color w:val="auto"/>
                <w:sz w:val="24"/>
                <w:szCs w:val="24"/>
                <w:highlight w:val="none"/>
              </w:rPr>
              <w:t>台账，</w:t>
            </w:r>
            <w:r>
              <w:rPr>
                <w:rFonts w:hint="eastAsia" w:ascii="仿宋" w:hAnsi="仿宋" w:eastAsia="仿宋" w:cs="仿宋"/>
                <w:color w:val="auto"/>
                <w:sz w:val="24"/>
                <w:szCs w:val="24"/>
                <w:highlight w:val="none"/>
                <w:lang w:val="en-US"/>
              </w:rPr>
              <w:t>根据投标人提供的内容是否切实可行，内容详尽充实，科学合理，具有针对性及可操作性进行打分，方案科学、合理、符合实际的得</w:t>
            </w: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lang w:val="en-US"/>
              </w:rPr>
              <w:t>分；方案基本合理得</w:t>
            </w: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lang w:val="en-US"/>
              </w:rPr>
              <w:t>分；方案简单稍有欠缺得</w:t>
            </w: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lang w:val="en-US"/>
              </w:rPr>
              <w:t>分；方案不合理、不符合需求的不得分，最高得</w:t>
            </w: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lang w:val="en-US"/>
              </w:rPr>
              <w:t>分。</w:t>
            </w:r>
          </w:p>
        </w:tc>
        <w:tc>
          <w:tcPr>
            <w:tcW w:w="706" w:type="dxa"/>
            <w:tcBorders>
              <w:tl2br w:val="nil"/>
              <w:tr2bl w:val="nil"/>
            </w:tcBorders>
            <w:shd w:val="clear" w:color="000000" w:fill="FFFFFF"/>
            <w:vAlign w:val="center"/>
          </w:tcPr>
          <w:p>
            <w:pPr>
              <w:jc w:val="center"/>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1" w:hRule="atLeast"/>
          <w:jc w:val="center"/>
        </w:trPr>
        <w:tc>
          <w:tcPr>
            <w:tcW w:w="706" w:type="dxa"/>
            <w:tcBorders>
              <w:tl2br w:val="nil"/>
              <w:tr2bl w:val="nil"/>
            </w:tcBorders>
            <w:shd w:val="clear" w:color="000000" w:fill="FFFFFF"/>
            <w:vAlign w:val="center"/>
          </w:tcPr>
          <w:p>
            <w:pPr>
              <w:jc w:val="center"/>
              <w:rPr>
                <w:rFonts w:hint="default"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14</w:t>
            </w:r>
          </w:p>
        </w:tc>
        <w:tc>
          <w:tcPr>
            <w:tcW w:w="1129" w:type="dxa"/>
            <w:vMerge w:val="continue"/>
            <w:tcBorders>
              <w:tl2br w:val="nil"/>
              <w:tr2bl w:val="nil"/>
            </w:tcBorders>
            <w:shd w:val="clear" w:color="000000" w:fill="FFFFFF"/>
            <w:vAlign w:val="center"/>
          </w:tcPr>
          <w:p>
            <w:pPr>
              <w:jc w:val="center"/>
              <w:rPr>
                <w:rFonts w:hint="eastAsia" w:ascii="仿宋" w:hAnsi="仿宋" w:eastAsia="仿宋" w:cs="仿宋"/>
                <w:color w:val="auto"/>
                <w:kern w:val="0"/>
                <w:sz w:val="24"/>
                <w:szCs w:val="24"/>
                <w:highlight w:val="none"/>
                <w:lang w:val="en-US" w:eastAsia="zh-CN"/>
              </w:rPr>
            </w:pPr>
          </w:p>
        </w:tc>
        <w:tc>
          <w:tcPr>
            <w:tcW w:w="1129" w:type="dxa"/>
            <w:tcBorders>
              <w:tl2br w:val="nil"/>
              <w:tr2bl w:val="nil"/>
            </w:tcBorders>
            <w:shd w:val="clear" w:color="000000" w:fill="FFFFFF"/>
            <w:vAlign w:val="center"/>
          </w:tcPr>
          <w:p>
            <w:pPr>
              <w:jc w:val="center"/>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应急方案</w:t>
            </w:r>
          </w:p>
        </w:tc>
        <w:tc>
          <w:tcPr>
            <w:tcW w:w="5649" w:type="dxa"/>
            <w:tcBorders>
              <w:tl2br w:val="nil"/>
              <w:tr2bl w:val="nil"/>
            </w:tcBorders>
            <w:shd w:val="clear" w:color="000000" w:fill="FFFFFF"/>
            <w:vAlign w:val="center"/>
          </w:tcPr>
          <w:p>
            <w:pPr>
              <w:spacing w:line="360" w:lineRule="auto"/>
              <w:jc w:val="both"/>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sz w:val="24"/>
                <w:szCs w:val="24"/>
                <w:highlight w:val="none"/>
              </w:rPr>
              <w:t>根据投标人针对</w:t>
            </w:r>
            <w:r>
              <w:rPr>
                <w:rFonts w:hint="eastAsia" w:ascii="仿宋" w:hAnsi="仿宋" w:eastAsia="仿宋" w:cs="仿宋"/>
                <w:color w:val="auto"/>
                <w:sz w:val="24"/>
                <w:szCs w:val="24"/>
                <w:highlight w:val="none"/>
                <w:lang w:val="en-US"/>
              </w:rPr>
              <w:t>本项目的应急预案</w:t>
            </w:r>
            <w:r>
              <w:rPr>
                <w:rFonts w:hint="eastAsia" w:ascii="仿宋" w:hAnsi="仿宋" w:eastAsia="仿宋" w:cs="仿宋"/>
                <w:color w:val="auto"/>
                <w:sz w:val="24"/>
                <w:szCs w:val="24"/>
                <w:highlight w:val="none"/>
              </w:rPr>
              <w:t>，如</w:t>
            </w:r>
            <w:r>
              <w:rPr>
                <w:rFonts w:hint="eastAsia" w:ascii="仿宋" w:hAnsi="仿宋" w:eastAsia="仿宋" w:cs="仿宋"/>
                <w:color w:val="auto"/>
                <w:sz w:val="24"/>
                <w:szCs w:val="24"/>
                <w:highlight w:val="none"/>
                <w:lang w:val="en-US"/>
              </w:rPr>
              <w:t>火灾、</w:t>
            </w:r>
            <w:r>
              <w:rPr>
                <w:rFonts w:hint="eastAsia" w:ascii="仿宋" w:hAnsi="仿宋" w:eastAsia="仿宋" w:cs="仿宋"/>
                <w:color w:val="auto"/>
                <w:sz w:val="24"/>
                <w:szCs w:val="24"/>
                <w:highlight w:val="none"/>
              </w:rPr>
              <w:t>自然灾害、突发疫情、临时任务等，</w:t>
            </w:r>
            <w:r>
              <w:rPr>
                <w:rFonts w:hint="eastAsia" w:ascii="仿宋" w:hAnsi="仿宋" w:eastAsia="仿宋" w:cs="仿宋"/>
                <w:color w:val="auto"/>
                <w:sz w:val="24"/>
                <w:szCs w:val="24"/>
                <w:highlight w:val="none"/>
                <w:lang w:val="en-US"/>
              </w:rPr>
              <w:t>根据投标人提供的内容是否切实可行，内容详尽充实，科学合理，具有针对性及可操作性进行打分，方案科学、合理、符合实际的得</w:t>
            </w: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lang w:val="en-US"/>
              </w:rPr>
              <w:t>分；方案基本合理得</w:t>
            </w: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lang w:val="en-US"/>
              </w:rPr>
              <w:t>分；方案简单稍有欠缺得</w:t>
            </w: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lang w:val="en-US"/>
              </w:rPr>
              <w:t>分；方案不合理、不符合需求的不得分，最高得</w:t>
            </w: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lang w:val="en-US"/>
              </w:rPr>
              <w:t>分。</w:t>
            </w:r>
          </w:p>
        </w:tc>
        <w:tc>
          <w:tcPr>
            <w:tcW w:w="706" w:type="dxa"/>
            <w:tcBorders>
              <w:tl2br w:val="nil"/>
              <w:tr2bl w:val="nil"/>
            </w:tcBorders>
            <w:shd w:val="clear" w:color="000000" w:fill="FFFFFF"/>
            <w:vAlign w:val="center"/>
          </w:tcPr>
          <w:p>
            <w:pPr>
              <w:jc w:val="center"/>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0" w:hRule="atLeast"/>
          <w:jc w:val="center"/>
        </w:trPr>
        <w:tc>
          <w:tcPr>
            <w:tcW w:w="706" w:type="dxa"/>
            <w:tcBorders>
              <w:tl2br w:val="nil"/>
              <w:tr2bl w:val="nil"/>
            </w:tcBorders>
            <w:shd w:val="clear" w:color="000000" w:fill="FFFFFF"/>
            <w:vAlign w:val="center"/>
          </w:tcPr>
          <w:p>
            <w:pPr>
              <w:jc w:val="center"/>
              <w:rPr>
                <w:rFonts w:hint="default"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15</w:t>
            </w:r>
          </w:p>
        </w:tc>
        <w:tc>
          <w:tcPr>
            <w:tcW w:w="1129" w:type="dxa"/>
            <w:vMerge w:val="continue"/>
            <w:tcBorders>
              <w:tl2br w:val="nil"/>
              <w:tr2bl w:val="nil"/>
            </w:tcBorders>
            <w:shd w:val="clear" w:color="000000" w:fill="FFFFFF"/>
            <w:vAlign w:val="center"/>
          </w:tcPr>
          <w:p>
            <w:pPr>
              <w:jc w:val="center"/>
              <w:rPr>
                <w:rFonts w:hint="eastAsia" w:ascii="仿宋" w:hAnsi="仿宋" w:eastAsia="仿宋" w:cs="仿宋"/>
                <w:color w:val="auto"/>
                <w:kern w:val="0"/>
                <w:sz w:val="24"/>
                <w:szCs w:val="24"/>
                <w:highlight w:val="none"/>
                <w:lang w:val="en-US" w:eastAsia="zh-CN"/>
              </w:rPr>
            </w:pPr>
          </w:p>
        </w:tc>
        <w:tc>
          <w:tcPr>
            <w:tcW w:w="1129" w:type="dxa"/>
            <w:tcBorders>
              <w:tl2br w:val="nil"/>
              <w:tr2bl w:val="nil"/>
            </w:tcBorders>
            <w:shd w:val="clear" w:color="000000" w:fill="FFFFFF"/>
            <w:vAlign w:val="center"/>
          </w:tcPr>
          <w:p>
            <w:pPr>
              <w:jc w:val="center"/>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服务响应及承诺</w:t>
            </w:r>
          </w:p>
        </w:tc>
        <w:tc>
          <w:tcPr>
            <w:tcW w:w="5649" w:type="dxa"/>
            <w:tcBorders>
              <w:tl2br w:val="nil"/>
              <w:tr2bl w:val="nil"/>
            </w:tcBorders>
            <w:shd w:val="clear" w:color="000000" w:fill="FFFFFF"/>
            <w:vAlign w:val="center"/>
          </w:tcPr>
          <w:p>
            <w:pPr>
              <w:spacing w:line="360" w:lineRule="auto"/>
              <w:jc w:val="both"/>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2"/>
                <w:sz w:val="24"/>
                <w:szCs w:val="24"/>
                <w:highlight w:val="none"/>
                <w:lang w:val="en-US" w:eastAsia="zh-CN" w:bidi="ar-SA"/>
              </w:rPr>
              <w:t>拟派的项目组成员应与服务期间内成员保持一致，（原则上半年内不予更换）承诺的得3分，未提供不得分。</w:t>
            </w:r>
          </w:p>
        </w:tc>
        <w:tc>
          <w:tcPr>
            <w:tcW w:w="706" w:type="dxa"/>
            <w:tcBorders>
              <w:tl2br w:val="nil"/>
              <w:tr2bl w:val="nil"/>
            </w:tcBorders>
            <w:shd w:val="clear" w:color="000000" w:fill="FFFFFF"/>
            <w:vAlign w:val="center"/>
          </w:tcPr>
          <w:p>
            <w:pPr>
              <w:jc w:val="center"/>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7" w:hRule="atLeast"/>
          <w:jc w:val="center"/>
        </w:trPr>
        <w:tc>
          <w:tcPr>
            <w:tcW w:w="706" w:type="dxa"/>
            <w:tcBorders>
              <w:tl2br w:val="nil"/>
              <w:tr2bl w:val="nil"/>
            </w:tcBorders>
            <w:shd w:val="clear" w:color="000000" w:fill="FFFFFF"/>
            <w:vAlign w:val="center"/>
          </w:tcPr>
          <w:p>
            <w:pPr>
              <w:jc w:val="center"/>
              <w:rPr>
                <w:rFonts w:hint="default"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16</w:t>
            </w:r>
          </w:p>
        </w:tc>
        <w:tc>
          <w:tcPr>
            <w:tcW w:w="1129" w:type="dxa"/>
            <w:vMerge w:val="continue"/>
            <w:tcBorders>
              <w:tl2br w:val="nil"/>
              <w:tr2bl w:val="nil"/>
            </w:tcBorders>
            <w:shd w:val="clear" w:color="000000" w:fill="FFFFFF"/>
            <w:vAlign w:val="center"/>
          </w:tcPr>
          <w:p>
            <w:pPr>
              <w:jc w:val="center"/>
              <w:rPr>
                <w:rFonts w:hint="eastAsia" w:ascii="仿宋" w:hAnsi="仿宋" w:eastAsia="仿宋" w:cs="仿宋"/>
                <w:color w:val="auto"/>
                <w:kern w:val="0"/>
                <w:sz w:val="24"/>
                <w:szCs w:val="24"/>
                <w:highlight w:val="none"/>
                <w:lang w:val="en-US" w:eastAsia="zh-CN"/>
              </w:rPr>
            </w:pPr>
          </w:p>
        </w:tc>
        <w:tc>
          <w:tcPr>
            <w:tcW w:w="1129" w:type="dxa"/>
            <w:tcBorders>
              <w:tl2br w:val="nil"/>
              <w:tr2bl w:val="nil"/>
            </w:tcBorders>
            <w:shd w:val="clear" w:color="000000" w:fill="FFFFFF"/>
            <w:vAlign w:val="center"/>
          </w:tcPr>
          <w:p>
            <w:pPr>
              <w:jc w:val="center"/>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装备响应情况</w:t>
            </w:r>
          </w:p>
        </w:tc>
        <w:tc>
          <w:tcPr>
            <w:tcW w:w="5649" w:type="dxa"/>
            <w:tcBorders>
              <w:tl2br w:val="nil"/>
              <w:tr2bl w:val="nil"/>
            </w:tcBorders>
            <w:shd w:val="clear" w:color="000000" w:fill="FFFFFF"/>
            <w:vAlign w:val="center"/>
          </w:tcPr>
          <w:p>
            <w:pPr>
              <w:pStyle w:val="96"/>
              <w:spacing w:line="360" w:lineRule="auto"/>
              <w:jc w:val="both"/>
              <w:rPr>
                <w:rFonts w:hint="default" w:ascii="仿宋" w:hAnsi="仿宋" w:eastAsia="仿宋" w:cs="仿宋"/>
                <w:color w:val="auto"/>
                <w:kern w:val="0"/>
                <w:sz w:val="24"/>
                <w:szCs w:val="24"/>
                <w:highlight w:val="none"/>
                <w:lang w:val="en-US" w:eastAsia="zh-CN"/>
              </w:rPr>
            </w:pPr>
            <w:r>
              <w:rPr>
                <w:rFonts w:hint="eastAsia" w:ascii="仿宋" w:hAnsi="仿宋" w:eastAsia="仿宋" w:cs="仿宋"/>
                <w:strike w:val="0"/>
                <w:dstrike w:val="0"/>
                <w:color w:val="auto"/>
                <w:sz w:val="24"/>
                <w:szCs w:val="24"/>
                <w:highlight w:val="none"/>
                <w:lang w:val="en-US"/>
              </w:rPr>
              <w:t>投标人投标响应与采购需求中相关人员服装的响应程度</w:t>
            </w:r>
            <w:r>
              <w:rPr>
                <w:rFonts w:hint="eastAsia" w:ascii="仿宋" w:hAnsi="仿宋" w:eastAsia="仿宋" w:cs="仿宋"/>
                <w:strike w:val="0"/>
                <w:dstrike w:val="0"/>
                <w:color w:val="auto"/>
                <w:sz w:val="24"/>
                <w:szCs w:val="24"/>
                <w:highlight w:val="none"/>
              </w:rPr>
              <w:t>，</w:t>
            </w:r>
            <w:r>
              <w:rPr>
                <w:rFonts w:hint="eastAsia" w:ascii="仿宋" w:hAnsi="仿宋" w:eastAsia="仿宋" w:cs="仿宋"/>
                <w:strike w:val="0"/>
                <w:dstrike w:val="0"/>
                <w:color w:val="auto"/>
                <w:sz w:val="24"/>
                <w:szCs w:val="24"/>
                <w:highlight w:val="none"/>
                <w:lang w:val="en-US"/>
              </w:rPr>
              <w:t>完全响应招标文件要求的得满分</w:t>
            </w:r>
            <w:r>
              <w:rPr>
                <w:rFonts w:hint="eastAsia" w:ascii="仿宋" w:hAnsi="仿宋" w:eastAsia="仿宋" w:cs="仿宋"/>
                <w:strike w:val="0"/>
                <w:dstrike w:val="0"/>
                <w:color w:val="auto"/>
                <w:sz w:val="24"/>
                <w:szCs w:val="24"/>
                <w:highlight w:val="none"/>
                <w:lang w:val="en-US" w:eastAsia="zh-CN"/>
              </w:rPr>
              <w:t>2</w:t>
            </w:r>
            <w:r>
              <w:rPr>
                <w:rFonts w:hint="eastAsia" w:ascii="仿宋" w:hAnsi="仿宋" w:eastAsia="仿宋" w:cs="仿宋"/>
                <w:strike w:val="0"/>
                <w:dstrike w:val="0"/>
                <w:color w:val="auto"/>
                <w:sz w:val="24"/>
                <w:szCs w:val="24"/>
                <w:highlight w:val="none"/>
                <w:lang w:val="en-US"/>
              </w:rPr>
              <w:t>分</w:t>
            </w:r>
            <w:r>
              <w:rPr>
                <w:rFonts w:hint="eastAsia" w:ascii="仿宋" w:hAnsi="仿宋" w:eastAsia="仿宋" w:cs="仿宋"/>
                <w:strike w:val="0"/>
                <w:dstrike w:val="0"/>
                <w:color w:val="auto"/>
                <w:sz w:val="24"/>
                <w:szCs w:val="24"/>
                <w:highlight w:val="none"/>
              </w:rPr>
              <w:t>，</w:t>
            </w:r>
            <w:r>
              <w:rPr>
                <w:rFonts w:hint="eastAsia" w:ascii="仿宋" w:hAnsi="仿宋" w:eastAsia="仿宋" w:cs="仿宋"/>
                <w:strike w:val="0"/>
                <w:dstrike w:val="0"/>
                <w:color w:val="auto"/>
                <w:sz w:val="24"/>
                <w:szCs w:val="24"/>
                <w:highlight w:val="none"/>
                <w:lang w:val="en-US"/>
              </w:rPr>
              <w:t>每项缺失或负偏离扣</w:t>
            </w:r>
            <w:r>
              <w:rPr>
                <w:rFonts w:hint="eastAsia" w:ascii="仿宋" w:hAnsi="仿宋" w:eastAsia="仿宋" w:cs="仿宋"/>
                <w:strike w:val="0"/>
                <w:dstrike w:val="0"/>
                <w:color w:val="auto"/>
                <w:sz w:val="24"/>
                <w:szCs w:val="24"/>
                <w:highlight w:val="none"/>
                <w:lang w:val="en-US" w:eastAsia="zh-CN"/>
              </w:rPr>
              <w:t>1</w:t>
            </w:r>
            <w:r>
              <w:rPr>
                <w:rFonts w:hint="eastAsia" w:ascii="仿宋" w:hAnsi="仿宋" w:eastAsia="仿宋" w:cs="仿宋"/>
                <w:strike w:val="0"/>
                <w:dstrike w:val="0"/>
                <w:color w:val="auto"/>
                <w:sz w:val="24"/>
                <w:szCs w:val="24"/>
                <w:highlight w:val="none"/>
                <w:lang w:val="en-US"/>
              </w:rPr>
              <w:t>分</w:t>
            </w:r>
            <w:r>
              <w:rPr>
                <w:rFonts w:hint="eastAsia" w:ascii="仿宋" w:hAnsi="仿宋" w:eastAsia="仿宋" w:cs="仿宋"/>
                <w:strike w:val="0"/>
                <w:dstrike w:val="0"/>
                <w:color w:val="auto"/>
                <w:sz w:val="24"/>
                <w:szCs w:val="24"/>
                <w:highlight w:val="none"/>
              </w:rPr>
              <w:t>，</w:t>
            </w:r>
            <w:r>
              <w:rPr>
                <w:rFonts w:hint="eastAsia" w:ascii="仿宋" w:hAnsi="仿宋" w:eastAsia="仿宋" w:cs="仿宋"/>
                <w:strike w:val="0"/>
                <w:dstrike w:val="0"/>
                <w:color w:val="auto"/>
                <w:sz w:val="24"/>
                <w:szCs w:val="24"/>
                <w:highlight w:val="none"/>
                <w:lang w:val="en-US"/>
              </w:rPr>
              <w:t>扣完为止</w:t>
            </w:r>
            <w:r>
              <w:rPr>
                <w:rFonts w:hint="eastAsia" w:ascii="仿宋" w:hAnsi="仿宋" w:eastAsia="仿宋" w:cs="仿宋"/>
                <w:strike w:val="0"/>
                <w:dstrike w:val="0"/>
                <w:color w:val="auto"/>
                <w:sz w:val="24"/>
                <w:szCs w:val="24"/>
                <w:highlight w:val="none"/>
              </w:rPr>
              <w:t>。</w:t>
            </w:r>
          </w:p>
        </w:tc>
        <w:tc>
          <w:tcPr>
            <w:tcW w:w="706" w:type="dxa"/>
            <w:tcBorders>
              <w:tl2br w:val="nil"/>
              <w:tr2bl w:val="nil"/>
            </w:tcBorders>
            <w:shd w:val="clear" w:color="000000" w:fill="FFFFFF"/>
            <w:vAlign w:val="center"/>
          </w:tcPr>
          <w:p>
            <w:pPr>
              <w:jc w:val="center"/>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jc w:val="center"/>
        </w:trPr>
        <w:tc>
          <w:tcPr>
            <w:tcW w:w="706" w:type="dxa"/>
            <w:tcBorders>
              <w:tl2br w:val="nil"/>
              <w:tr2bl w:val="nil"/>
            </w:tcBorders>
            <w:shd w:val="clear" w:color="000000" w:fill="FFFFFF"/>
            <w:vAlign w:val="center"/>
          </w:tcPr>
          <w:p>
            <w:pPr>
              <w:jc w:val="center"/>
              <w:rPr>
                <w:rFonts w:hint="default"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17</w:t>
            </w:r>
          </w:p>
        </w:tc>
        <w:tc>
          <w:tcPr>
            <w:tcW w:w="1129" w:type="dxa"/>
            <w:vMerge w:val="continue"/>
            <w:tcBorders>
              <w:tl2br w:val="nil"/>
              <w:tr2bl w:val="nil"/>
            </w:tcBorders>
            <w:shd w:val="clear" w:color="000000" w:fill="FFFFFF"/>
            <w:vAlign w:val="center"/>
          </w:tcPr>
          <w:p>
            <w:pPr>
              <w:jc w:val="center"/>
              <w:rPr>
                <w:rFonts w:hint="eastAsia" w:ascii="仿宋" w:hAnsi="仿宋" w:eastAsia="仿宋" w:cs="仿宋"/>
                <w:color w:val="auto"/>
                <w:kern w:val="0"/>
                <w:sz w:val="24"/>
                <w:szCs w:val="24"/>
                <w:highlight w:val="none"/>
                <w:lang w:val="en-US" w:eastAsia="zh-CN"/>
              </w:rPr>
            </w:pPr>
          </w:p>
        </w:tc>
        <w:tc>
          <w:tcPr>
            <w:tcW w:w="1129" w:type="dxa"/>
            <w:tcBorders>
              <w:tl2br w:val="nil"/>
              <w:tr2bl w:val="nil"/>
            </w:tcBorders>
            <w:shd w:val="clear" w:color="000000" w:fill="FFFFFF"/>
            <w:vAlign w:val="center"/>
          </w:tcPr>
          <w:p>
            <w:pPr>
              <w:jc w:val="center"/>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重难点分析</w:t>
            </w:r>
          </w:p>
        </w:tc>
        <w:tc>
          <w:tcPr>
            <w:tcW w:w="5649" w:type="dxa"/>
            <w:tcBorders>
              <w:tl2br w:val="nil"/>
              <w:tr2bl w:val="nil"/>
            </w:tcBorders>
            <w:shd w:val="clear" w:color="000000" w:fill="FFFFFF"/>
            <w:vAlign w:val="center"/>
          </w:tcPr>
          <w:p>
            <w:pPr>
              <w:pStyle w:val="96"/>
              <w:spacing w:line="360" w:lineRule="auto"/>
              <w:jc w:val="both"/>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sz w:val="24"/>
                <w:szCs w:val="24"/>
                <w:highlight w:val="none"/>
              </w:rPr>
              <w:t>针对本项目主要工作内容介绍，</w:t>
            </w:r>
            <w:r>
              <w:rPr>
                <w:rFonts w:hint="eastAsia" w:ascii="仿宋" w:hAnsi="仿宋" w:eastAsia="仿宋" w:cs="仿宋"/>
                <w:color w:val="auto"/>
                <w:sz w:val="24"/>
                <w:szCs w:val="24"/>
                <w:highlight w:val="none"/>
                <w:lang w:val="en-US"/>
              </w:rPr>
              <w:t>投标人</w:t>
            </w:r>
            <w:r>
              <w:rPr>
                <w:rFonts w:hint="eastAsia" w:ascii="仿宋" w:hAnsi="仿宋" w:eastAsia="仿宋" w:cs="仿宋"/>
                <w:color w:val="auto"/>
                <w:sz w:val="24"/>
                <w:szCs w:val="24"/>
                <w:highlight w:val="none"/>
              </w:rPr>
              <w:t>提出本项目重点、难点问题，并就如何解决这些问题提出针对性的方案措施，</w:t>
            </w:r>
            <w:r>
              <w:rPr>
                <w:rFonts w:hint="eastAsia" w:ascii="仿宋" w:hAnsi="仿宋" w:eastAsia="仿宋" w:cs="仿宋"/>
                <w:color w:val="auto"/>
                <w:sz w:val="24"/>
                <w:szCs w:val="24"/>
                <w:highlight w:val="none"/>
                <w:lang w:val="en-US"/>
              </w:rPr>
              <w:t>根据投标人提供的内容是否切实可行，内容详尽充实，科学合理，具有针对性及可操作性进行打分，方案科学、合理、符合实际的得</w:t>
            </w: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lang w:val="en-US"/>
              </w:rPr>
              <w:t>分；方案基本合理得</w:t>
            </w: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lang w:val="en-US"/>
              </w:rPr>
              <w:t>分；方案简单稍有欠缺得</w:t>
            </w: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lang w:val="en-US"/>
              </w:rPr>
              <w:t>分；方案不合理、不符合需求的不得分，最高得</w:t>
            </w: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lang w:val="en-US"/>
              </w:rPr>
              <w:t>分。</w:t>
            </w:r>
          </w:p>
        </w:tc>
        <w:tc>
          <w:tcPr>
            <w:tcW w:w="706" w:type="dxa"/>
            <w:tcBorders>
              <w:tl2br w:val="nil"/>
              <w:tr2bl w:val="nil"/>
            </w:tcBorders>
            <w:shd w:val="clear" w:color="000000" w:fill="FFFFFF"/>
            <w:vAlign w:val="center"/>
          </w:tcPr>
          <w:p>
            <w:pPr>
              <w:jc w:val="center"/>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bidi="ar-SA"/>
              </w:rPr>
              <w:t>5</w:t>
            </w:r>
          </w:p>
        </w:tc>
      </w:tr>
    </w:tbl>
    <w:p>
      <w:pPr>
        <w:spacing w:line="480" w:lineRule="auto"/>
        <w:ind w:firstLine="400" w:firstLineChars="200"/>
        <w:rPr>
          <w:rFonts w:hint="eastAsia" w:ascii="仿宋" w:hAnsi="仿宋" w:eastAsia="仿宋" w:cs="仿宋"/>
          <w:color w:val="auto"/>
          <w:sz w:val="20"/>
          <w:szCs w:val="20"/>
          <w:highlight w:val="none"/>
          <w:shd w:val="clear" w:color="auto" w:fill="FFFFFF"/>
        </w:rPr>
      </w:pPr>
    </w:p>
    <w:p>
      <w:pPr>
        <w:spacing w:line="480" w:lineRule="auto"/>
        <w:ind w:firstLine="400" w:firstLineChars="200"/>
        <w:rPr>
          <w:rFonts w:hint="eastAsia" w:ascii="仿宋" w:hAnsi="仿宋" w:eastAsia="仿宋" w:cs="仿宋"/>
          <w:color w:val="auto"/>
          <w:sz w:val="24"/>
          <w:highlight w:val="none"/>
        </w:rPr>
      </w:pPr>
      <w:r>
        <w:rPr>
          <w:rFonts w:hint="eastAsia" w:ascii="仿宋" w:hAnsi="仿宋" w:eastAsia="仿宋" w:cs="仿宋"/>
          <w:color w:val="auto"/>
          <w:sz w:val="20"/>
          <w:szCs w:val="20"/>
          <w:highlight w:val="none"/>
          <w:shd w:val="clear" w:color="auto" w:fill="FFFFFF"/>
        </w:rPr>
        <w:t> *</w:t>
      </w:r>
      <w:r>
        <w:rPr>
          <w:rFonts w:hint="eastAsia" w:ascii="仿宋" w:hAnsi="仿宋" w:eastAsia="仿宋" w:cs="仿宋"/>
          <w:b/>
          <w:color w:val="auto"/>
          <w:sz w:val="24"/>
          <w:highlight w:val="none"/>
        </w:rPr>
        <w:t>备注：</w:t>
      </w:r>
      <w:r>
        <w:rPr>
          <w:rFonts w:hint="eastAsia" w:ascii="仿宋" w:hAnsi="仿宋" w:eastAsia="仿宋" w:cs="仿宋"/>
          <w:color w:val="auto"/>
          <w:sz w:val="24"/>
          <w:highlight w:val="none"/>
        </w:rPr>
        <w:t>投标人编制投标文件（商务技术文件部分）时，建议按此目录（序号和内容）提供评标标准相应的商务技术资料。 </w:t>
      </w:r>
    </w:p>
    <w:p>
      <w:pPr>
        <w:spacing w:line="480" w:lineRule="auto"/>
        <w:ind w:firstLine="482" w:firstLineChars="200"/>
        <w:rPr>
          <w:rFonts w:ascii="仿宋" w:hAnsi="仿宋" w:eastAsia="仿宋" w:cs="仿宋"/>
          <w:b/>
          <w:bCs/>
          <w:color w:val="auto"/>
          <w:sz w:val="24"/>
          <w:highlight w:val="none"/>
        </w:rPr>
      </w:pPr>
      <w:r>
        <w:rPr>
          <w:rFonts w:hint="eastAsia" w:ascii="仿宋" w:hAnsi="仿宋" w:eastAsia="仿宋" w:cs="仿宋"/>
          <w:b/>
          <w:bCs/>
          <w:color w:val="auto"/>
          <w:sz w:val="24"/>
          <w:highlight w:val="none"/>
        </w:rPr>
        <w:t>2、商务分+技术分=评标委员会所有成员评分合计数/评标委员会组成人员数（精确到小数点后二位）；</w:t>
      </w:r>
    </w:p>
    <w:p>
      <w:pPr>
        <w:spacing w:line="480" w:lineRule="auto"/>
        <w:ind w:firstLine="482" w:firstLineChars="200"/>
        <w:rPr>
          <w:rFonts w:ascii="仿宋" w:hAnsi="仿宋" w:eastAsia="仿宋" w:cs="仿宋"/>
          <w:color w:val="auto"/>
          <w:sz w:val="24"/>
          <w:highlight w:val="none"/>
        </w:rPr>
      </w:pPr>
      <w:r>
        <w:rPr>
          <w:rFonts w:hint="eastAsia" w:ascii="仿宋" w:hAnsi="仿宋" w:eastAsia="仿宋" w:cs="仿宋"/>
          <w:b/>
          <w:bCs/>
          <w:color w:val="auto"/>
          <w:sz w:val="24"/>
          <w:highlight w:val="none"/>
        </w:rPr>
        <w:t>3、价格分（10分）</w:t>
      </w:r>
      <w:r>
        <w:rPr>
          <w:rFonts w:hint="eastAsia" w:ascii="仿宋" w:hAnsi="仿宋" w:eastAsia="仿宋" w:cs="仿宋"/>
          <w:color w:val="auto"/>
          <w:sz w:val="24"/>
          <w:highlight w:val="none"/>
        </w:rPr>
        <w:t>采用低价优先法计算，即满足招标文件要求且投标价格最低的投标报价为评标基准价，其他投标人的价格分按照下列公式计算：</w:t>
      </w:r>
    </w:p>
    <w:p>
      <w:pPr>
        <w:spacing w:line="480" w:lineRule="auto"/>
        <w:ind w:firstLine="482" w:firstLineChars="200"/>
        <w:rPr>
          <w:rFonts w:ascii="仿宋" w:hAnsi="仿宋" w:eastAsia="仿宋" w:cs="仿宋"/>
          <w:b/>
          <w:bCs/>
          <w:color w:val="auto"/>
          <w:sz w:val="24"/>
          <w:highlight w:val="none"/>
        </w:rPr>
      </w:pPr>
      <w:r>
        <w:rPr>
          <w:rFonts w:hint="eastAsia" w:ascii="仿宋" w:hAnsi="仿宋" w:eastAsia="仿宋" w:cs="仿宋"/>
          <w:b/>
          <w:bCs/>
          <w:color w:val="auto"/>
          <w:sz w:val="24"/>
          <w:highlight w:val="none"/>
        </w:rPr>
        <w:t>价格分=（评标基准价/投标报价）×10%×100（精确到小数点后二位）；</w:t>
      </w:r>
    </w:p>
    <w:p>
      <w:pPr>
        <w:pStyle w:val="61"/>
        <w:spacing w:line="480" w:lineRule="auto"/>
        <w:ind w:left="0" w:leftChars="0" w:firstLine="480"/>
        <w:rPr>
          <w:rFonts w:ascii="仿宋" w:hAnsi="仿宋" w:eastAsia="仿宋" w:cs="仿宋"/>
          <w:color w:val="auto"/>
          <w:sz w:val="24"/>
          <w:highlight w:val="none"/>
        </w:rPr>
      </w:pPr>
      <w:r>
        <w:rPr>
          <w:rFonts w:hint="eastAsia" w:ascii="仿宋" w:hAnsi="仿宋" w:eastAsia="仿宋" w:cs="仿宋"/>
          <w:color w:val="auto"/>
          <w:sz w:val="24"/>
          <w:highlight w:val="none"/>
        </w:rPr>
        <w:t>报价是中标的一个重要因素，但最低报价不是中标的唯一依据。</w:t>
      </w:r>
    </w:p>
    <w:p>
      <w:pPr>
        <w:snapToGrid w:val="0"/>
        <w:spacing w:line="480" w:lineRule="auto"/>
        <w:ind w:firstLine="482" w:firstLineChars="200"/>
        <w:rPr>
          <w:rFonts w:hint="eastAsia" w:ascii="仿宋" w:hAnsi="仿宋" w:eastAsia="仿宋" w:cs="仿宋"/>
          <w:b/>
          <w:color w:val="auto"/>
          <w:sz w:val="24"/>
          <w:highlight w:val="none"/>
        </w:rPr>
      </w:pPr>
      <w:r>
        <w:rPr>
          <w:rFonts w:hint="eastAsia" w:ascii="仿宋" w:hAnsi="仿宋" w:eastAsia="仿宋" w:cs="仿宋"/>
          <w:b/>
          <w:bCs/>
          <w:color w:val="auto"/>
          <w:sz w:val="24"/>
          <w:highlight w:val="none"/>
        </w:rPr>
        <w:t>4、各投标人的综合得分为：技术商务得分+投标价格得分之和，总和为100分，其中：商务技术得分90分，投标价格得分10分。</w:t>
      </w:r>
    </w:p>
    <w:p>
      <w:pPr>
        <w:snapToGrid w:val="0"/>
        <w:spacing w:line="480" w:lineRule="auto"/>
        <w:rPr>
          <w:rFonts w:hint="eastAsia" w:ascii="仿宋" w:hAnsi="仿宋" w:eastAsia="仿宋" w:cs="仿宋"/>
          <w:b/>
          <w:color w:val="auto"/>
          <w:sz w:val="28"/>
          <w:szCs w:val="28"/>
          <w:highlight w:val="none"/>
        </w:rPr>
      </w:pPr>
      <w:r>
        <w:rPr>
          <w:rFonts w:hint="eastAsia" w:ascii="仿宋" w:hAnsi="仿宋" w:eastAsia="仿宋" w:cs="仿宋"/>
          <w:b/>
          <w:color w:val="auto"/>
          <w:sz w:val="32"/>
          <w:highlight w:val="none"/>
        </w:rPr>
        <w:t>一、评标方法</w:t>
      </w:r>
    </w:p>
    <w:p>
      <w:pPr>
        <w:adjustRightInd/>
        <w:spacing w:line="480" w:lineRule="auto"/>
        <w:ind w:firstLine="472" w:firstLineChars="196"/>
        <w:rPr>
          <w:rFonts w:hint="eastAsia" w:ascii="仿宋" w:hAnsi="仿宋" w:eastAsia="仿宋" w:cs="仿宋"/>
          <w:color w:val="auto"/>
          <w:kern w:val="0"/>
          <w:sz w:val="24"/>
          <w:highlight w:val="none"/>
        </w:rPr>
      </w:pPr>
      <w:r>
        <w:rPr>
          <w:rFonts w:hint="eastAsia" w:ascii="仿宋" w:hAnsi="仿宋" w:eastAsia="仿宋" w:cs="仿宋"/>
          <w:b/>
          <w:color w:val="auto"/>
          <w:kern w:val="0"/>
          <w:sz w:val="24"/>
          <w:highlight w:val="none"/>
        </w:rPr>
        <w:t>1.本项目采用综合评分法。</w:t>
      </w:r>
      <w:r>
        <w:rPr>
          <w:rFonts w:hint="eastAsia" w:ascii="仿宋" w:hAnsi="仿宋" w:eastAsia="仿宋" w:cs="仿宋"/>
          <w:color w:val="auto"/>
          <w:kern w:val="0"/>
          <w:sz w:val="24"/>
          <w:highlight w:val="none"/>
        </w:rPr>
        <w:t>综合评分法，是指投标文件满足招标文件全部实质性要求，且按照评审因素的量化指标评审得分最高的投标人为中标候选人的评标方法。</w:t>
      </w:r>
    </w:p>
    <w:p>
      <w:pPr>
        <w:adjustRightInd/>
        <w:spacing w:line="480" w:lineRule="auto"/>
        <w:rPr>
          <w:rFonts w:hint="eastAsia" w:ascii="仿宋" w:hAnsi="仿宋" w:eastAsia="仿宋" w:cs="仿宋"/>
          <w:color w:val="auto"/>
          <w:kern w:val="0"/>
          <w:sz w:val="24"/>
          <w:highlight w:val="none"/>
        </w:rPr>
      </w:pPr>
      <w:r>
        <w:rPr>
          <w:rFonts w:hint="eastAsia" w:ascii="仿宋" w:hAnsi="仿宋" w:eastAsia="仿宋" w:cs="仿宋"/>
          <w:b/>
          <w:color w:val="auto"/>
          <w:sz w:val="32"/>
          <w:highlight w:val="none"/>
        </w:rPr>
        <w:t>二、评标标准</w:t>
      </w:r>
    </w:p>
    <w:p>
      <w:pPr>
        <w:spacing w:line="480" w:lineRule="auto"/>
        <w:ind w:firstLine="472" w:firstLineChars="196"/>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w:t>
      </w:r>
      <w:r>
        <w:rPr>
          <w:rFonts w:hint="eastAsia" w:ascii="仿宋" w:hAnsi="仿宋" w:eastAsia="仿宋" w:cs="仿宋"/>
          <w:color w:val="auto"/>
          <w:highlight w:val="none"/>
        </w:rPr>
        <w:t xml:space="preserve"> </w:t>
      </w:r>
      <w:r>
        <w:rPr>
          <w:rFonts w:hint="eastAsia" w:ascii="仿宋" w:hAnsi="仿宋" w:eastAsia="仿宋" w:cs="仿宋"/>
          <w:b/>
          <w:color w:val="auto"/>
          <w:sz w:val="24"/>
          <w:highlight w:val="none"/>
        </w:rPr>
        <w:t>评标标准：</w:t>
      </w:r>
      <w:r>
        <w:rPr>
          <w:rFonts w:hint="eastAsia" w:ascii="仿宋" w:hAnsi="仿宋" w:eastAsia="仿宋" w:cs="仿宋"/>
          <w:color w:val="auto"/>
          <w:kern w:val="0"/>
          <w:sz w:val="24"/>
          <w:highlight w:val="none"/>
        </w:rPr>
        <w:t>见评标办法前附表。</w:t>
      </w:r>
    </w:p>
    <w:p>
      <w:pPr>
        <w:spacing w:line="480" w:lineRule="auto"/>
        <w:outlineLvl w:val="0"/>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三、评标程序</w:t>
      </w:r>
    </w:p>
    <w:p>
      <w:pPr>
        <w:spacing w:line="480" w:lineRule="auto"/>
        <w:ind w:firstLine="472" w:firstLineChars="196"/>
        <w:rPr>
          <w:rFonts w:hint="eastAsia" w:ascii="仿宋" w:hAnsi="仿宋" w:eastAsia="仿宋" w:cs="仿宋"/>
          <w:color w:val="auto"/>
          <w:kern w:val="0"/>
          <w:sz w:val="24"/>
          <w:highlight w:val="none"/>
        </w:rPr>
      </w:pPr>
      <w:r>
        <w:rPr>
          <w:rFonts w:hint="eastAsia" w:ascii="仿宋" w:hAnsi="仿宋" w:eastAsia="仿宋" w:cs="仿宋"/>
          <w:b/>
          <w:color w:val="auto"/>
          <w:kern w:val="0"/>
          <w:sz w:val="24"/>
          <w:highlight w:val="none"/>
        </w:rPr>
        <w:t>3.1符合性审查。</w:t>
      </w:r>
      <w:r>
        <w:rPr>
          <w:rFonts w:hint="eastAsia" w:ascii="仿宋" w:hAnsi="仿宋" w:eastAsia="仿宋" w:cs="仿宋"/>
          <w:color w:val="auto"/>
          <w:kern w:val="0"/>
          <w:sz w:val="24"/>
          <w:highlight w:val="none"/>
        </w:rPr>
        <w:t>评标委员会应当对符合资格的投标人的投标文件进行符合性审查，以确定其是否满足招标文件的实质性要求。不满足招标文件的实质性要求的，投标无效。</w:t>
      </w:r>
    </w:p>
    <w:p>
      <w:pPr>
        <w:spacing w:line="480" w:lineRule="auto"/>
        <w:ind w:firstLine="472" w:firstLineChars="196"/>
        <w:rPr>
          <w:rFonts w:hint="eastAsia" w:ascii="仿宋" w:hAnsi="仿宋" w:eastAsia="仿宋" w:cs="仿宋"/>
          <w:color w:val="auto"/>
          <w:kern w:val="0"/>
          <w:sz w:val="24"/>
          <w:highlight w:val="none"/>
        </w:rPr>
      </w:pPr>
      <w:r>
        <w:rPr>
          <w:rFonts w:hint="eastAsia" w:ascii="仿宋" w:hAnsi="仿宋" w:eastAsia="仿宋" w:cs="仿宋"/>
          <w:b/>
          <w:color w:val="auto"/>
          <w:kern w:val="0"/>
          <w:sz w:val="24"/>
          <w:highlight w:val="none"/>
        </w:rPr>
        <w:t>3.2 比较与评价。</w:t>
      </w:r>
      <w:r>
        <w:rPr>
          <w:rFonts w:hint="eastAsia" w:ascii="仿宋" w:hAnsi="仿宋" w:eastAsia="仿宋" w:cs="仿宋"/>
          <w:color w:val="auto"/>
          <w:kern w:val="0"/>
          <w:sz w:val="24"/>
          <w:highlight w:val="none"/>
        </w:rPr>
        <w:t>评标委员会应当按照招标文件中规定的评标方法和标准，对符合性审查合格的投标文件进行商务和技术评估，综合比较与评价。</w:t>
      </w:r>
    </w:p>
    <w:p>
      <w:pPr>
        <w:spacing w:line="480" w:lineRule="auto"/>
        <w:ind w:firstLine="472" w:firstLineChars="196"/>
        <w:rPr>
          <w:rFonts w:hint="eastAsia" w:ascii="仿宋" w:hAnsi="仿宋" w:eastAsia="仿宋" w:cs="仿宋"/>
          <w:color w:val="auto"/>
          <w:kern w:val="0"/>
          <w:sz w:val="24"/>
          <w:highlight w:val="none"/>
        </w:rPr>
      </w:pPr>
      <w:r>
        <w:rPr>
          <w:rFonts w:hint="eastAsia" w:ascii="仿宋" w:hAnsi="仿宋" w:eastAsia="仿宋" w:cs="仿宋"/>
          <w:b/>
          <w:color w:val="auto"/>
          <w:kern w:val="0"/>
          <w:sz w:val="24"/>
          <w:highlight w:val="none"/>
        </w:rPr>
        <w:t>3.3汇总商务技术得分。</w:t>
      </w:r>
      <w:r>
        <w:rPr>
          <w:rFonts w:hint="eastAsia" w:ascii="仿宋" w:hAnsi="仿宋" w:eastAsia="仿宋" w:cs="仿宋"/>
          <w:color w:val="auto"/>
          <w:kern w:val="0"/>
          <w:sz w:val="24"/>
          <w:highlight w:val="none"/>
        </w:rPr>
        <w:t>评标委员会各成员应当独立对每个投标人的商务和技术文件进行评价，并汇总商务技术得分情况。</w:t>
      </w:r>
    </w:p>
    <w:p>
      <w:pPr>
        <w:spacing w:line="480" w:lineRule="auto"/>
        <w:ind w:firstLine="472" w:firstLineChars="196"/>
        <w:rPr>
          <w:rFonts w:hint="eastAsia" w:ascii="仿宋" w:hAnsi="仿宋" w:eastAsia="仿宋" w:cs="仿宋"/>
          <w:b/>
          <w:color w:val="auto"/>
          <w:kern w:val="0"/>
          <w:sz w:val="24"/>
          <w:highlight w:val="none"/>
        </w:rPr>
      </w:pPr>
      <w:r>
        <w:rPr>
          <w:rFonts w:hint="eastAsia" w:ascii="仿宋" w:hAnsi="仿宋" w:eastAsia="仿宋" w:cs="仿宋"/>
          <w:b/>
          <w:color w:val="auto"/>
          <w:kern w:val="0"/>
          <w:sz w:val="24"/>
          <w:highlight w:val="none"/>
        </w:rPr>
        <w:t>3.4报价评审。</w:t>
      </w:r>
    </w:p>
    <w:p>
      <w:pPr>
        <w:pStyle w:val="85"/>
        <w:spacing w:before="0" w:line="480" w:lineRule="auto"/>
        <w:ind w:firstLine="508" w:firstLineChars="212"/>
        <w:rPr>
          <w:rFonts w:hint="eastAsia" w:ascii="仿宋" w:hAnsi="仿宋" w:eastAsia="仿宋" w:cs="仿宋"/>
          <w:color w:val="auto"/>
          <w:kern w:val="0"/>
          <w:highlight w:val="none"/>
        </w:rPr>
      </w:pPr>
      <w:r>
        <w:rPr>
          <w:rFonts w:hint="eastAsia" w:ascii="仿宋" w:hAnsi="仿宋" w:eastAsia="仿宋" w:cs="仿宋"/>
          <w:color w:val="auto"/>
          <w:kern w:val="0"/>
          <w:highlight w:val="none"/>
        </w:rPr>
        <w:t>3.4.1投标文件报价出现前后不一致的，按照下列规定修正：</w:t>
      </w:r>
    </w:p>
    <w:p>
      <w:pPr>
        <w:pStyle w:val="85"/>
        <w:spacing w:before="0" w:line="480" w:lineRule="auto"/>
        <w:ind w:firstLine="480"/>
        <w:rPr>
          <w:rFonts w:hint="eastAsia" w:ascii="仿宋" w:hAnsi="仿宋" w:eastAsia="仿宋" w:cs="仿宋"/>
          <w:color w:val="auto"/>
          <w:kern w:val="0"/>
          <w:szCs w:val="24"/>
          <w:highlight w:val="none"/>
        </w:rPr>
      </w:pPr>
      <w:r>
        <w:rPr>
          <w:rFonts w:hint="eastAsia" w:ascii="仿宋" w:hAnsi="仿宋" w:eastAsia="仿宋" w:cs="仿宋"/>
          <w:color w:val="auto"/>
          <w:kern w:val="0"/>
          <w:szCs w:val="24"/>
          <w:highlight w:val="none"/>
        </w:rPr>
        <w:t>3.4.1.1投标文件中开标一览表(报价表)内容与投标文件中相应内容不一致的，以开标一览表(报价表)为准;</w:t>
      </w:r>
    </w:p>
    <w:p>
      <w:pPr>
        <w:pStyle w:val="85"/>
        <w:spacing w:before="0" w:line="480" w:lineRule="auto"/>
        <w:ind w:firstLine="480"/>
        <w:rPr>
          <w:rFonts w:hint="eastAsia" w:ascii="仿宋" w:hAnsi="仿宋" w:eastAsia="仿宋" w:cs="仿宋"/>
          <w:color w:val="auto"/>
          <w:kern w:val="0"/>
          <w:szCs w:val="24"/>
          <w:highlight w:val="none"/>
        </w:rPr>
      </w:pPr>
      <w:r>
        <w:rPr>
          <w:rFonts w:hint="eastAsia" w:ascii="仿宋" w:hAnsi="仿宋" w:eastAsia="仿宋" w:cs="仿宋"/>
          <w:color w:val="auto"/>
          <w:kern w:val="0"/>
          <w:szCs w:val="24"/>
          <w:highlight w:val="none"/>
        </w:rPr>
        <w:t>3.4.1.2大写金额和小写金额不一致的，以大写金额为准;</w:t>
      </w:r>
    </w:p>
    <w:p>
      <w:pPr>
        <w:pStyle w:val="85"/>
        <w:spacing w:before="0" w:line="480" w:lineRule="auto"/>
        <w:ind w:firstLine="480"/>
        <w:rPr>
          <w:rFonts w:hint="eastAsia" w:ascii="仿宋" w:hAnsi="仿宋" w:eastAsia="仿宋" w:cs="仿宋"/>
          <w:color w:val="auto"/>
          <w:kern w:val="0"/>
          <w:szCs w:val="24"/>
          <w:highlight w:val="none"/>
        </w:rPr>
      </w:pPr>
      <w:r>
        <w:rPr>
          <w:rFonts w:hint="eastAsia" w:ascii="仿宋" w:hAnsi="仿宋" w:eastAsia="仿宋" w:cs="仿宋"/>
          <w:color w:val="auto"/>
          <w:kern w:val="0"/>
          <w:szCs w:val="24"/>
          <w:highlight w:val="none"/>
        </w:rPr>
        <w:t>3.4.1.3单价金额小数点或者百分比有明显错位的，以开标一览表的总价为准，并修改单价;</w:t>
      </w:r>
    </w:p>
    <w:p>
      <w:pPr>
        <w:pStyle w:val="85"/>
        <w:spacing w:before="0" w:line="480" w:lineRule="auto"/>
        <w:ind w:firstLine="480"/>
        <w:rPr>
          <w:rFonts w:hint="eastAsia" w:ascii="仿宋" w:hAnsi="仿宋" w:eastAsia="仿宋" w:cs="仿宋"/>
          <w:color w:val="auto"/>
          <w:kern w:val="0"/>
          <w:szCs w:val="24"/>
          <w:highlight w:val="none"/>
        </w:rPr>
      </w:pPr>
      <w:r>
        <w:rPr>
          <w:rFonts w:hint="eastAsia" w:ascii="仿宋" w:hAnsi="仿宋" w:eastAsia="仿宋" w:cs="仿宋"/>
          <w:color w:val="auto"/>
          <w:kern w:val="0"/>
          <w:szCs w:val="24"/>
          <w:highlight w:val="none"/>
        </w:rPr>
        <w:t>3.4.1.4总价金额与按单价汇总金额不一致的，以单价金额计算结果为准。</w:t>
      </w:r>
    </w:p>
    <w:p>
      <w:pPr>
        <w:pStyle w:val="85"/>
        <w:spacing w:before="0" w:line="480" w:lineRule="auto"/>
        <w:ind w:firstLine="480"/>
        <w:rPr>
          <w:rFonts w:hint="eastAsia" w:ascii="仿宋" w:hAnsi="仿宋" w:eastAsia="仿宋" w:cs="仿宋"/>
          <w:color w:val="auto"/>
          <w:kern w:val="0"/>
          <w:szCs w:val="24"/>
          <w:highlight w:val="none"/>
        </w:rPr>
      </w:pPr>
      <w:r>
        <w:rPr>
          <w:rFonts w:hint="eastAsia" w:ascii="仿宋" w:hAnsi="仿宋" w:eastAsia="仿宋" w:cs="仿宋"/>
          <w:color w:val="auto"/>
          <w:kern w:val="0"/>
          <w:szCs w:val="24"/>
          <w:highlight w:val="none"/>
        </w:rPr>
        <w:t>3.4.1.5同时出现两种以上不一致的，按照3.4.1规定的顺序修正。修正后的报价按照财政部第87号令 《政府采购货物和服务招标投标管理办法》第五十一条第二款的规定经投标人确认后产生约束力。</w:t>
      </w:r>
    </w:p>
    <w:p>
      <w:pPr>
        <w:snapToGrid w:val="0"/>
        <w:spacing w:line="480" w:lineRule="auto"/>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3.4.2投标文件出现不是唯一的、有选择性投标报价的，投标无效。</w:t>
      </w:r>
    </w:p>
    <w:p>
      <w:pPr>
        <w:snapToGrid w:val="0"/>
        <w:spacing w:line="480" w:lineRule="auto"/>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3.4.3投标报价超过招标文件中规定的预算金额或者最高限价的，投标无效。</w:t>
      </w:r>
    </w:p>
    <w:p>
      <w:pPr>
        <w:pStyle w:val="85"/>
        <w:spacing w:before="0" w:line="480" w:lineRule="auto"/>
        <w:ind w:firstLine="480"/>
        <w:rPr>
          <w:rFonts w:hint="eastAsia" w:ascii="仿宋" w:hAnsi="仿宋" w:eastAsia="仿宋" w:cs="仿宋"/>
          <w:color w:val="auto"/>
          <w:kern w:val="0"/>
          <w:szCs w:val="24"/>
          <w:highlight w:val="none"/>
        </w:rPr>
      </w:pPr>
      <w:r>
        <w:rPr>
          <w:rFonts w:hint="eastAsia" w:ascii="仿宋" w:hAnsi="仿宋" w:eastAsia="仿宋" w:cs="仿宋"/>
          <w:color w:val="auto"/>
          <w:kern w:val="0"/>
          <w:szCs w:val="24"/>
          <w:highlight w:val="none"/>
        </w:rPr>
        <w:t>3.4.4评标委员会认为投标人的报价明显低于其他通过符合性审查投标人的报价，有可能影响产品质量或者不能诚信履约的，应当要求其在合理的时间内提供书面说明，必要时提交相关证明材料;投标人不能证明其报价合理性的，评标委员会应当将其作为无效投标处理。</w:t>
      </w:r>
    </w:p>
    <w:p>
      <w:pPr>
        <w:pStyle w:val="85"/>
        <w:spacing w:before="0" w:line="480" w:lineRule="auto"/>
        <w:ind w:firstLine="480"/>
        <w:rPr>
          <w:rFonts w:hint="eastAsia" w:ascii="仿宋" w:hAnsi="仿宋" w:eastAsia="仿宋" w:cs="仿宋"/>
          <w:color w:val="auto"/>
          <w:kern w:val="0"/>
          <w:szCs w:val="24"/>
          <w:highlight w:val="none"/>
        </w:rPr>
      </w:pPr>
      <w:r>
        <w:rPr>
          <w:rFonts w:hint="eastAsia" w:ascii="仿宋" w:hAnsi="仿宋" w:eastAsia="仿宋" w:cs="仿宋"/>
          <w:color w:val="auto"/>
          <w:kern w:val="0"/>
          <w:szCs w:val="24"/>
          <w:highlight w:val="none"/>
        </w:rPr>
        <w:t>3.4.5对于未预留份额专门面向中小企业的政府采购服务项目，以及预留份额政府采购服务项目中的非预留部分标项，对小型和微型企业的投标报价给予10%-20%的扣除，用扣除后的价格参与评审。接受大中型企业与小微企业组成联合体或者允许大中型企业向一家或者多家小微企业分包的政府采购服务项目，对于联合协议或者分包意向协议约定小微企业的合同份额占到合同总金额30%以上的，对联合体或者大中型企业的报价给予4%-6%的扣除，用扣除后的价格参加评审。组成联合体或者接受分包的小微企业与联合体内其他企业、分包企业之间存在直接控股、管理关系的，不享受价格扣除优惠政策。</w:t>
      </w:r>
    </w:p>
    <w:p>
      <w:pPr>
        <w:spacing w:line="480" w:lineRule="auto"/>
        <w:ind w:firstLine="482" w:firstLineChars="200"/>
        <w:rPr>
          <w:rFonts w:hint="eastAsia" w:ascii="仿宋" w:hAnsi="仿宋" w:eastAsia="仿宋" w:cs="仿宋"/>
          <w:b/>
          <w:bCs/>
          <w:color w:val="auto"/>
          <w:sz w:val="24"/>
          <w:highlight w:val="none"/>
          <w:lang w:val="en-US" w:eastAsia="zh-CN"/>
        </w:rPr>
      </w:pPr>
      <w:r>
        <w:rPr>
          <w:rFonts w:hint="eastAsia" w:ascii="仿宋" w:hAnsi="仿宋" w:eastAsia="仿宋" w:cs="仿宋"/>
          <w:b/>
          <w:bCs/>
          <w:color w:val="auto"/>
          <w:sz w:val="24"/>
          <w:highlight w:val="none"/>
          <w:lang w:val="en-US" w:eastAsia="zh-CN"/>
        </w:rPr>
        <w:t>★本项目为专门面向中小企业采购的项目，对于小型或微型企业的投标报价不予扣除评审。</w:t>
      </w:r>
    </w:p>
    <w:p>
      <w:pPr>
        <w:spacing w:line="480" w:lineRule="auto"/>
        <w:ind w:firstLine="482" w:firstLineChars="200"/>
        <w:rPr>
          <w:rFonts w:hint="eastAsia" w:ascii="仿宋" w:hAnsi="仿宋" w:eastAsia="仿宋" w:cs="仿宋"/>
          <w:color w:val="auto"/>
          <w:kern w:val="0"/>
          <w:sz w:val="24"/>
          <w:highlight w:val="none"/>
        </w:rPr>
      </w:pPr>
      <w:r>
        <w:rPr>
          <w:rFonts w:hint="eastAsia" w:ascii="仿宋" w:hAnsi="仿宋" w:eastAsia="仿宋" w:cs="仿宋"/>
          <w:b/>
          <w:color w:val="auto"/>
          <w:kern w:val="0"/>
          <w:sz w:val="24"/>
          <w:highlight w:val="none"/>
        </w:rPr>
        <w:t>3.5排序与推荐。</w:t>
      </w:r>
      <w:r>
        <w:rPr>
          <w:rFonts w:hint="eastAsia" w:ascii="仿宋" w:hAnsi="仿宋" w:eastAsia="仿宋" w:cs="仿宋"/>
          <w:color w:val="auto"/>
          <w:kern w:val="0"/>
          <w:sz w:val="24"/>
          <w:highlight w:val="none"/>
        </w:rPr>
        <w:t>采用综合评分法的，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w:t>
      </w:r>
    </w:p>
    <w:p>
      <w:pPr>
        <w:spacing w:line="480" w:lineRule="auto"/>
        <w:ind w:firstLine="480" w:firstLineChars="200"/>
        <w:rPr>
          <w:rFonts w:hint="eastAsia" w:ascii="仿宋" w:hAnsi="仿宋" w:eastAsia="仿宋" w:cs="仿宋"/>
          <w:b/>
          <w:color w:val="auto"/>
          <w:kern w:val="0"/>
          <w:sz w:val="24"/>
          <w:highlight w:val="none"/>
        </w:rPr>
      </w:pPr>
      <w:r>
        <w:rPr>
          <w:rFonts w:hint="eastAsia" w:ascii="仿宋" w:hAnsi="仿宋" w:eastAsia="仿宋" w:cs="仿宋"/>
          <w:color w:val="auto"/>
          <w:kern w:val="0"/>
          <w:sz w:val="24"/>
          <w:highlight w:val="none"/>
        </w:rPr>
        <w:t>多家投标人提供相同品牌产品（单一产品采购项目中的该产品或者非单一产品采购项目的核心产品）且通过资格审查、符合性审查的不同投标人参加同一合同项下投标的，按一家投标人计算，评审后得分最高的同品牌投标人获得中标人推荐资格；评审得分相同的，采取随机抽取方式确定，其他同品牌投标人不作为中标候选人。</w:t>
      </w:r>
    </w:p>
    <w:p>
      <w:pPr>
        <w:spacing w:line="480" w:lineRule="auto"/>
        <w:ind w:firstLine="472" w:firstLineChars="196"/>
        <w:rPr>
          <w:rFonts w:hint="eastAsia" w:ascii="仿宋" w:hAnsi="仿宋" w:eastAsia="仿宋" w:cs="仿宋"/>
          <w:color w:val="auto"/>
          <w:kern w:val="0"/>
          <w:sz w:val="24"/>
          <w:highlight w:val="none"/>
        </w:rPr>
      </w:pPr>
      <w:r>
        <w:rPr>
          <w:rFonts w:hint="eastAsia" w:ascii="仿宋" w:hAnsi="仿宋" w:eastAsia="仿宋" w:cs="仿宋"/>
          <w:b/>
          <w:color w:val="auto"/>
          <w:kern w:val="0"/>
          <w:sz w:val="24"/>
          <w:highlight w:val="none"/>
        </w:rPr>
        <w:t>3.6编写评标报告。</w:t>
      </w:r>
      <w:r>
        <w:rPr>
          <w:rFonts w:hint="eastAsia" w:ascii="仿宋" w:hAnsi="仿宋" w:eastAsia="仿宋" w:cs="仿宋"/>
          <w:color w:val="auto"/>
          <w:kern w:val="0"/>
          <w:sz w:val="24"/>
          <w:highlight w:val="none"/>
        </w:rPr>
        <w:t>评标委员会根据全体评标成员签字的原始评标记录和评标结果编写评标报告。评标委员会成员对需要共同认定的事项存在争议的，应当按照少数服从多数的原则作出结论。持不同意见的评标委员会成员应当在评标报告上签署不同意见及理由，否则视为同意评标报告。</w:t>
      </w:r>
    </w:p>
    <w:p>
      <w:pPr>
        <w:widowControl/>
        <w:shd w:val="clear" w:color="auto" w:fill="FFFFFF"/>
        <w:adjustRightInd/>
        <w:spacing w:after="225" w:line="480" w:lineRule="auto"/>
        <w:jc w:val="left"/>
        <w:rPr>
          <w:rFonts w:hint="eastAsia" w:ascii="仿宋" w:hAnsi="仿宋" w:eastAsia="仿宋" w:cs="仿宋"/>
          <w:b/>
          <w:color w:val="auto"/>
          <w:sz w:val="32"/>
          <w:highlight w:val="none"/>
        </w:rPr>
      </w:pPr>
      <w:r>
        <w:rPr>
          <w:rFonts w:hint="eastAsia" w:ascii="仿宋" w:hAnsi="仿宋" w:eastAsia="仿宋" w:cs="仿宋"/>
          <w:b/>
          <w:color w:val="auto"/>
          <w:sz w:val="32"/>
          <w:highlight w:val="none"/>
        </w:rPr>
        <w:t>四、评标中的其他事项</w:t>
      </w:r>
    </w:p>
    <w:p>
      <w:pPr>
        <w:pStyle w:val="85"/>
        <w:spacing w:before="0" w:line="480" w:lineRule="auto"/>
        <w:ind w:firstLine="472" w:firstLineChars="196"/>
        <w:rPr>
          <w:rFonts w:hint="eastAsia" w:ascii="仿宋" w:hAnsi="仿宋" w:eastAsia="仿宋" w:cs="仿宋"/>
          <w:color w:val="auto"/>
          <w:kern w:val="0"/>
          <w:szCs w:val="24"/>
          <w:highlight w:val="none"/>
        </w:rPr>
      </w:pPr>
      <w:r>
        <w:rPr>
          <w:rFonts w:hint="eastAsia" w:ascii="仿宋" w:hAnsi="仿宋" w:eastAsia="仿宋" w:cs="仿宋"/>
          <w:b/>
          <w:color w:val="auto"/>
          <w:kern w:val="0"/>
          <w:szCs w:val="24"/>
          <w:highlight w:val="none"/>
        </w:rPr>
        <w:t>4.1投标人澄清、说明或者补正。</w:t>
      </w:r>
      <w:r>
        <w:rPr>
          <w:rFonts w:hint="eastAsia" w:ascii="仿宋" w:hAnsi="仿宋" w:eastAsia="仿宋" w:cs="仿宋"/>
          <w:color w:val="auto"/>
          <w:kern w:val="0"/>
          <w:szCs w:val="24"/>
          <w:highlight w:val="none"/>
        </w:rPr>
        <w:t>对于投标文件中含义不明确、同类问题表述不一致或者有明显文字和计算错误的内容需要投标人作出必要的澄清、说明或者补正的，评标委员会和投标人通过电子交易平台交换数据电文，投标人提交使用电子签名的相关数据电文或通过平台上传加盖公章的扫描件。给予投标人提交澄清、说明或补正的时间不得少于半小时，投标人已经明确表示澄清说明或补正完毕的除外。投标人的澄清、说明或者补正不得超出投标文件的范围或者改变投标文件的实质性内容。</w:t>
      </w:r>
    </w:p>
    <w:p>
      <w:pPr>
        <w:pStyle w:val="6"/>
        <w:spacing w:line="480" w:lineRule="auto"/>
        <w:ind w:left="954" w:leftChars="226" w:hanging="479" w:firstLineChars="0"/>
        <w:rPr>
          <w:rFonts w:hint="eastAsia" w:ascii="仿宋" w:hAnsi="仿宋" w:eastAsia="仿宋" w:cs="仿宋"/>
          <w:color w:val="auto"/>
          <w:szCs w:val="21"/>
          <w:highlight w:val="none"/>
        </w:rPr>
      </w:pPr>
      <w:r>
        <w:rPr>
          <w:rFonts w:hint="eastAsia" w:ascii="仿宋" w:hAnsi="仿宋" w:eastAsia="仿宋" w:cs="仿宋"/>
          <w:b/>
          <w:color w:val="auto"/>
          <w:kern w:val="0"/>
          <w:highlight w:val="none"/>
        </w:rPr>
        <w:t>4.2投标无效。</w:t>
      </w:r>
      <w:r>
        <w:rPr>
          <w:rFonts w:hint="eastAsia" w:ascii="仿宋" w:hAnsi="仿宋" w:eastAsia="仿宋" w:cs="仿宋"/>
          <w:color w:val="auto"/>
          <w:szCs w:val="21"/>
          <w:highlight w:val="none"/>
        </w:rPr>
        <w:t>有下列情形之一的，投标无效：</w:t>
      </w:r>
    </w:p>
    <w:p>
      <w:pPr>
        <w:spacing w:line="48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4.2.1投标人不具备招标文件中规定的资格要求的（投标人未提供有效的资格文件的，视为投标人不具备招标文件中规定的资格要求）；</w:t>
      </w:r>
    </w:p>
    <w:p>
      <w:pPr>
        <w:spacing w:line="48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4.2.2投标文件未按照招标文件要求签署、盖章的；</w:t>
      </w:r>
    </w:p>
    <w:p>
      <w:pPr>
        <w:spacing w:line="48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4.2.3采购人拟采购的产品属于政府强制采购的节能产品品目清单范围的，投标人相应的投标产品未获得国家确定的认证机构出具的、处于有效期之内的节能产品认证证书的；</w:t>
      </w:r>
    </w:p>
    <w:p>
      <w:pPr>
        <w:spacing w:line="48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4.2.4投标文件含有采购人不能接受的附加条件的；</w:t>
      </w:r>
    </w:p>
    <w:p>
      <w:pPr>
        <w:spacing w:line="48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4.2.5投标文件中承诺的投标有效期少于招标文件中载明的投标有效期的；</w:t>
      </w:r>
    </w:p>
    <w:p>
      <w:pPr>
        <w:snapToGrid w:val="0"/>
        <w:spacing w:line="480" w:lineRule="auto"/>
        <w:ind w:firstLine="120" w:firstLineChars="5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 xml:space="preserve">   4.2.6投标文件出现不是唯一的、有选择性投标报价的;</w:t>
      </w:r>
    </w:p>
    <w:p>
      <w:pPr>
        <w:spacing w:line="48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4.2.7投标报价超过招标文件中规定的预算金额或者最高限价的;</w:t>
      </w:r>
    </w:p>
    <w:p>
      <w:pPr>
        <w:spacing w:line="48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4.2.8报价明显低于其他通过符合性审查投标人的报价，有可能影响产品质量或者不能诚信履约的，未能按要求提供书面说明或者提交相关证明材料，不能证明其报价合理性的;</w:t>
      </w:r>
    </w:p>
    <w:p>
      <w:pPr>
        <w:spacing w:line="48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4.2.9投标人对根据修正原则修正后的报价不确认的；</w:t>
      </w:r>
    </w:p>
    <w:p>
      <w:pPr>
        <w:spacing w:line="48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4.2.10投标人提供虚假材料投标的；</w:t>
      </w:r>
    </w:p>
    <w:p>
      <w:pPr>
        <w:spacing w:line="480" w:lineRule="auto"/>
        <w:ind w:firstLine="240" w:firstLineChars="1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 xml:space="preserve">  4.2.11投标人有恶意串通、妨碍其他投标人的竞争行为、损害采购人或者其他投标人的合法权益情形的；</w:t>
      </w:r>
    </w:p>
    <w:p>
      <w:pPr>
        <w:spacing w:line="48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4.2.12投标人仅提交备份投标文件，未在电子交易平台传输递交投标文件的，投标无效；</w:t>
      </w:r>
    </w:p>
    <w:p>
      <w:pPr>
        <w:pStyle w:val="4"/>
        <w:spacing w:line="480" w:lineRule="auto"/>
        <w:ind w:left="862" w:leftChars="205"/>
        <w:rPr>
          <w:rFonts w:hint="eastAsia" w:ascii="仿宋" w:hAnsi="仿宋" w:eastAsia="仿宋" w:cs="仿宋"/>
          <w:b w:val="0"/>
          <w:bCs w:val="0"/>
          <w:color w:val="auto"/>
          <w:kern w:val="0"/>
          <w:sz w:val="24"/>
          <w:szCs w:val="24"/>
          <w:highlight w:val="none"/>
          <w:lang w:val="en-US"/>
        </w:rPr>
      </w:pPr>
      <w:r>
        <w:rPr>
          <w:rFonts w:hint="eastAsia" w:ascii="仿宋" w:hAnsi="仿宋" w:eastAsia="仿宋" w:cs="仿宋"/>
          <w:b w:val="0"/>
          <w:bCs w:val="0"/>
          <w:color w:val="auto"/>
          <w:kern w:val="0"/>
          <w:sz w:val="24"/>
          <w:szCs w:val="24"/>
          <w:highlight w:val="none"/>
          <w:lang w:val="en-US"/>
        </w:rPr>
        <w:t>4.2.13 投标文件不满足招标文件的其它实质性要求的；</w:t>
      </w:r>
    </w:p>
    <w:p>
      <w:pPr>
        <w:spacing w:line="48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4.2.14法律、法规、规章（适用本市的）及省级以上规范性文件（适用本市的）规定的其他无效情形。</w:t>
      </w:r>
    </w:p>
    <w:p>
      <w:pPr>
        <w:pStyle w:val="6"/>
        <w:snapToGrid w:val="0"/>
        <w:spacing w:line="480" w:lineRule="auto"/>
        <w:ind w:firstLine="472" w:firstLineChars="196"/>
        <w:rPr>
          <w:rFonts w:hint="eastAsia" w:ascii="仿宋" w:hAnsi="仿宋" w:eastAsia="仿宋" w:cs="仿宋"/>
          <w:color w:val="auto"/>
          <w:highlight w:val="none"/>
        </w:rPr>
      </w:pPr>
      <w:r>
        <w:rPr>
          <w:rFonts w:hint="eastAsia" w:ascii="仿宋" w:hAnsi="仿宋" w:eastAsia="仿宋" w:cs="仿宋"/>
          <w:b/>
          <w:color w:val="auto"/>
          <w:highlight w:val="none"/>
        </w:rPr>
        <w:t>5.废标。</w:t>
      </w:r>
      <w:r>
        <w:rPr>
          <w:rFonts w:hint="eastAsia" w:ascii="仿宋" w:hAnsi="仿宋" w:eastAsia="仿宋" w:cs="仿宋"/>
          <w:color w:val="auto"/>
          <w:highlight w:val="none"/>
        </w:rPr>
        <w:t>根据《中华人民共和国政府采购法》第三十六条之规定，在采购中，出现下列情形之一的，应予废标：</w:t>
      </w:r>
    </w:p>
    <w:p>
      <w:pPr>
        <w:pStyle w:val="6"/>
        <w:snapToGrid w:val="0"/>
        <w:spacing w:line="480" w:lineRule="auto"/>
        <w:rPr>
          <w:rFonts w:hint="eastAsia" w:ascii="仿宋" w:hAnsi="仿宋" w:eastAsia="仿宋" w:cs="仿宋"/>
          <w:color w:val="auto"/>
          <w:highlight w:val="none"/>
        </w:rPr>
      </w:pPr>
      <w:r>
        <w:rPr>
          <w:rFonts w:hint="eastAsia" w:ascii="仿宋" w:hAnsi="仿宋" w:eastAsia="仿宋" w:cs="仿宋"/>
          <w:color w:val="auto"/>
          <w:highlight w:val="none"/>
        </w:rPr>
        <w:t>5.1符合专业条件的供应商或者对招标文件作实质响应的供应商不足3家的；</w:t>
      </w:r>
    </w:p>
    <w:p>
      <w:pPr>
        <w:pStyle w:val="6"/>
        <w:snapToGrid w:val="0"/>
        <w:spacing w:line="480" w:lineRule="auto"/>
        <w:rPr>
          <w:rFonts w:hint="eastAsia" w:ascii="仿宋" w:hAnsi="仿宋" w:eastAsia="仿宋" w:cs="仿宋"/>
          <w:color w:val="auto"/>
          <w:highlight w:val="none"/>
        </w:rPr>
      </w:pPr>
      <w:r>
        <w:rPr>
          <w:rFonts w:hint="eastAsia" w:ascii="仿宋" w:hAnsi="仿宋" w:eastAsia="仿宋" w:cs="仿宋"/>
          <w:color w:val="auto"/>
          <w:highlight w:val="none"/>
        </w:rPr>
        <w:t>5.2出现影响采购公正的违法、违规行为的；</w:t>
      </w:r>
    </w:p>
    <w:p>
      <w:pPr>
        <w:pStyle w:val="6"/>
        <w:snapToGrid w:val="0"/>
        <w:spacing w:line="480" w:lineRule="auto"/>
        <w:rPr>
          <w:rFonts w:hint="eastAsia" w:ascii="仿宋" w:hAnsi="仿宋" w:eastAsia="仿宋" w:cs="仿宋"/>
          <w:color w:val="auto"/>
          <w:highlight w:val="none"/>
        </w:rPr>
      </w:pPr>
      <w:r>
        <w:rPr>
          <w:rFonts w:hint="eastAsia" w:ascii="仿宋" w:hAnsi="仿宋" w:eastAsia="仿宋" w:cs="仿宋"/>
          <w:color w:val="auto"/>
          <w:highlight w:val="none"/>
        </w:rPr>
        <w:t>5.3投标人的报价均超过了采购预算，采购人不能支付的；</w:t>
      </w:r>
    </w:p>
    <w:p>
      <w:pPr>
        <w:pStyle w:val="6"/>
        <w:snapToGrid w:val="0"/>
        <w:spacing w:line="480" w:lineRule="auto"/>
        <w:rPr>
          <w:rFonts w:hint="eastAsia" w:ascii="仿宋" w:hAnsi="仿宋" w:eastAsia="仿宋" w:cs="仿宋"/>
          <w:color w:val="auto"/>
          <w:highlight w:val="none"/>
        </w:rPr>
      </w:pPr>
      <w:r>
        <w:rPr>
          <w:rFonts w:hint="eastAsia" w:ascii="仿宋" w:hAnsi="仿宋" w:eastAsia="仿宋" w:cs="仿宋"/>
          <w:color w:val="auto"/>
          <w:highlight w:val="none"/>
        </w:rPr>
        <w:t>5.4因重大变故，采购任务取消的。</w:t>
      </w:r>
    </w:p>
    <w:p>
      <w:pPr>
        <w:pStyle w:val="6"/>
        <w:snapToGrid w:val="0"/>
        <w:spacing w:line="480" w:lineRule="auto"/>
        <w:rPr>
          <w:rFonts w:hint="eastAsia" w:ascii="仿宋" w:hAnsi="仿宋" w:eastAsia="仿宋" w:cs="仿宋"/>
          <w:color w:val="auto"/>
          <w:highlight w:val="none"/>
        </w:rPr>
      </w:pPr>
      <w:r>
        <w:rPr>
          <w:rFonts w:hint="eastAsia" w:ascii="仿宋" w:hAnsi="仿宋" w:eastAsia="仿宋" w:cs="仿宋"/>
          <w:color w:val="auto"/>
          <w:highlight w:val="none"/>
        </w:rPr>
        <w:t>废标后，</w:t>
      </w:r>
      <w:r>
        <w:rPr>
          <w:rFonts w:hint="eastAsia" w:ascii="仿宋" w:hAnsi="仿宋" w:eastAsia="仿宋" w:cs="仿宋"/>
          <w:color w:val="auto"/>
          <w:highlight w:val="none"/>
          <w:lang w:eastAsia="zh-CN"/>
        </w:rPr>
        <w:t>采购代理机构</w:t>
      </w:r>
      <w:r>
        <w:rPr>
          <w:rFonts w:hint="eastAsia" w:ascii="仿宋" w:hAnsi="仿宋" w:eastAsia="仿宋" w:cs="仿宋"/>
          <w:color w:val="auto"/>
          <w:highlight w:val="none"/>
        </w:rPr>
        <w:t>应当将废标理由通知所有投标人。</w:t>
      </w:r>
    </w:p>
    <w:p>
      <w:pPr>
        <w:pStyle w:val="6"/>
        <w:snapToGrid w:val="0"/>
        <w:spacing w:line="480" w:lineRule="auto"/>
        <w:ind w:firstLine="590" w:firstLineChars="245"/>
        <w:rPr>
          <w:rFonts w:hint="eastAsia" w:ascii="仿宋" w:hAnsi="仿宋" w:eastAsia="仿宋" w:cs="仿宋"/>
          <w:color w:val="auto"/>
          <w:highlight w:val="none"/>
        </w:rPr>
      </w:pPr>
      <w:r>
        <w:rPr>
          <w:rFonts w:hint="eastAsia" w:ascii="仿宋" w:hAnsi="仿宋" w:eastAsia="仿宋" w:cs="仿宋"/>
          <w:b/>
          <w:color w:val="auto"/>
          <w:highlight w:val="none"/>
        </w:rPr>
        <w:t>6.修改招标文件，重新组织采购活动。</w:t>
      </w:r>
      <w:r>
        <w:rPr>
          <w:rFonts w:hint="eastAsia" w:ascii="仿宋" w:hAnsi="仿宋" w:eastAsia="仿宋" w:cs="仿宋"/>
          <w:color w:val="auto"/>
          <w:highlight w:val="none"/>
        </w:rPr>
        <w:t>评标委员会发现招标文件存在歧义、重大缺陷导致评标工作无法进行，或者招标文件内容违反国家有关强制性规定的，将停止评标工作，并与采购人、</w:t>
      </w:r>
      <w:r>
        <w:rPr>
          <w:rFonts w:hint="eastAsia" w:ascii="仿宋" w:hAnsi="仿宋" w:eastAsia="仿宋" w:cs="仿宋"/>
          <w:color w:val="auto"/>
          <w:highlight w:val="none"/>
          <w:lang w:eastAsia="zh-CN"/>
        </w:rPr>
        <w:t>采购代理机构</w:t>
      </w:r>
      <w:r>
        <w:rPr>
          <w:rFonts w:hint="eastAsia" w:ascii="仿宋" w:hAnsi="仿宋" w:eastAsia="仿宋" w:cs="仿宋"/>
          <w:color w:val="auto"/>
          <w:highlight w:val="none"/>
        </w:rPr>
        <w:t>沟通并作书面记录。采购人、</w:t>
      </w:r>
      <w:r>
        <w:rPr>
          <w:rFonts w:hint="eastAsia" w:ascii="仿宋" w:hAnsi="仿宋" w:eastAsia="仿宋" w:cs="仿宋"/>
          <w:color w:val="auto"/>
          <w:highlight w:val="none"/>
          <w:lang w:eastAsia="zh-CN"/>
        </w:rPr>
        <w:t>采购代理机构</w:t>
      </w:r>
      <w:r>
        <w:rPr>
          <w:rFonts w:hint="eastAsia" w:ascii="仿宋" w:hAnsi="仿宋" w:eastAsia="仿宋" w:cs="仿宋"/>
          <w:color w:val="auto"/>
          <w:highlight w:val="none"/>
        </w:rPr>
        <w:t>确认后，将修改招标文件，重新组织采购活动。</w:t>
      </w:r>
    </w:p>
    <w:p>
      <w:pPr>
        <w:pStyle w:val="6"/>
        <w:snapToGrid w:val="0"/>
        <w:spacing w:line="480" w:lineRule="auto"/>
        <w:ind w:firstLine="482"/>
        <w:rPr>
          <w:rFonts w:hint="eastAsia" w:ascii="仿宋" w:hAnsi="仿宋" w:eastAsia="仿宋" w:cs="仿宋"/>
          <w:color w:val="auto"/>
          <w:highlight w:val="none"/>
        </w:rPr>
      </w:pPr>
      <w:r>
        <w:rPr>
          <w:rFonts w:hint="eastAsia" w:ascii="仿宋" w:hAnsi="仿宋" w:eastAsia="仿宋" w:cs="仿宋"/>
          <w:b/>
          <w:color w:val="auto"/>
          <w:kern w:val="0"/>
          <w:highlight w:val="none"/>
        </w:rPr>
        <w:t>7.重新开展采购。</w:t>
      </w:r>
      <w:r>
        <w:rPr>
          <w:rFonts w:hint="eastAsia" w:ascii="仿宋" w:hAnsi="仿宋" w:eastAsia="仿宋" w:cs="仿宋"/>
          <w:color w:val="auto"/>
          <w:highlight w:val="none"/>
        </w:rPr>
        <w:t>有政府采购法第七十一条、第七十二条规定的违法行为之一，影响或者可能影响中标结果的，依照下列规定处理：</w:t>
      </w:r>
    </w:p>
    <w:p>
      <w:pPr>
        <w:pStyle w:val="6"/>
        <w:snapToGrid w:val="0"/>
        <w:spacing w:line="480" w:lineRule="auto"/>
        <w:rPr>
          <w:rFonts w:hint="eastAsia" w:ascii="仿宋" w:hAnsi="仿宋" w:eastAsia="仿宋" w:cs="仿宋"/>
          <w:color w:val="auto"/>
          <w:highlight w:val="none"/>
        </w:rPr>
      </w:pPr>
      <w:r>
        <w:rPr>
          <w:rFonts w:hint="eastAsia" w:ascii="仿宋" w:hAnsi="仿宋" w:eastAsia="仿宋" w:cs="仿宋"/>
          <w:color w:val="auto"/>
          <w:highlight w:val="none"/>
        </w:rPr>
        <w:t>7.1未确定中标供应商的，终止本次政府采购活动，重新开展政府采购活动。</w:t>
      </w:r>
    </w:p>
    <w:p>
      <w:pPr>
        <w:pStyle w:val="6"/>
        <w:snapToGrid w:val="0"/>
        <w:spacing w:line="480" w:lineRule="auto"/>
        <w:rPr>
          <w:rFonts w:hint="eastAsia" w:ascii="仿宋" w:hAnsi="仿宋" w:eastAsia="仿宋" w:cs="仿宋"/>
          <w:color w:val="auto"/>
          <w:highlight w:val="none"/>
        </w:rPr>
      </w:pPr>
      <w:r>
        <w:rPr>
          <w:rFonts w:hint="eastAsia" w:ascii="仿宋" w:hAnsi="仿宋" w:eastAsia="仿宋" w:cs="仿宋"/>
          <w:color w:val="auto"/>
          <w:highlight w:val="none"/>
        </w:rPr>
        <w:t>7.2已确定中标供应商但尚未签订政府采购合同的，中标结果无效，从合格的中标候选人中另行确定中标供应商；没有合格的中标候选人的，重新开展政府采购活动。</w:t>
      </w:r>
    </w:p>
    <w:p>
      <w:pPr>
        <w:pStyle w:val="6"/>
        <w:snapToGrid w:val="0"/>
        <w:spacing w:line="480" w:lineRule="auto"/>
        <w:rPr>
          <w:rFonts w:hint="eastAsia" w:ascii="仿宋" w:hAnsi="仿宋" w:eastAsia="仿宋" w:cs="仿宋"/>
          <w:color w:val="auto"/>
          <w:highlight w:val="none"/>
        </w:rPr>
      </w:pPr>
      <w:r>
        <w:rPr>
          <w:rFonts w:hint="eastAsia" w:ascii="仿宋" w:hAnsi="仿宋" w:eastAsia="仿宋" w:cs="仿宋"/>
          <w:color w:val="auto"/>
          <w:highlight w:val="none"/>
        </w:rPr>
        <w:t>7.3政府采购合同已签订但尚未履行的，撤销合同，从合格的中标候选人中另行确定中标供应商；没有合格的中标候选人的，重新开展政府采购活动。</w:t>
      </w:r>
    </w:p>
    <w:p>
      <w:pPr>
        <w:pStyle w:val="6"/>
        <w:snapToGrid w:val="0"/>
        <w:spacing w:line="480" w:lineRule="auto"/>
        <w:rPr>
          <w:rFonts w:hint="eastAsia" w:ascii="仿宋" w:hAnsi="仿宋" w:eastAsia="仿宋" w:cs="仿宋"/>
          <w:color w:val="auto"/>
          <w:highlight w:val="none"/>
        </w:rPr>
      </w:pPr>
      <w:r>
        <w:rPr>
          <w:rFonts w:hint="eastAsia" w:ascii="仿宋" w:hAnsi="仿宋" w:eastAsia="仿宋" w:cs="仿宋"/>
          <w:color w:val="auto"/>
          <w:highlight w:val="none"/>
        </w:rPr>
        <w:t>7.4政府采购合同已经履行，给采购人、供应商造成损失的，由责任人承担赔偿责任。</w:t>
      </w:r>
    </w:p>
    <w:p>
      <w:pPr>
        <w:pStyle w:val="6"/>
        <w:snapToGrid w:val="0"/>
        <w:spacing w:line="480" w:lineRule="auto"/>
        <w:rPr>
          <w:rFonts w:hint="eastAsia" w:ascii="仿宋" w:hAnsi="仿宋" w:eastAsia="仿宋" w:cs="仿宋"/>
          <w:color w:val="auto"/>
          <w:highlight w:val="none"/>
        </w:rPr>
      </w:pPr>
      <w:r>
        <w:rPr>
          <w:rFonts w:hint="eastAsia" w:ascii="仿宋" w:hAnsi="仿宋" w:eastAsia="仿宋" w:cs="仿宋"/>
          <w:color w:val="auto"/>
          <w:highlight w:val="none"/>
        </w:rPr>
        <w:t>7.5政府采购当事人有其他违反政府采购法或者政府采购法实施条例等法律法规规定的行为，经改正后仍然影响或者可能影响中标结果或者依法被认定为中标无效的，依照7.1-7.4规定处理。</w:t>
      </w:r>
    </w:p>
    <w:bookmarkEnd w:id="26"/>
    <w:p>
      <w:pPr>
        <w:spacing w:line="360" w:lineRule="auto"/>
        <w:outlineLvl w:val="0"/>
        <w:rPr>
          <w:rFonts w:hint="eastAsia" w:ascii="仿宋" w:hAnsi="仿宋" w:eastAsia="仿宋" w:cs="仿宋"/>
          <w:color w:val="auto"/>
          <w:highlight w:val="none"/>
        </w:rPr>
      </w:pPr>
      <w:bookmarkStart w:id="396" w:name="第五部分"/>
      <w:bookmarkStart w:id="397" w:name="_Toc86217003"/>
      <w:r>
        <w:rPr>
          <w:rFonts w:hint="eastAsia" w:ascii="仿宋" w:hAnsi="仿宋" w:eastAsia="仿宋" w:cs="仿宋"/>
          <w:b/>
          <w:color w:val="auto"/>
          <w:sz w:val="36"/>
          <w:szCs w:val="36"/>
          <w:highlight w:val="none"/>
        </w:rPr>
        <w:t xml:space="preserve">  </w:t>
      </w:r>
    </w:p>
    <w:p>
      <w:pPr>
        <w:widowControl/>
        <w:adjustRightInd/>
        <w:jc w:val="left"/>
        <w:rPr>
          <w:rFonts w:hint="eastAsia" w:ascii="仿宋" w:hAnsi="仿宋" w:eastAsia="仿宋" w:cs="仿宋"/>
          <w:b/>
          <w:color w:val="auto"/>
          <w:sz w:val="36"/>
          <w:szCs w:val="36"/>
          <w:highlight w:val="none"/>
        </w:rPr>
      </w:pPr>
    </w:p>
    <w:p>
      <w:pPr>
        <w:pStyle w:val="79"/>
        <w:rPr>
          <w:rFonts w:hint="eastAsia" w:ascii="仿宋" w:hAnsi="仿宋" w:eastAsia="仿宋" w:cs="仿宋"/>
          <w:b/>
          <w:color w:val="auto"/>
          <w:sz w:val="36"/>
          <w:szCs w:val="36"/>
          <w:highlight w:val="none"/>
        </w:rPr>
      </w:pPr>
    </w:p>
    <w:p>
      <w:pPr>
        <w:pStyle w:val="79"/>
        <w:rPr>
          <w:rFonts w:hint="eastAsia" w:ascii="仿宋" w:hAnsi="仿宋" w:eastAsia="仿宋" w:cs="仿宋"/>
          <w:b/>
          <w:color w:val="auto"/>
          <w:sz w:val="36"/>
          <w:szCs w:val="36"/>
          <w:highlight w:val="none"/>
        </w:rPr>
      </w:pPr>
    </w:p>
    <w:p>
      <w:pPr>
        <w:pStyle w:val="79"/>
        <w:rPr>
          <w:rFonts w:hint="eastAsia" w:ascii="仿宋" w:hAnsi="仿宋" w:eastAsia="仿宋" w:cs="仿宋"/>
          <w:b/>
          <w:color w:val="auto"/>
          <w:sz w:val="36"/>
          <w:szCs w:val="36"/>
          <w:highlight w:val="none"/>
        </w:rPr>
      </w:pPr>
    </w:p>
    <w:p>
      <w:pPr>
        <w:pStyle w:val="79"/>
        <w:rPr>
          <w:rFonts w:hint="eastAsia" w:ascii="仿宋" w:hAnsi="仿宋" w:eastAsia="仿宋" w:cs="仿宋"/>
          <w:b/>
          <w:color w:val="auto"/>
          <w:sz w:val="36"/>
          <w:szCs w:val="36"/>
          <w:highlight w:val="none"/>
        </w:rPr>
      </w:pPr>
    </w:p>
    <w:p>
      <w:pPr>
        <w:pStyle w:val="79"/>
        <w:rPr>
          <w:rFonts w:hint="eastAsia" w:ascii="仿宋" w:hAnsi="仿宋" w:eastAsia="仿宋" w:cs="仿宋"/>
          <w:b/>
          <w:color w:val="auto"/>
          <w:sz w:val="36"/>
          <w:szCs w:val="36"/>
          <w:highlight w:val="none"/>
        </w:rPr>
      </w:pPr>
    </w:p>
    <w:p>
      <w:pPr>
        <w:pStyle w:val="79"/>
        <w:rPr>
          <w:rFonts w:hint="eastAsia" w:ascii="仿宋" w:hAnsi="仿宋" w:eastAsia="仿宋" w:cs="仿宋"/>
          <w:b/>
          <w:color w:val="auto"/>
          <w:sz w:val="36"/>
          <w:szCs w:val="36"/>
          <w:highlight w:val="none"/>
        </w:rPr>
      </w:pPr>
    </w:p>
    <w:p>
      <w:pPr>
        <w:pStyle w:val="79"/>
        <w:rPr>
          <w:rFonts w:hint="eastAsia" w:ascii="仿宋" w:hAnsi="仿宋" w:eastAsia="仿宋" w:cs="仿宋"/>
          <w:b/>
          <w:color w:val="auto"/>
          <w:sz w:val="36"/>
          <w:szCs w:val="36"/>
          <w:highlight w:val="none"/>
        </w:rPr>
      </w:pPr>
    </w:p>
    <w:p>
      <w:pPr>
        <w:pStyle w:val="79"/>
        <w:rPr>
          <w:rFonts w:hint="eastAsia" w:ascii="仿宋" w:hAnsi="仿宋" w:eastAsia="仿宋" w:cs="仿宋"/>
          <w:b/>
          <w:color w:val="auto"/>
          <w:sz w:val="36"/>
          <w:szCs w:val="36"/>
          <w:highlight w:val="none"/>
        </w:rPr>
      </w:pPr>
    </w:p>
    <w:p>
      <w:pPr>
        <w:pStyle w:val="79"/>
        <w:rPr>
          <w:rFonts w:hint="eastAsia" w:ascii="仿宋" w:hAnsi="仿宋" w:eastAsia="仿宋" w:cs="仿宋"/>
          <w:b/>
          <w:color w:val="auto"/>
          <w:sz w:val="36"/>
          <w:szCs w:val="36"/>
          <w:highlight w:val="none"/>
        </w:rPr>
      </w:pPr>
    </w:p>
    <w:p>
      <w:pPr>
        <w:pStyle w:val="79"/>
        <w:rPr>
          <w:rFonts w:hint="eastAsia" w:ascii="仿宋" w:hAnsi="仿宋" w:eastAsia="仿宋" w:cs="仿宋"/>
          <w:b/>
          <w:color w:val="auto"/>
          <w:sz w:val="36"/>
          <w:szCs w:val="36"/>
          <w:highlight w:val="none"/>
        </w:rPr>
      </w:pPr>
    </w:p>
    <w:p>
      <w:pPr>
        <w:pStyle w:val="79"/>
        <w:rPr>
          <w:rFonts w:hint="eastAsia" w:ascii="仿宋" w:hAnsi="仿宋" w:eastAsia="仿宋" w:cs="仿宋"/>
          <w:b/>
          <w:color w:val="auto"/>
          <w:sz w:val="36"/>
          <w:szCs w:val="36"/>
          <w:highlight w:val="none"/>
        </w:rPr>
      </w:pPr>
    </w:p>
    <w:p>
      <w:pPr>
        <w:pStyle w:val="79"/>
        <w:rPr>
          <w:rFonts w:hint="eastAsia" w:ascii="仿宋" w:hAnsi="仿宋" w:eastAsia="仿宋" w:cs="仿宋"/>
          <w:b/>
          <w:color w:val="auto"/>
          <w:sz w:val="36"/>
          <w:szCs w:val="36"/>
          <w:highlight w:val="none"/>
        </w:rPr>
      </w:pPr>
    </w:p>
    <w:p>
      <w:pPr>
        <w:pStyle w:val="79"/>
        <w:rPr>
          <w:rFonts w:hint="eastAsia" w:ascii="仿宋" w:hAnsi="仿宋" w:eastAsia="仿宋" w:cs="仿宋"/>
          <w:b/>
          <w:color w:val="auto"/>
          <w:sz w:val="36"/>
          <w:szCs w:val="36"/>
          <w:highlight w:val="none"/>
        </w:rPr>
      </w:pPr>
    </w:p>
    <w:p>
      <w:pPr>
        <w:pStyle w:val="79"/>
        <w:rPr>
          <w:rFonts w:hint="eastAsia" w:ascii="仿宋" w:hAnsi="仿宋" w:eastAsia="仿宋" w:cs="仿宋"/>
          <w:b/>
          <w:color w:val="auto"/>
          <w:sz w:val="36"/>
          <w:szCs w:val="36"/>
          <w:highlight w:val="none"/>
        </w:rPr>
      </w:pPr>
    </w:p>
    <w:p>
      <w:pPr>
        <w:pStyle w:val="79"/>
        <w:rPr>
          <w:rFonts w:hint="eastAsia" w:ascii="仿宋" w:hAnsi="仿宋" w:eastAsia="仿宋" w:cs="仿宋"/>
          <w:b/>
          <w:color w:val="auto"/>
          <w:sz w:val="36"/>
          <w:szCs w:val="36"/>
          <w:highlight w:val="none"/>
        </w:rPr>
      </w:pPr>
    </w:p>
    <w:p>
      <w:pPr>
        <w:spacing w:line="360" w:lineRule="auto"/>
        <w:ind w:left="720" w:leftChars="343" w:firstLine="1084" w:firstLineChars="300"/>
        <w:outlineLvl w:val="0"/>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拟签订的合同文本</w:t>
      </w:r>
    </w:p>
    <w:p>
      <w:pPr>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合同编号：</w:t>
      </w:r>
      <w:r>
        <w:rPr>
          <w:rFonts w:hint="eastAsia" w:ascii="仿宋" w:hAnsi="仿宋" w:eastAsia="仿宋" w:cs="仿宋"/>
          <w:color w:val="auto"/>
          <w:sz w:val="24"/>
          <w:highlight w:val="none"/>
          <w:u w:val="single"/>
        </w:rPr>
        <w:t xml:space="preserve">           </w:t>
      </w:r>
    </w:p>
    <w:p>
      <w:pPr>
        <w:spacing w:line="480" w:lineRule="auto"/>
        <w:jc w:val="center"/>
        <w:rPr>
          <w:rFonts w:hint="eastAsia" w:ascii="仿宋" w:hAnsi="仿宋" w:eastAsia="仿宋" w:cs="仿宋"/>
          <w:b/>
          <w:color w:val="auto"/>
          <w:sz w:val="28"/>
          <w:szCs w:val="28"/>
          <w:highlight w:val="none"/>
        </w:rPr>
      </w:pPr>
    </w:p>
    <w:p>
      <w:pPr>
        <w:spacing w:line="480" w:lineRule="auto"/>
        <w:jc w:val="center"/>
        <w:rPr>
          <w:rFonts w:hint="eastAsia" w:ascii="仿宋" w:hAnsi="仿宋" w:eastAsia="仿宋" w:cs="仿宋"/>
          <w:b/>
          <w:color w:val="auto"/>
          <w:sz w:val="24"/>
          <w:highlight w:val="none"/>
        </w:rPr>
      </w:pPr>
    </w:p>
    <w:p>
      <w:pPr>
        <w:spacing w:line="480" w:lineRule="auto"/>
        <w:jc w:val="center"/>
        <w:rPr>
          <w:rFonts w:hint="eastAsia" w:ascii="仿宋" w:hAnsi="仿宋" w:eastAsia="仿宋" w:cs="仿宋"/>
          <w:b/>
          <w:color w:val="auto"/>
          <w:sz w:val="24"/>
          <w:highlight w:val="none"/>
        </w:rPr>
      </w:pPr>
    </w:p>
    <w:p>
      <w:pPr>
        <w:spacing w:line="480" w:lineRule="auto"/>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政府采购合同参考范本</w:t>
      </w:r>
    </w:p>
    <w:p>
      <w:pPr>
        <w:spacing w:line="480" w:lineRule="auto"/>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（服务类）</w:t>
      </w:r>
    </w:p>
    <w:p>
      <w:pPr>
        <w:pStyle w:val="385"/>
        <w:ind w:firstLine="2843" w:firstLineChars="1180"/>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第一部分 合同书</w:t>
      </w:r>
    </w:p>
    <w:p>
      <w:pPr>
        <w:spacing w:before="120" w:line="22" w:lineRule="atLeast"/>
        <w:rPr>
          <w:rFonts w:hint="eastAsia" w:ascii="仿宋" w:hAnsi="仿宋" w:eastAsia="仿宋" w:cs="仿宋"/>
          <w:color w:val="auto"/>
          <w:sz w:val="24"/>
          <w:highlight w:val="none"/>
        </w:rPr>
      </w:pPr>
    </w:p>
    <w:p>
      <w:pPr>
        <w:pStyle w:val="4"/>
        <w:rPr>
          <w:rFonts w:hint="eastAsia" w:ascii="仿宋" w:hAnsi="仿宋" w:eastAsia="仿宋" w:cs="仿宋"/>
          <w:color w:val="auto"/>
          <w:highlight w:val="none"/>
        </w:rPr>
      </w:pPr>
    </w:p>
    <w:p>
      <w:pPr>
        <w:spacing w:before="120" w:line="22" w:lineRule="atLeast"/>
        <w:ind w:left="960"/>
        <w:rPr>
          <w:rFonts w:hint="eastAsia" w:ascii="仿宋" w:hAnsi="仿宋" w:eastAsia="仿宋" w:cs="仿宋"/>
          <w:color w:val="auto"/>
          <w:sz w:val="24"/>
          <w:highlight w:val="none"/>
        </w:rPr>
      </w:pPr>
      <w:r>
        <w:rPr>
          <w:rFonts w:hint="eastAsia" w:ascii="仿宋" w:hAnsi="仿宋" w:eastAsia="仿宋" w:cs="仿宋"/>
          <w:color w:val="auto"/>
          <w:sz w:val="24"/>
          <w:highlight w:val="none"/>
        </w:rPr>
        <w:t>项目名称：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eastAsia="zh-CN"/>
        </w:rPr>
        <w:t>余杭街道</w:t>
      </w:r>
      <w:r>
        <w:rPr>
          <w:rFonts w:hint="eastAsia" w:ascii="仿宋" w:hAnsi="仿宋" w:eastAsia="仿宋" w:cs="仿宋"/>
          <w:color w:val="auto"/>
          <w:sz w:val="24"/>
          <w:highlight w:val="none"/>
          <w:u w:val="single"/>
          <w:lang w:val="en-US" w:eastAsia="zh-CN"/>
        </w:rPr>
        <w:t>2023年</w:t>
      </w:r>
      <w:r>
        <w:rPr>
          <w:rFonts w:hint="eastAsia" w:ascii="仿宋" w:hAnsi="仿宋" w:eastAsia="仿宋" w:cs="仿宋"/>
          <w:color w:val="auto"/>
          <w:sz w:val="24"/>
          <w:highlight w:val="none"/>
          <w:u w:val="single"/>
          <w:lang w:eastAsia="zh-CN"/>
        </w:rPr>
        <w:t>区域性微型消防救援站服务外包项目</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p>
    <w:p>
      <w:pPr>
        <w:pStyle w:val="282"/>
        <w:spacing w:before="120" w:line="22" w:lineRule="atLeast"/>
        <w:rPr>
          <w:rFonts w:hint="eastAsia" w:ascii="仿宋" w:hAnsi="仿宋" w:eastAsia="仿宋" w:cs="仿宋"/>
          <w:color w:val="auto"/>
          <w:szCs w:val="24"/>
          <w:highlight w:val="none"/>
        </w:rPr>
      </w:pPr>
    </w:p>
    <w:p>
      <w:pPr>
        <w:rPr>
          <w:rFonts w:hint="eastAsia" w:ascii="仿宋" w:hAnsi="仿宋" w:eastAsia="仿宋" w:cs="仿宋"/>
          <w:color w:val="auto"/>
          <w:sz w:val="24"/>
          <w:highlight w:val="none"/>
        </w:rPr>
      </w:pPr>
    </w:p>
    <w:p>
      <w:pPr>
        <w:spacing w:before="120" w:line="22" w:lineRule="atLeast"/>
        <w:ind w:left="96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甲方：</w:t>
      </w:r>
      <w:r>
        <w:rPr>
          <w:rFonts w:hint="eastAsia" w:ascii="仿宋" w:hAnsi="仿宋" w:eastAsia="仿宋" w:cs="仿宋"/>
          <w:color w:val="auto"/>
          <w:sz w:val="24"/>
          <w:highlight w:val="none"/>
          <w:u w:val="single"/>
        </w:rPr>
        <w:t xml:space="preserve">                                       </w:t>
      </w:r>
    </w:p>
    <w:p>
      <w:pPr>
        <w:spacing w:before="120" w:line="22" w:lineRule="atLeast"/>
        <w:rPr>
          <w:rFonts w:hint="eastAsia" w:ascii="仿宋" w:hAnsi="仿宋" w:eastAsia="仿宋" w:cs="仿宋"/>
          <w:color w:val="auto"/>
          <w:sz w:val="24"/>
          <w:highlight w:val="none"/>
        </w:rPr>
      </w:pPr>
    </w:p>
    <w:p>
      <w:pPr>
        <w:spacing w:before="120" w:line="22" w:lineRule="atLeast"/>
        <w:ind w:left="96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乙方：</w:t>
      </w:r>
      <w:r>
        <w:rPr>
          <w:rFonts w:hint="eastAsia" w:ascii="仿宋" w:hAnsi="仿宋" w:eastAsia="仿宋" w:cs="仿宋"/>
          <w:color w:val="auto"/>
          <w:sz w:val="24"/>
          <w:highlight w:val="none"/>
          <w:u w:val="single"/>
        </w:rPr>
        <w:t xml:space="preserve">                                       </w:t>
      </w:r>
    </w:p>
    <w:p>
      <w:pPr>
        <w:spacing w:before="120" w:line="22" w:lineRule="atLeast"/>
        <w:rPr>
          <w:rFonts w:hint="eastAsia" w:ascii="仿宋" w:hAnsi="仿宋" w:eastAsia="仿宋" w:cs="仿宋"/>
          <w:color w:val="auto"/>
          <w:sz w:val="24"/>
          <w:highlight w:val="none"/>
        </w:rPr>
      </w:pPr>
    </w:p>
    <w:p>
      <w:pPr>
        <w:spacing w:before="120" w:line="22" w:lineRule="atLeast"/>
        <w:ind w:firstLine="960" w:firstLineChars="4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签订地：</w:t>
      </w:r>
      <w:r>
        <w:rPr>
          <w:rFonts w:hint="eastAsia" w:ascii="仿宋" w:hAnsi="仿宋" w:eastAsia="仿宋" w:cs="仿宋"/>
          <w:color w:val="auto"/>
          <w:sz w:val="24"/>
          <w:highlight w:val="none"/>
          <w:u w:val="single"/>
        </w:rPr>
        <w:t xml:space="preserve">                                     </w:t>
      </w:r>
    </w:p>
    <w:p>
      <w:pPr>
        <w:spacing w:before="120" w:line="22" w:lineRule="atLeast"/>
        <w:rPr>
          <w:rFonts w:hint="eastAsia" w:ascii="仿宋" w:hAnsi="仿宋" w:eastAsia="仿宋" w:cs="仿宋"/>
          <w:color w:val="auto"/>
          <w:sz w:val="24"/>
          <w:highlight w:val="none"/>
        </w:rPr>
      </w:pPr>
    </w:p>
    <w:p>
      <w:pPr>
        <w:spacing w:before="120" w:line="22" w:lineRule="atLeast"/>
        <w:ind w:firstLine="960" w:firstLineChars="4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签订日期：</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日</w:t>
      </w:r>
    </w:p>
    <w:p>
      <w:pPr>
        <w:widowControl/>
        <w:jc w:val="left"/>
        <w:rPr>
          <w:rFonts w:hint="eastAsia" w:ascii="仿宋" w:hAnsi="仿宋" w:eastAsia="仿宋" w:cs="仿宋"/>
          <w:color w:val="auto"/>
          <w:kern w:val="0"/>
          <w:sz w:val="24"/>
          <w:highlight w:val="none"/>
        </w:rPr>
        <w:sectPr>
          <w:pgSz w:w="11907" w:h="16840"/>
          <w:pgMar w:top="1474" w:right="1814" w:bottom="1474" w:left="1814" w:header="851" w:footer="851" w:gutter="0"/>
          <w:cols w:space="720" w:num="1"/>
        </w:sectPr>
      </w:pPr>
    </w:p>
    <w:p>
      <w:pPr>
        <w:rPr>
          <w:rFonts w:hint="eastAsia" w:ascii="仿宋" w:hAnsi="仿宋" w:eastAsia="仿宋" w:cs="仿宋"/>
          <w:b/>
          <w:color w:val="auto"/>
          <w:sz w:val="24"/>
          <w:highlight w:val="none"/>
        </w:rPr>
      </w:pP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年</w:t>
      </w: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月</w:t>
      </w: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日</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eastAsia="zh-CN"/>
        </w:rPr>
        <w:t>杭州市余杭区人民政府余杭街道办事处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以</w:t>
      </w:r>
      <w:r>
        <w:rPr>
          <w:rFonts w:hint="eastAsia" w:ascii="仿宋" w:hAnsi="仿宋" w:eastAsia="仿宋" w:cs="仿宋"/>
          <w:color w:val="auto"/>
          <w:sz w:val="24"/>
          <w:highlight w:val="none"/>
          <w:u w:val="single"/>
        </w:rPr>
        <w:t xml:space="preserve">   （政府采购方式）  </w:t>
      </w:r>
      <w:r>
        <w:rPr>
          <w:rFonts w:hint="eastAsia" w:ascii="仿宋" w:hAnsi="仿宋" w:eastAsia="仿宋" w:cs="仿宋"/>
          <w:color w:val="auto"/>
          <w:sz w:val="24"/>
          <w:highlight w:val="none"/>
        </w:rPr>
        <w:t>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eastAsia="zh-CN"/>
        </w:rPr>
        <w:t>余杭街道</w:t>
      </w:r>
      <w:r>
        <w:rPr>
          <w:rFonts w:hint="eastAsia" w:ascii="仿宋" w:hAnsi="仿宋" w:eastAsia="仿宋" w:cs="仿宋"/>
          <w:color w:val="auto"/>
          <w:sz w:val="24"/>
          <w:highlight w:val="none"/>
          <w:u w:val="single"/>
          <w:lang w:val="en-US" w:eastAsia="zh-CN"/>
        </w:rPr>
        <w:t>2023年</w:t>
      </w:r>
      <w:r>
        <w:rPr>
          <w:rFonts w:hint="eastAsia" w:ascii="仿宋" w:hAnsi="仿宋" w:eastAsia="仿宋" w:cs="仿宋"/>
          <w:color w:val="auto"/>
          <w:sz w:val="24"/>
          <w:highlight w:val="none"/>
          <w:u w:val="single"/>
          <w:lang w:eastAsia="zh-CN"/>
        </w:rPr>
        <w:t>区域性微型消防救援站服务外包项目</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项目进行了采购。经</w:t>
      </w:r>
      <w:r>
        <w:rPr>
          <w:rFonts w:hint="eastAsia" w:ascii="仿宋" w:hAnsi="仿宋" w:eastAsia="仿宋" w:cs="仿宋"/>
          <w:color w:val="auto"/>
          <w:sz w:val="24"/>
          <w:highlight w:val="none"/>
          <w:u w:val="single"/>
        </w:rPr>
        <w:t xml:space="preserve">   （相关评定主体名称）   </w:t>
      </w:r>
      <w:r>
        <w:rPr>
          <w:rFonts w:hint="eastAsia" w:ascii="仿宋" w:hAnsi="仿宋" w:eastAsia="仿宋" w:cs="仿宋"/>
          <w:color w:val="auto"/>
          <w:sz w:val="24"/>
          <w:highlight w:val="none"/>
        </w:rPr>
        <w:t>评定，</w:t>
      </w:r>
      <w:r>
        <w:rPr>
          <w:rFonts w:hint="eastAsia" w:ascii="仿宋" w:hAnsi="仿宋" w:eastAsia="仿宋" w:cs="仿宋"/>
          <w:color w:val="auto"/>
          <w:sz w:val="24"/>
          <w:highlight w:val="none"/>
          <w:u w:val="single"/>
        </w:rPr>
        <w:t xml:space="preserve">   （中标或者成交供应商名称） </w:t>
      </w:r>
      <w:r>
        <w:rPr>
          <w:rFonts w:hint="eastAsia" w:ascii="仿宋" w:hAnsi="仿宋" w:eastAsia="仿宋" w:cs="仿宋"/>
          <w:color w:val="auto"/>
          <w:sz w:val="24"/>
          <w:highlight w:val="none"/>
        </w:rPr>
        <w:t>为该项目中标或者成交供应商。现于中标或者成交通知书发出之日起10个工作日内，按照采购文件确定的事项签订本合同。</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lang w:val="zh-CN"/>
        </w:rPr>
        <w:t>根据《中华人民共和国民法典》《中华人民共和国政府采购法》等相关法律法规之规定，按照平等、自愿、公平和诚实信用的原则，经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eastAsia="zh-CN"/>
        </w:rPr>
        <w:t>杭州市余杭区人民政府余杭街道办事处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lang w:val="zh-CN"/>
        </w:rPr>
        <w:t>(以下简称：甲方)和</w:t>
      </w:r>
      <w:r>
        <w:rPr>
          <w:rFonts w:hint="eastAsia" w:ascii="仿宋" w:hAnsi="仿宋" w:eastAsia="仿宋" w:cs="仿宋"/>
          <w:color w:val="auto"/>
          <w:sz w:val="24"/>
          <w:highlight w:val="none"/>
          <w:u w:val="single"/>
        </w:rPr>
        <w:t xml:space="preserve">   （中或者成交标供应商名称）   </w:t>
      </w:r>
      <w:r>
        <w:rPr>
          <w:rFonts w:hint="eastAsia" w:ascii="仿宋" w:hAnsi="仿宋" w:eastAsia="仿宋" w:cs="仿宋"/>
          <w:color w:val="auto"/>
          <w:sz w:val="24"/>
          <w:highlight w:val="none"/>
          <w:lang w:val="zh-CN"/>
        </w:rPr>
        <w:t>(以下简称：乙方)协商一致，约定以下合同</w:t>
      </w:r>
      <w:r>
        <w:rPr>
          <w:rFonts w:hint="eastAsia" w:ascii="仿宋" w:hAnsi="仿宋" w:eastAsia="仿宋" w:cs="仿宋"/>
          <w:color w:val="auto"/>
          <w:sz w:val="24"/>
          <w:highlight w:val="none"/>
        </w:rPr>
        <w:t>条款，以兹共同遵守、全面履行。</w:t>
      </w:r>
    </w:p>
    <w:p>
      <w:pPr>
        <w:spacing w:line="560" w:lineRule="exact"/>
        <w:ind w:firstLine="482" w:firstLineChars="200"/>
        <w:outlineLvl w:val="0"/>
        <w:rPr>
          <w:rFonts w:hint="eastAsia" w:ascii="仿宋" w:hAnsi="仿宋" w:eastAsia="仿宋" w:cs="仿宋"/>
          <w:color w:val="auto"/>
          <w:sz w:val="24"/>
          <w:highlight w:val="none"/>
        </w:rPr>
      </w:pPr>
      <w:bookmarkStart w:id="398" w:name="_Toc28855"/>
      <w:bookmarkStart w:id="399" w:name="_Toc19273"/>
      <w:bookmarkStart w:id="400" w:name="_Toc20421"/>
      <w:bookmarkStart w:id="401" w:name="_Toc22967"/>
      <w:bookmarkStart w:id="402" w:name="_Toc15367"/>
      <w:r>
        <w:rPr>
          <w:rFonts w:hint="eastAsia" w:ascii="仿宋" w:hAnsi="仿宋" w:eastAsia="仿宋" w:cs="仿宋"/>
          <w:b/>
          <w:color w:val="auto"/>
          <w:sz w:val="24"/>
          <w:highlight w:val="none"/>
        </w:rPr>
        <w:t>1.1 合同组成部分</w:t>
      </w:r>
      <w:bookmarkEnd w:id="398"/>
      <w:bookmarkEnd w:id="399"/>
      <w:bookmarkEnd w:id="400"/>
      <w:bookmarkEnd w:id="401"/>
      <w:bookmarkEnd w:id="402"/>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下列文件为本合同的组成部分，并构成一个整体，需综合解释、相互补充。如果下列文件内容出现不一致的情形，那么在保证按照采购文件确定的事项的前提下，组成本合同的多个文件的优先适用顺序如下：</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1.1.1 本合同及其补充合同、变更协议；</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1.1.2 中标或者成交通知书；</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1.1.3 投标或者响应文件（含澄清或者说明文件）；</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1.1.4 采购文件（含澄清或者修改文件）；</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1.1.5 其他相关采购文件。</w:t>
      </w:r>
    </w:p>
    <w:p>
      <w:pPr>
        <w:spacing w:line="560" w:lineRule="exact"/>
        <w:ind w:firstLine="482" w:firstLineChars="200"/>
        <w:outlineLvl w:val="0"/>
        <w:rPr>
          <w:rFonts w:hint="eastAsia" w:ascii="仿宋" w:hAnsi="仿宋" w:eastAsia="仿宋" w:cs="仿宋"/>
          <w:b/>
          <w:color w:val="auto"/>
          <w:sz w:val="24"/>
          <w:highlight w:val="none"/>
        </w:rPr>
      </w:pPr>
      <w:bookmarkStart w:id="403" w:name="_Toc6773"/>
      <w:bookmarkStart w:id="404" w:name="_Toc6311"/>
      <w:bookmarkStart w:id="405" w:name="_Toc2918"/>
      <w:bookmarkStart w:id="406" w:name="_Toc18585"/>
      <w:bookmarkStart w:id="407" w:name="_Toc22185"/>
      <w:r>
        <w:rPr>
          <w:rFonts w:hint="eastAsia" w:ascii="仿宋" w:hAnsi="仿宋" w:eastAsia="仿宋" w:cs="仿宋"/>
          <w:b/>
          <w:color w:val="auto"/>
          <w:sz w:val="24"/>
          <w:highlight w:val="none"/>
        </w:rPr>
        <w:t>1.2 标的</w:t>
      </w:r>
      <w:bookmarkEnd w:id="403"/>
      <w:bookmarkEnd w:id="404"/>
      <w:bookmarkEnd w:id="405"/>
      <w:bookmarkEnd w:id="406"/>
      <w:bookmarkEnd w:id="407"/>
    </w:p>
    <w:p>
      <w:pPr>
        <w:spacing w:line="560" w:lineRule="exact"/>
        <w:ind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1.2.1 服务内容：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pPr>
        <w:spacing w:line="560" w:lineRule="exact"/>
        <w:ind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1.2.2 服务标准：</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pPr>
        <w:spacing w:line="560" w:lineRule="exact"/>
        <w:ind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1.2.3 技术保障：</w:t>
      </w:r>
      <w:r>
        <w:rPr>
          <w:rFonts w:hint="eastAsia" w:ascii="仿宋" w:hAnsi="仿宋" w:eastAsia="仿宋" w:cs="仿宋"/>
          <w:color w:val="auto"/>
          <w:sz w:val="24"/>
          <w:highlight w:val="none"/>
          <w:u w:val="single"/>
        </w:rPr>
        <w:t>　　　　　　　　　                      　      ；</w:t>
      </w:r>
    </w:p>
    <w:p>
      <w:pPr>
        <w:spacing w:line="56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1.2.4 服务人员组成：</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pPr>
        <w:pStyle w:val="617"/>
        <w:spacing w:before="0" w:beforeAutospacing="0" w:after="0" w:afterAutospacing="0" w:line="360" w:lineRule="auto"/>
        <w:ind w:firstLine="480"/>
        <w:rPr>
          <w:rFonts w:hint="eastAsia" w:ascii="仿宋" w:hAnsi="仿宋" w:eastAsia="仿宋" w:cs="仿宋"/>
          <w:color w:val="auto"/>
          <w:highlight w:val="none"/>
        </w:rPr>
      </w:pPr>
      <w:r>
        <w:rPr>
          <w:rFonts w:hint="eastAsia" w:ascii="仿宋" w:hAnsi="仿宋" w:eastAsia="仿宋" w:cs="仿宋"/>
          <w:color w:val="auto"/>
          <w:highlight w:val="none"/>
        </w:rPr>
        <w:t>1.2.5合同</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（是/否）涉及货物。若涉及货物的的，则：</w:t>
      </w:r>
    </w:p>
    <w:p>
      <w:pPr>
        <w:spacing w:line="560" w:lineRule="exact"/>
        <w:ind w:firstLine="480" w:firstLineChars="200"/>
        <w:rPr>
          <w:rFonts w:hint="eastAsia" w:ascii="仿宋" w:hAnsi="仿宋" w:eastAsia="仿宋" w:cs="仿宋"/>
          <w:color w:val="auto"/>
          <w:sz w:val="24"/>
          <w:highlight w:val="none"/>
          <w:u w:val="single"/>
        </w:rPr>
      </w:pPr>
      <w:bookmarkStart w:id="408" w:name="_Toc5635"/>
      <w:bookmarkStart w:id="409" w:name="_Toc13918"/>
      <w:bookmarkStart w:id="410" w:name="_Toc21124"/>
      <w:bookmarkStart w:id="411" w:name="_Toc1386"/>
      <w:bookmarkStart w:id="412" w:name="_Toc4929"/>
      <w:r>
        <w:rPr>
          <w:rFonts w:hint="eastAsia" w:ascii="仿宋" w:hAnsi="仿宋" w:eastAsia="仿宋" w:cs="仿宋"/>
          <w:color w:val="auto"/>
          <w:sz w:val="24"/>
          <w:highlight w:val="none"/>
        </w:rPr>
        <w:t>1.2.5.1 货物名称、品牌、规格型号、花色：</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pPr>
        <w:spacing w:line="560" w:lineRule="exact"/>
        <w:ind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1.2.5.2 货物数量：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pPr>
        <w:spacing w:line="560" w:lineRule="exact"/>
        <w:ind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1.2.5.3 货物质量：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pPr>
        <w:spacing w:line="560" w:lineRule="exact"/>
        <w:ind w:firstLine="482" w:firstLineChars="200"/>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1.3 价款</w:t>
      </w:r>
      <w:bookmarkEnd w:id="408"/>
      <w:bookmarkEnd w:id="409"/>
      <w:bookmarkEnd w:id="410"/>
      <w:bookmarkEnd w:id="411"/>
      <w:bookmarkEnd w:id="412"/>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本项目采用以下第</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条款规定的计价方式计价。</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1.3.1总价合同，本合同总价（含税）为：￥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元（大写：</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元人民币）。</w:t>
      </w:r>
    </w:p>
    <w:p>
      <w:pPr>
        <w:spacing w:line="560" w:lineRule="exact"/>
        <w:ind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分项价格：</w:t>
      </w:r>
    </w:p>
    <w:tbl>
      <w:tblPr>
        <w:tblStyle w:val="62"/>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105"/>
              <w:spacing w:line="56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序号</w:t>
            </w:r>
          </w:p>
        </w:tc>
        <w:tc>
          <w:tcPr>
            <w:tcW w:w="3402" w:type="dxa"/>
            <w:vAlign w:val="center"/>
          </w:tcPr>
          <w:p>
            <w:pPr>
              <w:pStyle w:val="105"/>
              <w:spacing w:line="560" w:lineRule="exact"/>
              <w:ind w:firstLine="20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分项名称</w:t>
            </w:r>
          </w:p>
        </w:tc>
        <w:tc>
          <w:tcPr>
            <w:tcW w:w="2552" w:type="dxa"/>
            <w:vAlign w:val="center"/>
          </w:tcPr>
          <w:p>
            <w:pPr>
              <w:pStyle w:val="105"/>
              <w:spacing w:line="56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分项价格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105"/>
              <w:spacing w:line="560" w:lineRule="exact"/>
              <w:ind w:firstLine="200"/>
              <w:jc w:val="center"/>
              <w:rPr>
                <w:rFonts w:hint="eastAsia" w:ascii="仿宋" w:hAnsi="仿宋" w:eastAsia="仿宋" w:cs="仿宋"/>
                <w:color w:val="auto"/>
                <w:sz w:val="24"/>
                <w:szCs w:val="24"/>
                <w:highlight w:val="none"/>
              </w:rPr>
            </w:pPr>
          </w:p>
        </w:tc>
        <w:tc>
          <w:tcPr>
            <w:tcW w:w="3402" w:type="dxa"/>
            <w:vAlign w:val="center"/>
          </w:tcPr>
          <w:p>
            <w:pPr>
              <w:pStyle w:val="105"/>
              <w:spacing w:line="560" w:lineRule="exact"/>
              <w:ind w:firstLine="200"/>
              <w:jc w:val="center"/>
              <w:rPr>
                <w:rFonts w:hint="eastAsia" w:ascii="仿宋" w:hAnsi="仿宋" w:eastAsia="仿宋" w:cs="仿宋"/>
                <w:color w:val="auto"/>
                <w:sz w:val="24"/>
                <w:szCs w:val="24"/>
                <w:highlight w:val="none"/>
              </w:rPr>
            </w:pPr>
          </w:p>
        </w:tc>
        <w:tc>
          <w:tcPr>
            <w:tcW w:w="2552" w:type="dxa"/>
            <w:vAlign w:val="center"/>
          </w:tcPr>
          <w:p>
            <w:pPr>
              <w:pStyle w:val="105"/>
              <w:spacing w:line="560" w:lineRule="exact"/>
              <w:ind w:firstLine="200"/>
              <w:jc w:val="center"/>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105"/>
              <w:spacing w:line="560" w:lineRule="exact"/>
              <w:ind w:firstLine="200"/>
              <w:jc w:val="center"/>
              <w:rPr>
                <w:rFonts w:hint="eastAsia" w:ascii="仿宋" w:hAnsi="仿宋" w:eastAsia="仿宋" w:cs="仿宋"/>
                <w:color w:val="auto"/>
                <w:sz w:val="24"/>
                <w:szCs w:val="24"/>
                <w:highlight w:val="none"/>
              </w:rPr>
            </w:pPr>
          </w:p>
        </w:tc>
        <w:tc>
          <w:tcPr>
            <w:tcW w:w="3402" w:type="dxa"/>
            <w:vAlign w:val="center"/>
          </w:tcPr>
          <w:p>
            <w:pPr>
              <w:pStyle w:val="105"/>
              <w:spacing w:line="560" w:lineRule="exact"/>
              <w:ind w:firstLine="200"/>
              <w:jc w:val="center"/>
              <w:rPr>
                <w:rFonts w:hint="eastAsia" w:ascii="仿宋" w:hAnsi="仿宋" w:eastAsia="仿宋" w:cs="仿宋"/>
                <w:color w:val="auto"/>
                <w:sz w:val="24"/>
                <w:szCs w:val="24"/>
                <w:highlight w:val="none"/>
              </w:rPr>
            </w:pPr>
          </w:p>
        </w:tc>
        <w:tc>
          <w:tcPr>
            <w:tcW w:w="2552" w:type="dxa"/>
            <w:vAlign w:val="center"/>
          </w:tcPr>
          <w:p>
            <w:pPr>
              <w:pStyle w:val="105"/>
              <w:spacing w:line="560" w:lineRule="exact"/>
              <w:ind w:firstLine="200"/>
              <w:jc w:val="center"/>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105"/>
              <w:spacing w:line="560" w:lineRule="exact"/>
              <w:ind w:firstLine="200"/>
              <w:jc w:val="center"/>
              <w:rPr>
                <w:rFonts w:hint="eastAsia" w:ascii="仿宋" w:hAnsi="仿宋" w:eastAsia="仿宋" w:cs="仿宋"/>
                <w:color w:val="auto"/>
                <w:sz w:val="24"/>
                <w:szCs w:val="24"/>
                <w:highlight w:val="none"/>
              </w:rPr>
            </w:pPr>
          </w:p>
        </w:tc>
        <w:tc>
          <w:tcPr>
            <w:tcW w:w="3402" w:type="dxa"/>
            <w:vAlign w:val="center"/>
          </w:tcPr>
          <w:p>
            <w:pPr>
              <w:pStyle w:val="105"/>
              <w:spacing w:line="560" w:lineRule="exact"/>
              <w:ind w:firstLine="200"/>
              <w:jc w:val="center"/>
              <w:rPr>
                <w:rFonts w:hint="eastAsia" w:ascii="仿宋" w:hAnsi="仿宋" w:eastAsia="仿宋" w:cs="仿宋"/>
                <w:color w:val="auto"/>
                <w:sz w:val="24"/>
                <w:szCs w:val="24"/>
                <w:highlight w:val="none"/>
              </w:rPr>
            </w:pPr>
          </w:p>
        </w:tc>
        <w:tc>
          <w:tcPr>
            <w:tcW w:w="2552" w:type="dxa"/>
            <w:vAlign w:val="center"/>
          </w:tcPr>
          <w:p>
            <w:pPr>
              <w:pStyle w:val="105"/>
              <w:spacing w:line="560" w:lineRule="exact"/>
              <w:ind w:firstLine="200"/>
              <w:jc w:val="center"/>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105"/>
              <w:spacing w:line="560" w:lineRule="exact"/>
              <w:ind w:firstLine="200"/>
              <w:jc w:val="center"/>
              <w:rPr>
                <w:rFonts w:hint="eastAsia" w:ascii="仿宋" w:hAnsi="仿宋" w:eastAsia="仿宋" w:cs="仿宋"/>
                <w:color w:val="auto"/>
                <w:sz w:val="24"/>
                <w:szCs w:val="24"/>
                <w:highlight w:val="none"/>
              </w:rPr>
            </w:pPr>
          </w:p>
        </w:tc>
        <w:tc>
          <w:tcPr>
            <w:tcW w:w="3402" w:type="dxa"/>
            <w:vAlign w:val="center"/>
          </w:tcPr>
          <w:p>
            <w:pPr>
              <w:pStyle w:val="105"/>
              <w:spacing w:line="560" w:lineRule="exact"/>
              <w:ind w:firstLine="200"/>
              <w:jc w:val="center"/>
              <w:rPr>
                <w:rFonts w:hint="eastAsia" w:ascii="仿宋" w:hAnsi="仿宋" w:eastAsia="仿宋" w:cs="仿宋"/>
                <w:color w:val="auto"/>
                <w:sz w:val="24"/>
                <w:szCs w:val="24"/>
                <w:highlight w:val="none"/>
              </w:rPr>
            </w:pPr>
          </w:p>
        </w:tc>
        <w:tc>
          <w:tcPr>
            <w:tcW w:w="2552" w:type="dxa"/>
            <w:vAlign w:val="center"/>
          </w:tcPr>
          <w:p>
            <w:pPr>
              <w:pStyle w:val="105"/>
              <w:spacing w:line="560" w:lineRule="exact"/>
              <w:ind w:firstLine="200"/>
              <w:jc w:val="center"/>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vAlign w:val="center"/>
          </w:tcPr>
          <w:p>
            <w:pPr>
              <w:pStyle w:val="105"/>
              <w:spacing w:line="560" w:lineRule="exact"/>
              <w:ind w:firstLine="20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总价</w:t>
            </w:r>
          </w:p>
        </w:tc>
        <w:tc>
          <w:tcPr>
            <w:tcW w:w="2552" w:type="dxa"/>
            <w:vAlign w:val="center"/>
          </w:tcPr>
          <w:p>
            <w:pPr>
              <w:pStyle w:val="105"/>
              <w:spacing w:line="560" w:lineRule="exact"/>
              <w:ind w:firstLine="200"/>
              <w:jc w:val="center"/>
              <w:rPr>
                <w:rFonts w:hint="eastAsia" w:ascii="仿宋" w:hAnsi="仿宋" w:eastAsia="仿宋" w:cs="仿宋"/>
                <w:color w:val="auto"/>
                <w:sz w:val="24"/>
                <w:szCs w:val="24"/>
                <w:highlight w:val="none"/>
              </w:rPr>
            </w:pPr>
          </w:p>
        </w:tc>
      </w:tr>
    </w:tbl>
    <w:p>
      <w:pPr>
        <w:spacing w:line="560" w:lineRule="exact"/>
        <w:ind w:firstLine="480" w:firstLineChars="200"/>
        <w:rPr>
          <w:rFonts w:hint="eastAsia" w:ascii="仿宋" w:hAnsi="仿宋" w:eastAsia="仿宋" w:cs="仿宋"/>
          <w:color w:val="auto"/>
          <w:sz w:val="24"/>
          <w:highlight w:val="none"/>
        </w:rPr>
      </w:pPr>
      <w:bookmarkStart w:id="413" w:name="_Toc30506"/>
      <w:bookmarkStart w:id="414" w:name="_Toc14993"/>
      <w:bookmarkStart w:id="415" w:name="_Toc26916"/>
      <w:bookmarkStart w:id="416" w:name="_Toc30158"/>
      <w:bookmarkStart w:id="417" w:name="_Toc3654"/>
      <w:r>
        <w:rPr>
          <w:rFonts w:hint="eastAsia" w:ascii="仿宋" w:hAnsi="仿宋" w:eastAsia="仿宋" w:cs="仿宋"/>
          <w:bCs/>
          <w:color w:val="auto"/>
          <w:sz w:val="24"/>
          <w:highlight w:val="none"/>
        </w:rPr>
        <w:t>1.3.2单价合同，本合同单价（含税）标准为：</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highlight w:val="none"/>
        </w:rPr>
        <w:t>。服务工作量的计量方式为：</w:t>
      </w:r>
      <w:r>
        <w:rPr>
          <w:rFonts w:hint="eastAsia" w:ascii="仿宋" w:hAnsi="仿宋" w:eastAsia="仿宋" w:cs="仿宋"/>
          <w:bCs/>
          <w:color w:val="auto"/>
          <w:sz w:val="24"/>
          <w:highlight w:val="none"/>
          <w:u w:val="single"/>
        </w:rPr>
        <w:t xml:space="preserve">       </w:t>
      </w:r>
      <w:r>
        <w:rPr>
          <w:rFonts w:hint="eastAsia" w:ascii="仿宋" w:hAnsi="仿宋" w:eastAsia="仿宋" w:cs="仿宋"/>
          <w:b/>
          <w:i/>
          <w:color w:val="auto"/>
          <w:sz w:val="24"/>
          <w:highlight w:val="none"/>
          <w:u w:val="single"/>
        </w:rPr>
        <w:t>合同专用条款</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highlight w:val="none"/>
        </w:rPr>
        <w:t>。单价合同，在合同履行期间内，根据实际完成的工作量据实结算，但结算总价上限不得超过预算金额或者双方确定的金额￥</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元（大写：</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元人民币）。</w:t>
      </w:r>
    </w:p>
    <w:p>
      <w:pPr>
        <w:pStyle w:val="4"/>
        <w:rPr>
          <w:rFonts w:hint="eastAsia" w:ascii="仿宋" w:hAnsi="仿宋" w:eastAsia="仿宋" w:cs="仿宋"/>
          <w:color w:val="auto"/>
          <w:highlight w:val="none"/>
          <w:lang w:val="en-US"/>
        </w:rPr>
      </w:pPr>
      <w:r>
        <w:rPr>
          <w:rFonts w:hint="eastAsia" w:ascii="仿宋" w:hAnsi="仿宋" w:eastAsia="仿宋" w:cs="仿宋"/>
          <w:color w:val="auto"/>
          <w:sz w:val="24"/>
          <w:highlight w:val="none"/>
          <w:lang w:val="en-US"/>
        </w:rPr>
        <w:t xml:space="preserve">    </w:t>
      </w:r>
      <w:r>
        <w:rPr>
          <w:rFonts w:hint="eastAsia" w:ascii="仿宋" w:hAnsi="仿宋" w:eastAsia="仿宋" w:cs="仿宋"/>
          <w:b w:val="0"/>
          <w:bCs w:val="0"/>
          <w:color w:val="auto"/>
          <w:sz w:val="24"/>
          <w:highlight w:val="none"/>
          <w:lang w:val="en-US"/>
        </w:rPr>
        <w:t>1.3.3其他计价方式：</w:t>
      </w:r>
      <w:r>
        <w:rPr>
          <w:rFonts w:hint="eastAsia" w:ascii="仿宋" w:hAnsi="仿宋" w:eastAsia="仿宋" w:cs="仿宋"/>
          <w:b w:val="0"/>
          <w:bCs w:val="0"/>
          <w:color w:val="auto"/>
          <w:sz w:val="24"/>
          <w:highlight w:val="none"/>
          <w:u w:val="single"/>
          <w:lang w:val="en-US"/>
        </w:rPr>
        <w:t xml:space="preserve">                   </w:t>
      </w:r>
      <w:r>
        <w:rPr>
          <w:rFonts w:hint="eastAsia" w:ascii="仿宋" w:hAnsi="仿宋" w:eastAsia="仿宋" w:cs="仿宋"/>
          <w:b w:val="0"/>
          <w:bCs w:val="0"/>
          <w:color w:val="auto"/>
          <w:sz w:val="24"/>
          <w:highlight w:val="none"/>
        </w:rPr>
        <w:t>。</w:t>
      </w:r>
    </w:p>
    <w:bookmarkEnd w:id="413"/>
    <w:bookmarkEnd w:id="414"/>
    <w:bookmarkEnd w:id="415"/>
    <w:bookmarkEnd w:id="416"/>
    <w:bookmarkEnd w:id="417"/>
    <w:p>
      <w:pPr>
        <w:pStyle w:val="617"/>
        <w:spacing w:before="0" w:beforeAutospacing="0" w:after="0" w:afterAutospacing="0" w:line="360" w:lineRule="auto"/>
        <w:ind w:firstLine="480"/>
        <w:rPr>
          <w:rFonts w:hint="eastAsia" w:ascii="仿宋" w:hAnsi="仿宋" w:eastAsia="仿宋" w:cs="仿宋"/>
          <w:b/>
          <w:color w:val="auto"/>
          <w:highlight w:val="none"/>
        </w:rPr>
      </w:pPr>
      <w:bookmarkStart w:id="418" w:name="_Toc22618"/>
      <w:bookmarkStart w:id="419" w:name="_Toc1814"/>
      <w:bookmarkStart w:id="420" w:name="_Toc10340"/>
      <w:bookmarkStart w:id="421" w:name="_Toc4760"/>
      <w:bookmarkStart w:id="422" w:name="_Toc8772"/>
      <w:bookmarkStart w:id="423" w:name="_Toc3625"/>
      <w:bookmarkStart w:id="424" w:name="_Toc31421"/>
      <w:bookmarkStart w:id="425" w:name="_Toc11108"/>
      <w:r>
        <w:rPr>
          <w:rFonts w:hint="eastAsia" w:ascii="仿宋" w:hAnsi="仿宋" w:eastAsia="仿宋" w:cs="仿宋"/>
          <w:b/>
          <w:color w:val="auto"/>
          <w:highlight w:val="none"/>
        </w:rPr>
        <w:t>1.4履约保证金</w:t>
      </w:r>
    </w:p>
    <w:p>
      <w:pPr>
        <w:pStyle w:val="617"/>
        <w:spacing w:before="0" w:beforeAutospacing="0" w:after="0" w:afterAutospacing="0" w:line="360" w:lineRule="auto"/>
        <w:ind w:firstLine="480"/>
        <w:rPr>
          <w:rFonts w:hint="eastAsia" w:ascii="仿宋" w:hAnsi="仿宋" w:eastAsia="仿宋" w:cs="仿宋"/>
          <w:color w:val="auto"/>
          <w:highlight w:val="none"/>
        </w:rPr>
      </w:pPr>
      <w:r>
        <w:rPr>
          <w:rFonts w:hint="eastAsia" w:ascii="仿宋" w:hAnsi="仿宋" w:eastAsia="仿宋" w:cs="仿宋"/>
          <w:color w:val="auto"/>
          <w:highlight w:val="none"/>
        </w:rPr>
        <w:t>乙方</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（是/否）需要支付履约保证金。若需要支付履约保证金的，则：</w:t>
      </w:r>
    </w:p>
    <w:p>
      <w:pPr>
        <w:spacing w:line="560" w:lineRule="exact"/>
        <w:ind w:firstLine="480" w:firstLineChars="200"/>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1.4.1履约保证金的比例为合同金额的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pPr>
        <w:spacing w:line="560" w:lineRule="exact"/>
        <w:ind w:firstLine="480" w:firstLineChars="200"/>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1.4.2履约保证金支付方式详见</w:t>
      </w:r>
      <w:r>
        <w:rPr>
          <w:rFonts w:hint="eastAsia" w:ascii="仿宋" w:hAnsi="仿宋" w:eastAsia="仿宋" w:cs="仿宋"/>
          <w:color w:val="auto"/>
          <w:kern w:val="0"/>
          <w:sz w:val="24"/>
          <w:highlight w:val="none"/>
          <w:u w:val="single"/>
        </w:rPr>
        <w:t xml:space="preserve">    </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pPr>
        <w:pStyle w:val="4"/>
        <w:tabs>
          <w:tab w:val="left" w:pos="0"/>
        </w:tabs>
        <w:spacing w:line="560" w:lineRule="exact"/>
        <w:ind w:left="0" w:firstLine="480" w:firstLineChars="200"/>
        <w:rPr>
          <w:rFonts w:hint="eastAsia" w:ascii="仿宋" w:hAnsi="仿宋" w:eastAsia="仿宋" w:cs="仿宋"/>
          <w:color w:val="auto"/>
          <w:highlight w:val="none"/>
          <w:lang w:val="en-US"/>
        </w:rPr>
      </w:pPr>
      <w:r>
        <w:rPr>
          <w:rFonts w:hint="eastAsia" w:ascii="仿宋" w:hAnsi="仿宋" w:eastAsia="仿宋" w:cs="仿宋"/>
          <w:b w:val="0"/>
          <w:bCs w:val="0"/>
          <w:color w:val="auto"/>
          <w:kern w:val="0"/>
          <w:sz w:val="24"/>
          <w:szCs w:val="24"/>
          <w:highlight w:val="none"/>
          <w:lang w:val="en-US"/>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pPr>
        <w:spacing w:line="560" w:lineRule="exact"/>
        <w:ind w:firstLine="480" w:firstLineChars="200"/>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1.4.4甲方在项目验收结束后及时退还履约保证金。甲方在项目通过验收之日起</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个工作日内将履约保证金无息退还乙方，逾期退还的，乙方可要求甲方支付违约金，违约金按每迟延退还一日的应退还而未退还金额的</w:t>
      </w:r>
      <w:r>
        <w:rPr>
          <w:rFonts w:hint="eastAsia" w:ascii="仿宋" w:hAnsi="仿宋" w:eastAsia="仿宋" w:cs="仿宋"/>
          <w:color w:val="auto"/>
          <w:kern w:val="0"/>
          <w:sz w:val="24"/>
          <w:highlight w:val="none"/>
          <w:u w:val="single"/>
        </w:rPr>
        <w:t xml:space="preserve">  0.05（可根据情况修改）  </w:t>
      </w:r>
      <w:r>
        <w:rPr>
          <w:rFonts w:hint="eastAsia" w:ascii="仿宋" w:hAnsi="仿宋" w:eastAsia="仿宋" w:cs="仿宋"/>
          <w:color w:val="auto"/>
          <w:kern w:val="0"/>
          <w:sz w:val="24"/>
          <w:highlight w:val="none"/>
        </w:rPr>
        <w:t>%计算，最高限额为本合同履约保证金的</w:t>
      </w:r>
      <w:r>
        <w:rPr>
          <w:rFonts w:hint="eastAsia" w:ascii="仿宋" w:hAnsi="仿宋" w:eastAsia="仿宋" w:cs="仿宋"/>
          <w:color w:val="auto"/>
          <w:kern w:val="0"/>
          <w:sz w:val="24"/>
          <w:highlight w:val="none"/>
          <w:u w:val="single"/>
        </w:rPr>
        <w:t xml:space="preserve">  20  </w:t>
      </w:r>
      <w:r>
        <w:rPr>
          <w:rFonts w:hint="eastAsia" w:ascii="仿宋" w:hAnsi="仿宋" w:eastAsia="仿宋" w:cs="仿宋"/>
          <w:color w:val="auto"/>
          <w:kern w:val="0"/>
          <w:sz w:val="24"/>
          <w:highlight w:val="none"/>
        </w:rPr>
        <w:t xml:space="preserve"> %。</w:t>
      </w:r>
    </w:p>
    <w:p>
      <w:pPr>
        <w:spacing w:line="560" w:lineRule="exact"/>
        <w:ind w:firstLine="482" w:firstLineChars="200"/>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1.5</w:t>
      </w:r>
      <w:bookmarkEnd w:id="418"/>
      <w:bookmarkEnd w:id="419"/>
      <w:bookmarkEnd w:id="420"/>
      <w:r>
        <w:rPr>
          <w:rFonts w:hint="eastAsia" w:ascii="仿宋" w:hAnsi="仿宋" w:eastAsia="仿宋" w:cs="仿宋"/>
          <w:b/>
          <w:color w:val="auto"/>
          <w:sz w:val="24"/>
          <w:highlight w:val="none"/>
        </w:rPr>
        <w:t>预付款</w:t>
      </w:r>
    </w:p>
    <w:p>
      <w:pPr>
        <w:pStyle w:val="617"/>
        <w:spacing w:before="0" w:beforeAutospacing="0" w:after="0" w:afterAutospacing="0" w:line="360" w:lineRule="auto"/>
        <w:ind w:firstLine="480"/>
        <w:rPr>
          <w:rFonts w:hint="eastAsia" w:ascii="仿宋" w:hAnsi="仿宋" w:eastAsia="仿宋" w:cs="仿宋"/>
          <w:color w:val="auto"/>
          <w:highlight w:val="none"/>
        </w:rPr>
      </w:pPr>
      <w:r>
        <w:rPr>
          <w:rFonts w:hint="eastAsia" w:ascii="仿宋" w:hAnsi="仿宋" w:eastAsia="仿宋" w:cs="仿宋"/>
          <w:color w:val="auto"/>
          <w:highlight w:val="none"/>
        </w:rPr>
        <w:t>甲方</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（是/否）需要支付预付款。若需要支付预付款的，则：</w:t>
      </w:r>
    </w:p>
    <w:p>
      <w:pPr>
        <w:spacing w:line="56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1.5.1预付款比例、支付方式、时间详见</w:t>
      </w:r>
      <w:r>
        <w:rPr>
          <w:rFonts w:hint="eastAsia" w:ascii="仿宋" w:hAnsi="仿宋" w:eastAsia="仿宋" w:cs="仿宋"/>
          <w:color w:val="auto"/>
          <w:kern w:val="0"/>
          <w:sz w:val="24"/>
          <w:highlight w:val="none"/>
          <w:u w:val="single"/>
        </w:rPr>
        <w:t xml:space="preserve">    </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pPr>
        <w:pStyle w:val="617"/>
        <w:spacing w:before="0" w:beforeAutospacing="0" w:after="0" w:afterAutospacing="0" w:line="360" w:lineRule="auto"/>
        <w:ind w:firstLine="480"/>
        <w:rPr>
          <w:rFonts w:hint="eastAsia" w:ascii="仿宋" w:hAnsi="仿宋" w:eastAsia="仿宋" w:cs="仿宋"/>
          <w:color w:val="auto"/>
          <w:highlight w:val="none"/>
        </w:rPr>
      </w:pPr>
      <w:r>
        <w:rPr>
          <w:rFonts w:hint="eastAsia" w:ascii="仿宋" w:hAnsi="仿宋" w:eastAsia="仿宋" w:cs="仿宋"/>
          <w:color w:val="auto"/>
          <w:highlight w:val="none"/>
        </w:rPr>
        <w:t>1.5.2预付款的扣回方式详见</w:t>
      </w:r>
      <w:r>
        <w:rPr>
          <w:rFonts w:hint="eastAsia" w:ascii="仿宋" w:hAnsi="仿宋" w:eastAsia="仿宋" w:cs="仿宋"/>
          <w:color w:val="auto"/>
          <w:highlight w:val="none"/>
          <w:u w:val="single"/>
        </w:rPr>
        <w:t xml:space="preserve">    </w:t>
      </w:r>
      <w:r>
        <w:rPr>
          <w:rFonts w:hint="eastAsia" w:ascii="仿宋" w:hAnsi="仿宋" w:eastAsia="仿宋" w:cs="仿宋"/>
          <w:b/>
          <w:i/>
          <w:color w:val="auto"/>
          <w:highlight w:val="none"/>
          <w:u w:val="single"/>
        </w:rPr>
        <w:t>合同专用条款</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w:t>
      </w:r>
    </w:p>
    <w:p>
      <w:pPr>
        <w:pStyle w:val="617"/>
        <w:spacing w:before="0" w:beforeAutospacing="0" w:after="0" w:afterAutospacing="0" w:line="360" w:lineRule="auto"/>
        <w:ind w:firstLine="480"/>
        <w:rPr>
          <w:rFonts w:hint="eastAsia" w:ascii="仿宋" w:hAnsi="仿宋" w:eastAsia="仿宋" w:cs="仿宋"/>
          <w:color w:val="auto"/>
          <w:highlight w:val="none"/>
          <w:u w:val="single"/>
        </w:rPr>
      </w:pPr>
      <w:r>
        <w:rPr>
          <w:rFonts w:hint="eastAsia" w:ascii="仿宋" w:hAnsi="仿宋" w:eastAsia="仿宋" w:cs="仿宋"/>
          <w:color w:val="auto"/>
          <w:highlight w:val="none"/>
        </w:rPr>
        <w:t>1.5.3预付款的担保措施详见</w:t>
      </w:r>
      <w:r>
        <w:rPr>
          <w:rFonts w:hint="eastAsia" w:ascii="仿宋" w:hAnsi="仿宋" w:eastAsia="仿宋" w:cs="仿宋"/>
          <w:color w:val="auto"/>
          <w:highlight w:val="none"/>
          <w:u w:val="single"/>
        </w:rPr>
        <w:t xml:space="preserve">    </w:t>
      </w:r>
      <w:r>
        <w:rPr>
          <w:rFonts w:hint="eastAsia" w:ascii="仿宋" w:hAnsi="仿宋" w:eastAsia="仿宋" w:cs="仿宋"/>
          <w:b/>
          <w:i/>
          <w:color w:val="auto"/>
          <w:highlight w:val="none"/>
          <w:u w:val="single"/>
        </w:rPr>
        <w:t>合同专用条款</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w:t>
      </w:r>
    </w:p>
    <w:p>
      <w:pPr>
        <w:pStyle w:val="617"/>
        <w:spacing w:before="0" w:beforeAutospacing="0" w:after="0" w:afterAutospacing="0" w:line="360" w:lineRule="auto"/>
        <w:ind w:firstLine="480"/>
        <w:rPr>
          <w:rFonts w:hint="eastAsia" w:ascii="仿宋" w:hAnsi="仿宋" w:eastAsia="仿宋" w:cs="仿宋"/>
          <w:b/>
          <w:bCs/>
          <w:color w:val="auto"/>
          <w:highlight w:val="none"/>
        </w:rPr>
      </w:pPr>
      <w:r>
        <w:rPr>
          <w:rFonts w:hint="eastAsia" w:ascii="仿宋" w:hAnsi="仿宋" w:eastAsia="仿宋" w:cs="仿宋"/>
          <w:b/>
          <w:bCs/>
          <w:color w:val="auto"/>
          <w:highlight w:val="none"/>
        </w:rPr>
        <w:t>1.6资金支付</w:t>
      </w:r>
    </w:p>
    <w:p>
      <w:pPr>
        <w:pStyle w:val="617"/>
        <w:spacing w:before="0" w:beforeAutospacing="0" w:after="0" w:afterAutospacing="0" w:line="360" w:lineRule="auto"/>
        <w:ind w:firstLine="480"/>
        <w:rPr>
          <w:rFonts w:hint="eastAsia" w:ascii="仿宋" w:hAnsi="仿宋" w:eastAsia="仿宋" w:cs="仿宋"/>
          <w:color w:val="auto"/>
          <w:highlight w:val="none"/>
        </w:rPr>
      </w:pPr>
      <w:r>
        <w:rPr>
          <w:rFonts w:hint="eastAsia" w:ascii="仿宋" w:hAnsi="仿宋" w:eastAsia="仿宋" w:cs="仿宋"/>
          <w:color w:val="auto"/>
          <w:highlight w:val="none"/>
        </w:rPr>
        <w:t>1.6.1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t>
      </w:r>
    </w:p>
    <w:p>
      <w:pPr>
        <w:spacing w:line="560" w:lineRule="exact"/>
        <w:ind w:firstLine="480" w:firstLineChars="200"/>
        <w:outlineLvl w:val="0"/>
        <w:rPr>
          <w:rFonts w:hint="eastAsia" w:ascii="仿宋" w:hAnsi="仿宋" w:eastAsia="仿宋" w:cs="仿宋"/>
          <w:color w:val="auto"/>
          <w:sz w:val="24"/>
          <w:highlight w:val="none"/>
        </w:rPr>
      </w:pPr>
      <w:r>
        <w:rPr>
          <w:rFonts w:hint="eastAsia" w:ascii="仿宋" w:hAnsi="仿宋" w:eastAsia="仿宋" w:cs="仿宋"/>
          <w:color w:val="auto"/>
          <w:sz w:val="24"/>
          <w:highlight w:val="none"/>
        </w:rPr>
        <w:t>1.6.2资金支付的方式、时间和条件详见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pPr>
        <w:spacing w:line="560" w:lineRule="exact"/>
        <w:ind w:firstLine="482" w:firstLineChars="200"/>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1.7 履行期限、地点和方式</w:t>
      </w:r>
      <w:bookmarkEnd w:id="421"/>
      <w:bookmarkEnd w:id="422"/>
      <w:bookmarkEnd w:id="423"/>
      <w:bookmarkEnd w:id="424"/>
      <w:bookmarkEnd w:id="425"/>
    </w:p>
    <w:p>
      <w:pPr>
        <w:spacing w:line="560" w:lineRule="exact"/>
        <w:ind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1.7.1 服务交付（实施）的时间（期限）：</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1.7.2 服务交付（实施）的地点（地域范围）：</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1.7.3 服务交付（实施）的方式：</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pPr>
        <w:spacing w:line="560" w:lineRule="exact"/>
        <w:ind w:firstLine="480" w:firstLineChars="200"/>
        <w:outlineLvl w:val="0"/>
        <w:rPr>
          <w:rFonts w:hint="eastAsia" w:ascii="仿宋" w:hAnsi="仿宋" w:eastAsia="仿宋" w:cs="仿宋"/>
          <w:bCs/>
          <w:color w:val="auto"/>
          <w:sz w:val="24"/>
          <w:highlight w:val="none"/>
        </w:rPr>
      </w:pPr>
      <w:bookmarkStart w:id="426" w:name="_Toc8586"/>
      <w:bookmarkStart w:id="427" w:name="_Toc3079"/>
      <w:bookmarkStart w:id="428" w:name="_Toc5698"/>
      <w:bookmarkStart w:id="429" w:name="_Toc24662"/>
      <w:bookmarkStart w:id="430" w:name="_Toc2375"/>
      <w:r>
        <w:rPr>
          <w:rFonts w:hint="eastAsia" w:ascii="仿宋" w:hAnsi="仿宋" w:eastAsia="仿宋" w:cs="仿宋"/>
          <w:bCs/>
          <w:color w:val="auto"/>
          <w:sz w:val="24"/>
          <w:highlight w:val="none"/>
        </w:rPr>
        <w:t>1.7.4若服务涉及货物的，则货物的：</w:t>
      </w:r>
    </w:p>
    <w:p>
      <w:pPr>
        <w:spacing w:line="560" w:lineRule="exact"/>
        <w:ind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1.7.4.1 交付期限：详见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1.7.4.2 交付地点：</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1.7.4.3 交付方式：</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pPr>
        <w:spacing w:line="560" w:lineRule="exact"/>
        <w:ind w:firstLine="482" w:firstLineChars="200"/>
        <w:outlineLvl w:val="0"/>
        <w:rPr>
          <w:rFonts w:hint="eastAsia" w:ascii="仿宋" w:hAnsi="仿宋" w:eastAsia="仿宋" w:cs="仿宋"/>
          <w:color w:val="auto"/>
          <w:sz w:val="24"/>
          <w:highlight w:val="none"/>
          <w:u w:val="single"/>
        </w:rPr>
      </w:pPr>
      <w:r>
        <w:rPr>
          <w:rFonts w:hint="eastAsia" w:ascii="仿宋" w:hAnsi="仿宋" w:eastAsia="仿宋" w:cs="仿宋"/>
          <w:b/>
          <w:color w:val="auto"/>
          <w:sz w:val="24"/>
          <w:highlight w:val="none"/>
        </w:rPr>
        <w:t>1.8违约责任</w:t>
      </w:r>
      <w:bookmarkEnd w:id="426"/>
      <w:bookmarkEnd w:id="427"/>
      <w:bookmarkEnd w:id="428"/>
      <w:bookmarkEnd w:id="429"/>
      <w:bookmarkEnd w:id="430"/>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1.8.1 除不可抗力外，如果乙方没有按照本合同约定的期限、地点和方式交付服务成果或者实施服务，那么甲方可要求乙方支付违约金，迟延履行违约金按每迟延履行一日的应提供而未提供服务价格的</w:t>
      </w:r>
      <w:r>
        <w:rPr>
          <w:rFonts w:hint="eastAsia" w:ascii="仿宋" w:hAnsi="仿宋" w:eastAsia="仿宋" w:cs="仿宋"/>
          <w:color w:val="auto"/>
          <w:sz w:val="24"/>
          <w:highlight w:val="none"/>
          <w:u w:val="single"/>
        </w:rPr>
        <w:t xml:space="preserve">0.05 </w:t>
      </w:r>
      <w:r>
        <w:rPr>
          <w:rFonts w:hint="eastAsia" w:ascii="仿宋" w:hAnsi="仿宋" w:eastAsia="仿宋" w:cs="仿宋"/>
          <w:color w:val="auto"/>
          <w:sz w:val="24"/>
          <w:highlight w:val="none"/>
        </w:rPr>
        <w:t>%计算，最高限额为本合同总价的</w:t>
      </w:r>
      <w:r>
        <w:rPr>
          <w:rFonts w:hint="eastAsia" w:ascii="仿宋" w:hAnsi="仿宋" w:eastAsia="仿宋" w:cs="仿宋"/>
          <w:color w:val="auto"/>
          <w:sz w:val="24"/>
          <w:highlight w:val="none"/>
          <w:u w:val="single"/>
        </w:rPr>
        <w:t xml:space="preserve">  20   </w:t>
      </w:r>
      <w:r>
        <w:rPr>
          <w:rFonts w:hint="eastAsia" w:ascii="仿宋" w:hAnsi="仿宋" w:eastAsia="仿宋" w:cs="仿宋"/>
          <w:color w:val="auto"/>
          <w:sz w:val="24"/>
          <w:highlight w:val="none"/>
        </w:rPr>
        <w:t>%；迟延履行的违约金计算数额达到前述最高限额之日起，甲方有权在要求乙方支付违约金的同时，书面通知乙方解除本合同；</w:t>
      </w:r>
    </w:p>
    <w:p>
      <w:pPr>
        <w:pStyle w:val="4"/>
        <w:ind w:left="0" w:firstLine="480" w:firstLineChars="200"/>
        <w:rPr>
          <w:rFonts w:hint="eastAsia" w:ascii="仿宋" w:hAnsi="仿宋" w:eastAsia="仿宋" w:cs="仿宋"/>
          <w:b w:val="0"/>
          <w:bCs w:val="0"/>
          <w:color w:val="auto"/>
          <w:sz w:val="24"/>
          <w:szCs w:val="24"/>
          <w:highlight w:val="none"/>
          <w:lang w:val="en-US"/>
        </w:rPr>
      </w:pPr>
      <w:r>
        <w:rPr>
          <w:rFonts w:hint="eastAsia" w:ascii="仿宋" w:hAnsi="仿宋" w:eastAsia="仿宋" w:cs="仿宋"/>
          <w:b w:val="0"/>
          <w:bCs w:val="0"/>
          <w:color w:val="auto"/>
          <w:sz w:val="24"/>
          <w:szCs w:val="24"/>
          <w:highlight w:val="none"/>
          <w:lang w:val="en-US"/>
        </w:rPr>
        <w:t>1.8.2服务中涉及的货物，除不可抗力外，如果乙方没有按照本合同约定的期限、地点和方式交付货物，那么甲方可要求乙方支付违约金，违约金按每迟延交付货物一日的应交付而未交付货物价格的</w:t>
      </w:r>
      <w:r>
        <w:rPr>
          <w:rFonts w:hint="eastAsia" w:ascii="仿宋" w:hAnsi="仿宋" w:eastAsia="仿宋" w:cs="仿宋"/>
          <w:b w:val="0"/>
          <w:bCs w:val="0"/>
          <w:color w:val="auto"/>
          <w:sz w:val="24"/>
          <w:szCs w:val="24"/>
          <w:highlight w:val="none"/>
          <w:u w:val="single"/>
          <w:lang w:val="en-US"/>
        </w:rPr>
        <w:t xml:space="preserve">  0.0</w:t>
      </w:r>
      <w:r>
        <w:rPr>
          <w:rFonts w:hint="eastAsia" w:ascii="仿宋" w:hAnsi="仿宋" w:eastAsia="仿宋" w:cs="仿宋"/>
          <w:b w:val="0"/>
          <w:bCs w:val="0"/>
          <w:color w:val="auto"/>
          <w:sz w:val="24"/>
          <w:szCs w:val="24"/>
          <w:highlight w:val="none"/>
          <w:lang w:val="en-US"/>
        </w:rPr>
        <w:t xml:space="preserve">5（可根据情况修改） </w:t>
      </w:r>
      <w:r>
        <w:rPr>
          <w:rFonts w:hint="eastAsia" w:ascii="仿宋" w:hAnsi="仿宋" w:eastAsia="仿宋" w:cs="仿宋"/>
          <w:b w:val="0"/>
          <w:bCs w:val="0"/>
          <w:color w:val="auto"/>
          <w:sz w:val="24"/>
          <w:szCs w:val="24"/>
          <w:highlight w:val="none"/>
          <w:u w:val="single"/>
          <w:lang w:val="en-US"/>
        </w:rPr>
        <w:t xml:space="preserve">  </w:t>
      </w:r>
      <w:r>
        <w:rPr>
          <w:rFonts w:hint="eastAsia" w:ascii="仿宋" w:hAnsi="仿宋" w:eastAsia="仿宋" w:cs="仿宋"/>
          <w:b w:val="0"/>
          <w:bCs w:val="0"/>
          <w:color w:val="auto"/>
          <w:sz w:val="24"/>
          <w:szCs w:val="24"/>
          <w:highlight w:val="none"/>
          <w:lang w:val="en-US"/>
        </w:rPr>
        <w:t>%计算，最高限额为本合同总价的</w:t>
      </w:r>
      <w:r>
        <w:rPr>
          <w:rFonts w:hint="eastAsia" w:ascii="仿宋" w:hAnsi="仿宋" w:eastAsia="仿宋" w:cs="仿宋"/>
          <w:b w:val="0"/>
          <w:bCs w:val="0"/>
          <w:color w:val="auto"/>
          <w:sz w:val="24"/>
          <w:szCs w:val="24"/>
          <w:highlight w:val="none"/>
          <w:u w:val="single"/>
          <w:lang w:val="en-US"/>
        </w:rPr>
        <w:t xml:space="preserve">  20  </w:t>
      </w:r>
      <w:r>
        <w:rPr>
          <w:rFonts w:hint="eastAsia" w:ascii="仿宋" w:hAnsi="仿宋" w:eastAsia="仿宋" w:cs="仿宋"/>
          <w:b w:val="0"/>
          <w:bCs w:val="0"/>
          <w:color w:val="auto"/>
          <w:sz w:val="24"/>
          <w:szCs w:val="24"/>
          <w:highlight w:val="none"/>
          <w:lang w:val="en-US"/>
        </w:rPr>
        <w:t>%；迟延交付货物的违约金计算数额达到前述最高限额之日起，甲方有权在要求乙方支付违约金的同时，书面通知乙方解除本合同；</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1.8.3除不可抗力外，如果甲方没有按照本合同约定的付款方式付款，那么乙方可要求甲方支付违约金，违约金按每迟延付款一日的应付而未付款的</w:t>
      </w:r>
      <w:r>
        <w:rPr>
          <w:rFonts w:hint="eastAsia" w:ascii="仿宋" w:hAnsi="仿宋" w:eastAsia="仿宋" w:cs="仿宋"/>
          <w:color w:val="auto"/>
          <w:sz w:val="24"/>
          <w:highlight w:val="none"/>
          <w:u w:val="single"/>
        </w:rPr>
        <w:t xml:space="preserve">   0.05   </w:t>
      </w:r>
      <w:r>
        <w:rPr>
          <w:rFonts w:hint="eastAsia" w:ascii="仿宋" w:hAnsi="仿宋" w:eastAsia="仿宋" w:cs="仿宋"/>
          <w:color w:val="auto"/>
          <w:sz w:val="24"/>
          <w:highlight w:val="none"/>
        </w:rPr>
        <w:t>%计算，最高限额为本合同总价的</w:t>
      </w:r>
      <w:r>
        <w:rPr>
          <w:rFonts w:hint="eastAsia" w:ascii="仿宋" w:hAnsi="仿宋" w:eastAsia="仿宋" w:cs="仿宋"/>
          <w:color w:val="auto"/>
          <w:sz w:val="24"/>
          <w:highlight w:val="none"/>
          <w:u w:val="single"/>
        </w:rPr>
        <w:t xml:space="preserve">   20</w:t>
      </w:r>
      <w:r>
        <w:rPr>
          <w:rFonts w:hint="eastAsia" w:ascii="仿宋" w:hAnsi="仿宋" w:eastAsia="仿宋" w:cs="仿宋"/>
          <w:color w:val="auto"/>
          <w:kern w:val="0"/>
          <w:sz w:val="24"/>
          <w:highlight w:val="none"/>
          <w:u w:val="single"/>
        </w:rPr>
        <w:t>（可根据情况修改）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%；迟延付款的违约金计算数额达到前述最高限额之日起，乙方有权在要求甲方支付违约金的同时，书面通知甲方解除本合同；</w:t>
      </w:r>
    </w:p>
    <w:p>
      <w:pPr>
        <w:spacing w:line="560" w:lineRule="exact"/>
        <w:ind w:firstLine="480" w:firstLineChars="200"/>
        <w:rPr>
          <w:rFonts w:hint="eastAsia" w:ascii="仿宋" w:hAnsi="仿宋" w:eastAsia="仿宋" w:cs="仿宋"/>
          <w:color w:val="auto"/>
          <w:sz w:val="24"/>
          <w:highlight w:val="none"/>
        </w:rPr>
      </w:pPr>
      <w:bookmarkStart w:id="431" w:name="_Toc30329"/>
      <w:bookmarkStart w:id="432" w:name="_Toc26807"/>
      <w:bookmarkStart w:id="433" w:name="_Toc9497"/>
      <w:bookmarkStart w:id="434" w:name="_Toc32454"/>
      <w:bookmarkStart w:id="435" w:name="_Toc18683"/>
      <w:r>
        <w:rPr>
          <w:rFonts w:hint="eastAsia" w:ascii="仿宋" w:hAnsi="仿宋" w:eastAsia="仿宋" w:cs="仿宋"/>
          <w:color w:val="auto"/>
          <w:sz w:val="24"/>
          <w:highlight w:val="none"/>
        </w:rPr>
        <w:t>1.8.4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1.8.5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1.8.6如果出现政府采购监督管理部门在处理投诉事项期间，书面通知甲方暂停采购活动的情形，或者询问或质疑事项可能影响中标或者成交结果的，导致甲方中止履行合同的情形，均不视为甲方违约。</w:t>
      </w:r>
    </w:p>
    <w:p>
      <w:pPr>
        <w:spacing w:line="560" w:lineRule="exact"/>
        <w:ind w:right="-420" w:rightChars="-200" w:firstLine="480" w:firstLineChars="200"/>
        <w:rPr>
          <w:rFonts w:hint="eastAsia" w:ascii="仿宋" w:hAnsi="仿宋" w:eastAsia="仿宋" w:cs="仿宋"/>
          <w:color w:val="auto"/>
          <w:highlight w:val="none"/>
        </w:rPr>
      </w:pPr>
      <w:r>
        <w:rPr>
          <w:rFonts w:hint="eastAsia" w:ascii="仿宋" w:hAnsi="仿宋" w:eastAsia="仿宋" w:cs="仿宋"/>
          <w:color w:val="auto"/>
          <w:sz w:val="24"/>
          <w:highlight w:val="none"/>
        </w:rPr>
        <w:t>1.8.7违约责任</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另有约定的，从其约定。</w:t>
      </w:r>
    </w:p>
    <w:bookmarkEnd w:id="431"/>
    <w:bookmarkEnd w:id="432"/>
    <w:bookmarkEnd w:id="433"/>
    <w:bookmarkEnd w:id="434"/>
    <w:bookmarkEnd w:id="435"/>
    <w:p>
      <w:pPr>
        <w:spacing w:line="560" w:lineRule="exact"/>
        <w:ind w:firstLine="482" w:firstLineChars="200"/>
        <w:outlineLvl w:val="0"/>
        <w:rPr>
          <w:rFonts w:hint="eastAsia" w:ascii="仿宋" w:hAnsi="仿宋" w:eastAsia="仿宋" w:cs="仿宋"/>
          <w:b/>
          <w:color w:val="auto"/>
          <w:sz w:val="24"/>
          <w:highlight w:val="none"/>
        </w:rPr>
      </w:pPr>
      <w:bookmarkStart w:id="436" w:name="_Toc16021"/>
      <w:bookmarkStart w:id="437" w:name="_Toc28375"/>
      <w:bookmarkStart w:id="438" w:name="_Toc15583"/>
      <w:r>
        <w:rPr>
          <w:rFonts w:hint="eastAsia" w:ascii="仿宋" w:hAnsi="仿宋" w:eastAsia="仿宋" w:cs="仿宋"/>
          <w:b/>
          <w:color w:val="auto"/>
          <w:sz w:val="24"/>
          <w:highlight w:val="none"/>
        </w:rPr>
        <w:t>1.9合同争议的解决</w:t>
      </w:r>
      <w:bookmarkEnd w:id="436"/>
      <w:bookmarkEnd w:id="437"/>
      <w:bookmarkEnd w:id="438"/>
    </w:p>
    <w:p>
      <w:pPr>
        <w:spacing w:line="560" w:lineRule="exact"/>
        <w:ind w:left="-61" w:leftChars="-29" w:right="-420" w:rightChars="-200" w:firstLine="240" w:firstLineChars="1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本合同履行过程中发生的任何争议，双方当事人均可通过和解或者调解解决；不愿和解、调解或者和解、调解不成的，可以选择以下第</w:t>
      </w:r>
      <w:r>
        <w:rPr>
          <w:rFonts w:hint="eastAsia" w:ascii="仿宋" w:hAnsi="仿宋" w:eastAsia="仿宋" w:cs="仿宋"/>
          <w:b/>
          <w:i/>
          <w:color w:val="auto"/>
          <w:sz w:val="24"/>
          <w:highlight w:val="none"/>
          <w:u w:val="single"/>
        </w:rPr>
        <w:t xml:space="preserve">      </w:t>
      </w:r>
      <w:r>
        <w:rPr>
          <w:rFonts w:hint="eastAsia" w:ascii="仿宋" w:hAnsi="仿宋" w:eastAsia="仿宋" w:cs="仿宋"/>
          <w:color w:val="auto"/>
          <w:sz w:val="24"/>
          <w:highlight w:val="none"/>
        </w:rPr>
        <w:t>条款规定的方式解决：</w:t>
      </w:r>
    </w:p>
    <w:p>
      <w:pPr>
        <w:spacing w:line="560" w:lineRule="exact"/>
        <w:ind w:left="-420" w:leftChars="-200" w:right="-420" w:rightChars="-200" w:firstLine="600" w:firstLineChars="250"/>
        <w:rPr>
          <w:rFonts w:hint="eastAsia" w:ascii="仿宋" w:hAnsi="仿宋" w:eastAsia="仿宋" w:cs="仿宋"/>
          <w:color w:val="auto"/>
          <w:sz w:val="24"/>
          <w:highlight w:val="none"/>
        </w:rPr>
      </w:pPr>
      <w:r>
        <w:rPr>
          <w:rFonts w:hint="eastAsia" w:ascii="仿宋" w:hAnsi="仿宋" w:eastAsia="仿宋" w:cs="仿宋"/>
          <w:color w:val="auto"/>
          <w:sz w:val="24"/>
          <w:highlight w:val="none"/>
        </w:rPr>
        <w:t>1.9.1 将争议提交</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仲裁委员会依申请仲裁时其现行有效的仲裁规则裁决；</w:t>
      </w:r>
    </w:p>
    <w:p>
      <w:pPr>
        <w:spacing w:line="560" w:lineRule="exact"/>
        <w:ind w:left="-420" w:leftChars="-200" w:right="-420" w:rightChars="-200" w:firstLine="600" w:firstLineChars="250"/>
        <w:rPr>
          <w:rFonts w:hint="eastAsia" w:ascii="仿宋" w:hAnsi="仿宋" w:eastAsia="仿宋" w:cs="仿宋"/>
          <w:color w:val="auto"/>
          <w:sz w:val="24"/>
          <w:highlight w:val="none"/>
        </w:rPr>
      </w:pPr>
      <w:r>
        <w:rPr>
          <w:rFonts w:hint="eastAsia" w:ascii="仿宋" w:hAnsi="仿宋" w:eastAsia="仿宋" w:cs="仿宋"/>
          <w:color w:val="auto"/>
          <w:sz w:val="24"/>
          <w:highlight w:val="none"/>
        </w:rPr>
        <w:t>1.9.2 向</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人民法院起诉。</w:t>
      </w:r>
    </w:p>
    <w:p>
      <w:pPr>
        <w:spacing w:line="560" w:lineRule="exact"/>
        <w:ind w:firstLine="482" w:firstLineChars="200"/>
        <w:outlineLvl w:val="0"/>
        <w:rPr>
          <w:rFonts w:hint="eastAsia" w:ascii="仿宋" w:hAnsi="仿宋" w:eastAsia="仿宋" w:cs="仿宋"/>
          <w:b/>
          <w:color w:val="auto"/>
          <w:sz w:val="24"/>
          <w:highlight w:val="none"/>
        </w:rPr>
      </w:pPr>
      <w:bookmarkStart w:id="439" w:name="_Toc11173"/>
      <w:bookmarkStart w:id="440" w:name="_Toc15322"/>
      <w:bookmarkStart w:id="441" w:name="_Toc7245"/>
      <w:r>
        <w:rPr>
          <w:rFonts w:hint="eastAsia" w:ascii="仿宋" w:hAnsi="仿宋" w:eastAsia="仿宋" w:cs="仿宋"/>
          <w:b/>
          <w:color w:val="auto"/>
          <w:sz w:val="24"/>
          <w:highlight w:val="none"/>
        </w:rPr>
        <w:t>2.0 合同生效</w:t>
      </w:r>
      <w:bookmarkEnd w:id="439"/>
      <w:bookmarkEnd w:id="440"/>
      <w:bookmarkEnd w:id="441"/>
    </w:p>
    <w:p>
      <w:pPr>
        <w:spacing w:line="560" w:lineRule="exact"/>
        <w:ind w:firstLine="480" w:firstLineChars="200"/>
        <w:rPr>
          <w:rFonts w:hint="eastAsia" w:ascii="仿宋" w:hAnsi="仿宋" w:eastAsia="仿宋" w:cs="仿宋"/>
          <w:b/>
          <w:color w:val="auto"/>
          <w:sz w:val="24"/>
          <w:highlight w:val="none"/>
        </w:rPr>
      </w:pPr>
      <w:r>
        <w:rPr>
          <w:rFonts w:hint="eastAsia" w:ascii="仿宋" w:hAnsi="仿宋" w:eastAsia="仿宋" w:cs="仿宋"/>
          <w:color w:val="auto"/>
          <w:sz w:val="24"/>
          <w:highlight w:val="none"/>
        </w:rPr>
        <w:t>本合同自双方当事人盖章签字时生效。</w:t>
      </w:r>
    </w:p>
    <w:p>
      <w:pPr>
        <w:autoSpaceDE w:val="0"/>
        <w:autoSpaceDN w:val="0"/>
        <w:spacing w:line="560" w:lineRule="exact"/>
        <w:rPr>
          <w:rFonts w:hint="eastAsia" w:ascii="仿宋" w:hAnsi="仿宋" w:eastAsia="仿宋" w:cs="仿宋"/>
          <w:color w:val="auto"/>
          <w:sz w:val="24"/>
          <w:highlight w:val="none"/>
          <w:lang w:val="zh-CN"/>
        </w:rPr>
      </w:pPr>
    </w:p>
    <w:p>
      <w:pPr>
        <w:autoSpaceDE w:val="0"/>
        <w:autoSpaceDN w:val="0"/>
        <w:spacing w:line="560" w:lineRule="exact"/>
        <w:rPr>
          <w:rFonts w:hint="eastAsia" w:ascii="仿宋" w:hAnsi="仿宋" w:eastAsia="仿宋" w:cs="仿宋"/>
          <w:color w:val="auto"/>
          <w:sz w:val="24"/>
          <w:highlight w:val="none"/>
          <w:lang w:val="zh-CN"/>
        </w:rPr>
      </w:pPr>
      <w:r>
        <w:rPr>
          <w:rFonts w:hint="eastAsia" w:ascii="仿宋" w:hAnsi="仿宋" w:eastAsia="仿宋" w:cs="仿宋"/>
          <w:b/>
          <w:color w:val="auto"/>
          <w:sz w:val="24"/>
          <w:highlight w:val="none"/>
          <w:lang w:val="zh-CN"/>
        </w:rPr>
        <w:t>甲方</w:t>
      </w:r>
      <w:r>
        <w:rPr>
          <w:rFonts w:hint="eastAsia" w:ascii="仿宋" w:hAnsi="仿宋" w:eastAsia="仿宋" w:cs="仿宋"/>
          <w:color w:val="auto"/>
          <w:sz w:val="24"/>
          <w:highlight w:val="none"/>
          <w:lang w:val="zh-CN"/>
        </w:rPr>
        <w:t xml:space="preserve">：                             </w:t>
      </w:r>
      <w:r>
        <w:rPr>
          <w:rFonts w:hint="eastAsia" w:ascii="仿宋" w:hAnsi="仿宋" w:eastAsia="仿宋" w:cs="仿宋"/>
          <w:b/>
          <w:color w:val="auto"/>
          <w:sz w:val="24"/>
          <w:highlight w:val="none"/>
          <w:lang w:val="zh-CN"/>
        </w:rPr>
        <w:t xml:space="preserve">      乙方</w:t>
      </w:r>
      <w:r>
        <w:rPr>
          <w:rFonts w:hint="eastAsia" w:ascii="仿宋" w:hAnsi="仿宋" w:eastAsia="仿宋" w:cs="仿宋"/>
          <w:color w:val="auto"/>
          <w:sz w:val="24"/>
          <w:highlight w:val="none"/>
          <w:lang w:val="zh-CN"/>
        </w:rPr>
        <w:t>：</w:t>
      </w:r>
    </w:p>
    <w:p>
      <w:pPr>
        <w:autoSpaceDE w:val="0"/>
        <w:autoSpaceDN w:val="0"/>
        <w:spacing w:line="56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统一社会信用代码：                        统一社会信用代码或身份证号码：</w:t>
      </w:r>
    </w:p>
    <w:p>
      <w:pPr>
        <w:autoSpaceDE w:val="0"/>
        <w:autoSpaceDN w:val="0"/>
        <w:spacing w:line="560" w:lineRule="exact"/>
        <w:rPr>
          <w:rFonts w:hint="eastAsia" w:ascii="仿宋" w:hAnsi="仿宋" w:eastAsia="仿宋" w:cs="仿宋"/>
          <w:color w:val="auto"/>
          <w:sz w:val="24"/>
          <w:highlight w:val="none"/>
          <w:lang w:val="zh-CN"/>
        </w:rPr>
      </w:pPr>
    </w:p>
    <w:p>
      <w:pPr>
        <w:autoSpaceDE w:val="0"/>
        <w:autoSpaceDN w:val="0"/>
        <w:spacing w:line="56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住所：                                   住所：</w:t>
      </w:r>
    </w:p>
    <w:p>
      <w:pPr>
        <w:autoSpaceDE w:val="0"/>
        <w:autoSpaceDN w:val="0"/>
        <w:spacing w:line="56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法定代表人或                             法定代表人或</w:t>
      </w:r>
    </w:p>
    <w:p>
      <w:pPr>
        <w:autoSpaceDE w:val="0"/>
        <w:autoSpaceDN w:val="0"/>
        <w:spacing w:line="56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 xml:space="preserve">授权代表（签字）：                       授权代表（签字）: </w:t>
      </w:r>
    </w:p>
    <w:p>
      <w:pPr>
        <w:autoSpaceDE w:val="0"/>
        <w:autoSpaceDN w:val="0"/>
        <w:spacing w:line="56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联系人：                                 联系人：</w:t>
      </w:r>
    </w:p>
    <w:p>
      <w:pPr>
        <w:autoSpaceDE w:val="0"/>
        <w:autoSpaceDN w:val="0"/>
        <w:spacing w:line="56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约定送达地址：                           约定送达地址：</w:t>
      </w:r>
    </w:p>
    <w:p>
      <w:pPr>
        <w:autoSpaceDE w:val="0"/>
        <w:autoSpaceDN w:val="0"/>
        <w:spacing w:line="56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邮政编码：                               邮政编码：</w:t>
      </w:r>
    </w:p>
    <w:p>
      <w:pPr>
        <w:autoSpaceDE w:val="0"/>
        <w:autoSpaceDN w:val="0"/>
        <w:spacing w:line="56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 xml:space="preserve">电话:                                    电话: </w:t>
      </w:r>
    </w:p>
    <w:p>
      <w:pPr>
        <w:autoSpaceDE w:val="0"/>
        <w:autoSpaceDN w:val="0"/>
        <w:spacing w:line="56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传真:                                    传真:</w:t>
      </w:r>
    </w:p>
    <w:p>
      <w:pPr>
        <w:autoSpaceDE w:val="0"/>
        <w:autoSpaceDN w:val="0"/>
        <w:spacing w:line="5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lang w:val="zh-CN"/>
        </w:rPr>
        <w:t>电子邮箱：                               电子邮箱：</w:t>
      </w:r>
    </w:p>
    <w:p>
      <w:pPr>
        <w:autoSpaceDE w:val="0"/>
        <w:autoSpaceDN w:val="0"/>
        <w:spacing w:line="5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开户银行：                               开户银行： </w:t>
      </w:r>
    </w:p>
    <w:p>
      <w:pPr>
        <w:autoSpaceDE w:val="0"/>
        <w:autoSpaceDN w:val="0"/>
        <w:spacing w:line="5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开户名称：                               开户名称： </w:t>
      </w:r>
    </w:p>
    <w:p>
      <w:pPr>
        <w:autoSpaceDE w:val="0"/>
        <w:autoSpaceDN w:val="0"/>
        <w:spacing w:line="5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开户账号：</w:t>
      </w:r>
      <w:r>
        <w:rPr>
          <w:rFonts w:hint="eastAsia" w:ascii="仿宋" w:hAnsi="仿宋" w:eastAsia="仿宋" w:cs="仿宋"/>
          <w:color w:val="auto"/>
          <w:sz w:val="24"/>
          <w:highlight w:val="none"/>
          <w:lang w:val="zh-CN"/>
        </w:rPr>
        <w:t xml:space="preserve">                               </w:t>
      </w:r>
      <w:r>
        <w:rPr>
          <w:rFonts w:hint="eastAsia" w:ascii="仿宋" w:hAnsi="仿宋" w:eastAsia="仿宋" w:cs="仿宋"/>
          <w:color w:val="auto"/>
          <w:sz w:val="24"/>
          <w:highlight w:val="none"/>
        </w:rPr>
        <w:t>开户账号：</w:t>
      </w:r>
    </w:p>
    <w:p>
      <w:pPr>
        <w:widowControl/>
        <w:spacing w:line="560" w:lineRule="exact"/>
        <w:jc w:val="left"/>
        <w:rPr>
          <w:rFonts w:hint="eastAsia" w:ascii="仿宋" w:hAnsi="仿宋" w:eastAsia="仿宋" w:cs="仿宋"/>
          <w:b/>
          <w:color w:val="auto"/>
          <w:sz w:val="24"/>
          <w:highlight w:val="none"/>
        </w:rPr>
      </w:pPr>
    </w:p>
    <w:p>
      <w:pPr>
        <w:widowControl/>
        <w:adjustRightInd/>
        <w:jc w:val="left"/>
        <w:rPr>
          <w:rFonts w:hint="eastAsia" w:ascii="仿宋" w:hAnsi="仿宋" w:eastAsia="仿宋" w:cs="仿宋"/>
          <w:b/>
          <w:color w:val="auto"/>
          <w:sz w:val="24"/>
          <w:highlight w:val="none"/>
        </w:rPr>
      </w:pPr>
      <w:r>
        <w:rPr>
          <w:rFonts w:hint="eastAsia" w:ascii="仿宋" w:hAnsi="仿宋" w:eastAsia="仿宋" w:cs="仿宋"/>
          <w:b/>
          <w:color w:val="auto"/>
          <w:highlight w:val="none"/>
        </w:rPr>
        <w:br w:type="page"/>
      </w:r>
    </w:p>
    <w:p>
      <w:pPr>
        <w:pStyle w:val="385"/>
        <w:spacing w:line="560" w:lineRule="exact"/>
        <w:ind w:firstLine="482"/>
        <w:jc w:val="center"/>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第二部分 合同一般条款</w:t>
      </w:r>
    </w:p>
    <w:p>
      <w:pPr>
        <w:spacing w:line="560" w:lineRule="exact"/>
        <w:ind w:firstLine="482" w:firstLineChars="200"/>
        <w:outlineLvl w:val="0"/>
        <w:rPr>
          <w:rFonts w:hint="eastAsia" w:ascii="仿宋" w:hAnsi="仿宋" w:eastAsia="仿宋" w:cs="仿宋"/>
          <w:b/>
          <w:color w:val="auto"/>
          <w:sz w:val="24"/>
          <w:highlight w:val="none"/>
        </w:rPr>
      </w:pPr>
      <w:bookmarkStart w:id="442" w:name="_Toc31297"/>
      <w:bookmarkStart w:id="443" w:name="_Toc14021"/>
      <w:bookmarkStart w:id="444" w:name="_Toc25079"/>
      <w:bookmarkStart w:id="445" w:name="_Toc5228"/>
      <w:bookmarkStart w:id="446" w:name="_Toc19680"/>
      <w:r>
        <w:rPr>
          <w:rFonts w:hint="eastAsia" w:ascii="仿宋" w:hAnsi="仿宋" w:eastAsia="仿宋" w:cs="仿宋"/>
          <w:b/>
          <w:color w:val="auto"/>
          <w:sz w:val="24"/>
          <w:highlight w:val="none"/>
        </w:rPr>
        <w:t>2.1 定义</w:t>
      </w:r>
      <w:bookmarkEnd w:id="442"/>
      <w:bookmarkEnd w:id="443"/>
      <w:bookmarkEnd w:id="444"/>
      <w:bookmarkEnd w:id="445"/>
      <w:bookmarkEnd w:id="446"/>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本合同中的下列词语应按以下内容进行解释：</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 “合同”系指采购人和中标或成交供应商签订的载明双方当事人所达成的协议，并包括所有的附件、附录和构成合同的其他文件。</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2.1.2 “合同价”系指根据合同约定，中标或成交供应商在完全履行合同义务后，采购人应支付给中标或成交供应商的价格。</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2.1.3 “服务”系指中标或成交供应商根据合同约定应向采购人履行的除货物和工程以外的其他政府采购对象，包括采购人自身需要的服务和向社会公众提供的公共服务。</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2.1.4 “甲方”系指与中标或成交供应商签署合同的采购人；采购人委托采购代理机构代表其与乙方签订合同的，采购人的授权委托书作为合同附件。</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2.1.5 “乙方”系指根据合同约定提供服务的中标或成交供应商；两个以上的自然人、法人或者其他组织组成一个联合体，以一个供应商的身份共同参加政府采购的，联合体各方均应为乙方或者与乙方相同地位的合同当事人，并就合同约定的事项对甲方承担连带责任。</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2.1.6 “现场”系指合同约定提供服务的地点。</w:t>
      </w:r>
    </w:p>
    <w:p>
      <w:pPr>
        <w:spacing w:line="560" w:lineRule="exact"/>
        <w:ind w:firstLine="482" w:firstLineChars="200"/>
        <w:outlineLvl w:val="0"/>
        <w:rPr>
          <w:rFonts w:hint="eastAsia" w:ascii="仿宋" w:hAnsi="仿宋" w:eastAsia="仿宋" w:cs="仿宋"/>
          <w:b/>
          <w:color w:val="auto"/>
          <w:sz w:val="24"/>
          <w:highlight w:val="none"/>
        </w:rPr>
      </w:pPr>
      <w:bookmarkStart w:id="447" w:name="_Toc16752"/>
      <w:bookmarkStart w:id="448" w:name="_Toc19539"/>
      <w:bookmarkStart w:id="449" w:name="_Toc3769"/>
      <w:bookmarkStart w:id="450" w:name="_Toc31402"/>
      <w:bookmarkStart w:id="451" w:name="_Toc23289"/>
      <w:r>
        <w:rPr>
          <w:rFonts w:hint="eastAsia" w:ascii="仿宋" w:hAnsi="仿宋" w:eastAsia="仿宋" w:cs="仿宋"/>
          <w:b/>
          <w:color w:val="auto"/>
          <w:sz w:val="24"/>
          <w:highlight w:val="none"/>
        </w:rPr>
        <w:t>2.2 技术规范</w:t>
      </w:r>
      <w:bookmarkEnd w:id="447"/>
      <w:bookmarkEnd w:id="448"/>
      <w:bookmarkEnd w:id="449"/>
      <w:bookmarkEnd w:id="450"/>
      <w:bookmarkEnd w:id="451"/>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服务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pPr>
        <w:spacing w:line="560" w:lineRule="exact"/>
        <w:ind w:firstLine="482" w:firstLineChars="200"/>
        <w:outlineLvl w:val="0"/>
        <w:rPr>
          <w:rFonts w:hint="eastAsia" w:ascii="仿宋" w:hAnsi="仿宋" w:eastAsia="仿宋" w:cs="仿宋"/>
          <w:b/>
          <w:color w:val="auto"/>
          <w:sz w:val="24"/>
          <w:highlight w:val="none"/>
        </w:rPr>
      </w:pPr>
      <w:bookmarkStart w:id="452" w:name="_Toc4133"/>
      <w:bookmarkStart w:id="453" w:name="_Toc12412"/>
      <w:bookmarkStart w:id="454" w:name="_Toc27945"/>
      <w:bookmarkStart w:id="455" w:name="_Toc13673"/>
      <w:bookmarkStart w:id="456" w:name="_Toc9161"/>
      <w:r>
        <w:rPr>
          <w:rFonts w:hint="eastAsia" w:ascii="仿宋" w:hAnsi="仿宋" w:eastAsia="仿宋" w:cs="仿宋"/>
          <w:b/>
          <w:color w:val="auto"/>
          <w:sz w:val="24"/>
          <w:highlight w:val="none"/>
        </w:rPr>
        <w:t>2.3 知识产权</w:t>
      </w:r>
      <w:bookmarkEnd w:id="452"/>
      <w:bookmarkEnd w:id="453"/>
      <w:bookmarkEnd w:id="454"/>
      <w:bookmarkEnd w:id="455"/>
      <w:bookmarkEnd w:id="456"/>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2.3.1 乙方应保证其提供的服务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2.3.2 合同涉及技术成果的归属和收益的分成办法的，详见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pPr>
        <w:spacing w:line="56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2.4 履约检查和问题反馈</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2.4.1甲方有权在其认为必要时，对乙方是否能够按照合同约定提供服务进行履约检查，以确保乙方所提供的服务能够依约满足甲方之项目需求，但不得因履约检查妨碍乙方的正常工作，乙方应予积极配合；</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2.4.2 合同履行期间，甲方有权将履行过程中出现的问题反馈给乙方，双方当事人应以书面形式约定需要完善和改进的内容。</w:t>
      </w:r>
    </w:p>
    <w:p>
      <w:pPr>
        <w:spacing w:line="560" w:lineRule="exact"/>
        <w:ind w:firstLine="482" w:firstLineChars="200"/>
        <w:outlineLvl w:val="0"/>
        <w:rPr>
          <w:rFonts w:hint="eastAsia" w:ascii="仿宋" w:hAnsi="仿宋" w:eastAsia="仿宋" w:cs="仿宋"/>
          <w:b/>
          <w:color w:val="auto"/>
          <w:sz w:val="24"/>
          <w:highlight w:val="none"/>
        </w:rPr>
      </w:pPr>
      <w:bookmarkStart w:id="457" w:name="_Toc31233"/>
      <w:bookmarkStart w:id="458" w:name="_Toc15447"/>
      <w:bookmarkStart w:id="459" w:name="_Toc26555"/>
      <w:bookmarkStart w:id="460" w:name="_Toc32670"/>
      <w:bookmarkStart w:id="461" w:name="_Toc22011"/>
      <w:r>
        <w:rPr>
          <w:rFonts w:hint="eastAsia" w:ascii="仿宋" w:hAnsi="仿宋" w:eastAsia="仿宋" w:cs="仿宋"/>
          <w:b/>
          <w:color w:val="auto"/>
          <w:sz w:val="24"/>
          <w:highlight w:val="none"/>
        </w:rPr>
        <w:t>2.5 结算方式和付款条件</w:t>
      </w:r>
      <w:bookmarkEnd w:id="457"/>
      <w:bookmarkEnd w:id="458"/>
      <w:bookmarkEnd w:id="459"/>
      <w:bookmarkEnd w:id="460"/>
      <w:bookmarkEnd w:id="461"/>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pPr>
        <w:spacing w:line="560" w:lineRule="exact"/>
        <w:ind w:firstLine="482" w:firstLineChars="200"/>
        <w:outlineLvl w:val="0"/>
        <w:rPr>
          <w:rFonts w:hint="eastAsia" w:ascii="仿宋" w:hAnsi="仿宋" w:eastAsia="仿宋" w:cs="仿宋"/>
          <w:b/>
          <w:color w:val="auto"/>
          <w:sz w:val="24"/>
          <w:highlight w:val="none"/>
        </w:rPr>
      </w:pPr>
      <w:bookmarkStart w:id="462" w:name="_Toc18990"/>
      <w:bookmarkStart w:id="463" w:name="_Toc13467"/>
      <w:bookmarkStart w:id="464" w:name="_Toc13154"/>
      <w:bookmarkStart w:id="465" w:name="_Toc30507"/>
      <w:bookmarkStart w:id="466" w:name="_Toc16163"/>
      <w:r>
        <w:rPr>
          <w:rFonts w:hint="eastAsia" w:ascii="仿宋" w:hAnsi="仿宋" w:eastAsia="仿宋" w:cs="仿宋"/>
          <w:b/>
          <w:color w:val="auto"/>
          <w:sz w:val="24"/>
          <w:highlight w:val="none"/>
        </w:rPr>
        <w:t>2.6 技术资料和保密义务</w:t>
      </w:r>
      <w:bookmarkEnd w:id="462"/>
      <w:bookmarkEnd w:id="463"/>
      <w:bookmarkEnd w:id="464"/>
      <w:bookmarkEnd w:id="465"/>
      <w:bookmarkEnd w:id="466"/>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2.6.1 乙方有权依据合同约定和项目需要，向甲方了解有关情况，调阅有关资料等，甲方应予积极配合；</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2.6.2 乙方有义务妥善保管和保护由甲方提供的前款信息和资料等；</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pPr>
        <w:spacing w:line="560" w:lineRule="exact"/>
        <w:ind w:firstLine="482" w:firstLineChars="200"/>
        <w:outlineLvl w:val="0"/>
        <w:rPr>
          <w:rFonts w:hint="eastAsia" w:ascii="仿宋" w:hAnsi="仿宋" w:eastAsia="仿宋" w:cs="仿宋"/>
          <w:b/>
          <w:color w:val="auto"/>
          <w:sz w:val="24"/>
          <w:highlight w:val="none"/>
        </w:rPr>
      </w:pPr>
      <w:bookmarkStart w:id="467" w:name="_Toc19069"/>
      <w:r>
        <w:rPr>
          <w:rFonts w:hint="eastAsia" w:ascii="仿宋" w:hAnsi="仿宋" w:eastAsia="仿宋" w:cs="仿宋"/>
          <w:b/>
          <w:color w:val="auto"/>
          <w:sz w:val="24"/>
          <w:highlight w:val="none"/>
        </w:rPr>
        <w:t>2.7 质量保证</w:t>
      </w:r>
      <w:bookmarkEnd w:id="467"/>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2.7.1 乙方应建立和完善履行合同的内部质量保证体系，并提供相关内部规章制度给甲方，以便甲方进行监督检查；</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2.7.2 乙方应保证履行合同的人员数量和素质、软件和硬件设备的配置、场地、环境和设施等满足全面履行合同的要求，并应接受甲方的监督检查。</w:t>
      </w:r>
    </w:p>
    <w:p>
      <w:pPr>
        <w:spacing w:line="560" w:lineRule="exact"/>
        <w:ind w:firstLine="482" w:firstLineChars="200"/>
        <w:outlineLvl w:val="0"/>
        <w:rPr>
          <w:rFonts w:hint="eastAsia" w:ascii="仿宋" w:hAnsi="仿宋" w:eastAsia="仿宋" w:cs="仿宋"/>
          <w:b/>
          <w:color w:val="auto"/>
          <w:sz w:val="24"/>
          <w:highlight w:val="none"/>
        </w:rPr>
      </w:pPr>
      <w:bookmarkStart w:id="468" w:name="_Toc22267"/>
      <w:r>
        <w:rPr>
          <w:rFonts w:hint="eastAsia" w:ascii="仿宋" w:hAnsi="仿宋" w:eastAsia="仿宋" w:cs="仿宋"/>
          <w:b/>
          <w:color w:val="auto"/>
          <w:sz w:val="24"/>
          <w:highlight w:val="none"/>
        </w:rPr>
        <w:t>2.8 延迟履行</w:t>
      </w:r>
      <w:bookmarkEnd w:id="468"/>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甲乙双方签订合同后，乙方应按照合同约定履行合同义务，除不可抗力外，乙方不得延迟履行。在合同履行过程中，如果因不可抗力，乙方遇到不能按时提供服务的情况，应及时以书面形式将不能按时提供服务的理由、预期延误时间通知甲方；甲方收到乙方通知后，认为其理由正当的，可以书面形式酌情同意乙方可以延长履行的具体时间。</w:t>
      </w:r>
    </w:p>
    <w:p>
      <w:pPr>
        <w:spacing w:line="560" w:lineRule="exact"/>
        <w:ind w:firstLine="482" w:firstLineChars="200"/>
        <w:outlineLvl w:val="0"/>
        <w:rPr>
          <w:rFonts w:hint="eastAsia" w:ascii="仿宋" w:hAnsi="仿宋" w:eastAsia="仿宋" w:cs="仿宋"/>
          <w:b/>
          <w:color w:val="auto"/>
          <w:sz w:val="24"/>
          <w:highlight w:val="none"/>
        </w:rPr>
      </w:pPr>
      <w:bookmarkStart w:id="469" w:name="_Toc10611"/>
      <w:r>
        <w:rPr>
          <w:rFonts w:hint="eastAsia" w:ascii="仿宋" w:hAnsi="仿宋" w:eastAsia="仿宋" w:cs="仿宋"/>
          <w:b/>
          <w:color w:val="auto"/>
          <w:sz w:val="24"/>
          <w:highlight w:val="none"/>
        </w:rPr>
        <w:t>2.9 合同变更</w:t>
      </w:r>
      <w:bookmarkEnd w:id="469"/>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合同继续履行将损害国家利益和社会公共利益的，双方当事人应当以书面形式变更合同。有过错的一方应当承担赔偿责任，双方当事人都有过错的，各自承担相应的责任。</w:t>
      </w:r>
    </w:p>
    <w:p>
      <w:pPr>
        <w:spacing w:line="560" w:lineRule="exact"/>
        <w:ind w:firstLine="482" w:firstLineChars="200"/>
        <w:outlineLvl w:val="0"/>
        <w:rPr>
          <w:rFonts w:hint="eastAsia" w:ascii="仿宋" w:hAnsi="仿宋" w:eastAsia="仿宋" w:cs="仿宋"/>
          <w:b/>
          <w:color w:val="auto"/>
          <w:sz w:val="24"/>
          <w:highlight w:val="none"/>
        </w:rPr>
      </w:pPr>
      <w:bookmarkStart w:id="470" w:name="_Toc21830"/>
      <w:bookmarkStart w:id="471" w:name="_Toc42"/>
      <w:bookmarkStart w:id="472" w:name="_Toc10663"/>
      <w:bookmarkStart w:id="473" w:name="_Toc26689"/>
      <w:bookmarkStart w:id="474" w:name="_Toc23368"/>
      <w:r>
        <w:rPr>
          <w:rFonts w:hint="eastAsia" w:ascii="仿宋" w:hAnsi="仿宋" w:eastAsia="仿宋" w:cs="仿宋"/>
          <w:b/>
          <w:color w:val="auto"/>
          <w:sz w:val="24"/>
          <w:highlight w:val="none"/>
        </w:rPr>
        <w:t>2.10 合同转让和分包</w:t>
      </w:r>
      <w:bookmarkEnd w:id="470"/>
      <w:bookmarkEnd w:id="471"/>
      <w:bookmarkEnd w:id="472"/>
      <w:bookmarkEnd w:id="473"/>
      <w:bookmarkEnd w:id="474"/>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pPr>
        <w:spacing w:line="560" w:lineRule="exact"/>
        <w:ind w:firstLine="482" w:firstLineChars="200"/>
        <w:outlineLvl w:val="0"/>
        <w:rPr>
          <w:rFonts w:hint="eastAsia" w:ascii="仿宋" w:hAnsi="仿宋" w:eastAsia="仿宋" w:cs="仿宋"/>
          <w:b/>
          <w:color w:val="auto"/>
          <w:sz w:val="24"/>
          <w:highlight w:val="none"/>
        </w:rPr>
      </w:pPr>
      <w:bookmarkStart w:id="475" w:name="_Toc25571"/>
      <w:bookmarkStart w:id="476" w:name="_Toc32494"/>
      <w:bookmarkStart w:id="477" w:name="_Toc26633"/>
      <w:bookmarkStart w:id="478" w:name="_Toc4720"/>
      <w:bookmarkStart w:id="479" w:name="_Toc14371"/>
      <w:r>
        <w:rPr>
          <w:rFonts w:hint="eastAsia" w:ascii="仿宋" w:hAnsi="仿宋" w:eastAsia="仿宋" w:cs="仿宋"/>
          <w:b/>
          <w:color w:val="auto"/>
          <w:sz w:val="24"/>
          <w:highlight w:val="none"/>
        </w:rPr>
        <w:t>2.11 不可抗力</w:t>
      </w:r>
      <w:bookmarkEnd w:id="475"/>
      <w:bookmarkEnd w:id="476"/>
      <w:bookmarkEnd w:id="477"/>
      <w:bookmarkEnd w:id="478"/>
      <w:bookmarkEnd w:id="479"/>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2.11.1如果任何一方遭遇法律规定的不可抗力，致使合同履行受阻时，履行合同的期限应予延长，延长的期限应相当于不可抗力所影响的时间；</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2.11.2 因不可抗力致使不能实现合同目的的，当事人可以解除合同；</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2.11.3 因不可抗力致使合同有变更必要的，双方当事人应在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约定时间内以书面形式变更合同；</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2.11.4受不可抗力影响的一方在不可抗力发生后，应在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约定时间内以书面形式通知对方当事人，并在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约定时间内，将有关部门出具的证明文件送达对方当事人。</w:t>
      </w:r>
    </w:p>
    <w:p>
      <w:pPr>
        <w:spacing w:line="560" w:lineRule="exact"/>
        <w:ind w:firstLine="482" w:firstLineChars="200"/>
        <w:outlineLvl w:val="0"/>
        <w:rPr>
          <w:rFonts w:hint="eastAsia" w:ascii="仿宋" w:hAnsi="仿宋" w:eastAsia="仿宋" w:cs="仿宋"/>
          <w:b/>
          <w:color w:val="auto"/>
          <w:sz w:val="24"/>
          <w:highlight w:val="none"/>
        </w:rPr>
      </w:pPr>
      <w:bookmarkStart w:id="480" w:name="_Toc3638"/>
      <w:bookmarkStart w:id="481" w:name="_Toc14115"/>
      <w:bookmarkStart w:id="482" w:name="_Toc23854"/>
      <w:bookmarkStart w:id="483" w:name="_Toc24465"/>
      <w:bookmarkStart w:id="484" w:name="_Toc25783"/>
      <w:r>
        <w:rPr>
          <w:rFonts w:hint="eastAsia" w:ascii="仿宋" w:hAnsi="仿宋" w:eastAsia="仿宋" w:cs="仿宋"/>
          <w:b/>
          <w:color w:val="auto"/>
          <w:sz w:val="24"/>
          <w:highlight w:val="none"/>
        </w:rPr>
        <w:t>2.12 税费</w:t>
      </w:r>
      <w:bookmarkEnd w:id="480"/>
      <w:bookmarkEnd w:id="481"/>
      <w:bookmarkEnd w:id="482"/>
      <w:bookmarkEnd w:id="483"/>
      <w:bookmarkEnd w:id="484"/>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与合同有关的一切税费，均按照中华人民共和国法律的相关规定缴纳。</w:t>
      </w:r>
    </w:p>
    <w:p>
      <w:pPr>
        <w:spacing w:line="560" w:lineRule="exact"/>
        <w:ind w:firstLine="482" w:firstLineChars="200"/>
        <w:outlineLvl w:val="0"/>
        <w:rPr>
          <w:rFonts w:hint="eastAsia" w:ascii="仿宋" w:hAnsi="仿宋" w:eastAsia="仿宋" w:cs="仿宋"/>
          <w:b/>
          <w:color w:val="auto"/>
          <w:sz w:val="24"/>
          <w:highlight w:val="none"/>
        </w:rPr>
      </w:pPr>
      <w:bookmarkStart w:id="485" w:name="_Toc7315"/>
      <w:bookmarkStart w:id="486" w:name="_Toc14814"/>
      <w:bookmarkStart w:id="487" w:name="_Toc25525"/>
      <w:bookmarkStart w:id="488" w:name="_Toc30105"/>
      <w:bookmarkStart w:id="489" w:name="_Toc26883"/>
      <w:r>
        <w:rPr>
          <w:rFonts w:hint="eastAsia" w:ascii="仿宋" w:hAnsi="仿宋" w:eastAsia="仿宋" w:cs="仿宋"/>
          <w:b/>
          <w:color w:val="auto"/>
          <w:sz w:val="24"/>
          <w:highlight w:val="none"/>
        </w:rPr>
        <w:t>2.13 乙方破产</w:t>
      </w:r>
      <w:bookmarkEnd w:id="485"/>
      <w:bookmarkEnd w:id="486"/>
      <w:bookmarkEnd w:id="487"/>
      <w:bookmarkEnd w:id="488"/>
      <w:bookmarkEnd w:id="489"/>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pPr>
        <w:spacing w:line="560" w:lineRule="exact"/>
        <w:ind w:firstLine="482" w:firstLineChars="200"/>
        <w:outlineLvl w:val="0"/>
        <w:rPr>
          <w:rFonts w:hint="eastAsia" w:ascii="仿宋" w:hAnsi="仿宋" w:eastAsia="仿宋" w:cs="仿宋"/>
          <w:b/>
          <w:color w:val="auto"/>
          <w:sz w:val="24"/>
          <w:highlight w:val="none"/>
        </w:rPr>
      </w:pPr>
      <w:bookmarkStart w:id="490" w:name="_Toc1123"/>
      <w:bookmarkStart w:id="491" w:name="_Toc23323"/>
      <w:bookmarkStart w:id="492" w:name="_Toc2016"/>
      <w:r>
        <w:rPr>
          <w:rFonts w:hint="eastAsia" w:ascii="仿宋" w:hAnsi="仿宋" w:eastAsia="仿宋" w:cs="仿宋"/>
          <w:b/>
          <w:color w:val="auto"/>
          <w:sz w:val="24"/>
          <w:highlight w:val="none"/>
        </w:rPr>
        <w:t>2.14 合同中止、终止</w:t>
      </w:r>
      <w:bookmarkEnd w:id="490"/>
      <w:bookmarkEnd w:id="491"/>
      <w:bookmarkEnd w:id="492"/>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2.14.1 双方当事人不得擅自中止或者终止合同；</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2.14.2合同继续履行将损害国家利益和社会公共利益的，双方当事人应当中止或者终止合同。有过错的一方应当承担赔偿责任，双方当事人都有过错的，各自承担相应的责任。</w:t>
      </w:r>
    </w:p>
    <w:p>
      <w:pPr>
        <w:spacing w:line="560" w:lineRule="exact"/>
        <w:ind w:firstLine="482" w:firstLineChars="200"/>
        <w:outlineLvl w:val="0"/>
        <w:rPr>
          <w:rFonts w:hint="eastAsia" w:ascii="仿宋" w:hAnsi="仿宋" w:eastAsia="仿宋" w:cs="仿宋"/>
          <w:b/>
          <w:color w:val="auto"/>
          <w:sz w:val="24"/>
          <w:highlight w:val="none"/>
        </w:rPr>
      </w:pPr>
      <w:bookmarkStart w:id="493" w:name="_Toc14525"/>
      <w:bookmarkStart w:id="494" w:name="_Toc1969"/>
      <w:bookmarkStart w:id="495" w:name="_Toc17363"/>
      <w:r>
        <w:rPr>
          <w:rFonts w:hint="eastAsia" w:ascii="仿宋" w:hAnsi="仿宋" w:eastAsia="仿宋" w:cs="仿宋"/>
          <w:b/>
          <w:color w:val="auto"/>
          <w:sz w:val="24"/>
          <w:highlight w:val="none"/>
        </w:rPr>
        <w:t>2.15 检验和验收</w:t>
      </w:r>
      <w:bookmarkEnd w:id="493"/>
      <w:bookmarkEnd w:id="494"/>
      <w:bookmarkEnd w:id="495"/>
    </w:p>
    <w:p>
      <w:pPr>
        <w:tabs>
          <w:tab w:val="left" w:pos="360"/>
          <w:tab w:val="left" w:pos="540"/>
          <w:tab w:val="left" w:pos="1080"/>
        </w:tabs>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2.15.1 乙方按照</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的约定，定期提交服务报告，甲方按照</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的约定进行定期验收；</w:t>
      </w:r>
    </w:p>
    <w:p>
      <w:pPr>
        <w:tabs>
          <w:tab w:val="left" w:pos="360"/>
          <w:tab w:val="left" w:pos="540"/>
          <w:tab w:val="left" w:pos="1080"/>
        </w:tabs>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2.15.2 合同期满或者履行完毕后，甲方有权组织（包括依法邀请国家认可的质量检测机构参加）对乙方履约的验收，即：按照合同约定的标准，组织对乙方履约情况的验收，并出具验收书；向社会公众提供的公共服务项目，验收时应当邀请服务对象参与并出具意见，验收结果应当向社会公告；</w:t>
      </w:r>
    </w:p>
    <w:p>
      <w:pPr>
        <w:tabs>
          <w:tab w:val="left" w:pos="360"/>
          <w:tab w:val="left" w:pos="540"/>
          <w:tab w:val="left" w:pos="1080"/>
        </w:tabs>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2.15.3 检验和验收标准、程序等具体内容以及前述验收书的效力详见</w:t>
      </w:r>
      <w:r>
        <w:rPr>
          <w:rFonts w:hint="eastAsia" w:ascii="仿宋" w:hAnsi="仿宋" w:eastAsia="仿宋" w:cs="仿宋"/>
          <w:b/>
          <w:i/>
          <w:color w:val="auto"/>
          <w:sz w:val="24"/>
          <w:highlight w:val="none"/>
          <w:u w:val="single"/>
        </w:rPr>
        <w:t>合同专用条款</w:t>
      </w:r>
      <w:r>
        <w:rPr>
          <w:rFonts w:hint="eastAsia" w:ascii="仿宋" w:hAnsi="仿宋" w:eastAsia="仿宋" w:cs="仿宋"/>
          <w:i/>
          <w:color w:val="auto"/>
          <w:sz w:val="24"/>
          <w:highlight w:val="none"/>
        </w:rPr>
        <w:t>。</w:t>
      </w:r>
    </w:p>
    <w:p>
      <w:pPr>
        <w:spacing w:line="560" w:lineRule="exact"/>
        <w:ind w:firstLine="482" w:firstLineChars="200"/>
        <w:outlineLvl w:val="0"/>
        <w:rPr>
          <w:rFonts w:hint="eastAsia" w:ascii="仿宋" w:hAnsi="仿宋" w:eastAsia="仿宋" w:cs="仿宋"/>
          <w:b/>
          <w:color w:val="auto"/>
          <w:sz w:val="24"/>
          <w:highlight w:val="none"/>
        </w:rPr>
      </w:pPr>
      <w:bookmarkStart w:id="496" w:name="_Toc2308"/>
      <w:bookmarkStart w:id="497" w:name="_Toc9808"/>
      <w:bookmarkStart w:id="498" w:name="_Toc31892"/>
      <w:bookmarkStart w:id="499" w:name="_Toc25198"/>
      <w:bookmarkStart w:id="500" w:name="_Toc12666"/>
      <w:r>
        <w:rPr>
          <w:rFonts w:hint="eastAsia" w:ascii="仿宋" w:hAnsi="仿宋" w:eastAsia="仿宋" w:cs="仿宋"/>
          <w:b/>
          <w:color w:val="auto"/>
          <w:sz w:val="24"/>
          <w:highlight w:val="none"/>
        </w:rPr>
        <w:t>2.16 通知和送达</w:t>
      </w:r>
      <w:bookmarkEnd w:id="496"/>
      <w:bookmarkEnd w:id="497"/>
      <w:bookmarkEnd w:id="498"/>
      <w:bookmarkEnd w:id="499"/>
      <w:bookmarkEnd w:id="500"/>
    </w:p>
    <w:p>
      <w:pPr>
        <w:spacing w:line="560" w:lineRule="exact"/>
        <w:ind w:firstLine="480" w:firstLineChars="200"/>
        <w:rPr>
          <w:rFonts w:hint="eastAsia" w:ascii="仿宋" w:hAnsi="仿宋" w:eastAsia="仿宋" w:cs="仿宋"/>
          <w:color w:val="auto"/>
          <w:sz w:val="24"/>
          <w:highlight w:val="none"/>
        </w:rPr>
      </w:pPr>
      <w:bookmarkStart w:id="501" w:name="_Toc27674"/>
      <w:bookmarkStart w:id="502" w:name="_Toc18401"/>
      <w:r>
        <w:rPr>
          <w:rFonts w:hint="eastAsia" w:ascii="仿宋" w:hAnsi="仿宋" w:eastAsia="仿宋" w:cs="仿宋"/>
          <w:color w:val="auto"/>
          <w:sz w:val="24"/>
          <w:highlight w:val="none"/>
        </w:rPr>
        <w:t xml:space="preserve">2.17.1任何一方因履行合同而以合同第一部分尾部所列明的传真或电子邮件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发出的所有通知、文件、材料，均视为已向对方当事人送达；任何一方变更上述送达方式或者地址的，应于</w:t>
      </w:r>
      <w:r>
        <w:rPr>
          <w:rFonts w:hint="eastAsia" w:ascii="仿宋" w:hAnsi="仿宋" w:eastAsia="仿宋" w:cs="仿宋"/>
          <w:color w:val="auto"/>
          <w:sz w:val="24"/>
          <w:highlight w:val="none"/>
          <w:u w:val="single"/>
        </w:rPr>
        <w:t>3</w:t>
      </w:r>
      <w:r>
        <w:rPr>
          <w:rFonts w:hint="eastAsia" w:ascii="仿宋" w:hAnsi="仿宋" w:eastAsia="仿宋" w:cs="仿宋"/>
          <w:color w:val="auto"/>
          <w:sz w:val="24"/>
          <w:highlight w:val="none"/>
        </w:rPr>
        <w:t>个工作日内书面通知对方当事人，在对方当事人收到有关变更通知之前，变更前的约定送达方式或者地址仍视为有效。</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501"/>
      <w:bookmarkEnd w:id="502"/>
    </w:p>
    <w:p>
      <w:pPr>
        <w:spacing w:line="560" w:lineRule="exact"/>
        <w:ind w:firstLine="482" w:firstLineChars="200"/>
        <w:outlineLvl w:val="0"/>
        <w:rPr>
          <w:rFonts w:hint="eastAsia" w:ascii="仿宋" w:hAnsi="仿宋" w:eastAsia="仿宋" w:cs="仿宋"/>
          <w:b/>
          <w:color w:val="auto"/>
          <w:sz w:val="24"/>
          <w:highlight w:val="none"/>
        </w:rPr>
      </w:pPr>
      <w:bookmarkStart w:id="503" w:name="_Toc5063"/>
      <w:bookmarkStart w:id="504" w:name="_Toc27644"/>
      <w:bookmarkStart w:id="505" w:name="_Toc12254"/>
      <w:bookmarkStart w:id="506" w:name="_Toc28906"/>
      <w:bookmarkStart w:id="507" w:name="_Toc20808"/>
      <w:r>
        <w:rPr>
          <w:rFonts w:hint="eastAsia" w:ascii="仿宋" w:hAnsi="仿宋" w:eastAsia="仿宋" w:cs="仿宋"/>
          <w:b/>
          <w:color w:val="auto"/>
          <w:sz w:val="24"/>
          <w:highlight w:val="none"/>
        </w:rPr>
        <w:t>2.17 合同使用的文字和适用的法律</w:t>
      </w:r>
      <w:bookmarkEnd w:id="503"/>
      <w:bookmarkEnd w:id="504"/>
      <w:bookmarkEnd w:id="505"/>
      <w:bookmarkEnd w:id="506"/>
      <w:bookmarkEnd w:id="507"/>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2.17.1 合同使用汉语书就、变更和解释；</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2.17.2 合同适用中华人民共和国法律。</w:t>
      </w:r>
    </w:p>
    <w:p>
      <w:pPr>
        <w:spacing w:line="560" w:lineRule="exact"/>
        <w:ind w:firstLine="482" w:firstLineChars="200"/>
        <w:outlineLvl w:val="0"/>
        <w:rPr>
          <w:rFonts w:hint="eastAsia" w:ascii="仿宋" w:hAnsi="仿宋" w:eastAsia="仿宋" w:cs="仿宋"/>
          <w:b/>
          <w:color w:val="auto"/>
          <w:sz w:val="24"/>
          <w:highlight w:val="none"/>
        </w:rPr>
      </w:pPr>
      <w:bookmarkStart w:id="508" w:name="_Toc18540"/>
      <w:bookmarkStart w:id="509" w:name="_Toc30599"/>
      <w:bookmarkStart w:id="510" w:name="_Toc4355"/>
      <w:r>
        <w:rPr>
          <w:rFonts w:hint="eastAsia" w:ascii="仿宋" w:hAnsi="仿宋" w:eastAsia="仿宋" w:cs="仿宋"/>
          <w:b/>
          <w:color w:val="auto"/>
          <w:sz w:val="24"/>
          <w:highlight w:val="none"/>
        </w:rPr>
        <w:t>2.18 计量单位</w:t>
      </w:r>
      <w:bookmarkEnd w:id="508"/>
      <w:bookmarkEnd w:id="509"/>
      <w:bookmarkEnd w:id="510"/>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除技术规范中另有规定外,合同的计量单位均使用国家法定计量单位。</w:t>
      </w:r>
    </w:p>
    <w:p>
      <w:pPr>
        <w:spacing w:line="56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2.19合同份数</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合同份数按</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规定，每份均具有同等法律效力。</w:t>
      </w:r>
    </w:p>
    <w:p>
      <w:pPr>
        <w:spacing w:line="360" w:lineRule="auto"/>
        <w:jc w:val="center"/>
        <w:outlineLvl w:val="0"/>
        <w:rPr>
          <w:rFonts w:hint="eastAsia" w:ascii="仿宋" w:hAnsi="仿宋" w:eastAsia="仿宋" w:cs="仿宋"/>
          <w:b/>
          <w:color w:val="auto"/>
          <w:sz w:val="24"/>
          <w:highlight w:val="none"/>
        </w:rPr>
      </w:pPr>
      <w:r>
        <w:rPr>
          <w:rFonts w:hint="eastAsia" w:ascii="仿宋" w:hAnsi="仿宋" w:eastAsia="仿宋" w:cs="仿宋"/>
          <w:color w:val="auto"/>
          <w:kern w:val="0"/>
          <w:highlight w:val="none"/>
        </w:rPr>
        <w:br w:type="page"/>
      </w:r>
      <w:bookmarkStart w:id="511" w:name="_Toc331685784"/>
      <w:r>
        <w:rPr>
          <w:rFonts w:hint="eastAsia" w:ascii="仿宋" w:hAnsi="仿宋" w:eastAsia="仿宋" w:cs="仿宋"/>
          <w:b/>
          <w:color w:val="auto"/>
          <w:sz w:val="24"/>
          <w:highlight w:val="none"/>
        </w:rPr>
        <w:t xml:space="preserve"> </w:t>
      </w:r>
      <w:bookmarkEnd w:id="511"/>
      <w:r>
        <w:rPr>
          <w:rFonts w:hint="eastAsia" w:ascii="仿宋" w:hAnsi="仿宋" w:eastAsia="仿宋" w:cs="仿宋"/>
          <w:b/>
          <w:color w:val="auto"/>
          <w:sz w:val="24"/>
          <w:highlight w:val="none"/>
        </w:rPr>
        <w:t>第三部分  合同专用条款</w:t>
      </w:r>
    </w:p>
    <w:p>
      <w:pPr>
        <w:spacing w:line="560" w:lineRule="exact"/>
        <w:ind w:left="-420" w:leftChars="-200" w:right="-420" w:rightChars="-200" w:firstLine="480" w:firstLineChars="200"/>
        <w:rPr>
          <w:rFonts w:hint="eastAsia" w:ascii="仿宋" w:hAnsi="仿宋" w:eastAsia="仿宋" w:cs="仿宋"/>
          <w:color w:val="auto"/>
          <w:highlight w:val="none"/>
        </w:rPr>
      </w:pPr>
      <w:r>
        <w:rPr>
          <w:rFonts w:hint="eastAsia" w:ascii="仿宋" w:hAnsi="仿宋" w:eastAsia="仿宋" w:cs="仿宋"/>
          <w:color w:val="auto"/>
          <w:sz w:val="24"/>
          <w:highlight w:val="none"/>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2"/>
        <w:tblW w:w="9126"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977"/>
        <w:gridCol w:w="8149"/>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91" w:hRule="atLeast"/>
        </w:trPr>
        <w:tc>
          <w:tcPr>
            <w:tcW w:w="977" w:type="dxa"/>
            <w:tcBorders>
              <w:left w:val="single" w:color="auto" w:sz="4" w:space="0"/>
            </w:tcBorders>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条款号</w:t>
            </w:r>
          </w:p>
        </w:tc>
        <w:tc>
          <w:tcPr>
            <w:tcW w:w="8149" w:type="dxa"/>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约定内容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977"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1.3.2</w:t>
            </w:r>
          </w:p>
        </w:tc>
        <w:tc>
          <w:tcPr>
            <w:tcW w:w="8149" w:type="dxa"/>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977"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1.4.2</w:t>
            </w:r>
          </w:p>
        </w:tc>
        <w:tc>
          <w:tcPr>
            <w:tcW w:w="8149" w:type="dxa"/>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977"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1.5.1 </w:t>
            </w:r>
          </w:p>
        </w:tc>
        <w:tc>
          <w:tcPr>
            <w:tcW w:w="8149" w:type="dxa"/>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977"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1.5.2</w:t>
            </w:r>
          </w:p>
        </w:tc>
        <w:tc>
          <w:tcPr>
            <w:tcW w:w="8149" w:type="dxa"/>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977"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1.5.3 </w:t>
            </w:r>
          </w:p>
        </w:tc>
        <w:tc>
          <w:tcPr>
            <w:tcW w:w="8149" w:type="dxa"/>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977"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1.6.2</w:t>
            </w:r>
          </w:p>
        </w:tc>
        <w:tc>
          <w:tcPr>
            <w:tcW w:w="8149" w:type="dxa"/>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977"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1.7.1</w:t>
            </w:r>
          </w:p>
        </w:tc>
        <w:tc>
          <w:tcPr>
            <w:tcW w:w="8149" w:type="dxa"/>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977"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1.7.2</w:t>
            </w:r>
          </w:p>
        </w:tc>
        <w:tc>
          <w:tcPr>
            <w:tcW w:w="8149" w:type="dxa"/>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977"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1.7.3</w:t>
            </w:r>
          </w:p>
        </w:tc>
        <w:tc>
          <w:tcPr>
            <w:tcW w:w="8149" w:type="dxa"/>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977"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1.7.4.1</w:t>
            </w:r>
          </w:p>
        </w:tc>
        <w:tc>
          <w:tcPr>
            <w:tcW w:w="8149" w:type="dxa"/>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977"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1.7.4.2</w:t>
            </w:r>
          </w:p>
        </w:tc>
        <w:tc>
          <w:tcPr>
            <w:tcW w:w="8149" w:type="dxa"/>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977"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1.7.4.3</w:t>
            </w:r>
          </w:p>
        </w:tc>
        <w:tc>
          <w:tcPr>
            <w:tcW w:w="8149" w:type="dxa"/>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977"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1.8.7</w:t>
            </w:r>
          </w:p>
        </w:tc>
        <w:tc>
          <w:tcPr>
            <w:tcW w:w="8149" w:type="dxa"/>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977"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1.9.1</w:t>
            </w:r>
          </w:p>
        </w:tc>
        <w:tc>
          <w:tcPr>
            <w:tcW w:w="8149" w:type="dxa"/>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977"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1.9.2</w:t>
            </w:r>
          </w:p>
        </w:tc>
        <w:tc>
          <w:tcPr>
            <w:tcW w:w="8149" w:type="dxa"/>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977"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2.3.2</w:t>
            </w:r>
          </w:p>
        </w:tc>
        <w:tc>
          <w:tcPr>
            <w:tcW w:w="8149" w:type="dxa"/>
            <w:vAlign w:val="center"/>
          </w:tcPr>
          <w:p>
            <w:pPr>
              <w:spacing w:line="360" w:lineRule="auto"/>
              <w:ind w:left="-420" w:leftChars="-200" w:right="-420" w:rightChars="-200" w:firstLine="480" w:firstLineChars="200"/>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977"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2.5</w:t>
            </w:r>
          </w:p>
        </w:tc>
        <w:tc>
          <w:tcPr>
            <w:tcW w:w="8149" w:type="dxa"/>
            <w:vAlign w:val="center"/>
          </w:tcPr>
          <w:p>
            <w:pPr>
              <w:spacing w:line="360" w:lineRule="auto"/>
              <w:ind w:left="-420" w:leftChars="-200" w:right="-420" w:rightChars="-200" w:firstLine="480" w:firstLineChars="200"/>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977"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2.11.3</w:t>
            </w:r>
          </w:p>
        </w:tc>
        <w:tc>
          <w:tcPr>
            <w:tcW w:w="8149" w:type="dxa"/>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977" w:type="dxa"/>
            <w:tcBorders>
              <w:left w:val="single" w:color="auto" w:sz="4" w:space="0"/>
            </w:tcBorders>
            <w:vAlign w:val="top"/>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2.11.4 </w:t>
            </w:r>
          </w:p>
        </w:tc>
        <w:tc>
          <w:tcPr>
            <w:tcW w:w="8149" w:type="dxa"/>
            <w:vAlign w:val="top"/>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977"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2.15.1</w:t>
            </w:r>
          </w:p>
        </w:tc>
        <w:tc>
          <w:tcPr>
            <w:tcW w:w="8149" w:type="dxa"/>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977"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2.15.3</w:t>
            </w:r>
          </w:p>
        </w:tc>
        <w:tc>
          <w:tcPr>
            <w:tcW w:w="8149" w:type="dxa"/>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trPr>
        <w:tc>
          <w:tcPr>
            <w:tcW w:w="977" w:type="dxa"/>
            <w:tcBorders>
              <w:left w:val="single" w:color="auto" w:sz="4" w:space="0"/>
            </w:tcBorders>
            <w:vAlign w:val="top"/>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2.19</w:t>
            </w:r>
          </w:p>
        </w:tc>
        <w:tc>
          <w:tcPr>
            <w:tcW w:w="8149" w:type="dxa"/>
            <w:vAlign w:val="top"/>
          </w:tcPr>
          <w:p>
            <w:pPr>
              <w:spacing w:line="360" w:lineRule="auto"/>
              <w:rPr>
                <w:rFonts w:hint="eastAsia" w:ascii="仿宋" w:hAnsi="仿宋" w:eastAsia="仿宋" w:cs="仿宋"/>
                <w:color w:val="auto"/>
                <w:sz w:val="24"/>
                <w:highlight w:val="none"/>
              </w:rPr>
            </w:pPr>
          </w:p>
        </w:tc>
      </w:tr>
    </w:tbl>
    <w:p>
      <w:pPr>
        <w:spacing w:line="360" w:lineRule="auto"/>
        <w:ind w:left="-420" w:leftChars="-200" w:right="-420" w:rightChars="-200" w:firstLine="480" w:firstLineChars="200"/>
        <w:rPr>
          <w:rFonts w:hint="eastAsia" w:ascii="仿宋" w:hAnsi="仿宋" w:eastAsia="仿宋" w:cs="仿宋"/>
          <w:color w:val="auto"/>
          <w:sz w:val="24"/>
          <w:highlight w:val="none"/>
        </w:rPr>
      </w:pPr>
    </w:p>
    <w:p>
      <w:pPr>
        <w:spacing w:line="360" w:lineRule="auto"/>
        <w:ind w:left="-420" w:leftChars="-200" w:right="-420" w:rightChars="-200" w:firstLine="480" w:firstLineChars="200"/>
        <w:jc w:val="center"/>
        <w:outlineLvl w:val="0"/>
        <w:rPr>
          <w:rFonts w:hint="eastAsia" w:ascii="仿宋" w:hAnsi="仿宋" w:eastAsia="仿宋" w:cs="仿宋"/>
          <w:color w:val="auto"/>
          <w:sz w:val="24"/>
          <w:highlight w:val="none"/>
        </w:rPr>
      </w:pPr>
    </w:p>
    <w:p>
      <w:pPr>
        <w:widowControl/>
        <w:adjustRightInd/>
        <w:spacing w:line="480" w:lineRule="auto"/>
        <w:jc w:val="center"/>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第六部分</w:t>
      </w:r>
      <w:bookmarkEnd w:id="396"/>
      <w:r>
        <w:rPr>
          <w:rFonts w:hint="eastAsia" w:ascii="仿宋" w:hAnsi="仿宋" w:eastAsia="仿宋" w:cs="仿宋"/>
          <w:b/>
          <w:color w:val="auto"/>
          <w:sz w:val="36"/>
          <w:szCs w:val="20"/>
          <w:highlight w:val="none"/>
        </w:rPr>
        <w:t xml:space="preserve"> </w:t>
      </w:r>
      <w:bookmarkEnd w:id="397"/>
      <w:r>
        <w:rPr>
          <w:rFonts w:hint="eastAsia" w:ascii="仿宋" w:hAnsi="仿宋" w:eastAsia="仿宋" w:cs="仿宋"/>
          <w:b/>
          <w:color w:val="auto"/>
          <w:sz w:val="36"/>
          <w:szCs w:val="20"/>
          <w:highlight w:val="none"/>
        </w:rPr>
        <w:t>应提交的有关格式范例</w:t>
      </w:r>
    </w:p>
    <w:p>
      <w:pPr>
        <w:spacing w:line="480" w:lineRule="auto"/>
        <w:jc w:val="center"/>
        <w:outlineLvl w:val="0"/>
        <w:rPr>
          <w:rFonts w:hint="eastAsia" w:ascii="仿宋" w:hAnsi="仿宋" w:eastAsia="仿宋" w:cs="仿宋"/>
          <w:b/>
          <w:color w:val="auto"/>
          <w:kern w:val="0"/>
          <w:sz w:val="36"/>
          <w:szCs w:val="36"/>
          <w:highlight w:val="none"/>
        </w:rPr>
      </w:pPr>
    </w:p>
    <w:p>
      <w:pPr>
        <w:spacing w:line="48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资格文件部分</w:t>
      </w:r>
    </w:p>
    <w:p>
      <w:pPr>
        <w:spacing w:line="48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pPr>
        <w:spacing w:line="480" w:lineRule="auto"/>
        <w:jc w:val="center"/>
        <w:outlineLvl w:val="0"/>
        <w:rPr>
          <w:rFonts w:hint="eastAsia" w:ascii="仿宋" w:hAnsi="仿宋" w:eastAsia="仿宋" w:cs="仿宋"/>
          <w:b/>
          <w:color w:val="auto"/>
          <w:kern w:val="0"/>
          <w:sz w:val="36"/>
          <w:szCs w:val="36"/>
          <w:highlight w:val="none"/>
        </w:rPr>
      </w:pPr>
    </w:p>
    <w:p>
      <w:pPr>
        <w:snapToGrid w:val="0"/>
        <w:spacing w:line="48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（1）符合参加政府采购活动应当具备的一般条件的承诺函……………（页码）</w:t>
      </w:r>
    </w:p>
    <w:p>
      <w:pPr>
        <w:snapToGrid w:val="0"/>
        <w:spacing w:line="480" w:lineRule="auto"/>
        <w:rPr>
          <w:rFonts w:hint="eastAsia" w:ascii="仿宋" w:hAnsi="仿宋" w:eastAsia="仿宋" w:cs="仿宋"/>
          <w:color w:val="auto"/>
          <w:sz w:val="24"/>
          <w:highlight w:val="none"/>
        </w:rPr>
      </w:pPr>
      <w:r>
        <w:rPr>
          <w:rFonts w:hint="eastAsia" w:ascii="仿宋" w:hAnsi="仿宋" w:eastAsia="仿宋" w:cs="仿宋"/>
          <w:snapToGrid w:val="0"/>
          <w:color w:val="auto"/>
          <w:kern w:val="28"/>
          <w:sz w:val="24"/>
          <w:szCs w:val="20"/>
          <w:highlight w:val="none"/>
        </w:rPr>
        <w:t>（2）联合协议</w:t>
      </w:r>
      <w:r>
        <w:rPr>
          <w:rFonts w:hint="eastAsia" w:ascii="仿宋" w:hAnsi="仿宋" w:eastAsia="仿宋" w:cs="仿宋"/>
          <w:color w:val="auto"/>
          <w:sz w:val="24"/>
          <w:highlight w:val="none"/>
        </w:rPr>
        <w:t>………………………………………………………………（页码）</w:t>
      </w:r>
    </w:p>
    <w:p>
      <w:pPr>
        <w:snapToGrid w:val="0"/>
        <w:spacing w:line="48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（3）落实政府采购政策需满足的资格要求………………………………（页码）</w:t>
      </w:r>
    </w:p>
    <w:p>
      <w:pPr>
        <w:snapToGrid w:val="0"/>
        <w:spacing w:line="48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（4）本项目的特定资格要求………………………………………………（页码）</w:t>
      </w:r>
    </w:p>
    <w:p>
      <w:pPr>
        <w:snapToGrid w:val="0"/>
        <w:spacing w:line="480" w:lineRule="auto"/>
        <w:ind w:firstLine="480" w:firstLineChars="200"/>
        <w:rPr>
          <w:rFonts w:hint="eastAsia" w:ascii="仿宋" w:hAnsi="仿宋" w:eastAsia="仿宋" w:cs="仿宋"/>
          <w:color w:val="auto"/>
          <w:sz w:val="24"/>
          <w:highlight w:val="none"/>
        </w:rPr>
      </w:pPr>
    </w:p>
    <w:p>
      <w:pPr>
        <w:spacing w:line="360" w:lineRule="auto"/>
        <w:ind w:firstLine="480" w:firstLineChars="200"/>
        <w:rPr>
          <w:rFonts w:hint="eastAsia" w:ascii="仿宋" w:hAnsi="仿宋" w:eastAsia="仿宋" w:cs="仿宋"/>
          <w:color w:val="auto"/>
          <w:sz w:val="24"/>
          <w:highlight w:val="none"/>
        </w:rPr>
      </w:pPr>
    </w:p>
    <w:p>
      <w:pPr>
        <w:snapToGrid w:val="0"/>
        <w:spacing w:line="480" w:lineRule="auto"/>
        <w:ind w:right="480"/>
        <w:jc w:val="center"/>
        <w:rPr>
          <w:rFonts w:hint="eastAsia" w:ascii="仿宋" w:hAnsi="仿宋" w:eastAsia="仿宋" w:cs="仿宋"/>
          <w:b/>
          <w:color w:val="auto"/>
          <w:kern w:val="0"/>
          <w:sz w:val="32"/>
          <w:szCs w:val="32"/>
          <w:highlight w:val="none"/>
        </w:rPr>
      </w:pPr>
      <w:r>
        <w:rPr>
          <w:rFonts w:hint="eastAsia" w:ascii="仿宋" w:hAnsi="仿宋" w:eastAsia="仿宋" w:cs="仿宋"/>
          <w:color w:val="auto"/>
          <w:kern w:val="0"/>
          <w:sz w:val="24"/>
          <w:highlight w:val="none"/>
        </w:rPr>
        <w:br w:type="page"/>
      </w:r>
      <w:r>
        <w:rPr>
          <w:rFonts w:hint="eastAsia" w:ascii="仿宋" w:hAnsi="仿宋" w:eastAsia="仿宋" w:cs="仿宋"/>
          <w:b/>
          <w:color w:val="auto"/>
          <w:kern w:val="0"/>
          <w:sz w:val="32"/>
          <w:szCs w:val="32"/>
          <w:highlight w:val="none"/>
        </w:rPr>
        <w:t xml:space="preserve">  一、 符合参加政府采购活动应当具备的一般条件的承诺函</w:t>
      </w:r>
    </w:p>
    <w:p>
      <w:pPr>
        <w:snapToGrid w:val="0"/>
        <w:spacing w:line="48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杭州市余杭区人民政府余杭街道办事处</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eastAsia="zh-CN"/>
        </w:rPr>
        <w:t>杭州天坤建设咨询有限公司</w:t>
      </w:r>
      <w:r>
        <w:rPr>
          <w:rFonts w:hint="eastAsia" w:ascii="仿宋" w:hAnsi="仿宋" w:eastAsia="仿宋" w:cs="仿宋"/>
          <w:color w:val="auto"/>
          <w:sz w:val="24"/>
          <w:highlight w:val="none"/>
        </w:rPr>
        <w:t>：</w:t>
      </w:r>
    </w:p>
    <w:p>
      <w:pPr>
        <w:snapToGrid w:val="0"/>
        <w:spacing w:line="48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我方参与</w:t>
      </w:r>
      <w:r>
        <w:rPr>
          <w:rFonts w:hint="eastAsia" w:ascii="仿宋" w:hAnsi="仿宋" w:eastAsia="仿宋" w:cs="仿宋"/>
          <w:color w:val="auto"/>
          <w:sz w:val="24"/>
          <w:highlight w:val="none"/>
          <w:lang w:eastAsia="zh-CN"/>
        </w:rPr>
        <w:t>余杭街道2023年区域性微型消防救援站服务外包项目</w:t>
      </w:r>
      <w:r>
        <w:rPr>
          <w:rFonts w:hint="eastAsia" w:ascii="仿宋" w:hAnsi="仿宋" w:eastAsia="仿宋" w:cs="仿宋"/>
          <w:color w:val="auto"/>
          <w:sz w:val="24"/>
          <w:highlight w:val="none"/>
        </w:rPr>
        <w:t>【招标编号：</w:t>
      </w:r>
      <w:r>
        <w:rPr>
          <w:rFonts w:hint="eastAsia" w:ascii="仿宋" w:hAnsi="仿宋" w:eastAsia="仿宋" w:cs="仿宋"/>
          <w:color w:val="auto"/>
          <w:sz w:val="24"/>
          <w:highlight w:val="none"/>
          <w:lang w:eastAsia="zh-CN"/>
        </w:rPr>
        <w:t>TKZXCG-2023-034-1</w:t>
      </w:r>
      <w:r>
        <w:rPr>
          <w:rFonts w:hint="eastAsia" w:ascii="仿宋" w:hAnsi="仿宋" w:eastAsia="仿宋" w:cs="仿宋"/>
          <w:color w:val="auto"/>
          <w:sz w:val="24"/>
          <w:highlight w:val="none"/>
        </w:rPr>
        <w:t>】政府采购活动，郑重承诺：</w:t>
      </w:r>
    </w:p>
    <w:p>
      <w:pPr>
        <w:snapToGrid w:val="0"/>
        <w:spacing w:line="480" w:lineRule="auto"/>
        <w:ind w:firstLine="360" w:firstLineChars="150"/>
        <w:rPr>
          <w:rFonts w:hint="eastAsia" w:ascii="仿宋" w:hAnsi="仿宋" w:eastAsia="仿宋" w:cs="仿宋"/>
          <w:color w:val="auto"/>
          <w:sz w:val="24"/>
          <w:highlight w:val="none"/>
        </w:rPr>
      </w:pPr>
      <w:r>
        <w:rPr>
          <w:rFonts w:hint="eastAsia" w:ascii="仿宋" w:hAnsi="仿宋" w:eastAsia="仿宋" w:cs="仿宋"/>
          <w:color w:val="auto"/>
          <w:sz w:val="24"/>
          <w:highlight w:val="none"/>
        </w:rPr>
        <w:t>（一）具备《中华人民共和国政府采购法》第二十二条第一款规定的条件：</w:t>
      </w:r>
    </w:p>
    <w:p>
      <w:pPr>
        <w:snapToGrid w:val="0"/>
        <w:spacing w:line="48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1、具有独立承担民事责任的能力；</w:t>
      </w:r>
    </w:p>
    <w:p>
      <w:pPr>
        <w:snapToGrid w:val="0"/>
        <w:spacing w:line="48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2、具有良好的商业信誉和健全的财务会计制度； </w:t>
      </w:r>
    </w:p>
    <w:p>
      <w:pPr>
        <w:snapToGrid w:val="0"/>
        <w:spacing w:line="48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3、具有履行合同所必需的设备和专业技术能力；</w:t>
      </w:r>
    </w:p>
    <w:p>
      <w:pPr>
        <w:snapToGrid w:val="0"/>
        <w:spacing w:line="48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4、有依法缴纳税收和社会保障资金的良好记录；</w:t>
      </w:r>
    </w:p>
    <w:p>
      <w:pPr>
        <w:snapToGrid w:val="0"/>
        <w:spacing w:line="48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5、参加政府采购活动前三年内，在经营活动中没有重大违法记录；</w:t>
      </w:r>
    </w:p>
    <w:p>
      <w:pPr>
        <w:snapToGrid w:val="0"/>
        <w:spacing w:line="48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6、具有法律、行政法规规定的其他条件。</w:t>
      </w:r>
    </w:p>
    <w:p>
      <w:pPr>
        <w:snapToGrid w:val="0"/>
        <w:spacing w:line="48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（二）未被信用中国（www.creditchina.gov.cn)、中国政府采购网（www.ccgp.gov.cn）列入失信被执行人、重大税收违法案件当事人名单、政府采购严重违法失信行为记录名单。</w:t>
      </w:r>
    </w:p>
    <w:p>
      <w:pPr>
        <w:snapToGrid w:val="0"/>
        <w:spacing w:line="48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（三）不存在以下情况：</w:t>
      </w:r>
    </w:p>
    <w:p>
      <w:pPr>
        <w:snapToGrid w:val="0"/>
        <w:spacing w:line="48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1、单位负责人为同一人或者存在直接控股、管理关系的不同供应商参加同一合同项下的政府采购活动的；</w:t>
      </w:r>
    </w:p>
    <w:p>
      <w:pPr>
        <w:snapToGrid w:val="0"/>
        <w:spacing w:line="48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2、为采购项目提供整体设计、规范编制或者项目管理、监理、检测等服务后再参加该采购项目的其他采购活动的。</w:t>
      </w:r>
    </w:p>
    <w:p>
      <w:pPr>
        <w:snapToGrid w:val="0"/>
        <w:spacing w:line="480" w:lineRule="auto"/>
        <w:ind w:firstLine="5520" w:firstLineChars="23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投标人名称(电子签名)：</w:t>
      </w:r>
    </w:p>
    <w:p>
      <w:pPr>
        <w:snapToGrid w:val="0"/>
        <w:spacing w:line="48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w:t>
      </w:r>
    </w:p>
    <w:p>
      <w:pPr>
        <w:snapToGrid w:val="0"/>
        <w:spacing w:line="360" w:lineRule="auto"/>
        <w:ind w:right="480"/>
        <w:jc w:val="center"/>
        <w:rPr>
          <w:rFonts w:hint="eastAsia" w:ascii="仿宋" w:hAnsi="仿宋" w:eastAsia="仿宋" w:cs="仿宋"/>
          <w:b/>
          <w:color w:val="auto"/>
          <w:kern w:val="0"/>
          <w:sz w:val="32"/>
          <w:szCs w:val="32"/>
          <w:highlight w:val="none"/>
        </w:rPr>
      </w:pPr>
    </w:p>
    <w:p>
      <w:pPr>
        <w:widowControl/>
        <w:adjustRightInd/>
        <w:jc w:val="left"/>
        <w:rPr>
          <w:rFonts w:hint="eastAsia" w:ascii="仿宋" w:hAnsi="仿宋" w:eastAsia="仿宋" w:cs="仿宋"/>
          <w:b/>
          <w:color w:val="auto"/>
          <w:kern w:val="0"/>
          <w:sz w:val="32"/>
          <w:szCs w:val="32"/>
          <w:highlight w:val="none"/>
        </w:rPr>
      </w:pPr>
    </w:p>
    <w:p>
      <w:pPr>
        <w:widowControl/>
        <w:spacing w:line="360" w:lineRule="auto"/>
        <w:ind w:firstLine="643" w:firstLineChars="20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二、联合协议（如果有）</w:t>
      </w:r>
    </w:p>
    <w:p>
      <w:pPr>
        <w:widowControl/>
        <w:spacing w:line="360" w:lineRule="auto"/>
        <w:ind w:firstLine="482" w:firstLineChars="200"/>
        <w:jc w:val="left"/>
        <w:rPr>
          <w:rFonts w:hint="eastAsia" w:ascii="仿宋" w:hAnsi="仿宋" w:eastAsia="仿宋" w:cs="仿宋"/>
          <w:b/>
          <w:color w:val="auto"/>
          <w:kern w:val="0"/>
          <w:sz w:val="32"/>
          <w:szCs w:val="32"/>
          <w:highlight w:val="none"/>
        </w:rPr>
      </w:pPr>
      <w:r>
        <w:rPr>
          <w:rFonts w:hint="eastAsia" w:ascii="仿宋" w:hAnsi="仿宋" w:eastAsia="仿宋" w:cs="仿宋"/>
          <w:b/>
          <w:color w:val="auto"/>
          <w:sz w:val="24"/>
          <w:highlight w:val="none"/>
        </w:rPr>
        <w:t>[以联合体形式投标的，提供联合协议（附件5）；本项目不接受联合体投标或者投标人不以联合体形式投标的，则不需要提供）]</w:t>
      </w:r>
    </w:p>
    <w:p>
      <w:pPr>
        <w:snapToGrid w:val="0"/>
        <w:spacing w:line="360" w:lineRule="auto"/>
        <w:ind w:right="480"/>
        <w:jc w:val="center"/>
        <w:rPr>
          <w:rFonts w:hint="eastAsia" w:ascii="仿宋" w:hAnsi="仿宋" w:eastAsia="仿宋" w:cs="仿宋"/>
          <w:b/>
          <w:color w:val="auto"/>
          <w:kern w:val="0"/>
          <w:sz w:val="32"/>
          <w:szCs w:val="32"/>
          <w:highlight w:val="none"/>
        </w:rPr>
      </w:pPr>
    </w:p>
    <w:p>
      <w:pPr>
        <w:pStyle w:val="4"/>
        <w:rPr>
          <w:rFonts w:hint="eastAsia" w:ascii="仿宋" w:hAnsi="仿宋" w:eastAsia="仿宋" w:cs="仿宋"/>
          <w:color w:val="auto"/>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三、落实政府采购政策需满足的资格要求</w:t>
      </w:r>
    </w:p>
    <w:p>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（根据招标公告落实政府采购政策需满足的资格要求选择提供相应的材料）</w:t>
      </w:r>
    </w:p>
    <w:p>
      <w:pPr>
        <w:snapToGrid w:val="0"/>
        <w:spacing w:before="50" w:after="50" w:line="360" w:lineRule="auto"/>
        <w:jc w:val="left"/>
        <w:rPr>
          <w:rFonts w:hint="eastAsia" w:ascii="仿宋" w:hAnsi="仿宋" w:eastAsia="仿宋" w:cs="仿宋"/>
          <w:b/>
          <w:color w:val="auto"/>
          <w:sz w:val="24"/>
          <w:highlight w:val="none"/>
        </w:rPr>
      </w:pPr>
    </w:p>
    <w:p>
      <w:pPr>
        <w:snapToGrid w:val="0"/>
        <w:spacing w:before="50" w:after="50" w:line="360" w:lineRule="auto"/>
        <w:ind w:firstLine="472" w:firstLineChars="196"/>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A</w:t>
      </w:r>
      <w:r>
        <w:rPr>
          <w:rFonts w:hint="eastAsia" w:ascii="仿宋" w:hAnsi="仿宋" w:eastAsia="仿宋" w:cs="仿宋"/>
          <w:color w:val="auto"/>
          <w:sz w:val="24"/>
          <w:highlight w:val="none"/>
        </w:rPr>
        <w:t xml:space="preserve">.专门面向中小企业，服务全部由符合政策要求的中小企业（或小微企业）承接的，提供相应的中小企业声明函（附件7）。 </w:t>
      </w:r>
      <w:r>
        <w:rPr>
          <w:rFonts w:hint="eastAsia" w:ascii="微软雅黑" w:hAnsi="微软雅黑" w:eastAsia="微软雅黑" w:cs="微软雅黑"/>
          <w:color w:val="auto"/>
          <w:sz w:val="24"/>
          <w:highlight w:val="none"/>
        </w:rPr>
        <w:t>★</w:t>
      </w:r>
      <w:r>
        <w:rPr>
          <w:rFonts w:hint="eastAsia" w:ascii="仿宋" w:hAnsi="仿宋" w:eastAsia="仿宋" w:cs="仿宋"/>
          <w:b/>
          <w:bCs/>
          <w:color w:val="auto"/>
          <w:sz w:val="24"/>
          <w:highlight w:val="none"/>
          <w:lang w:eastAsia="zh-CN"/>
        </w:rPr>
        <w:t>（本项目必须提供，否则作无效投标）</w:t>
      </w:r>
    </w:p>
    <w:p>
      <w:pPr>
        <w:widowControl/>
        <w:spacing w:line="360" w:lineRule="auto"/>
        <w:ind w:firstLine="480"/>
        <w:jc w:val="left"/>
        <w:rPr>
          <w:rFonts w:hint="eastAsia" w:ascii="仿宋" w:hAnsi="仿宋" w:eastAsia="仿宋" w:cs="仿宋"/>
          <w:color w:val="auto"/>
          <w:sz w:val="24"/>
          <w:highlight w:val="none"/>
        </w:rPr>
      </w:pPr>
    </w:p>
    <w:p>
      <w:pPr>
        <w:widowControl/>
        <w:spacing w:line="360" w:lineRule="auto"/>
        <w:ind w:firstLine="472" w:firstLineChars="196"/>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B.</w:t>
      </w:r>
      <w:r>
        <w:rPr>
          <w:rFonts w:hint="eastAsia" w:ascii="仿宋" w:hAnsi="仿宋" w:eastAsia="仿宋" w:cs="仿宋"/>
          <w:color w:val="auto"/>
          <w:sz w:val="24"/>
          <w:highlight w:val="none"/>
        </w:rPr>
        <w:t>要求以联合体形式参加的，提供联合协议（附件5）和中小企业声明函（附件7），联合协议中中小企业合同金额应当达到招标公告载明的比例；如果供应商本身提供所有标的均由中小企业承接的，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视同符合了资格条件，无需再与其他中小企业组成联合体参加政府采购活动，无需提供联合协议。</w:t>
      </w:r>
    </w:p>
    <w:p>
      <w:pPr>
        <w:snapToGrid w:val="0"/>
        <w:spacing w:before="50" w:after="50" w:line="360" w:lineRule="auto"/>
        <w:jc w:val="center"/>
        <w:rPr>
          <w:rFonts w:hint="eastAsia" w:ascii="仿宋" w:hAnsi="仿宋" w:eastAsia="仿宋" w:cs="仿宋"/>
          <w:color w:val="auto"/>
          <w:sz w:val="24"/>
          <w:highlight w:val="none"/>
        </w:rPr>
      </w:pPr>
      <w:r>
        <w:rPr>
          <w:rFonts w:hint="eastAsia" w:ascii="仿宋" w:hAnsi="仿宋" w:eastAsia="仿宋" w:cs="仿宋"/>
          <w:b/>
          <w:color w:val="auto"/>
          <w:sz w:val="24"/>
          <w:highlight w:val="none"/>
        </w:rPr>
        <w:t xml:space="preserve">    </w:t>
      </w:r>
    </w:p>
    <w:p>
      <w:pPr>
        <w:spacing w:line="360" w:lineRule="auto"/>
        <w:ind w:firstLine="482" w:firstLineChars="200"/>
        <w:rPr>
          <w:rFonts w:hint="eastAsia" w:ascii="仿宋" w:hAnsi="仿宋" w:eastAsia="仿宋" w:cs="仿宋"/>
          <w:color w:val="auto"/>
          <w:sz w:val="24"/>
          <w:highlight w:val="none"/>
        </w:rPr>
      </w:pPr>
      <w:r>
        <w:rPr>
          <w:rFonts w:hint="eastAsia" w:ascii="仿宋" w:hAnsi="仿宋" w:eastAsia="仿宋" w:cs="仿宋"/>
          <w:b/>
          <w:color w:val="auto"/>
          <w:sz w:val="24"/>
          <w:highlight w:val="none"/>
        </w:rPr>
        <w:t>C、</w:t>
      </w:r>
      <w:r>
        <w:rPr>
          <w:rFonts w:hint="eastAsia" w:ascii="仿宋" w:hAnsi="仿宋" w:eastAsia="仿宋" w:cs="仿宋"/>
          <w:color w:val="auto"/>
          <w:sz w:val="24"/>
          <w:highlight w:val="none"/>
        </w:rPr>
        <w:t>要求合同分包的，提供分包意向协议（附件6）和中小企业声明函（附件7），分包意向协议中中小企业合同金额应当达到招标公告载明的比例；如果供应商本身提供所有标的均由中小企业承接的，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视同符合了资格条件，无需再向中小企业分包，无需提供分包意向协议。</w:t>
      </w:r>
    </w:p>
    <w:p>
      <w:pPr>
        <w:widowControl/>
        <w:spacing w:line="360" w:lineRule="auto"/>
        <w:ind w:left="150"/>
        <w:jc w:val="center"/>
        <w:rPr>
          <w:rFonts w:hint="eastAsia" w:ascii="仿宋" w:hAnsi="仿宋" w:eastAsia="仿宋" w:cs="仿宋"/>
          <w:b/>
          <w:color w:val="auto"/>
          <w:kern w:val="0"/>
          <w:sz w:val="32"/>
          <w:szCs w:val="32"/>
          <w:highlight w:val="none"/>
        </w:rPr>
      </w:pPr>
    </w:p>
    <w:p>
      <w:pPr>
        <w:widowControl/>
        <w:spacing w:line="360" w:lineRule="auto"/>
        <w:ind w:left="15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四、本项目的特定资格要求</w:t>
      </w:r>
    </w:p>
    <w:p>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（根据招标公告本项目的特定资格要求提供相应的材料；未要求的，无需提供）</w:t>
      </w:r>
    </w:p>
    <w:p>
      <w:pPr>
        <w:rPr>
          <w:rFonts w:hint="eastAsia" w:ascii="仿宋" w:hAnsi="仿宋" w:eastAsia="仿宋" w:cs="仿宋"/>
          <w:color w:val="auto"/>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p>
    <w:p>
      <w:pPr>
        <w:widowControl/>
        <w:adjustRightInd/>
        <w:jc w:val="left"/>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br w:type="page"/>
      </w:r>
    </w:p>
    <w:p>
      <w:pPr>
        <w:spacing w:line="360" w:lineRule="auto"/>
        <w:ind w:right="420" w:firstLine="3614" w:firstLineChars="1000"/>
        <w:rPr>
          <w:rFonts w:hint="eastAsia" w:ascii="仿宋" w:hAnsi="仿宋" w:eastAsia="仿宋" w:cs="仿宋"/>
          <w:b/>
          <w:color w:val="auto"/>
          <w:kern w:val="0"/>
          <w:sz w:val="36"/>
          <w:szCs w:val="36"/>
          <w:highlight w:val="none"/>
        </w:rPr>
      </w:pPr>
    </w:p>
    <w:p>
      <w:pPr>
        <w:spacing w:line="480" w:lineRule="auto"/>
        <w:ind w:right="420"/>
        <w:jc w:val="center"/>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商务技术文件部分</w:t>
      </w:r>
    </w:p>
    <w:p>
      <w:pPr>
        <w:spacing w:line="480" w:lineRule="auto"/>
        <w:jc w:val="center"/>
        <w:outlineLvl w:val="0"/>
        <w:rPr>
          <w:rFonts w:hint="eastAsia" w:ascii="仿宋" w:hAnsi="仿宋" w:eastAsia="仿宋" w:cs="仿宋"/>
          <w:b/>
          <w:color w:val="auto"/>
          <w:kern w:val="0"/>
          <w:sz w:val="24"/>
          <w:highlight w:val="none"/>
        </w:rPr>
      </w:pPr>
    </w:p>
    <w:p>
      <w:pPr>
        <w:spacing w:line="480" w:lineRule="auto"/>
        <w:jc w:val="center"/>
        <w:outlineLvl w:val="0"/>
        <w:rPr>
          <w:rFonts w:hint="eastAsia" w:ascii="仿宋" w:hAnsi="仿宋" w:eastAsia="仿宋" w:cs="仿宋"/>
          <w:b/>
          <w:color w:val="auto"/>
          <w:kern w:val="0"/>
          <w:sz w:val="28"/>
          <w:szCs w:val="28"/>
          <w:highlight w:val="none"/>
        </w:rPr>
      </w:pPr>
      <w:r>
        <w:rPr>
          <w:rFonts w:hint="eastAsia" w:ascii="仿宋" w:hAnsi="仿宋" w:eastAsia="仿宋" w:cs="仿宋"/>
          <w:b/>
          <w:color w:val="auto"/>
          <w:kern w:val="0"/>
          <w:sz w:val="28"/>
          <w:szCs w:val="28"/>
          <w:highlight w:val="none"/>
        </w:rPr>
        <w:t>目录</w:t>
      </w:r>
    </w:p>
    <w:p>
      <w:pPr>
        <w:snapToGrid w:val="0"/>
        <w:spacing w:line="480" w:lineRule="auto"/>
        <w:ind w:left="479" w:leftChars="228"/>
        <w:rPr>
          <w:rFonts w:hint="eastAsia" w:ascii="仿宋" w:hAnsi="仿宋" w:eastAsia="仿宋" w:cs="仿宋"/>
          <w:color w:val="auto"/>
          <w:highlight w:val="none"/>
        </w:rPr>
      </w:pPr>
      <w:r>
        <w:rPr>
          <w:rFonts w:hint="eastAsia" w:ascii="仿宋" w:hAnsi="仿宋" w:eastAsia="仿宋" w:cs="仿宋"/>
          <w:color w:val="auto"/>
          <w:sz w:val="24"/>
          <w:highlight w:val="none"/>
        </w:rPr>
        <w:t>（1）投标函</w:t>
      </w:r>
      <w:r>
        <w:rPr>
          <w:rFonts w:hint="eastAsia" w:ascii="仿宋" w:hAnsi="仿宋" w:eastAsia="仿宋" w:cs="仿宋"/>
          <w:color w:val="auto"/>
          <w:highlight w:val="none"/>
        </w:rPr>
        <w:t>…………………………………………………………………………………（页码）</w:t>
      </w:r>
      <w:r>
        <w:rPr>
          <w:rFonts w:hint="eastAsia" w:ascii="仿宋" w:hAnsi="仿宋" w:eastAsia="仿宋" w:cs="仿宋"/>
          <w:color w:val="auto"/>
          <w:sz w:val="24"/>
          <w:highlight w:val="none"/>
        </w:rPr>
        <w:t>（2）授权委托书或法定代表人（单位负责人、自然人本人）身份证明</w:t>
      </w:r>
      <w:r>
        <w:rPr>
          <w:rFonts w:hint="eastAsia" w:ascii="仿宋" w:hAnsi="仿宋" w:eastAsia="仿宋" w:cs="仿宋"/>
          <w:color w:val="auto"/>
          <w:highlight w:val="none"/>
        </w:rPr>
        <w:t>………（页码）</w:t>
      </w:r>
    </w:p>
    <w:p>
      <w:pPr>
        <w:snapToGrid w:val="0"/>
        <w:spacing w:line="480" w:lineRule="auto"/>
        <w:ind w:left="479" w:leftChars="228"/>
        <w:rPr>
          <w:rFonts w:hint="eastAsia" w:ascii="仿宋" w:hAnsi="仿宋" w:eastAsia="仿宋" w:cs="仿宋"/>
          <w:color w:val="auto"/>
          <w:highlight w:val="none"/>
        </w:rPr>
      </w:pPr>
      <w:r>
        <w:rPr>
          <w:rFonts w:hint="eastAsia" w:ascii="仿宋" w:hAnsi="仿宋" w:eastAsia="仿宋" w:cs="仿宋"/>
          <w:color w:val="auto"/>
          <w:sz w:val="24"/>
          <w:highlight w:val="none"/>
        </w:rPr>
        <w:t>（3）分包意向协议</w:t>
      </w:r>
      <w:r>
        <w:rPr>
          <w:rFonts w:hint="eastAsia" w:ascii="仿宋" w:hAnsi="仿宋" w:eastAsia="仿宋" w:cs="仿宋"/>
          <w:color w:val="auto"/>
          <w:highlight w:val="none"/>
        </w:rPr>
        <w:t>…………………………………………………………………………（页码）</w:t>
      </w:r>
    </w:p>
    <w:p>
      <w:pPr>
        <w:snapToGrid w:val="0"/>
        <w:spacing w:line="480" w:lineRule="auto"/>
        <w:ind w:firstLine="480" w:firstLineChars="200"/>
        <w:rPr>
          <w:rFonts w:hint="eastAsia" w:ascii="仿宋" w:hAnsi="仿宋" w:eastAsia="仿宋" w:cs="仿宋"/>
          <w:color w:val="auto"/>
          <w:highlight w:val="none"/>
        </w:rPr>
      </w:pPr>
      <w:r>
        <w:rPr>
          <w:rFonts w:hint="eastAsia" w:ascii="仿宋" w:hAnsi="仿宋" w:eastAsia="仿宋" w:cs="仿宋"/>
          <w:color w:val="auto"/>
          <w:sz w:val="24"/>
          <w:highlight w:val="none"/>
        </w:rPr>
        <w:t>（4）符合性审查资料</w:t>
      </w:r>
      <w:r>
        <w:rPr>
          <w:rFonts w:hint="eastAsia" w:ascii="仿宋" w:hAnsi="仿宋" w:eastAsia="仿宋" w:cs="仿宋"/>
          <w:color w:val="auto"/>
          <w:highlight w:val="none"/>
        </w:rPr>
        <w:t>………………………………………………………………………（页码）</w:t>
      </w:r>
    </w:p>
    <w:p>
      <w:pPr>
        <w:snapToGrid w:val="0"/>
        <w:spacing w:line="480" w:lineRule="auto"/>
        <w:ind w:left="479" w:leftChars="228"/>
        <w:rPr>
          <w:rFonts w:hint="eastAsia" w:ascii="仿宋" w:hAnsi="仿宋" w:eastAsia="仿宋" w:cs="仿宋"/>
          <w:color w:val="auto"/>
          <w:highlight w:val="none"/>
        </w:rPr>
      </w:pPr>
      <w:r>
        <w:rPr>
          <w:rFonts w:hint="eastAsia" w:ascii="仿宋" w:hAnsi="仿宋" w:eastAsia="仿宋" w:cs="仿宋"/>
          <w:color w:val="auto"/>
          <w:sz w:val="24"/>
          <w:highlight w:val="none"/>
        </w:rPr>
        <w:t>（5）评标标准相应的商务技术资料</w:t>
      </w:r>
      <w:r>
        <w:rPr>
          <w:rFonts w:hint="eastAsia" w:ascii="仿宋" w:hAnsi="仿宋" w:eastAsia="仿宋" w:cs="仿宋"/>
          <w:color w:val="auto"/>
          <w:highlight w:val="none"/>
        </w:rPr>
        <w:t>…………………………</w:t>
      </w:r>
      <w:r>
        <w:rPr>
          <w:rFonts w:hint="eastAsia" w:ascii="仿宋" w:hAnsi="仿宋" w:eastAsia="仿宋" w:cs="仿宋"/>
          <w:color w:val="auto"/>
          <w:sz w:val="24"/>
          <w:highlight w:val="none"/>
        </w:rPr>
        <w:t>………</w:t>
      </w:r>
      <w:r>
        <w:rPr>
          <w:rFonts w:hint="eastAsia" w:ascii="仿宋" w:hAnsi="仿宋" w:eastAsia="仿宋" w:cs="仿宋"/>
          <w:color w:val="auto"/>
          <w:highlight w:val="none"/>
        </w:rPr>
        <w:t>…</w:t>
      </w:r>
      <w:r>
        <w:rPr>
          <w:rFonts w:hint="eastAsia" w:ascii="仿宋" w:hAnsi="仿宋" w:eastAsia="仿宋" w:cs="仿宋"/>
          <w:color w:val="auto"/>
          <w:sz w:val="24"/>
          <w:highlight w:val="none"/>
        </w:rPr>
        <w:t>…</w:t>
      </w:r>
      <w:r>
        <w:rPr>
          <w:rFonts w:hint="eastAsia" w:ascii="仿宋" w:hAnsi="仿宋" w:eastAsia="仿宋" w:cs="仿宋"/>
          <w:color w:val="auto"/>
          <w:highlight w:val="none"/>
        </w:rPr>
        <w:t>……………（页码）</w:t>
      </w:r>
      <w:r>
        <w:rPr>
          <w:rFonts w:hint="eastAsia" w:ascii="仿宋" w:hAnsi="仿宋" w:eastAsia="仿宋" w:cs="仿宋"/>
          <w:color w:val="auto"/>
          <w:sz w:val="24"/>
          <w:highlight w:val="none"/>
        </w:rPr>
        <w:t>（6）投标标的清单</w:t>
      </w:r>
      <w:r>
        <w:rPr>
          <w:rFonts w:hint="eastAsia" w:ascii="仿宋" w:hAnsi="仿宋" w:eastAsia="仿宋" w:cs="仿宋"/>
          <w:color w:val="auto"/>
          <w:highlight w:val="none"/>
        </w:rPr>
        <w:t>…………………………</w:t>
      </w:r>
      <w:r>
        <w:rPr>
          <w:rFonts w:hint="eastAsia" w:ascii="仿宋" w:hAnsi="仿宋" w:eastAsia="仿宋" w:cs="仿宋"/>
          <w:color w:val="auto"/>
          <w:sz w:val="24"/>
          <w:highlight w:val="none"/>
        </w:rPr>
        <w:t>………</w:t>
      </w:r>
      <w:r>
        <w:rPr>
          <w:rFonts w:hint="eastAsia" w:ascii="仿宋" w:hAnsi="仿宋" w:eastAsia="仿宋" w:cs="仿宋"/>
          <w:color w:val="auto"/>
          <w:highlight w:val="none"/>
        </w:rPr>
        <w:t>…</w:t>
      </w:r>
      <w:r>
        <w:rPr>
          <w:rFonts w:hint="eastAsia" w:ascii="仿宋" w:hAnsi="仿宋" w:eastAsia="仿宋" w:cs="仿宋"/>
          <w:color w:val="auto"/>
          <w:sz w:val="24"/>
          <w:highlight w:val="none"/>
        </w:rPr>
        <w:t>…</w:t>
      </w:r>
      <w:r>
        <w:rPr>
          <w:rFonts w:hint="eastAsia" w:ascii="仿宋" w:hAnsi="仿宋" w:eastAsia="仿宋" w:cs="仿宋"/>
          <w:color w:val="auto"/>
          <w:highlight w:val="none"/>
        </w:rPr>
        <w:t>…</w:t>
      </w:r>
      <w:r>
        <w:rPr>
          <w:rFonts w:hint="eastAsia" w:ascii="仿宋" w:hAnsi="仿宋" w:eastAsia="仿宋" w:cs="仿宋"/>
          <w:color w:val="auto"/>
          <w:sz w:val="24"/>
          <w:highlight w:val="none"/>
        </w:rPr>
        <w:t>…</w:t>
      </w:r>
      <w:r>
        <w:rPr>
          <w:rFonts w:hint="eastAsia" w:ascii="仿宋" w:hAnsi="仿宋" w:eastAsia="仿宋" w:cs="仿宋"/>
          <w:color w:val="auto"/>
          <w:highlight w:val="none"/>
        </w:rPr>
        <w:t>…</w:t>
      </w:r>
      <w:r>
        <w:rPr>
          <w:rFonts w:hint="eastAsia" w:ascii="仿宋" w:hAnsi="仿宋" w:eastAsia="仿宋" w:cs="仿宋"/>
          <w:color w:val="auto"/>
          <w:sz w:val="24"/>
          <w:highlight w:val="none"/>
        </w:rPr>
        <w:t>…</w:t>
      </w:r>
      <w:r>
        <w:rPr>
          <w:rFonts w:hint="eastAsia" w:ascii="仿宋" w:hAnsi="仿宋" w:eastAsia="仿宋" w:cs="仿宋"/>
          <w:color w:val="auto"/>
          <w:highlight w:val="none"/>
        </w:rPr>
        <w:t>…</w:t>
      </w:r>
      <w:r>
        <w:rPr>
          <w:rFonts w:hint="eastAsia" w:ascii="仿宋" w:hAnsi="仿宋" w:eastAsia="仿宋" w:cs="仿宋"/>
          <w:color w:val="auto"/>
          <w:sz w:val="24"/>
          <w:highlight w:val="none"/>
        </w:rPr>
        <w:t>…</w:t>
      </w:r>
      <w:r>
        <w:rPr>
          <w:rFonts w:hint="eastAsia" w:ascii="仿宋" w:hAnsi="仿宋" w:eastAsia="仿宋" w:cs="仿宋"/>
          <w:color w:val="auto"/>
          <w:highlight w:val="none"/>
        </w:rPr>
        <w:t>…</w:t>
      </w:r>
      <w:r>
        <w:rPr>
          <w:rFonts w:hint="eastAsia" w:ascii="仿宋" w:hAnsi="仿宋" w:eastAsia="仿宋" w:cs="仿宋"/>
          <w:color w:val="auto"/>
          <w:sz w:val="21"/>
          <w:szCs w:val="21"/>
          <w:highlight w:val="none"/>
        </w:rPr>
        <w:t>…</w:t>
      </w:r>
      <w:r>
        <w:rPr>
          <w:rFonts w:hint="eastAsia" w:ascii="仿宋" w:hAnsi="仿宋" w:eastAsia="仿宋" w:cs="仿宋"/>
          <w:color w:val="auto"/>
          <w:highlight w:val="none"/>
        </w:rPr>
        <w:t>…………（页码）</w:t>
      </w:r>
      <w:r>
        <w:rPr>
          <w:rFonts w:hint="eastAsia" w:ascii="仿宋" w:hAnsi="仿宋" w:eastAsia="仿宋" w:cs="仿宋"/>
          <w:color w:val="auto"/>
          <w:sz w:val="24"/>
          <w:highlight w:val="none"/>
        </w:rPr>
        <w:t>（7）商务技术偏离表</w:t>
      </w:r>
      <w:r>
        <w:rPr>
          <w:rFonts w:hint="eastAsia" w:ascii="仿宋" w:hAnsi="仿宋" w:eastAsia="仿宋" w:cs="仿宋"/>
          <w:color w:val="auto"/>
          <w:highlight w:val="none"/>
        </w:rPr>
        <w:t>………………………………………………………………………（页码）</w:t>
      </w:r>
    </w:p>
    <w:p>
      <w:pPr>
        <w:snapToGrid w:val="0"/>
        <w:spacing w:line="480" w:lineRule="auto"/>
        <w:ind w:left="479" w:leftChars="228"/>
        <w:rPr>
          <w:rFonts w:hint="eastAsia" w:ascii="仿宋" w:hAnsi="仿宋" w:eastAsia="仿宋" w:cs="仿宋"/>
          <w:color w:val="auto"/>
          <w:highlight w:val="none"/>
        </w:rPr>
      </w:pPr>
      <w:r>
        <w:rPr>
          <w:rFonts w:hint="eastAsia" w:ascii="仿宋" w:hAnsi="仿宋" w:eastAsia="仿宋" w:cs="仿宋"/>
          <w:color w:val="auto"/>
          <w:sz w:val="24"/>
          <w:highlight w:val="none"/>
          <w:lang w:val="zh-CN"/>
        </w:rPr>
        <w:t>（</w:t>
      </w:r>
      <w:r>
        <w:rPr>
          <w:rFonts w:hint="eastAsia" w:ascii="仿宋" w:hAnsi="仿宋" w:eastAsia="仿宋" w:cs="仿宋"/>
          <w:color w:val="auto"/>
          <w:sz w:val="24"/>
          <w:highlight w:val="none"/>
        </w:rPr>
        <w:t>8</w:t>
      </w:r>
      <w:r>
        <w:rPr>
          <w:rFonts w:hint="eastAsia" w:ascii="仿宋" w:hAnsi="仿宋" w:eastAsia="仿宋" w:cs="仿宋"/>
          <w:color w:val="auto"/>
          <w:sz w:val="24"/>
          <w:highlight w:val="none"/>
          <w:lang w:val="zh-CN"/>
        </w:rPr>
        <w:t>）政府采购供应商廉洁自律承诺书</w:t>
      </w:r>
      <w:r>
        <w:rPr>
          <w:rFonts w:hint="eastAsia" w:ascii="仿宋" w:hAnsi="仿宋" w:eastAsia="仿宋" w:cs="仿宋"/>
          <w:color w:val="auto"/>
          <w:highlight w:val="none"/>
        </w:rPr>
        <w:t>…………………………………………………（页码）</w:t>
      </w:r>
    </w:p>
    <w:p>
      <w:pPr>
        <w:snapToGrid w:val="0"/>
        <w:spacing w:line="480" w:lineRule="auto"/>
        <w:ind w:left="479" w:leftChars="228"/>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w:t>
      </w:r>
      <w:r>
        <w:rPr>
          <w:rFonts w:hint="eastAsia" w:ascii="仿宋" w:hAnsi="仿宋" w:eastAsia="仿宋" w:cs="仿宋"/>
          <w:color w:val="auto"/>
          <w:sz w:val="24"/>
          <w:szCs w:val="24"/>
          <w:highlight w:val="none"/>
          <w:lang w:val="en-US" w:eastAsia="zh-CN"/>
        </w:rPr>
        <w:t>9</w:t>
      </w:r>
      <w:r>
        <w:rPr>
          <w:rFonts w:hint="eastAsia" w:ascii="仿宋" w:hAnsi="仿宋" w:eastAsia="仿宋" w:cs="仿宋"/>
          <w:color w:val="auto"/>
          <w:sz w:val="24"/>
          <w:szCs w:val="24"/>
          <w:highlight w:val="none"/>
          <w:lang w:val="zh-CN"/>
        </w:rPr>
        <w:t>）</w:t>
      </w:r>
      <w:r>
        <w:rPr>
          <w:rFonts w:hint="eastAsia" w:ascii="仿宋" w:hAnsi="仿宋" w:eastAsia="仿宋" w:cs="仿宋"/>
          <w:color w:val="auto"/>
          <w:sz w:val="24"/>
          <w:szCs w:val="24"/>
          <w:highlight w:val="none"/>
          <w:lang w:val="zh-CN" w:eastAsia="zh-CN"/>
        </w:rPr>
        <w:t>投标人签署的《政府采购活动现场确认声明书》</w:t>
      </w:r>
      <w:r>
        <w:rPr>
          <w:rFonts w:hint="eastAsia" w:ascii="仿宋" w:hAnsi="仿宋" w:eastAsia="仿宋" w:cs="仿宋"/>
          <w:color w:val="auto"/>
          <w:sz w:val="21"/>
          <w:szCs w:val="21"/>
          <w:highlight w:val="none"/>
          <w:lang w:val="zh-CN"/>
        </w:rPr>
        <w:t>………………</w:t>
      </w:r>
      <w:r>
        <w:rPr>
          <w:rFonts w:hint="eastAsia" w:ascii="仿宋" w:hAnsi="仿宋" w:eastAsia="仿宋" w:cs="仿宋"/>
          <w:color w:val="auto"/>
          <w:sz w:val="21"/>
          <w:szCs w:val="21"/>
          <w:highlight w:val="none"/>
        </w:rPr>
        <w:t>…</w:t>
      </w:r>
      <w:r>
        <w:rPr>
          <w:rFonts w:hint="eastAsia" w:ascii="仿宋" w:hAnsi="仿宋" w:eastAsia="仿宋" w:cs="仿宋"/>
          <w:color w:val="auto"/>
          <w:sz w:val="21"/>
          <w:szCs w:val="21"/>
          <w:highlight w:val="none"/>
          <w:lang w:val="zh-CN"/>
        </w:rPr>
        <w:t>…</w:t>
      </w:r>
      <w:r>
        <w:rPr>
          <w:rFonts w:hint="eastAsia" w:ascii="仿宋" w:hAnsi="仿宋" w:eastAsia="仿宋" w:cs="仿宋"/>
          <w:color w:val="auto"/>
          <w:sz w:val="21"/>
          <w:szCs w:val="21"/>
          <w:highlight w:val="none"/>
        </w:rPr>
        <w:t>………</w:t>
      </w:r>
      <w:r>
        <w:rPr>
          <w:rFonts w:hint="eastAsia" w:ascii="仿宋" w:hAnsi="仿宋" w:eastAsia="仿宋" w:cs="仿宋"/>
          <w:color w:val="auto"/>
          <w:sz w:val="21"/>
          <w:szCs w:val="21"/>
          <w:highlight w:val="none"/>
          <w:lang w:val="zh-CN"/>
        </w:rPr>
        <w:t>（页码）</w:t>
      </w:r>
    </w:p>
    <w:p>
      <w:pPr>
        <w:pStyle w:val="4"/>
        <w:rPr>
          <w:rFonts w:hint="eastAsia" w:ascii="仿宋" w:hAnsi="仿宋" w:eastAsia="仿宋" w:cs="仿宋"/>
          <w:color w:val="auto"/>
          <w:highlight w:val="none"/>
        </w:rPr>
      </w:pPr>
    </w:p>
    <w:p>
      <w:pPr>
        <w:snapToGrid w:val="0"/>
        <w:spacing w:line="360" w:lineRule="auto"/>
        <w:jc w:val="center"/>
        <w:rPr>
          <w:rFonts w:hint="eastAsia" w:ascii="仿宋" w:hAnsi="仿宋" w:eastAsia="仿宋" w:cs="仿宋"/>
          <w:b/>
          <w:color w:val="auto"/>
          <w:kern w:val="0"/>
          <w:sz w:val="32"/>
          <w:szCs w:val="32"/>
          <w:highlight w:val="none"/>
          <w:lang w:val="zh-CN"/>
        </w:rPr>
      </w:pPr>
    </w:p>
    <w:p>
      <w:pPr>
        <w:snapToGrid w:val="0"/>
        <w:spacing w:line="360" w:lineRule="auto"/>
        <w:jc w:val="center"/>
        <w:rPr>
          <w:rFonts w:hint="eastAsia" w:ascii="仿宋" w:hAnsi="仿宋" w:eastAsia="仿宋" w:cs="仿宋"/>
          <w:b/>
          <w:color w:val="auto"/>
          <w:kern w:val="0"/>
          <w:sz w:val="32"/>
          <w:szCs w:val="32"/>
          <w:highlight w:val="none"/>
          <w:lang w:val="zh-CN"/>
        </w:rPr>
      </w:pPr>
    </w:p>
    <w:p>
      <w:pPr>
        <w:snapToGrid w:val="0"/>
        <w:spacing w:line="360" w:lineRule="auto"/>
        <w:jc w:val="center"/>
        <w:rPr>
          <w:rFonts w:hint="eastAsia" w:ascii="仿宋" w:hAnsi="仿宋" w:eastAsia="仿宋" w:cs="仿宋"/>
          <w:b/>
          <w:color w:val="auto"/>
          <w:kern w:val="0"/>
          <w:sz w:val="32"/>
          <w:szCs w:val="32"/>
          <w:highlight w:val="none"/>
          <w:lang w:val="zh-CN"/>
        </w:rPr>
      </w:pPr>
    </w:p>
    <w:p>
      <w:pPr>
        <w:snapToGrid w:val="0"/>
        <w:spacing w:line="360" w:lineRule="auto"/>
        <w:jc w:val="center"/>
        <w:rPr>
          <w:rFonts w:hint="eastAsia" w:ascii="仿宋" w:hAnsi="仿宋" w:eastAsia="仿宋" w:cs="仿宋"/>
          <w:b/>
          <w:color w:val="auto"/>
          <w:kern w:val="0"/>
          <w:sz w:val="32"/>
          <w:szCs w:val="32"/>
          <w:highlight w:val="none"/>
          <w:lang w:val="zh-CN"/>
        </w:rPr>
      </w:pPr>
    </w:p>
    <w:p>
      <w:pPr>
        <w:snapToGrid w:val="0"/>
        <w:spacing w:line="360" w:lineRule="auto"/>
        <w:jc w:val="center"/>
        <w:rPr>
          <w:rFonts w:hint="eastAsia" w:ascii="仿宋" w:hAnsi="仿宋" w:eastAsia="仿宋" w:cs="仿宋"/>
          <w:b/>
          <w:color w:val="auto"/>
          <w:kern w:val="0"/>
          <w:sz w:val="32"/>
          <w:szCs w:val="32"/>
          <w:highlight w:val="none"/>
          <w:lang w:val="zh-CN"/>
        </w:rPr>
      </w:pPr>
    </w:p>
    <w:p>
      <w:pPr>
        <w:snapToGrid w:val="0"/>
        <w:spacing w:line="360" w:lineRule="auto"/>
        <w:jc w:val="center"/>
        <w:rPr>
          <w:rFonts w:hint="eastAsia" w:ascii="仿宋" w:hAnsi="仿宋" w:eastAsia="仿宋" w:cs="仿宋"/>
          <w:b/>
          <w:color w:val="auto"/>
          <w:kern w:val="0"/>
          <w:sz w:val="32"/>
          <w:szCs w:val="32"/>
          <w:highlight w:val="none"/>
          <w:lang w:val="zh-CN"/>
        </w:rPr>
      </w:pPr>
    </w:p>
    <w:p>
      <w:pPr>
        <w:snapToGrid w:val="0"/>
        <w:spacing w:line="360" w:lineRule="auto"/>
        <w:jc w:val="center"/>
        <w:rPr>
          <w:rFonts w:hint="eastAsia" w:ascii="仿宋" w:hAnsi="仿宋" w:eastAsia="仿宋" w:cs="仿宋"/>
          <w:b/>
          <w:color w:val="auto"/>
          <w:kern w:val="0"/>
          <w:sz w:val="32"/>
          <w:szCs w:val="32"/>
          <w:highlight w:val="none"/>
          <w:lang w:val="zh-CN"/>
        </w:rPr>
      </w:pPr>
    </w:p>
    <w:p>
      <w:pPr>
        <w:snapToGrid w:val="0"/>
        <w:spacing w:line="360" w:lineRule="auto"/>
        <w:jc w:val="center"/>
        <w:rPr>
          <w:rFonts w:hint="eastAsia" w:ascii="仿宋" w:hAnsi="仿宋" w:eastAsia="仿宋" w:cs="仿宋"/>
          <w:b/>
          <w:color w:val="auto"/>
          <w:kern w:val="0"/>
          <w:sz w:val="32"/>
          <w:szCs w:val="32"/>
          <w:highlight w:val="none"/>
          <w:lang w:val="zh-CN"/>
        </w:rPr>
      </w:pPr>
    </w:p>
    <w:p>
      <w:pPr>
        <w:widowControl/>
        <w:adjustRightInd/>
        <w:jc w:val="left"/>
        <w:rPr>
          <w:rFonts w:hint="eastAsia" w:ascii="仿宋" w:hAnsi="仿宋" w:eastAsia="仿宋" w:cs="仿宋"/>
          <w:b/>
          <w:color w:val="auto"/>
          <w:kern w:val="0"/>
          <w:sz w:val="32"/>
          <w:szCs w:val="32"/>
          <w:highlight w:val="none"/>
        </w:rPr>
      </w:pPr>
    </w:p>
    <w:p>
      <w:pPr>
        <w:snapToGrid w:val="0"/>
        <w:spacing w:line="360" w:lineRule="auto"/>
        <w:jc w:val="center"/>
        <w:outlineLvl w:val="0"/>
        <w:rPr>
          <w:rFonts w:hint="eastAsia" w:ascii="仿宋" w:hAnsi="仿宋" w:eastAsia="仿宋" w:cs="仿宋"/>
          <w:b/>
          <w:color w:val="auto"/>
          <w:sz w:val="32"/>
          <w:szCs w:val="32"/>
          <w:highlight w:val="none"/>
        </w:rPr>
      </w:pPr>
      <w:r>
        <w:rPr>
          <w:rFonts w:hint="eastAsia" w:ascii="仿宋" w:hAnsi="仿宋" w:eastAsia="仿宋" w:cs="仿宋"/>
          <w:b/>
          <w:color w:val="auto"/>
          <w:kern w:val="0"/>
          <w:sz w:val="32"/>
          <w:szCs w:val="32"/>
          <w:highlight w:val="none"/>
        </w:rPr>
        <w:t>一、投标</w:t>
      </w:r>
      <w:r>
        <w:rPr>
          <w:rFonts w:hint="eastAsia" w:ascii="仿宋" w:hAnsi="仿宋" w:eastAsia="仿宋" w:cs="仿宋"/>
          <w:b/>
          <w:color w:val="auto"/>
          <w:sz w:val="32"/>
          <w:szCs w:val="32"/>
          <w:highlight w:val="none"/>
        </w:rPr>
        <w:t>函</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杭州市余杭区人民政府余杭街道办事处</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eastAsia="zh-CN"/>
        </w:rPr>
        <w:t>杭州天坤建设咨询有限公司</w:t>
      </w:r>
      <w:r>
        <w:rPr>
          <w:rFonts w:hint="eastAsia" w:ascii="仿宋" w:hAnsi="仿宋" w:eastAsia="仿宋" w:cs="仿宋"/>
          <w:color w:val="auto"/>
          <w:sz w:val="24"/>
          <w:highlight w:val="none"/>
        </w:rPr>
        <w:t>：</w:t>
      </w:r>
    </w:p>
    <w:p>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我方参加你方组织的</w:t>
      </w:r>
      <w:r>
        <w:rPr>
          <w:rFonts w:hint="eastAsia" w:ascii="仿宋" w:hAnsi="仿宋" w:eastAsia="仿宋" w:cs="仿宋"/>
          <w:color w:val="auto"/>
          <w:sz w:val="24"/>
          <w:highlight w:val="none"/>
          <w:lang w:eastAsia="zh-CN"/>
        </w:rPr>
        <w:t>余杭街道2023年区域性微型消防救援站服务外包项目</w:t>
      </w:r>
      <w:r>
        <w:rPr>
          <w:rFonts w:hint="eastAsia" w:ascii="仿宋" w:hAnsi="仿宋" w:eastAsia="仿宋" w:cs="仿宋"/>
          <w:color w:val="auto"/>
          <w:sz w:val="24"/>
          <w:highlight w:val="none"/>
        </w:rPr>
        <w:t>【招标编号：</w:t>
      </w:r>
      <w:r>
        <w:rPr>
          <w:rFonts w:hint="eastAsia" w:ascii="仿宋" w:hAnsi="仿宋" w:eastAsia="仿宋" w:cs="仿宋"/>
          <w:color w:val="auto"/>
          <w:sz w:val="24"/>
          <w:highlight w:val="none"/>
          <w:lang w:eastAsia="zh-CN"/>
        </w:rPr>
        <w:t>TKZXCG-2023-034-1</w:t>
      </w:r>
      <w:r>
        <w:rPr>
          <w:rFonts w:hint="eastAsia" w:ascii="仿宋" w:hAnsi="仿宋" w:eastAsia="仿宋" w:cs="仿宋"/>
          <w:color w:val="auto"/>
          <w:sz w:val="24"/>
          <w:highlight w:val="none"/>
        </w:rPr>
        <w:t>】招标的有关活动，并对此项目进行投标。为此：</w:t>
      </w:r>
    </w:p>
    <w:p>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1、我方承诺投标有效期从提交投标文件的截止之日起</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天（不少于90天）</w:t>
      </w:r>
      <w:r>
        <w:rPr>
          <w:rFonts w:hint="eastAsia" w:ascii="仿宋" w:hAnsi="仿宋" w:eastAsia="仿宋" w:cs="仿宋"/>
          <w:color w:val="auto"/>
          <w:highlight w:val="none"/>
        </w:rPr>
        <w:t>，</w:t>
      </w:r>
      <w:r>
        <w:rPr>
          <w:rFonts w:hint="eastAsia" w:ascii="仿宋" w:hAnsi="仿宋" w:eastAsia="仿宋" w:cs="仿宋"/>
          <w:color w:val="auto"/>
          <w:sz w:val="24"/>
          <w:highlight w:val="none"/>
        </w:rPr>
        <w:t>本投标文件在投标有效期满之前均具有约束力。</w:t>
      </w:r>
    </w:p>
    <w:p>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2、我方的投标文件包括以下内容：</w:t>
      </w:r>
    </w:p>
    <w:p>
      <w:pPr>
        <w:snapToGrid w:val="0"/>
        <w:spacing w:line="360" w:lineRule="auto"/>
        <w:ind w:left="210" w:leftChars="10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2.1资格文件：</w:t>
      </w:r>
    </w:p>
    <w:p>
      <w:pPr>
        <w:snapToGrid w:val="0"/>
        <w:spacing w:line="360" w:lineRule="auto"/>
        <w:ind w:left="420" w:leftChars="20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2.1.1承诺函；</w:t>
      </w:r>
    </w:p>
    <w:p>
      <w:pPr>
        <w:snapToGrid w:val="0"/>
        <w:spacing w:line="360" w:lineRule="auto"/>
        <w:ind w:left="420" w:leftChars="20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2.1.2</w:t>
      </w:r>
      <w:r>
        <w:rPr>
          <w:rFonts w:hint="eastAsia" w:ascii="仿宋" w:hAnsi="仿宋" w:eastAsia="仿宋" w:cs="仿宋"/>
          <w:snapToGrid w:val="0"/>
          <w:color w:val="auto"/>
          <w:kern w:val="28"/>
          <w:sz w:val="24"/>
          <w:szCs w:val="20"/>
          <w:highlight w:val="none"/>
        </w:rPr>
        <w:t>联合协议</w:t>
      </w:r>
      <w:bookmarkStart w:id="512" w:name="_Hlk101257010"/>
      <w:r>
        <w:rPr>
          <w:rFonts w:hint="eastAsia" w:ascii="仿宋" w:hAnsi="仿宋" w:eastAsia="仿宋" w:cs="仿宋"/>
          <w:color w:val="auto"/>
          <w:sz w:val="24"/>
          <w:highlight w:val="none"/>
        </w:rPr>
        <w:t>（如果有)</w:t>
      </w:r>
      <w:bookmarkEnd w:id="512"/>
      <w:r>
        <w:rPr>
          <w:rFonts w:hint="eastAsia" w:ascii="仿宋" w:hAnsi="仿宋" w:eastAsia="仿宋" w:cs="仿宋"/>
          <w:snapToGrid w:val="0"/>
          <w:color w:val="auto"/>
          <w:kern w:val="28"/>
          <w:sz w:val="24"/>
          <w:szCs w:val="20"/>
          <w:highlight w:val="none"/>
        </w:rPr>
        <w:t>；</w:t>
      </w:r>
    </w:p>
    <w:p>
      <w:pPr>
        <w:snapToGrid w:val="0"/>
        <w:spacing w:line="360" w:lineRule="auto"/>
        <w:ind w:left="420" w:leftChars="20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2.1.3落实政府采购政策需满足的资格要求（如果有）；</w:t>
      </w:r>
    </w:p>
    <w:p>
      <w:pPr>
        <w:snapToGrid w:val="0"/>
        <w:spacing w:line="360" w:lineRule="auto"/>
        <w:ind w:left="420" w:leftChars="20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2.1.4本项目的特定资格要求（如果有)。</w:t>
      </w:r>
    </w:p>
    <w:p>
      <w:pPr>
        <w:snapToGrid w:val="0"/>
        <w:spacing w:line="360" w:lineRule="auto"/>
        <w:ind w:left="210" w:leftChars="100" w:firstLine="480" w:firstLineChars="200"/>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zh-CN"/>
        </w:rPr>
        <w:t>.</w:t>
      </w: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zh-CN"/>
        </w:rPr>
        <w:t xml:space="preserve"> </w:t>
      </w:r>
      <w:r>
        <w:rPr>
          <w:rFonts w:hint="eastAsia" w:ascii="仿宋" w:hAnsi="仿宋" w:eastAsia="仿宋" w:cs="仿宋"/>
          <w:color w:val="auto"/>
          <w:sz w:val="24"/>
          <w:highlight w:val="none"/>
        </w:rPr>
        <w:t>商务技术</w:t>
      </w:r>
      <w:r>
        <w:rPr>
          <w:rFonts w:hint="eastAsia" w:ascii="仿宋" w:hAnsi="仿宋" w:eastAsia="仿宋" w:cs="仿宋"/>
          <w:color w:val="auto"/>
          <w:sz w:val="24"/>
          <w:highlight w:val="none"/>
          <w:lang w:val="zh-CN"/>
        </w:rPr>
        <w:t>文件：</w:t>
      </w:r>
    </w:p>
    <w:p>
      <w:pPr>
        <w:snapToGrid w:val="0"/>
        <w:spacing w:line="360" w:lineRule="auto"/>
        <w:ind w:left="420" w:leftChars="20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2.2.1投标函；</w:t>
      </w:r>
      <w:r>
        <w:rPr>
          <w:rFonts w:hint="eastAsia" w:ascii="仿宋" w:hAnsi="仿宋" w:eastAsia="仿宋" w:cs="仿宋"/>
          <w:color w:val="auto"/>
          <w:sz w:val="24"/>
          <w:highlight w:val="none"/>
          <w:lang w:val="zh-CN"/>
        </w:rPr>
        <w:t xml:space="preserve"> </w:t>
      </w:r>
    </w:p>
    <w:p>
      <w:pPr>
        <w:snapToGrid w:val="0"/>
        <w:spacing w:line="360" w:lineRule="auto"/>
        <w:ind w:left="420" w:leftChars="20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2.2.2授权委托书或法定代表人（单位负责人）身份证明；</w:t>
      </w:r>
    </w:p>
    <w:p>
      <w:pPr>
        <w:snapToGrid w:val="0"/>
        <w:spacing w:line="360" w:lineRule="auto"/>
        <w:ind w:left="420" w:leftChars="20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2.2.3分包意向协议（如果有)；</w:t>
      </w:r>
    </w:p>
    <w:p>
      <w:pPr>
        <w:snapToGrid w:val="0"/>
        <w:spacing w:line="360" w:lineRule="auto"/>
        <w:ind w:left="420" w:leftChars="20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2.2.4符合性审查资料；</w:t>
      </w:r>
    </w:p>
    <w:p>
      <w:pPr>
        <w:snapToGrid w:val="0"/>
        <w:spacing w:line="360" w:lineRule="auto"/>
        <w:ind w:left="420" w:leftChars="20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2.2.5评标标准相应的商务技术资料；</w:t>
      </w:r>
    </w:p>
    <w:p>
      <w:pPr>
        <w:snapToGrid w:val="0"/>
        <w:spacing w:line="360" w:lineRule="auto"/>
        <w:ind w:left="420" w:leftChars="20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2.2.6投标标的清单；</w:t>
      </w:r>
    </w:p>
    <w:p>
      <w:pPr>
        <w:snapToGrid w:val="0"/>
        <w:spacing w:line="360" w:lineRule="auto"/>
        <w:ind w:left="420" w:leftChars="20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2.2.7商务技术偏离表；</w:t>
      </w:r>
    </w:p>
    <w:p>
      <w:pPr>
        <w:snapToGrid w:val="0"/>
        <w:spacing w:line="360" w:lineRule="auto"/>
        <w:ind w:left="420" w:leftChars="200" w:firstLine="480" w:firstLineChars="200"/>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zh-CN"/>
        </w:rPr>
        <w:t>.</w:t>
      </w: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zh-CN"/>
        </w:rPr>
        <w:t>.</w:t>
      </w:r>
      <w:r>
        <w:rPr>
          <w:rFonts w:hint="eastAsia" w:ascii="仿宋" w:hAnsi="仿宋" w:eastAsia="仿宋" w:cs="仿宋"/>
          <w:color w:val="auto"/>
          <w:sz w:val="24"/>
          <w:highlight w:val="none"/>
        </w:rPr>
        <w:t>8</w:t>
      </w:r>
      <w:r>
        <w:rPr>
          <w:rFonts w:hint="eastAsia" w:ascii="仿宋" w:hAnsi="仿宋" w:eastAsia="仿宋" w:cs="仿宋"/>
          <w:color w:val="auto"/>
          <w:sz w:val="24"/>
          <w:highlight w:val="none"/>
          <w:lang w:val="zh-CN"/>
        </w:rPr>
        <w:t>政府采购供应商廉洁自律承诺书；</w:t>
      </w:r>
    </w:p>
    <w:p>
      <w:pPr>
        <w:snapToGrid w:val="0"/>
        <w:spacing w:line="360" w:lineRule="auto"/>
        <w:ind w:left="420" w:leftChars="200" w:firstLine="480" w:firstLineChars="200"/>
        <w:rPr>
          <w:rFonts w:hint="default" w:eastAsia="仿宋"/>
          <w:color w:val="auto"/>
          <w:highlight w:val="none"/>
          <w:lang w:val="en-US" w:eastAsia="zh-CN"/>
        </w:rPr>
      </w:pPr>
      <w:r>
        <w:rPr>
          <w:rFonts w:hint="eastAsia" w:ascii="仿宋" w:hAnsi="仿宋" w:eastAsia="仿宋" w:cs="仿宋"/>
          <w:color w:val="auto"/>
          <w:sz w:val="24"/>
          <w:highlight w:val="none"/>
          <w:lang w:val="en-US" w:eastAsia="zh-CN"/>
        </w:rPr>
        <w:t>2.2.9</w:t>
      </w:r>
      <w:r>
        <w:rPr>
          <w:rFonts w:hint="eastAsia" w:ascii="仿宋" w:hAnsi="仿宋" w:eastAsia="仿宋" w:cs="仿宋"/>
          <w:b w:val="0"/>
          <w:bCs w:val="0"/>
          <w:color w:val="auto"/>
          <w:kern w:val="2"/>
          <w:sz w:val="24"/>
          <w:szCs w:val="24"/>
          <w:highlight w:val="none"/>
          <w:lang w:val="en-US" w:eastAsia="zh-CN" w:bidi="ar-SA"/>
        </w:rPr>
        <w:t>政府采购活动现场确认声明书；</w:t>
      </w:r>
    </w:p>
    <w:p>
      <w:pPr>
        <w:snapToGrid w:val="0"/>
        <w:spacing w:line="360" w:lineRule="auto"/>
        <w:ind w:left="210" w:leftChars="10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zh-CN"/>
        </w:rPr>
        <w:t>.</w:t>
      </w:r>
      <w:r>
        <w:rPr>
          <w:rFonts w:hint="eastAsia" w:ascii="仿宋" w:hAnsi="仿宋" w:eastAsia="仿宋" w:cs="仿宋"/>
          <w:color w:val="auto"/>
          <w:sz w:val="24"/>
          <w:highlight w:val="none"/>
        </w:rPr>
        <w:t>3报价文件</w:t>
      </w:r>
    </w:p>
    <w:p>
      <w:pPr>
        <w:snapToGrid w:val="0"/>
        <w:spacing w:line="360" w:lineRule="auto"/>
        <w:ind w:left="420" w:leftChars="20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2.3.1开标一览表（报价表）；</w:t>
      </w:r>
    </w:p>
    <w:p>
      <w:pPr>
        <w:snapToGrid w:val="0"/>
        <w:spacing w:line="360" w:lineRule="auto"/>
        <w:ind w:left="420" w:leftChars="20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2.3.2中小企业声明函（如果有）。</w:t>
      </w:r>
    </w:p>
    <w:p>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3、我方承诺除商务技术偏离表列出的偏离外，我方响应招标文件的全部要求。</w:t>
      </w:r>
    </w:p>
    <w:p>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4、如我方中标，我方承诺：</w:t>
      </w:r>
    </w:p>
    <w:p>
      <w:pPr>
        <w:snapToGrid w:val="0"/>
        <w:spacing w:line="360" w:lineRule="auto"/>
        <w:ind w:left="210" w:leftChars="10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4.1在收到中标通知书后，在中标通知书规定的期限内与你方签订合同； </w:t>
      </w:r>
    </w:p>
    <w:p>
      <w:pPr>
        <w:snapToGrid w:val="0"/>
        <w:spacing w:line="360" w:lineRule="auto"/>
        <w:ind w:left="210" w:leftChars="10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4.2在签订合同时不向你方提出附加条件； </w:t>
      </w:r>
    </w:p>
    <w:p>
      <w:pPr>
        <w:snapToGrid w:val="0"/>
        <w:spacing w:line="360" w:lineRule="auto"/>
        <w:ind w:left="210" w:leftChars="10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4.3按照招标文件要求提交履约保证金； </w:t>
      </w:r>
    </w:p>
    <w:p>
      <w:pPr>
        <w:snapToGrid w:val="0"/>
        <w:spacing w:line="360" w:lineRule="auto"/>
        <w:ind w:left="210" w:leftChars="10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4.4在合同约定的期限内完成合同规定的全部义务。 </w:t>
      </w:r>
    </w:p>
    <w:p>
      <w:pPr>
        <w:snapToGrid w:val="0"/>
        <w:spacing w:line="360" w:lineRule="auto"/>
        <w:ind w:left="210" w:leftChars="10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5、其他补充说明:</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pPr>
        <w:spacing w:line="360"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snapToGrid w:val="0"/>
        <w:spacing w:line="360" w:lineRule="auto"/>
        <w:ind w:left="420" w:leftChars="200" w:firstLine="4200" w:firstLineChars="1750"/>
        <w:rPr>
          <w:rFonts w:hint="eastAsia" w:ascii="仿宋" w:hAnsi="仿宋" w:eastAsia="仿宋" w:cs="仿宋"/>
          <w:color w:val="auto"/>
          <w:kern w:val="0"/>
          <w:sz w:val="24"/>
          <w:highlight w:val="none"/>
          <w:u w:val="single"/>
        </w:rPr>
      </w:pPr>
    </w:p>
    <w:p>
      <w:pPr>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pPr>
        <w:snapToGrid w:val="0"/>
        <w:spacing w:line="360" w:lineRule="auto"/>
        <w:jc w:val="center"/>
        <w:rPr>
          <w:rFonts w:hint="eastAsia" w:ascii="仿宋" w:hAnsi="仿宋" w:eastAsia="仿宋" w:cs="仿宋"/>
          <w:b/>
          <w:color w:val="auto"/>
          <w:kern w:val="0"/>
          <w:sz w:val="32"/>
          <w:szCs w:val="32"/>
          <w:highlight w:val="none"/>
        </w:rPr>
      </w:pPr>
    </w:p>
    <w:p>
      <w:pPr>
        <w:snapToGrid w:val="0"/>
        <w:spacing w:line="360" w:lineRule="auto"/>
        <w:rPr>
          <w:rFonts w:hint="eastAsia" w:ascii="仿宋" w:hAnsi="仿宋" w:eastAsia="仿宋" w:cs="仿宋"/>
          <w:color w:val="auto"/>
          <w:sz w:val="24"/>
          <w:highlight w:val="none"/>
        </w:rPr>
      </w:pPr>
    </w:p>
    <w:p>
      <w:pPr>
        <w:jc w:val="center"/>
        <w:rPr>
          <w:rFonts w:hint="eastAsia" w:ascii="仿宋" w:hAnsi="仿宋" w:eastAsia="仿宋" w:cs="仿宋"/>
          <w:b/>
          <w:color w:val="auto"/>
          <w:kern w:val="0"/>
          <w:sz w:val="32"/>
          <w:szCs w:val="32"/>
          <w:highlight w:val="none"/>
        </w:rPr>
      </w:pPr>
    </w:p>
    <w:p>
      <w:pPr>
        <w:jc w:val="center"/>
        <w:rPr>
          <w:rFonts w:hint="eastAsia" w:ascii="仿宋" w:hAnsi="仿宋" w:eastAsia="仿宋" w:cs="仿宋"/>
          <w:b/>
          <w:color w:val="auto"/>
          <w:kern w:val="0"/>
          <w:sz w:val="32"/>
          <w:szCs w:val="32"/>
          <w:highlight w:val="none"/>
        </w:rPr>
      </w:pPr>
    </w:p>
    <w:p>
      <w:pPr>
        <w:jc w:val="center"/>
        <w:rPr>
          <w:rFonts w:hint="eastAsia" w:ascii="仿宋" w:hAnsi="仿宋" w:eastAsia="仿宋" w:cs="仿宋"/>
          <w:b/>
          <w:color w:val="auto"/>
          <w:kern w:val="0"/>
          <w:sz w:val="32"/>
          <w:szCs w:val="32"/>
          <w:highlight w:val="none"/>
        </w:rPr>
      </w:pPr>
    </w:p>
    <w:p>
      <w:pPr>
        <w:jc w:val="center"/>
        <w:rPr>
          <w:rFonts w:hint="eastAsia" w:ascii="仿宋" w:hAnsi="仿宋" w:eastAsia="仿宋" w:cs="仿宋"/>
          <w:b/>
          <w:color w:val="auto"/>
          <w:kern w:val="0"/>
          <w:sz w:val="32"/>
          <w:szCs w:val="32"/>
          <w:highlight w:val="none"/>
        </w:rPr>
      </w:pPr>
    </w:p>
    <w:p>
      <w:pPr>
        <w:jc w:val="center"/>
        <w:rPr>
          <w:rFonts w:hint="eastAsia" w:ascii="仿宋" w:hAnsi="仿宋" w:eastAsia="仿宋" w:cs="仿宋"/>
          <w:b/>
          <w:color w:val="auto"/>
          <w:kern w:val="0"/>
          <w:sz w:val="32"/>
          <w:szCs w:val="32"/>
          <w:highlight w:val="none"/>
        </w:rPr>
      </w:pPr>
    </w:p>
    <w:p>
      <w:pPr>
        <w:jc w:val="center"/>
        <w:rPr>
          <w:rFonts w:hint="eastAsia" w:ascii="仿宋" w:hAnsi="仿宋" w:eastAsia="仿宋" w:cs="仿宋"/>
          <w:b/>
          <w:color w:val="auto"/>
          <w:kern w:val="0"/>
          <w:sz w:val="32"/>
          <w:szCs w:val="32"/>
          <w:highlight w:val="none"/>
        </w:rPr>
      </w:pPr>
    </w:p>
    <w:p>
      <w:pPr>
        <w:jc w:val="center"/>
        <w:rPr>
          <w:rFonts w:hint="eastAsia" w:ascii="仿宋" w:hAnsi="仿宋" w:eastAsia="仿宋" w:cs="仿宋"/>
          <w:b/>
          <w:color w:val="auto"/>
          <w:kern w:val="0"/>
          <w:sz w:val="32"/>
          <w:szCs w:val="32"/>
          <w:highlight w:val="none"/>
        </w:rPr>
      </w:pPr>
    </w:p>
    <w:p>
      <w:pPr>
        <w:jc w:val="center"/>
        <w:rPr>
          <w:rFonts w:hint="eastAsia" w:ascii="仿宋" w:hAnsi="仿宋" w:eastAsia="仿宋" w:cs="仿宋"/>
          <w:b/>
          <w:color w:val="auto"/>
          <w:kern w:val="0"/>
          <w:sz w:val="32"/>
          <w:szCs w:val="32"/>
          <w:highlight w:val="none"/>
        </w:rPr>
      </w:pPr>
    </w:p>
    <w:p>
      <w:pPr>
        <w:jc w:val="center"/>
        <w:rPr>
          <w:rFonts w:hint="eastAsia" w:ascii="仿宋" w:hAnsi="仿宋" w:eastAsia="仿宋" w:cs="仿宋"/>
          <w:b/>
          <w:color w:val="auto"/>
          <w:kern w:val="0"/>
          <w:sz w:val="32"/>
          <w:szCs w:val="32"/>
          <w:highlight w:val="none"/>
        </w:rPr>
      </w:pPr>
    </w:p>
    <w:p>
      <w:pPr>
        <w:jc w:val="center"/>
        <w:rPr>
          <w:rFonts w:hint="eastAsia" w:ascii="仿宋" w:hAnsi="仿宋" w:eastAsia="仿宋" w:cs="仿宋"/>
          <w:b/>
          <w:color w:val="auto"/>
          <w:kern w:val="0"/>
          <w:sz w:val="32"/>
          <w:szCs w:val="32"/>
          <w:highlight w:val="none"/>
        </w:rPr>
      </w:pPr>
    </w:p>
    <w:p>
      <w:pPr>
        <w:jc w:val="center"/>
        <w:rPr>
          <w:rFonts w:hint="eastAsia" w:ascii="仿宋" w:hAnsi="仿宋" w:eastAsia="仿宋" w:cs="仿宋"/>
          <w:b/>
          <w:color w:val="auto"/>
          <w:kern w:val="0"/>
          <w:sz w:val="32"/>
          <w:szCs w:val="32"/>
          <w:highlight w:val="none"/>
        </w:rPr>
      </w:pPr>
    </w:p>
    <w:p>
      <w:pPr>
        <w:jc w:val="center"/>
        <w:rPr>
          <w:rFonts w:hint="eastAsia" w:ascii="仿宋" w:hAnsi="仿宋" w:eastAsia="仿宋" w:cs="仿宋"/>
          <w:b/>
          <w:color w:val="auto"/>
          <w:kern w:val="0"/>
          <w:sz w:val="32"/>
          <w:szCs w:val="32"/>
          <w:highlight w:val="none"/>
        </w:rPr>
      </w:pPr>
    </w:p>
    <w:p>
      <w:pPr>
        <w:jc w:val="center"/>
        <w:rPr>
          <w:rFonts w:hint="eastAsia" w:ascii="仿宋" w:hAnsi="仿宋" w:eastAsia="仿宋" w:cs="仿宋"/>
          <w:b/>
          <w:color w:val="auto"/>
          <w:kern w:val="0"/>
          <w:sz w:val="32"/>
          <w:szCs w:val="32"/>
          <w:highlight w:val="none"/>
        </w:rPr>
      </w:pPr>
    </w:p>
    <w:p>
      <w:pPr>
        <w:jc w:val="center"/>
        <w:rPr>
          <w:rFonts w:hint="eastAsia" w:ascii="仿宋" w:hAnsi="仿宋" w:eastAsia="仿宋" w:cs="仿宋"/>
          <w:b/>
          <w:color w:val="auto"/>
          <w:kern w:val="0"/>
          <w:sz w:val="32"/>
          <w:szCs w:val="32"/>
          <w:highlight w:val="none"/>
        </w:rPr>
      </w:pPr>
    </w:p>
    <w:p>
      <w:pPr>
        <w:jc w:val="center"/>
        <w:rPr>
          <w:rFonts w:hint="eastAsia" w:ascii="仿宋" w:hAnsi="仿宋" w:eastAsia="仿宋" w:cs="仿宋"/>
          <w:b/>
          <w:color w:val="auto"/>
          <w:kern w:val="0"/>
          <w:sz w:val="32"/>
          <w:szCs w:val="32"/>
          <w:highlight w:val="none"/>
        </w:rPr>
      </w:pPr>
    </w:p>
    <w:p>
      <w:pPr>
        <w:jc w:val="center"/>
        <w:rPr>
          <w:rFonts w:hint="eastAsia" w:ascii="仿宋" w:hAnsi="仿宋" w:eastAsia="仿宋" w:cs="仿宋"/>
          <w:b/>
          <w:color w:val="auto"/>
          <w:kern w:val="0"/>
          <w:sz w:val="32"/>
          <w:szCs w:val="32"/>
          <w:highlight w:val="none"/>
        </w:rPr>
      </w:pPr>
    </w:p>
    <w:p>
      <w:pPr>
        <w:jc w:val="center"/>
        <w:rPr>
          <w:rFonts w:hint="eastAsia" w:ascii="仿宋" w:hAnsi="仿宋" w:eastAsia="仿宋" w:cs="仿宋"/>
          <w:b/>
          <w:color w:val="auto"/>
          <w:kern w:val="0"/>
          <w:sz w:val="32"/>
          <w:szCs w:val="32"/>
          <w:highlight w:val="none"/>
        </w:rPr>
      </w:pPr>
    </w:p>
    <w:p>
      <w:pPr>
        <w:jc w:val="center"/>
        <w:rPr>
          <w:rFonts w:hint="eastAsia" w:ascii="仿宋" w:hAnsi="仿宋" w:eastAsia="仿宋" w:cs="仿宋"/>
          <w:b/>
          <w:color w:val="auto"/>
          <w:kern w:val="0"/>
          <w:sz w:val="32"/>
          <w:szCs w:val="32"/>
          <w:highlight w:val="none"/>
        </w:rPr>
      </w:pPr>
    </w:p>
    <w:p>
      <w:pPr>
        <w:jc w:val="center"/>
        <w:rPr>
          <w:rFonts w:hint="eastAsia" w:ascii="仿宋" w:hAnsi="仿宋" w:eastAsia="仿宋" w:cs="仿宋"/>
          <w:b/>
          <w:color w:val="auto"/>
          <w:kern w:val="0"/>
          <w:sz w:val="32"/>
          <w:szCs w:val="32"/>
          <w:highlight w:val="none"/>
        </w:rPr>
      </w:pPr>
    </w:p>
    <w:p>
      <w:pPr>
        <w:jc w:val="center"/>
        <w:rPr>
          <w:rFonts w:hint="eastAsia" w:ascii="仿宋" w:hAnsi="仿宋" w:eastAsia="仿宋" w:cs="仿宋"/>
          <w:b/>
          <w:color w:val="auto"/>
          <w:kern w:val="0"/>
          <w:sz w:val="32"/>
          <w:szCs w:val="32"/>
          <w:highlight w:val="none"/>
        </w:rPr>
      </w:pPr>
    </w:p>
    <w:p>
      <w:pPr>
        <w:pStyle w:val="4"/>
        <w:rPr>
          <w:rFonts w:hint="eastAsia" w:ascii="仿宋" w:hAnsi="仿宋" w:eastAsia="仿宋" w:cs="仿宋"/>
          <w:color w:val="auto"/>
          <w:highlight w:val="none"/>
          <w:lang w:val="en-US"/>
        </w:rPr>
      </w:pPr>
    </w:p>
    <w:p>
      <w:pPr>
        <w:jc w:val="center"/>
        <w:rPr>
          <w:rFonts w:hint="eastAsia" w:ascii="仿宋" w:hAnsi="仿宋" w:eastAsia="仿宋" w:cs="仿宋"/>
          <w:b/>
          <w:color w:val="auto"/>
          <w:kern w:val="0"/>
          <w:sz w:val="32"/>
          <w:szCs w:val="32"/>
          <w:highlight w:val="none"/>
        </w:rPr>
      </w:pPr>
    </w:p>
    <w:p>
      <w:pPr>
        <w:jc w:val="center"/>
        <w:rPr>
          <w:rFonts w:hint="eastAsia" w:ascii="仿宋" w:hAnsi="仿宋" w:eastAsia="仿宋" w:cs="仿宋"/>
          <w:b/>
          <w:color w:val="auto"/>
          <w:kern w:val="0"/>
          <w:sz w:val="32"/>
          <w:szCs w:val="32"/>
          <w:highlight w:val="none"/>
        </w:rPr>
      </w:pPr>
    </w:p>
    <w:p>
      <w:pPr>
        <w:jc w:val="center"/>
        <w:rPr>
          <w:rFonts w:hint="eastAsia" w:ascii="仿宋" w:hAnsi="仿宋" w:eastAsia="仿宋" w:cs="仿宋"/>
          <w:b/>
          <w:color w:val="auto"/>
          <w:kern w:val="0"/>
          <w:sz w:val="32"/>
          <w:szCs w:val="32"/>
          <w:highlight w:val="none"/>
          <w:lang w:val="zh-CN"/>
        </w:rPr>
      </w:pPr>
    </w:p>
    <w:p>
      <w:pPr>
        <w:jc w:val="center"/>
        <w:rPr>
          <w:rFonts w:hint="eastAsia" w:ascii="仿宋" w:hAnsi="仿宋" w:eastAsia="仿宋" w:cs="仿宋"/>
          <w:b/>
          <w:color w:val="auto"/>
          <w:kern w:val="0"/>
          <w:sz w:val="32"/>
          <w:szCs w:val="32"/>
          <w:highlight w:val="none"/>
          <w:lang w:val="zh-CN"/>
        </w:rPr>
      </w:pPr>
      <w:r>
        <w:rPr>
          <w:rFonts w:hint="eastAsia" w:ascii="仿宋" w:hAnsi="仿宋" w:eastAsia="仿宋" w:cs="仿宋"/>
          <w:b/>
          <w:color w:val="auto"/>
          <w:kern w:val="0"/>
          <w:sz w:val="32"/>
          <w:szCs w:val="32"/>
          <w:highlight w:val="none"/>
          <w:lang w:val="zh-CN"/>
        </w:rPr>
        <w:t>二、授权委托书或法定代表人（单位负责人、自然人本人）身份证明</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w:t>
      </w:r>
    </w:p>
    <w:p>
      <w:pPr>
        <w:snapToGrid w:val="0"/>
        <w:spacing w:line="360" w:lineRule="auto"/>
        <w:ind w:firstLine="2872" w:firstLineChars="894"/>
        <w:rPr>
          <w:rFonts w:hint="eastAsia" w:ascii="仿宋" w:hAnsi="仿宋" w:eastAsia="仿宋" w:cs="仿宋"/>
          <w:color w:val="auto"/>
          <w:highlight w:val="none"/>
        </w:rPr>
      </w:pPr>
      <w:r>
        <w:rPr>
          <w:rFonts w:hint="eastAsia" w:ascii="仿宋" w:hAnsi="仿宋" w:eastAsia="仿宋" w:cs="仿宋"/>
          <w:b/>
          <w:color w:val="auto"/>
          <w:kern w:val="0"/>
          <w:sz w:val="32"/>
          <w:szCs w:val="32"/>
          <w:highlight w:val="none"/>
          <w:lang w:val="zh-CN"/>
        </w:rPr>
        <w:t>授权委托书（适用于非联合体投标）</w:t>
      </w:r>
      <w:r>
        <w:rPr>
          <w:rFonts w:hint="eastAsia" w:ascii="仿宋" w:hAnsi="仿宋" w:eastAsia="仿宋" w:cs="仿宋"/>
          <w:color w:val="auto"/>
          <w:highlight w:val="none"/>
        </w:rPr>
        <w:t xml:space="preserve">                               </w:t>
      </w:r>
    </w:p>
    <w:p>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lang w:eastAsia="zh-CN"/>
        </w:rPr>
        <w:t>杭州市余杭区人民政府余杭街道办事处</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eastAsia="zh-CN"/>
        </w:rPr>
        <w:t>杭州天坤建设咨询有限公司</w:t>
      </w:r>
      <w:r>
        <w:rPr>
          <w:rFonts w:hint="eastAsia" w:ascii="仿宋" w:hAnsi="仿宋" w:eastAsia="仿宋" w:cs="仿宋"/>
          <w:color w:val="auto"/>
          <w:kern w:val="0"/>
          <w:sz w:val="24"/>
          <w:highlight w:val="none"/>
          <w:lang w:val="zh-CN"/>
        </w:rPr>
        <w:t>：</w:t>
      </w:r>
    </w:p>
    <w:p>
      <w:pPr>
        <w:snapToGrid w:val="0"/>
        <w:spacing w:line="360" w:lineRule="auto"/>
        <w:ind w:firstLine="576"/>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现</w:t>
      </w:r>
      <w:r>
        <w:rPr>
          <w:rFonts w:hint="eastAsia" w:ascii="仿宋" w:hAnsi="仿宋" w:eastAsia="仿宋" w:cs="仿宋"/>
          <w:color w:val="auto"/>
          <w:kern w:val="0"/>
          <w:sz w:val="24"/>
          <w:highlight w:val="none"/>
          <w:lang w:val="zh-CN"/>
        </w:rPr>
        <w:t>委托</w:t>
      </w:r>
      <w:r>
        <w:rPr>
          <w:rFonts w:hint="eastAsia" w:ascii="仿宋" w:hAnsi="仿宋" w:eastAsia="仿宋" w:cs="仿宋"/>
          <w:color w:val="auto"/>
          <w:kern w:val="0"/>
          <w:sz w:val="24"/>
          <w:highlight w:val="none"/>
          <w:u w:val="single"/>
          <w:lang w:val="zh-CN"/>
        </w:rPr>
        <w:t xml:space="preserve">          </w:t>
      </w:r>
      <w:r>
        <w:rPr>
          <w:rFonts w:hint="eastAsia" w:ascii="仿宋" w:hAnsi="仿宋" w:eastAsia="仿宋" w:cs="仿宋"/>
          <w:color w:val="auto"/>
          <w:kern w:val="0"/>
          <w:sz w:val="24"/>
          <w:highlight w:val="none"/>
          <w:lang w:val="zh-CN"/>
        </w:rPr>
        <w:t>（姓名）为我方代理人（身份证号码：</w:t>
      </w:r>
      <w:r>
        <w:rPr>
          <w:rFonts w:hint="eastAsia" w:ascii="仿宋" w:hAnsi="仿宋" w:eastAsia="仿宋" w:cs="仿宋"/>
          <w:color w:val="auto"/>
          <w:kern w:val="0"/>
          <w:sz w:val="24"/>
          <w:highlight w:val="none"/>
          <w:u w:val="single"/>
          <w:lang w:val="zh-CN"/>
        </w:rPr>
        <w:t xml:space="preserve">          </w:t>
      </w:r>
      <w:r>
        <w:rPr>
          <w:rFonts w:hint="eastAsia" w:ascii="仿宋" w:hAnsi="仿宋" w:eastAsia="仿宋" w:cs="仿宋"/>
          <w:color w:val="auto"/>
          <w:kern w:val="0"/>
          <w:sz w:val="24"/>
          <w:highlight w:val="none"/>
          <w:lang w:val="zh-CN"/>
        </w:rPr>
        <w:t>，手机：</w:t>
      </w:r>
      <w:r>
        <w:rPr>
          <w:rFonts w:hint="eastAsia" w:ascii="仿宋" w:hAnsi="仿宋" w:eastAsia="仿宋" w:cs="仿宋"/>
          <w:color w:val="auto"/>
          <w:kern w:val="0"/>
          <w:sz w:val="24"/>
          <w:highlight w:val="none"/>
          <w:u w:val="single"/>
          <w:lang w:val="zh-CN"/>
        </w:rPr>
        <w:t xml:space="preserve">          </w:t>
      </w:r>
      <w:r>
        <w:rPr>
          <w:rFonts w:hint="eastAsia" w:ascii="仿宋" w:hAnsi="仿宋" w:eastAsia="仿宋" w:cs="仿宋"/>
          <w:color w:val="auto"/>
          <w:kern w:val="0"/>
          <w:sz w:val="24"/>
          <w:highlight w:val="none"/>
          <w:lang w:val="zh-CN"/>
        </w:rPr>
        <w:t>），以我方名义处理</w:t>
      </w:r>
      <w:r>
        <w:rPr>
          <w:rFonts w:hint="eastAsia" w:ascii="仿宋" w:hAnsi="仿宋" w:eastAsia="仿宋" w:cs="仿宋"/>
          <w:color w:val="auto"/>
          <w:sz w:val="24"/>
          <w:highlight w:val="none"/>
          <w:lang w:eastAsia="zh-CN"/>
        </w:rPr>
        <w:t>余杭街道2023年区域性微型消防救援站服务外包项目</w:t>
      </w:r>
      <w:r>
        <w:rPr>
          <w:rFonts w:hint="eastAsia" w:ascii="仿宋" w:hAnsi="仿宋" w:eastAsia="仿宋" w:cs="仿宋"/>
          <w:color w:val="auto"/>
          <w:sz w:val="24"/>
          <w:highlight w:val="none"/>
        </w:rPr>
        <w:t>【招标编号：</w:t>
      </w:r>
      <w:r>
        <w:rPr>
          <w:rFonts w:hint="eastAsia" w:ascii="仿宋" w:hAnsi="仿宋" w:eastAsia="仿宋" w:cs="仿宋"/>
          <w:color w:val="auto"/>
          <w:sz w:val="24"/>
          <w:highlight w:val="none"/>
          <w:lang w:eastAsia="zh-CN"/>
        </w:rPr>
        <w:t>TKZXCG-2023-034-1</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政府采购投标的一切事项，其法律后果由我方承担。</w:t>
      </w:r>
    </w:p>
    <w:p>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委托期限</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自</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年</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月</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日起至</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年</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月</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日止。</w:t>
      </w:r>
    </w:p>
    <w:p>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特此告知。</w:t>
      </w:r>
    </w:p>
    <w:p>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投标人名称(电子签名)：</w:t>
      </w:r>
    </w:p>
    <w:p>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签发日期：  年  月   日</w:t>
      </w:r>
    </w:p>
    <w:p>
      <w:pPr>
        <w:snapToGrid w:val="0"/>
        <w:spacing w:line="360" w:lineRule="auto"/>
        <w:rPr>
          <w:rFonts w:hint="eastAsia" w:ascii="仿宋" w:hAnsi="仿宋" w:eastAsia="仿宋" w:cs="仿宋"/>
          <w:color w:val="auto"/>
          <w:sz w:val="24"/>
          <w:highlight w:val="none"/>
        </w:rPr>
      </w:pPr>
    </w:p>
    <w:p>
      <w:pPr>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val="zh-CN"/>
        </w:rPr>
        <w:t xml:space="preserve">      </w:t>
      </w:r>
      <w:r>
        <w:rPr>
          <w:rFonts w:hint="eastAsia" w:ascii="仿宋" w:hAnsi="仿宋" w:eastAsia="仿宋" w:cs="仿宋"/>
          <w:b/>
          <w:color w:val="auto"/>
          <w:kern w:val="0"/>
          <w:sz w:val="32"/>
          <w:szCs w:val="32"/>
          <w:highlight w:val="none"/>
        </w:rPr>
        <w:t xml:space="preserve"> </w:t>
      </w:r>
      <w:r>
        <w:rPr>
          <w:rFonts w:hint="eastAsia" w:ascii="仿宋" w:hAnsi="仿宋" w:eastAsia="仿宋" w:cs="仿宋"/>
          <w:b/>
          <w:color w:val="auto"/>
          <w:kern w:val="0"/>
          <w:sz w:val="32"/>
          <w:szCs w:val="32"/>
          <w:highlight w:val="none"/>
          <w:lang w:val="zh-CN"/>
        </w:rPr>
        <w:t>授权委托书（适用于联合体投标）</w:t>
      </w:r>
    </w:p>
    <w:p>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lang w:eastAsia="zh-CN"/>
        </w:rPr>
        <w:t>杭州市余杭区人民政府余杭街道办事处</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eastAsia="zh-CN"/>
        </w:rPr>
        <w:t>杭州天坤建设咨询有限公司</w:t>
      </w:r>
      <w:r>
        <w:rPr>
          <w:rFonts w:hint="eastAsia" w:ascii="仿宋" w:hAnsi="仿宋" w:eastAsia="仿宋" w:cs="仿宋"/>
          <w:color w:val="auto"/>
          <w:kern w:val="0"/>
          <w:sz w:val="24"/>
          <w:highlight w:val="none"/>
          <w:lang w:val="zh-CN"/>
        </w:rPr>
        <w:t>：</w:t>
      </w:r>
    </w:p>
    <w:p>
      <w:pPr>
        <w:snapToGrid w:val="0"/>
        <w:spacing w:line="360" w:lineRule="auto"/>
        <w:ind w:firstLine="576"/>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现</w:t>
      </w:r>
      <w:r>
        <w:rPr>
          <w:rFonts w:hint="eastAsia" w:ascii="仿宋" w:hAnsi="仿宋" w:eastAsia="仿宋" w:cs="仿宋"/>
          <w:color w:val="auto"/>
          <w:kern w:val="0"/>
          <w:sz w:val="24"/>
          <w:highlight w:val="none"/>
          <w:lang w:val="zh-CN"/>
        </w:rPr>
        <w:t>委托</w:t>
      </w:r>
      <w:r>
        <w:rPr>
          <w:rFonts w:hint="eastAsia" w:ascii="仿宋" w:hAnsi="仿宋" w:eastAsia="仿宋" w:cs="仿宋"/>
          <w:color w:val="auto"/>
          <w:kern w:val="0"/>
          <w:sz w:val="24"/>
          <w:highlight w:val="none"/>
          <w:u w:val="single"/>
          <w:lang w:val="zh-CN"/>
        </w:rPr>
        <w:t xml:space="preserve">          </w:t>
      </w:r>
      <w:r>
        <w:rPr>
          <w:rFonts w:hint="eastAsia" w:ascii="仿宋" w:hAnsi="仿宋" w:eastAsia="仿宋" w:cs="仿宋"/>
          <w:color w:val="auto"/>
          <w:kern w:val="0"/>
          <w:sz w:val="24"/>
          <w:highlight w:val="none"/>
          <w:lang w:val="zh-CN"/>
        </w:rPr>
        <w:t>（姓名）为我方代理人（身份证号码：</w:t>
      </w:r>
      <w:r>
        <w:rPr>
          <w:rFonts w:hint="eastAsia" w:ascii="仿宋" w:hAnsi="仿宋" w:eastAsia="仿宋" w:cs="仿宋"/>
          <w:color w:val="auto"/>
          <w:kern w:val="0"/>
          <w:sz w:val="24"/>
          <w:highlight w:val="none"/>
          <w:u w:val="single"/>
          <w:lang w:val="zh-CN"/>
        </w:rPr>
        <w:t xml:space="preserve">          </w:t>
      </w:r>
      <w:r>
        <w:rPr>
          <w:rFonts w:hint="eastAsia" w:ascii="仿宋" w:hAnsi="仿宋" w:eastAsia="仿宋" w:cs="仿宋"/>
          <w:color w:val="auto"/>
          <w:kern w:val="0"/>
          <w:sz w:val="24"/>
          <w:highlight w:val="none"/>
          <w:lang w:val="zh-CN"/>
        </w:rPr>
        <w:t>，手机：</w:t>
      </w:r>
      <w:r>
        <w:rPr>
          <w:rFonts w:hint="eastAsia" w:ascii="仿宋" w:hAnsi="仿宋" w:eastAsia="仿宋" w:cs="仿宋"/>
          <w:color w:val="auto"/>
          <w:kern w:val="0"/>
          <w:sz w:val="24"/>
          <w:highlight w:val="none"/>
          <w:u w:val="single"/>
          <w:lang w:val="zh-CN"/>
        </w:rPr>
        <w:t xml:space="preserve">          </w:t>
      </w:r>
      <w:r>
        <w:rPr>
          <w:rFonts w:hint="eastAsia" w:ascii="仿宋" w:hAnsi="仿宋" w:eastAsia="仿宋" w:cs="仿宋"/>
          <w:color w:val="auto"/>
          <w:kern w:val="0"/>
          <w:sz w:val="24"/>
          <w:highlight w:val="none"/>
          <w:lang w:val="zh-CN"/>
        </w:rPr>
        <w:t>），以我方名义处理</w:t>
      </w:r>
      <w:r>
        <w:rPr>
          <w:rFonts w:hint="eastAsia" w:ascii="仿宋" w:hAnsi="仿宋" w:eastAsia="仿宋" w:cs="仿宋"/>
          <w:color w:val="auto"/>
          <w:sz w:val="24"/>
          <w:highlight w:val="none"/>
          <w:lang w:eastAsia="zh-CN"/>
        </w:rPr>
        <w:t>余杭街道2023年区域性微型消防救援站服务外包项目</w:t>
      </w:r>
      <w:r>
        <w:rPr>
          <w:rFonts w:hint="eastAsia" w:ascii="仿宋" w:hAnsi="仿宋" w:eastAsia="仿宋" w:cs="仿宋"/>
          <w:color w:val="auto"/>
          <w:sz w:val="24"/>
          <w:highlight w:val="none"/>
        </w:rPr>
        <w:t>【招标编号：</w:t>
      </w:r>
      <w:r>
        <w:rPr>
          <w:rFonts w:hint="eastAsia" w:ascii="仿宋" w:hAnsi="仿宋" w:eastAsia="仿宋" w:cs="仿宋"/>
          <w:color w:val="auto"/>
          <w:sz w:val="24"/>
          <w:highlight w:val="none"/>
          <w:lang w:eastAsia="zh-CN"/>
        </w:rPr>
        <w:t>TKZXCG-2023-034-1</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政府采购投标的一切事项，其法律后果由我方承担。</w:t>
      </w:r>
    </w:p>
    <w:p>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委托期限</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自</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年</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月</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日起至</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年</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月</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日止。</w:t>
      </w:r>
    </w:p>
    <w:p>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特此告知。</w:t>
      </w:r>
    </w:p>
    <w:p>
      <w:pPr>
        <w:jc w:val="center"/>
        <w:rPr>
          <w:rFonts w:hint="eastAsia" w:ascii="仿宋" w:hAnsi="仿宋" w:eastAsia="仿宋" w:cs="仿宋"/>
          <w:b/>
          <w:color w:val="auto"/>
          <w:kern w:val="0"/>
          <w:sz w:val="32"/>
          <w:szCs w:val="32"/>
          <w:highlight w:val="none"/>
        </w:rPr>
      </w:pPr>
    </w:p>
    <w:p>
      <w:pPr>
        <w:rPr>
          <w:rFonts w:hint="eastAsia" w:ascii="仿宋" w:hAnsi="仿宋" w:eastAsia="仿宋" w:cs="仿宋"/>
          <w:color w:val="auto"/>
          <w:highlight w:val="none"/>
        </w:rPr>
      </w:pPr>
    </w:p>
    <w:p>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pPr>
        <w:snapToGrid w:val="0"/>
        <w:spacing w:line="360" w:lineRule="auto"/>
        <w:ind w:firstLine="5760" w:firstLineChars="2400"/>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pPr>
        <w:autoSpaceDE w:val="0"/>
        <w:autoSpaceDN w:val="0"/>
        <w:spacing w:line="360" w:lineRule="auto"/>
        <w:jc w:val="center"/>
        <w:rPr>
          <w:rFonts w:hint="eastAsia" w:ascii="仿宋" w:hAnsi="仿宋" w:eastAsia="仿宋" w:cs="仿宋"/>
          <w:b/>
          <w:color w:val="auto"/>
          <w:kern w:val="0"/>
          <w:sz w:val="32"/>
          <w:szCs w:val="32"/>
          <w:highlight w:val="none"/>
          <w:lang w:val="zh-CN"/>
        </w:rPr>
      </w:pPr>
    </w:p>
    <w:p>
      <w:pPr>
        <w:autoSpaceDE w:val="0"/>
        <w:autoSpaceDN w:val="0"/>
        <w:spacing w:line="360" w:lineRule="auto"/>
        <w:jc w:val="center"/>
        <w:rPr>
          <w:rFonts w:hint="eastAsia" w:ascii="仿宋" w:hAnsi="仿宋" w:eastAsia="仿宋" w:cs="仿宋"/>
          <w:b/>
          <w:color w:val="auto"/>
          <w:kern w:val="0"/>
          <w:sz w:val="32"/>
          <w:szCs w:val="32"/>
          <w:highlight w:val="none"/>
          <w:lang w:val="zh-CN"/>
        </w:rPr>
      </w:pPr>
    </w:p>
    <w:p>
      <w:pPr>
        <w:autoSpaceDE w:val="0"/>
        <w:autoSpaceDN w:val="0"/>
        <w:spacing w:line="360" w:lineRule="auto"/>
        <w:jc w:val="center"/>
        <w:rPr>
          <w:rFonts w:hint="eastAsia" w:ascii="仿宋" w:hAnsi="仿宋" w:eastAsia="仿宋" w:cs="仿宋"/>
          <w:b/>
          <w:color w:val="auto"/>
          <w:kern w:val="0"/>
          <w:sz w:val="32"/>
          <w:szCs w:val="32"/>
          <w:highlight w:val="none"/>
          <w:lang w:val="zh-CN"/>
        </w:rPr>
      </w:pPr>
    </w:p>
    <w:p>
      <w:pPr>
        <w:autoSpaceDE w:val="0"/>
        <w:autoSpaceDN w:val="0"/>
        <w:spacing w:line="360" w:lineRule="auto"/>
        <w:jc w:val="center"/>
        <w:rPr>
          <w:rFonts w:hint="eastAsia" w:ascii="仿宋" w:hAnsi="仿宋" w:eastAsia="仿宋" w:cs="仿宋"/>
          <w:b/>
          <w:color w:val="auto"/>
          <w:kern w:val="0"/>
          <w:sz w:val="32"/>
          <w:szCs w:val="32"/>
          <w:highlight w:val="none"/>
          <w:lang w:val="zh-CN"/>
        </w:rPr>
      </w:pPr>
    </w:p>
    <w:p>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kern w:val="0"/>
          <w:sz w:val="32"/>
          <w:szCs w:val="32"/>
          <w:highlight w:val="none"/>
          <w:lang w:val="zh-CN"/>
        </w:rPr>
        <w:t>法定代表人、单位负责人或自然人本人</w:t>
      </w:r>
      <w:r>
        <w:rPr>
          <w:rFonts w:hint="eastAsia" w:ascii="仿宋" w:hAnsi="仿宋" w:eastAsia="仿宋" w:cs="仿宋"/>
          <w:b/>
          <w:color w:val="auto"/>
          <w:sz w:val="30"/>
          <w:szCs w:val="30"/>
          <w:highlight w:val="none"/>
        </w:rPr>
        <w:t>的身份证明（适用于法定代表人、单位负责人或者自然人本人代表投标人参加投标）</w:t>
      </w:r>
    </w:p>
    <w:p>
      <w:pPr>
        <w:pStyle w:val="87"/>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身份证件扫描件：</w:t>
      </w:r>
    </w:p>
    <w:tbl>
      <w:tblPr>
        <w:tblStyle w:val="62"/>
        <w:tblW w:w="920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2" w:hRule="atLeast"/>
          <w:jc w:val="center"/>
        </w:trPr>
        <w:tc>
          <w:tcPr>
            <w:tcW w:w="9207" w:type="dxa"/>
            <w:vAlign w:val="top"/>
          </w:tcPr>
          <w:p>
            <w:pPr>
              <w:pStyle w:val="87"/>
              <w:adjustRightIn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正面：                                 反面：</w:t>
            </w:r>
          </w:p>
          <w:p>
            <w:pPr>
              <w:pStyle w:val="87"/>
              <w:adjustRightInd w:val="0"/>
              <w:spacing w:line="360" w:lineRule="auto"/>
              <w:rPr>
                <w:rFonts w:hint="eastAsia" w:ascii="仿宋" w:hAnsi="仿宋" w:eastAsia="仿宋" w:cs="仿宋"/>
                <w:bCs/>
                <w:color w:val="auto"/>
                <w:sz w:val="24"/>
                <w:highlight w:val="none"/>
              </w:rPr>
            </w:pPr>
          </w:p>
        </w:tc>
      </w:tr>
    </w:tbl>
    <w:p>
      <w:pPr>
        <w:snapToGrid w:val="0"/>
        <w:spacing w:line="360" w:lineRule="auto"/>
        <w:ind w:firstLine="576"/>
        <w:jc w:val="center"/>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w:t>
      </w:r>
    </w:p>
    <w:p>
      <w:pPr>
        <w:snapToGrid w:val="0"/>
        <w:spacing w:line="360" w:lineRule="auto"/>
        <w:ind w:firstLine="576"/>
        <w:jc w:val="center"/>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投标人名称(电子签名)：                              </w:t>
      </w:r>
    </w:p>
    <w:p>
      <w:pPr>
        <w:spacing w:line="360" w:lineRule="auto"/>
        <w:jc w:val="center"/>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pPr>
        <w:jc w:val="center"/>
        <w:rPr>
          <w:rFonts w:hint="eastAsia" w:ascii="仿宋" w:hAnsi="仿宋" w:eastAsia="仿宋" w:cs="仿宋"/>
          <w:b/>
          <w:color w:val="auto"/>
          <w:kern w:val="0"/>
          <w:sz w:val="32"/>
          <w:szCs w:val="32"/>
          <w:highlight w:val="none"/>
        </w:rPr>
      </w:pPr>
    </w:p>
    <w:p>
      <w:pPr>
        <w:jc w:val="center"/>
        <w:rPr>
          <w:rFonts w:hint="eastAsia" w:ascii="仿宋" w:hAnsi="仿宋" w:eastAsia="仿宋" w:cs="仿宋"/>
          <w:b/>
          <w:color w:val="auto"/>
          <w:kern w:val="0"/>
          <w:sz w:val="32"/>
          <w:szCs w:val="32"/>
          <w:highlight w:val="none"/>
        </w:rPr>
      </w:pPr>
    </w:p>
    <w:p>
      <w:pPr>
        <w:jc w:val="center"/>
        <w:rPr>
          <w:rFonts w:hint="eastAsia" w:ascii="仿宋" w:hAnsi="仿宋" w:eastAsia="仿宋" w:cs="仿宋"/>
          <w:b/>
          <w:color w:val="auto"/>
          <w:kern w:val="0"/>
          <w:sz w:val="32"/>
          <w:szCs w:val="32"/>
          <w:highlight w:val="none"/>
        </w:rPr>
      </w:pPr>
    </w:p>
    <w:p>
      <w:pPr>
        <w:snapToGrid w:val="0"/>
        <w:spacing w:line="360" w:lineRule="auto"/>
        <w:ind w:right="480"/>
        <w:rPr>
          <w:rFonts w:hint="eastAsia" w:ascii="仿宋" w:hAnsi="仿宋" w:eastAsia="仿宋" w:cs="仿宋"/>
          <w:b/>
          <w:color w:val="auto"/>
          <w:kern w:val="0"/>
          <w:sz w:val="32"/>
          <w:szCs w:val="32"/>
          <w:highlight w:val="none"/>
        </w:rPr>
        <w:sectPr>
          <w:headerReference r:id="rId9" w:type="first"/>
          <w:footerReference r:id="rId11" w:type="first"/>
          <w:headerReference r:id="rId8" w:type="default"/>
          <w:footerReference r:id="rId10" w:type="default"/>
          <w:pgSz w:w="11906" w:h="16838"/>
          <w:pgMar w:top="1276" w:right="1418" w:bottom="1247" w:left="1418" w:header="851" w:footer="992" w:gutter="0"/>
          <w:cols w:space="720" w:num="1"/>
          <w:titlePg/>
          <w:docGrid w:linePitch="312" w:charSpace="0"/>
        </w:sectPr>
      </w:pPr>
    </w:p>
    <w:p>
      <w:pPr>
        <w:snapToGrid w:val="0"/>
        <w:spacing w:line="360" w:lineRule="auto"/>
        <w:ind w:firstLine="3534" w:firstLineChars="1100"/>
        <w:rPr>
          <w:rFonts w:hint="eastAsia" w:ascii="仿宋" w:hAnsi="仿宋" w:eastAsia="仿宋" w:cs="仿宋"/>
          <w:b/>
          <w:color w:val="auto"/>
          <w:kern w:val="0"/>
          <w:sz w:val="32"/>
          <w:szCs w:val="32"/>
          <w:highlight w:val="none"/>
        </w:rPr>
      </w:pPr>
    </w:p>
    <w:p>
      <w:pPr>
        <w:snapToGrid w:val="0"/>
        <w:spacing w:line="480" w:lineRule="auto"/>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三、分包意向协议（如果有）</w:t>
      </w:r>
    </w:p>
    <w:p>
      <w:pPr>
        <w:widowControl/>
        <w:spacing w:line="480" w:lineRule="auto"/>
        <w:ind w:firstLine="120" w:firstLineChars="5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b/>
          <w:color w:val="auto"/>
          <w:sz w:val="24"/>
          <w:highlight w:val="none"/>
        </w:rPr>
        <w:t>中标后以分包方式履行合同的，提供分包意向协议(附件6)；采购人不同意分包或者投标人中标后不以分包方式履行合同的，则不需要提供。</w:t>
      </w:r>
      <w:r>
        <w:rPr>
          <w:rFonts w:hint="eastAsia" w:ascii="仿宋" w:hAnsi="仿宋" w:eastAsia="仿宋" w:cs="仿宋"/>
          <w:color w:val="auto"/>
          <w:sz w:val="24"/>
          <w:highlight w:val="none"/>
        </w:rPr>
        <w:t>]</w:t>
      </w:r>
    </w:p>
    <w:p>
      <w:pPr>
        <w:snapToGrid w:val="0"/>
        <w:spacing w:line="360" w:lineRule="auto"/>
        <w:rPr>
          <w:rFonts w:hint="eastAsia" w:ascii="仿宋" w:hAnsi="仿宋" w:eastAsia="仿宋" w:cs="仿宋"/>
          <w:color w:val="auto"/>
          <w:kern w:val="0"/>
          <w:sz w:val="24"/>
          <w:highlight w:val="none"/>
        </w:rPr>
      </w:pPr>
    </w:p>
    <w:p>
      <w:pPr>
        <w:pStyle w:val="4"/>
        <w:rPr>
          <w:rFonts w:hint="eastAsia"/>
          <w:color w:val="auto"/>
          <w:highlight w:val="none"/>
        </w:rPr>
      </w:pPr>
    </w:p>
    <w:p>
      <w:pPr>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四、符合性审查资料</w:t>
      </w:r>
    </w:p>
    <w:p>
      <w:pPr>
        <w:jc w:val="center"/>
        <w:rPr>
          <w:rFonts w:hint="eastAsia" w:ascii="仿宋" w:hAnsi="仿宋" w:eastAsia="仿宋" w:cs="仿宋"/>
          <w:b/>
          <w:color w:val="auto"/>
          <w:kern w:val="0"/>
          <w:sz w:val="32"/>
          <w:szCs w:val="32"/>
          <w:highlight w:val="none"/>
        </w:rPr>
      </w:pPr>
    </w:p>
    <w:tbl>
      <w:tblPr>
        <w:tblStyle w:val="62"/>
        <w:tblW w:w="960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6"/>
        <w:gridCol w:w="4991"/>
        <w:gridCol w:w="2551"/>
        <w:gridCol w:w="14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2" w:hRule="atLeast"/>
        </w:trPr>
        <w:tc>
          <w:tcPr>
            <w:tcW w:w="646" w:type="dxa"/>
            <w:vAlign w:val="center"/>
          </w:tcPr>
          <w:p>
            <w:pPr>
              <w:snapToGrid w:val="0"/>
              <w:spacing w:line="240" w:lineRule="atLeast"/>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4991" w:type="dxa"/>
            <w:vAlign w:val="center"/>
          </w:tcPr>
          <w:p>
            <w:pPr>
              <w:snapToGrid w:val="0"/>
              <w:spacing w:line="240" w:lineRule="atLeast"/>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实质性要求</w:t>
            </w:r>
          </w:p>
        </w:tc>
        <w:tc>
          <w:tcPr>
            <w:tcW w:w="2551" w:type="dxa"/>
            <w:vAlign w:val="center"/>
          </w:tcPr>
          <w:p>
            <w:pPr>
              <w:snapToGrid w:val="0"/>
              <w:spacing w:line="240" w:lineRule="atLeast"/>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需要提供的符合性审查资料</w:t>
            </w:r>
          </w:p>
        </w:tc>
        <w:tc>
          <w:tcPr>
            <w:tcW w:w="1418" w:type="dxa"/>
            <w:vAlign w:val="center"/>
          </w:tcPr>
          <w:p>
            <w:pPr>
              <w:snapToGrid w:val="0"/>
              <w:spacing w:line="240" w:lineRule="atLeast"/>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投标文件中的</w:t>
            </w:r>
          </w:p>
          <w:p>
            <w:pPr>
              <w:snapToGrid w:val="0"/>
              <w:spacing w:line="240" w:lineRule="atLeast"/>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页码位置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59" w:hRule="atLeast"/>
        </w:trPr>
        <w:tc>
          <w:tcPr>
            <w:tcW w:w="646" w:type="dxa"/>
            <w:vAlign w:val="center"/>
          </w:tcPr>
          <w:p>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4991" w:type="dxa"/>
            <w:vAlign w:val="center"/>
          </w:tcPr>
          <w:p>
            <w:pPr>
              <w:spacing w:line="360" w:lineRule="auto"/>
              <w:jc w:val="both"/>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投标文件按照招标文件要求签署、盖章。</w:t>
            </w:r>
          </w:p>
        </w:tc>
        <w:tc>
          <w:tcPr>
            <w:tcW w:w="2551"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需要使用电子签名或者签字盖章的投标文件的组成部分</w:t>
            </w:r>
          </w:p>
        </w:tc>
        <w:tc>
          <w:tcPr>
            <w:tcW w:w="1418" w:type="dxa"/>
            <w:vAlign w:val="center"/>
          </w:tcPr>
          <w:p>
            <w:pPr>
              <w:jc w:val="both"/>
              <w:rPr>
                <w:rFonts w:hint="eastAsia" w:ascii="仿宋" w:hAnsi="仿宋" w:eastAsia="仿宋" w:cs="仿宋"/>
                <w:color w:val="auto"/>
                <w:sz w:val="24"/>
                <w:highlight w:val="none"/>
              </w:rPr>
            </w:pPr>
          </w:p>
          <w:p>
            <w:pPr>
              <w:jc w:val="both"/>
              <w:rPr>
                <w:rFonts w:hint="eastAsia" w:ascii="仿宋" w:hAnsi="仿宋" w:eastAsia="仿宋" w:cs="仿宋"/>
                <w:color w:val="auto"/>
                <w:sz w:val="24"/>
                <w:highlight w:val="none"/>
              </w:rPr>
            </w:pPr>
            <w:r>
              <w:rPr>
                <w:rFonts w:hint="eastAsia" w:ascii="仿宋" w:hAnsi="仿宋" w:eastAsia="仿宋" w:cs="仿宋"/>
                <w:color w:val="auto"/>
                <w:sz w:val="24"/>
                <w:highlight w:val="none"/>
              </w:rPr>
              <w:t>见投标文件</w:t>
            </w:r>
          </w:p>
          <w:p>
            <w:pPr>
              <w:jc w:val="both"/>
              <w:rPr>
                <w:rFonts w:hint="eastAsia" w:ascii="仿宋" w:hAnsi="仿宋" w:eastAsia="仿宋" w:cs="仿宋"/>
                <w:color w:val="auto"/>
                <w:highlight w:val="none"/>
              </w:rPr>
            </w:pPr>
            <w:r>
              <w:rPr>
                <w:rFonts w:hint="eastAsia" w:ascii="仿宋" w:hAnsi="仿宋" w:eastAsia="仿宋" w:cs="仿宋"/>
                <w:color w:val="auto"/>
                <w:sz w:val="24"/>
                <w:highlight w:val="none"/>
              </w:rPr>
              <w:t>第</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4" w:hRule="atLeast"/>
        </w:trPr>
        <w:tc>
          <w:tcPr>
            <w:tcW w:w="646" w:type="dxa"/>
            <w:vAlign w:val="center"/>
          </w:tcPr>
          <w:p>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4991" w:type="dxa"/>
            <w:vAlign w:val="center"/>
          </w:tcPr>
          <w:p>
            <w:pPr>
              <w:spacing w:line="360" w:lineRule="auto"/>
              <w:jc w:val="both"/>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投标文件中承诺的投标有效期不少于招标文件中载明的投标有效期。</w:t>
            </w:r>
          </w:p>
        </w:tc>
        <w:tc>
          <w:tcPr>
            <w:tcW w:w="2551"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投标函</w:t>
            </w:r>
          </w:p>
        </w:tc>
        <w:tc>
          <w:tcPr>
            <w:tcW w:w="1418" w:type="dxa"/>
            <w:vAlign w:val="center"/>
          </w:tcPr>
          <w:p>
            <w:pPr>
              <w:jc w:val="both"/>
              <w:rPr>
                <w:rFonts w:hint="eastAsia" w:ascii="仿宋" w:hAnsi="仿宋" w:eastAsia="仿宋" w:cs="仿宋"/>
                <w:color w:val="auto"/>
                <w:highlight w:val="none"/>
              </w:rPr>
            </w:pPr>
            <w:r>
              <w:rPr>
                <w:rFonts w:hint="eastAsia" w:ascii="仿宋" w:hAnsi="仿宋" w:eastAsia="仿宋" w:cs="仿宋"/>
                <w:color w:val="auto"/>
                <w:sz w:val="24"/>
                <w:highlight w:val="none"/>
              </w:rPr>
              <w:t>见投标文件第</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23" w:hRule="atLeast"/>
        </w:trPr>
        <w:tc>
          <w:tcPr>
            <w:tcW w:w="646" w:type="dxa"/>
            <w:vAlign w:val="center"/>
          </w:tcPr>
          <w:p>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p>
        </w:tc>
        <w:tc>
          <w:tcPr>
            <w:tcW w:w="4991" w:type="dxa"/>
            <w:vAlign w:val="center"/>
          </w:tcPr>
          <w:p>
            <w:pPr>
              <w:spacing w:line="360" w:lineRule="auto"/>
              <w:jc w:val="both"/>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投标文件满足招标文件的其它实质性要求。</w:t>
            </w:r>
          </w:p>
        </w:tc>
        <w:tc>
          <w:tcPr>
            <w:tcW w:w="2551" w:type="dxa"/>
            <w:vAlign w:val="center"/>
          </w:tcPr>
          <w:p>
            <w:pP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招标文件其它实质性要求相应的材料（“▲” 系指实质性要求条款，招标文件无其它实质性要求的，无需提供）</w:t>
            </w:r>
          </w:p>
        </w:tc>
        <w:tc>
          <w:tcPr>
            <w:tcW w:w="1418" w:type="dxa"/>
            <w:vAlign w:val="center"/>
          </w:tcPr>
          <w:p>
            <w:pPr>
              <w:jc w:val="both"/>
              <w:rPr>
                <w:rFonts w:hint="eastAsia" w:ascii="仿宋" w:hAnsi="仿宋" w:eastAsia="仿宋" w:cs="仿宋"/>
                <w:color w:val="auto"/>
                <w:highlight w:val="none"/>
              </w:rPr>
            </w:pPr>
            <w:r>
              <w:rPr>
                <w:rFonts w:hint="eastAsia" w:ascii="仿宋" w:hAnsi="仿宋" w:eastAsia="仿宋" w:cs="仿宋"/>
                <w:color w:val="auto"/>
                <w:sz w:val="24"/>
                <w:highlight w:val="none"/>
              </w:rPr>
              <w:t>见投标文件第</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页</w:t>
            </w:r>
          </w:p>
        </w:tc>
      </w:tr>
    </w:tbl>
    <w:p>
      <w:pPr>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pPr>
        <w:jc w:val="center"/>
        <w:rPr>
          <w:rFonts w:hint="eastAsia" w:ascii="仿宋" w:hAnsi="仿宋" w:eastAsia="仿宋" w:cs="仿宋"/>
          <w:b/>
          <w:color w:val="auto"/>
          <w:kern w:val="0"/>
          <w:sz w:val="32"/>
          <w:szCs w:val="32"/>
          <w:highlight w:val="none"/>
        </w:rPr>
      </w:pPr>
    </w:p>
    <w:p>
      <w:pPr>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 xml:space="preserve">            </w:t>
      </w:r>
    </w:p>
    <w:p>
      <w:pPr>
        <w:jc w:val="center"/>
        <w:rPr>
          <w:rFonts w:hint="eastAsia" w:ascii="仿宋" w:hAnsi="仿宋" w:eastAsia="仿宋" w:cs="仿宋"/>
          <w:b/>
          <w:color w:val="auto"/>
          <w:kern w:val="0"/>
          <w:sz w:val="32"/>
          <w:szCs w:val="32"/>
          <w:highlight w:val="none"/>
        </w:rPr>
      </w:pPr>
    </w:p>
    <w:p>
      <w:pPr>
        <w:jc w:val="center"/>
        <w:rPr>
          <w:rFonts w:hint="eastAsia" w:ascii="仿宋" w:hAnsi="仿宋" w:eastAsia="仿宋" w:cs="仿宋"/>
          <w:b/>
          <w:color w:val="auto"/>
          <w:kern w:val="0"/>
          <w:sz w:val="32"/>
          <w:szCs w:val="32"/>
          <w:highlight w:val="none"/>
        </w:rPr>
      </w:pPr>
    </w:p>
    <w:p>
      <w:pPr>
        <w:jc w:val="both"/>
        <w:rPr>
          <w:rFonts w:hint="eastAsia" w:ascii="仿宋" w:hAnsi="仿宋" w:eastAsia="仿宋" w:cs="仿宋"/>
          <w:b/>
          <w:color w:val="auto"/>
          <w:kern w:val="0"/>
          <w:sz w:val="32"/>
          <w:szCs w:val="32"/>
          <w:highlight w:val="none"/>
        </w:rPr>
      </w:pPr>
    </w:p>
    <w:p>
      <w:pPr>
        <w:jc w:val="both"/>
        <w:rPr>
          <w:rFonts w:hint="eastAsia" w:ascii="仿宋" w:hAnsi="仿宋" w:eastAsia="仿宋" w:cs="仿宋"/>
          <w:b/>
          <w:color w:val="auto"/>
          <w:kern w:val="0"/>
          <w:sz w:val="32"/>
          <w:szCs w:val="32"/>
          <w:highlight w:val="none"/>
        </w:rPr>
      </w:pPr>
    </w:p>
    <w:p>
      <w:pPr>
        <w:spacing w:line="480" w:lineRule="auto"/>
        <w:jc w:val="center"/>
        <w:rPr>
          <w:rFonts w:hint="eastAsia" w:ascii="仿宋" w:hAnsi="仿宋" w:eastAsia="仿宋" w:cs="仿宋"/>
          <w:color w:val="auto"/>
          <w:highlight w:val="none"/>
        </w:rPr>
      </w:pPr>
      <w:r>
        <w:rPr>
          <w:rFonts w:hint="eastAsia" w:ascii="仿宋" w:hAnsi="仿宋" w:eastAsia="仿宋" w:cs="仿宋"/>
          <w:b/>
          <w:color w:val="auto"/>
          <w:kern w:val="0"/>
          <w:sz w:val="32"/>
          <w:szCs w:val="32"/>
          <w:highlight w:val="none"/>
        </w:rPr>
        <w:t>五、评标标准相应的商务技术资料</w:t>
      </w:r>
    </w:p>
    <w:p>
      <w:pPr>
        <w:snapToGrid w:val="0"/>
        <w:spacing w:line="480" w:lineRule="auto"/>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（按招标文件第四部分评标办法前附表中“投标文件中评标标准相应的商务技术资料目录”提供资料。）</w:t>
      </w:r>
    </w:p>
    <w:p>
      <w:pPr>
        <w:jc w:val="both"/>
        <w:rPr>
          <w:rFonts w:hint="eastAsia" w:ascii="仿宋" w:hAnsi="仿宋" w:eastAsia="仿宋" w:cs="仿宋"/>
          <w:b/>
          <w:color w:val="auto"/>
          <w:kern w:val="0"/>
          <w:sz w:val="32"/>
          <w:szCs w:val="32"/>
          <w:highlight w:val="none"/>
        </w:rPr>
      </w:pPr>
    </w:p>
    <w:p>
      <w:pPr>
        <w:jc w:val="center"/>
        <w:rPr>
          <w:rFonts w:hint="eastAsia" w:ascii="仿宋" w:hAnsi="仿宋" w:eastAsia="仿宋" w:cs="仿宋"/>
          <w:b/>
          <w:color w:val="auto"/>
          <w:kern w:val="0"/>
          <w:sz w:val="32"/>
          <w:szCs w:val="32"/>
          <w:highlight w:val="none"/>
        </w:rPr>
      </w:pPr>
    </w:p>
    <w:p>
      <w:pPr>
        <w:numPr>
          <w:ilvl w:val="0"/>
          <w:numId w:val="0"/>
        </w:numPr>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val="en-US" w:eastAsia="zh-CN"/>
        </w:rPr>
        <w:t>六、</w:t>
      </w:r>
      <w:r>
        <w:rPr>
          <w:rFonts w:hint="eastAsia" w:ascii="仿宋" w:hAnsi="仿宋" w:eastAsia="仿宋" w:cs="仿宋"/>
          <w:b/>
          <w:color w:val="auto"/>
          <w:kern w:val="0"/>
          <w:sz w:val="32"/>
          <w:szCs w:val="32"/>
          <w:highlight w:val="none"/>
        </w:rPr>
        <w:t>投标标的清单</w:t>
      </w:r>
    </w:p>
    <w:p>
      <w:pPr>
        <w:pStyle w:val="4"/>
        <w:numPr>
          <w:ilvl w:val="0"/>
          <w:numId w:val="0"/>
        </w:numPr>
        <w:ind w:leftChars="0"/>
        <w:rPr>
          <w:rFonts w:hint="eastAsia"/>
          <w:color w:val="auto"/>
          <w:highlight w:val="none"/>
        </w:rPr>
      </w:pPr>
    </w:p>
    <w:tbl>
      <w:tblPr>
        <w:tblStyle w:val="62"/>
        <w:tblW w:w="971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369"/>
        <w:gridCol w:w="1114"/>
        <w:gridCol w:w="1260"/>
        <w:gridCol w:w="2775"/>
        <w:gridCol w:w="930"/>
        <w:gridCol w:w="15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2"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1369"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名称</w:t>
            </w:r>
          </w:p>
        </w:tc>
        <w:tc>
          <w:tcPr>
            <w:tcW w:w="1114" w:type="dxa"/>
            <w:tcBorders>
              <w:top w:val="single" w:color="auto" w:sz="4" w:space="0"/>
              <w:left w:val="single" w:color="auto" w:sz="4" w:space="0"/>
              <w:bottom w:val="single" w:color="auto" w:sz="4" w:space="0"/>
              <w:right w:val="single" w:color="auto" w:sz="4" w:space="0"/>
            </w:tcBorders>
            <w:vAlign w:val="top"/>
          </w:tcPr>
          <w:p>
            <w:pPr>
              <w:spacing w:line="360" w:lineRule="auto"/>
              <w:jc w:val="center"/>
              <w:rPr>
                <w:rFonts w:hint="eastAsia" w:ascii="仿宋" w:hAnsi="仿宋" w:eastAsia="仿宋" w:cs="仿宋"/>
                <w:b/>
                <w:color w:val="auto"/>
                <w:sz w:val="24"/>
                <w:highlight w:val="none"/>
              </w:rPr>
            </w:pPr>
          </w:p>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服务范围</w:t>
            </w:r>
          </w:p>
        </w:tc>
        <w:tc>
          <w:tcPr>
            <w:tcW w:w="126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服务要求</w:t>
            </w:r>
          </w:p>
        </w:tc>
        <w:tc>
          <w:tcPr>
            <w:tcW w:w="277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服务时间</w:t>
            </w:r>
          </w:p>
        </w:tc>
        <w:tc>
          <w:tcPr>
            <w:tcW w:w="93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服务标准</w:t>
            </w:r>
          </w:p>
        </w:tc>
        <w:tc>
          <w:tcPr>
            <w:tcW w:w="152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仿宋" w:hAnsi="仿宋" w:eastAsia="仿宋" w:cs="仿宋"/>
                <w:b/>
                <w:color w:val="auto"/>
                <w:sz w:val="24"/>
                <w:highlight w:val="none"/>
              </w:rPr>
            </w:pPr>
          </w:p>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备注（如果有）</w:t>
            </w:r>
          </w:p>
          <w:p>
            <w:pPr>
              <w:spacing w:line="360" w:lineRule="auto"/>
              <w:jc w:val="center"/>
              <w:rPr>
                <w:rFonts w:hint="eastAsia" w:ascii="仿宋" w:hAnsi="仿宋" w:eastAsia="仿宋" w:cs="仿宋"/>
                <w:b/>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1369"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hint="eastAsia" w:ascii="仿宋" w:hAnsi="仿宋" w:eastAsia="仿宋" w:cs="仿宋"/>
                <w:color w:val="auto"/>
                <w:sz w:val="24"/>
                <w:highlight w:val="none"/>
              </w:rPr>
            </w:pPr>
          </w:p>
        </w:tc>
        <w:tc>
          <w:tcPr>
            <w:tcW w:w="1114"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hint="eastAsia" w:ascii="仿宋" w:hAnsi="仿宋" w:eastAsia="仿宋" w:cs="仿宋"/>
                <w:color w:val="auto"/>
                <w:sz w:val="24"/>
                <w:highlight w:val="none"/>
              </w:rPr>
            </w:pPr>
          </w:p>
        </w:tc>
        <w:tc>
          <w:tcPr>
            <w:tcW w:w="126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hint="eastAsia" w:ascii="仿宋" w:hAnsi="仿宋" w:eastAsia="仿宋" w:cs="仿宋"/>
                <w:color w:val="auto"/>
                <w:sz w:val="24"/>
                <w:highlight w:val="none"/>
              </w:rPr>
            </w:pPr>
          </w:p>
        </w:tc>
        <w:tc>
          <w:tcPr>
            <w:tcW w:w="277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仿宋" w:hAnsi="仿宋" w:eastAsia="仿宋" w:cs="仿宋"/>
                <w:color w:val="auto"/>
                <w:sz w:val="24"/>
                <w:highlight w:val="none"/>
              </w:rPr>
            </w:pPr>
          </w:p>
        </w:tc>
        <w:tc>
          <w:tcPr>
            <w:tcW w:w="93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仿宋" w:hAnsi="仿宋" w:eastAsia="仿宋" w:cs="仿宋"/>
                <w:color w:val="auto"/>
                <w:sz w:val="24"/>
                <w:highlight w:val="none"/>
              </w:rPr>
            </w:pPr>
          </w:p>
        </w:tc>
        <w:tc>
          <w:tcPr>
            <w:tcW w:w="152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1369"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hint="eastAsia" w:ascii="仿宋" w:hAnsi="仿宋" w:eastAsia="仿宋" w:cs="仿宋"/>
                <w:color w:val="auto"/>
                <w:sz w:val="24"/>
                <w:highlight w:val="none"/>
              </w:rPr>
            </w:pPr>
          </w:p>
        </w:tc>
        <w:tc>
          <w:tcPr>
            <w:tcW w:w="1114"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hint="eastAsia" w:ascii="仿宋" w:hAnsi="仿宋" w:eastAsia="仿宋" w:cs="仿宋"/>
                <w:color w:val="auto"/>
                <w:sz w:val="24"/>
                <w:highlight w:val="none"/>
              </w:rPr>
            </w:pPr>
          </w:p>
        </w:tc>
        <w:tc>
          <w:tcPr>
            <w:tcW w:w="126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hint="eastAsia" w:ascii="仿宋" w:hAnsi="仿宋" w:eastAsia="仿宋" w:cs="仿宋"/>
                <w:color w:val="auto"/>
                <w:sz w:val="24"/>
                <w:highlight w:val="none"/>
              </w:rPr>
            </w:pPr>
          </w:p>
        </w:tc>
        <w:tc>
          <w:tcPr>
            <w:tcW w:w="277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仿宋" w:hAnsi="仿宋" w:eastAsia="仿宋" w:cs="仿宋"/>
                <w:color w:val="auto"/>
                <w:sz w:val="24"/>
                <w:highlight w:val="none"/>
              </w:rPr>
            </w:pPr>
          </w:p>
        </w:tc>
        <w:tc>
          <w:tcPr>
            <w:tcW w:w="93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仿宋" w:hAnsi="仿宋" w:eastAsia="仿宋" w:cs="仿宋"/>
                <w:color w:val="auto"/>
                <w:sz w:val="24"/>
                <w:highlight w:val="none"/>
              </w:rPr>
            </w:pPr>
          </w:p>
        </w:tc>
        <w:tc>
          <w:tcPr>
            <w:tcW w:w="152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c>
          <w:tcPr>
            <w:tcW w:w="1369"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hint="eastAsia" w:ascii="仿宋" w:hAnsi="仿宋" w:eastAsia="仿宋" w:cs="仿宋"/>
                <w:color w:val="auto"/>
                <w:sz w:val="24"/>
                <w:highlight w:val="none"/>
              </w:rPr>
            </w:pPr>
          </w:p>
        </w:tc>
        <w:tc>
          <w:tcPr>
            <w:tcW w:w="1114"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hint="eastAsia" w:ascii="仿宋" w:hAnsi="仿宋" w:eastAsia="仿宋" w:cs="仿宋"/>
                <w:color w:val="auto"/>
                <w:sz w:val="24"/>
                <w:highlight w:val="none"/>
              </w:rPr>
            </w:pPr>
          </w:p>
        </w:tc>
        <w:tc>
          <w:tcPr>
            <w:tcW w:w="126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hint="eastAsia" w:ascii="仿宋" w:hAnsi="仿宋" w:eastAsia="仿宋" w:cs="仿宋"/>
                <w:color w:val="auto"/>
                <w:sz w:val="24"/>
                <w:highlight w:val="none"/>
              </w:rPr>
            </w:pPr>
          </w:p>
        </w:tc>
        <w:tc>
          <w:tcPr>
            <w:tcW w:w="277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仿宋" w:hAnsi="仿宋" w:eastAsia="仿宋" w:cs="仿宋"/>
                <w:color w:val="auto"/>
                <w:sz w:val="24"/>
                <w:highlight w:val="none"/>
              </w:rPr>
            </w:pPr>
          </w:p>
        </w:tc>
        <w:tc>
          <w:tcPr>
            <w:tcW w:w="93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仿宋" w:hAnsi="仿宋" w:eastAsia="仿宋" w:cs="仿宋"/>
                <w:color w:val="auto"/>
                <w:sz w:val="24"/>
                <w:highlight w:val="none"/>
              </w:rPr>
            </w:pPr>
          </w:p>
        </w:tc>
        <w:tc>
          <w:tcPr>
            <w:tcW w:w="152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仿宋" w:hAnsi="仿宋" w:eastAsia="仿宋" w:cs="仿宋"/>
                <w:color w:val="auto"/>
                <w:sz w:val="24"/>
                <w:highlight w:val="none"/>
              </w:rPr>
            </w:pPr>
          </w:p>
        </w:tc>
      </w:tr>
    </w:tbl>
    <w:p>
      <w:pPr>
        <w:spacing w:line="360" w:lineRule="auto"/>
        <w:ind w:right="420"/>
        <w:rPr>
          <w:rFonts w:hint="eastAsia" w:ascii="仿宋" w:hAnsi="仿宋" w:eastAsia="仿宋" w:cs="仿宋"/>
          <w:color w:val="auto"/>
          <w:sz w:val="24"/>
          <w:highlight w:val="none"/>
        </w:rPr>
      </w:pPr>
    </w:p>
    <w:p>
      <w:pPr>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pPr>
        <w:jc w:val="center"/>
        <w:rPr>
          <w:rFonts w:hint="eastAsia" w:ascii="仿宋" w:hAnsi="仿宋" w:eastAsia="仿宋" w:cs="仿宋"/>
          <w:b/>
          <w:color w:val="auto"/>
          <w:kern w:val="0"/>
          <w:sz w:val="32"/>
          <w:szCs w:val="32"/>
          <w:highlight w:val="none"/>
        </w:rPr>
      </w:pPr>
    </w:p>
    <w:p>
      <w:pPr>
        <w:jc w:val="center"/>
        <w:rPr>
          <w:rFonts w:hint="eastAsia" w:ascii="仿宋" w:hAnsi="仿宋" w:eastAsia="仿宋" w:cs="仿宋"/>
          <w:b/>
          <w:color w:val="auto"/>
          <w:kern w:val="0"/>
          <w:sz w:val="32"/>
          <w:szCs w:val="32"/>
          <w:highlight w:val="none"/>
        </w:rPr>
      </w:pPr>
    </w:p>
    <w:p>
      <w:pPr>
        <w:numPr>
          <w:ilvl w:val="0"/>
          <w:numId w:val="0"/>
        </w:numPr>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val="en-US" w:eastAsia="zh-CN"/>
        </w:rPr>
        <w:t>七、</w:t>
      </w:r>
      <w:r>
        <w:rPr>
          <w:rFonts w:hint="eastAsia" w:ascii="仿宋" w:hAnsi="仿宋" w:eastAsia="仿宋" w:cs="仿宋"/>
          <w:b/>
          <w:color w:val="auto"/>
          <w:kern w:val="0"/>
          <w:sz w:val="32"/>
          <w:szCs w:val="32"/>
          <w:highlight w:val="none"/>
        </w:rPr>
        <w:t>商务技术偏离表</w:t>
      </w:r>
    </w:p>
    <w:p>
      <w:pPr>
        <w:pStyle w:val="4"/>
        <w:numPr>
          <w:ilvl w:val="0"/>
          <w:numId w:val="0"/>
        </w:numPr>
        <w:ind w:leftChars="900"/>
        <w:rPr>
          <w:rFonts w:hint="eastAsia"/>
          <w:color w:val="auto"/>
          <w:highlight w:val="none"/>
        </w:rPr>
      </w:pPr>
    </w:p>
    <w:tbl>
      <w:tblPr>
        <w:tblStyle w:val="63"/>
        <w:tblW w:w="9723" w:type="dxa"/>
        <w:tblInd w:w="-19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49"/>
        <w:gridCol w:w="3683"/>
        <w:gridCol w:w="3546"/>
        <w:gridCol w:w="13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9" w:type="dxa"/>
            <w:vAlign w:val="top"/>
          </w:tcPr>
          <w:p>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序号</w:t>
            </w:r>
          </w:p>
        </w:tc>
        <w:tc>
          <w:tcPr>
            <w:tcW w:w="3683" w:type="dxa"/>
            <w:vAlign w:val="top"/>
          </w:tcPr>
          <w:p>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招标文件章节及具体内容</w:t>
            </w:r>
          </w:p>
        </w:tc>
        <w:tc>
          <w:tcPr>
            <w:tcW w:w="3546" w:type="dxa"/>
            <w:vAlign w:val="top"/>
          </w:tcPr>
          <w:p>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投标文件章节及具体内容</w:t>
            </w:r>
          </w:p>
        </w:tc>
        <w:tc>
          <w:tcPr>
            <w:tcW w:w="1345" w:type="dxa"/>
            <w:vAlign w:val="top"/>
          </w:tcPr>
          <w:p>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9" w:type="dxa"/>
            <w:vAlign w:val="top"/>
          </w:tcPr>
          <w:p>
            <w:pP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w:t>
            </w:r>
          </w:p>
        </w:tc>
        <w:tc>
          <w:tcPr>
            <w:tcW w:w="3683" w:type="dxa"/>
            <w:vAlign w:val="top"/>
          </w:tcPr>
          <w:p>
            <w:pPr>
              <w:jc w:val="center"/>
              <w:rPr>
                <w:rFonts w:hint="eastAsia" w:ascii="仿宋" w:hAnsi="仿宋" w:eastAsia="仿宋" w:cs="仿宋"/>
                <w:b/>
                <w:color w:val="auto"/>
                <w:kern w:val="0"/>
                <w:sz w:val="32"/>
                <w:szCs w:val="32"/>
                <w:highlight w:val="none"/>
              </w:rPr>
            </w:pPr>
          </w:p>
        </w:tc>
        <w:tc>
          <w:tcPr>
            <w:tcW w:w="3546" w:type="dxa"/>
            <w:vAlign w:val="top"/>
          </w:tcPr>
          <w:p>
            <w:pPr>
              <w:jc w:val="center"/>
              <w:rPr>
                <w:rFonts w:hint="eastAsia" w:ascii="仿宋" w:hAnsi="仿宋" w:eastAsia="仿宋" w:cs="仿宋"/>
                <w:b/>
                <w:color w:val="auto"/>
                <w:kern w:val="0"/>
                <w:sz w:val="32"/>
                <w:szCs w:val="32"/>
                <w:highlight w:val="none"/>
              </w:rPr>
            </w:pPr>
          </w:p>
        </w:tc>
        <w:tc>
          <w:tcPr>
            <w:tcW w:w="1345" w:type="dxa"/>
            <w:vAlign w:val="top"/>
          </w:tcPr>
          <w:p>
            <w:pPr>
              <w:jc w:val="center"/>
              <w:rPr>
                <w:rFonts w:hint="eastAsia" w:ascii="仿宋" w:hAnsi="仿宋" w:eastAsia="仿宋" w:cs="仿宋"/>
                <w:b/>
                <w:color w:val="auto"/>
                <w:kern w:val="0"/>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9" w:type="dxa"/>
            <w:vAlign w:val="top"/>
          </w:tcPr>
          <w:p>
            <w:pP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w:t>
            </w:r>
          </w:p>
        </w:tc>
        <w:tc>
          <w:tcPr>
            <w:tcW w:w="3683" w:type="dxa"/>
            <w:vAlign w:val="top"/>
          </w:tcPr>
          <w:p>
            <w:pPr>
              <w:jc w:val="center"/>
              <w:rPr>
                <w:rFonts w:hint="eastAsia" w:ascii="仿宋" w:hAnsi="仿宋" w:eastAsia="仿宋" w:cs="仿宋"/>
                <w:b/>
                <w:color w:val="auto"/>
                <w:kern w:val="0"/>
                <w:sz w:val="32"/>
                <w:szCs w:val="32"/>
                <w:highlight w:val="none"/>
              </w:rPr>
            </w:pPr>
          </w:p>
        </w:tc>
        <w:tc>
          <w:tcPr>
            <w:tcW w:w="3546" w:type="dxa"/>
            <w:vAlign w:val="top"/>
          </w:tcPr>
          <w:p>
            <w:pPr>
              <w:jc w:val="center"/>
              <w:rPr>
                <w:rFonts w:hint="eastAsia" w:ascii="仿宋" w:hAnsi="仿宋" w:eastAsia="仿宋" w:cs="仿宋"/>
                <w:b/>
                <w:color w:val="auto"/>
                <w:kern w:val="0"/>
                <w:sz w:val="32"/>
                <w:szCs w:val="32"/>
                <w:highlight w:val="none"/>
              </w:rPr>
            </w:pPr>
          </w:p>
        </w:tc>
        <w:tc>
          <w:tcPr>
            <w:tcW w:w="1345" w:type="dxa"/>
            <w:vAlign w:val="top"/>
          </w:tcPr>
          <w:p>
            <w:pPr>
              <w:jc w:val="center"/>
              <w:rPr>
                <w:rFonts w:hint="eastAsia" w:ascii="仿宋" w:hAnsi="仿宋" w:eastAsia="仿宋" w:cs="仿宋"/>
                <w:b/>
                <w:color w:val="auto"/>
                <w:kern w:val="0"/>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9" w:type="dxa"/>
            <w:vAlign w:val="top"/>
          </w:tcPr>
          <w:p>
            <w:pP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p>
        </w:tc>
        <w:tc>
          <w:tcPr>
            <w:tcW w:w="3683" w:type="dxa"/>
            <w:vAlign w:val="top"/>
          </w:tcPr>
          <w:p>
            <w:pPr>
              <w:jc w:val="center"/>
              <w:rPr>
                <w:rFonts w:hint="eastAsia" w:ascii="仿宋" w:hAnsi="仿宋" w:eastAsia="仿宋" w:cs="仿宋"/>
                <w:b/>
                <w:color w:val="auto"/>
                <w:kern w:val="0"/>
                <w:sz w:val="32"/>
                <w:szCs w:val="32"/>
                <w:highlight w:val="none"/>
              </w:rPr>
            </w:pPr>
          </w:p>
        </w:tc>
        <w:tc>
          <w:tcPr>
            <w:tcW w:w="3546" w:type="dxa"/>
            <w:vAlign w:val="top"/>
          </w:tcPr>
          <w:p>
            <w:pPr>
              <w:jc w:val="center"/>
              <w:rPr>
                <w:rFonts w:hint="eastAsia" w:ascii="仿宋" w:hAnsi="仿宋" w:eastAsia="仿宋" w:cs="仿宋"/>
                <w:b/>
                <w:color w:val="auto"/>
                <w:kern w:val="0"/>
                <w:sz w:val="32"/>
                <w:szCs w:val="32"/>
                <w:highlight w:val="none"/>
              </w:rPr>
            </w:pPr>
          </w:p>
        </w:tc>
        <w:tc>
          <w:tcPr>
            <w:tcW w:w="1345" w:type="dxa"/>
            <w:vAlign w:val="top"/>
          </w:tcPr>
          <w:p>
            <w:pPr>
              <w:jc w:val="center"/>
              <w:rPr>
                <w:rFonts w:hint="eastAsia" w:ascii="仿宋" w:hAnsi="仿宋" w:eastAsia="仿宋" w:cs="仿宋"/>
                <w:b/>
                <w:color w:val="auto"/>
                <w:kern w:val="0"/>
                <w:sz w:val="32"/>
                <w:szCs w:val="32"/>
                <w:highlight w:val="none"/>
              </w:rPr>
            </w:pPr>
          </w:p>
        </w:tc>
      </w:tr>
    </w:tbl>
    <w:p>
      <w:pPr>
        <w:jc w:val="left"/>
        <w:rPr>
          <w:rFonts w:hint="eastAsia" w:ascii="仿宋" w:hAnsi="仿宋" w:eastAsia="仿宋" w:cs="仿宋"/>
          <w:color w:val="auto"/>
          <w:kern w:val="0"/>
          <w:sz w:val="24"/>
          <w:highlight w:val="none"/>
        </w:rPr>
      </w:pPr>
    </w:p>
    <w:p>
      <w:pPr>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投标人保证：除商务技术偏离表列出的偏离外，投标人响应招标文件的全部要求</w:t>
      </w:r>
    </w:p>
    <w:p>
      <w:pPr>
        <w:jc w:val="center"/>
        <w:rPr>
          <w:rFonts w:hint="eastAsia" w:ascii="仿宋" w:hAnsi="仿宋" w:eastAsia="仿宋" w:cs="仿宋"/>
          <w:b/>
          <w:color w:val="auto"/>
          <w:kern w:val="0"/>
          <w:sz w:val="32"/>
          <w:szCs w:val="32"/>
          <w:highlight w:val="none"/>
        </w:rPr>
      </w:pPr>
    </w:p>
    <w:p>
      <w:pPr>
        <w:spacing w:line="360" w:lineRule="auto"/>
        <w:ind w:right="420"/>
        <w:rPr>
          <w:rFonts w:hint="eastAsia" w:ascii="仿宋" w:hAnsi="仿宋" w:eastAsia="仿宋" w:cs="仿宋"/>
          <w:b/>
          <w:bCs/>
          <w:color w:val="auto"/>
          <w:sz w:val="32"/>
          <w:szCs w:val="32"/>
          <w:highlight w:val="none"/>
        </w:rPr>
      </w:pPr>
      <w:r>
        <w:rPr>
          <w:rFonts w:hint="eastAsia" w:ascii="仿宋" w:hAnsi="仿宋" w:eastAsia="仿宋" w:cs="仿宋"/>
          <w:color w:val="auto"/>
          <w:sz w:val="24"/>
          <w:highlight w:val="none"/>
        </w:rPr>
        <w:t>注：按本格式和要求提供。</w:t>
      </w:r>
    </w:p>
    <w:p>
      <w:pPr>
        <w:ind w:firstLine="1911" w:firstLineChars="595"/>
        <w:rPr>
          <w:rFonts w:hint="eastAsia" w:ascii="仿宋" w:hAnsi="仿宋" w:eastAsia="仿宋" w:cs="仿宋"/>
          <w:b/>
          <w:bCs/>
          <w:color w:val="auto"/>
          <w:sz w:val="32"/>
          <w:szCs w:val="32"/>
          <w:highlight w:val="none"/>
        </w:rPr>
      </w:pPr>
    </w:p>
    <w:p>
      <w:pPr>
        <w:ind w:firstLine="1911" w:firstLineChars="595"/>
        <w:rPr>
          <w:rFonts w:hint="eastAsia" w:ascii="仿宋" w:hAnsi="仿宋" w:eastAsia="仿宋" w:cs="仿宋"/>
          <w:b/>
          <w:color w:val="auto"/>
          <w:kern w:val="0"/>
          <w:sz w:val="32"/>
          <w:szCs w:val="32"/>
          <w:highlight w:val="none"/>
        </w:rPr>
      </w:pPr>
      <w:r>
        <w:rPr>
          <w:rFonts w:hint="eastAsia" w:ascii="仿宋" w:hAnsi="仿宋" w:eastAsia="仿宋" w:cs="仿宋"/>
          <w:b/>
          <w:bCs/>
          <w:color w:val="auto"/>
          <w:sz w:val="32"/>
          <w:szCs w:val="32"/>
          <w:highlight w:val="none"/>
        </w:rPr>
        <w:t>八</w:t>
      </w:r>
      <w:r>
        <w:rPr>
          <w:rFonts w:hint="eastAsia" w:ascii="仿宋" w:hAnsi="仿宋" w:eastAsia="仿宋" w:cs="仿宋"/>
          <w:b/>
          <w:color w:val="auto"/>
          <w:kern w:val="0"/>
          <w:sz w:val="32"/>
          <w:szCs w:val="32"/>
          <w:highlight w:val="none"/>
        </w:rPr>
        <w:t>、</w:t>
      </w:r>
      <w:r>
        <w:rPr>
          <w:rFonts w:hint="eastAsia" w:ascii="仿宋" w:hAnsi="仿宋" w:eastAsia="仿宋" w:cs="仿宋"/>
          <w:b/>
          <w:color w:val="auto"/>
          <w:kern w:val="0"/>
          <w:sz w:val="32"/>
          <w:szCs w:val="32"/>
          <w:highlight w:val="none"/>
          <w:lang w:val="zh-CN"/>
        </w:rPr>
        <w:t>政府采购供应商廉洁自律承诺书</w:t>
      </w:r>
    </w:p>
    <w:p>
      <w:pPr>
        <w:snapToGrid w:val="0"/>
        <w:spacing w:line="360" w:lineRule="auto"/>
        <w:rPr>
          <w:rFonts w:hint="eastAsia" w:ascii="仿宋" w:hAnsi="仿宋" w:eastAsia="仿宋" w:cs="仿宋"/>
          <w:color w:val="auto"/>
          <w:sz w:val="24"/>
          <w:highlight w:val="none"/>
        </w:rPr>
      </w:pPr>
    </w:p>
    <w:p>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lang w:eastAsia="zh-CN"/>
        </w:rPr>
        <w:t>杭州市余杭区人民政府余杭街道办事处</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eastAsia="zh-CN"/>
        </w:rPr>
        <w:t>杭州天坤建设咨询有限公司</w:t>
      </w:r>
      <w:r>
        <w:rPr>
          <w:rFonts w:hint="eastAsia" w:ascii="仿宋" w:hAnsi="仿宋" w:eastAsia="仿宋" w:cs="仿宋"/>
          <w:color w:val="auto"/>
          <w:kern w:val="0"/>
          <w:sz w:val="24"/>
          <w:highlight w:val="none"/>
          <w:lang w:val="zh-CN"/>
        </w:rPr>
        <w:t>：</w:t>
      </w:r>
    </w:p>
    <w:p>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我单位响应你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项目招标要求参加投标。在这次投标过程中和中标后，我们将严格遵守国家法律法规要求，并郑重承诺：</w:t>
      </w:r>
    </w:p>
    <w:p>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一、不向项目有关人员及部门赠送礼金礼物、有价证券、回扣以及中介费、介绍费、咨询费等好处费； </w:t>
      </w:r>
    </w:p>
    <w:p>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二、不为项目有关人员及部门报销应由你方单位或个人支付的费用； </w:t>
      </w:r>
    </w:p>
    <w:p>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三、不向项目有关人员及部门提供有可能影响公正的宴请和健身娱乐等活动； </w:t>
      </w:r>
    </w:p>
    <w:p>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四、不为项目有关人员及部门出国（境）、旅游等提供方便；</w:t>
      </w:r>
    </w:p>
    <w:p>
      <w:pPr>
        <w:autoSpaceDE w:val="0"/>
        <w:autoSpaceDN w:val="0"/>
        <w:spacing w:line="360" w:lineRule="auto"/>
        <w:ind w:left="481" w:leftChars="229"/>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五、不为项目有关人员个人装修住房、婚丧嫁娶、配偶子女工作安排等提供</w:t>
      </w:r>
    </w:p>
    <w:p>
      <w:pPr>
        <w:autoSpaceDE w:val="0"/>
        <w:autoSpaceDN w:val="0"/>
        <w:spacing w:line="360" w:lineRule="auto"/>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好处；</w:t>
      </w:r>
    </w:p>
    <w:p>
      <w:pPr>
        <w:autoSpaceDE w:val="0"/>
        <w:autoSpaceDN w:val="0"/>
        <w:spacing w:line="360" w:lineRule="auto"/>
        <w:ind w:left="481" w:leftChars="229"/>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六、严格遵守《</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政府采购法》《</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招标投标</w:t>
      </w:r>
    </w:p>
    <w:p>
      <w:pPr>
        <w:autoSpaceDE w:val="0"/>
        <w:autoSpaceDN w:val="0"/>
        <w:spacing w:line="360" w:lineRule="auto"/>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法》</w:t>
      </w:r>
      <w:r>
        <w:rPr>
          <w:rFonts w:hint="eastAsia" w:ascii="仿宋" w:hAnsi="仿宋" w:eastAsia="仿宋" w:cs="仿宋"/>
          <w:color w:val="auto"/>
          <w:sz w:val="24"/>
          <w:highlight w:val="none"/>
          <w:lang w:val="zh-CN"/>
        </w:rPr>
        <w:t>《中华人民共和国民法典》</w:t>
      </w:r>
      <w:r>
        <w:rPr>
          <w:rFonts w:hint="eastAsia" w:ascii="仿宋" w:hAnsi="仿宋" w:eastAsia="仿宋" w:cs="仿宋"/>
          <w:color w:val="auto"/>
          <w:kern w:val="0"/>
          <w:sz w:val="24"/>
          <w:highlight w:val="none"/>
          <w:lang w:val="zh-CN"/>
        </w:rPr>
        <w:t xml:space="preserve">等法律法规，诚实守信，合法经营，坚决抵制各种违法违纪行为。 </w:t>
      </w:r>
    </w:p>
    <w:p>
      <w:pPr>
        <w:autoSpaceDE w:val="0"/>
        <w:autoSpaceDN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如违反上述承诺，你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有权立即取消我单位投标、中标或在建项目的建设资格，有权拒绝我单位在一定时期内进入你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进行项目建设或其他经营活动，并通报市财政局。由此引起的相应损失均由我单位承担。</w:t>
      </w:r>
    </w:p>
    <w:p>
      <w:pPr>
        <w:autoSpaceDE w:val="0"/>
        <w:autoSpaceDN w:val="0"/>
        <w:spacing w:line="360" w:lineRule="auto"/>
        <w:ind w:left="2"/>
        <w:jc w:val="left"/>
        <w:rPr>
          <w:rFonts w:hint="eastAsia" w:ascii="仿宋" w:hAnsi="仿宋" w:eastAsia="仿宋" w:cs="仿宋"/>
          <w:color w:val="auto"/>
          <w:kern w:val="0"/>
          <w:sz w:val="24"/>
          <w:highlight w:val="none"/>
          <w:lang w:val="zh-CN"/>
        </w:rPr>
      </w:pPr>
    </w:p>
    <w:p>
      <w:pPr>
        <w:autoSpaceDE w:val="0"/>
        <w:autoSpaceDN w:val="0"/>
        <w:spacing w:line="360" w:lineRule="auto"/>
        <w:ind w:left="2"/>
        <w:jc w:val="left"/>
        <w:rPr>
          <w:rFonts w:hint="eastAsia" w:ascii="仿宋" w:hAnsi="仿宋" w:eastAsia="仿宋" w:cs="仿宋"/>
          <w:color w:val="auto"/>
          <w:kern w:val="0"/>
          <w:sz w:val="24"/>
          <w:highlight w:val="none"/>
          <w:lang w:val="zh-CN"/>
        </w:rPr>
      </w:pPr>
    </w:p>
    <w:p>
      <w:pPr>
        <w:autoSpaceDE w:val="0"/>
        <w:autoSpaceDN w:val="0"/>
        <w:spacing w:line="360" w:lineRule="auto"/>
        <w:ind w:left="2"/>
        <w:jc w:val="left"/>
        <w:rPr>
          <w:rFonts w:hint="eastAsia" w:ascii="仿宋" w:hAnsi="仿宋" w:eastAsia="仿宋" w:cs="仿宋"/>
          <w:color w:val="auto"/>
          <w:kern w:val="0"/>
          <w:sz w:val="24"/>
          <w:highlight w:val="none"/>
          <w:lang w:val="zh-CN"/>
        </w:rPr>
      </w:pPr>
    </w:p>
    <w:p>
      <w:pPr>
        <w:autoSpaceDE w:val="0"/>
        <w:autoSpaceDN w:val="0"/>
        <w:spacing w:line="360" w:lineRule="auto"/>
        <w:ind w:left="2" w:leftChars="1" w:right="1120" w:firstLine="4560" w:firstLineChars="19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投标人名称（</w:t>
      </w:r>
      <w:r>
        <w:rPr>
          <w:rFonts w:hint="eastAsia" w:ascii="仿宋" w:hAnsi="仿宋" w:eastAsia="仿宋" w:cs="仿宋"/>
          <w:color w:val="auto"/>
          <w:sz w:val="24"/>
          <w:highlight w:val="none"/>
        </w:rPr>
        <w:t>电子签名</w:t>
      </w:r>
      <w:r>
        <w:rPr>
          <w:rFonts w:hint="eastAsia" w:ascii="仿宋" w:hAnsi="仿宋" w:eastAsia="仿宋" w:cs="仿宋"/>
          <w:color w:val="auto"/>
          <w:kern w:val="0"/>
          <w:sz w:val="24"/>
          <w:highlight w:val="none"/>
          <w:lang w:val="zh-CN"/>
        </w:rPr>
        <w:t xml:space="preserve">）：                                                                                                                                                                                                               </w:t>
      </w:r>
    </w:p>
    <w:p>
      <w:pPr>
        <w:spacing w:line="360" w:lineRule="auto"/>
        <w:ind w:left="4620" w:leftChars="220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 xml:space="preserve">   年   月   日</w:t>
      </w:r>
    </w:p>
    <w:p>
      <w:pPr>
        <w:spacing w:line="360" w:lineRule="auto"/>
        <w:jc w:val="center"/>
        <w:rPr>
          <w:rFonts w:hint="eastAsia" w:ascii="仿宋" w:hAnsi="仿宋" w:eastAsia="仿宋" w:cs="仿宋"/>
          <w:b/>
          <w:bCs/>
          <w:color w:val="auto"/>
          <w:sz w:val="24"/>
          <w:highlight w:val="none"/>
        </w:rPr>
      </w:pPr>
    </w:p>
    <w:p>
      <w:pPr>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pPr>
        <w:spacing w:line="360" w:lineRule="auto"/>
        <w:jc w:val="center"/>
        <w:rPr>
          <w:rFonts w:hint="eastAsia" w:ascii="仿宋" w:hAnsi="仿宋" w:eastAsia="仿宋" w:cs="仿宋"/>
          <w:b/>
          <w:bCs/>
          <w:color w:val="auto"/>
          <w:sz w:val="24"/>
          <w:highlight w:val="none"/>
        </w:rPr>
      </w:pPr>
    </w:p>
    <w:p>
      <w:pPr>
        <w:pStyle w:val="4"/>
        <w:rPr>
          <w:rFonts w:hint="eastAsia" w:ascii="仿宋" w:hAnsi="仿宋" w:eastAsia="仿宋" w:cs="仿宋"/>
          <w:b/>
          <w:bCs/>
          <w:color w:val="auto"/>
          <w:sz w:val="24"/>
          <w:highlight w:val="none"/>
        </w:rPr>
      </w:pPr>
    </w:p>
    <w:p>
      <w:pPr>
        <w:pStyle w:val="4"/>
        <w:ind w:left="0" w:leftChars="0" w:firstLine="0" w:firstLineChars="0"/>
        <w:rPr>
          <w:rFonts w:hint="eastAsia" w:ascii="仿宋" w:hAnsi="仿宋" w:eastAsia="仿宋" w:cs="仿宋"/>
          <w:b/>
          <w:bCs/>
          <w:color w:val="auto"/>
          <w:sz w:val="24"/>
          <w:highlight w:val="none"/>
          <w:lang w:val="en-US" w:eastAsia="zh-CN"/>
        </w:rPr>
      </w:pPr>
    </w:p>
    <w:p>
      <w:pPr>
        <w:rPr>
          <w:rFonts w:hint="eastAsia" w:ascii="仿宋" w:hAnsi="仿宋" w:eastAsia="仿宋" w:cs="仿宋"/>
          <w:color w:val="auto"/>
          <w:highlight w:val="none"/>
          <w:lang w:val="en-US" w:eastAsia="zh-CN"/>
        </w:rPr>
      </w:pPr>
    </w:p>
    <w:p>
      <w:pPr>
        <w:pStyle w:val="619"/>
        <w:numPr>
          <w:ilvl w:val="0"/>
          <w:numId w:val="0"/>
        </w:numPr>
        <w:snapToGrid w:val="0"/>
        <w:spacing w:before="120" w:after="120"/>
        <w:jc w:val="both"/>
        <w:rPr>
          <w:rFonts w:hint="eastAsia" w:ascii="仿宋" w:hAnsi="仿宋" w:eastAsia="仿宋" w:cs="仿宋"/>
          <w:b/>
          <w:color w:val="auto"/>
          <w:sz w:val="28"/>
          <w:szCs w:val="28"/>
          <w:highlight w:val="none"/>
        </w:rPr>
      </w:pPr>
    </w:p>
    <w:p>
      <w:pPr>
        <w:pStyle w:val="619"/>
        <w:numPr>
          <w:ilvl w:val="0"/>
          <w:numId w:val="0"/>
        </w:numPr>
        <w:snapToGrid w:val="0"/>
        <w:spacing w:before="120" w:after="120"/>
        <w:jc w:val="both"/>
        <w:rPr>
          <w:rFonts w:hint="eastAsia" w:ascii="仿宋" w:hAnsi="仿宋" w:eastAsia="仿宋" w:cs="仿宋"/>
          <w:b/>
          <w:color w:val="auto"/>
          <w:sz w:val="28"/>
          <w:szCs w:val="28"/>
          <w:highlight w:val="none"/>
          <w:lang w:eastAsia="zh-CN"/>
        </w:rPr>
      </w:pPr>
      <w:r>
        <w:rPr>
          <w:rFonts w:hint="eastAsia" w:ascii="仿宋" w:hAnsi="仿宋" w:eastAsia="仿宋" w:cs="仿宋"/>
          <w:b/>
          <w:color w:val="auto"/>
          <w:sz w:val="28"/>
          <w:szCs w:val="28"/>
          <w:highlight w:val="none"/>
        </w:rPr>
        <w:t>确认声明书</w:t>
      </w:r>
      <w:r>
        <w:rPr>
          <w:rFonts w:hint="eastAsia" w:ascii="仿宋" w:hAnsi="仿宋" w:eastAsia="仿宋" w:cs="仿宋"/>
          <w:b/>
          <w:color w:val="auto"/>
          <w:sz w:val="28"/>
          <w:szCs w:val="28"/>
          <w:highlight w:val="none"/>
          <w:lang w:eastAsia="zh-CN"/>
        </w:rPr>
        <w:t>（将以下表格填写完成后，与投标文件同步制作递交）</w:t>
      </w:r>
    </w:p>
    <w:p>
      <w:pPr>
        <w:pStyle w:val="619"/>
        <w:snapToGrid w:val="0"/>
        <w:spacing w:before="120" w:after="120"/>
        <w:jc w:val="center"/>
        <w:rPr>
          <w:rFonts w:hint="eastAsia" w:ascii="仿宋" w:hAnsi="仿宋" w:eastAsia="仿宋" w:cs="仿宋"/>
          <w:b/>
          <w:color w:val="auto"/>
          <w:szCs w:val="24"/>
          <w:highlight w:val="none"/>
          <w:lang w:eastAsia="zh-CN"/>
        </w:rPr>
      </w:pPr>
      <w:r>
        <w:rPr>
          <w:rFonts w:hint="eastAsia" w:ascii="仿宋" w:hAnsi="仿宋" w:eastAsia="仿宋" w:cs="仿宋"/>
          <w:b/>
          <w:color w:val="auto"/>
          <w:szCs w:val="24"/>
          <w:highlight w:val="none"/>
        </w:rPr>
        <w:t>（要求在电子投标文件解密后，</w:t>
      </w:r>
      <w:r>
        <w:rPr>
          <w:rFonts w:hint="eastAsia" w:ascii="仿宋" w:hAnsi="仿宋" w:eastAsia="仿宋" w:cs="仿宋"/>
          <w:b/>
          <w:color w:val="auto"/>
          <w:szCs w:val="24"/>
          <w:highlight w:val="none"/>
          <w:lang w:eastAsia="zh-CN"/>
        </w:rPr>
        <w:t>自行核实下述承诺内容。如有不符，重新联系代理公司，</w:t>
      </w:r>
    </w:p>
    <w:p>
      <w:pPr>
        <w:pStyle w:val="619"/>
        <w:snapToGrid w:val="0"/>
        <w:spacing w:before="120" w:after="120"/>
        <w:jc w:val="both"/>
        <w:rPr>
          <w:rFonts w:hint="eastAsia" w:ascii="仿宋" w:hAnsi="仿宋" w:eastAsia="仿宋" w:cs="仿宋"/>
          <w:color w:val="auto"/>
          <w:kern w:val="0"/>
          <w:sz w:val="21"/>
          <w:szCs w:val="21"/>
          <w:highlight w:val="none"/>
        </w:rPr>
      </w:pPr>
      <w:r>
        <w:rPr>
          <w:rFonts w:hint="eastAsia" w:ascii="仿宋" w:hAnsi="仿宋" w:eastAsia="仿宋" w:cs="仿宋"/>
          <w:b/>
          <w:color w:val="auto"/>
          <w:szCs w:val="24"/>
          <w:highlight w:val="none"/>
          <w:lang w:eastAsia="zh-CN"/>
        </w:rPr>
        <w:t>重新按新的内容邮箱递交）</w:t>
      </w:r>
    </w:p>
    <w:p>
      <w:pPr>
        <w:pStyle w:val="619"/>
        <w:snapToGrid w:val="0"/>
        <w:spacing w:before="120" w:after="120"/>
        <w:jc w:val="center"/>
        <w:rPr>
          <w:rFonts w:hint="eastAsia" w:ascii="仿宋" w:hAnsi="仿宋" w:eastAsia="仿宋" w:cs="仿宋"/>
          <w:b/>
          <w:color w:val="auto"/>
          <w:sz w:val="32"/>
          <w:szCs w:val="32"/>
          <w:highlight w:val="none"/>
        </w:rPr>
      </w:pPr>
    </w:p>
    <w:p>
      <w:pPr>
        <w:pStyle w:val="619"/>
        <w:snapToGrid w:val="0"/>
        <w:spacing w:before="120" w:after="120"/>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政府采购活动现场确认声明书</w:t>
      </w:r>
    </w:p>
    <w:p>
      <w:pPr>
        <w:pStyle w:val="619"/>
        <w:snapToGrid w:val="0"/>
        <w:spacing w:before="120" w:after="120" w:line="380" w:lineRule="exact"/>
        <w:rPr>
          <w:rFonts w:hint="eastAsia" w:ascii="仿宋" w:hAnsi="仿宋" w:eastAsia="仿宋" w:cs="仿宋"/>
          <w:b/>
          <w:color w:val="auto"/>
          <w:sz w:val="21"/>
          <w:szCs w:val="21"/>
          <w:highlight w:val="none"/>
        </w:rPr>
      </w:pPr>
      <w:r>
        <w:rPr>
          <w:rFonts w:hint="eastAsia" w:ascii="仿宋" w:hAnsi="仿宋" w:eastAsia="仿宋" w:cs="仿宋"/>
          <w:color w:val="auto"/>
          <w:kern w:val="0"/>
          <w:sz w:val="21"/>
          <w:szCs w:val="21"/>
          <w:highlight w:val="none"/>
          <w:u w:val="single"/>
        </w:rPr>
        <w:t xml:space="preserve">     </w:t>
      </w:r>
      <w:r>
        <w:rPr>
          <w:rFonts w:hint="eastAsia" w:ascii="仿宋" w:hAnsi="仿宋" w:eastAsia="仿宋" w:cs="仿宋"/>
          <w:color w:val="auto"/>
          <w:kern w:val="0"/>
          <w:sz w:val="21"/>
          <w:szCs w:val="21"/>
          <w:highlight w:val="none"/>
          <w:u w:val="single"/>
          <w:lang w:val="en-US" w:eastAsia="zh-CN"/>
        </w:rPr>
        <w:t>采购人、代理机构</w:t>
      </w:r>
      <w:r>
        <w:rPr>
          <w:rFonts w:hint="eastAsia" w:ascii="仿宋" w:hAnsi="仿宋" w:eastAsia="仿宋" w:cs="仿宋"/>
          <w:color w:val="auto"/>
          <w:kern w:val="0"/>
          <w:sz w:val="21"/>
          <w:szCs w:val="21"/>
          <w:highlight w:val="none"/>
          <w:u w:val="single"/>
        </w:rPr>
        <w:t xml:space="preserve">        </w:t>
      </w:r>
      <w:r>
        <w:rPr>
          <w:rFonts w:hint="eastAsia" w:ascii="仿宋" w:hAnsi="仿宋" w:eastAsia="仿宋" w:cs="仿宋"/>
          <w:color w:val="auto"/>
          <w:kern w:val="0"/>
          <w:sz w:val="21"/>
          <w:szCs w:val="21"/>
          <w:highlight w:val="none"/>
        </w:rPr>
        <w:t>：</w:t>
      </w:r>
    </w:p>
    <w:p>
      <w:pPr>
        <w:pStyle w:val="619"/>
        <w:snapToGrid w:val="0"/>
        <w:spacing w:before="120" w:after="120" w:line="380" w:lineRule="exact"/>
        <w:ind w:firstLine="444" w:firstLineChars="200"/>
        <w:rPr>
          <w:rFonts w:hint="eastAsia" w:ascii="仿宋" w:hAnsi="仿宋" w:eastAsia="仿宋" w:cs="仿宋"/>
          <w:color w:val="auto"/>
          <w:spacing w:val="6"/>
          <w:sz w:val="21"/>
          <w:szCs w:val="21"/>
          <w:highlight w:val="none"/>
        </w:rPr>
      </w:pPr>
      <w:r>
        <w:rPr>
          <w:rFonts w:hint="eastAsia" w:ascii="仿宋" w:hAnsi="仿宋" w:eastAsia="仿宋" w:cs="仿宋"/>
          <w:color w:val="auto"/>
          <w:spacing w:val="6"/>
          <w:sz w:val="21"/>
          <w:szCs w:val="21"/>
          <w:highlight w:val="none"/>
        </w:rPr>
        <w:t>本人经由</w:t>
      </w:r>
      <w:r>
        <w:rPr>
          <w:rFonts w:hint="eastAsia" w:ascii="仿宋" w:hAnsi="仿宋" w:eastAsia="仿宋" w:cs="仿宋"/>
          <w:color w:val="auto"/>
          <w:spacing w:val="6"/>
          <w:sz w:val="21"/>
          <w:szCs w:val="21"/>
          <w:highlight w:val="none"/>
          <w:u w:val="single"/>
        </w:rPr>
        <w:t xml:space="preserve">                  （单位）</w:t>
      </w:r>
      <w:r>
        <w:rPr>
          <w:rFonts w:hint="eastAsia" w:ascii="仿宋" w:hAnsi="仿宋" w:eastAsia="仿宋" w:cs="仿宋"/>
          <w:color w:val="auto"/>
          <w:spacing w:val="6"/>
          <w:sz w:val="21"/>
          <w:szCs w:val="21"/>
          <w:highlight w:val="none"/>
        </w:rPr>
        <w:t>负责人</w:t>
      </w:r>
      <w:r>
        <w:rPr>
          <w:rFonts w:hint="eastAsia" w:ascii="仿宋" w:hAnsi="仿宋" w:eastAsia="仿宋" w:cs="仿宋"/>
          <w:color w:val="auto"/>
          <w:spacing w:val="6"/>
          <w:sz w:val="21"/>
          <w:szCs w:val="21"/>
          <w:highlight w:val="none"/>
          <w:u w:val="single"/>
        </w:rPr>
        <w:t xml:space="preserve">        （姓名）</w:t>
      </w:r>
      <w:r>
        <w:rPr>
          <w:rFonts w:hint="eastAsia" w:ascii="仿宋" w:hAnsi="仿宋" w:eastAsia="仿宋" w:cs="仿宋"/>
          <w:color w:val="auto"/>
          <w:spacing w:val="6"/>
          <w:sz w:val="21"/>
          <w:szCs w:val="21"/>
          <w:highlight w:val="none"/>
        </w:rPr>
        <w:t>合法授权参加</w:t>
      </w:r>
      <w:r>
        <w:rPr>
          <w:rFonts w:hint="eastAsia" w:ascii="仿宋" w:hAnsi="仿宋" w:eastAsia="仿宋" w:cs="仿宋"/>
          <w:color w:val="auto"/>
          <w:spacing w:val="6"/>
          <w:sz w:val="21"/>
          <w:szCs w:val="21"/>
          <w:highlight w:val="none"/>
          <w:u w:val="single"/>
        </w:rPr>
        <w:t xml:space="preserve">                </w:t>
      </w:r>
      <w:r>
        <w:rPr>
          <w:rFonts w:hint="eastAsia" w:ascii="仿宋" w:hAnsi="仿宋" w:eastAsia="仿宋" w:cs="仿宋"/>
          <w:color w:val="auto"/>
          <w:spacing w:val="6"/>
          <w:sz w:val="21"/>
          <w:szCs w:val="21"/>
          <w:highlight w:val="none"/>
        </w:rPr>
        <w:t>项目（编号：</w:t>
      </w:r>
      <w:r>
        <w:rPr>
          <w:rFonts w:hint="eastAsia" w:ascii="仿宋" w:hAnsi="仿宋" w:eastAsia="仿宋" w:cs="仿宋"/>
          <w:color w:val="auto"/>
          <w:spacing w:val="6"/>
          <w:sz w:val="21"/>
          <w:szCs w:val="21"/>
          <w:highlight w:val="none"/>
          <w:u w:val="single"/>
        </w:rPr>
        <w:t xml:space="preserve">        </w:t>
      </w:r>
      <w:r>
        <w:rPr>
          <w:rFonts w:hint="eastAsia" w:ascii="仿宋" w:hAnsi="仿宋" w:eastAsia="仿宋" w:cs="仿宋"/>
          <w:color w:val="auto"/>
          <w:spacing w:val="6"/>
          <w:sz w:val="21"/>
          <w:szCs w:val="21"/>
          <w:highlight w:val="none"/>
        </w:rPr>
        <w:t xml:space="preserve">）政府采购活动，经与本单位法人代表（负责人）联系确认，现就有关公平竞争事项郑重声明如下： </w:t>
      </w:r>
    </w:p>
    <w:p>
      <w:pPr>
        <w:pStyle w:val="620"/>
        <w:widowControl/>
        <w:numPr>
          <w:ilvl w:val="0"/>
          <w:numId w:val="15"/>
        </w:numPr>
        <w:snapToGrid w:val="0"/>
        <w:spacing w:line="380" w:lineRule="exact"/>
        <w:ind w:firstLine="396" w:firstLineChars="189"/>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本单位与采购人之间 □不存在利害关系 □存在下列利害关系</w:t>
      </w:r>
      <w:r>
        <w:rPr>
          <w:rFonts w:hint="eastAsia" w:ascii="仿宋" w:hAnsi="仿宋" w:eastAsia="仿宋" w:cs="仿宋"/>
          <w:color w:val="auto"/>
          <w:kern w:val="0"/>
          <w:szCs w:val="21"/>
          <w:highlight w:val="none"/>
          <w:u w:val="single"/>
        </w:rPr>
        <w:t xml:space="preserve">           </w:t>
      </w:r>
      <w:r>
        <w:rPr>
          <w:rFonts w:hint="eastAsia" w:ascii="仿宋" w:hAnsi="仿宋" w:eastAsia="仿宋" w:cs="仿宋"/>
          <w:color w:val="auto"/>
          <w:kern w:val="0"/>
          <w:szCs w:val="21"/>
          <w:highlight w:val="none"/>
        </w:rPr>
        <w:t>：</w:t>
      </w:r>
    </w:p>
    <w:p>
      <w:pPr>
        <w:pStyle w:val="620"/>
        <w:widowControl/>
        <w:snapToGrid w:val="0"/>
        <w:spacing w:line="380" w:lineRule="exac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xml:space="preserve">  A.投资关系    B.行政隶属关系    C.业务指导关系</w:t>
      </w:r>
    </w:p>
    <w:p>
      <w:pPr>
        <w:pStyle w:val="620"/>
        <w:widowControl/>
        <w:snapToGrid w:val="0"/>
        <w:spacing w:line="380" w:lineRule="exac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xml:space="preserve">  D.其他可能</w:t>
      </w:r>
      <w:r>
        <w:rPr>
          <w:rFonts w:hint="eastAsia" w:ascii="仿宋" w:hAnsi="仿宋" w:eastAsia="仿宋" w:cs="仿宋"/>
          <w:color w:val="auto"/>
          <w:szCs w:val="21"/>
          <w:highlight w:val="none"/>
        </w:rPr>
        <w:t>影响采购公正的</w:t>
      </w:r>
      <w:r>
        <w:rPr>
          <w:rFonts w:hint="eastAsia" w:ascii="仿宋" w:hAnsi="仿宋" w:eastAsia="仿宋" w:cs="仿宋"/>
          <w:color w:val="auto"/>
          <w:kern w:val="0"/>
          <w:szCs w:val="21"/>
          <w:highlight w:val="none"/>
        </w:rPr>
        <w:t>利害关系</w:t>
      </w:r>
      <w:r>
        <w:rPr>
          <w:rFonts w:hint="eastAsia" w:ascii="仿宋" w:hAnsi="仿宋" w:eastAsia="仿宋" w:cs="仿宋"/>
          <w:color w:val="auto"/>
          <w:kern w:val="0"/>
          <w:szCs w:val="21"/>
          <w:highlight w:val="none"/>
          <w:u w:val="single"/>
        </w:rPr>
        <w:t xml:space="preserve">（如有，请如实说明）                 </w:t>
      </w:r>
      <w:r>
        <w:rPr>
          <w:rFonts w:hint="eastAsia" w:ascii="仿宋" w:hAnsi="仿宋" w:eastAsia="仿宋" w:cs="仿宋"/>
          <w:color w:val="auto"/>
          <w:kern w:val="0"/>
          <w:szCs w:val="21"/>
          <w:highlight w:val="none"/>
        </w:rPr>
        <w:t>。</w:t>
      </w:r>
    </w:p>
    <w:p>
      <w:pPr>
        <w:pStyle w:val="620"/>
        <w:widowControl/>
        <w:snapToGrid w:val="0"/>
        <w:spacing w:line="380" w:lineRule="exact"/>
        <w:rPr>
          <w:rFonts w:hint="eastAsia" w:ascii="仿宋" w:hAnsi="仿宋" w:eastAsia="仿宋" w:cs="仿宋"/>
          <w:color w:val="auto"/>
          <w:kern w:val="0"/>
          <w:szCs w:val="21"/>
          <w:highlight w:val="none"/>
        </w:rPr>
      </w:pPr>
      <w:r>
        <w:rPr>
          <w:rFonts w:hint="eastAsia" w:ascii="仿宋" w:hAnsi="仿宋" w:eastAsia="仿宋" w:cs="仿宋"/>
          <w:color w:val="auto"/>
          <w:spacing w:val="6"/>
          <w:szCs w:val="21"/>
          <w:highlight w:val="none"/>
        </w:rPr>
        <w:t xml:space="preserve">  二、</w:t>
      </w:r>
      <w:r>
        <w:rPr>
          <w:rFonts w:hint="eastAsia" w:ascii="仿宋" w:hAnsi="仿宋" w:eastAsia="仿宋" w:cs="仿宋"/>
          <w:color w:val="auto"/>
          <w:kern w:val="0"/>
          <w:szCs w:val="21"/>
          <w:highlight w:val="none"/>
        </w:rPr>
        <w:t>现已清楚知道参加本项目采购活动的其他所有供应商名称，本单位 □与其他所有供应商之间均不存在利害关系 □与</w:t>
      </w:r>
      <w:r>
        <w:rPr>
          <w:rFonts w:hint="eastAsia" w:ascii="仿宋" w:hAnsi="仿宋" w:eastAsia="仿宋" w:cs="仿宋"/>
          <w:color w:val="auto"/>
          <w:kern w:val="0"/>
          <w:szCs w:val="21"/>
          <w:highlight w:val="none"/>
          <w:u w:val="single"/>
        </w:rPr>
        <w:t xml:space="preserve">           （供应商名称）</w:t>
      </w:r>
      <w:r>
        <w:rPr>
          <w:rFonts w:hint="eastAsia" w:ascii="仿宋" w:hAnsi="仿宋" w:eastAsia="仿宋" w:cs="仿宋"/>
          <w:color w:val="auto"/>
          <w:kern w:val="0"/>
          <w:szCs w:val="21"/>
          <w:highlight w:val="none"/>
        </w:rPr>
        <w:t>之间存在下列利害关系</w:t>
      </w:r>
      <w:r>
        <w:rPr>
          <w:rFonts w:hint="eastAsia" w:ascii="仿宋" w:hAnsi="仿宋" w:eastAsia="仿宋" w:cs="仿宋"/>
          <w:color w:val="auto"/>
          <w:kern w:val="0"/>
          <w:szCs w:val="21"/>
          <w:highlight w:val="none"/>
          <w:u w:val="single"/>
        </w:rPr>
        <w:t xml:space="preserve">          </w:t>
      </w:r>
      <w:r>
        <w:rPr>
          <w:rFonts w:hint="eastAsia" w:ascii="仿宋" w:hAnsi="仿宋" w:eastAsia="仿宋" w:cs="仿宋"/>
          <w:color w:val="auto"/>
          <w:kern w:val="0"/>
          <w:szCs w:val="21"/>
          <w:highlight w:val="none"/>
        </w:rPr>
        <w:t>：</w:t>
      </w:r>
    </w:p>
    <w:p>
      <w:pPr>
        <w:pStyle w:val="619"/>
        <w:widowControl w:val="0"/>
        <w:wordWrap/>
        <w:adjustRightInd/>
        <w:snapToGrid w:val="0"/>
        <w:spacing w:before="120" w:after="120" w:line="300" w:lineRule="exact"/>
        <w:textAlignment w:val="auto"/>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 xml:space="preserve">  A.法定代表人或负责人或实际控制人是同一人</w:t>
      </w:r>
    </w:p>
    <w:p>
      <w:pPr>
        <w:pStyle w:val="619"/>
        <w:widowControl w:val="0"/>
        <w:wordWrap/>
        <w:adjustRightInd/>
        <w:snapToGrid w:val="0"/>
        <w:spacing w:before="120" w:after="120" w:line="300" w:lineRule="exact"/>
        <w:textAlignment w:val="auto"/>
        <w:rPr>
          <w:rFonts w:hint="eastAsia" w:ascii="仿宋" w:hAnsi="仿宋" w:eastAsia="仿宋" w:cs="仿宋"/>
          <w:color w:val="auto"/>
          <w:spacing w:val="6"/>
          <w:sz w:val="21"/>
          <w:szCs w:val="21"/>
          <w:highlight w:val="none"/>
        </w:rPr>
      </w:pPr>
      <w:r>
        <w:rPr>
          <w:rFonts w:hint="eastAsia" w:ascii="仿宋" w:hAnsi="仿宋" w:eastAsia="仿宋" w:cs="仿宋"/>
          <w:color w:val="auto"/>
          <w:kern w:val="0"/>
          <w:sz w:val="21"/>
          <w:szCs w:val="21"/>
          <w:highlight w:val="none"/>
        </w:rPr>
        <w:t xml:space="preserve">  B.法定代表人或负责人或实际控制人是夫妻关系</w:t>
      </w:r>
    </w:p>
    <w:p>
      <w:pPr>
        <w:pStyle w:val="619"/>
        <w:widowControl w:val="0"/>
        <w:wordWrap/>
        <w:adjustRightInd/>
        <w:snapToGrid w:val="0"/>
        <w:spacing w:before="120" w:after="120" w:line="300" w:lineRule="exact"/>
        <w:textAlignment w:val="auto"/>
        <w:rPr>
          <w:rFonts w:hint="eastAsia" w:ascii="仿宋" w:hAnsi="仿宋" w:eastAsia="仿宋" w:cs="仿宋"/>
          <w:color w:val="auto"/>
          <w:spacing w:val="6"/>
          <w:sz w:val="21"/>
          <w:szCs w:val="21"/>
          <w:highlight w:val="none"/>
        </w:rPr>
      </w:pPr>
      <w:r>
        <w:rPr>
          <w:rFonts w:hint="eastAsia" w:ascii="仿宋" w:hAnsi="仿宋" w:eastAsia="仿宋" w:cs="仿宋"/>
          <w:color w:val="auto"/>
          <w:kern w:val="0"/>
          <w:sz w:val="21"/>
          <w:szCs w:val="21"/>
          <w:highlight w:val="none"/>
        </w:rPr>
        <w:t xml:space="preserve">  C.法定代表人或负责人或实际控制人是直系血亲关系</w:t>
      </w:r>
    </w:p>
    <w:p>
      <w:pPr>
        <w:pStyle w:val="619"/>
        <w:widowControl w:val="0"/>
        <w:wordWrap/>
        <w:adjustRightInd/>
        <w:snapToGrid w:val="0"/>
        <w:spacing w:before="120" w:after="120" w:line="300" w:lineRule="exact"/>
        <w:textAlignment w:val="auto"/>
        <w:rPr>
          <w:rFonts w:hint="eastAsia" w:ascii="仿宋" w:hAnsi="仿宋" w:eastAsia="仿宋" w:cs="仿宋"/>
          <w:color w:val="auto"/>
          <w:spacing w:val="6"/>
          <w:sz w:val="21"/>
          <w:szCs w:val="21"/>
          <w:highlight w:val="none"/>
        </w:rPr>
      </w:pPr>
      <w:r>
        <w:rPr>
          <w:rFonts w:hint="eastAsia" w:ascii="仿宋" w:hAnsi="仿宋" w:eastAsia="仿宋" w:cs="仿宋"/>
          <w:color w:val="auto"/>
          <w:kern w:val="0"/>
          <w:sz w:val="21"/>
          <w:szCs w:val="21"/>
          <w:highlight w:val="none"/>
        </w:rPr>
        <w:t xml:space="preserve">  D.法定代表人或负责人或实际控制人存在三代以内旁系血亲关系</w:t>
      </w:r>
    </w:p>
    <w:p>
      <w:pPr>
        <w:pStyle w:val="619"/>
        <w:widowControl w:val="0"/>
        <w:wordWrap/>
        <w:adjustRightInd/>
        <w:snapToGrid w:val="0"/>
        <w:spacing w:before="120" w:after="120" w:line="300" w:lineRule="exact"/>
        <w:textAlignment w:val="auto"/>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 xml:space="preserve">  E.法定代表人或负责人或实际控制人存在近姻亲关系</w:t>
      </w:r>
    </w:p>
    <w:p>
      <w:pPr>
        <w:pStyle w:val="619"/>
        <w:widowControl w:val="0"/>
        <w:wordWrap/>
        <w:adjustRightInd/>
        <w:snapToGrid w:val="0"/>
        <w:spacing w:before="120" w:after="120" w:line="300" w:lineRule="exact"/>
        <w:textAlignment w:val="auto"/>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 xml:space="preserve">  F.法定代表人或负责人或实际控制人存在股份控制或实际控制关系</w:t>
      </w:r>
    </w:p>
    <w:p>
      <w:pPr>
        <w:pStyle w:val="619"/>
        <w:widowControl w:val="0"/>
        <w:wordWrap/>
        <w:adjustRightInd/>
        <w:snapToGrid w:val="0"/>
        <w:spacing w:before="120" w:after="120" w:line="300" w:lineRule="exact"/>
        <w:textAlignment w:val="auto"/>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 xml:space="preserve">  G.存在共同直接或间接投资设立子公司、联营企业和合营企业情况</w:t>
      </w:r>
    </w:p>
    <w:p>
      <w:pPr>
        <w:pStyle w:val="619"/>
        <w:widowControl w:val="0"/>
        <w:wordWrap/>
        <w:adjustRightInd/>
        <w:snapToGrid w:val="0"/>
        <w:spacing w:before="120" w:after="120" w:line="300" w:lineRule="exact"/>
        <w:textAlignment w:val="auto"/>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rPr>
        <w:t xml:space="preserve">  H.存在分级代理或代销关系、同一生产制造商关系、</w:t>
      </w:r>
      <w:r>
        <w:rPr>
          <w:rFonts w:hint="eastAsia" w:ascii="仿宋" w:hAnsi="仿宋" w:eastAsia="仿宋" w:cs="仿宋"/>
          <w:color w:val="auto"/>
          <w:sz w:val="21"/>
          <w:szCs w:val="21"/>
          <w:highlight w:val="none"/>
        </w:rPr>
        <w:t>管理关系、重要业务（占主营业务收入50%以上）或重要财务往来关系（如融资）等其他实质性控制关系</w:t>
      </w:r>
    </w:p>
    <w:p>
      <w:pPr>
        <w:pStyle w:val="619"/>
        <w:snapToGrid w:val="0"/>
        <w:spacing w:before="120" w:after="120" w:line="380" w:lineRule="exact"/>
        <w:rPr>
          <w:rFonts w:hint="eastAsia" w:ascii="仿宋" w:hAnsi="仿宋" w:eastAsia="仿宋" w:cs="仿宋"/>
          <w:color w:val="auto"/>
          <w:spacing w:val="6"/>
          <w:sz w:val="21"/>
          <w:szCs w:val="21"/>
          <w:highlight w:val="none"/>
        </w:rPr>
      </w:pPr>
      <w:r>
        <w:rPr>
          <w:rFonts w:hint="eastAsia" w:ascii="仿宋" w:hAnsi="仿宋" w:eastAsia="仿宋" w:cs="仿宋"/>
          <w:color w:val="auto"/>
          <w:sz w:val="21"/>
          <w:szCs w:val="21"/>
          <w:highlight w:val="none"/>
        </w:rPr>
        <w:t xml:space="preserve">    I</w:t>
      </w:r>
      <w:r>
        <w:rPr>
          <w:rFonts w:hint="eastAsia" w:ascii="仿宋" w:hAnsi="仿宋" w:eastAsia="仿宋" w:cs="仿宋"/>
          <w:color w:val="auto"/>
          <w:kern w:val="0"/>
          <w:sz w:val="21"/>
          <w:szCs w:val="21"/>
          <w:highlight w:val="none"/>
        </w:rPr>
        <w:t>.</w:t>
      </w:r>
      <w:r>
        <w:rPr>
          <w:rFonts w:hint="eastAsia" w:ascii="仿宋" w:hAnsi="仿宋" w:eastAsia="仿宋" w:cs="仿宋"/>
          <w:color w:val="auto"/>
          <w:sz w:val="21"/>
          <w:szCs w:val="21"/>
          <w:highlight w:val="none"/>
        </w:rPr>
        <w:t>其他利害关系情况</w:t>
      </w:r>
      <w:r>
        <w:rPr>
          <w:rFonts w:hint="eastAsia" w:ascii="仿宋" w:hAnsi="仿宋" w:eastAsia="仿宋" w:cs="仿宋"/>
          <w:color w:val="auto"/>
          <w:sz w:val="21"/>
          <w:szCs w:val="21"/>
          <w:highlight w:val="none"/>
          <w:u w:val="single"/>
        </w:rPr>
        <w:t xml:space="preserve">                              </w:t>
      </w:r>
      <w:r>
        <w:rPr>
          <w:rFonts w:hint="eastAsia" w:ascii="仿宋" w:hAnsi="仿宋" w:eastAsia="仿宋" w:cs="仿宋"/>
          <w:color w:val="auto"/>
          <w:kern w:val="0"/>
          <w:sz w:val="21"/>
          <w:szCs w:val="21"/>
          <w:highlight w:val="none"/>
        </w:rPr>
        <w:t>。</w:t>
      </w:r>
    </w:p>
    <w:p>
      <w:pPr>
        <w:pStyle w:val="620"/>
        <w:widowControl/>
        <w:numPr>
          <w:ilvl w:val="0"/>
          <w:numId w:val="16"/>
        </w:numPr>
        <w:snapToGrid w:val="0"/>
        <w:spacing w:line="380" w:lineRule="exact"/>
        <w:ind w:firstLine="396" w:firstLineChars="189"/>
        <w:rPr>
          <w:rFonts w:hint="eastAsia" w:ascii="仿宋" w:hAnsi="仿宋" w:eastAsia="仿宋" w:cs="仿宋"/>
          <w:color w:val="auto"/>
          <w:kern w:val="0"/>
          <w:szCs w:val="21"/>
          <w:highlight w:val="none"/>
        </w:rPr>
      </w:pPr>
      <w:r>
        <w:rPr>
          <w:rFonts w:hint="eastAsia" w:ascii="仿宋" w:hAnsi="仿宋" w:eastAsia="仿宋" w:cs="仿宋"/>
          <w:color w:val="auto"/>
          <w:szCs w:val="21"/>
          <w:highlight w:val="none"/>
        </w:rPr>
        <w:t>现已清楚知道并</w:t>
      </w:r>
      <w:r>
        <w:rPr>
          <w:rFonts w:hint="eastAsia" w:ascii="仿宋" w:hAnsi="仿宋" w:eastAsia="仿宋" w:cs="仿宋"/>
          <w:color w:val="auto"/>
          <w:kern w:val="0"/>
          <w:szCs w:val="21"/>
          <w:highlight w:val="none"/>
        </w:rPr>
        <w:t>严格遵守政府采购法律法规和现场纪律。</w:t>
      </w:r>
    </w:p>
    <w:p>
      <w:pPr>
        <w:pStyle w:val="620"/>
        <w:widowControl/>
        <w:numPr>
          <w:ilvl w:val="0"/>
          <w:numId w:val="16"/>
        </w:numPr>
        <w:snapToGrid w:val="0"/>
        <w:spacing w:line="380" w:lineRule="exact"/>
        <w:ind w:firstLine="396" w:firstLineChars="189"/>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rPr>
        <w:t>我发现</w:t>
      </w:r>
      <w:r>
        <w:rPr>
          <w:rFonts w:hint="eastAsia" w:ascii="仿宋" w:hAnsi="仿宋" w:eastAsia="仿宋" w:cs="仿宋"/>
          <w:color w:val="auto"/>
          <w:kern w:val="0"/>
          <w:szCs w:val="21"/>
          <w:highlight w:val="none"/>
          <w:u w:val="single"/>
        </w:rPr>
        <w:t xml:space="preserve">                    </w:t>
      </w:r>
      <w:r>
        <w:rPr>
          <w:rFonts w:hint="eastAsia" w:ascii="仿宋" w:hAnsi="仿宋" w:eastAsia="仿宋" w:cs="仿宋"/>
          <w:color w:val="auto"/>
          <w:kern w:val="0"/>
          <w:szCs w:val="21"/>
          <w:highlight w:val="none"/>
        </w:rPr>
        <w:t>供应商之间存在或可能存在上述第二条第</w:t>
      </w:r>
      <w:r>
        <w:rPr>
          <w:rFonts w:hint="eastAsia" w:ascii="仿宋" w:hAnsi="仿宋" w:eastAsia="仿宋" w:cs="仿宋"/>
          <w:color w:val="auto"/>
          <w:kern w:val="0"/>
          <w:szCs w:val="21"/>
          <w:highlight w:val="none"/>
          <w:u w:val="single"/>
        </w:rPr>
        <w:t xml:space="preserve">        </w:t>
      </w:r>
      <w:r>
        <w:rPr>
          <w:rFonts w:hint="eastAsia" w:ascii="仿宋" w:hAnsi="仿宋" w:eastAsia="仿宋" w:cs="仿宋"/>
          <w:color w:val="auto"/>
          <w:kern w:val="0"/>
          <w:szCs w:val="21"/>
          <w:highlight w:val="none"/>
        </w:rPr>
        <w:t>项利害关系。</w:t>
      </w:r>
    </w:p>
    <w:p>
      <w:pPr>
        <w:pStyle w:val="619"/>
        <w:snapToGrid w:val="0"/>
        <w:spacing w:before="120" w:after="120"/>
        <w:ind w:firstLine="420" w:firstLineChars="200"/>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rPr>
        <w:t xml:space="preserve">                             </w:t>
      </w:r>
      <w:r>
        <w:rPr>
          <w:rFonts w:hint="eastAsia" w:ascii="仿宋" w:hAnsi="仿宋" w:eastAsia="仿宋" w:cs="仿宋"/>
          <w:color w:val="auto"/>
          <w:sz w:val="21"/>
          <w:szCs w:val="21"/>
          <w:highlight w:val="none"/>
          <w:lang w:val="en-US" w:eastAsia="zh-CN"/>
        </w:rPr>
        <w:t xml:space="preserve">       </w:t>
      </w:r>
      <w:r>
        <w:rPr>
          <w:rFonts w:hint="eastAsia" w:ascii="仿宋" w:hAnsi="仿宋" w:eastAsia="仿宋" w:cs="仿宋"/>
          <w:color w:val="auto"/>
          <w:sz w:val="21"/>
          <w:szCs w:val="21"/>
          <w:highlight w:val="none"/>
        </w:rPr>
        <w:t xml:space="preserve">      供应商</w:t>
      </w:r>
      <w:r>
        <w:rPr>
          <w:rFonts w:hint="eastAsia" w:ascii="仿宋" w:hAnsi="仿宋" w:eastAsia="仿宋" w:cs="仿宋"/>
          <w:color w:val="auto"/>
          <w:sz w:val="21"/>
          <w:szCs w:val="21"/>
          <w:highlight w:val="none"/>
          <w:lang w:eastAsia="zh-CN"/>
        </w:rPr>
        <w:t>盖章：</w:t>
      </w:r>
    </w:p>
    <w:p>
      <w:pPr>
        <w:pStyle w:val="619"/>
        <w:snapToGrid w:val="0"/>
        <w:spacing w:before="120" w:after="120"/>
        <w:ind w:firstLine="4830" w:firstLineChars="23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eastAsia="zh-CN"/>
        </w:rPr>
        <w:t>授权委托</w:t>
      </w:r>
      <w:r>
        <w:rPr>
          <w:rFonts w:hint="eastAsia" w:ascii="仿宋" w:hAnsi="仿宋" w:eastAsia="仿宋" w:cs="仿宋"/>
          <w:color w:val="auto"/>
          <w:sz w:val="21"/>
          <w:szCs w:val="21"/>
          <w:highlight w:val="none"/>
        </w:rPr>
        <w:t>代表签名：</w:t>
      </w:r>
    </w:p>
    <w:p>
      <w:pPr>
        <w:snapToGrid w:val="0"/>
        <w:spacing w:line="360" w:lineRule="auto"/>
        <w:jc w:val="left"/>
        <w:rPr>
          <w:rFonts w:hint="eastAsia" w:ascii="仿宋" w:hAnsi="仿宋" w:eastAsia="仿宋" w:cs="仿宋"/>
          <w:color w:val="auto"/>
          <w:highlight w:val="none"/>
          <w:lang w:val="en-US"/>
        </w:rPr>
      </w:pPr>
      <w:r>
        <w:rPr>
          <w:rFonts w:hint="eastAsia" w:ascii="仿宋" w:hAnsi="仿宋" w:eastAsia="仿宋" w:cs="仿宋"/>
          <w:color w:val="auto"/>
          <w:szCs w:val="21"/>
          <w:highlight w:val="none"/>
        </w:rPr>
        <w:t xml:space="preserve">                                       </w:t>
      </w:r>
      <w:r>
        <w:rPr>
          <w:rFonts w:hint="eastAsia" w:ascii="仿宋" w:hAnsi="仿宋" w:eastAsia="仿宋" w:cs="仿宋"/>
          <w:color w:val="auto"/>
          <w:szCs w:val="21"/>
          <w:highlight w:val="none"/>
          <w:lang w:val="en-US" w:eastAsia="zh-CN"/>
        </w:rPr>
        <w:t xml:space="preserve">      </w:t>
      </w:r>
      <w:r>
        <w:rPr>
          <w:rFonts w:hint="eastAsia" w:ascii="仿宋" w:hAnsi="仿宋" w:eastAsia="仿宋" w:cs="仿宋"/>
          <w:color w:val="auto"/>
          <w:szCs w:val="21"/>
          <w:highlight w:val="none"/>
        </w:rPr>
        <w:t xml:space="preserve">  年  </w:t>
      </w:r>
      <w:r>
        <w:rPr>
          <w:rFonts w:hint="eastAsia" w:ascii="仿宋" w:hAnsi="仿宋" w:eastAsia="仿宋" w:cs="仿宋"/>
          <w:color w:val="auto"/>
          <w:szCs w:val="21"/>
          <w:highlight w:val="none"/>
          <w:lang w:val="en-US" w:eastAsia="zh-CN"/>
        </w:rPr>
        <w:t xml:space="preserve">  </w:t>
      </w:r>
      <w:r>
        <w:rPr>
          <w:rFonts w:hint="eastAsia" w:ascii="仿宋" w:hAnsi="仿宋" w:eastAsia="仿宋" w:cs="仿宋"/>
          <w:color w:val="auto"/>
          <w:szCs w:val="21"/>
          <w:highlight w:val="none"/>
        </w:rPr>
        <w:t xml:space="preserve">月 </w:t>
      </w:r>
      <w:r>
        <w:rPr>
          <w:rFonts w:hint="eastAsia" w:ascii="仿宋" w:hAnsi="仿宋" w:eastAsia="仿宋" w:cs="仿宋"/>
          <w:color w:val="auto"/>
          <w:szCs w:val="21"/>
          <w:highlight w:val="none"/>
          <w:lang w:val="en-US" w:eastAsia="zh-CN"/>
        </w:rPr>
        <w:t xml:space="preserve">  </w:t>
      </w:r>
      <w:r>
        <w:rPr>
          <w:rFonts w:hint="eastAsia" w:ascii="仿宋" w:hAnsi="仿宋" w:eastAsia="仿宋" w:cs="仿宋"/>
          <w:color w:val="auto"/>
          <w:szCs w:val="21"/>
          <w:highlight w:val="none"/>
        </w:rPr>
        <w:t xml:space="preserve"> 日</w:t>
      </w:r>
    </w:p>
    <w:p>
      <w:pPr>
        <w:rPr>
          <w:rFonts w:hint="eastAsia" w:ascii="仿宋" w:hAnsi="仿宋" w:eastAsia="仿宋" w:cs="仿宋"/>
          <w:color w:val="auto"/>
          <w:highlight w:val="none"/>
        </w:rPr>
        <w:sectPr>
          <w:headerReference r:id="rId13" w:type="first"/>
          <w:footerReference r:id="rId15" w:type="first"/>
          <w:headerReference r:id="rId12" w:type="default"/>
          <w:footerReference r:id="rId14" w:type="default"/>
          <w:pgSz w:w="11906" w:h="16838"/>
          <w:pgMar w:top="1276" w:right="1418" w:bottom="1247" w:left="1418" w:header="851" w:footer="992" w:gutter="0"/>
          <w:cols w:space="720" w:num="1"/>
          <w:titlePg/>
          <w:docGrid w:linePitch="312" w:charSpace="0"/>
        </w:sectPr>
      </w:pPr>
    </w:p>
    <w:p>
      <w:pPr>
        <w:spacing w:line="480" w:lineRule="auto"/>
        <w:jc w:val="center"/>
        <w:outlineLvl w:val="0"/>
        <w:rPr>
          <w:rFonts w:hint="eastAsia" w:ascii="仿宋" w:hAnsi="仿宋" w:eastAsia="仿宋" w:cs="仿宋"/>
          <w:b/>
          <w:color w:val="auto"/>
          <w:kern w:val="0"/>
          <w:sz w:val="36"/>
          <w:szCs w:val="36"/>
          <w:highlight w:val="none"/>
        </w:rPr>
      </w:pPr>
    </w:p>
    <w:p>
      <w:pPr>
        <w:spacing w:line="48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报价文件部分</w:t>
      </w:r>
    </w:p>
    <w:p>
      <w:pPr>
        <w:spacing w:line="48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pPr>
        <w:spacing w:line="480" w:lineRule="auto"/>
        <w:jc w:val="center"/>
        <w:outlineLvl w:val="0"/>
        <w:rPr>
          <w:rFonts w:hint="eastAsia" w:ascii="仿宋" w:hAnsi="仿宋" w:eastAsia="仿宋" w:cs="仿宋"/>
          <w:b/>
          <w:color w:val="auto"/>
          <w:kern w:val="0"/>
          <w:sz w:val="36"/>
          <w:szCs w:val="36"/>
          <w:highlight w:val="none"/>
        </w:rPr>
      </w:pPr>
    </w:p>
    <w:p>
      <w:pPr>
        <w:snapToGrid w:val="0"/>
        <w:spacing w:line="48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（1）开标一览表（报价表）………………………………………………………（页码）</w:t>
      </w:r>
    </w:p>
    <w:p>
      <w:pPr>
        <w:snapToGrid w:val="0"/>
        <w:spacing w:line="48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（2）中小企业声明函………………………………………………………………（页码）</w:t>
      </w:r>
    </w:p>
    <w:p>
      <w:pPr>
        <w:snapToGrid w:val="0"/>
        <w:spacing w:line="48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p>
    <w:p>
      <w:pPr>
        <w:pStyle w:val="376"/>
        <w:tabs>
          <w:tab w:val="clear" w:pos="720"/>
        </w:tabs>
        <w:snapToGrid w:val="0"/>
        <w:spacing w:before="120" w:after="120"/>
        <w:ind w:firstLine="643"/>
        <w:outlineLvl w:val="9"/>
        <w:rPr>
          <w:rFonts w:hint="eastAsia" w:ascii="仿宋" w:hAnsi="仿宋" w:eastAsia="仿宋" w:cs="仿宋"/>
          <w:color w:val="auto"/>
          <w:kern w:val="2"/>
          <w:sz w:val="32"/>
          <w:szCs w:val="32"/>
          <w:highlight w:val="none"/>
        </w:rPr>
        <w:sectPr>
          <w:headerReference r:id="rId17" w:type="first"/>
          <w:footerReference r:id="rId19" w:type="first"/>
          <w:headerReference r:id="rId16" w:type="default"/>
          <w:footerReference r:id="rId18" w:type="default"/>
          <w:pgSz w:w="11906" w:h="16838"/>
          <w:pgMar w:top="1276" w:right="1418" w:bottom="1247" w:left="1418" w:header="851" w:footer="992" w:gutter="0"/>
          <w:cols w:space="720" w:num="1"/>
          <w:titlePg/>
          <w:docGrid w:linePitch="312" w:charSpace="0"/>
        </w:sectPr>
      </w:pPr>
    </w:p>
    <w:p>
      <w:pPr>
        <w:pStyle w:val="376"/>
        <w:tabs>
          <w:tab w:val="clear" w:pos="720"/>
        </w:tabs>
        <w:snapToGrid w:val="0"/>
        <w:spacing w:before="120" w:after="120"/>
        <w:ind w:firstLine="643"/>
        <w:outlineLvl w:val="9"/>
        <w:rPr>
          <w:rFonts w:hint="eastAsia" w:ascii="仿宋" w:hAnsi="仿宋" w:eastAsia="仿宋" w:cs="仿宋"/>
          <w:color w:val="auto"/>
          <w:kern w:val="2"/>
          <w:sz w:val="32"/>
          <w:szCs w:val="32"/>
          <w:highlight w:val="none"/>
        </w:rPr>
      </w:pPr>
      <w:r>
        <w:rPr>
          <w:rFonts w:hint="eastAsia" w:ascii="仿宋" w:hAnsi="仿宋" w:eastAsia="仿宋" w:cs="仿宋"/>
          <w:color w:val="auto"/>
          <w:kern w:val="2"/>
          <w:sz w:val="32"/>
          <w:szCs w:val="32"/>
          <w:highlight w:val="none"/>
        </w:rPr>
        <w:t>一、开标一览表（报价表）</w:t>
      </w:r>
    </w:p>
    <w:p>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lang w:eastAsia="zh-CN"/>
        </w:rPr>
        <w:t>杭州市余杭区人民政府余杭街道办事处</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eastAsia="zh-CN"/>
        </w:rPr>
        <w:t>杭州天坤建设咨询有限公司</w:t>
      </w:r>
      <w:r>
        <w:rPr>
          <w:rFonts w:hint="eastAsia" w:ascii="仿宋" w:hAnsi="仿宋" w:eastAsia="仿宋" w:cs="仿宋"/>
          <w:color w:val="auto"/>
          <w:kern w:val="0"/>
          <w:sz w:val="24"/>
          <w:highlight w:val="none"/>
          <w:lang w:val="zh-CN"/>
        </w:rPr>
        <w:t>：</w:t>
      </w:r>
    </w:p>
    <w:p>
      <w:pPr>
        <w:snapToGrid w:val="0"/>
        <w:spacing w:line="360" w:lineRule="auto"/>
        <w:ind w:firstLine="482"/>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color w:val="auto"/>
          <w:sz w:val="24"/>
          <w:highlight w:val="none"/>
          <w:lang w:eastAsia="zh-CN"/>
        </w:rPr>
        <w:t>余杭街道2023年区域性微型消防救援站服务外包项目</w:t>
      </w:r>
      <w:r>
        <w:rPr>
          <w:rFonts w:hint="eastAsia" w:ascii="仿宋" w:hAnsi="仿宋" w:eastAsia="仿宋" w:cs="仿宋"/>
          <w:color w:val="auto"/>
          <w:kern w:val="0"/>
          <w:sz w:val="24"/>
          <w:highlight w:val="none"/>
          <w:lang w:val="zh-CN"/>
        </w:rPr>
        <w:t>【招标编号：</w:t>
      </w:r>
      <w:r>
        <w:rPr>
          <w:rFonts w:hint="eastAsia" w:ascii="仿宋" w:hAnsi="仿宋" w:eastAsia="仿宋" w:cs="仿宋"/>
          <w:color w:val="auto"/>
          <w:sz w:val="24"/>
          <w:highlight w:val="none"/>
          <w:lang w:eastAsia="zh-CN"/>
        </w:rPr>
        <w:t>TKZXCG-2023-034-1</w:t>
      </w:r>
      <w:r>
        <w:rPr>
          <w:rFonts w:hint="eastAsia" w:ascii="仿宋" w:hAnsi="仿宋" w:eastAsia="仿宋" w:cs="仿宋"/>
          <w:color w:val="auto"/>
          <w:sz w:val="24"/>
          <w:highlight w:val="none"/>
        </w:rPr>
        <w:t>】的实施</w:t>
      </w:r>
      <w:r>
        <w:rPr>
          <w:rFonts w:hint="eastAsia" w:ascii="仿宋" w:hAnsi="仿宋" w:eastAsia="仿宋" w:cs="仿宋"/>
          <w:color w:val="auto"/>
          <w:kern w:val="0"/>
          <w:sz w:val="24"/>
          <w:highlight w:val="none"/>
          <w:lang w:val="zh-CN"/>
        </w:rPr>
        <w:t>。</w:t>
      </w:r>
    </w:p>
    <w:p>
      <w:pPr>
        <w:spacing w:line="360" w:lineRule="auto"/>
        <w:jc w:val="center"/>
        <w:rPr>
          <w:rFonts w:hint="eastAsia"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开标一览表（报价表）(单位均为人民币元)</w:t>
      </w:r>
    </w:p>
    <w:tbl>
      <w:tblPr>
        <w:tblStyle w:val="62"/>
        <w:tblW w:w="151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992"/>
        <w:gridCol w:w="2268"/>
        <w:gridCol w:w="2410"/>
        <w:gridCol w:w="2268"/>
        <w:gridCol w:w="2126"/>
        <w:gridCol w:w="2127"/>
        <w:gridCol w:w="21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817" w:type="dxa"/>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992" w:type="dxa"/>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名称</w:t>
            </w:r>
          </w:p>
        </w:tc>
        <w:tc>
          <w:tcPr>
            <w:tcW w:w="2268" w:type="dxa"/>
            <w:vAlign w:val="top"/>
          </w:tcPr>
          <w:p>
            <w:pPr>
              <w:spacing w:line="360" w:lineRule="auto"/>
              <w:jc w:val="center"/>
              <w:rPr>
                <w:rFonts w:hint="eastAsia" w:ascii="仿宋" w:hAnsi="仿宋" w:eastAsia="仿宋" w:cs="仿宋"/>
                <w:b/>
                <w:color w:val="auto"/>
                <w:sz w:val="24"/>
                <w:highlight w:val="none"/>
              </w:rPr>
            </w:pPr>
          </w:p>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服务范围</w:t>
            </w:r>
          </w:p>
        </w:tc>
        <w:tc>
          <w:tcPr>
            <w:tcW w:w="2410" w:type="dxa"/>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服务要求</w:t>
            </w:r>
          </w:p>
        </w:tc>
        <w:tc>
          <w:tcPr>
            <w:tcW w:w="2268" w:type="dxa"/>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服务时间</w:t>
            </w:r>
          </w:p>
        </w:tc>
        <w:tc>
          <w:tcPr>
            <w:tcW w:w="2126" w:type="dxa"/>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服务标准</w:t>
            </w:r>
          </w:p>
        </w:tc>
        <w:tc>
          <w:tcPr>
            <w:tcW w:w="2127" w:type="dxa"/>
            <w:vAlign w:val="top"/>
          </w:tcPr>
          <w:p>
            <w:pPr>
              <w:spacing w:line="360" w:lineRule="auto"/>
              <w:jc w:val="center"/>
              <w:rPr>
                <w:rFonts w:hint="eastAsia" w:ascii="仿宋" w:hAnsi="仿宋" w:eastAsia="仿宋" w:cs="仿宋"/>
                <w:b/>
                <w:color w:val="auto"/>
                <w:sz w:val="24"/>
                <w:highlight w:val="none"/>
              </w:rPr>
            </w:pPr>
          </w:p>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服务人数</w:t>
            </w:r>
          </w:p>
        </w:tc>
        <w:tc>
          <w:tcPr>
            <w:tcW w:w="2126" w:type="dxa"/>
            <w:vAlign w:val="center"/>
          </w:tcPr>
          <w:p>
            <w:pPr>
              <w:spacing w:line="360" w:lineRule="auto"/>
              <w:jc w:val="center"/>
              <w:rPr>
                <w:rFonts w:hint="eastAsia" w:ascii="仿宋" w:hAnsi="仿宋" w:eastAsia="仿宋" w:cs="仿宋"/>
                <w:b/>
                <w:color w:val="auto"/>
                <w:sz w:val="24"/>
                <w:highlight w:val="none"/>
              </w:rPr>
            </w:pPr>
          </w:p>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备注（如果有）</w:t>
            </w:r>
          </w:p>
          <w:p>
            <w:pPr>
              <w:spacing w:line="360" w:lineRule="auto"/>
              <w:jc w:val="center"/>
              <w:rPr>
                <w:rFonts w:hint="eastAsia" w:ascii="仿宋" w:hAnsi="仿宋" w:eastAsia="仿宋" w:cs="仿宋"/>
                <w:b/>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817" w:type="dxa"/>
            <w:vAlign w:val="center"/>
          </w:tcPr>
          <w:p>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992" w:type="dxa"/>
            <w:vAlign w:val="center"/>
          </w:tcPr>
          <w:p>
            <w:pPr>
              <w:snapToGrid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XX</w:t>
            </w:r>
          </w:p>
        </w:tc>
        <w:tc>
          <w:tcPr>
            <w:tcW w:w="2268" w:type="dxa"/>
            <w:vAlign w:val="center"/>
          </w:tcPr>
          <w:p>
            <w:pPr>
              <w:snapToGrid w:val="0"/>
              <w:spacing w:line="360" w:lineRule="auto"/>
              <w:jc w:val="center"/>
              <w:rPr>
                <w:rFonts w:hint="eastAsia" w:ascii="仿宋" w:hAnsi="仿宋" w:eastAsia="仿宋" w:cs="仿宋"/>
                <w:color w:val="auto"/>
                <w:sz w:val="24"/>
                <w:highlight w:val="none"/>
              </w:rPr>
            </w:pPr>
          </w:p>
        </w:tc>
        <w:tc>
          <w:tcPr>
            <w:tcW w:w="2410" w:type="dxa"/>
            <w:vAlign w:val="center"/>
          </w:tcPr>
          <w:p>
            <w:pPr>
              <w:snapToGrid w:val="0"/>
              <w:spacing w:line="360" w:lineRule="auto"/>
              <w:jc w:val="center"/>
              <w:rPr>
                <w:rFonts w:hint="eastAsia" w:ascii="仿宋" w:hAnsi="仿宋" w:eastAsia="仿宋" w:cs="仿宋"/>
                <w:color w:val="auto"/>
                <w:sz w:val="24"/>
                <w:highlight w:val="none"/>
              </w:rPr>
            </w:pPr>
          </w:p>
        </w:tc>
        <w:tc>
          <w:tcPr>
            <w:tcW w:w="2268" w:type="dxa"/>
            <w:vAlign w:val="center"/>
          </w:tcPr>
          <w:p>
            <w:pPr>
              <w:snapToGrid w:val="0"/>
              <w:spacing w:line="360" w:lineRule="auto"/>
              <w:jc w:val="center"/>
              <w:rPr>
                <w:rFonts w:hint="eastAsia" w:ascii="仿宋" w:hAnsi="仿宋" w:eastAsia="仿宋" w:cs="仿宋"/>
                <w:color w:val="auto"/>
                <w:sz w:val="24"/>
                <w:highlight w:val="none"/>
              </w:rPr>
            </w:pPr>
          </w:p>
        </w:tc>
        <w:tc>
          <w:tcPr>
            <w:tcW w:w="2126" w:type="dxa"/>
            <w:vAlign w:val="center"/>
          </w:tcPr>
          <w:p>
            <w:pPr>
              <w:spacing w:line="360" w:lineRule="auto"/>
              <w:jc w:val="center"/>
              <w:rPr>
                <w:rFonts w:hint="eastAsia" w:ascii="仿宋" w:hAnsi="仿宋" w:eastAsia="仿宋" w:cs="仿宋"/>
                <w:color w:val="auto"/>
                <w:sz w:val="24"/>
                <w:highlight w:val="none"/>
              </w:rPr>
            </w:pPr>
          </w:p>
        </w:tc>
        <w:tc>
          <w:tcPr>
            <w:tcW w:w="2127" w:type="dxa"/>
            <w:vAlign w:val="top"/>
          </w:tcPr>
          <w:p>
            <w:pPr>
              <w:spacing w:line="360" w:lineRule="auto"/>
              <w:jc w:val="center"/>
              <w:rPr>
                <w:rFonts w:hint="eastAsia" w:ascii="仿宋" w:hAnsi="仿宋" w:eastAsia="仿宋" w:cs="仿宋"/>
                <w:color w:val="auto"/>
                <w:sz w:val="24"/>
                <w:highlight w:val="none"/>
              </w:rPr>
            </w:pPr>
          </w:p>
        </w:tc>
        <w:tc>
          <w:tcPr>
            <w:tcW w:w="2126" w:type="dxa"/>
            <w:vAlign w:val="center"/>
          </w:tcPr>
          <w:p>
            <w:pPr>
              <w:spacing w:line="360" w:lineRule="auto"/>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vAlign w:val="center"/>
          </w:tcPr>
          <w:p>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992" w:type="dxa"/>
            <w:vAlign w:val="center"/>
          </w:tcPr>
          <w:p>
            <w:pPr>
              <w:snapToGrid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XX</w:t>
            </w:r>
          </w:p>
        </w:tc>
        <w:tc>
          <w:tcPr>
            <w:tcW w:w="2268" w:type="dxa"/>
            <w:vAlign w:val="center"/>
          </w:tcPr>
          <w:p>
            <w:pPr>
              <w:snapToGrid w:val="0"/>
              <w:spacing w:line="360" w:lineRule="auto"/>
              <w:jc w:val="center"/>
              <w:rPr>
                <w:rFonts w:hint="eastAsia" w:ascii="仿宋" w:hAnsi="仿宋" w:eastAsia="仿宋" w:cs="仿宋"/>
                <w:color w:val="auto"/>
                <w:sz w:val="24"/>
                <w:highlight w:val="none"/>
              </w:rPr>
            </w:pPr>
          </w:p>
        </w:tc>
        <w:tc>
          <w:tcPr>
            <w:tcW w:w="2410" w:type="dxa"/>
            <w:vAlign w:val="center"/>
          </w:tcPr>
          <w:p>
            <w:pPr>
              <w:snapToGrid w:val="0"/>
              <w:spacing w:line="360" w:lineRule="auto"/>
              <w:jc w:val="center"/>
              <w:rPr>
                <w:rFonts w:hint="eastAsia" w:ascii="仿宋" w:hAnsi="仿宋" w:eastAsia="仿宋" w:cs="仿宋"/>
                <w:color w:val="auto"/>
                <w:sz w:val="24"/>
                <w:highlight w:val="none"/>
              </w:rPr>
            </w:pPr>
          </w:p>
        </w:tc>
        <w:tc>
          <w:tcPr>
            <w:tcW w:w="2268" w:type="dxa"/>
            <w:vAlign w:val="center"/>
          </w:tcPr>
          <w:p>
            <w:pPr>
              <w:snapToGrid w:val="0"/>
              <w:spacing w:line="360" w:lineRule="auto"/>
              <w:jc w:val="center"/>
              <w:rPr>
                <w:rFonts w:hint="eastAsia" w:ascii="仿宋" w:hAnsi="仿宋" w:eastAsia="仿宋" w:cs="仿宋"/>
                <w:color w:val="auto"/>
                <w:sz w:val="24"/>
                <w:highlight w:val="none"/>
              </w:rPr>
            </w:pPr>
          </w:p>
        </w:tc>
        <w:tc>
          <w:tcPr>
            <w:tcW w:w="2126" w:type="dxa"/>
            <w:vAlign w:val="center"/>
          </w:tcPr>
          <w:p>
            <w:pPr>
              <w:spacing w:line="360" w:lineRule="auto"/>
              <w:jc w:val="center"/>
              <w:rPr>
                <w:rFonts w:hint="eastAsia" w:ascii="仿宋" w:hAnsi="仿宋" w:eastAsia="仿宋" w:cs="仿宋"/>
                <w:color w:val="auto"/>
                <w:sz w:val="24"/>
                <w:highlight w:val="none"/>
              </w:rPr>
            </w:pPr>
          </w:p>
        </w:tc>
        <w:tc>
          <w:tcPr>
            <w:tcW w:w="2127" w:type="dxa"/>
            <w:vAlign w:val="top"/>
          </w:tcPr>
          <w:p>
            <w:pPr>
              <w:spacing w:line="360" w:lineRule="auto"/>
              <w:jc w:val="center"/>
              <w:rPr>
                <w:rFonts w:hint="eastAsia" w:ascii="仿宋" w:hAnsi="仿宋" w:eastAsia="仿宋" w:cs="仿宋"/>
                <w:color w:val="auto"/>
                <w:sz w:val="24"/>
                <w:highlight w:val="none"/>
              </w:rPr>
            </w:pPr>
          </w:p>
        </w:tc>
        <w:tc>
          <w:tcPr>
            <w:tcW w:w="2126" w:type="dxa"/>
            <w:vAlign w:val="center"/>
          </w:tcPr>
          <w:p>
            <w:pPr>
              <w:spacing w:line="360" w:lineRule="auto"/>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vAlign w:val="center"/>
          </w:tcPr>
          <w:p>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c>
          <w:tcPr>
            <w:tcW w:w="992" w:type="dxa"/>
            <w:vAlign w:val="center"/>
          </w:tcPr>
          <w:p>
            <w:pPr>
              <w:snapToGrid w:val="0"/>
              <w:spacing w:line="360" w:lineRule="auto"/>
              <w:jc w:val="center"/>
              <w:rPr>
                <w:rFonts w:hint="eastAsia" w:ascii="仿宋" w:hAnsi="仿宋" w:eastAsia="仿宋" w:cs="仿宋"/>
                <w:color w:val="auto"/>
                <w:sz w:val="24"/>
                <w:highlight w:val="none"/>
              </w:rPr>
            </w:pPr>
          </w:p>
        </w:tc>
        <w:tc>
          <w:tcPr>
            <w:tcW w:w="2268" w:type="dxa"/>
            <w:vAlign w:val="center"/>
          </w:tcPr>
          <w:p>
            <w:pPr>
              <w:snapToGrid w:val="0"/>
              <w:spacing w:line="360" w:lineRule="auto"/>
              <w:jc w:val="center"/>
              <w:rPr>
                <w:rFonts w:hint="eastAsia" w:ascii="仿宋" w:hAnsi="仿宋" w:eastAsia="仿宋" w:cs="仿宋"/>
                <w:color w:val="auto"/>
                <w:sz w:val="24"/>
                <w:highlight w:val="none"/>
              </w:rPr>
            </w:pPr>
          </w:p>
        </w:tc>
        <w:tc>
          <w:tcPr>
            <w:tcW w:w="2410" w:type="dxa"/>
            <w:vAlign w:val="center"/>
          </w:tcPr>
          <w:p>
            <w:pPr>
              <w:snapToGrid w:val="0"/>
              <w:spacing w:line="360" w:lineRule="auto"/>
              <w:jc w:val="center"/>
              <w:rPr>
                <w:rFonts w:hint="eastAsia" w:ascii="仿宋" w:hAnsi="仿宋" w:eastAsia="仿宋" w:cs="仿宋"/>
                <w:color w:val="auto"/>
                <w:sz w:val="24"/>
                <w:highlight w:val="none"/>
              </w:rPr>
            </w:pPr>
          </w:p>
        </w:tc>
        <w:tc>
          <w:tcPr>
            <w:tcW w:w="2268" w:type="dxa"/>
            <w:vAlign w:val="center"/>
          </w:tcPr>
          <w:p>
            <w:pPr>
              <w:snapToGrid w:val="0"/>
              <w:spacing w:line="360" w:lineRule="auto"/>
              <w:jc w:val="center"/>
              <w:rPr>
                <w:rFonts w:hint="eastAsia" w:ascii="仿宋" w:hAnsi="仿宋" w:eastAsia="仿宋" w:cs="仿宋"/>
                <w:color w:val="auto"/>
                <w:sz w:val="24"/>
                <w:highlight w:val="none"/>
              </w:rPr>
            </w:pPr>
          </w:p>
        </w:tc>
        <w:tc>
          <w:tcPr>
            <w:tcW w:w="2126" w:type="dxa"/>
            <w:vAlign w:val="center"/>
          </w:tcPr>
          <w:p>
            <w:pPr>
              <w:spacing w:line="360" w:lineRule="auto"/>
              <w:jc w:val="center"/>
              <w:rPr>
                <w:rFonts w:hint="eastAsia" w:ascii="仿宋" w:hAnsi="仿宋" w:eastAsia="仿宋" w:cs="仿宋"/>
                <w:color w:val="auto"/>
                <w:sz w:val="24"/>
                <w:highlight w:val="none"/>
              </w:rPr>
            </w:pPr>
          </w:p>
        </w:tc>
        <w:tc>
          <w:tcPr>
            <w:tcW w:w="2127" w:type="dxa"/>
            <w:vAlign w:val="top"/>
          </w:tcPr>
          <w:p>
            <w:pPr>
              <w:spacing w:line="360" w:lineRule="auto"/>
              <w:jc w:val="center"/>
              <w:rPr>
                <w:rFonts w:hint="eastAsia" w:ascii="仿宋" w:hAnsi="仿宋" w:eastAsia="仿宋" w:cs="仿宋"/>
                <w:color w:val="auto"/>
                <w:sz w:val="24"/>
                <w:highlight w:val="none"/>
              </w:rPr>
            </w:pPr>
          </w:p>
        </w:tc>
        <w:tc>
          <w:tcPr>
            <w:tcW w:w="2126" w:type="dxa"/>
            <w:vAlign w:val="center"/>
          </w:tcPr>
          <w:p>
            <w:pPr>
              <w:spacing w:line="360" w:lineRule="auto"/>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vAlign w:val="center"/>
          </w:tcPr>
          <w:p>
            <w:pPr>
              <w:spacing w:line="360" w:lineRule="auto"/>
              <w:jc w:val="center"/>
              <w:rPr>
                <w:rFonts w:hint="eastAsia" w:ascii="仿宋" w:hAnsi="仿宋" w:eastAsia="仿宋" w:cs="仿宋"/>
                <w:color w:val="auto"/>
                <w:sz w:val="24"/>
                <w:highlight w:val="none"/>
              </w:rPr>
            </w:pPr>
          </w:p>
        </w:tc>
        <w:tc>
          <w:tcPr>
            <w:tcW w:w="992" w:type="dxa"/>
            <w:vAlign w:val="center"/>
          </w:tcPr>
          <w:p>
            <w:pPr>
              <w:snapToGrid w:val="0"/>
              <w:spacing w:line="360" w:lineRule="auto"/>
              <w:jc w:val="center"/>
              <w:rPr>
                <w:rFonts w:hint="eastAsia" w:ascii="仿宋" w:hAnsi="仿宋" w:eastAsia="仿宋" w:cs="仿宋"/>
                <w:color w:val="auto"/>
                <w:sz w:val="24"/>
                <w:highlight w:val="none"/>
              </w:rPr>
            </w:pPr>
          </w:p>
        </w:tc>
        <w:tc>
          <w:tcPr>
            <w:tcW w:w="2268" w:type="dxa"/>
            <w:vAlign w:val="center"/>
          </w:tcPr>
          <w:p>
            <w:pPr>
              <w:snapToGrid w:val="0"/>
              <w:spacing w:line="360" w:lineRule="auto"/>
              <w:jc w:val="center"/>
              <w:rPr>
                <w:rFonts w:hint="eastAsia" w:ascii="仿宋" w:hAnsi="仿宋" w:eastAsia="仿宋" w:cs="仿宋"/>
                <w:color w:val="auto"/>
                <w:sz w:val="24"/>
                <w:highlight w:val="none"/>
              </w:rPr>
            </w:pPr>
          </w:p>
        </w:tc>
        <w:tc>
          <w:tcPr>
            <w:tcW w:w="2410" w:type="dxa"/>
            <w:vAlign w:val="center"/>
          </w:tcPr>
          <w:p>
            <w:pPr>
              <w:snapToGrid w:val="0"/>
              <w:spacing w:line="360" w:lineRule="auto"/>
              <w:jc w:val="center"/>
              <w:rPr>
                <w:rFonts w:hint="eastAsia" w:ascii="仿宋" w:hAnsi="仿宋" w:eastAsia="仿宋" w:cs="仿宋"/>
                <w:color w:val="auto"/>
                <w:sz w:val="24"/>
                <w:highlight w:val="none"/>
              </w:rPr>
            </w:pPr>
          </w:p>
        </w:tc>
        <w:tc>
          <w:tcPr>
            <w:tcW w:w="2268" w:type="dxa"/>
            <w:vAlign w:val="center"/>
          </w:tcPr>
          <w:p>
            <w:pPr>
              <w:snapToGrid w:val="0"/>
              <w:spacing w:line="360" w:lineRule="auto"/>
              <w:jc w:val="center"/>
              <w:rPr>
                <w:rFonts w:hint="eastAsia" w:ascii="仿宋" w:hAnsi="仿宋" w:eastAsia="仿宋" w:cs="仿宋"/>
                <w:color w:val="auto"/>
                <w:sz w:val="24"/>
                <w:highlight w:val="none"/>
              </w:rPr>
            </w:pPr>
          </w:p>
        </w:tc>
        <w:tc>
          <w:tcPr>
            <w:tcW w:w="2126" w:type="dxa"/>
            <w:vAlign w:val="center"/>
          </w:tcPr>
          <w:p>
            <w:pPr>
              <w:spacing w:line="360" w:lineRule="auto"/>
              <w:jc w:val="center"/>
              <w:rPr>
                <w:rFonts w:hint="eastAsia" w:ascii="仿宋" w:hAnsi="仿宋" w:eastAsia="仿宋" w:cs="仿宋"/>
                <w:color w:val="auto"/>
                <w:sz w:val="24"/>
                <w:highlight w:val="none"/>
              </w:rPr>
            </w:pPr>
          </w:p>
        </w:tc>
        <w:tc>
          <w:tcPr>
            <w:tcW w:w="2127" w:type="dxa"/>
            <w:vAlign w:val="top"/>
          </w:tcPr>
          <w:p>
            <w:pPr>
              <w:spacing w:line="360" w:lineRule="auto"/>
              <w:jc w:val="center"/>
              <w:rPr>
                <w:rFonts w:hint="eastAsia" w:ascii="仿宋" w:hAnsi="仿宋" w:eastAsia="仿宋" w:cs="仿宋"/>
                <w:color w:val="auto"/>
                <w:sz w:val="24"/>
                <w:highlight w:val="none"/>
              </w:rPr>
            </w:pPr>
          </w:p>
        </w:tc>
        <w:tc>
          <w:tcPr>
            <w:tcW w:w="2126" w:type="dxa"/>
            <w:vAlign w:val="center"/>
          </w:tcPr>
          <w:p>
            <w:pPr>
              <w:spacing w:line="360" w:lineRule="auto"/>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vAlign w:val="center"/>
          </w:tcPr>
          <w:p>
            <w:pPr>
              <w:spacing w:line="360" w:lineRule="auto"/>
              <w:jc w:val="center"/>
              <w:rPr>
                <w:rFonts w:hint="eastAsia" w:ascii="仿宋" w:hAnsi="仿宋" w:eastAsia="仿宋" w:cs="仿宋"/>
                <w:color w:val="auto"/>
                <w:sz w:val="24"/>
                <w:highlight w:val="none"/>
              </w:rPr>
            </w:pPr>
          </w:p>
        </w:tc>
        <w:tc>
          <w:tcPr>
            <w:tcW w:w="992" w:type="dxa"/>
            <w:vAlign w:val="center"/>
          </w:tcPr>
          <w:p>
            <w:pPr>
              <w:snapToGrid w:val="0"/>
              <w:spacing w:line="360" w:lineRule="auto"/>
              <w:jc w:val="center"/>
              <w:rPr>
                <w:rFonts w:hint="eastAsia" w:ascii="仿宋" w:hAnsi="仿宋" w:eastAsia="仿宋" w:cs="仿宋"/>
                <w:color w:val="auto"/>
                <w:sz w:val="24"/>
                <w:highlight w:val="none"/>
              </w:rPr>
            </w:pPr>
          </w:p>
        </w:tc>
        <w:tc>
          <w:tcPr>
            <w:tcW w:w="2268" w:type="dxa"/>
            <w:vAlign w:val="center"/>
          </w:tcPr>
          <w:p>
            <w:pPr>
              <w:snapToGrid w:val="0"/>
              <w:spacing w:line="360" w:lineRule="auto"/>
              <w:jc w:val="center"/>
              <w:rPr>
                <w:rFonts w:hint="eastAsia" w:ascii="仿宋" w:hAnsi="仿宋" w:eastAsia="仿宋" w:cs="仿宋"/>
                <w:color w:val="auto"/>
                <w:sz w:val="24"/>
                <w:highlight w:val="none"/>
              </w:rPr>
            </w:pPr>
          </w:p>
        </w:tc>
        <w:tc>
          <w:tcPr>
            <w:tcW w:w="2410" w:type="dxa"/>
            <w:vAlign w:val="center"/>
          </w:tcPr>
          <w:p>
            <w:pPr>
              <w:snapToGrid w:val="0"/>
              <w:spacing w:line="360" w:lineRule="auto"/>
              <w:jc w:val="center"/>
              <w:rPr>
                <w:rFonts w:hint="eastAsia" w:ascii="仿宋" w:hAnsi="仿宋" w:eastAsia="仿宋" w:cs="仿宋"/>
                <w:color w:val="auto"/>
                <w:sz w:val="24"/>
                <w:highlight w:val="none"/>
              </w:rPr>
            </w:pPr>
          </w:p>
        </w:tc>
        <w:tc>
          <w:tcPr>
            <w:tcW w:w="2268" w:type="dxa"/>
            <w:vAlign w:val="center"/>
          </w:tcPr>
          <w:p>
            <w:pPr>
              <w:snapToGrid w:val="0"/>
              <w:spacing w:line="360" w:lineRule="auto"/>
              <w:jc w:val="center"/>
              <w:rPr>
                <w:rFonts w:hint="eastAsia" w:ascii="仿宋" w:hAnsi="仿宋" w:eastAsia="仿宋" w:cs="仿宋"/>
                <w:color w:val="auto"/>
                <w:sz w:val="24"/>
                <w:highlight w:val="none"/>
              </w:rPr>
            </w:pPr>
          </w:p>
        </w:tc>
        <w:tc>
          <w:tcPr>
            <w:tcW w:w="2126" w:type="dxa"/>
            <w:vAlign w:val="center"/>
          </w:tcPr>
          <w:p>
            <w:pPr>
              <w:spacing w:line="360" w:lineRule="auto"/>
              <w:jc w:val="center"/>
              <w:rPr>
                <w:rFonts w:hint="eastAsia" w:ascii="仿宋" w:hAnsi="仿宋" w:eastAsia="仿宋" w:cs="仿宋"/>
                <w:color w:val="auto"/>
                <w:sz w:val="24"/>
                <w:highlight w:val="none"/>
              </w:rPr>
            </w:pPr>
          </w:p>
        </w:tc>
        <w:tc>
          <w:tcPr>
            <w:tcW w:w="2127" w:type="dxa"/>
            <w:vAlign w:val="top"/>
          </w:tcPr>
          <w:p>
            <w:pPr>
              <w:spacing w:line="360" w:lineRule="auto"/>
              <w:jc w:val="center"/>
              <w:rPr>
                <w:rFonts w:hint="eastAsia" w:ascii="仿宋" w:hAnsi="仿宋" w:eastAsia="仿宋" w:cs="仿宋"/>
                <w:color w:val="auto"/>
                <w:sz w:val="24"/>
                <w:highlight w:val="none"/>
              </w:rPr>
            </w:pPr>
          </w:p>
        </w:tc>
        <w:tc>
          <w:tcPr>
            <w:tcW w:w="2126" w:type="dxa"/>
            <w:vAlign w:val="center"/>
          </w:tcPr>
          <w:p>
            <w:pPr>
              <w:spacing w:line="360" w:lineRule="auto"/>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487" w:type="dxa"/>
            <w:gridSpan w:val="4"/>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投标报价（小写）</w:t>
            </w:r>
          </w:p>
        </w:tc>
        <w:tc>
          <w:tcPr>
            <w:tcW w:w="8647" w:type="dxa"/>
            <w:gridSpan w:val="4"/>
            <w:vAlign w:val="top"/>
          </w:tcPr>
          <w:p>
            <w:pPr>
              <w:spacing w:line="360" w:lineRule="auto"/>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487" w:type="dxa"/>
            <w:gridSpan w:val="4"/>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投标报价（大写）</w:t>
            </w:r>
          </w:p>
        </w:tc>
        <w:tc>
          <w:tcPr>
            <w:tcW w:w="8647" w:type="dxa"/>
            <w:gridSpan w:val="4"/>
            <w:vAlign w:val="top"/>
          </w:tcPr>
          <w:p>
            <w:pPr>
              <w:spacing w:line="360" w:lineRule="auto"/>
              <w:jc w:val="center"/>
              <w:rPr>
                <w:rFonts w:hint="eastAsia" w:ascii="仿宋" w:hAnsi="仿宋" w:eastAsia="仿宋" w:cs="仿宋"/>
                <w:color w:val="auto"/>
                <w:sz w:val="24"/>
                <w:highlight w:val="none"/>
              </w:rPr>
            </w:pPr>
          </w:p>
        </w:tc>
      </w:tr>
    </w:tbl>
    <w:p>
      <w:pPr>
        <w:snapToGrid w:val="0"/>
        <w:spacing w:line="360" w:lineRule="auto"/>
        <w:ind w:left="480"/>
        <w:rPr>
          <w:rFonts w:hint="eastAsia"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注：</w:t>
      </w:r>
    </w:p>
    <w:p>
      <w:pPr>
        <w:spacing w:line="360" w:lineRule="auto"/>
        <w:ind w:left="-2" w:firstLine="480" w:firstLineChars="2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1、投标人需按本表格式填写</w:t>
      </w:r>
      <w:r>
        <w:rPr>
          <w:rFonts w:hint="eastAsia" w:ascii="仿宋" w:hAnsi="仿宋" w:eastAsia="仿宋" w:cs="仿宋"/>
          <w:b/>
          <w:color w:val="auto"/>
          <w:kern w:val="0"/>
          <w:sz w:val="24"/>
          <w:highlight w:val="none"/>
          <w:lang w:val="zh-CN"/>
        </w:rPr>
        <w:t>，</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投标文件含有采购人不能接受的附加条件，投标无效</w:t>
      </w:r>
      <w:r>
        <w:rPr>
          <w:rFonts w:hint="eastAsia" w:ascii="仿宋" w:hAnsi="仿宋" w:eastAsia="仿宋" w:cs="仿宋"/>
          <w:b/>
          <w:color w:val="auto"/>
          <w:kern w:val="0"/>
          <w:sz w:val="24"/>
          <w:highlight w:val="none"/>
          <w:lang w:val="zh-CN"/>
        </w:rPr>
        <w:t>；</w:t>
      </w:r>
      <w:r>
        <w:rPr>
          <w:rFonts w:hint="eastAsia" w:ascii="仿宋" w:hAnsi="仿宋" w:eastAsia="仿宋" w:cs="仿宋"/>
          <w:color w:val="auto"/>
          <w:kern w:val="0"/>
          <w:sz w:val="24"/>
          <w:highlight w:val="none"/>
          <w:lang w:val="zh-CN"/>
        </w:rPr>
        <w:t>。</w:t>
      </w:r>
    </w:p>
    <w:p>
      <w:pPr>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2、有关本项目实施所涉及的一切费用均计入报价。</w:t>
      </w:r>
      <w:r>
        <w:rPr>
          <w:rFonts w:hint="eastAsia" w:ascii="仿宋" w:hAnsi="仿宋" w:eastAsia="仿宋" w:cs="仿宋"/>
          <w:b/>
          <w:color w:val="auto"/>
          <w:kern w:val="0"/>
          <w:sz w:val="24"/>
          <w:highlight w:val="none"/>
          <w:lang w:val="zh-CN"/>
        </w:rPr>
        <w:t>采购人将以合同形式有偿取得货物或服务，不接受投标人给予的赠品、回扣或者与采购无关的其他商品、服务</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不得出现“0元”“免费赠送”等形式的无偿报价，</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投标文件含有采购人不能接受的附加条件，投标无效</w:t>
      </w:r>
      <w:r>
        <w:rPr>
          <w:rFonts w:hint="eastAsia" w:ascii="仿宋" w:hAnsi="仿宋" w:eastAsia="仿宋" w:cs="仿宋"/>
          <w:b/>
          <w:color w:val="auto"/>
          <w:kern w:val="0"/>
          <w:sz w:val="24"/>
          <w:highlight w:val="none"/>
          <w:lang w:val="zh-CN"/>
        </w:rPr>
        <w:t>；采购内容未包含在《开标一览表（报价表）》名称栏中，投标人不能作出合理解释的，</w:t>
      </w:r>
      <w:r>
        <w:rPr>
          <w:rFonts w:hint="eastAsia" w:ascii="仿宋" w:hAnsi="仿宋" w:eastAsia="仿宋" w:cs="仿宋"/>
          <w:b/>
          <w:color w:val="auto"/>
          <w:kern w:val="0"/>
          <w:sz w:val="24"/>
          <w:highlight w:val="none"/>
        </w:rPr>
        <w:t>视为</w:t>
      </w:r>
      <w:r>
        <w:rPr>
          <w:rFonts w:hint="eastAsia" w:ascii="仿宋" w:hAnsi="仿宋" w:eastAsia="仿宋" w:cs="仿宋"/>
          <w:b/>
          <w:color w:val="auto"/>
          <w:sz w:val="24"/>
          <w:highlight w:val="none"/>
        </w:rPr>
        <w:t>投标文件含有采购人不能接受的附加条件的，投标无效。</w:t>
      </w:r>
    </w:p>
    <w:p>
      <w:pPr>
        <w:snapToGrid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3、特别提示：采购代理机构将对项目名称和项目编号，中标供应商名称、地址和中标金额，主要中标标的名称、服务范围、服务要求、服务时间、服务标准等予以公示。</w:t>
      </w:r>
    </w:p>
    <w:p>
      <w:pPr>
        <w:snapToGrid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szCs w:val="22"/>
          <w:highlight w:val="none"/>
          <w:lang w:val="zh-CN"/>
        </w:rPr>
        <w:t>4、</w:t>
      </w:r>
      <w:r>
        <w:rPr>
          <w:rFonts w:hint="eastAsia" w:ascii="仿宋" w:hAnsi="仿宋" w:eastAsia="仿宋" w:cs="仿宋"/>
          <w:color w:val="auto"/>
          <w:kern w:val="0"/>
          <w:sz w:val="24"/>
          <w:highlight w:val="none"/>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pPr>
        <w:spacing w:line="360" w:lineRule="auto"/>
        <w:ind w:firstLine="482" w:firstLineChars="200"/>
        <w:rPr>
          <w:rFonts w:hint="eastAsia" w:ascii="仿宋" w:hAnsi="仿宋" w:eastAsia="仿宋" w:cs="仿宋"/>
          <w:b/>
          <w:color w:val="auto"/>
          <w:kern w:val="0"/>
          <w:sz w:val="24"/>
          <w:highlight w:val="none"/>
        </w:rPr>
      </w:pPr>
    </w:p>
    <w:p>
      <w:pPr>
        <w:pStyle w:val="376"/>
        <w:tabs>
          <w:tab w:val="clear" w:pos="720"/>
        </w:tabs>
        <w:snapToGrid w:val="0"/>
        <w:spacing w:before="120" w:after="120"/>
        <w:ind w:firstLine="643"/>
        <w:outlineLvl w:val="9"/>
        <w:rPr>
          <w:rFonts w:hint="eastAsia" w:ascii="仿宋" w:hAnsi="仿宋" w:eastAsia="仿宋" w:cs="仿宋"/>
          <w:color w:val="auto"/>
          <w:kern w:val="2"/>
          <w:sz w:val="32"/>
          <w:szCs w:val="32"/>
          <w:highlight w:val="none"/>
        </w:rPr>
        <w:sectPr>
          <w:pgSz w:w="16838" w:h="11906" w:orient="landscape"/>
          <w:pgMar w:top="1418" w:right="1247" w:bottom="1418" w:left="1276" w:header="851" w:footer="992" w:gutter="0"/>
          <w:cols w:space="720" w:num="1"/>
          <w:titlePg/>
          <w:docGrid w:linePitch="312" w:charSpace="0"/>
        </w:sectPr>
      </w:pPr>
    </w:p>
    <w:p>
      <w:pPr>
        <w:widowControl/>
        <w:spacing w:line="360" w:lineRule="auto"/>
        <w:ind w:firstLine="161" w:firstLineChars="50"/>
        <w:jc w:val="center"/>
        <w:rPr>
          <w:rFonts w:hint="eastAsia" w:ascii="仿宋" w:hAnsi="仿宋" w:eastAsia="仿宋" w:cs="仿宋"/>
          <w:b/>
          <w:bCs/>
          <w:color w:val="auto"/>
          <w:sz w:val="32"/>
          <w:szCs w:val="32"/>
          <w:highlight w:val="none"/>
        </w:rPr>
      </w:pPr>
      <w:r>
        <w:rPr>
          <w:rFonts w:hint="eastAsia" w:ascii="仿宋" w:hAnsi="仿宋" w:eastAsia="仿宋" w:cs="仿宋"/>
          <w:b/>
          <w:bCs/>
          <w:color w:val="auto"/>
          <w:kern w:val="2"/>
          <w:sz w:val="32"/>
          <w:szCs w:val="32"/>
          <w:highlight w:val="none"/>
        </w:rPr>
        <w:t>二、</w:t>
      </w:r>
      <w:r>
        <w:rPr>
          <w:rFonts w:hint="eastAsia" w:ascii="仿宋" w:hAnsi="仿宋" w:eastAsia="仿宋" w:cs="仿宋"/>
          <w:b/>
          <w:bCs/>
          <w:color w:val="auto"/>
          <w:sz w:val="32"/>
          <w:szCs w:val="32"/>
          <w:highlight w:val="none"/>
        </w:rPr>
        <w:t>中小企业声明函</w:t>
      </w:r>
    </w:p>
    <w:p>
      <w:pPr>
        <w:widowControl/>
        <w:spacing w:line="360" w:lineRule="auto"/>
        <w:ind w:firstLine="160" w:firstLineChars="50"/>
        <w:jc w:val="center"/>
        <w:rPr>
          <w:rFonts w:hint="eastAsia" w:ascii="仿宋" w:hAnsi="仿宋" w:eastAsia="仿宋" w:cs="仿宋"/>
          <w:b w:val="0"/>
          <w:color w:val="auto"/>
          <w:sz w:val="32"/>
          <w:szCs w:val="32"/>
          <w:highlight w:val="none"/>
          <w:lang w:eastAsia="zh-CN"/>
        </w:rPr>
      </w:pPr>
      <w:r>
        <w:rPr>
          <w:rFonts w:hint="eastAsia" w:ascii="仿宋" w:hAnsi="仿宋" w:eastAsia="仿宋" w:cs="仿宋"/>
          <w:b w:val="0"/>
          <w:color w:val="auto"/>
          <w:sz w:val="32"/>
          <w:szCs w:val="32"/>
          <w:highlight w:val="none"/>
          <w:lang w:eastAsia="zh-CN"/>
        </w:rPr>
        <w:t>（</w:t>
      </w:r>
      <w:r>
        <w:rPr>
          <w:rFonts w:hint="eastAsia" w:ascii="仿宋" w:hAnsi="仿宋" w:eastAsia="仿宋" w:cs="仿宋"/>
          <w:b w:val="0"/>
          <w:color w:val="auto"/>
          <w:sz w:val="32"/>
          <w:szCs w:val="32"/>
          <w:highlight w:val="none"/>
          <w:lang w:val="en-US" w:eastAsia="zh-CN"/>
        </w:rPr>
        <w:t>格式详见附件7</w:t>
      </w:r>
      <w:r>
        <w:rPr>
          <w:rFonts w:hint="eastAsia" w:ascii="仿宋" w:hAnsi="仿宋" w:eastAsia="仿宋" w:cs="仿宋"/>
          <w:b w:val="0"/>
          <w:color w:val="auto"/>
          <w:sz w:val="32"/>
          <w:szCs w:val="32"/>
          <w:highlight w:val="none"/>
          <w:lang w:eastAsia="zh-CN"/>
        </w:rPr>
        <w:t>）</w:t>
      </w:r>
    </w:p>
    <w:p>
      <w:pPr>
        <w:spacing w:line="360" w:lineRule="auto"/>
        <w:ind w:right="420" w:firstLine="3614" w:firstLineChars="1000"/>
        <w:rPr>
          <w:rFonts w:hint="eastAsia" w:ascii="仿宋" w:hAnsi="仿宋" w:eastAsia="仿宋" w:cs="仿宋"/>
          <w:b/>
          <w:color w:val="auto"/>
          <w:kern w:val="0"/>
          <w:sz w:val="36"/>
          <w:szCs w:val="36"/>
          <w:highlight w:val="none"/>
        </w:rPr>
      </w:pPr>
    </w:p>
    <w:p>
      <w:pPr>
        <w:spacing w:line="360" w:lineRule="auto"/>
        <w:ind w:right="420" w:firstLine="3614" w:firstLineChars="1000"/>
        <w:rPr>
          <w:rFonts w:hint="eastAsia" w:ascii="仿宋" w:hAnsi="仿宋" w:eastAsia="仿宋" w:cs="仿宋"/>
          <w:b/>
          <w:color w:val="auto"/>
          <w:kern w:val="0"/>
          <w:sz w:val="36"/>
          <w:szCs w:val="36"/>
          <w:highlight w:val="none"/>
        </w:rPr>
      </w:pPr>
    </w:p>
    <w:p>
      <w:pPr>
        <w:spacing w:line="360" w:lineRule="auto"/>
        <w:ind w:right="420" w:firstLine="3614" w:firstLineChars="1000"/>
        <w:rPr>
          <w:rFonts w:hint="eastAsia" w:ascii="仿宋" w:hAnsi="仿宋" w:eastAsia="仿宋" w:cs="仿宋"/>
          <w:b/>
          <w:color w:val="auto"/>
          <w:kern w:val="0"/>
          <w:sz w:val="36"/>
          <w:szCs w:val="36"/>
          <w:highlight w:val="none"/>
        </w:rPr>
      </w:pPr>
    </w:p>
    <w:p>
      <w:pPr>
        <w:spacing w:line="360" w:lineRule="auto"/>
        <w:ind w:right="420" w:firstLine="3614" w:firstLineChars="1000"/>
        <w:rPr>
          <w:rFonts w:hint="eastAsia" w:ascii="仿宋" w:hAnsi="仿宋" w:eastAsia="仿宋" w:cs="仿宋"/>
          <w:b/>
          <w:color w:val="auto"/>
          <w:kern w:val="0"/>
          <w:sz w:val="36"/>
          <w:szCs w:val="36"/>
          <w:highlight w:val="none"/>
        </w:rPr>
      </w:pPr>
    </w:p>
    <w:p>
      <w:pPr>
        <w:spacing w:line="360" w:lineRule="auto"/>
        <w:ind w:right="420" w:firstLine="3614" w:firstLineChars="1000"/>
        <w:rPr>
          <w:rFonts w:hint="eastAsia" w:ascii="仿宋" w:hAnsi="仿宋" w:eastAsia="仿宋" w:cs="仿宋"/>
          <w:b/>
          <w:color w:val="auto"/>
          <w:kern w:val="0"/>
          <w:sz w:val="36"/>
          <w:szCs w:val="36"/>
          <w:highlight w:val="none"/>
        </w:rPr>
      </w:pPr>
    </w:p>
    <w:p>
      <w:pPr>
        <w:spacing w:line="360" w:lineRule="auto"/>
        <w:ind w:right="420" w:firstLine="3614" w:firstLineChars="1000"/>
        <w:rPr>
          <w:rFonts w:hint="eastAsia" w:ascii="仿宋" w:hAnsi="仿宋" w:eastAsia="仿宋" w:cs="仿宋"/>
          <w:b/>
          <w:color w:val="auto"/>
          <w:kern w:val="0"/>
          <w:sz w:val="36"/>
          <w:szCs w:val="36"/>
          <w:highlight w:val="none"/>
        </w:rPr>
      </w:pPr>
    </w:p>
    <w:p>
      <w:pPr>
        <w:spacing w:line="360" w:lineRule="auto"/>
        <w:ind w:right="420" w:firstLine="3614" w:firstLineChars="1000"/>
        <w:rPr>
          <w:rFonts w:hint="eastAsia" w:ascii="仿宋" w:hAnsi="仿宋" w:eastAsia="仿宋" w:cs="仿宋"/>
          <w:b/>
          <w:color w:val="auto"/>
          <w:kern w:val="0"/>
          <w:sz w:val="36"/>
          <w:szCs w:val="36"/>
          <w:highlight w:val="none"/>
        </w:rPr>
      </w:pPr>
    </w:p>
    <w:p>
      <w:pPr>
        <w:spacing w:line="360" w:lineRule="auto"/>
        <w:ind w:right="420" w:firstLine="3614" w:firstLineChars="1000"/>
        <w:rPr>
          <w:rFonts w:hint="eastAsia" w:ascii="仿宋" w:hAnsi="仿宋" w:eastAsia="仿宋" w:cs="仿宋"/>
          <w:b/>
          <w:color w:val="auto"/>
          <w:kern w:val="0"/>
          <w:sz w:val="36"/>
          <w:szCs w:val="36"/>
          <w:highlight w:val="none"/>
        </w:rPr>
      </w:pPr>
    </w:p>
    <w:p>
      <w:pPr>
        <w:spacing w:line="360" w:lineRule="auto"/>
        <w:ind w:right="420" w:firstLine="3614" w:firstLineChars="1000"/>
        <w:rPr>
          <w:rFonts w:hint="eastAsia" w:ascii="仿宋" w:hAnsi="仿宋" w:eastAsia="仿宋" w:cs="仿宋"/>
          <w:b/>
          <w:color w:val="auto"/>
          <w:kern w:val="0"/>
          <w:sz w:val="36"/>
          <w:szCs w:val="36"/>
          <w:highlight w:val="none"/>
        </w:rPr>
      </w:pPr>
    </w:p>
    <w:p>
      <w:pPr>
        <w:spacing w:line="360" w:lineRule="auto"/>
        <w:ind w:right="420" w:firstLine="3614" w:firstLineChars="1000"/>
        <w:rPr>
          <w:rFonts w:hint="eastAsia" w:ascii="仿宋" w:hAnsi="仿宋" w:eastAsia="仿宋" w:cs="仿宋"/>
          <w:b/>
          <w:color w:val="auto"/>
          <w:kern w:val="0"/>
          <w:sz w:val="36"/>
          <w:szCs w:val="36"/>
          <w:highlight w:val="none"/>
        </w:rPr>
      </w:pPr>
    </w:p>
    <w:p>
      <w:pPr>
        <w:spacing w:line="360" w:lineRule="auto"/>
        <w:ind w:right="420" w:firstLine="3614" w:firstLineChars="1000"/>
        <w:rPr>
          <w:rFonts w:hint="eastAsia" w:ascii="仿宋" w:hAnsi="仿宋" w:eastAsia="仿宋" w:cs="仿宋"/>
          <w:b/>
          <w:color w:val="auto"/>
          <w:kern w:val="0"/>
          <w:sz w:val="36"/>
          <w:szCs w:val="36"/>
          <w:highlight w:val="none"/>
        </w:rPr>
      </w:pPr>
    </w:p>
    <w:p>
      <w:pPr>
        <w:spacing w:line="360" w:lineRule="auto"/>
        <w:ind w:right="420" w:firstLine="3614" w:firstLineChars="1000"/>
        <w:rPr>
          <w:rFonts w:hint="eastAsia" w:ascii="仿宋" w:hAnsi="仿宋" w:eastAsia="仿宋" w:cs="仿宋"/>
          <w:b/>
          <w:color w:val="auto"/>
          <w:kern w:val="0"/>
          <w:sz w:val="36"/>
          <w:szCs w:val="36"/>
          <w:highlight w:val="none"/>
        </w:rPr>
      </w:pPr>
    </w:p>
    <w:p>
      <w:pPr>
        <w:spacing w:line="360" w:lineRule="auto"/>
        <w:ind w:right="420" w:firstLine="3614" w:firstLineChars="1000"/>
        <w:rPr>
          <w:rFonts w:hint="eastAsia" w:ascii="仿宋" w:hAnsi="仿宋" w:eastAsia="仿宋" w:cs="仿宋"/>
          <w:b/>
          <w:color w:val="auto"/>
          <w:kern w:val="0"/>
          <w:sz w:val="36"/>
          <w:szCs w:val="36"/>
          <w:highlight w:val="none"/>
        </w:rPr>
      </w:pPr>
    </w:p>
    <w:p>
      <w:pPr>
        <w:spacing w:line="360" w:lineRule="auto"/>
        <w:ind w:right="420" w:firstLine="3614" w:firstLineChars="1000"/>
        <w:rPr>
          <w:rFonts w:hint="eastAsia" w:ascii="仿宋" w:hAnsi="仿宋" w:eastAsia="仿宋" w:cs="仿宋"/>
          <w:b/>
          <w:color w:val="auto"/>
          <w:kern w:val="0"/>
          <w:sz w:val="36"/>
          <w:szCs w:val="36"/>
          <w:highlight w:val="none"/>
        </w:rPr>
      </w:pPr>
    </w:p>
    <w:p>
      <w:pPr>
        <w:spacing w:line="360" w:lineRule="auto"/>
        <w:ind w:right="420" w:firstLine="3614" w:firstLineChars="1000"/>
        <w:rPr>
          <w:rFonts w:hint="eastAsia" w:ascii="仿宋" w:hAnsi="仿宋" w:eastAsia="仿宋" w:cs="仿宋"/>
          <w:b/>
          <w:color w:val="auto"/>
          <w:kern w:val="0"/>
          <w:sz w:val="36"/>
          <w:szCs w:val="36"/>
          <w:highlight w:val="none"/>
        </w:rPr>
      </w:pPr>
    </w:p>
    <w:p>
      <w:pPr>
        <w:spacing w:line="360" w:lineRule="auto"/>
        <w:ind w:right="420" w:firstLine="3614" w:firstLineChars="1000"/>
        <w:rPr>
          <w:rFonts w:hint="eastAsia" w:ascii="仿宋" w:hAnsi="仿宋" w:eastAsia="仿宋" w:cs="仿宋"/>
          <w:b/>
          <w:color w:val="auto"/>
          <w:kern w:val="0"/>
          <w:sz w:val="36"/>
          <w:szCs w:val="36"/>
          <w:highlight w:val="none"/>
        </w:rPr>
      </w:pPr>
    </w:p>
    <w:p>
      <w:pPr>
        <w:pStyle w:val="3"/>
        <w:pageBreakBefore/>
        <w:widowControl/>
        <w:spacing w:before="100" w:beforeAutospacing="1" w:after="100" w:afterAutospacing="1" w:line="360" w:lineRule="auto"/>
        <w:ind w:left="1290" w:firstLine="3092" w:firstLineChars="700"/>
        <w:rPr>
          <w:rFonts w:hint="eastAsia" w:ascii="仿宋" w:hAnsi="仿宋" w:eastAsia="仿宋" w:cs="仿宋"/>
          <w:color w:val="auto"/>
          <w:highlight w:val="none"/>
        </w:rPr>
      </w:pPr>
      <w:r>
        <w:rPr>
          <w:rFonts w:hint="eastAsia" w:ascii="仿宋" w:hAnsi="仿宋" w:eastAsia="仿宋" w:cs="仿宋"/>
          <w:color w:val="auto"/>
          <w:highlight w:val="none"/>
        </w:rPr>
        <w:t>附件</w:t>
      </w:r>
    </w:p>
    <w:p>
      <w:pPr>
        <w:spacing w:line="360" w:lineRule="auto"/>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附件1：</w:t>
      </w:r>
    </w:p>
    <w:p>
      <w:pPr>
        <w:spacing w:line="360" w:lineRule="auto"/>
        <w:jc w:val="center"/>
        <w:rPr>
          <w:rFonts w:hint="eastAsia" w:ascii="仿宋" w:hAnsi="仿宋" w:eastAsia="仿宋" w:cs="仿宋"/>
          <w:b/>
          <w:color w:val="auto"/>
          <w:spacing w:val="6"/>
          <w:sz w:val="32"/>
          <w:szCs w:val="32"/>
          <w:highlight w:val="none"/>
        </w:rPr>
      </w:pPr>
      <w:bookmarkStart w:id="513" w:name="OLE_LINK14"/>
      <w:bookmarkStart w:id="514" w:name="OLE_LINK13"/>
      <w:r>
        <w:rPr>
          <w:rFonts w:hint="eastAsia" w:ascii="仿宋" w:hAnsi="仿宋" w:eastAsia="仿宋" w:cs="仿宋"/>
          <w:b/>
          <w:color w:val="auto"/>
          <w:spacing w:val="6"/>
          <w:sz w:val="32"/>
          <w:szCs w:val="32"/>
          <w:highlight w:val="none"/>
        </w:rPr>
        <w:t>残疾人福利性单位声明函</w:t>
      </w:r>
    </w:p>
    <w:bookmarkEnd w:id="513"/>
    <w:bookmarkEnd w:id="514"/>
    <w:p>
      <w:pPr>
        <w:spacing w:line="360" w:lineRule="auto"/>
        <w:rPr>
          <w:rFonts w:hint="eastAsia" w:ascii="仿宋" w:hAnsi="仿宋" w:eastAsia="仿宋" w:cs="仿宋"/>
          <w:b/>
          <w:color w:val="auto"/>
          <w:spacing w:val="6"/>
          <w:sz w:val="30"/>
          <w:szCs w:val="30"/>
          <w:highlight w:val="none"/>
        </w:rPr>
      </w:pPr>
    </w:p>
    <w:p>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本单位郑重声明，根据《财政部 民政部 中国残疾人联合会关于促进残疾人就业政府采购政策的通知》（财库〔2017〕 141号）的规定，本单位为符合条件的残疾人福利性单位，且本单位参加_</w:t>
      </w:r>
      <w:r>
        <w:rPr>
          <w:rFonts w:hint="eastAsia" w:ascii="仿宋" w:hAnsi="仿宋" w:eastAsia="仿宋" w:cs="仿宋"/>
          <w:color w:val="auto"/>
          <w:sz w:val="24"/>
          <w:highlight w:val="none"/>
          <w:u w:val="single"/>
        </w:rPr>
        <w:t>(采购人)</w:t>
      </w:r>
      <w:r>
        <w:rPr>
          <w:rFonts w:hint="eastAsia" w:ascii="仿宋" w:hAnsi="仿宋" w:eastAsia="仿宋" w:cs="仿宋"/>
          <w:color w:val="auto"/>
          <w:sz w:val="24"/>
          <w:highlight w:val="none"/>
        </w:rPr>
        <w:t>_单位的_</w:t>
      </w:r>
      <w:r>
        <w:rPr>
          <w:rFonts w:hint="eastAsia" w:ascii="仿宋" w:hAnsi="仿宋" w:eastAsia="仿宋" w:cs="仿宋"/>
          <w:color w:val="auto"/>
          <w:sz w:val="24"/>
          <w:highlight w:val="none"/>
          <w:u w:val="single"/>
          <w:lang w:eastAsia="zh-CN"/>
        </w:rPr>
        <w:t>余杭街道2023年区域性微型消防救援站服务外包项目</w:t>
      </w:r>
      <w:r>
        <w:rPr>
          <w:rFonts w:hint="eastAsia" w:ascii="仿宋" w:hAnsi="仿宋" w:eastAsia="仿宋" w:cs="仿宋"/>
          <w:color w:val="auto"/>
          <w:sz w:val="24"/>
          <w:highlight w:val="none"/>
        </w:rPr>
        <w:t>__项目采购活动提供本单位制造的货物（由本单位承担工程/提供服务），或者提供其他残疾人福利性单位制造的货物（不包括使用非残疾人福利性单位注册商标的货物）。</w:t>
      </w:r>
    </w:p>
    <w:p>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本单位对上述声明的真实性负责。如有虚假，将依法承担相应责任。</w:t>
      </w:r>
    </w:p>
    <w:p>
      <w:pPr>
        <w:spacing w:line="360" w:lineRule="auto"/>
        <w:ind w:firstLine="480" w:firstLineChars="200"/>
        <w:rPr>
          <w:rFonts w:hint="eastAsia" w:ascii="仿宋" w:hAnsi="仿宋" w:eastAsia="仿宋" w:cs="仿宋"/>
          <w:color w:val="auto"/>
          <w:sz w:val="24"/>
          <w:highlight w:val="none"/>
        </w:rPr>
      </w:pPr>
    </w:p>
    <w:p>
      <w:pPr>
        <w:spacing w:line="360" w:lineRule="auto"/>
        <w:ind w:firstLine="480" w:firstLineChars="200"/>
        <w:rPr>
          <w:rFonts w:hint="eastAsia" w:ascii="仿宋" w:hAnsi="仿宋" w:eastAsia="仿宋" w:cs="仿宋"/>
          <w:color w:val="auto"/>
          <w:sz w:val="24"/>
          <w:highlight w:val="none"/>
        </w:rPr>
      </w:pPr>
    </w:p>
    <w:p>
      <w:pPr>
        <w:tabs>
          <w:tab w:val="left" w:pos="4860"/>
        </w:tabs>
        <w:spacing w:line="360" w:lineRule="auto"/>
        <w:ind w:right="1560" w:firstLine="480" w:firstLineChars="20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w:t>
      </w:r>
      <w:r>
        <w:rPr>
          <w:rFonts w:hint="eastAsia" w:ascii="仿宋" w:hAnsi="仿宋" w:eastAsia="仿宋" w:cs="仿宋"/>
          <w:color w:val="auto"/>
          <w:kern w:val="0"/>
          <w:sz w:val="24"/>
          <w:highlight w:val="none"/>
          <w:lang w:val="zh-CN"/>
        </w:rPr>
        <w:t>投标人名称（电子签名）</w:t>
      </w:r>
      <w:r>
        <w:rPr>
          <w:rFonts w:hint="eastAsia" w:ascii="仿宋" w:hAnsi="仿宋" w:eastAsia="仿宋" w:cs="仿宋"/>
          <w:color w:val="auto"/>
          <w:sz w:val="24"/>
          <w:highlight w:val="none"/>
        </w:rPr>
        <w:t>：</w:t>
      </w:r>
    </w:p>
    <w:p>
      <w:pPr>
        <w:tabs>
          <w:tab w:val="left" w:pos="4860"/>
        </w:tabs>
        <w:spacing w:line="360" w:lineRule="auto"/>
        <w:ind w:right="1560" w:firstLine="480" w:firstLineChars="20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  期：</w:t>
      </w:r>
    </w:p>
    <w:p>
      <w:pPr>
        <w:spacing w:line="360" w:lineRule="auto"/>
        <w:ind w:firstLine="480" w:firstLineChars="200"/>
        <w:rPr>
          <w:rFonts w:hint="eastAsia" w:ascii="仿宋" w:hAnsi="仿宋" w:eastAsia="仿宋" w:cs="仿宋"/>
          <w:color w:val="auto"/>
          <w:sz w:val="24"/>
          <w:highlight w:val="none"/>
        </w:rPr>
      </w:pPr>
    </w:p>
    <w:p>
      <w:pPr>
        <w:spacing w:line="360" w:lineRule="auto"/>
        <w:ind w:firstLine="420" w:firstLineChars="200"/>
        <w:rPr>
          <w:rFonts w:hint="eastAsia" w:ascii="仿宋" w:hAnsi="仿宋" w:eastAsia="仿宋" w:cs="仿宋"/>
          <w:color w:val="auto"/>
          <w:highlight w:val="none"/>
        </w:rPr>
      </w:pPr>
    </w:p>
    <w:p>
      <w:pPr>
        <w:spacing w:line="360" w:lineRule="auto"/>
        <w:ind w:firstLine="420" w:firstLineChars="200"/>
        <w:rPr>
          <w:rFonts w:hint="eastAsia" w:ascii="仿宋" w:hAnsi="仿宋" w:eastAsia="仿宋" w:cs="仿宋"/>
          <w:color w:val="auto"/>
          <w:highlight w:val="none"/>
        </w:rPr>
      </w:pPr>
    </w:p>
    <w:p>
      <w:pPr>
        <w:spacing w:line="360" w:lineRule="auto"/>
        <w:ind w:firstLine="420" w:firstLineChars="200"/>
        <w:rPr>
          <w:rFonts w:hint="eastAsia" w:ascii="仿宋" w:hAnsi="仿宋" w:eastAsia="仿宋" w:cs="仿宋"/>
          <w:color w:val="auto"/>
          <w:highlight w:val="none"/>
        </w:rPr>
      </w:pPr>
    </w:p>
    <w:p>
      <w:pPr>
        <w:spacing w:line="360" w:lineRule="auto"/>
        <w:ind w:firstLine="420" w:firstLineChars="200"/>
        <w:rPr>
          <w:rFonts w:hint="eastAsia" w:ascii="仿宋" w:hAnsi="仿宋" w:eastAsia="仿宋" w:cs="仿宋"/>
          <w:color w:val="auto"/>
          <w:highlight w:val="none"/>
        </w:rPr>
      </w:pPr>
    </w:p>
    <w:p>
      <w:pPr>
        <w:spacing w:line="360" w:lineRule="auto"/>
        <w:rPr>
          <w:rFonts w:hint="eastAsia" w:ascii="仿宋" w:hAnsi="仿宋" w:eastAsia="仿宋" w:cs="仿宋"/>
          <w:b/>
          <w:color w:val="auto"/>
          <w:sz w:val="24"/>
          <w:highlight w:val="none"/>
        </w:rPr>
      </w:pPr>
    </w:p>
    <w:p>
      <w:pPr>
        <w:spacing w:line="360" w:lineRule="auto"/>
        <w:rPr>
          <w:rFonts w:hint="eastAsia" w:ascii="仿宋" w:hAnsi="仿宋" w:eastAsia="仿宋" w:cs="仿宋"/>
          <w:b/>
          <w:color w:val="auto"/>
          <w:sz w:val="24"/>
          <w:highlight w:val="none"/>
        </w:rPr>
      </w:pPr>
    </w:p>
    <w:p>
      <w:pPr>
        <w:spacing w:line="360" w:lineRule="auto"/>
        <w:rPr>
          <w:rFonts w:hint="eastAsia" w:ascii="仿宋" w:hAnsi="仿宋" w:eastAsia="仿宋" w:cs="仿宋"/>
          <w:b/>
          <w:color w:val="auto"/>
          <w:sz w:val="24"/>
          <w:highlight w:val="none"/>
        </w:rPr>
      </w:pPr>
    </w:p>
    <w:p>
      <w:pPr>
        <w:spacing w:line="360" w:lineRule="auto"/>
        <w:rPr>
          <w:rFonts w:hint="eastAsia" w:ascii="仿宋" w:hAnsi="仿宋" w:eastAsia="仿宋" w:cs="仿宋"/>
          <w:b/>
          <w:color w:val="auto"/>
          <w:sz w:val="24"/>
          <w:highlight w:val="none"/>
        </w:rPr>
      </w:pPr>
    </w:p>
    <w:p>
      <w:pPr>
        <w:spacing w:line="360" w:lineRule="auto"/>
        <w:rPr>
          <w:rFonts w:hint="eastAsia" w:ascii="仿宋" w:hAnsi="仿宋" w:eastAsia="仿宋" w:cs="仿宋"/>
          <w:b/>
          <w:color w:val="auto"/>
          <w:sz w:val="24"/>
          <w:highlight w:val="none"/>
        </w:rPr>
      </w:pPr>
    </w:p>
    <w:p>
      <w:pPr>
        <w:spacing w:line="360" w:lineRule="auto"/>
        <w:rPr>
          <w:rFonts w:hint="eastAsia" w:ascii="仿宋" w:hAnsi="仿宋" w:eastAsia="仿宋" w:cs="仿宋"/>
          <w:b/>
          <w:color w:val="auto"/>
          <w:sz w:val="24"/>
          <w:highlight w:val="none"/>
        </w:rPr>
      </w:pPr>
    </w:p>
    <w:p>
      <w:pPr>
        <w:spacing w:line="360" w:lineRule="auto"/>
        <w:rPr>
          <w:rFonts w:hint="eastAsia" w:ascii="仿宋" w:hAnsi="仿宋" w:eastAsia="仿宋" w:cs="仿宋"/>
          <w:b/>
          <w:color w:val="auto"/>
          <w:sz w:val="24"/>
          <w:highlight w:val="none"/>
        </w:rPr>
      </w:pPr>
    </w:p>
    <w:p>
      <w:pPr>
        <w:spacing w:line="360" w:lineRule="auto"/>
        <w:rPr>
          <w:rFonts w:hint="eastAsia" w:ascii="仿宋" w:hAnsi="仿宋" w:eastAsia="仿宋" w:cs="仿宋"/>
          <w:b/>
          <w:color w:val="auto"/>
          <w:sz w:val="24"/>
          <w:highlight w:val="none"/>
        </w:rPr>
      </w:pPr>
    </w:p>
    <w:p>
      <w:pPr>
        <w:spacing w:line="360" w:lineRule="auto"/>
        <w:rPr>
          <w:rFonts w:hint="eastAsia" w:ascii="仿宋" w:hAnsi="仿宋" w:eastAsia="仿宋" w:cs="仿宋"/>
          <w:b/>
          <w:color w:val="auto"/>
          <w:sz w:val="24"/>
          <w:highlight w:val="none"/>
        </w:rPr>
      </w:pPr>
    </w:p>
    <w:p>
      <w:pPr>
        <w:spacing w:line="360" w:lineRule="auto"/>
        <w:jc w:val="left"/>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附件2：质疑函范本及制作说明</w:t>
      </w:r>
    </w:p>
    <w:p>
      <w:pPr>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质疑函范本</w:t>
      </w:r>
    </w:p>
    <w:p>
      <w:pPr>
        <w:snapToGrid w:val="0"/>
        <w:spacing w:before="240" w:beforeLines="100"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一、质疑供应商基本信息</w:t>
      </w:r>
    </w:p>
    <w:p>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质疑供应商：</w:t>
      </w:r>
      <w:r>
        <w:rPr>
          <w:rFonts w:hint="eastAsia" w:ascii="仿宋" w:hAnsi="仿宋" w:eastAsia="仿宋" w:cs="仿宋"/>
          <w:color w:val="auto"/>
          <w:sz w:val="24"/>
          <w:highlight w:val="none"/>
          <w:u w:val="dotted"/>
        </w:rPr>
        <w:t xml:space="preserve">                                        </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地址：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授权代表：</w:t>
      </w:r>
      <w:r>
        <w:rPr>
          <w:rFonts w:hint="eastAsia" w:ascii="仿宋" w:hAnsi="仿宋" w:eastAsia="仿宋" w:cs="仿宋"/>
          <w:color w:val="auto"/>
          <w:sz w:val="24"/>
          <w:highlight w:val="none"/>
          <w:u w:val="dotted"/>
        </w:rPr>
        <w:t xml:space="preserve">                                          </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地址： </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pPr>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二、质疑项目基本情况</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质疑项目的名称：</w:t>
      </w:r>
      <w:r>
        <w:rPr>
          <w:rFonts w:hint="eastAsia" w:ascii="仿宋" w:hAnsi="仿宋" w:eastAsia="仿宋" w:cs="仿宋"/>
          <w:color w:val="auto"/>
          <w:sz w:val="24"/>
          <w:highlight w:val="none"/>
          <w:u w:val="dotted"/>
        </w:rPr>
        <w:t xml:space="preserve">                                      </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质疑项目的编号：</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包号：</w:t>
      </w:r>
      <w:r>
        <w:rPr>
          <w:rFonts w:hint="eastAsia" w:ascii="仿宋" w:hAnsi="仿宋" w:eastAsia="仿宋" w:cs="仿宋"/>
          <w:color w:val="auto"/>
          <w:sz w:val="24"/>
          <w:highlight w:val="none"/>
          <w:u w:val="dotted"/>
        </w:rPr>
        <w:t xml:space="preserve">                 </w:t>
      </w:r>
    </w:p>
    <w:p>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采购人名称：</w:t>
      </w:r>
      <w:r>
        <w:rPr>
          <w:rFonts w:hint="eastAsia" w:ascii="仿宋" w:hAnsi="仿宋" w:eastAsia="仿宋" w:cs="仿宋"/>
          <w:color w:val="auto"/>
          <w:sz w:val="24"/>
          <w:highlight w:val="none"/>
          <w:u w:val="dotted"/>
        </w:rPr>
        <w:t xml:space="preserve">                                         </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采购文件获取日期：</w:t>
      </w:r>
      <w:r>
        <w:rPr>
          <w:rFonts w:hint="eastAsia" w:ascii="仿宋" w:hAnsi="仿宋" w:eastAsia="仿宋" w:cs="仿宋"/>
          <w:color w:val="auto"/>
          <w:sz w:val="24"/>
          <w:highlight w:val="none"/>
          <w:u w:val="dotted"/>
        </w:rPr>
        <w:t xml:space="preserve">                                           </w:t>
      </w:r>
    </w:p>
    <w:p>
      <w:pPr>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三、质疑事项具体内容</w:t>
      </w:r>
    </w:p>
    <w:p>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质疑事项1：</w:t>
      </w:r>
      <w:r>
        <w:rPr>
          <w:rFonts w:hint="eastAsia" w:ascii="仿宋" w:hAnsi="仿宋" w:eastAsia="仿宋" w:cs="仿宋"/>
          <w:color w:val="auto"/>
          <w:sz w:val="24"/>
          <w:highlight w:val="none"/>
          <w:u w:val="dotted"/>
        </w:rPr>
        <w:t xml:space="preserve">                                         </w:t>
      </w:r>
    </w:p>
    <w:p>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事实依据：</w:t>
      </w:r>
      <w:r>
        <w:rPr>
          <w:rFonts w:hint="eastAsia" w:ascii="仿宋" w:hAnsi="仿宋" w:eastAsia="仿宋" w:cs="仿宋"/>
          <w:color w:val="auto"/>
          <w:sz w:val="24"/>
          <w:highlight w:val="none"/>
          <w:u w:val="dotted"/>
        </w:rPr>
        <w:t xml:space="preserve">                                          </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u w:val="dotted"/>
        </w:rPr>
        <w:t xml:space="preserve">                                                       </w:t>
      </w:r>
    </w:p>
    <w:p>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法律依据：</w:t>
      </w:r>
      <w:r>
        <w:rPr>
          <w:rFonts w:hint="eastAsia" w:ascii="仿宋" w:hAnsi="仿宋" w:eastAsia="仿宋" w:cs="仿宋"/>
          <w:color w:val="auto"/>
          <w:sz w:val="24"/>
          <w:highlight w:val="none"/>
          <w:u w:val="dotted"/>
        </w:rPr>
        <w:t xml:space="preserve">                                          </w:t>
      </w:r>
    </w:p>
    <w:p>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质疑事项2</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p>
      <w:pPr>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四、与质疑事项相关的质疑请求</w:t>
      </w:r>
    </w:p>
    <w:p>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请求：</w:t>
      </w: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pPr>
        <w:spacing w:line="360" w:lineRule="auto"/>
        <w:jc w:val="center"/>
        <w:rPr>
          <w:rFonts w:hint="eastAsia" w:ascii="仿宋" w:hAnsi="仿宋" w:eastAsia="仿宋" w:cs="仿宋"/>
          <w:b/>
          <w:bCs/>
          <w:color w:val="auto"/>
          <w:sz w:val="24"/>
          <w:highlight w:val="none"/>
        </w:rPr>
      </w:pPr>
    </w:p>
    <w:p>
      <w:pPr>
        <w:spacing w:line="360" w:lineRule="auto"/>
        <w:rPr>
          <w:rFonts w:hint="eastAsia" w:ascii="仿宋" w:hAnsi="仿宋" w:eastAsia="仿宋" w:cs="仿宋"/>
          <w:b/>
          <w:color w:val="auto"/>
          <w:sz w:val="24"/>
          <w:highlight w:val="none"/>
        </w:rPr>
      </w:pPr>
    </w:p>
    <w:p>
      <w:pPr>
        <w:spacing w:line="360" w:lineRule="auto"/>
        <w:rPr>
          <w:rFonts w:hint="eastAsia" w:ascii="仿宋" w:hAnsi="仿宋" w:eastAsia="仿宋" w:cs="仿宋"/>
          <w:b/>
          <w:color w:val="auto"/>
          <w:sz w:val="24"/>
          <w:highlight w:val="none"/>
        </w:rPr>
      </w:pPr>
    </w:p>
    <w:p>
      <w:pPr>
        <w:spacing w:line="360" w:lineRule="auto"/>
        <w:rPr>
          <w:rFonts w:hint="eastAsia" w:ascii="仿宋" w:hAnsi="仿宋" w:eastAsia="仿宋" w:cs="仿宋"/>
          <w:b/>
          <w:color w:val="auto"/>
          <w:sz w:val="24"/>
          <w:highlight w:val="none"/>
        </w:rPr>
      </w:pPr>
    </w:p>
    <w:p>
      <w:pPr>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质疑函制作说明：</w:t>
      </w:r>
    </w:p>
    <w:p>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1.供应商提出质疑时，应提交质疑函和必要的证明材料。</w:t>
      </w:r>
    </w:p>
    <w:p>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2.质疑供应商若委托代理人进行质疑的，质疑函应按要求列明“授权代表”的有关内容，并在附件中提交由质疑</w:t>
      </w:r>
      <w:r>
        <w:rPr>
          <w:rFonts w:hint="eastAsia" w:ascii="仿宋" w:hAnsi="仿宋" w:eastAsia="仿宋" w:cs="仿宋"/>
          <w:color w:val="auto"/>
          <w:kern w:val="0"/>
          <w:sz w:val="24"/>
          <w:highlight w:val="none"/>
        </w:rPr>
        <w:t>供应商签署的授权委托书。授权委托书应载明代理人的姓名或者名称、代理事项、具体权限、期限和相关事项。</w:t>
      </w:r>
    </w:p>
    <w:p>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3.质疑供应商若对项目的某一分包进行质疑，质疑函中应列明具体分包号。</w:t>
      </w:r>
    </w:p>
    <w:p>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4.质疑函的质疑事项应具体、明确，并有必要的事实依据和法律依据。</w:t>
      </w:r>
    </w:p>
    <w:p>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5.质疑函的质疑请求应与质疑事项相关。</w:t>
      </w:r>
    </w:p>
    <w:p>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6.质疑供应商为自然人的，质疑函应由本人签字；质疑供应商为法人或者其他组织的，质疑函应由法定代表人、主要负责人，或者其授权代表签字或者盖章，并加盖公章。</w:t>
      </w:r>
    </w:p>
    <w:p>
      <w:pPr>
        <w:widowControl/>
        <w:spacing w:line="360" w:lineRule="auto"/>
        <w:ind w:firstLine="600" w:firstLineChars="200"/>
        <w:jc w:val="left"/>
        <w:rPr>
          <w:rFonts w:hint="eastAsia" w:ascii="仿宋" w:hAnsi="仿宋" w:eastAsia="仿宋" w:cs="仿宋"/>
          <w:color w:val="auto"/>
          <w:sz w:val="30"/>
          <w:szCs w:val="30"/>
          <w:highlight w:val="none"/>
        </w:rPr>
      </w:pPr>
    </w:p>
    <w:p>
      <w:pPr>
        <w:spacing w:line="360" w:lineRule="auto"/>
        <w:jc w:val="center"/>
        <w:rPr>
          <w:rFonts w:hint="eastAsia" w:ascii="仿宋" w:hAnsi="仿宋" w:eastAsia="仿宋" w:cs="仿宋"/>
          <w:b/>
          <w:color w:val="auto"/>
          <w:spacing w:val="6"/>
          <w:sz w:val="32"/>
          <w:szCs w:val="32"/>
          <w:highlight w:val="none"/>
        </w:rPr>
      </w:pPr>
    </w:p>
    <w:p>
      <w:pPr>
        <w:spacing w:line="360" w:lineRule="auto"/>
        <w:jc w:val="center"/>
        <w:rPr>
          <w:rFonts w:hint="eastAsia" w:ascii="仿宋" w:hAnsi="仿宋" w:eastAsia="仿宋" w:cs="仿宋"/>
          <w:b/>
          <w:color w:val="auto"/>
          <w:spacing w:val="6"/>
          <w:sz w:val="32"/>
          <w:szCs w:val="32"/>
          <w:highlight w:val="none"/>
        </w:rPr>
      </w:pPr>
    </w:p>
    <w:p>
      <w:pPr>
        <w:spacing w:line="360" w:lineRule="auto"/>
        <w:jc w:val="center"/>
        <w:rPr>
          <w:rFonts w:hint="eastAsia" w:ascii="仿宋" w:hAnsi="仿宋" w:eastAsia="仿宋" w:cs="仿宋"/>
          <w:b/>
          <w:color w:val="auto"/>
          <w:spacing w:val="6"/>
          <w:sz w:val="32"/>
          <w:szCs w:val="32"/>
          <w:highlight w:val="none"/>
        </w:rPr>
      </w:pPr>
    </w:p>
    <w:p>
      <w:pPr>
        <w:spacing w:line="360" w:lineRule="auto"/>
        <w:jc w:val="center"/>
        <w:rPr>
          <w:rFonts w:hint="eastAsia" w:ascii="仿宋" w:hAnsi="仿宋" w:eastAsia="仿宋" w:cs="仿宋"/>
          <w:b/>
          <w:color w:val="auto"/>
          <w:spacing w:val="6"/>
          <w:sz w:val="32"/>
          <w:szCs w:val="32"/>
          <w:highlight w:val="none"/>
        </w:rPr>
      </w:pPr>
    </w:p>
    <w:p>
      <w:pPr>
        <w:spacing w:line="360" w:lineRule="auto"/>
        <w:jc w:val="center"/>
        <w:rPr>
          <w:rFonts w:hint="eastAsia" w:ascii="仿宋" w:hAnsi="仿宋" w:eastAsia="仿宋" w:cs="仿宋"/>
          <w:b/>
          <w:color w:val="auto"/>
          <w:spacing w:val="6"/>
          <w:sz w:val="32"/>
          <w:szCs w:val="32"/>
          <w:highlight w:val="none"/>
        </w:rPr>
      </w:pPr>
    </w:p>
    <w:p>
      <w:pPr>
        <w:spacing w:line="360" w:lineRule="auto"/>
        <w:jc w:val="center"/>
        <w:rPr>
          <w:rFonts w:hint="eastAsia" w:ascii="仿宋" w:hAnsi="仿宋" w:eastAsia="仿宋" w:cs="仿宋"/>
          <w:b/>
          <w:color w:val="auto"/>
          <w:spacing w:val="6"/>
          <w:sz w:val="32"/>
          <w:szCs w:val="32"/>
          <w:highlight w:val="none"/>
        </w:rPr>
      </w:pPr>
    </w:p>
    <w:p>
      <w:pPr>
        <w:spacing w:line="360" w:lineRule="auto"/>
        <w:jc w:val="center"/>
        <w:rPr>
          <w:rFonts w:hint="eastAsia" w:ascii="仿宋" w:hAnsi="仿宋" w:eastAsia="仿宋" w:cs="仿宋"/>
          <w:b/>
          <w:color w:val="auto"/>
          <w:spacing w:val="6"/>
          <w:sz w:val="32"/>
          <w:szCs w:val="32"/>
          <w:highlight w:val="none"/>
        </w:rPr>
      </w:pPr>
    </w:p>
    <w:p>
      <w:pPr>
        <w:spacing w:line="360" w:lineRule="auto"/>
        <w:jc w:val="center"/>
        <w:rPr>
          <w:rFonts w:hint="eastAsia" w:ascii="仿宋" w:hAnsi="仿宋" w:eastAsia="仿宋" w:cs="仿宋"/>
          <w:b/>
          <w:color w:val="auto"/>
          <w:spacing w:val="6"/>
          <w:sz w:val="32"/>
          <w:szCs w:val="32"/>
          <w:highlight w:val="none"/>
        </w:rPr>
      </w:pPr>
    </w:p>
    <w:p>
      <w:pPr>
        <w:spacing w:line="360" w:lineRule="auto"/>
        <w:jc w:val="center"/>
        <w:rPr>
          <w:rFonts w:hint="eastAsia" w:ascii="仿宋" w:hAnsi="仿宋" w:eastAsia="仿宋" w:cs="仿宋"/>
          <w:b/>
          <w:color w:val="auto"/>
          <w:spacing w:val="6"/>
          <w:sz w:val="32"/>
          <w:szCs w:val="32"/>
          <w:highlight w:val="none"/>
        </w:rPr>
      </w:pPr>
    </w:p>
    <w:p>
      <w:pPr>
        <w:spacing w:line="360" w:lineRule="auto"/>
        <w:jc w:val="center"/>
        <w:rPr>
          <w:rFonts w:hint="eastAsia" w:ascii="仿宋" w:hAnsi="仿宋" w:eastAsia="仿宋" w:cs="仿宋"/>
          <w:b/>
          <w:color w:val="auto"/>
          <w:spacing w:val="6"/>
          <w:sz w:val="32"/>
          <w:szCs w:val="32"/>
          <w:highlight w:val="none"/>
        </w:rPr>
      </w:pPr>
    </w:p>
    <w:p>
      <w:pPr>
        <w:spacing w:line="360" w:lineRule="auto"/>
        <w:jc w:val="center"/>
        <w:rPr>
          <w:rFonts w:hint="eastAsia" w:ascii="仿宋" w:hAnsi="仿宋" w:eastAsia="仿宋" w:cs="仿宋"/>
          <w:b/>
          <w:color w:val="auto"/>
          <w:spacing w:val="6"/>
          <w:sz w:val="32"/>
          <w:szCs w:val="32"/>
          <w:highlight w:val="none"/>
        </w:rPr>
      </w:pPr>
    </w:p>
    <w:p>
      <w:pPr>
        <w:spacing w:line="360" w:lineRule="auto"/>
        <w:jc w:val="center"/>
        <w:rPr>
          <w:rFonts w:hint="eastAsia" w:ascii="仿宋" w:hAnsi="仿宋" w:eastAsia="仿宋" w:cs="仿宋"/>
          <w:b/>
          <w:color w:val="auto"/>
          <w:spacing w:val="6"/>
          <w:sz w:val="32"/>
          <w:szCs w:val="32"/>
          <w:highlight w:val="none"/>
        </w:rPr>
      </w:pPr>
    </w:p>
    <w:p>
      <w:pPr>
        <w:spacing w:line="360" w:lineRule="auto"/>
        <w:jc w:val="left"/>
        <w:rPr>
          <w:rFonts w:hint="eastAsia" w:ascii="仿宋" w:hAnsi="仿宋" w:eastAsia="仿宋" w:cs="仿宋"/>
          <w:b/>
          <w:color w:val="auto"/>
          <w:spacing w:val="6"/>
          <w:sz w:val="32"/>
          <w:szCs w:val="32"/>
          <w:highlight w:val="none"/>
        </w:rPr>
      </w:pPr>
    </w:p>
    <w:p>
      <w:pPr>
        <w:spacing w:line="360" w:lineRule="auto"/>
        <w:jc w:val="left"/>
        <w:rPr>
          <w:rFonts w:hint="eastAsia" w:ascii="仿宋" w:hAnsi="仿宋" w:eastAsia="仿宋" w:cs="仿宋"/>
          <w:b/>
          <w:color w:val="auto"/>
          <w:spacing w:val="6"/>
          <w:sz w:val="32"/>
          <w:szCs w:val="32"/>
          <w:highlight w:val="none"/>
        </w:rPr>
      </w:pPr>
    </w:p>
    <w:p>
      <w:pPr>
        <w:spacing w:line="360" w:lineRule="auto"/>
        <w:jc w:val="left"/>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附件3：投诉书范本及制作说明</w:t>
      </w:r>
    </w:p>
    <w:p>
      <w:pPr>
        <w:spacing w:line="360" w:lineRule="auto"/>
        <w:jc w:val="center"/>
        <w:rPr>
          <w:rFonts w:hint="eastAsia" w:ascii="仿宋" w:hAnsi="仿宋" w:eastAsia="仿宋" w:cs="仿宋"/>
          <w:b/>
          <w:color w:val="auto"/>
          <w:sz w:val="24"/>
          <w:highlight w:val="none"/>
        </w:rPr>
      </w:pPr>
    </w:p>
    <w:p>
      <w:pPr>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投诉书范本</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一、投诉相关主体基本情况</w:t>
      </w:r>
    </w:p>
    <w:p>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投诉人：</w:t>
      </w: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tabs>
          <w:tab w:val="left" w:pos="6510"/>
        </w:tabs>
        <w:spacing w:line="360" w:lineRule="auto"/>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法定代表人/主要负责人：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pPr>
        <w:tabs>
          <w:tab w:val="left" w:pos="6510"/>
        </w:tabs>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授权代表：</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被投诉人1：</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被投诉人2</w:t>
      </w:r>
    </w:p>
    <w:p>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w:t>
      </w:r>
    </w:p>
    <w:p>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相关供应商：</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二、投诉项目基本情况</w:t>
      </w:r>
    </w:p>
    <w:p>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采购项目名称：</w:t>
      </w: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采购项目编号：</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包号：</w:t>
      </w: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采购人名称：</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代理机构名称：</w:t>
      </w: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采购文件公告: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采购结果公告: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三、质疑基本情况</w:t>
      </w:r>
    </w:p>
    <w:p>
      <w:pPr>
        <w:spacing w:line="360" w:lineRule="auto"/>
        <w:ind w:firstLine="480" w:firstLineChars="200"/>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投诉人于</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日,向</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提出质疑，质疑事项为：</w:t>
      </w: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pPr>
        <w:spacing w:line="360" w:lineRule="auto"/>
        <w:ind w:firstLine="360" w:firstLineChars="150"/>
        <w:rPr>
          <w:rFonts w:hint="eastAsia" w:ascii="仿宋" w:hAnsi="仿宋" w:eastAsia="仿宋" w:cs="仿宋"/>
          <w:color w:val="auto"/>
          <w:sz w:val="24"/>
          <w:highlight w:val="none"/>
        </w:rPr>
      </w:pPr>
      <w:r>
        <w:rPr>
          <w:rFonts w:hint="eastAsia" w:ascii="仿宋" w:hAnsi="仿宋" w:eastAsia="仿宋" w:cs="仿宋"/>
          <w:color w:val="auto"/>
          <w:sz w:val="24"/>
          <w:highlight w:val="none"/>
          <w:u w:val="dotted"/>
        </w:rPr>
        <w:t>采购人/代理机构</w:t>
      </w:r>
      <w:r>
        <w:rPr>
          <w:rFonts w:hint="eastAsia" w:ascii="仿宋" w:hAnsi="仿宋" w:eastAsia="仿宋" w:cs="仿宋"/>
          <w:color w:val="auto"/>
          <w:sz w:val="24"/>
          <w:highlight w:val="none"/>
        </w:rPr>
        <w:t>于</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日,就质疑事项作出了答复/没有在法定期限内作出答复。</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四、投诉事项具体内容</w:t>
      </w:r>
    </w:p>
    <w:p>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投诉事项 1：</w:t>
      </w: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事实依据：</w:t>
      </w: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法律依据：</w:t>
      </w: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投诉事项2</w:t>
      </w:r>
    </w:p>
    <w:p>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五、与投诉事项相关的投诉请求</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请求：</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 xml:space="preserve">                                                                                                    </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pPr>
        <w:spacing w:line="360" w:lineRule="auto"/>
        <w:rPr>
          <w:rFonts w:hint="eastAsia" w:ascii="仿宋" w:hAnsi="仿宋" w:eastAsia="仿宋" w:cs="仿宋"/>
          <w:b/>
          <w:color w:val="auto"/>
          <w:sz w:val="24"/>
          <w:highlight w:val="none"/>
        </w:rPr>
      </w:pPr>
    </w:p>
    <w:p>
      <w:pPr>
        <w:spacing w:line="360" w:lineRule="auto"/>
        <w:rPr>
          <w:rFonts w:hint="eastAsia" w:ascii="仿宋" w:hAnsi="仿宋" w:eastAsia="仿宋" w:cs="仿宋"/>
          <w:b/>
          <w:color w:val="auto"/>
          <w:sz w:val="24"/>
          <w:highlight w:val="none"/>
        </w:rPr>
      </w:pPr>
    </w:p>
    <w:p>
      <w:pPr>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投诉书制作说明：</w:t>
      </w:r>
    </w:p>
    <w:p>
      <w:pPr>
        <w:widowControl/>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1.投诉人提起投诉时，应当提交投诉书和必要的证明材料，并按照被投诉人和与投诉事项有关的供应商数量提供投诉书副本。</w:t>
      </w:r>
    </w:p>
    <w:p>
      <w:pPr>
        <w:widowControl/>
        <w:spacing w:line="360" w:lineRule="auto"/>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2.投诉人若委托代理人进行投诉的，投诉书应按照要求列明“授权代表”的有关内容，并在附件中提交由</w:t>
      </w:r>
      <w:r>
        <w:rPr>
          <w:rFonts w:hint="eastAsia" w:ascii="仿宋" w:hAnsi="仿宋" w:eastAsia="仿宋" w:cs="仿宋"/>
          <w:color w:val="auto"/>
          <w:kern w:val="0"/>
          <w:sz w:val="24"/>
          <w:highlight w:val="none"/>
        </w:rPr>
        <w:t>投诉人签署的授权委托书。授权委托书应当载明代理人的姓名或者名称、代理事项、具体权限、期限和相关事项。</w:t>
      </w:r>
    </w:p>
    <w:p>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3.投诉人若对项目的某一分包进行投诉，投诉书应列明具体分包号。</w:t>
      </w:r>
    </w:p>
    <w:p>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4.投诉书应简要列明质疑事项，质疑函、质疑答复等作为附件材料提供。</w:t>
      </w:r>
    </w:p>
    <w:p>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5.投诉书的投诉事项应具体、明确，并有必要的事实依据和法律依据。</w:t>
      </w:r>
    </w:p>
    <w:p>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6.投诉书的投诉请求应与投诉事项相关。</w:t>
      </w:r>
    </w:p>
    <w:p>
      <w:pPr>
        <w:widowControl/>
        <w:spacing w:line="360" w:lineRule="auto"/>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7.投诉人为自然人的，投诉书应当由本人签字；投诉人为法人或者其他组织的，投诉书应当由法定代表人、主要负责人，或者其授权代表签字或者盖章，并加盖公章。</w:t>
      </w:r>
    </w:p>
    <w:p>
      <w:pPr>
        <w:spacing w:line="360" w:lineRule="auto"/>
        <w:rPr>
          <w:rFonts w:hint="eastAsia" w:ascii="仿宋" w:hAnsi="仿宋" w:eastAsia="仿宋" w:cs="仿宋"/>
          <w:b/>
          <w:color w:val="auto"/>
          <w:sz w:val="24"/>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bCs/>
          <w:color w:val="auto"/>
          <w:sz w:val="32"/>
          <w:szCs w:val="32"/>
          <w:highlight w:val="none"/>
        </w:rPr>
      </w:pPr>
      <w:r>
        <w:rPr>
          <w:rFonts w:hint="eastAsia" w:ascii="仿宋" w:hAnsi="仿宋" w:eastAsia="仿宋" w:cs="仿宋"/>
          <w:b/>
          <w:color w:val="auto"/>
          <w:spacing w:val="6"/>
          <w:sz w:val="32"/>
          <w:szCs w:val="32"/>
          <w:highlight w:val="none"/>
        </w:rPr>
        <w:t>附件4：</w:t>
      </w:r>
      <w:r>
        <w:rPr>
          <w:rFonts w:hint="eastAsia" w:ascii="仿宋" w:hAnsi="仿宋" w:eastAsia="仿宋" w:cs="仿宋"/>
          <w:b/>
          <w:bCs/>
          <w:color w:val="auto"/>
          <w:sz w:val="32"/>
          <w:szCs w:val="32"/>
          <w:highlight w:val="none"/>
        </w:rPr>
        <w:t>业务专用章使用说明函</w:t>
      </w:r>
    </w:p>
    <w:p>
      <w:pPr>
        <w:spacing w:line="360" w:lineRule="auto"/>
        <w:rPr>
          <w:rFonts w:hint="eastAsia" w:ascii="仿宋" w:hAnsi="仿宋" w:eastAsia="仿宋" w:cs="仿宋"/>
          <w:color w:val="auto"/>
          <w:sz w:val="24"/>
          <w:highlight w:val="none"/>
          <w:u w:val="single"/>
        </w:rPr>
      </w:pP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u w:val="single"/>
          <w:lang w:eastAsia="zh-CN"/>
        </w:rPr>
        <w:t>杭州市余杭区人民政府余杭街道办事处</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u w:val="single"/>
          <w:lang w:eastAsia="zh-CN"/>
        </w:rPr>
        <w:t>杭州天坤建设咨询有限公司</w:t>
      </w:r>
      <w:r>
        <w:rPr>
          <w:rFonts w:hint="eastAsia" w:ascii="仿宋" w:hAnsi="仿宋" w:eastAsia="仿宋" w:cs="仿宋"/>
          <w:color w:val="auto"/>
          <w:sz w:val="24"/>
          <w:highlight w:val="none"/>
          <w:u w:val="single"/>
        </w:rPr>
        <w:t>：</w:t>
      </w:r>
    </w:p>
    <w:p>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val="zh-CN"/>
        </w:rPr>
        <w:t>我方</w:t>
      </w:r>
      <w:r>
        <w:rPr>
          <w:rFonts w:hint="eastAsia" w:ascii="仿宋" w:hAnsi="仿宋" w:eastAsia="仿宋" w:cs="仿宋"/>
          <w:color w:val="auto"/>
          <w:kern w:val="0"/>
          <w:sz w:val="24"/>
          <w:highlight w:val="none"/>
          <w:u w:val="single"/>
          <w:lang w:val="zh-CN"/>
        </w:rPr>
        <w:t xml:space="preserve">                         </w:t>
      </w:r>
      <w:r>
        <w:rPr>
          <w:rFonts w:hint="eastAsia" w:ascii="仿宋" w:hAnsi="仿宋" w:eastAsia="仿宋" w:cs="仿宋"/>
          <w:color w:val="auto"/>
          <w:sz w:val="24"/>
          <w:highlight w:val="none"/>
        </w:rPr>
        <w:t>(投标人全称)是中华人民共和国依法登记注册的合法企业，</w:t>
      </w:r>
      <w:r>
        <w:rPr>
          <w:rFonts w:hint="eastAsia" w:ascii="仿宋" w:hAnsi="仿宋" w:eastAsia="仿宋" w:cs="仿宋"/>
          <w:bCs/>
          <w:color w:val="auto"/>
          <w:sz w:val="24"/>
          <w:highlight w:val="none"/>
        </w:rPr>
        <w:t>在参加</w:t>
      </w:r>
      <w:r>
        <w:rPr>
          <w:rFonts w:hint="eastAsia" w:ascii="仿宋" w:hAnsi="仿宋" w:eastAsia="仿宋" w:cs="仿宋"/>
          <w:color w:val="auto"/>
          <w:sz w:val="24"/>
          <w:highlight w:val="none"/>
        </w:rPr>
        <w:t>你方组织的</w:t>
      </w:r>
      <w:r>
        <w:rPr>
          <w:rFonts w:hint="eastAsia" w:ascii="仿宋" w:hAnsi="仿宋" w:eastAsia="仿宋" w:cs="仿宋"/>
          <w:color w:val="auto"/>
          <w:sz w:val="24"/>
          <w:highlight w:val="none"/>
          <w:lang w:eastAsia="zh-CN"/>
        </w:rPr>
        <w:t>余杭街道2023年区域性微型消防救援站服务外包项目</w:t>
      </w:r>
      <w:r>
        <w:rPr>
          <w:rFonts w:hint="eastAsia" w:ascii="仿宋" w:hAnsi="仿宋" w:eastAsia="仿宋" w:cs="仿宋"/>
          <w:color w:val="auto"/>
          <w:sz w:val="24"/>
          <w:highlight w:val="none"/>
        </w:rPr>
        <w:t>【招标编号：</w:t>
      </w:r>
      <w:r>
        <w:rPr>
          <w:rFonts w:hint="eastAsia" w:ascii="仿宋" w:hAnsi="仿宋" w:eastAsia="仿宋" w:cs="仿宋"/>
          <w:color w:val="auto"/>
          <w:sz w:val="24"/>
          <w:highlight w:val="none"/>
          <w:lang w:eastAsia="zh-CN"/>
        </w:rPr>
        <w:t>TKZXCG-2023-034-1</w:t>
      </w:r>
      <w:r>
        <w:rPr>
          <w:rFonts w:hint="eastAsia" w:ascii="仿宋" w:hAnsi="仿宋" w:eastAsia="仿宋" w:cs="仿宋"/>
          <w:color w:val="auto"/>
          <w:sz w:val="24"/>
          <w:highlight w:val="none"/>
        </w:rPr>
        <w:t>】</w:t>
      </w:r>
      <w:r>
        <w:rPr>
          <w:rFonts w:hint="eastAsia" w:ascii="仿宋" w:hAnsi="仿宋" w:eastAsia="仿宋" w:cs="仿宋"/>
          <w:bCs/>
          <w:color w:val="auto"/>
          <w:sz w:val="24"/>
          <w:highlight w:val="none"/>
        </w:rPr>
        <w:t>投标活动中作如下说明：</w:t>
      </w:r>
      <w:r>
        <w:rPr>
          <w:rFonts w:hint="eastAsia" w:ascii="仿宋" w:hAnsi="仿宋" w:eastAsia="仿宋" w:cs="仿宋"/>
          <w:color w:val="auto"/>
          <w:sz w:val="24"/>
          <w:highlight w:val="none"/>
        </w:rPr>
        <w:t xml:space="preserve">我方所使用的“XX专用章”与法定名称章具有同等的法律效力，对使用“XX专用章”的行为予以完全承认，并愿意承担相应责任。   </w:t>
      </w:r>
    </w:p>
    <w:p>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特此说明。</w:t>
      </w:r>
    </w:p>
    <w:p>
      <w:pPr>
        <w:spacing w:line="360" w:lineRule="auto"/>
        <w:ind w:firstLine="494"/>
        <w:rPr>
          <w:rFonts w:hint="eastAsia" w:ascii="仿宋" w:hAnsi="仿宋" w:eastAsia="仿宋" w:cs="仿宋"/>
          <w:color w:val="auto"/>
          <w:sz w:val="24"/>
          <w:highlight w:val="none"/>
        </w:rPr>
      </w:pPr>
    </w:p>
    <w:p>
      <w:pPr>
        <w:spacing w:line="360" w:lineRule="auto"/>
        <w:ind w:firstLine="494"/>
        <w:rPr>
          <w:rFonts w:hint="eastAsia" w:ascii="仿宋" w:hAnsi="仿宋" w:eastAsia="仿宋" w:cs="仿宋"/>
          <w:color w:val="auto"/>
          <w:sz w:val="24"/>
          <w:highlight w:val="none"/>
        </w:rPr>
      </w:pPr>
    </w:p>
    <w:p>
      <w:pPr>
        <w:spacing w:line="360" w:lineRule="auto"/>
        <w:ind w:firstLine="494"/>
        <w:rPr>
          <w:rFonts w:hint="eastAsia" w:ascii="仿宋" w:hAnsi="仿宋" w:eastAsia="仿宋" w:cs="仿宋"/>
          <w:color w:val="auto"/>
          <w:sz w:val="24"/>
          <w:highlight w:val="none"/>
        </w:rPr>
      </w:pPr>
    </w:p>
    <w:p>
      <w:pPr>
        <w:spacing w:line="360" w:lineRule="auto"/>
        <w:ind w:firstLine="494"/>
        <w:rPr>
          <w:rFonts w:hint="eastAsia" w:ascii="仿宋" w:hAnsi="仿宋" w:eastAsia="仿宋" w:cs="仿宋"/>
          <w:color w:val="auto"/>
          <w:sz w:val="24"/>
          <w:highlight w:val="none"/>
        </w:rPr>
      </w:pPr>
    </w:p>
    <w:p>
      <w:pPr>
        <w:spacing w:line="360" w:lineRule="auto"/>
        <w:ind w:right="480" w:firstLine="4080" w:firstLineChars="170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投标单位（法定名称章）：</w:t>
      </w:r>
    </w:p>
    <w:p>
      <w:pPr>
        <w:ind w:right="1440" w:firstLine="494"/>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rPr>
          <w:rFonts w:hint="eastAsia" w:ascii="仿宋" w:hAnsi="仿宋" w:eastAsia="仿宋" w:cs="仿宋"/>
          <w:color w:val="auto"/>
          <w:sz w:val="24"/>
          <w:highlight w:val="none"/>
        </w:rPr>
      </w:pPr>
      <w:r>
        <w:rPr>
          <w:rFonts w:hint="eastAsia" w:ascii="仿宋" w:hAnsi="仿宋" w:eastAsia="仿宋" w:cs="仿宋"/>
          <w:b/>
          <w:bCs/>
          <w:color w:val="auto"/>
          <w:sz w:val="24"/>
          <w:highlight w:val="none"/>
        </w:rPr>
        <w:t>附：</w:t>
      </w:r>
    </w:p>
    <w:p>
      <w:pPr>
        <w:spacing w:line="360" w:lineRule="auto"/>
        <w:rPr>
          <w:rFonts w:hint="eastAsia" w:ascii="仿宋" w:hAnsi="仿宋" w:eastAsia="仿宋" w:cs="仿宋"/>
          <w:bCs/>
          <w:color w:val="auto"/>
          <w:sz w:val="24"/>
          <w:highlight w:val="none"/>
        </w:rPr>
      </w:pPr>
      <w:r>
        <w:rPr>
          <w:rFonts w:hint="eastAsia" w:ascii="仿宋" w:hAnsi="仿宋" w:eastAsia="仿宋" w:cs="仿宋"/>
          <w:b/>
          <w:bCs/>
          <w:color w:val="auto"/>
          <w:kern w:val="2"/>
          <w:sz w:val="24"/>
          <w:szCs w:val="24"/>
          <w:highlight w:val="none"/>
          <w:lang w:val="en-US" w:eastAsia="zh-CN" w:bidi="ar-SA"/>
        </w:rPr>
        <mc:AlternateContent>
          <mc:Choice Requires="wps">
            <w:drawing>
              <wp:anchor distT="0" distB="0" distL="114300" distR="11430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5080" t="4445" r="8255" b="15240"/>
                <wp:wrapNone/>
                <wp:docPr id="1"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rect id="Rectangle 17"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cc/4wdgAAAAK AQAADwAAAGRycy9kb3ducmV2LnhtbE2PMU/DMBSEdyT+g/WQ2KidFhoa4nQAFYmxTRe2l/iRBOLn KHbawK/HTGU83enuu3w7216caPSdYw3JQoEgrp3puNFwLHd3jyB8QDbYOyYN3+RhW1xf5ZgZd+Y9 nQ6hEbGEfYYa2hCGTEpft2TRL9xAHL0PN1oMUY6NNCOeY7nt5VKptbTYcVxocaDnluqvw2Q1VN3y iD/78lXZzW4V3ubyc3p/0fr2JlFPIALN4RKGP/yIDkVkqtzExotew32aRvSg4WGdgIiBjVqlIKro JIkCWeTy/4XiF1BLAwQUAAAACACHTuJAidqol/IBAAAjBAAADgAAAGRycy9lMm9Eb2MueG1srVNN k9MwDL0zw3/w+E6Thm0XMk33QCkXBnZY9geojpN4xl9juU3775Gd0v1gDz2QgyPZ8pPek7y6OxrN DjKgcrbh81nJmbTCtcr2DX/8vf3wiTOMYFvQzsqGnyTyu/X7d6vR17Jyg9OtDIxALNajb/gQo6+L AsUgDeDMeWnpsHPBQCQ39EUbYCR0o4uqLJfF6ELrgxMSkXY30yE/I4ZrAF3XKSE3TuyNtHFCDVJD JEo4KI98navtOiniz65DGZluODGNeaUkZO/SWqxXUPcB/KDEuQS4poRXnAwoS0kvUBuIwPZB/QNl lAgOXRdnwpliIpIVIRbz8pU2DwN4mbmQ1OgvouP/gxU/DveBqZYmgTMLhhr+i0QD22vJ5rdJn9Fj TWEP/j6cPSQzkT12waQ/0WDHrOnpoqk8RiZos7otb26WC84EnVXV4uNyvkioxdN1HzB+k86wZDQ8 UP6sJRy+Y5xC/4akbOi0ardK6+yEfvdFB3YAavA2f2f0F2HasrHhnxdVKgRoajuaFjKNJ+Zo+5zv xQ18Dlzm7y3gVNgGcJgKyAgpDGqjogzZGiS0X23L4smTupYeFU/FGNlypiW9wWTlyAhKXxNJ2mlL EqbOTL1I1s61J+rl3gfVD6TjPNebTmh2suDnOU/D+dzPSE9ve/0HUEsDBAoAAAAAAIdO4kAAAAAA AAAAAAAAAAAGAAAAX3JlbHMvUEsDBBQAAAAIAIdO4kCKFGY80QAAAJQBAAALAAAAX3JlbHMvLnJl bHOlkMFqwzAMhu+DvYPRfXGawxijTi+j0GvpHsDYimMaW0Yy2fr28w6DZfS2o36h7xP//vCZFrUi S6RsYNf1oDA78jEHA++X49MLKKk2e7tQRgM3FDiMjw/7My62tiOZYxHVKFkMzLWWV63FzZisdFQw t81EnGxtIwddrLvagHro+2fNvxkwbpjq5A3wyQ+gLrfSzH/YKTomoal2jpKmaYruHlUHtmWO7sg2 4Ru5RrMcsBrwLBoHalnXfgR9X7/7p97TRz7jutV+h4zrj1dvuhy/AFBLAwQUAAAACACHTuJAfubl IPcAAADhAQAAEwAAAFtDb250ZW50X1R5cGVzXS54bWyVkUFOwzAQRfdI3MHyFiVOu0AIJemCtEtA qBxgZE8Si2RseUxob4+TthtEkVjaM/+/J7vcHMZBTBjYOqrkKi+kQNLOWOoq+b7fZQ9ScAQyMDjC Sh6R5aa+vSn3R48sUpq4kn2M/lEp1j2OwLnzSGnSujBCTMfQKQ/6AzpU66K4V9pRRIpZnDtkXTbY wucQxfaQrk8mAQeW4um0OLMqCd4PVkNMpmoi84OSnQl5Si473FvPd0lDql8J8+Q64Jx7SU8TrEHx CiE+w5g0lAmsjPuigFP+d8lsOXLm2tZqzJvATYq94XSxutaOa9c4/d/y7ZK6dKvlg+pvUEsBAhQA FAAAAAgAh07iQH7m5SD3AAAA4QEAABMAAAAAAAAAAQAgAAAAYwQAAFtDb250ZW50X1R5cGVzXS54 bWxQSwECFAAKAAAAAACHTuJAAAAAAAAAAAAAAAAABgAAAAAAAAAAABAAAABFAwAAX3JlbHMvUEsB AhQAFAAAAAgAh07iQIoUZjzRAAAAlAEAAAsAAAAAAAAAAQAgAAAAaQMAAF9yZWxzLy5yZWxzUEsB AhQACgAAAAAAh07iQAAAAAAAAAAAAAAAAAQAAAAAAAAAAAAQAAAAAAAAAGRycy9QSwECFAAUAAAA CACHTuJAcc/4wdgAAAAKAQAADwAAAAAAAAABACAAAAAiAAAAZHJzL2Rvd25yZXYueG1sUEsBAhQA FAAAAAgAh07iQInaqJfyAQAAIwQAAA4AAAAAAAAAAQAgAAAAJwEAAGRycy9lMm9Eb2MueG1sUEsF BgAAAAAGAAYAWQEAAIsFAAAAAA== ">
                <v:fill on="t" focussize="0,0"/>
                <v:stroke color="#000000" joinstyle="miter"/>
                <v:imagedata o:title=""/>
                <o:lock v:ext="edit" aspectratio="f"/>
              </v:rect>
            </w:pict>
          </mc:Fallback>
        </mc:AlternateContent>
      </w:r>
      <w:r>
        <w:rPr>
          <w:rFonts w:hint="eastAsia" w:ascii="仿宋" w:hAnsi="仿宋" w:eastAsia="仿宋" w:cs="仿宋"/>
          <w:b/>
          <w:bCs/>
          <w:color w:val="auto"/>
          <w:kern w:val="2"/>
          <w:sz w:val="24"/>
          <w:szCs w:val="24"/>
          <w:highlight w:val="none"/>
          <w:lang w:val="en-US" w:eastAsia="zh-CN" w:bidi="ar-SA"/>
        </w:rPr>
        <mc:AlternateContent>
          <mc:Choice Requires="wps">
            <w:drawing>
              <wp:anchor distT="0" distB="0" distL="114300" distR="11430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5080" t="4445" r="13970" b="15240"/>
                <wp:wrapNone/>
                <wp:docPr id="2"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ndOwWNgAAAAK AQAADwAAAGRycy9kb3ducmV2LnhtbE2PwU6DQBCG7ya+w2ZMvLW7ICVKWXrQ1MRjSy/eBtgCys4S dmnRp3c86e2fzJd/vsl3ix3ExUy+d6QhWisQhmrX9NRqOJX71SMIH5AaHBwZDV/Gw664vckxa9yV DuZyDK3gEvIZauhCGDMpfd0Zi37tRkO8O7vJYuBxamUz4ZXL7SBjpVJpsSe+0OFonjtTfx5nq6Hq 4xN+H8pXZZ/2D+FtKT/m9xet7+8itQURzBL+YPjVZ3Uo2KlyMzVeDBpWUZIwqiFVKQgGEhVzqDhE mw3IIpf/Xyh+AFBLAwQUAAAACACHTuJAzbf0BfIBAAAjBAAADgAAAGRycy9lMm9Eb2MueG1srVNN k9MwDL0zw3/w+M6mDbSwmaZ7oJQLAzss/ADVVhLP+Gtst2n/PbLT7X7AoQdycCRbftJ7kld3R6PZ AUNUzrZ8fjPjDK1wUtm+5b9/bd994iwmsBK0s9jyE0Z+t377ZjX6Bms3OC0xMAKxsRl9y4eUfFNV UQxoIN44j5YOOxcMJHJDX8kAI6EbXdWz2bIaXZA+OIEx0u5mOuRnxHANoOs6JXDjxN6gTRNqQA2J KMVB+cjXpdquQ5F+dF3ExHTLiWkqKyUhe5fXar2Cpg/gByXOJcA1JbziZEBZSnqB2kACtg/qLyij RHDRdelGOFNNRIoixGI+e6XNwwAeCxeSOvqL6PH/wYrvh/vAlGx5zZkFQw3/SaKB7TWy+TLrM/rY UNiDvw9nL5KZyR67YPKfaLBj0fR00RSPiQnarJcfPt4uSG5BZ3W9eL+cLzJq9XTdh5i+ojMsGy0P lL9oCYdvMU2hjyE5W3Raya3Sujih333WgR2AGrwt3xn9RZi2bGz57aJeUCFAU9vRtJBpPDGPti/5 XtyIz4Fn5fsXcC5sA3GYCigIOQwaoxKGYg0I8ouVLJ08qWvpUfFcjEHJmUZ6g9kqkQmUviaStNOW JMydmXqRrZ2TJ+rl3gfVD6TjvNSbT2h2iuDnOc/D+dwvSE9ve/0HUEsDBAoAAAAAAIdO4kAAAAAA AAAAAAAAAAAGAAAAX3JlbHMvUEsDBBQAAAAIAIdO4kCKFGY80QAAAJQBAAALAAAAX3JlbHMvLnJl bHOlkMFqwzAMhu+DvYPRfXGawxijTi+j0GvpHsDYimMaW0Yy2fr28w6DZfS2o36h7xP//vCZFrUi S6RsYNf1oDA78jEHA++X49MLKKk2e7tQRgM3FDiMjw/7My62tiOZYxHVKFkMzLWWV63FzZisdFQw t81EnGxtIwddrLvagHro+2fNvxkwbpjq5A3wyQ+gLrfSzH/YKTomoal2jpKmaYruHlUHtmWO7sg2 4Ru5RrMcsBrwLBoHalnXfgR9X7/7p97TRz7jutV+h4zrj1dvuhy/AFBLAwQUAAAACACHTuJAfubl IPcAAADhAQAAEwAAAFtDb250ZW50X1R5cGVzXS54bWyVkUFOwzAQRfdI3MHyFiVOu0AIJemCtEtA qBxgZE8Si2RseUxob4+TthtEkVjaM/+/J7vcHMZBTBjYOqrkKi+kQNLOWOoq+b7fZQ9ScAQyMDjC Sh6R5aa+vSn3R48sUpq4kn2M/lEp1j2OwLnzSGnSujBCTMfQKQ/6AzpU66K4V9pRRIpZnDtkXTbY wucQxfaQrk8mAQeW4um0OLMqCd4PVkNMpmoi84OSnQl5Si473FvPd0lDql8J8+Q64Jx7SU8TrEHx CiE+w5g0lAmsjPuigFP+d8lsOXLm2tZqzJvATYq94XSxutaOa9c4/d/y7ZK6dKvlg+pvUEsBAhQA FAAAAAgAh07iQH7m5SD3AAAA4QEAABMAAAAAAAAAAQAgAAAAYwQAAFtDb250ZW50X1R5cGVzXS54 bWxQSwECFAAKAAAAAACHTuJAAAAAAAAAAAAAAAAABgAAAAAAAAAAABAAAABFAwAAX3JlbHMvUEsB AhQAFAAAAAgAh07iQIoUZjzRAAAAlAEAAAsAAAAAAAAAAQAgAAAAaQMAAF9yZWxzLy5yZWxzUEsB AhQACgAAAAAAh07iQAAAAAAAAAAAAAAAAAQAAAAAAAAAAAAQAAAAAAAAAGRycy9QSwECFAAUAAAA CACHTuJAndOwWNgAAAAKAQAADwAAAAAAAAABACAAAAAiAAAAZHJzL2Rvd25yZXYueG1sUEsBAhQA FAAAAAgAh07iQM239AXyAQAAIwQAAA4AAAAAAAAAAQAgAAAAJwEAAGRycy9lMm9Eb2MueG1sUEsF BgAAAAAGAAYAWQEAAIsFAAAAAA== ">
                <v:fill on="t" focussize="0,0"/>
                <v:stroke color="#000000" joinstyle="miter"/>
                <v:imagedata o:title=""/>
                <o:lock v:ext="edit" aspectratio="f"/>
              </v:rect>
            </w:pict>
          </mc:Fallback>
        </mc:AlternateContent>
      </w:r>
      <w:r>
        <w:rPr>
          <w:rFonts w:hint="eastAsia" w:ascii="仿宋" w:hAnsi="仿宋" w:eastAsia="仿宋" w:cs="仿宋"/>
          <w:color w:val="auto"/>
          <w:sz w:val="24"/>
          <w:highlight w:val="none"/>
        </w:rPr>
        <w:t>投标单位法定名称章（印模）                投标单位“XX专用章”（印模）</w:t>
      </w: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kern w:val="0"/>
          <w:sz w:val="32"/>
          <w:szCs w:val="32"/>
          <w:highlight w:val="none"/>
          <w:lang w:val="zh-CN"/>
        </w:rPr>
      </w:pPr>
      <w:r>
        <w:rPr>
          <w:rFonts w:hint="eastAsia" w:ascii="仿宋" w:hAnsi="仿宋" w:eastAsia="仿宋" w:cs="仿宋"/>
          <w:b/>
          <w:color w:val="auto"/>
          <w:spacing w:val="6"/>
          <w:sz w:val="32"/>
          <w:szCs w:val="32"/>
          <w:highlight w:val="none"/>
        </w:rPr>
        <w:t>附件5：</w:t>
      </w:r>
      <w:r>
        <w:rPr>
          <w:rFonts w:hint="eastAsia" w:ascii="仿宋" w:hAnsi="仿宋" w:eastAsia="仿宋" w:cs="仿宋"/>
          <w:b/>
          <w:color w:val="auto"/>
          <w:kern w:val="0"/>
          <w:sz w:val="32"/>
          <w:szCs w:val="32"/>
          <w:highlight w:val="none"/>
          <w:lang w:val="zh-CN"/>
        </w:rPr>
        <w:t>联合协议</w:t>
      </w:r>
    </w:p>
    <w:p>
      <w:pPr>
        <w:widowControl/>
        <w:spacing w:line="360" w:lineRule="auto"/>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（以联合体形式投标的，提供联合协议；本项目不接受联合体投标或者投标人不以联合体形式投标的，则不需要提供）</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（联合体所有成员名称）</w:t>
      </w:r>
      <w:r>
        <w:rPr>
          <w:rFonts w:hint="eastAsia" w:ascii="仿宋" w:hAnsi="仿宋" w:eastAsia="仿宋" w:cs="仿宋"/>
          <w:color w:val="auto"/>
          <w:kern w:val="0"/>
          <w:sz w:val="24"/>
          <w:highlight w:val="none"/>
        </w:rPr>
        <w:t>自愿</w:t>
      </w:r>
      <w:r>
        <w:rPr>
          <w:rFonts w:hint="eastAsia" w:ascii="仿宋" w:hAnsi="仿宋" w:eastAsia="仿宋" w:cs="仿宋"/>
          <w:color w:val="auto"/>
          <w:kern w:val="0"/>
          <w:sz w:val="24"/>
          <w:highlight w:val="none"/>
          <w:lang w:val="zh-CN"/>
        </w:rPr>
        <w:t>组成一个联合体，以一个投标人的身份</w:t>
      </w:r>
      <w:r>
        <w:rPr>
          <w:rFonts w:hint="eastAsia" w:ascii="仿宋" w:hAnsi="仿宋" w:eastAsia="仿宋" w:cs="仿宋"/>
          <w:color w:val="auto"/>
          <w:kern w:val="0"/>
          <w:sz w:val="24"/>
          <w:highlight w:val="none"/>
        </w:rPr>
        <w:t>参加</w:t>
      </w:r>
      <w:r>
        <w:rPr>
          <w:rFonts w:hint="eastAsia" w:ascii="仿宋" w:hAnsi="仿宋" w:eastAsia="仿宋" w:cs="仿宋"/>
          <w:color w:val="auto"/>
          <w:sz w:val="24"/>
          <w:highlight w:val="none"/>
          <w:lang w:eastAsia="zh-CN"/>
        </w:rPr>
        <w:t>余杭街道2023年区域性微型消防救援站服务外包项目</w:t>
      </w:r>
      <w:r>
        <w:rPr>
          <w:rFonts w:hint="eastAsia" w:ascii="仿宋" w:hAnsi="仿宋" w:eastAsia="仿宋" w:cs="仿宋"/>
          <w:color w:val="auto"/>
          <w:sz w:val="24"/>
          <w:highlight w:val="none"/>
        </w:rPr>
        <w:t>【招标编号：</w:t>
      </w:r>
      <w:r>
        <w:rPr>
          <w:rFonts w:hint="eastAsia" w:ascii="仿宋" w:hAnsi="仿宋" w:eastAsia="仿宋" w:cs="仿宋"/>
          <w:color w:val="auto"/>
          <w:sz w:val="24"/>
          <w:highlight w:val="none"/>
          <w:lang w:eastAsia="zh-CN"/>
        </w:rPr>
        <w:t>TKZXCG-2023-034-1</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 xml:space="preserve">投标。 </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一、各方一致决定，</w:t>
      </w:r>
      <w:r>
        <w:rPr>
          <w:rFonts w:hint="eastAsia" w:ascii="仿宋" w:hAnsi="仿宋" w:eastAsia="仿宋" w:cs="仿宋"/>
          <w:color w:val="auto"/>
          <w:kern w:val="0"/>
          <w:sz w:val="24"/>
          <w:highlight w:val="none"/>
          <w:u w:val="single"/>
        </w:rPr>
        <w:t>（某联合体成员名称）</w:t>
      </w:r>
      <w:r>
        <w:rPr>
          <w:rFonts w:hint="eastAsia" w:ascii="仿宋" w:hAnsi="仿宋" w:eastAsia="仿宋" w:cs="仿宋"/>
          <w:color w:val="auto"/>
          <w:kern w:val="0"/>
          <w:sz w:val="24"/>
          <w:highlight w:val="none"/>
        </w:rPr>
        <w:t>为联合体</w:t>
      </w:r>
      <w:r>
        <w:rPr>
          <w:rFonts w:hint="eastAsia" w:ascii="仿宋" w:hAnsi="仿宋" w:eastAsia="仿宋" w:cs="仿宋"/>
          <w:color w:val="auto"/>
          <w:kern w:val="0"/>
          <w:sz w:val="24"/>
          <w:highlight w:val="none"/>
          <w:lang w:val="zh-CN"/>
        </w:rPr>
        <w:t>牵头人</w:t>
      </w:r>
      <w:r>
        <w:rPr>
          <w:rFonts w:hint="eastAsia" w:ascii="仿宋" w:hAnsi="仿宋" w:eastAsia="仿宋" w:cs="仿宋"/>
          <w:color w:val="auto"/>
          <w:sz w:val="24"/>
          <w:highlight w:val="none"/>
        </w:rPr>
        <w:t>，代表所有联合体成员负责投标和合同实施阶段的主办、协调工作</w:t>
      </w:r>
      <w:r>
        <w:rPr>
          <w:rFonts w:hint="eastAsia" w:ascii="仿宋" w:hAnsi="仿宋" w:eastAsia="仿宋" w:cs="仿宋"/>
          <w:color w:val="auto"/>
          <w:kern w:val="0"/>
          <w:sz w:val="24"/>
          <w:highlight w:val="none"/>
          <w:lang w:val="zh-CN"/>
        </w:rPr>
        <w:t>。</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w:t>
      </w:r>
      <w:r>
        <w:rPr>
          <w:rFonts w:hint="eastAsia" w:ascii="仿宋" w:hAnsi="仿宋" w:eastAsia="仿宋" w:cs="仿宋"/>
          <w:color w:val="auto"/>
          <w:sz w:val="24"/>
          <w:highlight w:val="none"/>
        </w:rPr>
        <w:t>所有联合体成员各方签署授权书，授权书载明的</w:t>
      </w:r>
      <w:r>
        <w:rPr>
          <w:rFonts w:hint="eastAsia" w:ascii="仿宋" w:hAnsi="仿宋" w:eastAsia="仿宋" w:cs="仿宋"/>
          <w:color w:val="auto"/>
          <w:kern w:val="0"/>
          <w:sz w:val="24"/>
          <w:highlight w:val="none"/>
          <w:lang w:val="zh-CN"/>
        </w:rPr>
        <w:t>授权代表根据招标文件规定及投标内容而对采购人、采购代理机构所作的任何合法承诺，包括书面澄清及相应等均对联合投标各方产生约束力。</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三、本次联合投标中，分工如下：</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（联合体成员1）</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（联合体成员2）</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四、联合体成员中小企业合同份额。</w:t>
      </w:r>
    </w:p>
    <w:p>
      <w:pPr>
        <w:snapToGrid w:val="0"/>
        <w:spacing w:line="360" w:lineRule="auto"/>
        <w:ind w:firstLine="576"/>
        <w:rPr>
          <w:rFonts w:hint="eastAsia"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lang w:val="zh-CN"/>
        </w:rPr>
        <w:t>1、</w:t>
      </w:r>
      <w:r>
        <w:rPr>
          <w:rFonts w:hint="eastAsia" w:ascii="仿宋" w:hAnsi="仿宋" w:eastAsia="仿宋" w:cs="仿宋"/>
          <w:color w:val="auto"/>
          <w:kern w:val="0"/>
          <w:sz w:val="24"/>
          <w:highlight w:val="none"/>
          <w:u w:val="single"/>
        </w:rPr>
        <w:t>（</w:t>
      </w:r>
      <w:bookmarkStart w:id="515" w:name="_Hlk101131882"/>
      <w:r>
        <w:rPr>
          <w:rFonts w:hint="eastAsia" w:ascii="仿宋" w:hAnsi="仿宋" w:eastAsia="仿宋" w:cs="仿宋"/>
          <w:color w:val="auto"/>
          <w:kern w:val="0"/>
          <w:sz w:val="24"/>
          <w:highlight w:val="none"/>
          <w:u w:val="single"/>
        </w:rPr>
        <w:t>联合体成员X,……</w:t>
      </w:r>
      <w:bookmarkEnd w:id="515"/>
      <w:r>
        <w:rPr>
          <w:rFonts w:hint="eastAsia" w:ascii="仿宋" w:hAnsi="仿宋" w:eastAsia="仿宋" w:cs="仿宋"/>
          <w:color w:val="auto"/>
          <w:kern w:val="0"/>
          <w:sz w:val="24"/>
          <w:highlight w:val="none"/>
          <w:u w:val="single"/>
        </w:rPr>
        <w:t>）</w:t>
      </w:r>
      <w:r>
        <w:rPr>
          <w:rFonts w:hint="eastAsia" w:ascii="仿宋" w:hAnsi="仿宋" w:eastAsia="仿宋" w:cs="仿宋"/>
          <w:color w:val="auto"/>
          <w:kern w:val="0"/>
          <w:sz w:val="24"/>
          <w:highlight w:val="none"/>
        </w:rPr>
        <w:t>提供的服务由小微企业承接，其合同份额占到合同总金额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w:t>
      </w:r>
      <w:bookmarkStart w:id="516" w:name="_Hlk101133598"/>
      <w:r>
        <w:rPr>
          <w:rFonts w:hint="eastAsia" w:ascii="仿宋" w:hAnsi="仿宋" w:eastAsia="仿宋" w:cs="仿宋"/>
          <w:b/>
          <w:color w:val="auto"/>
          <w:kern w:val="0"/>
          <w:sz w:val="24"/>
          <w:highlight w:val="none"/>
          <w:lang w:val="zh-CN"/>
        </w:rPr>
        <w:t>未预留份额专门面向中小企业采购的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color w:val="auto"/>
          <w:sz w:val="24"/>
          <w:highlight w:val="none"/>
        </w:rPr>
        <w:t>拟享受以上价格扣除政策的，填写有关内容。</w:t>
      </w:r>
      <w:bookmarkEnd w:id="516"/>
      <w:r>
        <w:rPr>
          <w:rFonts w:hint="eastAsia" w:ascii="仿宋" w:hAnsi="仿宋" w:eastAsia="仿宋" w:cs="仿宋"/>
          <w:b/>
          <w:color w:val="auto"/>
          <w:kern w:val="0"/>
          <w:sz w:val="24"/>
          <w:highlight w:val="none"/>
          <w:lang w:val="zh-CN"/>
        </w:rPr>
        <w:t>）</w:t>
      </w:r>
    </w:p>
    <w:p>
      <w:pPr>
        <w:spacing w:line="360" w:lineRule="auto"/>
        <w:ind w:firstLine="480" w:firstLineChars="200"/>
        <w:rPr>
          <w:rFonts w:hint="eastAsia" w:ascii="仿宋" w:hAnsi="仿宋" w:eastAsia="仿宋" w:cs="仿宋"/>
          <w:b/>
          <w:bCs/>
          <w:color w:val="auto"/>
          <w:kern w:val="0"/>
          <w:sz w:val="24"/>
          <w:highlight w:val="none"/>
          <w:lang w:val="zh-CN"/>
        </w:rPr>
      </w:pPr>
      <w:r>
        <w:rPr>
          <w:rFonts w:hint="eastAsia" w:ascii="仿宋" w:hAnsi="仿宋" w:eastAsia="仿宋" w:cs="仿宋"/>
          <w:color w:val="auto"/>
          <w:sz w:val="24"/>
          <w:highlight w:val="none"/>
        </w:rPr>
        <w:t>2、</w:t>
      </w:r>
      <w:bookmarkStart w:id="517" w:name="_Hlk101133173"/>
      <w:r>
        <w:rPr>
          <w:rFonts w:hint="eastAsia" w:ascii="仿宋" w:hAnsi="仿宋" w:eastAsia="仿宋" w:cs="仿宋"/>
          <w:color w:val="auto"/>
          <w:sz w:val="24"/>
          <w:highlight w:val="none"/>
        </w:rPr>
        <w:t>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color w:val="auto"/>
          <w:kern w:val="0"/>
          <w:sz w:val="24"/>
          <w:highlight w:val="none"/>
          <w:lang w:val="zh-CN"/>
        </w:rPr>
        <w:t>）</w:t>
      </w:r>
      <w:bookmarkEnd w:id="517"/>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五、如果中标，</w:t>
      </w:r>
      <w:r>
        <w:rPr>
          <w:rFonts w:hint="eastAsia" w:ascii="仿宋" w:hAnsi="仿宋" w:eastAsia="仿宋" w:cs="仿宋"/>
          <w:color w:val="auto"/>
          <w:sz w:val="24"/>
          <w:highlight w:val="none"/>
        </w:rPr>
        <w:t>联合体各成员方共同与采购人签订合同，并就采购合同约定的事项对采购人承担连带责任。</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六、有关本次联合投标的其他事宜：</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1、联合体各方不再单独参加或者与其他供应商另外组成联合体参加同一合同项下的政府采购活动。</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2、联合体中有同类资质的各方按照联合体分工承担相同工作的，按照资质等级较低的供应商确定资质等级。</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3、本协议提交采购人、采购代理机构后，联合体各方不得以任何形式对上述内容进行修改或撤销。</w:t>
      </w:r>
    </w:p>
    <w:p>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pPr>
        <w:snapToGrid w:val="0"/>
        <w:spacing w:line="360" w:lineRule="auto"/>
        <w:ind w:right="960"/>
        <w:jc w:val="center"/>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w:t>
      </w:r>
    </w:p>
    <w:p>
      <w:pPr>
        <w:snapToGrid w:val="0"/>
        <w:spacing w:line="360" w:lineRule="auto"/>
        <w:jc w:val="righ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  年  月   日</w:t>
      </w:r>
    </w:p>
    <w:p>
      <w:pPr>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snapToGrid w:val="0"/>
        <w:spacing w:line="360" w:lineRule="auto"/>
        <w:ind w:firstLine="3666" w:firstLineChars="1100"/>
        <w:rPr>
          <w:rFonts w:hint="eastAsia" w:ascii="仿宋" w:hAnsi="仿宋" w:eastAsia="仿宋" w:cs="仿宋"/>
          <w:b/>
          <w:color w:val="auto"/>
          <w:spacing w:val="6"/>
          <w:sz w:val="32"/>
          <w:szCs w:val="32"/>
          <w:highlight w:val="none"/>
        </w:rPr>
      </w:pPr>
    </w:p>
    <w:p>
      <w:pPr>
        <w:widowControl/>
        <w:adjustRightInd/>
        <w:jc w:val="left"/>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br w:type="page"/>
      </w:r>
    </w:p>
    <w:p>
      <w:pPr>
        <w:snapToGrid w:val="0"/>
        <w:spacing w:line="360" w:lineRule="auto"/>
        <w:ind w:firstLine="3666" w:firstLineChars="1100"/>
        <w:rPr>
          <w:rFonts w:hint="eastAsia" w:ascii="仿宋" w:hAnsi="仿宋" w:eastAsia="仿宋" w:cs="仿宋"/>
          <w:b/>
          <w:color w:val="auto"/>
          <w:kern w:val="0"/>
          <w:sz w:val="32"/>
          <w:szCs w:val="32"/>
          <w:highlight w:val="none"/>
        </w:rPr>
      </w:pPr>
      <w:r>
        <w:rPr>
          <w:rFonts w:hint="eastAsia" w:ascii="仿宋" w:hAnsi="仿宋" w:eastAsia="仿宋" w:cs="仿宋"/>
          <w:b/>
          <w:color w:val="auto"/>
          <w:spacing w:val="6"/>
          <w:sz w:val="32"/>
          <w:szCs w:val="32"/>
          <w:highlight w:val="none"/>
        </w:rPr>
        <w:t>附件6：</w:t>
      </w:r>
      <w:r>
        <w:rPr>
          <w:rFonts w:hint="eastAsia" w:ascii="仿宋" w:hAnsi="仿宋" w:eastAsia="仿宋" w:cs="仿宋"/>
          <w:b/>
          <w:color w:val="auto"/>
          <w:kern w:val="0"/>
          <w:sz w:val="32"/>
          <w:szCs w:val="32"/>
          <w:highlight w:val="none"/>
        </w:rPr>
        <w:t>分包意向协议</w:t>
      </w:r>
    </w:p>
    <w:p>
      <w:pPr>
        <w:widowControl/>
        <w:spacing w:line="360" w:lineRule="auto"/>
        <w:ind w:firstLine="120" w:firstLineChars="5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b/>
          <w:color w:val="auto"/>
          <w:sz w:val="24"/>
          <w:highlight w:val="none"/>
        </w:rPr>
        <w:t>中标后以分包方式履行合同的，提供分包意向协议；采购人不同意分包或者投标人中标后不以分包方式履行合同的，则不需要提供。</w:t>
      </w:r>
      <w:r>
        <w:rPr>
          <w:rFonts w:hint="eastAsia" w:ascii="仿宋" w:hAnsi="仿宋" w:eastAsia="仿宋" w:cs="仿宋"/>
          <w:color w:val="auto"/>
          <w:sz w:val="24"/>
          <w:highlight w:val="none"/>
        </w:rPr>
        <w:t>）</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若成为</w:t>
      </w:r>
      <w:r>
        <w:rPr>
          <w:rFonts w:hint="eastAsia" w:ascii="仿宋" w:hAnsi="仿宋" w:eastAsia="仿宋" w:cs="仿宋"/>
          <w:color w:val="auto"/>
          <w:sz w:val="24"/>
          <w:highlight w:val="none"/>
          <w:lang w:eastAsia="zh-CN"/>
        </w:rPr>
        <w:t>余杭街道2023年区域性微型消防救援站服务外包项目</w:t>
      </w:r>
      <w:r>
        <w:rPr>
          <w:rFonts w:hint="eastAsia" w:ascii="仿宋" w:hAnsi="仿宋" w:eastAsia="仿宋" w:cs="仿宋"/>
          <w:color w:val="auto"/>
          <w:sz w:val="24"/>
          <w:highlight w:val="none"/>
        </w:rPr>
        <w:t>【招标编号：</w:t>
      </w:r>
      <w:r>
        <w:rPr>
          <w:rFonts w:hint="eastAsia" w:ascii="仿宋" w:hAnsi="仿宋" w:eastAsia="仿宋" w:cs="仿宋"/>
          <w:color w:val="auto"/>
          <w:sz w:val="24"/>
          <w:highlight w:val="none"/>
          <w:lang w:eastAsia="zh-CN"/>
        </w:rPr>
        <w:t>TKZXCG-2023-034-1</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的中标供应商，将依法采取分包方式履行合同。</w:t>
      </w: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rPr>
        <w:t>与</w:t>
      </w:r>
      <w:r>
        <w:rPr>
          <w:rFonts w:hint="eastAsia" w:ascii="仿宋" w:hAnsi="仿宋" w:eastAsia="仿宋" w:cs="仿宋"/>
          <w:color w:val="auto"/>
          <w:kern w:val="0"/>
          <w:sz w:val="24"/>
          <w:highlight w:val="none"/>
          <w:u w:val="single"/>
        </w:rPr>
        <w:t>（所有分包供应商名称）</w:t>
      </w:r>
      <w:r>
        <w:rPr>
          <w:rFonts w:hint="eastAsia" w:ascii="仿宋" w:hAnsi="仿宋" w:eastAsia="仿宋" w:cs="仿宋"/>
          <w:color w:val="auto"/>
          <w:kern w:val="0"/>
          <w:sz w:val="24"/>
          <w:highlight w:val="none"/>
        </w:rPr>
        <w:t>达成分包意向协议</w:t>
      </w:r>
      <w:r>
        <w:rPr>
          <w:rFonts w:hint="eastAsia" w:ascii="仿宋" w:hAnsi="仿宋" w:eastAsia="仿宋" w:cs="仿宋"/>
          <w:color w:val="auto"/>
          <w:kern w:val="0"/>
          <w:sz w:val="24"/>
          <w:highlight w:val="none"/>
          <w:lang w:val="zh-CN"/>
        </w:rPr>
        <w:t xml:space="preserve">。 </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一、分包标的及数量</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将</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u w:val="single"/>
        </w:rPr>
        <w:t xml:space="preserve"> XX工作内容   </w:t>
      </w:r>
      <w:r>
        <w:rPr>
          <w:rFonts w:hint="eastAsia" w:ascii="仿宋" w:hAnsi="仿宋" w:eastAsia="仿宋" w:cs="仿宋"/>
          <w:color w:val="auto"/>
          <w:sz w:val="24"/>
          <w:highlight w:val="none"/>
        </w:rPr>
        <w:t>分包给</w:t>
      </w:r>
      <w:r>
        <w:rPr>
          <w:rFonts w:hint="eastAsia" w:ascii="仿宋" w:hAnsi="仿宋" w:eastAsia="仿宋" w:cs="仿宋"/>
          <w:color w:val="auto"/>
          <w:kern w:val="0"/>
          <w:sz w:val="24"/>
          <w:highlight w:val="none"/>
          <w:u w:val="single"/>
        </w:rPr>
        <w:t>（分包供应商1名称）</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u w:val="single"/>
        </w:rPr>
        <w:t>（分包供应商2名称），</w:t>
      </w:r>
      <w:r>
        <w:rPr>
          <w:rFonts w:hint="eastAsia" w:ascii="仿宋" w:hAnsi="仿宋" w:eastAsia="仿宋" w:cs="仿宋"/>
          <w:color w:val="auto"/>
          <w:kern w:val="0"/>
          <w:sz w:val="24"/>
          <w:highlight w:val="none"/>
          <w:lang w:val="zh-CN"/>
        </w:rPr>
        <w:t>具备承</w:t>
      </w:r>
      <w:r>
        <w:rPr>
          <w:rFonts w:hint="eastAsia" w:ascii="仿宋" w:hAnsi="仿宋" w:eastAsia="仿宋" w:cs="仿宋"/>
          <w:color w:val="auto"/>
          <w:kern w:val="0"/>
          <w:sz w:val="24"/>
          <w:highlight w:val="none"/>
        </w:rPr>
        <w:t>担</w:t>
      </w:r>
      <w:r>
        <w:rPr>
          <w:rFonts w:hint="eastAsia" w:ascii="仿宋" w:hAnsi="仿宋" w:eastAsia="仿宋" w:cs="仿宋"/>
          <w:color w:val="auto"/>
          <w:kern w:val="0"/>
          <w:sz w:val="24"/>
          <w:highlight w:val="none"/>
          <w:u w:val="single"/>
          <w:lang w:val="zh-CN"/>
        </w:rPr>
        <w:t>XX工作内容</w:t>
      </w:r>
      <w:r>
        <w:rPr>
          <w:rFonts w:hint="eastAsia" w:ascii="仿宋" w:hAnsi="仿宋" w:eastAsia="仿宋" w:cs="仿宋"/>
          <w:color w:val="auto"/>
          <w:kern w:val="0"/>
          <w:sz w:val="24"/>
          <w:highlight w:val="none"/>
          <w:lang w:val="zh-CN"/>
        </w:rPr>
        <w:t>相应资质条件且不得再次分包；</w:t>
      </w:r>
    </w:p>
    <w:p>
      <w:pPr>
        <w:pStyle w:val="4"/>
        <w:ind w:left="664" w:leftChars="316" w:firstLine="229" w:firstLineChars="95"/>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w:t>
      </w:r>
    </w:p>
    <w:p>
      <w:pPr>
        <w:rPr>
          <w:rFonts w:hint="eastAsia" w:ascii="仿宋" w:hAnsi="仿宋" w:eastAsia="仿宋" w:cs="仿宋"/>
          <w:color w:val="auto"/>
          <w:highlight w:val="none"/>
        </w:rPr>
      </w:pPr>
      <w:r>
        <w:rPr>
          <w:rFonts w:hint="eastAsia" w:ascii="仿宋" w:hAnsi="仿宋" w:eastAsia="仿宋" w:cs="仿宋"/>
          <w:color w:val="auto"/>
          <w:highlight w:val="none"/>
          <w:lang w:val="zh-CN"/>
        </w:rPr>
        <w:t xml:space="preserve"> </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二、分包供应商中小企业合同份额</w:t>
      </w:r>
    </w:p>
    <w:p>
      <w:pPr>
        <w:snapToGrid w:val="0"/>
        <w:spacing w:line="360" w:lineRule="auto"/>
        <w:ind w:firstLine="576"/>
        <w:rPr>
          <w:rFonts w:hint="eastAsia"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rPr>
        <w:t>1、</w:t>
      </w:r>
      <w:r>
        <w:rPr>
          <w:rFonts w:hint="eastAsia" w:ascii="仿宋" w:hAnsi="仿宋" w:eastAsia="仿宋" w:cs="仿宋"/>
          <w:color w:val="auto"/>
          <w:kern w:val="0"/>
          <w:sz w:val="24"/>
          <w:highlight w:val="none"/>
          <w:u w:val="single"/>
        </w:rPr>
        <w:t>（分包供应商X,……）提供的服务全部由小微企业承接，</w:t>
      </w:r>
      <w:r>
        <w:rPr>
          <w:rFonts w:hint="eastAsia" w:ascii="仿宋" w:hAnsi="仿宋" w:eastAsia="仿宋" w:cs="仿宋"/>
          <w:color w:val="auto"/>
          <w:kern w:val="0"/>
          <w:sz w:val="24"/>
          <w:highlight w:val="none"/>
        </w:rPr>
        <w:t>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highlight w:val="none"/>
        </w:rPr>
        <w:t>。</w:t>
      </w:r>
      <w:r>
        <w:rPr>
          <w:rFonts w:hint="eastAsia" w:ascii="仿宋" w:hAnsi="仿宋" w:eastAsia="仿宋" w:cs="仿宋"/>
          <w:b/>
          <w:color w:val="auto"/>
          <w:kern w:val="0"/>
          <w:sz w:val="24"/>
          <w:highlight w:val="none"/>
          <w:lang w:val="zh-CN"/>
        </w:rPr>
        <w:t>（未预留份额专门面向中小企业采购的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color w:val="auto"/>
          <w:sz w:val="24"/>
          <w:highlight w:val="none"/>
        </w:rPr>
        <w:t>拟享受以上价格扣除政策的，填写有关内容。</w:t>
      </w:r>
      <w:r>
        <w:rPr>
          <w:rFonts w:hint="eastAsia" w:ascii="仿宋" w:hAnsi="仿宋" w:eastAsia="仿宋" w:cs="仿宋"/>
          <w:b/>
          <w:color w:val="auto"/>
          <w:kern w:val="0"/>
          <w:sz w:val="24"/>
          <w:highlight w:val="none"/>
          <w:lang w:val="zh-CN"/>
        </w:rPr>
        <w:t>）</w:t>
      </w:r>
    </w:p>
    <w:p>
      <w:pPr>
        <w:spacing w:line="360" w:lineRule="auto"/>
        <w:ind w:firstLine="480" w:firstLineChars="200"/>
        <w:rPr>
          <w:rFonts w:hint="eastAsia" w:ascii="仿宋" w:hAnsi="仿宋" w:eastAsia="仿宋" w:cs="仿宋"/>
          <w:b/>
          <w:bCs/>
          <w:color w:val="auto"/>
          <w:kern w:val="0"/>
          <w:sz w:val="24"/>
          <w:highlight w:val="none"/>
          <w:lang w:val="zh-CN"/>
        </w:rPr>
      </w:pPr>
      <w:r>
        <w:rPr>
          <w:rFonts w:hint="eastAsia" w:ascii="仿宋" w:hAnsi="仿宋" w:eastAsia="仿宋" w:cs="仿宋"/>
          <w:color w:val="auto"/>
          <w:sz w:val="24"/>
          <w:highlight w:val="none"/>
        </w:rPr>
        <w:t>2、中小企业合同金额达到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要求合同分包形式参加的项目或采购包，供应商按招标文件第一部分招标公告申请人的资格要求中规定的</w:t>
      </w:r>
      <w:r>
        <w:rPr>
          <w:rFonts w:hint="eastAsia" w:ascii="仿宋" w:hAnsi="仿宋" w:eastAsia="仿宋" w:cs="仿宋"/>
          <w:b/>
          <w:color w:val="auto"/>
          <w:kern w:val="0"/>
          <w:sz w:val="24"/>
          <w:highlight w:val="none"/>
          <w:lang w:val="zh-CN"/>
        </w:rPr>
        <w:t>分包意向协议</w:t>
      </w:r>
      <w:r>
        <w:rPr>
          <w:rFonts w:hint="eastAsia" w:ascii="仿宋" w:hAnsi="仿宋" w:eastAsia="仿宋" w:cs="仿宋"/>
          <w:b/>
          <w:bCs/>
          <w:color w:val="auto"/>
          <w:sz w:val="24"/>
          <w:highlight w:val="none"/>
        </w:rPr>
        <w:t>中中小企业、小微企业合同金额应当达到的比例要求填写。</w:t>
      </w:r>
      <w:r>
        <w:rPr>
          <w:rFonts w:hint="eastAsia" w:ascii="仿宋" w:hAnsi="仿宋" w:eastAsia="仿宋" w:cs="仿宋"/>
          <w:b/>
          <w:bCs/>
          <w:color w:val="auto"/>
          <w:kern w:val="0"/>
          <w:sz w:val="24"/>
          <w:highlight w:val="none"/>
          <w:lang w:val="zh-CN"/>
        </w:rPr>
        <w:t>）</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三、分包工作履行期限、地点、方式</w:t>
      </w:r>
    </w:p>
    <w:p>
      <w:pPr>
        <w:snapToGrid w:val="0"/>
        <w:spacing w:line="360" w:lineRule="auto"/>
        <w:ind w:firstLine="576"/>
        <w:rPr>
          <w:rFonts w:hint="eastAsia" w:ascii="仿宋" w:hAnsi="仿宋" w:eastAsia="仿宋" w:cs="仿宋"/>
          <w:color w:val="auto"/>
          <w:highlight w:val="none"/>
          <w:u w:val="single"/>
        </w:rPr>
      </w:pPr>
      <w:r>
        <w:rPr>
          <w:rFonts w:hint="eastAsia" w:ascii="仿宋" w:hAnsi="仿宋" w:eastAsia="仿宋" w:cs="仿宋"/>
          <w:color w:val="auto"/>
          <w:highlight w:val="none"/>
          <w:u w:val="single"/>
        </w:rPr>
        <w:t xml:space="preserve">                                                                                  </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四、质量</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五、价款或者报酬</w:t>
      </w:r>
    </w:p>
    <w:p>
      <w:pPr>
        <w:snapToGrid w:val="0"/>
        <w:spacing w:line="360" w:lineRule="auto"/>
        <w:ind w:left="573" w:leftChars="273"/>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pPr>
        <w:snapToGrid w:val="0"/>
        <w:spacing w:line="360" w:lineRule="auto"/>
        <w:ind w:left="573" w:leftChars="273"/>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六、违约责任</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七、争议解决的办法</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八、其他</w:t>
      </w:r>
    </w:p>
    <w:p>
      <w:pPr>
        <w:snapToGrid w:val="0"/>
        <w:spacing w:line="360" w:lineRule="auto"/>
        <w:ind w:left="5758" w:leftChars="342" w:hanging="5040" w:hangingChars="2100"/>
        <w:rPr>
          <w:rFonts w:hint="eastAsia" w:ascii="仿宋" w:hAnsi="仿宋" w:eastAsia="仿宋" w:cs="仿宋"/>
          <w:color w:val="auto"/>
          <w:kern w:val="0"/>
          <w:sz w:val="24"/>
          <w:highlight w:val="none"/>
          <w:lang w:val="zh-CN"/>
        </w:rPr>
      </w:pPr>
      <w:r>
        <w:rPr>
          <w:rFonts w:hint="eastAsia" w:ascii="仿宋" w:hAnsi="仿宋" w:eastAsia="仿宋" w:cs="仿宋"/>
          <w:color w:val="auto"/>
          <w:sz w:val="24"/>
          <w:highlight w:val="none"/>
        </w:rPr>
        <w:t>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 xml:space="preserve">  。                                           投标人名称(电子签名)：</w:t>
      </w:r>
    </w:p>
    <w:p>
      <w:pPr>
        <w:snapToGrid w:val="0"/>
        <w:spacing w:line="360" w:lineRule="auto"/>
        <w:jc w:val="righ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分包供应商名称(电子签名/公章)：</w:t>
      </w:r>
    </w:p>
    <w:p>
      <w:pPr>
        <w:snapToGrid w:val="0"/>
        <w:spacing w:line="360" w:lineRule="auto"/>
        <w:ind w:firstLine="5760" w:firstLineChars="2400"/>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pPr>
        <w:snapToGrid w:val="0"/>
        <w:spacing w:line="360" w:lineRule="auto"/>
        <w:ind w:left="5758" w:leftChars="342" w:hanging="5040" w:hanging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pPr>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spacing w:line="360" w:lineRule="auto"/>
        <w:jc w:val="left"/>
        <w:outlineLvl w:val="0"/>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附件7：中小企业声明函</w:t>
      </w:r>
    </w:p>
    <w:p>
      <w:pPr>
        <w:spacing w:line="360" w:lineRule="auto"/>
        <w:jc w:val="center"/>
        <w:rPr>
          <w:rFonts w:hint="eastAsia" w:ascii="仿宋" w:hAnsi="仿宋" w:eastAsia="仿宋" w:cs="仿宋"/>
          <w:color w:val="auto"/>
          <w:sz w:val="24"/>
          <w:highlight w:val="none"/>
          <w:u w:val="single"/>
        </w:rPr>
      </w:pPr>
    </w:p>
    <w:p>
      <w:pPr>
        <w:spacing w:line="360" w:lineRule="auto"/>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中小企业声明函（服务）</w:t>
      </w:r>
    </w:p>
    <w:p>
      <w:pPr>
        <w:spacing w:line="360" w:lineRule="auto"/>
        <w:ind w:firstLine="360" w:firstLineChars="15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本公司（联合体）郑重声明，根据《政府采购促进中小企业发展管理办法》（财库﹝2020﹞46 号）的规定，本公司（联合体）参加 </w:t>
      </w:r>
      <w:r>
        <w:rPr>
          <w:rFonts w:hint="eastAsia" w:ascii="仿宋" w:hAnsi="仿宋" w:eastAsia="仿宋" w:cs="仿宋"/>
          <w:color w:val="auto"/>
          <w:sz w:val="24"/>
          <w:highlight w:val="none"/>
          <w:u w:val="single"/>
          <w:lang w:eastAsia="zh-CN"/>
        </w:rPr>
        <w:t>杭州市余杭区人民政府余杭街道办事处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eastAsia="zh-CN"/>
        </w:rPr>
        <w:t>余杭街道2023年区域性微型消防救援站服务外包项目</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采购活动，工程的施工单位全部为符合政策要求的中小企业（或者：服务全部由符合政策要求的中小企业承接）。相关企业（含联合体中的中小企业、签订分包意向协议的中小企业）的具体情况如下：</w:t>
      </w:r>
    </w:p>
    <w:p>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rPr>
        <w:t>（标的名称）</w:t>
      </w:r>
      <w:r>
        <w:rPr>
          <w:rFonts w:hint="eastAsia" w:ascii="仿宋" w:hAnsi="仿宋" w:eastAsia="仿宋" w:cs="仿宋"/>
          <w:color w:val="auto"/>
          <w:sz w:val="24"/>
          <w:highlight w:val="none"/>
        </w:rPr>
        <w:t>，属于</w:t>
      </w:r>
      <w:r>
        <w:rPr>
          <w:rFonts w:hint="eastAsia" w:ascii="仿宋" w:hAnsi="仿宋" w:eastAsia="仿宋" w:cs="仿宋"/>
          <w:color w:val="auto"/>
          <w:sz w:val="24"/>
          <w:highlight w:val="none"/>
          <w:u w:val="single"/>
        </w:rPr>
        <w:t xml:space="preserve"> （采购文件中明确的所属行业）</w:t>
      </w:r>
      <w:r>
        <w:rPr>
          <w:rFonts w:hint="eastAsia" w:ascii="仿宋" w:hAnsi="仿宋" w:eastAsia="仿宋" w:cs="仿宋"/>
          <w:color w:val="auto"/>
          <w:sz w:val="24"/>
          <w:highlight w:val="none"/>
        </w:rPr>
        <w:t xml:space="preserve"> ；承建（承接）企业为 </w:t>
      </w:r>
      <w:r>
        <w:rPr>
          <w:rFonts w:hint="eastAsia" w:ascii="仿宋" w:hAnsi="仿宋" w:eastAsia="仿宋" w:cs="仿宋"/>
          <w:color w:val="auto"/>
          <w:sz w:val="24"/>
          <w:highlight w:val="none"/>
          <w:u w:val="single"/>
        </w:rPr>
        <w:t>（企业名称）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 </w:t>
      </w:r>
      <w:r>
        <w:rPr>
          <w:rFonts w:hint="eastAsia" w:ascii="仿宋" w:hAnsi="仿宋" w:eastAsia="仿宋" w:cs="仿宋"/>
          <w:color w:val="auto"/>
          <w:sz w:val="24"/>
          <w:highlight w:val="none"/>
        </w:rPr>
        <w:t>；</w:t>
      </w:r>
    </w:p>
    <w:p>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u w:val="single"/>
        </w:rPr>
        <w:t xml:space="preserve"> （标的名称），</w:t>
      </w:r>
      <w:r>
        <w:rPr>
          <w:rFonts w:hint="eastAsia" w:ascii="仿宋" w:hAnsi="仿宋" w:eastAsia="仿宋" w:cs="仿宋"/>
          <w:color w:val="auto"/>
          <w:sz w:val="24"/>
          <w:highlight w:val="none"/>
        </w:rPr>
        <w:t xml:space="preserve">属于 </w:t>
      </w:r>
      <w:r>
        <w:rPr>
          <w:rFonts w:hint="eastAsia" w:ascii="仿宋" w:hAnsi="仿宋" w:eastAsia="仿宋" w:cs="仿宋"/>
          <w:color w:val="auto"/>
          <w:sz w:val="24"/>
          <w:highlight w:val="none"/>
          <w:u w:val="single"/>
        </w:rPr>
        <w:t xml:space="preserve">（采购文件中明确的所属行业） </w:t>
      </w:r>
      <w:r>
        <w:rPr>
          <w:rFonts w:hint="eastAsia" w:ascii="仿宋" w:hAnsi="仿宋" w:eastAsia="仿宋" w:cs="仿宋"/>
          <w:color w:val="auto"/>
          <w:sz w:val="24"/>
          <w:highlight w:val="none"/>
        </w:rPr>
        <w:t xml:space="preserve">；承建（承接）企业为 </w:t>
      </w:r>
      <w:r>
        <w:rPr>
          <w:rFonts w:hint="eastAsia" w:ascii="仿宋" w:hAnsi="仿宋" w:eastAsia="仿宋" w:cs="仿宋"/>
          <w:color w:val="auto"/>
          <w:sz w:val="24"/>
          <w:highlight w:val="none"/>
          <w:u w:val="single"/>
        </w:rPr>
        <w:t>（企业名称）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 </w:t>
      </w:r>
      <w:r>
        <w:rPr>
          <w:rFonts w:hint="eastAsia" w:ascii="仿宋" w:hAnsi="仿宋" w:eastAsia="仿宋" w:cs="仿宋"/>
          <w:color w:val="auto"/>
          <w:sz w:val="24"/>
          <w:highlight w:val="none"/>
        </w:rPr>
        <w:t>；</w:t>
      </w:r>
    </w:p>
    <w:p>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p>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以上企业，不属于大企业的分支机构，不存在控股股东为大企业的情形，也不存在与大企业的负责人为同一人的情形。</w:t>
      </w:r>
    </w:p>
    <w:p>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本企业对上述声明内容的真实性负责。如有虚假，将依法承担相应责任。</w:t>
      </w:r>
    </w:p>
    <w:p>
      <w:pPr>
        <w:spacing w:line="360" w:lineRule="auto"/>
        <w:ind w:right="1760"/>
        <w:jc w:val="righ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投标人名称（电子签名）：</w:t>
      </w:r>
    </w:p>
    <w:p>
      <w:pPr>
        <w:spacing w:line="360" w:lineRule="auto"/>
        <w:ind w:right="1120" w:firstLine="4680" w:firstLineChars="1950"/>
        <w:rPr>
          <w:rFonts w:hint="eastAsia" w:ascii="仿宋" w:hAnsi="仿宋" w:eastAsia="仿宋" w:cs="仿宋"/>
          <w:color w:val="auto"/>
          <w:sz w:val="24"/>
          <w:highlight w:val="none"/>
        </w:rPr>
      </w:pPr>
      <w:r>
        <w:rPr>
          <w:rFonts w:hint="eastAsia" w:ascii="仿宋" w:hAnsi="仿宋" w:eastAsia="仿宋" w:cs="仿宋"/>
          <w:color w:val="auto"/>
          <w:sz w:val="24"/>
          <w:highlight w:val="none"/>
        </w:rPr>
        <w:t>日 期：</w:t>
      </w:r>
    </w:p>
    <w:p>
      <w:pPr>
        <w:spacing w:line="360" w:lineRule="auto"/>
        <w:ind w:firstLine="310" w:firstLineChars="147"/>
        <w:jc w:val="left"/>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从业人员、营业收入、资产总额填报上一年度数据，无上一年度数据的新成立企业可不填报。</w:t>
      </w:r>
    </w:p>
    <w:p>
      <w:pPr>
        <w:spacing w:line="360" w:lineRule="auto"/>
        <w:ind w:right="420"/>
        <w:rPr>
          <w:rFonts w:hint="eastAsia" w:ascii="仿宋" w:hAnsi="仿宋" w:eastAsia="仿宋" w:cs="仿宋"/>
          <w:color w:val="auto"/>
          <w:sz w:val="24"/>
          <w:highlight w:val="none"/>
        </w:rPr>
      </w:pPr>
    </w:p>
    <w:p>
      <w:pPr>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注：</w:t>
      </w:r>
    </w:p>
    <w:p>
      <w:pPr>
        <w:spacing w:line="360" w:lineRule="auto"/>
        <w:ind w:right="42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pPr>
        <w:spacing w:line="360" w:lineRule="auto"/>
        <w:ind w:right="420"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pPr>
        <w:pStyle w:val="4"/>
        <w:rPr>
          <w:rFonts w:hint="eastAsia" w:ascii="仿宋" w:hAnsi="仿宋" w:eastAsia="仿宋" w:cs="仿宋"/>
          <w:color w:val="auto"/>
          <w:highlight w:val="none"/>
          <w:lang w:val="en-US"/>
        </w:rPr>
      </w:pPr>
    </w:p>
    <w:p>
      <w:pPr>
        <w:spacing w:line="360" w:lineRule="auto"/>
        <w:ind w:right="420"/>
        <w:rPr>
          <w:rFonts w:hint="eastAsia" w:ascii="仿宋" w:hAnsi="仿宋" w:eastAsia="仿宋" w:cs="仿宋"/>
          <w:color w:val="auto"/>
          <w:highlight w:val="none"/>
        </w:rPr>
      </w:pPr>
    </w:p>
    <w:p>
      <w:pPr>
        <w:spacing w:line="360" w:lineRule="auto"/>
        <w:rPr>
          <w:rFonts w:hint="eastAsia" w:ascii="仿宋" w:hAnsi="仿宋" w:eastAsia="仿宋" w:cs="仿宋"/>
          <w:bCs/>
          <w:color w:val="auto"/>
          <w:sz w:val="24"/>
          <w:highlight w:val="none"/>
        </w:rPr>
      </w:pPr>
    </w:p>
    <w:p>
      <w:pPr>
        <w:pStyle w:val="4"/>
        <w:rPr>
          <w:rFonts w:hint="eastAsia" w:ascii="仿宋" w:hAnsi="仿宋" w:eastAsia="仿宋" w:cs="仿宋"/>
          <w:bCs/>
          <w:color w:val="auto"/>
          <w:sz w:val="24"/>
          <w:highlight w:val="none"/>
        </w:rPr>
        <w:sectPr>
          <w:headerReference r:id="rId21" w:type="first"/>
          <w:footerReference r:id="rId24" w:type="first"/>
          <w:headerReference r:id="rId20" w:type="default"/>
          <w:footerReference r:id="rId22" w:type="default"/>
          <w:footerReference r:id="rId23" w:type="even"/>
          <w:pgSz w:w="11906" w:h="16838"/>
          <w:pgMar w:top="1276" w:right="1418" w:bottom="1247" w:left="1418" w:header="851" w:footer="992" w:gutter="0"/>
          <w:cols w:space="720" w:num="1"/>
          <w:titlePg/>
          <w:docGrid w:linePitch="312" w:charSpace="0"/>
        </w:sectPr>
      </w:pPr>
    </w:p>
    <w:tbl>
      <w:tblPr>
        <w:tblStyle w:val="62"/>
        <w:tblW w:w="14811"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178"/>
        <w:gridCol w:w="1383"/>
        <w:gridCol w:w="1575"/>
        <w:gridCol w:w="1550"/>
        <w:gridCol w:w="1182"/>
        <w:gridCol w:w="1387"/>
        <w:gridCol w:w="1425"/>
        <w:gridCol w:w="1010"/>
        <w:gridCol w:w="976"/>
        <w:gridCol w:w="214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5" w:hRule="atLeast"/>
        </w:trPr>
        <w:tc>
          <w:tcPr>
            <w:tcW w:w="14811" w:type="dxa"/>
            <w:gridSpan w:val="10"/>
            <w:tcMar>
              <w:top w:w="15" w:type="dxa"/>
              <w:left w:w="15" w:type="dxa"/>
              <w:bottom w:w="15" w:type="dxa"/>
              <w:right w:w="15" w:type="dxa"/>
            </w:tcMar>
            <w:vAlign w:val="bottom"/>
          </w:tcPr>
          <w:p>
            <w:pPr>
              <w:widowControl/>
              <w:spacing w:before="0" w:beforeAutospacing="0" w:after="0" w:afterAutospacing="0"/>
              <w:ind w:left="0" w:right="0"/>
              <w:jc w:val="center"/>
              <w:textAlignment w:val="bottom"/>
              <w:rPr>
                <w:rFonts w:hint="eastAsia" w:ascii="仿宋" w:hAnsi="仿宋" w:eastAsia="仿宋" w:cs="仿宋"/>
                <w:b/>
                <w:color w:val="auto"/>
                <w:sz w:val="32"/>
                <w:szCs w:val="32"/>
                <w:highlight w:val="none"/>
              </w:rPr>
            </w:pPr>
            <w:r>
              <w:rPr>
                <w:rFonts w:hint="eastAsia" w:ascii="仿宋" w:hAnsi="仿宋" w:eastAsia="仿宋" w:cs="仿宋"/>
                <w:b/>
                <w:color w:val="auto"/>
                <w:kern w:val="0"/>
                <w:sz w:val="32"/>
                <w:szCs w:val="32"/>
                <w:highlight w:val="none"/>
              </w:rPr>
              <w:t>中小微行业划型标准规定</w:t>
            </w:r>
            <w:r>
              <w:rPr>
                <w:rFonts w:hint="eastAsia" w:ascii="仿宋" w:hAnsi="仿宋" w:eastAsia="仿宋" w:cs="仿宋"/>
                <w:b/>
                <w:color w:val="auto"/>
                <w:kern w:val="0"/>
                <w:sz w:val="24"/>
                <w:highlight w:val="none"/>
              </w:rPr>
              <w:t>（根据工信部联企业〔2011〕300号制定）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2" w:hRule="atLeast"/>
        </w:trPr>
        <w:tc>
          <w:tcPr>
            <w:tcW w:w="2178" w:type="dxa"/>
            <w:vMerge w:val="restart"/>
            <w:tcBorders>
              <w:top w:val="single" w:color="000000" w:sz="12" w:space="0"/>
              <w:left w:val="single" w:color="000000" w:sz="12" w:space="0"/>
              <w:bottom w:val="single" w:color="000000" w:sz="4" w:space="0"/>
              <w:right w:val="single" w:color="000000" w:sz="12" w:space="0"/>
            </w:tcBorders>
            <w:tcMar>
              <w:top w:w="15" w:type="dxa"/>
              <w:left w:w="15" w:type="dxa"/>
              <w:bottom w:w="15" w:type="dxa"/>
              <w:right w:w="15" w:type="dxa"/>
            </w:tcMar>
            <w:vAlign w:val="center"/>
          </w:tcPr>
          <w:p>
            <w:pPr>
              <w:widowControl/>
              <w:spacing w:before="0" w:beforeAutospacing="0" w:after="0" w:afterAutospacing="0"/>
              <w:ind w:left="0" w:right="0"/>
              <w:jc w:val="center"/>
              <w:textAlignment w:val="center"/>
              <w:rPr>
                <w:rFonts w:hint="eastAsia" w:ascii="仿宋" w:hAnsi="仿宋" w:eastAsia="仿宋" w:cs="仿宋"/>
                <w:b/>
                <w:color w:val="auto"/>
                <w:sz w:val="24"/>
                <w:highlight w:val="none"/>
              </w:rPr>
            </w:pPr>
            <w:r>
              <w:rPr>
                <w:rFonts w:hint="eastAsia" w:ascii="仿宋" w:hAnsi="仿宋" w:eastAsia="仿宋" w:cs="仿宋"/>
                <w:b/>
                <w:color w:val="auto"/>
                <w:kern w:val="0"/>
                <w:sz w:val="24"/>
                <w:highlight w:val="none"/>
              </w:rPr>
              <w:t>行业</w:t>
            </w:r>
          </w:p>
        </w:tc>
        <w:tc>
          <w:tcPr>
            <w:tcW w:w="4508" w:type="dxa"/>
            <w:gridSpan w:val="3"/>
            <w:tcBorders>
              <w:top w:val="single" w:color="000000" w:sz="12" w:space="0"/>
              <w:left w:val="single" w:color="000000" w:sz="12" w:space="0"/>
              <w:bottom w:val="single" w:color="000000" w:sz="4" w:space="0"/>
              <w:right w:val="single" w:color="000000" w:sz="12" w:space="0"/>
            </w:tcBorders>
            <w:tcMar>
              <w:top w:w="15" w:type="dxa"/>
              <w:left w:w="15" w:type="dxa"/>
              <w:bottom w:w="15" w:type="dxa"/>
              <w:right w:w="15" w:type="dxa"/>
            </w:tcMar>
            <w:vAlign w:val="bottom"/>
          </w:tcPr>
          <w:p>
            <w:pPr>
              <w:widowControl/>
              <w:spacing w:before="0" w:beforeAutospacing="0" w:after="0" w:afterAutospacing="0"/>
              <w:ind w:left="0" w:right="0"/>
              <w:jc w:val="center"/>
              <w:textAlignment w:val="bottom"/>
              <w:rPr>
                <w:rFonts w:hint="eastAsia" w:ascii="仿宋" w:hAnsi="仿宋" w:eastAsia="仿宋" w:cs="仿宋"/>
                <w:b/>
                <w:color w:val="auto"/>
                <w:sz w:val="24"/>
                <w:highlight w:val="none"/>
              </w:rPr>
            </w:pPr>
            <w:r>
              <w:rPr>
                <w:rFonts w:hint="eastAsia" w:ascii="仿宋" w:hAnsi="仿宋" w:eastAsia="仿宋" w:cs="仿宋"/>
                <w:b/>
                <w:color w:val="auto"/>
                <w:kern w:val="0"/>
                <w:sz w:val="24"/>
                <w:highlight w:val="none"/>
              </w:rPr>
              <w:t>中型企业</w:t>
            </w:r>
          </w:p>
        </w:tc>
        <w:tc>
          <w:tcPr>
            <w:tcW w:w="3994" w:type="dxa"/>
            <w:gridSpan w:val="3"/>
            <w:tcBorders>
              <w:top w:val="single" w:color="000000" w:sz="12" w:space="0"/>
              <w:left w:val="single" w:color="000000" w:sz="12" w:space="0"/>
              <w:bottom w:val="single" w:color="000000" w:sz="4" w:space="0"/>
              <w:right w:val="single" w:color="000000" w:sz="12" w:space="0"/>
            </w:tcBorders>
            <w:tcMar>
              <w:top w:w="15" w:type="dxa"/>
              <w:left w:w="15" w:type="dxa"/>
              <w:bottom w:w="15" w:type="dxa"/>
              <w:right w:w="15" w:type="dxa"/>
            </w:tcMar>
            <w:vAlign w:val="bottom"/>
          </w:tcPr>
          <w:p>
            <w:pPr>
              <w:widowControl/>
              <w:spacing w:before="0" w:beforeAutospacing="0" w:after="0" w:afterAutospacing="0"/>
              <w:ind w:left="0" w:right="0"/>
              <w:jc w:val="center"/>
              <w:textAlignment w:val="bottom"/>
              <w:rPr>
                <w:rFonts w:hint="eastAsia" w:ascii="仿宋" w:hAnsi="仿宋" w:eastAsia="仿宋" w:cs="仿宋"/>
                <w:b/>
                <w:color w:val="auto"/>
                <w:sz w:val="24"/>
                <w:highlight w:val="none"/>
              </w:rPr>
            </w:pPr>
            <w:r>
              <w:rPr>
                <w:rFonts w:hint="eastAsia" w:ascii="仿宋" w:hAnsi="仿宋" w:eastAsia="仿宋" w:cs="仿宋"/>
                <w:b/>
                <w:color w:val="auto"/>
                <w:kern w:val="0"/>
                <w:sz w:val="24"/>
                <w:highlight w:val="none"/>
              </w:rPr>
              <w:t>小型企业</w:t>
            </w:r>
          </w:p>
        </w:tc>
        <w:tc>
          <w:tcPr>
            <w:tcW w:w="4131" w:type="dxa"/>
            <w:gridSpan w:val="3"/>
            <w:tcBorders>
              <w:top w:val="single" w:color="000000" w:sz="12" w:space="0"/>
              <w:left w:val="single" w:color="000000" w:sz="12" w:space="0"/>
              <w:bottom w:val="single" w:color="000000" w:sz="4" w:space="0"/>
              <w:right w:val="single" w:color="000000" w:sz="12" w:space="0"/>
            </w:tcBorders>
            <w:tcMar>
              <w:top w:w="15" w:type="dxa"/>
              <w:left w:w="15" w:type="dxa"/>
              <w:bottom w:w="15" w:type="dxa"/>
              <w:right w:w="15" w:type="dxa"/>
            </w:tcMar>
            <w:vAlign w:val="bottom"/>
          </w:tcPr>
          <w:p>
            <w:pPr>
              <w:widowControl/>
              <w:spacing w:before="0" w:beforeAutospacing="0" w:after="0" w:afterAutospacing="0"/>
              <w:ind w:left="0" w:right="0"/>
              <w:jc w:val="center"/>
              <w:textAlignment w:val="bottom"/>
              <w:rPr>
                <w:rFonts w:hint="eastAsia" w:ascii="仿宋" w:hAnsi="仿宋" w:eastAsia="仿宋" w:cs="仿宋"/>
                <w:b/>
                <w:color w:val="auto"/>
                <w:sz w:val="24"/>
                <w:highlight w:val="none"/>
              </w:rPr>
            </w:pPr>
            <w:r>
              <w:rPr>
                <w:rFonts w:hint="eastAsia" w:ascii="仿宋" w:hAnsi="仿宋" w:eastAsia="仿宋" w:cs="仿宋"/>
                <w:b/>
                <w:color w:val="auto"/>
                <w:kern w:val="0"/>
                <w:sz w:val="24"/>
                <w:highlight w:val="none"/>
              </w:rPr>
              <w:t>微型企业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4" w:hRule="atLeast"/>
        </w:trPr>
        <w:tc>
          <w:tcPr>
            <w:tcW w:w="2178" w:type="dxa"/>
            <w:vMerge w:val="continue"/>
            <w:tcBorders>
              <w:top w:val="single" w:color="000000" w:sz="12" w:space="0"/>
              <w:left w:val="single" w:color="000000" w:sz="12" w:space="0"/>
              <w:bottom w:val="single" w:color="000000" w:sz="4" w:space="0"/>
              <w:right w:val="single" w:color="000000" w:sz="12" w:space="0"/>
            </w:tcBorders>
            <w:tcMar>
              <w:top w:w="15" w:type="dxa"/>
              <w:left w:w="15" w:type="dxa"/>
              <w:bottom w:w="15" w:type="dxa"/>
              <w:right w:w="15" w:type="dxa"/>
            </w:tcMar>
            <w:vAlign w:val="center"/>
          </w:tcPr>
          <w:p>
            <w:pPr>
              <w:spacing w:before="0" w:beforeAutospacing="0" w:after="0" w:afterAutospacing="0"/>
              <w:ind w:left="0" w:right="0"/>
              <w:rPr>
                <w:rFonts w:hint="eastAsia" w:ascii="仿宋" w:hAnsi="仿宋" w:eastAsia="仿宋" w:cs="仿宋"/>
                <w:color w:val="auto"/>
                <w:highlight w:val="none"/>
              </w:rPr>
            </w:pPr>
          </w:p>
        </w:tc>
        <w:tc>
          <w:tcPr>
            <w:tcW w:w="1383" w:type="dxa"/>
            <w:tcBorders>
              <w:top w:val="single" w:color="000000" w:sz="4" w:space="0"/>
              <w:left w:val="single" w:color="000000" w:sz="12" w:space="0"/>
              <w:bottom w:val="single" w:color="000000" w:sz="4" w:space="0"/>
              <w:right w:val="single" w:color="000000" w:sz="4" w:space="0"/>
            </w:tcBorders>
            <w:tcMar>
              <w:top w:w="15" w:type="dxa"/>
              <w:left w:w="15" w:type="dxa"/>
              <w:bottom w:w="15" w:type="dxa"/>
              <w:right w:w="15" w:type="dxa"/>
            </w:tcMar>
            <w:vAlign w:val="bottom"/>
          </w:tcPr>
          <w:p>
            <w:pPr>
              <w:widowControl/>
              <w:spacing w:before="0" w:beforeAutospacing="0" w:after="0" w:afterAutospacing="0"/>
              <w:ind w:left="0" w:right="0"/>
              <w:jc w:val="left"/>
              <w:textAlignment w:val="bottom"/>
              <w:rPr>
                <w:rFonts w:hint="eastAsia" w:ascii="仿宋" w:hAnsi="仿宋" w:eastAsia="仿宋" w:cs="仿宋"/>
                <w:color w:val="auto"/>
                <w:sz w:val="20"/>
                <w:highlight w:val="none"/>
              </w:rPr>
            </w:pPr>
            <w:r>
              <w:rPr>
                <w:rFonts w:hint="eastAsia" w:ascii="仿宋" w:hAnsi="仿宋" w:eastAsia="仿宋" w:cs="仿宋"/>
                <w:color w:val="auto"/>
                <w:kern w:val="0"/>
                <w:sz w:val="20"/>
                <w:highlight w:val="none"/>
              </w:rPr>
              <w:t>从业人员X　　　（人）</w:t>
            </w:r>
          </w:p>
        </w:tc>
        <w:tc>
          <w:tcPr>
            <w:tcW w:w="1575"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bottom"/>
          </w:tcPr>
          <w:p>
            <w:pPr>
              <w:widowControl/>
              <w:spacing w:before="0" w:beforeAutospacing="0" w:after="0" w:afterAutospacing="0"/>
              <w:ind w:left="0" w:right="0"/>
              <w:jc w:val="left"/>
              <w:textAlignment w:val="bottom"/>
              <w:rPr>
                <w:rFonts w:hint="eastAsia" w:ascii="仿宋" w:hAnsi="仿宋" w:eastAsia="仿宋" w:cs="仿宋"/>
                <w:color w:val="auto"/>
                <w:sz w:val="20"/>
                <w:highlight w:val="none"/>
              </w:rPr>
            </w:pPr>
            <w:r>
              <w:rPr>
                <w:rFonts w:hint="eastAsia" w:ascii="仿宋" w:hAnsi="仿宋" w:eastAsia="仿宋" w:cs="仿宋"/>
                <w:color w:val="auto"/>
                <w:kern w:val="0"/>
                <w:sz w:val="20"/>
                <w:highlight w:val="none"/>
              </w:rPr>
              <w:t>营业收入 Y    （万元）</w:t>
            </w:r>
          </w:p>
        </w:tc>
        <w:tc>
          <w:tcPr>
            <w:tcW w:w="1550" w:type="dxa"/>
            <w:tcBorders>
              <w:top w:val="single" w:color="000000" w:sz="4" w:space="0"/>
              <w:left w:val="single" w:color="000000" w:sz="4" w:space="0"/>
              <w:bottom w:val="single" w:color="000000" w:sz="4" w:space="0"/>
              <w:right w:val="single" w:color="000000" w:sz="12" w:space="0"/>
            </w:tcBorders>
            <w:tcMar>
              <w:top w:w="15" w:type="dxa"/>
              <w:left w:w="15" w:type="dxa"/>
              <w:bottom w:w="15" w:type="dxa"/>
              <w:right w:w="15" w:type="dxa"/>
            </w:tcMar>
            <w:vAlign w:val="bottom"/>
          </w:tcPr>
          <w:p>
            <w:pPr>
              <w:widowControl/>
              <w:spacing w:before="0" w:beforeAutospacing="0" w:after="0" w:afterAutospacing="0"/>
              <w:ind w:left="0" w:right="0"/>
              <w:jc w:val="left"/>
              <w:textAlignment w:val="bottom"/>
              <w:rPr>
                <w:rFonts w:hint="eastAsia" w:ascii="仿宋" w:hAnsi="仿宋" w:eastAsia="仿宋" w:cs="仿宋"/>
                <w:color w:val="auto"/>
                <w:sz w:val="20"/>
                <w:highlight w:val="none"/>
              </w:rPr>
            </w:pPr>
            <w:r>
              <w:rPr>
                <w:rFonts w:hint="eastAsia" w:ascii="仿宋" w:hAnsi="仿宋" w:eastAsia="仿宋" w:cs="仿宋"/>
                <w:color w:val="auto"/>
                <w:kern w:val="0"/>
                <w:sz w:val="20"/>
                <w:highlight w:val="none"/>
              </w:rPr>
              <w:t>资产总额 Z　 （万元）</w:t>
            </w:r>
          </w:p>
        </w:tc>
        <w:tc>
          <w:tcPr>
            <w:tcW w:w="1182" w:type="dxa"/>
            <w:tcBorders>
              <w:top w:val="single" w:color="000000" w:sz="4" w:space="0"/>
              <w:left w:val="single" w:color="000000" w:sz="12" w:space="0"/>
              <w:bottom w:val="single" w:color="000000" w:sz="4" w:space="0"/>
              <w:right w:val="single" w:color="000000" w:sz="4" w:space="0"/>
            </w:tcBorders>
            <w:tcMar>
              <w:top w:w="15" w:type="dxa"/>
              <w:left w:w="15" w:type="dxa"/>
              <w:bottom w:w="15" w:type="dxa"/>
              <w:right w:w="15" w:type="dxa"/>
            </w:tcMar>
            <w:vAlign w:val="bottom"/>
          </w:tcPr>
          <w:p>
            <w:pPr>
              <w:widowControl/>
              <w:spacing w:before="0" w:beforeAutospacing="0" w:after="0" w:afterAutospacing="0"/>
              <w:ind w:left="0" w:right="0"/>
              <w:jc w:val="left"/>
              <w:textAlignment w:val="bottom"/>
              <w:rPr>
                <w:rFonts w:hint="eastAsia" w:ascii="仿宋" w:hAnsi="仿宋" w:eastAsia="仿宋" w:cs="仿宋"/>
                <w:color w:val="auto"/>
                <w:sz w:val="20"/>
                <w:highlight w:val="none"/>
              </w:rPr>
            </w:pPr>
            <w:r>
              <w:rPr>
                <w:rFonts w:hint="eastAsia" w:ascii="仿宋" w:hAnsi="仿宋" w:eastAsia="仿宋" w:cs="仿宋"/>
                <w:color w:val="auto"/>
                <w:kern w:val="0"/>
                <w:sz w:val="20"/>
                <w:highlight w:val="none"/>
              </w:rPr>
              <w:t>从业人员X（人）</w:t>
            </w:r>
          </w:p>
        </w:tc>
        <w:tc>
          <w:tcPr>
            <w:tcW w:w="1387"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bottom"/>
          </w:tcPr>
          <w:p>
            <w:pPr>
              <w:widowControl/>
              <w:spacing w:before="0" w:beforeAutospacing="0" w:after="0" w:afterAutospacing="0"/>
              <w:ind w:left="0" w:right="0"/>
              <w:jc w:val="left"/>
              <w:textAlignment w:val="bottom"/>
              <w:rPr>
                <w:rFonts w:hint="eastAsia" w:ascii="仿宋" w:hAnsi="仿宋" w:eastAsia="仿宋" w:cs="仿宋"/>
                <w:color w:val="auto"/>
                <w:sz w:val="20"/>
                <w:highlight w:val="none"/>
              </w:rPr>
            </w:pPr>
            <w:r>
              <w:rPr>
                <w:rFonts w:hint="eastAsia" w:ascii="仿宋" w:hAnsi="仿宋" w:eastAsia="仿宋" w:cs="仿宋"/>
                <w:color w:val="auto"/>
                <w:kern w:val="0"/>
                <w:sz w:val="20"/>
                <w:highlight w:val="none"/>
              </w:rPr>
              <w:t>营业收入Y　　（万元）</w:t>
            </w:r>
          </w:p>
        </w:tc>
        <w:tc>
          <w:tcPr>
            <w:tcW w:w="1425" w:type="dxa"/>
            <w:tcBorders>
              <w:top w:val="single" w:color="000000" w:sz="4" w:space="0"/>
              <w:left w:val="single" w:color="000000" w:sz="4" w:space="0"/>
              <w:bottom w:val="single" w:color="000000" w:sz="4" w:space="0"/>
              <w:right w:val="single" w:color="000000" w:sz="12" w:space="0"/>
            </w:tcBorders>
            <w:tcMar>
              <w:top w:w="15" w:type="dxa"/>
              <w:left w:w="15" w:type="dxa"/>
              <w:bottom w:w="15" w:type="dxa"/>
              <w:right w:w="15" w:type="dxa"/>
            </w:tcMar>
            <w:vAlign w:val="bottom"/>
          </w:tcPr>
          <w:p>
            <w:pPr>
              <w:widowControl/>
              <w:spacing w:before="0" w:beforeAutospacing="0" w:after="0" w:afterAutospacing="0"/>
              <w:ind w:left="0" w:right="0"/>
              <w:jc w:val="left"/>
              <w:textAlignment w:val="bottom"/>
              <w:rPr>
                <w:rFonts w:hint="eastAsia" w:ascii="仿宋" w:hAnsi="仿宋" w:eastAsia="仿宋" w:cs="仿宋"/>
                <w:color w:val="auto"/>
                <w:sz w:val="20"/>
                <w:highlight w:val="none"/>
              </w:rPr>
            </w:pPr>
            <w:r>
              <w:rPr>
                <w:rFonts w:hint="eastAsia" w:ascii="仿宋" w:hAnsi="仿宋" w:eastAsia="仿宋" w:cs="仿宋"/>
                <w:color w:val="auto"/>
                <w:kern w:val="0"/>
                <w:sz w:val="20"/>
                <w:highlight w:val="none"/>
              </w:rPr>
              <w:t>资产总额Z　　（万元）</w:t>
            </w:r>
          </w:p>
        </w:tc>
        <w:tc>
          <w:tcPr>
            <w:tcW w:w="1010" w:type="dxa"/>
            <w:tcBorders>
              <w:top w:val="single" w:color="000000" w:sz="4" w:space="0"/>
              <w:left w:val="single" w:color="000000" w:sz="12" w:space="0"/>
              <w:bottom w:val="single" w:color="000000" w:sz="4" w:space="0"/>
              <w:right w:val="single" w:color="000000" w:sz="4" w:space="0"/>
            </w:tcBorders>
            <w:tcMar>
              <w:top w:w="15" w:type="dxa"/>
              <w:left w:w="15" w:type="dxa"/>
              <w:bottom w:w="15" w:type="dxa"/>
              <w:right w:w="15" w:type="dxa"/>
            </w:tcMar>
            <w:vAlign w:val="bottom"/>
          </w:tcPr>
          <w:p>
            <w:pPr>
              <w:widowControl/>
              <w:spacing w:before="0" w:beforeAutospacing="0" w:after="0" w:afterAutospacing="0"/>
              <w:ind w:left="0" w:right="0"/>
              <w:jc w:val="left"/>
              <w:textAlignment w:val="bottom"/>
              <w:rPr>
                <w:rFonts w:hint="eastAsia" w:ascii="仿宋" w:hAnsi="仿宋" w:eastAsia="仿宋" w:cs="仿宋"/>
                <w:color w:val="auto"/>
                <w:sz w:val="20"/>
                <w:highlight w:val="none"/>
              </w:rPr>
            </w:pPr>
            <w:r>
              <w:rPr>
                <w:rFonts w:hint="eastAsia" w:ascii="仿宋" w:hAnsi="仿宋" w:eastAsia="仿宋" w:cs="仿宋"/>
                <w:color w:val="auto"/>
                <w:kern w:val="0"/>
                <w:sz w:val="20"/>
                <w:highlight w:val="none"/>
              </w:rPr>
              <w:t>从业人员X（人）</w:t>
            </w:r>
          </w:p>
        </w:tc>
        <w:tc>
          <w:tcPr>
            <w:tcW w:w="976"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bottom"/>
          </w:tcPr>
          <w:p>
            <w:pPr>
              <w:widowControl/>
              <w:spacing w:before="0" w:beforeAutospacing="0" w:after="0" w:afterAutospacing="0"/>
              <w:ind w:left="0" w:right="0"/>
              <w:jc w:val="left"/>
              <w:textAlignment w:val="bottom"/>
              <w:rPr>
                <w:rFonts w:hint="eastAsia" w:ascii="仿宋" w:hAnsi="仿宋" w:eastAsia="仿宋" w:cs="仿宋"/>
                <w:color w:val="auto"/>
                <w:sz w:val="20"/>
                <w:highlight w:val="none"/>
              </w:rPr>
            </w:pPr>
            <w:r>
              <w:rPr>
                <w:rFonts w:hint="eastAsia" w:ascii="仿宋" w:hAnsi="仿宋" w:eastAsia="仿宋" w:cs="仿宋"/>
                <w:color w:val="auto"/>
                <w:kern w:val="0"/>
                <w:sz w:val="20"/>
                <w:highlight w:val="none"/>
              </w:rPr>
              <w:t>营业收入Y（万元）</w:t>
            </w:r>
          </w:p>
        </w:tc>
        <w:tc>
          <w:tcPr>
            <w:tcW w:w="2145" w:type="dxa"/>
            <w:tcBorders>
              <w:top w:val="single" w:color="000000" w:sz="4" w:space="0"/>
              <w:left w:val="single" w:color="000000" w:sz="4" w:space="0"/>
              <w:bottom w:val="single" w:color="000000" w:sz="4" w:space="0"/>
              <w:right w:val="single" w:color="000000" w:sz="12" w:space="0"/>
            </w:tcBorders>
            <w:tcMar>
              <w:top w:w="15" w:type="dxa"/>
              <w:left w:w="15" w:type="dxa"/>
              <w:bottom w:w="15" w:type="dxa"/>
              <w:right w:w="15" w:type="dxa"/>
            </w:tcMar>
            <w:vAlign w:val="bottom"/>
          </w:tcPr>
          <w:p>
            <w:pPr>
              <w:widowControl/>
              <w:spacing w:before="0" w:beforeAutospacing="0" w:after="0" w:afterAutospacing="0"/>
              <w:ind w:left="0" w:right="0"/>
              <w:jc w:val="left"/>
              <w:textAlignment w:val="bottom"/>
              <w:rPr>
                <w:rFonts w:hint="eastAsia" w:ascii="仿宋" w:hAnsi="仿宋" w:eastAsia="仿宋" w:cs="仿宋"/>
                <w:color w:val="auto"/>
                <w:sz w:val="20"/>
                <w:highlight w:val="none"/>
              </w:rPr>
            </w:pPr>
            <w:r>
              <w:rPr>
                <w:rFonts w:hint="eastAsia" w:ascii="仿宋" w:hAnsi="仿宋" w:eastAsia="仿宋" w:cs="仿宋"/>
                <w:color w:val="auto"/>
                <w:kern w:val="0"/>
                <w:sz w:val="20"/>
                <w:highlight w:val="none"/>
              </w:rPr>
              <w:t>资产总额Z（万元）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7" w:hRule="atLeast"/>
        </w:trPr>
        <w:tc>
          <w:tcPr>
            <w:tcW w:w="2178" w:type="dxa"/>
            <w:tcBorders>
              <w:top w:val="single" w:color="000000" w:sz="4" w:space="0"/>
              <w:left w:val="single" w:color="000000" w:sz="12" w:space="0"/>
              <w:bottom w:val="single" w:color="000000" w:sz="4" w:space="0"/>
              <w:right w:val="single" w:color="000000" w:sz="12" w:space="0"/>
            </w:tcBorders>
            <w:tcMar>
              <w:top w:w="15" w:type="dxa"/>
              <w:left w:w="15" w:type="dxa"/>
              <w:bottom w:w="15" w:type="dxa"/>
              <w:right w:w="15" w:type="dxa"/>
            </w:tcMar>
            <w:vAlign w:val="bottom"/>
          </w:tcPr>
          <w:p>
            <w:pPr>
              <w:widowControl/>
              <w:spacing w:before="0" w:beforeAutospacing="0" w:after="0" w:afterAutospacing="0"/>
              <w:ind w:left="0" w:right="0"/>
              <w:jc w:val="left"/>
              <w:textAlignment w:val="bottom"/>
              <w:rPr>
                <w:rFonts w:hint="eastAsia" w:ascii="仿宋" w:hAnsi="仿宋" w:eastAsia="仿宋" w:cs="仿宋"/>
                <w:color w:val="auto"/>
                <w:sz w:val="20"/>
                <w:highlight w:val="none"/>
              </w:rPr>
            </w:pPr>
            <w:r>
              <w:rPr>
                <w:rFonts w:hint="eastAsia" w:ascii="仿宋" w:hAnsi="仿宋" w:eastAsia="仿宋" w:cs="仿宋"/>
                <w:color w:val="auto"/>
                <w:kern w:val="0"/>
                <w:sz w:val="20"/>
                <w:highlight w:val="none"/>
              </w:rPr>
              <w:t xml:space="preserve"> 1、农林牧渔业</w:t>
            </w:r>
          </w:p>
        </w:tc>
        <w:tc>
          <w:tcPr>
            <w:tcW w:w="1383" w:type="dxa"/>
            <w:tcBorders>
              <w:top w:val="single" w:color="000000" w:sz="4" w:space="0"/>
              <w:left w:val="single" w:color="000000" w:sz="12" w:space="0"/>
              <w:bottom w:val="single" w:color="000000" w:sz="4" w:space="0"/>
              <w:right w:val="single" w:color="000000" w:sz="4" w:space="0"/>
            </w:tcBorders>
            <w:tcMar>
              <w:top w:w="15" w:type="dxa"/>
              <w:left w:w="15" w:type="dxa"/>
              <w:bottom w:w="15" w:type="dxa"/>
              <w:right w:w="15" w:type="dxa"/>
            </w:tcMar>
            <w:vAlign w:val="bottom"/>
          </w:tcPr>
          <w:p>
            <w:pPr>
              <w:spacing w:before="0" w:beforeAutospacing="0" w:after="0" w:afterAutospacing="0"/>
              <w:ind w:left="0" w:right="0"/>
              <w:rPr>
                <w:rFonts w:hint="eastAsia" w:ascii="仿宋" w:hAnsi="仿宋" w:eastAsia="仿宋" w:cs="仿宋"/>
                <w:color w:val="auto"/>
                <w:sz w:val="20"/>
                <w:highlight w:val="none"/>
              </w:rPr>
            </w:pPr>
          </w:p>
        </w:tc>
        <w:tc>
          <w:tcPr>
            <w:tcW w:w="1575"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bottom"/>
          </w:tcPr>
          <w:p>
            <w:pPr>
              <w:widowControl/>
              <w:spacing w:before="0" w:beforeAutospacing="0" w:after="0" w:afterAutospacing="0"/>
              <w:ind w:left="0" w:right="0"/>
              <w:jc w:val="left"/>
              <w:textAlignment w:val="bottom"/>
              <w:rPr>
                <w:rFonts w:hint="eastAsia" w:ascii="仿宋" w:hAnsi="仿宋" w:eastAsia="仿宋" w:cs="仿宋"/>
                <w:color w:val="auto"/>
                <w:sz w:val="20"/>
                <w:highlight w:val="none"/>
              </w:rPr>
            </w:pPr>
            <w:r>
              <w:rPr>
                <w:rFonts w:hint="eastAsia" w:ascii="仿宋" w:hAnsi="仿宋" w:eastAsia="仿宋" w:cs="仿宋"/>
                <w:color w:val="auto"/>
                <w:kern w:val="0"/>
                <w:sz w:val="20"/>
                <w:highlight w:val="none"/>
              </w:rPr>
              <w:t xml:space="preserve"> 500≤Y＜20000</w:t>
            </w:r>
          </w:p>
        </w:tc>
        <w:tc>
          <w:tcPr>
            <w:tcW w:w="1550" w:type="dxa"/>
            <w:tcBorders>
              <w:top w:val="single" w:color="000000" w:sz="4" w:space="0"/>
              <w:left w:val="single" w:color="000000" w:sz="4" w:space="0"/>
              <w:bottom w:val="single" w:color="000000" w:sz="4" w:space="0"/>
              <w:right w:val="single" w:color="000000" w:sz="12" w:space="0"/>
            </w:tcBorders>
            <w:tcMar>
              <w:top w:w="15" w:type="dxa"/>
              <w:left w:w="15" w:type="dxa"/>
              <w:bottom w:w="15" w:type="dxa"/>
              <w:right w:w="15" w:type="dxa"/>
            </w:tcMar>
            <w:vAlign w:val="bottom"/>
          </w:tcPr>
          <w:p>
            <w:pPr>
              <w:spacing w:before="0" w:beforeAutospacing="0" w:after="0" w:afterAutospacing="0"/>
              <w:ind w:left="0" w:right="0"/>
              <w:rPr>
                <w:rFonts w:hint="eastAsia" w:ascii="仿宋" w:hAnsi="仿宋" w:eastAsia="仿宋" w:cs="仿宋"/>
                <w:color w:val="auto"/>
                <w:sz w:val="20"/>
                <w:highlight w:val="none"/>
              </w:rPr>
            </w:pPr>
          </w:p>
        </w:tc>
        <w:tc>
          <w:tcPr>
            <w:tcW w:w="1182" w:type="dxa"/>
            <w:tcBorders>
              <w:top w:val="single" w:color="000000" w:sz="4" w:space="0"/>
              <w:left w:val="single" w:color="000000" w:sz="12" w:space="0"/>
              <w:bottom w:val="single" w:color="000000" w:sz="4" w:space="0"/>
              <w:right w:val="single" w:color="000000" w:sz="4" w:space="0"/>
            </w:tcBorders>
            <w:tcMar>
              <w:top w:w="15" w:type="dxa"/>
              <w:left w:w="15" w:type="dxa"/>
              <w:bottom w:w="15" w:type="dxa"/>
              <w:right w:w="15" w:type="dxa"/>
            </w:tcMar>
            <w:vAlign w:val="bottom"/>
          </w:tcPr>
          <w:p>
            <w:pPr>
              <w:spacing w:before="0" w:beforeAutospacing="0" w:after="0" w:afterAutospacing="0"/>
              <w:ind w:left="0" w:right="0"/>
              <w:rPr>
                <w:rFonts w:hint="eastAsia" w:ascii="仿宋" w:hAnsi="仿宋" w:eastAsia="仿宋" w:cs="仿宋"/>
                <w:color w:val="auto"/>
                <w:sz w:val="20"/>
                <w:highlight w:val="none"/>
              </w:rPr>
            </w:pPr>
          </w:p>
        </w:tc>
        <w:tc>
          <w:tcPr>
            <w:tcW w:w="1387"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bottom"/>
          </w:tcPr>
          <w:p>
            <w:pPr>
              <w:widowControl/>
              <w:spacing w:before="0" w:beforeAutospacing="0" w:after="0" w:afterAutospacing="0"/>
              <w:ind w:left="0" w:right="0"/>
              <w:jc w:val="left"/>
              <w:textAlignment w:val="bottom"/>
              <w:rPr>
                <w:rFonts w:hint="eastAsia" w:ascii="仿宋" w:hAnsi="仿宋" w:eastAsia="仿宋" w:cs="仿宋"/>
                <w:color w:val="auto"/>
                <w:sz w:val="20"/>
                <w:highlight w:val="none"/>
              </w:rPr>
            </w:pPr>
            <w:r>
              <w:rPr>
                <w:rFonts w:hint="eastAsia" w:ascii="仿宋" w:hAnsi="仿宋" w:eastAsia="仿宋" w:cs="仿宋"/>
                <w:color w:val="auto"/>
                <w:kern w:val="0"/>
                <w:sz w:val="20"/>
                <w:highlight w:val="none"/>
              </w:rPr>
              <w:t xml:space="preserve"> 50≤Y＜500</w:t>
            </w:r>
          </w:p>
        </w:tc>
        <w:tc>
          <w:tcPr>
            <w:tcW w:w="1425" w:type="dxa"/>
            <w:tcBorders>
              <w:top w:val="single" w:color="000000" w:sz="4" w:space="0"/>
              <w:left w:val="single" w:color="000000" w:sz="4" w:space="0"/>
              <w:bottom w:val="single" w:color="000000" w:sz="4" w:space="0"/>
              <w:right w:val="single" w:color="000000" w:sz="12" w:space="0"/>
            </w:tcBorders>
            <w:tcMar>
              <w:top w:w="15" w:type="dxa"/>
              <w:left w:w="15" w:type="dxa"/>
              <w:bottom w:w="15" w:type="dxa"/>
              <w:right w:w="15" w:type="dxa"/>
            </w:tcMar>
            <w:vAlign w:val="bottom"/>
          </w:tcPr>
          <w:p>
            <w:pPr>
              <w:spacing w:before="0" w:beforeAutospacing="0" w:after="0" w:afterAutospacing="0"/>
              <w:ind w:left="0" w:right="0"/>
              <w:rPr>
                <w:rFonts w:hint="eastAsia" w:ascii="仿宋" w:hAnsi="仿宋" w:eastAsia="仿宋" w:cs="仿宋"/>
                <w:color w:val="auto"/>
                <w:sz w:val="20"/>
                <w:highlight w:val="none"/>
              </w:rPr>
            </w:pPr>
          </w:p>
        </w:tc>
        <w:tc>
          <w:tcPr>
            <w:tcW w:w="1010" w:type="dxa"/>
            <w:tcBorders>
              <w:top w:val="single" w:color="000000" w:sz="4" w:space="0"/>
              <w:left w:val="single" w:color="000000" w:sz="12" w:space="0"/>
              <w:bottom w:val="single" w:color="000000" w:sz="4" w:space="0"/>
              <w:right w:val="single" w:color="000000" w:sz="4" w:space="0"/>
            </w:tcBorders>
            <w:tcMar>
              <w:top w:w="15" w:type="dxa"/>
              <w:left w:w="15" w:type="dxa"/>
              <w:bottom w:w="15" w:type="dxa"/>
              <w:right w:w="15" w:type="dxa"/>
            </w:tcMar>
            <w:vAlign w:val="bottom"/>
          </w:tcPr>
          <w:p>
            <w:pPr>
              <w:spacing w:before="0" w:beforeAutospacing="0" w:after="0" w:afterAutospacing="0"/>
              <w:ind w:left="0" w:right="0"/>
              <w:rPr>
                <w:rFonts w:hint="eastAsia" w:ascii="仿宋" w:hAnsi="仿宋" w:eastAsia="仿宋" w:cs="仿宋"/>
                <w:color w:val="auto"/>
                <w:sz w:val="20"/>
                <w:highlight w:val="none"/>
              </w:rPr>
            </w:pPr>
          </w:p>
        </w:tc>
        <w:tc>
          <w:tcPr>
            <w:tcW w:w="976"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bottom"/>
          </w:tcPr>
          <w:p>
            <w:pPr>
              <w:widowControl/>
              <w:spacing w:before="0" w:beforeAutospacing="0" w:after="0" w:afterAutospacing="0"/>
              <w:ind w:left="0" w:right="0"/>
              <w:jc w:val="left"/>
              <w:textAlignment w:val="bottom"/>
              <w:rPr>
                <w:rFonts w:hint="eastAsia" w:ascii="仿宋" w:hAnsi="仿宋" w:eastAsia="仿宋" w:cs="仿宋"/>
                <w:color w:val="auto"/>
                <w:sz w:val="20"/>
                <w:highlight w:val="none"/>
              </w:rPr>
            </w:pPr>
            <w:r>
              <w:rPr>
                <w:rFonts w:hint="eastAsia" w:ascii="仿宋" w:hAnsi="仿宋" w:eastAsia="仿宋" w:cs="仿宋"/>
                <w:color w:val="auto"/>
                <w:kern w:val="0"/>
                <w:sz w:val="20"/>
                <w:highlight w:val="none"/>
              </w:rPr>
              <w:t>Y＜50</w:t>
            </w:r>
          </w:p>
        </w:tc>
        <w:tc>
          <w:tcPr>
            <w:tcW w:w="2145" w:type="dxa"/>
            <w:tcBorders>
              <w:top w:val="single" w:color="000000" w:sz="4" w:space="0"/>
              <w:left w:val="single" w:color="000000" w:sz="4" w:space="0"/>
              <w:bottom w:val="single" w:color="000000" w:sz="4" w:space="0"/>
              <w:right w:val="single" w:color="000000" w:sz="12" w:space="0"/>
            </w:tcBorders>
            <w:tcMar>
              <w:top w:w="15" w:type="dxa"/>
              <w:left w:w="15" w:type="dxa"/>
              <w:bottom w:w="15" w:type="dxa"/>
              <w:right w:w="15" w:type="dxa"/>
            </w:tcMar>
            <w:vAlign w:val="bottom"/>
          </w:tcPr>
          <w:p>
            <w:pPr>
              <w:spacing w:before="0" w:beforeAutospacing="0" w:after="0" w:afterAutospacing="0"/>
              <w:ind w:left="0" w:right="0"/>
              <w:rPr>
                <w:rFonts w:hint="eastAsia" w:ascii="仿宋" w:hAnsi="仿宋" w:eastAsia="仿宋" w:cs="仿宋"/>
                <w:color w:val="auto"/>
                <w:sz w:val="20"/>
                <w:highlight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7" w:hRule="atLeast"/>
        </w:trPr>
        <w:tc>
          <w:tcPr>
            <w:tcW w:w="2178" w:type="dxa"/>
            <w:tcBorders>
              <w:top w:val="single" w:color="000000" w:sz="4" w:space="0"/>
              <w:left w:val="single" w:color="000000" w:sz="12" w:space="0"/>
              <w:bottom w:val="single" w:color="000000" w:sz="4" w:space="0"/>
              <w:right w:val="single" w:color="000000" w:sz="12" w:space="0"/>
            </w:tcBorders>
            <w:tcMar>
              <w:top w:w="15" w:type="dxa"/>
              <w:left w:w="15" w:type="dxa"/>
              <w:bottom w:w="15" w:type="dxa"/>
              <w:right w:w="15" w:type="dxa"/>
            </w:tcMar>
            <w:vAlign w:val="bottom"/>
          </w:tcPr>
          <w:p>
            <w:pPr>
              <w:widowControl/>
              <w:spacing w:before="0" w:beforeAutospacing="0" w:after="0" w:afterAutospacing="0"/>
              <w:ind w:left="0" w:right="0"/>
              <w:jc w:val="left"/>
              <w:textAlignment w:val="bottom"/>
              <w:rPr>
                <w:rFonts w:hint="eastAsia" w:ascii="仿宋" w:hAnsi="仿宋" w:eastAsia="仿宋" w:cs="仿宋"/>
                <w:color w:val="auto"/>
                <w:sz w:val="20"/>
                <w:highlight w:val="none"/>
              </w:rPr>
            </w:pPr>
            <w:r>
              <w:rPr>
                <w:rFonts w:hint="eastAsia" w:ascii="仿宋" w:hAnsi="仿宋" w:eastAsia="仿宋" w:cs="仿宋"/>
                <w:color w:val="auto"/>
                <w:kern w:val="0"/>
                <w:sz w:val="20"/>
                <w:highlight w:val="none"/>
              </w:rPr>
              <w:t xml:space="preserve"> 2、工业</w:t>
            </w:r>
          </w:p>
        </w:tc>
        <w:tc>
          <w:tcPr>
            <w:tcW w:w="1383" w:type="dxa"/>
            <w:tcBorders>
              <w:top w:val="single" w:color="000000" w:sz="4" w:space="0"/>
              <w:left w:val="single" w:color="000000" w:sz="12" w:space="0"/>
              <w:bottom w:val="single" w:color="000000" w:sz="4" w:space="0"/>
              <w:right w:val="single" w:color="000000" w:sz="4" w:space="0"/>
            </w:tcBorders>
            <w:tcMar>
              <w:top w:w="15" w:type="dxa"/>
              <w:left w:w="15" w:type="dxa"/>
              <w:bottom w:w="15" w:type="dxa"/>
              <w:right w:w="15" w:type="dxa"/>
            </w:tcMar>
            <w:vAlign w:val="bottom"/>
          </w:tcPr>
          <w:p>
            <w:pPr>
              <w:widowControl/>
              <w:spacing w:before="0" w:beforeAutospacing="0" w:after="0" w:afterAutospacing="0"/>
              <w:ind w:left="0" w:right="0"/>
              <w:jc w:val="left"/>
              <w:textAlignment w:val="bottom"/>
              <w:rPr>
                <w:rFonts w:hint="eastAsia" w:ascii="仿宋" w:hAnsi="仿宋" w:eastAsia="仿宋" w:cs="仿宋"/>
                <w:color w:val="auto"/>
                <w:sz w:val="20"/>
                <w:highlight w:val="none"/>
              </w:rPr>
            </w:pPr>
            <w:r>
              <w:rPr>
                <w:rFonts w:hint="eastAsia" w:ascii="仿宋" w:hAnsi="仿宋" w:eastAsia="仿宋" w:cs="仿宋"/>
                <w:color w:val="auto"/>
                <w:kern w:val="0"/>
                <w:sz w:val="20"/>
                <w:highlight w:val="none"/>
              </w:rPr>
              <w:t>300≤X＜1000</w:t>
            </w:r>
          </w:p>
        </w:tc>
        <w:tc>
          <w:tcPr>
            <w:tcW w:w="1575"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bottom"/>
          </w:tcPr>
          <w:p>
            <w:pPr>
              <w:widowControl/>
              <w:spacing w:before="0" w:beforeAutospacing="0" w:after="0" w:afterAutospacing="0"/>
              <w:ind w:left="0" w:right="0"/>
              <w:jc w:val="left"/>
              <w:textAlignment w:val="bottom"/>
              <w:rPr>
                <w:rFonts w:hint="eastAsia" w:ascii="仿宋" w:hAnsi="仿宋" w:eastAsia="仿宋" w:cs="仿宋"/>
                <w:color w:val="auto"/>
                <w:sz w:val="20"/>
                <w:highlight w:val="none"/>
              </w:rPr>
            </w:pPr>
            <w:r>
              <w:rPr>
                <w:rFonts w:hint="eastAsia" w:ascii="仿宋" w:hAnsi="仿宋" w:eastAsia="仿宋" w:cs="仿宋"/>
                <w:color w:val="auto"/>
                <w:kern w:val="0"/>
                <w:sz w:val="20"/>
                <w:highlight w:val="none"/>
              </w:rPr>
              <w:t>2000≤Y＜40000</w:t>
            </w:r>
          </w:p>
        </w:tc>
        <w:tc>
          <w:tcPr>
            <w:tcW w:w="1550" w:type="dxa"/>
            <w:tcBorders>
              <w:top w:val="single" w:color="000000" w:sz="4" w:space="0"/>
              <w:left w:val="single" w:color="000000" w:sz="4" w:space="0"/>
              <w:bottom w:val="single" w:color="000000" w:sz="4" w:space="0"/>
              <w:right w:val="single" w:color="000000" w:sz="12" w:space="0"/>
            </w:tcBorders>
            <w:tcMar>
              <w:top w:w="15" w:type="dxa"/>
              <w:left w:w="15" w:type="dxa"/>
              <w:bottom w:w="15" w:type="dxa"/>
              <w:right w:w="15" w:type="dxa"/>
            </w:tcMar>
            <w:vAlign w:val="bottom"/>
          </w:tcPr>
          <w:p>
            <w:pPr>
              <w:spacing w:before="0" w:beforeAutospacing="0" w:after="0" w:afterAutospacing="0"/>
              <w:ind w:left="0" w:right="0"/>
              <w:rPr>
                <w:rFonts w:hint="eastAsia" w:ascii="仿宋" w:hAnsi="仿宋" w:eastAsia="仿宋" w:cs="仿宋"/>
                <w:color w:val="auto"/>
                <w:sz w:val="20"/>
                <w:highlight w:val="none"/>
              </w:rPr>
            </w:pPr>
          </w:p>
        </w:tc>
        <w:tc>
          <w:tcPr>
            <w:tcW w:w="1182" w:type="dxa"/>
            <w:tcBorders>
              <w:top w:val="single" w:color="000000" w:sz="4" w:space="0"/>
              <w:left w:val="single" w:color="000000" w:sz="12" w:space="0"/>
              <w:bottom w:val="single" w:color="000000" w:sz="4" w:space="0"/>
              <w:right w:val="single" w:color="000000" w:sz="4" w:space="0"/>
            </w:tcBorders>
            <w:tcMar>
              <w:top w:w="15" w:type="dxa"/>
              <w:left w:w="15" w:type="dxa"/>
              <w:bottom w:w="15" w:type="dxa"/>
              <w:right w:w="15" w:type="dxa"/>
            </w:tcMar>
            <w:vAlign w:val="bottom"/>
          </w:tcPr>
          <w:p>
            <w:pPr>
              <w:widowControl/>
              <w:spacing w:before="0" w:beforeAutospacing="0" w:after="0" w:afterAutospacing="0"/>
              <w:ind w:left="0" w:right="0"/>
              <w:jc w:val="left"/>
              <w:textAlignment w:val="bottom"/>
              <w:rPr>
                <w:rFonts w:hint="eastAsia" w:ascii="仿宋" w:hAnsi="仿宋" w:eastAsia="仿宋" w:cs="仿宋"/>
                <w:color w:val="auto"/>
                <w:sz w:val="20"/>
                <w:highlight w:val="none"/>
              </w:rPr>
            </w:pPr>
            <w:r>
              <w:rPr>
                <w:rFonts w:hint="eastAsia" w:ascii="仿宋" w:hAnsi="仿宋" w:eastAsia="仿宋" w:cs="仿宋"/>
                <w:color w:val="auto"/>
                <w:kern w:val="0"/>
                <w:sz w:val="20"/>
                <w:highlight w:val="none"/>
              </w:rPr>
              <w:t>20≤X＜300</w:t>
            </w:r>
          </w:p>
        </w:tc>
        <w:tc>
          <w:tcPr>
            <w:tcW w:w="1387"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bottom"/>
          </w:tcPr>
          <w:p>
            <w:pPr>
              <w:widowControl/>
              <w:spacing w:before="0" w:beforeAutospacing="0" w:after="0" w:afterAutospacing="0"/>
              <w:ind w:left="0" w:right="0"/>
              <w:jc w:val="left"/>
              <w:textAlignment w:val="bottom"/>
              <w:rPr>
                <w:rFonts w:hint="eastAsia" w:ascii="仿宋" w:hAnsi="仿宋" w:eastAsia="仿宋" w:cs="仿宋"/>
                <w:color w:val="auto"/>
                <w:sz w:val="20"/>
                <w:highlight w:val="none"/>
              </w:rPr>
            </w:pPr>
            <w:r>
              <w:rPr>
                <w:rFonts w:hint="eastAsia" w:ascii="仿宋" w:hAnsi="仿宋" w:eastAsia="仿宋" w:cs="仿宋"/>
                <w:color w:val="auto"/>
                <w:kern w:val="0"/>
                <w:sz w:val="20"/>
                <w:highlight w:val="none"/>
              </w:rPr>
              <w:t>300≤Y＜2000</w:t>
            </w:r>
          </w:p>
        </w:tc>
        <w:tc>
          <w:tcPr>
            <w:tcW w:w="1425" w:type="dxa"/>
            <w:tcBorders>
              <w:top w:val="single" w:color="000000" w:sz="4" w:space="0"/>
              <w:left w:val="single" w:color="000000" w:sz="4" w:space="0"/>
              <w:bottom w:val="single" w:color="000000" w:sz="4" w:space="0"/>
              <w:right w:val="single" w:color="000000" w:sz="12" w:space="0"/>
            </w:tcBorders>
            <w:tcMar>
              <w:top w:w="15" w:type="dxa"/>
              <w:left w:w="15" w:type="dxa"/>
              <w:bottom w:w="15" w:type="dxa"/>
              <w:right w:w="15" w:type="dxa"/>
            </w:tcMar>
            <w:vAlign w:val="bottom"/>
          </w:tcPr>
          <w:p>
            <w:pPr>
              <w:spacing w:before="0" w:beforeAutospacing="0" w:after="0" w:afterAutospacing="0"/>
              <w:ind w:left="0" w:right="0"/>
              <w:rPr>
                <w:rFonts w:hint="eastAsia" w:ascii="仿宋" w:hAnsi="仿宋" w:eastAsia="仿宋" w:cs="仿宋"/>
                <w:color w:val="auto"/>
                <w:sz w:val="20"/>
                <w:highlight w:val="none"/>
              </w:rPr>
            </w:pPr>
          </w:p>
        </w:tc>
        <w:tc>
          <w:tcPr>
            <w:tcW w:w="1010" w:type="dxa"/>
            <w:tcBorders>
              <w:top w:val="single" w:color="000000" w:sz="4" w:space="0"/>
              <w:left w:val="single" w:color="000000" w:sz="12" w:space="0"/>
              <w:bottom w:val="single" w:color="000000" w:sz="4" w:space="0"/>
              <w:right w:val="single" w:color="000000" w:sz="4" w:space="0"/>
            </w:tcBorders>
            <w:tcMar>
              <w:top w:w="15" w:type="dxa"/>
              <w:left w:w="15" w:type="dxa"/>
              <w:bottom w:w="15" w:type="dxa"/>
              <w:right w:w="15" w:type="dxa"/>
            </w:tcMar>
            <w:vAlign w:val="bottom"/>
          </w:tcPr>
          <w:p>
            <w:pPr>
              <w:widowControl/>
              <w:spacing w:before="0" w:beforeAutospacing="0" w:after="0" w:afterAutospacing="0"/>
              <w:ind w:left="0" w:right="0"/>
              <w:jc w:val="left"/>
              <w:textAlignment w:val="bottom"/>
              <w:rPr>
                <w:rFonts w:hint="eastAsia" w:ascii="仿宋" w:hAnsi="仿宋" w:eastAsia="仿宋" w:cs="仿宋"/>
                <w:color w:val="auto"/>
                <w:sz w:val="20"/>
                <w:highlight w:val="none"/>
              </w:rPr>
            </w:pPr>
            <w:r>
              <w:rPr>
                <w:rFonts w:hint="eastAsia" w:ascii="仿宋" w:hAnsi="仿宋" w:eastAsia="仿宋" w:cs="仿宋"/>
                <w:color w:val="auto"/>
                <w:kern w:val="0"/>
                <w:sz w:val="20"/>
                <w:highlight w:val="none"/>
              </w:rPr>
              <w:t>X＜20</w:t>
            </w:r>
          </w:p>
        </w:tc>
        <w:tc>
          <w:tcPr>
            <w:tcW w:w="976"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bottom"/>
          </w:tcPr>
          <w:p>
            <w:pPr>
              <w:widowControl/>
              <w:spacing w:before="0" w:beforeAutospacing="0" w:after="0" w:afterAutospacing="0"/>
              <w:ind w:left="0" w:right="0"/>
              <w:jc w:val="left"/>
              <w:textAlignment w:val="bottom"/>
              <w:rPr>
                <w:rFonts w:hint="eastAsia" w:ascii="仿宋" w:hAnsi="仿宋" w:eastAsia="仿宋" w:cs="仿宋"/>
                <w:color w:val="auto"/>
                <w:sz w:val="20"/>
                <w:highlight w:val="none"/>
              </w:rPr>
            </w:pPr>
            <w:r>
              <w:rPr>
                <w:rFonts w:hint="eastAsia" w:ascii="仿宋" w:hAnsi="仿宋" w:eastAsia="仿宋" w:cs="仿宋"/>
                <w:color w:val="auto"/>
                <w:kern w:val="0"/>
                <w:sz w:val="20"/>
                <w:highlight w:val="none"/>
              </w:rPr>
              <w:t>Y＜300</w:t>
            </w:r>
          </w:p>
        </w:tc>
        <w:tc>
          <w:tcPr>
            <w:tcW w:w="2145" w:type="dxa"/>
            <w:tcBorders>
              <w:top w:val="single" w:color="000000" w:sz="4" w:space="0"/>
              <w:left w:val="single" w:color="000000" w:sz="4" w:space="0"/>
              <w:bottom w:val="single" w:color="000000" w:sz="4" w:space="0"/>
              <w:right w:val="single" w:color="000000" w:sz="12" w:space="0"/>
            </w:tcBorders>
            <w:tcMar>
              <w:top w:w="15" w:type="dxa"/>
              <w:left w:w="15" w:type="dxa"/>
              <w:bottom w:w="15" w:type="dxa"/>
              <w:right w:w="15" w:type="dxa"/>
            </w:tcMar>
            <w:vAlign w:val="bottom"/>
          </w:tcPr>
          <w:p>
            <w:pPr>
              <w:spacing w:before="0" w:beforeAutospacing="0" w:after="0" w:afterAutospacing="0"/>
              <w:ind w:left="0" w:right="0"/>
              <w:rPr>
                <w:rFonts w:hint="eastAsia" w:ascii="仿宋" w:hAnsi="仿宋" w:eastAsia="仿宋" w:cs="仿宋"/>
                <w:color w:val="auto"/>
                <w:sz w:val="20"/>
                <w:highlight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7" w:hRule="atLeast"/>
        </w:trPr>
        <w:tc>
          <w:tcPr>
            <w:tcW w:w="2178" w:type="dxa"/>
            <w:tcBorders>
              <w:top w:val="single" w:color="000000" w:sz="4" w:space="0"/>
              <w:left w:val="single" w:color="000000" w:sz="12" w:space="0"/>
              <w:bottom w:val="single" w:color="000000" w:sz="4" w:space="0"/>
              <w:right w:val="single" w:color="000000" w:sz="12" w:space="0"/>
            </w:tcBorders>
            <w:tcMar>
              <w:top w:w="15" w:type="dxa"/>
              <w:left w:w="15" w:type="dxa"/>
              <w:bottom w:w="15" w:type="dxa"/>
              <w:right w:w="15" w:type="dxa"/>
            </w:tcMar>
            <w:vAlign w:val="bottom"/>
          </w:tcPr>
          <w:p>
            <w:pPr>
              <w:widowControl/>
              <w:spacing w:before="0" w:beforeAutospacing="0" w:after="0" w:afterAutospacing="0"/>
              <w:ind w:left="0" w:right="0"/>
              <w:jc w:val="left"/>
              <w:textAlignment w:val="bottom"/>
              <w:rPr>
                <w:rFonts w:hint="eastAsia" w:ascii="仿宋" w:hAnsi="仿宋" w:eastAsia="仿宋" w:cs="仿宋"/>
                <w:color w:val="auto"/>
                <w:sz w:val="20"/>
                <w:highlight w:val="none"/>
              </w:rPr>
            </w:pPr>
            <w:r>
              <w:rPr>
                <w:rFonts w:hint="eastAsia" w:ascii="仿宋" w:hAnsi="仿宋" w:eastAsia="仿宋" w:cs="仿宋"/>
                <w:color w:val="auto"/>
                <w:kern w:val="0"/>
                <w:sz w:val="20"/>
                <w:highlight w:val="none"/>
              </w:rPr>
              <w:t xml:space="preserve"> 3、建筑业</w:t>
            </w:r>
          </w:p>
        </w:tc>
        <w:tc>
          <w:tcPr>
            <w:tcW w:w="1383" w:type="dxa"/>
            <w:tcBorders>
              <w:top w:val="single" w:color="000000" w:sz="4" w:space="0"/>
              <w:left w:val="single" w:color="000000" w:sz="12" w:space="0"/>
              <w:bottom w:val="single" w:color="000000" w:sz="4" w:space="0"/>
              <w:right w:val="single" w:color="000000" w:sz="4" w:space="0"/>
            </w:tcBorders>
            <w:tcMar>
              <w:top w:w="15" w:type="dxa"/>
              <w:left w:w="15" w:type="dxa"/>
              <w:bottom w:w="15" w:type="dxa"/>
              <w:right w:w="15" w:type="dxa"/>
            </w:tcMar>
            <w:vAlign w:val="bottom"/>
          </w:tcPr>
          <w:p>
            <w:pPr>
              <w:spacing w:before="0" w:beforeAutospacing="0" w:after="0" w:afterAutospacing="0"/>
              <w:ind w:left="0" w:right="0"/>
              <w:rPr>
                <w:rFonts w:hint="eastAsia" w:ascii="仿宋" w:hAnsi="仿宋" w:eastAsia="仿宋" w:cs="仿宋"/>
                <w:color w:val="auto"/>
                <w:sz w:val="20"/>
                <w:highlight w:val="none"/>
              </w:rPr>
            </w:pPr>
          </w:p>
        </w:tc>
        <w:tc>
          <w:tcPr>
            <w:tcW w:w="1575"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bottom"/>
          </w:tcPr>
          <w:p>
            <w:pPr>
              <w:widowControl/>
              <w:spacing w:before="0" w:beforeAutospacing="0" w:after="0" w:afterAutospacing="0"/>
              <w:ind w:left="0" w:right="0"/>
              <w:jc w:val="left"/>
              <w:textAlignment w:val="bottom"/>
              <w:rPr>
                <w:rFonts w:hint="eastAsia" w:ascii="仿宋" w:hAnsi="仿宋" w:eastAsia="仿宋" w:cs="仿宋"/>
                <w:color w:val="auto"/>
                <w:sz w:val="20"/>
                <w:highlight w:val="none"/>
              </w:rPr>
            </w:pPr>
            <w:r>
              <w:rPr>
                <w:rFonts w:hint="eastAsia" w:ascii="仿宋" w:hAnsi="仿宋" w:eastAsia="仿宋" w:cs="仿宋"/>
                <w:color w:val="auto"/>
                <w:kern w:val="0"/>
                <w:sz w:val="20"/>
                <w:highlight w:val="none"/>
              </w:rPr>
              <w:t>6000≤Y＜80000</w:t>
            </w:r>
          </w:p>
        </w:tc>
        <w:tc>
          <w:tcPr>
            <w:tcW w:w="1550" w:type="dxa"/>
            <w:tcBorders>
              <w:top w:val="single" w:color="000000" w:sz="4" w:space="0"/>
              <w:left w:val="single" w:color="000000" w:sz="4" w:space="0"/>
              <w:bottom w:val="single" w:color="000000" w:sz="4" w:space="0"/>
              <w:right w:val="single" w:color="000000" w:sz="12" w:space="0"/>
            </w:tcBorders>
            <w:tcMar>
              <w:top w:w="15" w:type="dxa"/>
              <w:left w:w="15" w:type="dxa"/>
              <w:bottom w:w="15" w:type="dxa"/>
              <w:right w:w="15" w:type="dxa"/>
            </w:tcMar>
            <w:vAlign w:val="bottom"/>
          </w:tcPr>
          <w:p>
            <w:pPr>
              <w:widowControl/>
              <w:spacing w:before="0" w:beforeAutospacing="0" w:after="0" w:afterAutospacing="0"/>
              <w:ind w:left="0" w:right="0"/>
              <w:jc w:val="left"/>
              <w:textAlignment w:val="bottom"/>
              <w:rPr>
                <w:rFonts w:hint="eastAsia" w:ascii="仿宋" w:hAnsi="仿宋" w:eastAsia="仿宋" w:cs="仿宋"/>
                <w:color w:val="auto"/>
                <w:sz w:val="20"/>
                <w:highlight w:val="none"/>
              </w:rPr>
            </w:pPr>
            <w:r>
              <w:rPr>
                <w:rFonts w:hint="eastAsia" w:ascii="仿宋" w:hAnsi="仿宋" w:eastAsia="仿宋" w:cs="仿宋"/>
                <w:color w:val="auto"/>
                <w:kern w:val="0"/>
                <w:sz w:val="20"/>
                <w:highlight w:val="none"/>
              </w:rPr>
              <w:t>5000≤Z＜80000</w:t>
            </w:r>
          </w:p>
        </w:tc>
        <w:tc>
          <w:tcPr>
            <w:tcW w:w="1182" w:type="dxa"/>
            <w:tcBorders>
              <w:top w:val="single" w:color="000000" w:sz="4" w:space="0"/>
              <w:left w:val="single" w:color="000000" w:sz="12" w:space="0"/>
              <w:bottom w:val="single" w:color="000000" w:sz="4" w:space="0"/>
              <w:right w:val="single" w:color="000000" w:sz="4" w:space="0"/>
            </w:tcBorders>
            <w:tcMar>
              <w:top w:w="15" w:type="dxa"/>
              <w:left w:w="15" w:type="dxa"/>
              <w:bottom w:w="15" w:type="dxa"/>
              <w:right w:w="15" w:type="dxa"/>
            </w:tcMar>
            <w:vAlign w:val="bottom"/>
          </w:tcPr>
          <w:p>
            <w:pPr>
              <w:spacing w:before="0" w:beforeAutospacing="0" w:after="0" w:afterAutospacing="0"/>
              <w:ind w:left="0" w:right="0"/>
              <w:rPr>
                <w:rFonts w:hint="eastAsia" w:ascii="仿宋" w:hAnsi="仿宋" w:eastAsia="仿宋" w:cs="仿宋"/>
                <w:color w:val="auto"/>
                <w:sz w:val="20"/>
                <w:highlight w:val="none"/>
              </w:rPr>
            </w:pPr>
          </w:p>
        </w:tc>
        <w:tc>
          <w:tcPr>
            <w:tcW w:w="1387"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bottom"/>
          </w:tcPr>
          <w:p>
            <w:pPr>
              <w:widowControl/>
              <w:spacing w:before="0" w:beforeAutospacing="0" w:after="0" w:afterAutospacing="0"/>
              <w:ind w:left="0" w:right="0"/>
              <w:jc w:val="left"/>
              <w:textAlignment w:val="bottom"/>
              <w:rPr>
                <w:rFonts w:hint="eastAsia" w:ascii="仿宋" w:hAnsi="仿宋" w:eastAsia="仿宋" w:cs="仿宋"/>
                <w:color w:val="auto"/>
                <w:sz w:val="20"/>
                <w:highlight w:val="none"/>
              </w:rPr>
            </w:pPr>
            <w:r>
              <w:rPr>
                <w:rFonts w:hint="eastAsia" w:ascii="仿宋" w:hAnsi="仿宋" w:eastAsia="仿宋" w:cs="仿宋"/>
                <w:color w:val="auto"/>
                <w:kern w:val="0"/>
                <w:sz w:val="20"/>
                <w:highlight w:val="none"/>
              </w:rPr>
              <w:t>300≤Y＜6000</w:t>
            </w:r>
          </w:p>
        </w:tc>
        <w:tc>
          <w:tcPr>
            <w:tcW w:w="1425" w:type="dxa"/>
            <w:tcBorders>
              <w:top w:val="single" w:color="000000" w:sz="4" w:space="0"/>
              <w:left w:val="single" w:color="000000" w:sz="4" w:space="0"/>
              <w:bottom w:val="single" w:color="000000" w:sz="4" w:space="0"/>
              <w:right w:val="single" w:color="000000" w:sz="12" w:space="0"/>
            </w:tcBorders>
            <w:tcMar>
              <w:top w:w="15" w:type="dxa"/>
              <w:left w:w="15" w:type="dxa"/>
              <w:bottom w:w="15" w:type="dxa"/>
              <w:right w:w="15" w:type="dxa"/>
            </w:tcMar>
            <w:vAlign w:val="bottom"/>
          </w:tcPr>
          <w:p>
            <w:pPr>
              <w:widowControl/>
              <w:spacing w:before="0" w:beforeAutospacing="0" w:after="0" w:afterAutospacing="0"/>
              <w:ind w:left="0" w:right="0"/>
              <w:jc w:val="left"/>
              <w:textAlignment w:val="bottom"/>
              <w:rPr>
                <w:rFonts w:hint="eastAsia" w:ascii="仿宋" w:hAnsi="仿宋" w:eastAsia="仿宋" w:cs="仿宋"/>
                <w:color w:val="auto"/>
                <w:sz w:val="20"/>
                <w:highlight w:val="none"/>
              </w:rPr>
            </w:pPr>
            <w:r>
              <w:rPr>
                <w:rFonts w:hint="eastAsia" w:ascii="仿宋" w:hAnsi="仿宋" w:eastAsia="仿宋" w:cs="仿宋"/>
                <w:color w:val="auto"/>
                <w:kern w:val="0"/>
                <w:sz w:val="20"/>
                <w:highlight w:val="none"/>
              </w:rPr>
              <w:t xml:space="preserve"> 300≤Z＜5000</w:t>
            </w:r>
          </w:p>
        </w:tc>
        <w:tc>
          <w:tcPr>
            <w:tcW w:w="1010" w:type="dxa"/>
            <w:tcBorders>
              <w:top w:val="single" w:color="000000" w:sz="4" w:space="0"/>
              <w:left w:val="single" w:color="000000" w:sz="12" w:space="0"/>
              <w:bottom w:val="single" w:color="000000" w:sz="4" w:space="0"/>
              <w:right w:val="single" w:color="000000" w:sz="4" w:space="0"/>
            </w:tcBorders>
            <w:tcMar>
              <w:top w:w="15" w:type="dxa"/>
              <w:left w:w="15" w:type="dxa"/>
              <w:bottom w:w="15" w:type="dxa"/>
              <w:right w:w="15" w:type="dxa"/>
            </w:tcMar>
            <w:vAlign w:val="bottom"/>
          </w:tcPr>
          <w:p>
            <w:pPr>
              <w:spacing w:before="0" w:beforeAutospacing="0" w:after="0" w:afterAutospacing="0"/>
              <w:ind w:left="0" w:right="0"/>
              <w:rPr>
                <w:rFonts w:hint="eastAsia" w:ascii="仿宋" w:hAnsi="仿宋" w:eastAsia="仿宋" w:cs="仿宋"/>
                <w:color w:val="auto"/>
                <w:sz w:val="20"/>
                <w:highlight w:val="none"/>
              </w:rPr>
            </w:pPr>
          </w:p>
        </w:tc>
        <w:tc>
          <w:tcPr>
            <w:tcW w:w="976"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bottom"/>
          </w:tcPr>
          <w:p>
            <w:pPr>
              <w:widowControl/>
              <w:spacing w:before="0" w:beforeAutospacing="0" w:after="0" w:afterAutospacing="0"/>
              <w:ind w:left="0" w:right="0"/>
              <w:jc w:val="left"/>
              <w:textAlignment w:val="bottom"/>
              <w:rPr>
                <w:rFonts w:hint="eastAsia" w:ascii="仿宋" w:hAnsi="仿宋" w:eastAsia="仿宋" w:cs="仿宋"/>
                <w:color w:val="auto"/>
                <w:sz w:val="20"/>
                <w:highlight w:val="none"/>
              </w:rPr>
            </w:pPr>
            <w:r>
              <w:rPr>
                <w:rFonts w:hint="eastAsia" w:ascii="仿宋" w:hAnsi="仿宋" w:eastAsia="仿宋" w:cs="仿宋"/>
                <w:color w:val="auto"/>
                <w:kern w:val="0"/>
                <w:sz w:val="20"/>
                <w:highlight w:val="none"/>
              </w:rPr>
              <w:t>Y＜300</w:t>
            </w:r>
          </w:p>
        </w:tc>
        <w:tc>
          <w:tcPr>
            <w:tcW w:w="2145" w:type="dxa"/>
            <w:tcBorders>
              <w:top w:val="single" w:color="000000" w:sz="4" w:space="0"/>
              <w:left w:val="single" w:color="000000" w:sz="4" w:space="0"/>
              <w:bottom w:val="single" w:color="000000" w:sz="4" w:space="0"/>
              <w:right w:val="single" w:color="000000" w:sz="12" w:space="0"/>
            </w:tcBorders>
            <w:tcMar>
              <w:top w:w="15" w:type="dxa"/>
              <w:left w:w="15" w:type="dxa"/>
              <w:bottom w:w="15" w:type="dxa"/>
              <w:right w:w="15" w:type="dxa"/>
            </w:tcMar>
            <w:vAlign w:val="bottom"/>
          </w:tcPr>
          <w:p>
            <w:pPr>
              <w:widowControl/>
              <w:spacing w:before="0" w:beforeAutospacing="0" w:after="0" w:afterAutospacing="0"/>
              <w:ind w:left="0" w:right="0"/>
              <w:jc w:val="left"/>
              <w:textAlignment w:val="bottom"/>
              <w:rPr>
                <w:rFonts w:hint="eastAsia" w:ascii="仿宋" w:hAnsi="仿宋" w:eastAsia="仿宋" w:cs="仿宋"/>
                <w:color w:val="auto"/>
                <w:sz w:val="20"/>
                <w:highlight w:val="none"/>
              </w:rPr>
            </w:pPr>
            <w:r>
              <w:rPr>
                <w:rFonts w:hint="eastAsia" w:ascii="仿宋" w:hAnsi="仿宋" w:eastAsia="仿宋" w:cs="仿宋"/>
                <w:color w:val="auto"/>
                <w:kern w:val="0"/>
                <w:sz w:val="20"/>
                <w:highlight w:val="none"/>
              </w:rPr>
              <w:t>Z＜300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7" w:hRule="atLeast"/>
        </w:trPr>
        <w:tc>
          <w:tcPr>
            <w:tcW w:w="2178" w:type="dxa"/>
            <w:tcBorders>
              <w:top w:val="single" w:color="000000" w:sz="4" w:space="0"/>
              <w:left w:val="single" w:color="000000" w:sz="12" w:space="0"/>
              <w:bottom w:val="single" w:color="000000" w:sz="4" w:space="0"/>
              <w:right w:val="single" w:color="000000" w:sz="12" w:space="0"/>
            </w:tcBorders>
            <w:tcMar>
              <w:top w:w="15" w:type="dxa"/>
              <w:left w:w="15" w:type="dxa"/>
              <w:bottom w:w="15" w:type="dxa"/>
              <w:right w:w="15" w:type="dxa"/>
            </w:tcMar>
            <w:vAlign w:val="bottom"/>
          </w:tcPr>
          <w:p>
            <w:pPr>
              <w:widowControl/>
              <w:spacing w:before="0" w:beforeAutospacing="0" w:after="0" w:afterAutospacing="0"/>
              <w:ind w:left="0" w:right="0"/>
              <w:jc w:val="left"/>
              <w:textAlignment w:val="bottom"/>
              <w:rPr>
                <w:rFonts w:hint="eastAsia" w:ascii="仿宋" w:hAnsi="仿宋" w:eastAsia="仿宋" w:cs="仿宋"/>
                <w:color w:val="auto"/>
                <w:sz w:val="20"/>
                <w:highlight w:val="none"/>
              </w:rPr>
            </w:pPr>
            <w:r>
              <w:rPr>
                <w:rFonts w:hint="eastAsia" w:ascii="仿宋" w:hAnsi="仿宋" w:eastAsia="仿宋" w:cs="仿宋"/>
                <w:color w:val="auto"/>
                <w:kern w:val="0"/>
                <w:sz w:val="20"/>
                <w:highlight w:val="none"/>
              </w:rPr>
              <w:t xml:space="preserve"> 4、批发业</w:t>
            </w:r>
          </w:p>
        </w:tc>
        <w:tc>
          <w:tcPr>
            <w:tcW w:w="1383" w:type="dxa"/>
            <w:tcBorders>
              <w:top w:val="single" w:color="000000" w:sz="4" w:space="0"/>
              <w:left w:val="single" w:color="000000" w:sz="12" w:space="0"/>
              <w:bottom w:val="single" w:color="000000" w:sz="4" w:space="0"/>
              <w:right w:val="single" w:color="000000" w:sz="4" w:space="0"/>
            </w:tcBorders>
            <w:tcMar>
              <w:top w:w="15" w:type="dxa"/>
              <w:left w:w="15" w:type="dxa"/>
              <w:bottom w:w="15" w:type="dxa"/>
              <w:right w:w="15" w:type="dxa"/>
            </w:tcMar>
            <w:vAlign w:val="bottom"/>
          </w:tcPr>
          <w:p>
            <w:pPr>
              <w:widowControl/>
              <w:spacing w:before="0" w:beforeAutospacing="0" w:after="0" w:afterAutospacing="0"/>
              <w:ind w:left="0" w:right="0"/>
              <w:jc w:val="left"/>
              <w:textAlignment w:val="bottom"/>
              <w:rPr>
                <w:rFonts w:hint="eastAsia" w:ascii="仿宋" w:hAnsi="仿宋" w:eastAsia="仿宋" w:cs="仿宋"/>
                <w:color w:val="auto"/>
                <w:sz w:val="20"/>
                <w:highlight w:val="none"/>
              </w:rPr>
            </w:pPr>
            <w:r>
              <w:rPr>
                <w:rFonts w:hint="eastAsia" w:ascii="仿宋" w:hAnsi="仿宋" w:eastAsia="仿宋" w:cs="仿宋"/>
                <w:color w:val="auto"/>
                <w:kern w:val="0"/>
                <w:sz w:val="20"/>
                <w:highlight w:val="none"/>
              </w:rPr>
              <w:t xml:space="preserve"> 20≤X＜200</w:t>
            </w:r>
          </w:p>
        </w:tc>
        <w:tc>
          <w:tcPr>
            <w:tcW w:w="1575"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bottom"/>
          </w:tcPr>
          <w:p>
            <w:pPr>
              <w:widowControl/>
              <w:spacing w:before="0" w:beforeAutospacing="0" w:after="0" w:afterAutospacing="0"/>
              <w:ind w:left="0" w:right="0"/>
              <w:jc w:val="left"/>
              <w:textAlignment w:val="bottom"/>
              <w:rPr>
                <w:rFonts w:hint="eastAsia" w:ascii="仿宋" w:hAnsi="仿宋" w:eastAsia="仿宋" w:cs="仿宋"/>
                <w:color w:val="auto"/>
                <w:sz w:val="20"/>
                <w:highlight w:val="none"/>
              </w:rPr>
            </w:pPr>
            <w:r>
              <w:rPr>
                <w:rFonts w:hint="eastAsia" w:ascii="仿宋" w:hAnsi="仿宋" w:eastAsia="仿宋" w:cs="仿宋"/>
                <w:color w:val="auto"/>
                <w:kern w:val="0"/>
                <w:sz w:val="20"/>
                <w:highlight w:val="none"/>
              </w:rPr>
              <w:t>5000≤Y＜40000</w:t>
            </w:r>
          </w:p>
        </w:tc>
        <w:tc>
          <w:tcPr>
            <w:tcW w:w="1550" w:type="dxa"/>
            <w:tcBorders>
              <w:top w:val="single" w:color="000000" w:sz="4" w:space="0"/>
              <w:left w:val="single" w:color="000000" w:sz="4" w:space="0"/>
              <w:bottom w:val="single" w:color="000000" w:sz="4" w:space="0"/>
              <w:right w:val="single" w:color="000000" w:sz="12" w:space="0"/>
            </w:tcBorders>
            <w:tcMar>
              <w:top w:w="15" w:type="dxa"/>
              <w:left w:w="15" w:type="dxa"/>
              <w:bottom w:w="15" w:type="dxa"/>
              <w:right w:w="15" w:type="dxa"/>
            </w:tcMar>
            <w:vAlign w:val="bottom"/>
          </w:tcPr>
          <w:p>
            <w:pPr>
              <w:spacing w:before="0" w:beforeAutospacing="0" w:after="0" w:afterAutospacing="0"/>
              <w:ind w:left="0" w:right="0"/>
              <w:rPr>
                <w:rFonts w:hint="eastAsia" w:ascii="仿宋" w:hAnsi="仿宋" w:eastAsia="仿宋" w:cs="仿宋"/>
                <w:color w:val="auto"/>
                <w:sz w:val="20"/>
                <w:highlight w:val="none"/>
              </w:rPr>
            </w:pPr>
          </w:p>
        </w:tc>
        <w:tc>
          <w:tcPr>
            <w:tcW w:w="1182" w:type="dxa"/>
            <w:tcBorders>
              <w:top w:val="single" w:color="000000" w:sz="4" w:space="0"/>
              <w:left w:val="single" w:color="000000" w:sz="12" w:space="0"/>
              <w:bottom w:val="single" w:color="000000" w:sz="4" w:space="0"/>
              <w:right w:val="single" w:color="000000" w:sz="4" w:space="0"/>
            </w:tcBorders>
            <w:tcMar>
              <w:top w:w="15" w:type="dxa"/>
              <w:left w:w="15" w:type="dxa"/>
              <w:bottom w:w="15" w:type="dxa"/>
              <w:right w:w="15" w:type="dxa"/>
            </w:tcMar>
            <w:vAlign w:val="bottom"/>
          </w:tcPr>
          <w:p>
            <w:pPr>
              <w:widowControl/>
              <w:spacing w:before="0" w:beforeAutospacing="0" w:after="0" w:afterAutospacing="0"/>
              <w:ind w:left="0" w:right="0"/>
              <w:jc w:val="left"/>
              <w:textAlignment w:val="bottom"/>
              <w:rPr>
                <w:rFonts w:hint="eastAsia" w:ascii="仿宋" w:hAnsi="仿宋" w:eastAsia="仿宋" w:cs="仿宋"/>
                <w:color w:val="auto"/>
                <w:sz w:val="20"/>
                <w:highlight w:val="none"/>
              </w:rPr>
            </w:pPr>
            <w:r>
              <w:rPr>
                <w:rFonts w:hint="eastAsia" w:ascii="仿宋" w:hAnsi="仿宋" w:eastAsia="仿宋" w:cs="仿宋"/>
                <w:color w:val="auto"/>
                <w:kern w:val="0"/>
                <w:sz w:val="20"/>
                <w:highlight w:val="none"/>
              </w:rPr>
              <w:t xml:space="preserve"> 5≤X＜20</w:t>
            </w:r>
          </w:p>
        </w:tc>
        <w:tc>
          <w:tcPr>
            <w:tcW w:w="1387"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bottom"/>
          </w:tcPr>
          <w:p>
            <w:pPr>
              <w:widowControl/>
              <w:spacing w:before="0" w:beforeAutospacing="0" w:after="0" w:afterAutospacing="0"/>
              <w:ind w:left="0" w:right="0"/>
              <w:jc w:val="left"/>
              <w:textAlignment w:val="bottom"/>
              <w:rPr>
                <w:rFonts w:hint="eastAsia" w:ascii="仿宋" w:hAnsi="仿宋" w:eastAsia="仿宋" w:cs="仿宋"/>
                <w:color w:val="auto"/>
                <w:sz w:val="20"/>
                <w:highlight w:val="none"/>
              </w:rPr>
            </w:pPr>
            <w:r>
              <w:rPr>
                <w:rFonts w:hint="eastAsia" w:ascii="仿宋" w:hAnsi="仿宋" w:eastAsia="仿宋" w:cs="仿宋"/>
                <w:color w:val="auto"/>
                <w:kern w:val="0"/>
                <w:sz w:val="20"/>
                <w:highlight w:val="none"/>
              </w:rPr>
              <w:t>1000≤Y＜5000</w:t>
            </w:r>
          </w:p>
        </w:tc>
        <w:tc>
          <w:tcPr>
            <w:tcW w:w="1425" w:type="dxa"/>
            <w:tcBorders>
              <w:top w:val="single" w:color="000000" w:sz="4" w:space="0"/>
              <w:left w:val="single" w:color="000000" w:sz="4" w:space="0"/>
              <w:bottom w:val="single" w:color="000000" w:sz="4" w:space="0"/>
              <w:right w:val="single" w:color="000000" w:sz="12" w:space="0"/>
            </w:tcBorders>
            <w:tcMar>
              <w:top w:w="15" w:type="dxa"/>
              <w:left w:w="15" w:type="dxa"/>
              <w:bottom w:w="15" w:type="dxa"/>
              <w:right w:w="15" w:type="dxa"/>
            </w:tcMar>
            <w:vAlign w:val="bottom"/>
          </w:tcPr>
          <w:p>
            <w:pPr>
              <w:spacing w:before="0" w:beforeAutospacing="0" w:after="0" w:afterAutospacing="0"/>
              <w:ind w:left="0" w:right="0"/>
              <w:rPr>
                <w:rFonts w:hint="eastAsia" w:ascii="仿宋" w:hAnsi="仿宋" w:eastAsia="仿宋" w:cs="仿宋"/>
                <w:color w:val="auto"/>
                <w:sz w:val="20"/>
                <w:highlight w:val="none"/>
              </w:rPr>
            </w:pPr>
          </w:p>
        </w:tc>
        <w:tc>
          <w:tcPr>
            <w:tcW w:w="1010" w:type="dxa"/>
            <w:tcBorders>
              <w:top w:val="single" w:color="000000" w:sz="4" w:space="0"/>
              <w:left w:val="single" w:color="000000" w:sz="12" w:space="0"/>
              <w:bottom w:val="single" w:color="000000" w:sz="4" w:space="0"/>
              <w:right w:val="single" w:color="000000" w:sz="4" w:space="0"/>
            </w:tcBorders>
            <w:tcMar>
              <w:top w:w="15" w:type="dxa"/>
              <w:left w:w="15" w:type="dxa"/>
              <w:bottom w:w="15" w:type="dxa"/>
              <w:right w:w="15" w:type="dxa"/>
            </w:tcMar>
            <w:vAlign w:val="bottom"/>
          </w:tcPr>
          <w:p>
            <w:pPr>
              <w:widowControl/>
              <w:spacing w:before="0" w:beforeAutospacing="0" w:after="0" w:afterAutospacing="0"/>
              <w:ind w:left="0" w:right="0"/>
              <w:jc w:val="left"/>
              <w:textAlignment w:val="bottom"/>
              <w:rPr>
                <w:rFonts w:hint="eastAsia" w:ascii="仿宋" w:hAnsi="仿宋" w:eastAsia="仿宋" w:cs="仿宋"/>
                <w:color w:val="auto"/>
                <w:sz w:val="20"/>
                <w:highlight w:val="none"/>
              </w:rPr>
            </w:pPr>
            <w:r>
              <w:rPr>
                <w:rFonts w:hint="eastAsia" w:ascii="仿宋" w:hAnsi="仿宋" w:eastAsia="仿宋" w:cs="仿宋"/>
                <w:color w:val="auto"/>
                <w:kern w:val="0"/>
                <w:sz w:val="20"/>
                <w:highlight w:val="none"/>
              </w:rPr>
              <w:t>X＜5</w:t>
            </w:r>
          </w:p>
        </w:tc>
        <w:tc>
          <w:tcPr>
            <w:tcW w:w="976"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bottom"/>
          </w:tcPr>
          <w:p>
            <w:pPr>
              <w:widowControl/>
              <w:spacing w:before="0" w:beforeAutospacing="0" w:after="0" w:afterAutospacing="0"/>
              <w:ind w:left="0" w:right="0"/>
              <w:jc w:val="left"/>
              <w:textAlignment w:val="bottom"/>
              <w:rPr>
                <w:rFonts w:hint="eastAsia" w:ascii="仿宋" w:hAnsi="仿宋" w:eastAsia="仿宋" w:cs="仿宋"/>
                <w:color w:val="auto"/>
                <w:sz w:val="20"/>
                <w:highlight w:val="none"/>
              </w:rPr>
            </w:pPr>
            <w:r>
              <w:rPr>
                <w:rFonts w:hint="eastAsia" w:ascii="仿宋" w:hAnsi="仿宋" w:eastAsia="仿宋" w:cs="仿宋"/>
                <w:color w:val="auto"/>
                <w:kern w:val="0"/>
                <w:sz w:val="20"/>
                <w:highlight w:val="none"/>
              </w:rPr>
              <w:t>Y＜1000</w:t>
            </w:r>
          </w:p>
        </w:tc>
        <w:tc>
          <w:tcPr>
            <w:tcW w:w="2145" w:type="dxa"/>
            <w:tcBorders>
              <w:top w:val="single" w:color="000000" w:sz="4" w:space="0"/>
              <w:left w:val="single" w:color="000000" w:sz="4" w:space="0"/>
              <w:bottom w:val="single" w:color="000000" w:sz="4" w:space="0"/>
              <w:right w:val="single" w:color="000000" w:sz="12" w:space="0"/>
            </w:tcBorders>
            <w:tcMar>
              <w:top w:w="15" w:type="dxa"/>
              <w:left w:w="15" w:type="dxa"/>
              <w:bottom w:w="15" w:type="dxa"/>
              <w:right w:w="15" w:type="dxa"/>
            </w:tcMar>
            <w:vAlign w:val="bottom"/>
          </w:tcPr>
          <w:p>
            <w:pPr>
              <w:spacing w:before="0" w:beforeAutospacing="0" w:after="0" w:afterAutospacing="0"/>
              <w:ind w:left="0" w:right="0"/>
              <w:rPr>
                <w:rFonts w:hint="eastAsia" w:ascii="仿宋" w:hAnsi="仿宋" w:eastAsia="仿宋" w:cs="仿宋"/>
                <w:color w:val="auto"/>
                <w:sz w:val="20"/>
                <w:highlight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7" w:hRule="atLeast"/>
        </w:trPr>
        <w:tc>
          <w:tcPr>
            <w:tcW w:w="2178" w:type="dxa"/>
            <w:tcBorders>
              <w:top w:val="single" w:color="000000" w:sz="4" w:space="0"/>
              <w:left w:val="single" w:color="000000" w:sz="12" w:space="0"/>
              <w:bottom w:val="single" w:color="000000" w:sz="4" w:space="0"/>
              <w:right w:val="single" w:color="000000" w:sz="12" w:space="0"/>
            </w:tcBorders>
            <w:tcMar>
              <w:top w:w="15" w:type="dxa"/>
              <w:left w:w="15" w:type="dxa"/>
              <w:bottom w:w="15" w:type="dxa"/>
              <w:right w:w="15" w:type="dxa"/>
            </w:tcMar>
            <w:vAlign w:val="bottom"/>
          </w:tcPr>
          <w:p>
            <w:pPr>
              <w:widowControl/>
              <w:spacing w:before="0" w:beforeAutospacing="0" w:after="0" w:afterAutospacing="0"/>
              <w:ind w:left="0" w:right="0"/>
              <w:jc w:val="left"/>
              <w:textAlignment w:val="bottom"/>
              <w:rPr>
                <w:rFonts w:hint="eastAsia" w:ascii="仿宋" w:hAnsi="仿宋" w:eastAsia="仿宋" w:cs="仿宋"/>
                <w:color w:val="auto"/>
                <w:sz w:val="20"/>
                <w:highlight w:val="none"/>
              </w:rPr>
            </w:pPr>
            <w:r>
              <w:rPr>
                <w:rFonts w:hint="eastAsia" w:ascii="仿宋" w:hAnsi="仿宋" w:eastAsia="仿宋" w:cs="仿宋"/>
                <w:color w:val="auto"/>
                <w:kern w:val="0"/>
                <w:sz w:val="20"/>
                <w:highlight w:val="none"/>
              </w:rPr>
              <w:t xml:space="preserve"> 5、零售业</w:t>
            </w:r>
          </w:p>
        </w:tc>
        <w:tc>
          <w:tcPr>
            <w:tcW w:w="1383" w:type="dxa"/>
            <w:tcBorders>
              <w:top w:val="single" w:color="000000" w:sz="4" w:space="0"/>
              <w:left w:val="single" w:color="000000" w:sz="12" w:space="0"/>
              <w:bottom w:val="single" w:color="000000" w:sz="4" w:space="0"/>
              <w:right w:val="single" w:color="000000" w:sz="4" w:space="0"/>
            </w:tcBorders>
            <w:tcMar>
              <w:top w:w="15" w:type="dxa"/>
              <w:left w:w="15" w:type="dxa"/>
              <w:bottom w:w="15" w:type="dxa"/>
              <w:right w:w="15" w:type="dxa"/>
            </w:tcMar>
            <w:vAlign w:val="bottom"/>
          </w:tcPr>
          <w:p>
            <w:pPr>
              <w:widowControl/>
              <w:spacing w:before="0" w:beforeAutospacing="0" w:after="0" w:afterAutospacing="0"/>
              <w:ind w:left="0" w:right="0"/>
              <w:jc w:val="left"/>
              <w:textAlignment w:val="bottom"/>
              <w:rPr>
                <w:rFonts w:hint="eastAsia" w:ascii="仿宋" w:hAnsi="仿宋" w:eastAsia="仿宋" w:cs="仿宋"/>
                <w:color w:val="auto"/>
                <w:sz w:val="20"/>
                <w:highlight w:val="none"/>
              </w:rPr>
            </w:pPr>
            <w:r>
              <w:rPr>
                <w:rFonts w:hint="eastAsia" w:ascii="仿宋" w:hAnsi="仿宋" w:eastAsia="仿宋" w:cs="仿宋"/>
                <w:color w:val="auto"/>
                <w:kern w:val="0"/>
                <w:sz w:val="20"/>
                <w:highlight w:val="none"/>
              </w:rPr>
              <w:t xml:space="preserve"> 50≤X＜300</w:t>
            </w:r>
          </w:p>
        </w:tc>
        <w:tc>
          <w:tcPr>
            <w:tcW w:w="1575"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bottom"/>
          </w:tcPr>
          <w:p>
            <w:pPr>
              <w:widowControl/>
              <w:spacing w:before="0" w:beforeAutospacing="0" w:after="0" w:afterAutospacing="0"/>
              <w:ind w:left="0" w:right="0"/>
              <w:jc w:val="left"/>
              <w:textAlignment w:val="bottom"/>
              <w:rPr>
                <w:rFonts w:hint="eastAsia" w:ascii="仿宋" w:hAnsi="仿宋" w:eastAsia="仿宋" w:cs="仿宋"/>
                <w:color w:val="auto"/>
                <w:sz w:val="20"/>
                <w:highlight w:val="none"/>
              </w:rPr>
            </w:pPr>
            <w:r>
              <w:rPr>
                <w:rFonts w:hint="eastAsia" w:ascii="仿宋" w:hAnsi="仿宋" w:eastAsia="仿宋" w:cs="仿宋"/>
                <w:color w:val="auto"/>
                <w:kern w:val="0"/>
                <w:sz w:val="20"/>
                <w:highlight w:val="none"/>
              </w:rPr>
              <w:t xml:space="preserve"> 500≤Y＜20000</w:t>
            </w:r>
          </w:p>
        </w:tc>
        <w:tc>
          <w:tcPr>
            <w:tcW w:w="1550" w:type="dxa"/>
            <w:tcBorders>
              <w:top w:val="single" w:color="000000" w:sz="4" w:space="0"/>
              <w:left w:val="single" w:color="000000" w:sz="4" w:space="0"/>
              <w:bottom w:val="single" w:color="000000" w:sz="4" w:space="0"/>
              <w:right w:val="single" w:color="000000" w:sz="12" w:space="0"/>
            </w:tcBorders>
            <w:tcMar>
              <w:top w:w="15" w:type="dxa"/>
              <w:left w:w="15" w:type="dxa"/>
              <w:bottom w:w="15" w:type="dxa"/>
              <w:right w:w="15" w:type="dxa"/>
            </w:tcMar>
            <w:vAlign w:val="bottom"/>
          </w:tcPr>
          <w:p>
            <w:pPr>
              <w:spacing w:before="0" w:beforeAutospacing="0" w:after="0" w:afterAutospacing="0"/>
              <w:ind w:left="0" w:right="0"/>
              <w:rPr>
                <w:rFonts w:hint="eastAsia" w:ascii="仿宋" w:hAnsi="仿宋" w:eastAsia="仿宋" w:cs="仿宋"/>
                <w:color w:val="auto"/>
                <w:sz w:val="20"/>
                <w:highlight w:val="none"/>
              </w:rPr>
            </w:pPr>
          </w:p>
        </w:tc>
        <w:tc>
          <w:tcPr>
            <w:tcW w:w="1182" w:type="dxa"/>
            <w:tcBorders>
              <w:top w:val="single" w:color="000000" w:sz="4" w:space="0"/>
              <w:left w:val="single" w:color="000000" w:sz="12" w:space="0"/>
              <w:bottom w:val="single" w:color="000000" w:sz="4" w:space="0"/>
              <w:right w:val="single" w:color="000000" w:sz="4" w:space="0"/>
            </w:tcBorders>
            <w:tcMar>
              <w:top w:w="15" w:type="dxa"/>
              <w:left w:w="15" w:type="dxa"/>
              <w:bottom w:w="15" w:type="dxa"/>
              <w:right w:w="15" w:type="dxa"/>
            </w:tcMar>
            <w:vAlign w:val="bottom"/>
          </w:tcPr>
          <w:p>
            <w:pPr>
              <w:widowControl/>
              <w:spacing w:before="0" w:beforeAutospacing="0" w:after="0" w:afterAutospacing="0"/>
              <w:ind w:left="0" w:right="0"/>
              <w:jc w:val="left"/>
              <w:textAlignment w:val="bottom"/>
              <w:rPr>
                <w:rFonts w:hint="eastAsia" w:ascii="仿宋" w:hAnsi="仿宋" w:eastAsia="仿宋" w:cs="仿宋"/>
                <w:color w:val="auto"/>
                <w:sz w:val="20"/>
                <w:highlight w:val="none"/>
              </w:rPr>
            </w:pPr>
            <w:r>
              <w:rPr>
                <w:rFonts w:hint="eastAsia" w:ascii="仿宋" w:hAnsi="仿宋" w:eastAsia="仿宋" w:cs="仿宋"/>
                <w:color w:val="auto"/>
                <w:kern w:val="0"/>
                <w:sz w:val="20"/>
                <w:highlight w:val="none"/>
              </w:rPr>
              <w:t>10≤X＜50</w:t>
            </w:r>
          </w:p>
        </w:tc>
        <w:tc>
          <w:tcPr>
            <w:tcW w:w="1387"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bottom"/>
          </w:tcPr>
          <w:p>
            <w:pPr>
              <w:widowControl/>
              <w:spacing w:before="0" w:beforeAutospacing="0" w:after="0" w:afterAutospacing="0"/>
              <w:ind w:left="0" w:right="0"/>
              <w:jc w:val="left"/>
              <w:textAlignment w:val="bottom"/>
              <w:rPr>
                <w:rFonts w:hint="eastAsia" w:ascii="仿宋" w:hAnsi="仿宋" w:eastAsia="仿宋" w:cs="仿宋"/>
                <w:color w:val="auto"/>
                <w:sz w:val="20"/>
                <w:highlight w:val="none"/>
              </w:rPr>
            </w:pPr>
            <w:r>
              <w:rPr>
                <w:rFonts w:hint="eastAsia" w:ascii="仿宋" w:hAnsi="仿宋" w:eastAsia="仿宋" w:cs="仿宋"/>
                <w:color w:val="auto"/>
                <w:kern w:val="0"/>
                <w:sz w:val="20"/>
                <w:highlight w:val="none"/>
              </w:rPr>
              <w:t>100≤Y＜500</w:t>
            </w:r>
          </w:p>
        </w:tc>
        <w:tc>
          <w:tcPr>
            <w:tcW w:w="1425" w:type="dxa"/>
            <w:tcBorders>
              <w:top w:val="single" w:color="000000" w:sz="4" w:space="0"/>
              <w:left w:val="single" w:color="000000" w:sz="4" w:space="0"/>
              <w:bottom w:val="single" w:color="000000" w:sz="4" w:space="0"/>
              <w:right w:val="single" w:color="000000" w:sz="12" w:space="0"/>
            </w:tcBorders>
            <w:tcMar>
              <w:top w:w="15" w:type="dxa"/>
              <w:left w:w="15" w:type="dxa"/>
              <w:bottom w:w="15" w:type="dxa"/>
              <w:right w:w="15" w:type="dxa"/>
            </w:tcMar>
            <w:vAlign w:val="bottom"/>
          </w:tcPr>
          <w:p>
            <w:pPr>
              <w:spacing w:before="0" w:beforeAutospacing="0" w:after="0" w:afterAutospacing="0"/>
              <w:ind w:left="0" w:right="0"/>
              <w:rPr>
                <w:rFonts w:hint="eastAsia" w:ascii="仿宋" w:hAnsi="仿宋" w:eastAsia="仿宋" w:cs="仿宋"/>
                <w:color w:val="auto"/>
                <w:sz w:val="20"/>
                <w:highlight w:val="none"/>
              </w:rPr>
            </w:pPr>
          </w:p>
        </w:tc>
        <w:tc>
          <w:tcPr>
            <w:tcW w:w="1010" w:type="dxa"/>
            <w:tcBorders>
              <w:top w:val="single" w:color="000000" w:sz="4" w:space="0"/>
              <w:left w:val="single" w:color="000000" w:sz="12" w:space="0"/>
              <w:bottom w:val="single" w:color="000000" w:sz="4" w:space="0"/>
              <w:right w:val="single" w:color="000000" w:sz="4" w:space="0"/>
            </w:tcBorders>
            <w:tcMar>
              <w:top w:w="15" w:type="dxa"/>
              <w:left w:w="15" w:type="dxa"/>
              <w:bottom w:w="15" w:type="dxa"/>
              <w:right w:w="15" w:type="dxa"/>
            </w:tcMar>
            <w:vAlign w:val="bottom"/>
          </w:tcPr>
          <w:p>
            <w:pPr>
              <w:widowControl/>
              <w:spacing w:before="0" w:beforeAutospacing="0" w:after="0" w:afterAutospacing="0"/>
              <w:ind w:left="0" w:right="0"/>
              <w:jc w:val="left"/>
              <w:textAlignment w:val="bottom"/>
              <w:rPr>
                <w:rFonts w:hint="eastAsia" w:ascii="仿宋" w:hAnsi="仿宋" w:eastAsia="仿宋" w:cs="仿宋"/>
                <w:color w:val="auto"/>
                <w:sz w:val="20"/>
                <w:highlight w:val="none"/>
              </w:rPr>
            </w:pPr>
            <w:r>
              <w:rPr>
                <w:rFonts w:hint="eastAsia" w:ascii="仿宋" w:hAnsi="仿宋" w:eastAsia="仿宋" w:cs="仿宋"/>
                <w:color w:val="auto"/>
                <w:kern w:val="0"/>
                <w:sz w:val="20"/>
                <w:highlight w:val="none"/>
              </w:rPr>
              <w:t>X＜10</w:t>
            </w:r>
          </w:p>
        </w:tc>
        <w:tc>
          <w:tcPr>
            <w:tcW w:w="976"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bottom"/>
          </w:tcPr>
          <w:p>
            <w:pPr>
              <w:widowControl/>
              <w:spacing w:before="0" w:beforeAutospacing="0" w:after="0" w:afterAutospacing="0"/>
              <w:ind w:left="0" w:right="0"/>
              <w:jc w:val="left"/>
              <w:textAlignment w:val="bottom"/>
              <w:rPr>
                <w:rFonts w:hint="eastAsia" w:ascii="仿宋" w:hAnsi="仿宋" w:eastAsia="仿宋" w:cs="仿宋"/>
                <w:color w:val="auto"/>
                <w:sz w:val="20"/>
                <w:highlight w:val="none"/>
              </w:rPr>
            </w:pPr>
            <w:r>
              <w:rPr>
                <w:rFonts w:hint="eastAsia" w:ascii="仿宋" w:hAnsi="仿宋" w:eastAsia="仿宋" w:cs="仿宋"/>
                <w:color w:val="auto"/>
                <w:kern w:val="0"/>
                <w:sz w:val="20"/>
                <w:highlight w:val="none"/>
              </w:rPr>
              <w:t>Y＜100</w:t>
            </w:r>
          </w:p>
        </w:tc>
        <w:tc>
          <w:tcPr>
            <w:tcW w:w="2145" w:type="dxa"/>
            <w:tcBorders>
              <w:top w:val="single" w:color="000000" w:sz="4" w:space="0"/>
              <w:left w:val="single" w:color="000000" w:sz="4" w:space="0"/>
              <w:bottom w:val="single" w:color="000000" w:sz="4" w:space="0"/>
              <w:right w:val="single" w:color="000000" w:sz="12" w:space="0"/>
            </w:tcBorders>
            <w:tcMar>
              <w:top w:w="15" w:type="dxa"/>
              <w:left w:w="15" w:type="dxa"/>
              <w:bottom w:w="15" w:type="dxa"/>
              <w:right w:w="15" w:type="dxa"/>
            </w:tcMar>
            <w:vAlign w:val="bottom"/>
          </w:tcPr>
          <w:p>
            <w:pPr>
              <w:spacing w:before="0" w:beforeAutospacing="0" w:after="0" w:afterAutospacing="0"/>
              <w:ind w:left="0" w:right="0"/>
              <w:rPr>
                <w:rFonts w:hint="eastAsia" w:ascii="仿宋" w:hAnsi="仿宋" w:eastAsia="仿宋" w:cs="仿宋"/>
                <w:color w:val="auto"/>
                <w:sz w:val="20"/>
                <w:highlight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7" w:hRule="atLeast"/>
        </w:trPr>
        <w:tc>
          <w:tcPr>
            <w:tcW w:w="2178" w:type="dxa"/>
            <w:tcBorders>
              <w:top w:val="single" w:color="000000" w:sz="4" w:space="0"/>
              <w:left w:val="single" w:color="000000" w:sz="12" w:space="0"/>
              <w:bottom w:val="single" w:color="000000" w:sz="4" w:space="0"/>
              <w:right w:val="single" w:color="000000" w:sz="12" w:space="0"/>
            </w:tcBorders>
            <w:tcMar>
              <w:top w:w="15" w:type="dxa"/>
              <w:left w:w="15" w:type="dxa"/>
              <w:bottom w:w="15" w:type="dxa"/>
              <w:right w:w="15" w:type="dxa"/>
            </w:tcMar>
            <w:vAlign w:val="bottom"/>
          </w:tcPr>
          <w:p>
            <w:pPr>
              <w:widowControl/>
              <w:spacing w:before="0" w:beforeAutospacing="0" w:after="0" w:afterAutospacing="0"/>
              <w:ind w:left="0" w:right="0"/>
              <w:jc w:val="left"/>
              <w:textAlignment w:val="bottom"/>
              <w:rPr>
                <w:rFonts w:hint="eastAsia" w:ascii="仿宋" w:hAnsi="仿宋" w:eastAsia="仿宋" w:cs="仿宋"/>
                <w:color w:val="auto"/>
                <w:sz w:val="20"/>
                <w:highlight w:val="none"/>
              </w:rPr>
            </w:pPr>
            <w:r>
              <w:rPr>
                <w:rFonts w:hint="eastAsia" w:ascii="仿宋" w:hAnsi="仿宋" w:eastAsia="仿宋" w:cs="仿宋"/>
                <w:color w:val="auto"/>
                <w:kern w:val="0"/>
                <w:sz w:val="20"/>
                <w:highlight w:val="none"/>
              </w:rPr>
              <w:t xml:space="preserve"> 6、交通运输业</w:t>
            </w:r>
          </w:p>
        </w:tc>
        <w:tc>
          <w:tcPr>
            <w:tcW w:w="1383" w:type="dxa"/>
            <w:tcBorders>
              <w:top w:val="single" w:color="000000" w:sz="4" w:space="0"/>
              <w:left w:val="single" w:color="000000" w:sz="12" w:space="0"/>
              <w:bottom w:val="single" w:color="000000" w:sz="4" w:space="0"/>
              <w:right w:val="single" w:color="000000" w:sz="4" w:space="0"/>
            </w:tcBorders>
            <w:tcMar>
              <w:top w:w="15" w:type="dxa"/>
              <w:left w:w="15" w:type="dxa"/>
              <w:bottom w:w="15" w:type="dxa"/>
              <w:right w:w="15" w:type="dxa"/>
            </w:tcMar>
            <w:vAlign w:val="bottom"/>
          </w:tcPr>
          <w:p>
            <w:pPr>
              <w:widowControl/>
              <w:spacing w:before="0" w:beforeAutospacing="0" w:after="0" w:afterAutospacing="0"/>
              <w:ind w:left="0" w:right="0"/>
              <w:jc w:val="left"/>
              <w:textAlignment w:val="bottom"/>
              <w:rPr>
                <w:rFonts w:hint="eastAsia" w:ascii="仿宋" w:hAnsi="仿宋" w:eastAsia="仿宋" w:cs="仿宋"/>
                <w:color w:val="auto"/>
                <w:sz w:val="20"/>
                <w:highlight w:val="none"/>
              </w:rPr>
            </w:pPr>
            <w:r>
              <w:rPr>
                <w:rFonts w:hint="eastAsia" w:ascii="仿宋" w:hAnsi="仿宋" w:eastAsia="仿宋" w:cs="仿宋"/>
                <w:color w:val="auto"/>
                <w:kern w:val="0"/>
                <w:sz w:val="20"/>
                <w:highlight w:val="none"/>
              </w:rPr>
              <w:t>300≤X＜1000</w:t>
            </w:r>
          </w:p>
        </w:tc>
        <w:tc>
          <w:tcPr>
            <w:tcW w:w="1575"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bottom"/>
          </w:tcPr>
          <w:p>
            <w:pPr>
              <w:widowControl/>
              <w:spacing w:before="0" w:beforeAutospacing="0" w:after="0" w:afterAutospacing="0"/>
              <w:ind w:left="0" w:right="0"/>
              <w:jc w:val="left"/>
              <w:textAlignment w:val="bottom"/>
              <w:rPr>
                <w:rFonts w:hint="eastAsia" w:ascii="仿宋" w:hAnsi="仿宋" w:eastAsia="仿宋" w:cs="仿宋"/>
                <w:color w:val="auto"/>
                <w:sz w:val="20"/>
                <w:highlight w:val="none"/>
              </w:rPr>
            </w:pPr>
            <w:r>
              <w:rPr>
                <w:rFonts w:hint="eastAsia" w:ascii="仿宋" w:hAnsi="仿宋" w:eastAsia="仿宋" w:cs="仿宋"/>
                <w:color w:val="auto"/>
                <w:kern w:val="0"/>
                <w:sz w:val="20"/>
                <w:highlight w:val="none"/>
              </w:rPr>
              <w:t>3000≤Y＜30000</w:t>
            </w:r>
          </w:p>
        </w:tc>
        <w:tc>
          <w:tcPr>
            <w:tcW w:w="1550" w:type="dxa"/>
            <w:tcBorders>
              <w:top w:val="single" w:color="000000" w:sz="4" w:space="0"/>
              <w:left w:val="single" w:color="000000" w:sz="4" w:space="0"/>
              <w:bottom w:val="single" w:color="000000" w:sz="4" w:space="0"/>
              <w:right w:val="single" w:color="000000" w:sz="12" w:space="0"/>
            </w:tcBorders>
            <w:tcMar>
              <w:top w:w="15" w:type="dxa"/>
              <w:left w:w="15" w:type="dxa"/>
              <w:bottom w:w="15" w:type="dxa"/>
              <w:right w:w="15" w:type="dxa"/>
            </w:tcMar>
            <w:vAlign w:val="bottom"/>
          </w:tcPr>
          <w:p>
            <w:pPr>
              <w:spacing w:before="0" w:beforeAutospacing="0" w:after="0" w:afterAutospacing="0"/>
              <w:ind w:left="0" w:right="0"/>
              <w:rPr>
                <w:rFonts w:hint="eastAsia" w:ascii="仿宋" w:hAnsi="仿宋" w:eastAsia="仿宋" w:cs="仿宋"/>
                <w:color w:val="auto"/>
                <w:sz w:val="20"/>
                <w:highlight w:val="none"/>
              </w:rPr>
            </w:pPr>
          </w:p>
        </w:tc>
        <w:tc>
          <w:tcPr>
            <w:tcW w:w="1182" w:type="dxa"/>
            <w:tcBorders>
              <w:top w:val="single" w:color="000000" w:sz="4" w:space="0"/>
              <w:left w:val="single" w:color="000000" w:sz="12" w:space="0"/>
              <w:bottom w:val="single" w:color="000000" w:sz="4" w:space="0"/>
              <w:right w:val="single" w:color="000000" w:sz="4" w:space="0"/>
            </w:tcBorders>
            <w:tcMar>
              <w:top w:w="15" w:type="dxa"/>
              <w:left w:w="15" w:type="dxa"/>
              <w:bottom w:w="15" w:type="dxa"/>
              <w:right w:w="15" w:type="dxa"/>
            </w:tcMar>
            <w:vAlign w:val="bottom"/>
          </w:tcPr>
          <w:p>
            <w:pPr>
              <w:widowControl/>
              <w:spacing w:before="0" w:beforeAutospacing="0" w:after="0" w:afterAutospacing="0"/>
              <w:ind w:left="0" w:right="0"/>
              <w:jc w:val="left"/>
              <w:textAlignment w:val="bottom"/>
              <w:rPr>
                <w:rFonts w:hint="eastAsia" w:ascii="仿宋" w:hAnsi="仿宋" w:eastAsia="仿宋" w:cs="仿宋"/>
                <w:color w:val="auto"/>
                <w:sz w:val="20"/>
                <w:highlight w:val="none"/>
              </w:rPr>
            </w:pPr>
            <w:r>
              <w:rPr>
                <w:rFonts w:hint="eastAsia" w:ascii="仿宋" w:hAnsi="仿宋" w:eastAsia="仿宋" w:cs="仿宋"/>
                <w:color w:val="auto"/>
                <w:kern w:val="0"/>
                <w:sz w:val="20"/>
                <w:highlight w:val="none"/>
              </w:rPr>
              <w:t>20≤X＜300</w:t>
            </w:r>
          </w:p>
        </w:tc>
        <w:tc>
          <w:tcPr>
            <w:tcW w:w="1387"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bottom"/>
          </w:tcPr>
          <w:p>
            <w:pPr>
              <w:widowControl/>
              <w:spacing w:before="0" w:beforeAutospacing="0" w:after="0" w:afterAutospacing="0"/>
              <w:ind w:left="0" w:right="0"/>
              <w:jc w:val="left"/>
              <w:textAlignment w:val="bottom"/>
              <w:rPr>
                <w:rFonts w:hint="eastAsia" w:ascii="仿宋" w:hAnsi="仿宋" w:eastAsia="仿宋" w:cs="仿宋"/>
                <w:color w:val="auto"/>
                <w:sz w:val="20"/>
                <w:highlight w:val="none"/>
              </w:rPr>
            </w:pPr>
            <w:r>
              <w:rPr>
                <w:rFonts w:hint="eastAsia" w:ascii="仿宋" w:hAnsi="仿宋" w:eastAsia="仿宋" w:cs="仿宋"/>
                <w:color w:val="auto"/>
                <w:kern w:val="0"/>
                <w:sz w:val="20"/>
                <w:highlight w:val="none"/>
              </w:rPr>
              <w:t>200≤Y＜3000</w:t>
            </w:r>
          </w:p>
        </w:tc>
        <w:tc>
          <w:tcPr>
            <w:tcW w:w="1425" w:type="dxa"/>
            <w:tcBorders>
              <w:top w:val="single" w:color="000000" w:sz="4" w:space="0"/>
              <w:left w:val="single" w:color="000000" w:sz="4" w:space="0"/>
              <w:bottom w:val="single" w:color="000000" w:sz="4" w:space="0"/>
              <w:right w:val="single" w:color="000000" w:sz="12" w:space="0"/>
            </w:tcBorders>
            <w:tcMar>
              <w:top w:w="15" w:type="dxa"/>
              <w:left w:w="15" w:type="dxa"/>
              <w:bottom w:w="15" w:type="dxa"/>
              <w:right w:w="15" w:type="dxa"/>
            </w:tcMar>
            <w:vAlign w:val="bottom"/>
          </w:tcPr>
          <w:p>
            <w:pPr>
              <w:spacing w:before="0" w:beforeAutospacing="0" w:after="0" w:afterAutospacing="0"/>
              <w:ind w:left="0" w:right="0"/>
              <w:rPr>
                <w:rFonts w:hint="eastAsia" w:ascii="仿宋" w:hAnsi="仿宋" w:eastAsia="仿宋" w:cs="仿宋"/>
                <w:color w:val="auto"/>
                <w:sz w:val="20"/>
                <w:highlight w:val="none"/>
              </w:rPr>
            </w:pPr>
          </w:p>
        </w:tc>
        <w:tc>
          <w:tcPr>
            <w:tcW w:w="1010" w:type="dxa"/>
            <w:tcBorders>
              <w:top w:val="single" w:color="000000" w:sz="4" w:space="0"/>
              <w:left w:val="single" w:color="000000" w:sz="12" w:space="0"/>
              <w:bottom w:val="single" w:color="000000" w:sz="4" w:space="0"/>
              <w:right w:val="single" w:color="000000" w:sz="4" w:space="0"/>
            </w:tcBorders>
            <w:tcMar>
              <w:top w:w="15" w:type="dxa"/>
              <w:left w:w="15" w:type="dxa"/>
              <w:bottom w:w="15" w:type="dxa"/>
              <w:right w:w="15" w:type="dxa"/>
            </w:tcMar>
            <w:vAlign w:val="bottom"/>
          </w:tcPr>
          <w:p>
            <w:pPr>
              <w:widowControl/>
              <w:spacing w:before="0" w:beforeAutospacing="0" w:after="0" w:afterAutospacing="0"/>
              <w:ind w:left="0" w:right="0"/>
              <w:jc w:val="left"/>
              <w:textAlignment w:val="bottom"/>
              <w:rPr>
                <w:rFonts w:hint="eastAsia" w:ascii="仿宋" w:hAnsi="仿宋" w:eastAsia="仿宋" w:cs="仿宋"/>
                <w:color w:val="auto"/>
                <w:sz w:val="20"/>
                <w:highlight w:val="none"/>
              </w:rPr>
            </w:pPr>
            <w:r>
              <w:rPr>
                <w:rFonts w:hint="eastAsia" w:ascii="仿宋" w:hAnsi="仿宋" w:eastAsia="仿宋" w:cs="仿宋"/>
                <w:color w:val="auto"/>
                <w:kern w:val="0"/>
                <w:sz w:val="20"/>
                <w:highlight w:val="none"/>
              </w:rPr>
              <w:t>X＜20</w:t>
            </w:r>
          </w:p>
        </w:tc>
        <w:tc>
          <w:tcPr>
            <w:tcW w:w="976"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bottom"/>
          </w:tcPr>
          <w:p>
            <w:pPr>
              <w:widowControl/>
              <w:spacing w:before="0" w:beforeAutospacing="0" w:after="0" w:afterAutospacing="0"/>
              <w:ind w:left="0" w:right="0"/>
              <w:jc w:val="left"/>
              <w:textAlignment w:val="bottom"/>
              <w:rPr>
                <w:rFonts w:hint="eastAsia" w:ascii="仿宋" w:hAnsi="仿宋" w:eastAsia="仿宋" w:cs="仿宋"/>
                <w:color w:val="auto"/>
                <w:sz w:val="20"/>
                <w:highlight w:val="none"/>
              </w:rPr>
            </w:pPr>
            <w:r>
              <w:rPr>
                <w:rFonts w:hint="eastAsia" w:ascii="仿宋" w:hAnsi="仿宋" w:eastAsia="仿宋" w:cs="仿宋"/>
                <w:color w:val="auto"/>
                <w:kern w:val="0"/>
                <w:sz w:val="20"/>
                <w:highlight w:val="none"/>
              </w:rPr>
              <w:t>V＜200</w:t>
            </w:r>
          </w:p>
        </w:tc>
        <w:tc>
          <w:tcPr>
            <w:tcW w:w="2145" w:type="dxa"/>
            <w:tcBorders>
              <w:top w:val="single" w:color="000000" w:sz="4" w:space="0"/>
              <w:left w:val="single" w:color="000000" w:sz="4" w:space="0"/>
              <w:bottom w:val="single" w:color="000000" w:sz="4" w:space="0"/>
              <w:right w:val="single" w:color="000000" w:sz="12" w:space="0"/>
            </w:tcBorders>
            <w:tcMar>
              <w:top w:w="15" w:type="dxa"/>
              <w:left w:w="15" w:type="dxa"/>
              <w:bottom w:w="15" w:type="dxa"/>
              <w:right w:w="15" w:type="dxa"/>
            </w:tcMar>
            <w:vAlign w:val="bottom"/>
          </w:tcPr>
          <w:p>
            <w:pPr>
              <w:spacing w:before="0" w:beforeAutospacing="0" w:after="0" w:afterAutospacing="0"/>
              <w:ind w:left="0" w:right="0"/>
              <w:rPr>
                <w:rFonts w:hint="eastAsia" w:ascii="仿宋" w:hAnsi="仿宋" w:eastAsia="仿宋" w:cs="仿宋"/>
                <w:color w:val="auto"/>
                <w:sz w:val="20"/>
                <w:highlight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7" w:hRule="atLeast"/>
        </w:trPr>
        <w:tc>
          <w:tcPr>
            <w:tcW w:w="2178" w:type="dxa"/>
            <w:tcBorders>
              <w:top w:val="single" w:color="000000" w:sz="4" w:space="0"/>
              <w:left w:val="single" w:color="000000" w:sz="12" w:space="0"/>
              <w:bottom w:val="single" w:color="000000" w:sz="4" w:space="0"/>
              <w:right w:val="single" w:color="000000" w:sz="12" w:space="0"/>
            </w:tcBorders>
            <w:tcMar>
              <w:top w:w="15" w:type="dxa"/>
              <w:left w:w="15" w:type="dxa"/>
              <w:bottom w:w="15" w:type="dxa"/>
              <w:right w:w="15" w:type="dxa"/>
            </w:tcMar>
            <w:vAlign w:val="bottom"/>
          </w:tcPr>
          <w:p>
            <w:pPr>
              <w:widowControl/>
              <w:spacing w:before="0" w:beforeAutospacing="0" w:after="0" w:afterAutospacing="0"/>
              <w:ind w:left="0" w:right="0"/>
              <w:jc w:val="left"/>
              <w:textAlignment w:val="bottom"/>
              <w:rPr>
                <w:rFonts w:hint="eastAsia" w:ascii="仿宋" w:hAnsi="仿宋" w:eastAsia="仿宋" w:cs="仿宋"/>
                <w:color w:val="auto"/>
                <w:sz w:val="20"/>
                <w:highlight w:val="none"/>
              </w:rPr>
            </w:pPr>
            <w:r>
              <w:rPr>
                <w:rFonts w:hint="eastAsia" w:ascii="仿宋" w:hAnsi="仿宋" w:eastAsia="仿宋" w:cs="仿宋"/>
                <w:color w:val="auto"/>
                <w:kern w:val="0"/>
                <w:sz w:val="20"/>
                <w:highlight w:val="none"/>
              </w:rPr>
              <w:t xml:space="preserve"> 7、仓储业</w:t>
            </w:r>
          </w:p>
        </w:tc>
        <w:tc>
          <w:tcPr>
            <w:tcW w:w="1383" w:type="dxa"/>
            <w:tcBorders>
              <w:top w:val="single" w:color="000000" w:sz="4" w:space="0"/>
              <w:left w:val="single" w:color="000000" w:sz="12" w:space="0"/>
              <w:bottom w:val="single" w:color="000000" w:sz="4" w:space="0"/>
              <w:right w:val="single" w:color="000000" w:sz="4" w:space="0"/>
            </w:tcBorders>
            <w:tcMar>
              <w:top w:w="15" w:type="dxa"/>
              <w:left w:w="15" w:type="dxa"/>
              <w:bottom w:w="15" w:type="dxa"/>
              <w:right w:w="15" w:type="dxa"/>
            </w:tcMar>
            <w:vAlign w:val="bottom"/>
          </w:tcPr>
          <w:p>
            <w:pPr>
              <w:widowControl/>
              <w:spacing w:before="0" w:beforeAutospacing="0" w:after="0" w:afterAutospacing="0"/>
              <w:ind w:left="0" w:right="0"/>
              <w:jc w:val="left"/>
              <w:textAlignment w:val="bottom"/>
              <w:rPr>
                <w:rFonts w:hint="eastAsia" w:ascii="仿宋" w:hAnsi="仿宋" w:eastAsia="仿宋" w:cs="仿宋"/>
                <w:color w:val="auto"/>
                <w:sz w:val="20"/>
                <w:highlight w:val="none"/>
              </w:rPr>
            </w:pPr>
            <w:r>
              <w:rPr>
                <w:rFonts w:hint="eastAsia" w:ascii="仿宋" w:hAnsi="仿宋" w:eastAsia="仿宋" w:cs="仿宋"/>
                <w:color w:val="auto"/>
                <w:kern w:val="0"/>
                <w:sz w:val="20"/>
                <w:highlight w:val="none"/>
              </w:rPr>
              <w:t>100≤X＜200</w:t>
            </w:r>
          </w:p>
        </w:tc>
        <w:tc>
          <w:tcPr>
            <w:tcW w:w="1575"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bottom"/>
          </w:tcPr>
          <w:p>
            <w:pPr>
              <w:widowControl/>
              <w:spacing w:before="0" w:beforeAutospacing="0" w:after="0" w:afterAutospacing="0"/>
              <w:ind w:left="0" w:right="0"/>
              <w:jc w:val="left"/>
              <w:textAlignment w:val="bottom"/>
              <w:rPr>
                <w:rFonts w:hint="eastAsia" w:ascii="仿宋" w:hAnsi="仿宋" w:eastAsia="仿宋" w:cs="仿宋"/>
                <w:color w:val="auto"/>
                <w:sz w:val="20"/>
                <w:highlight w:val="none"/>
              </w:rPr>
            </w:pPr>
            <w:r>
              <w:rPr>
                <w:rFonts w:hint="eastAsia" w:ascii="仿宋" w:hAnsi="仿宋" w:eastAsia="仿宋" w:cs="仿宋"/>
                <w:color w:val="auto"/>
                <w:kern w:val="0"/>
                <w:sz w:val="20"/>
                <w:highlight w:val="none"/>
              </w:rPr>
              <w:t>1000≤Y＜30000</w:t>
            </w:r>
          </w:p>
        </w:tc>
        <w:tc>
          <w:tcPr>
            <w:tcW w:w="1550" w:type="dxa"/>
            <w:tcBorders>
              <w:top w:val="single" w:color="000000" w:sz="4" w:space="0"/>
              <w:left w:val="single" w:color="000000" w:sz="4" w:space="0"/>
              <w:bottom w:val="single" w:color="000000" w:sz="4" w:space="0"/>
              <w:right w:val="single" w:color="000000" w:sz="12" w:space="0"/>
            </w:tcBorders>
            <w:tcMar>
              <w:top w:w="15" w:type="dxa"/>
              <w:left w:w="15" w:type="dxa"/>
              <w:bottom w:w="15" w:type="dxa"/>
              <w:right w:w="15" w:type="dxa"/>
            </w:tcMar>
            <w:vAlign w:val="bottom"/>
          </w:tcPr>
          <w:p>
            <w:pPr>
              <w:spacing w:before="0" w:beforeAutospacing="0" w:after="0" w:afterAutospacing="0"/>
              <w:ind w:left="0" w:right="0"/>
              <w:rPr>
                <w:rFonts w:hint="eastAsia" w:ascii="仿宋" w:hAnsi="仿宋" w:eastAsia="仿宋" w:cs="仿宋"/>
                <w:color w:val="auto"/>
                <w:sz w:val="20"/>
                <w:highlight w:val="none"/>
              </w:rPr>
            </w:pPr>
          </w:p>
        </w:tc>
        <w:tc>
          <w:tcPr>
            <w:tcW w:w="1182" w:type="dxa"/>
            <w:tcBorders>
              <w:top w:val="single" w:color="000000" w:sz="4" w:space="0"/>
              <w:left w:val="single" w:color="000000" w:sz="12" w:space="0"/>
              <w:bottom w:val="single" w:color="000000" w:sz="4" w:space="0"/>
              <w:right w:val="single" w:color="000000" w:sz="4" w:space="0"/>
            </w:tcBorders>
            <w:tcMar>
              <w:top w:w="15" w:type="dxa"/>
              <w:left w:w="15" w:type="dxa"/>
              <w:bottom w:w="15" w:type="dxa"/>
              <w:right w:w="15" w:type="dxa"/>
            </w:tcMar>
            <w:vAlign w:val="bottom"/>
          </w:tcPr>
          <w:p>
            <w:pPr>
              <w:widowControl/>
              <w:spacing w:before="0" w:beforeAutospacing="0" w:after="0" w:afterAutospacing="0"/>
              <w:ind w:left="0" w:right="0"/>
              <w:jc w:val="left"/>
              <w:textAlignment w:val="bottom"/>
              <w:rPr>
                <w:rFonts w:hint="eastAsia" w:ascii="仿宋" w:hAnsi="仿宋" w:eastAsia="仿宋" w:cs="仿宋"/>
                <w:color w:val="auto"/>
                <w:sz w:val="20"/>
                <w:highlight w:val="none"/>
              </w:rPr>
            </w:pPr>
            <w:r>
              <w:rPr>
                <w:rFonts w:hint="eastAsia" w:ascii="仿宋" w:hAnsi="仿宋" w:eastAsia="仿宋" w:cs="仿宋"/>
                <w:color w:val="auto"/>
                <w:kern w:val="0"/>
                <w:sz w:val="20"/>
                <w:highlight w:val="none"/>
              </w:rPr>
              <w:t>20≤X＜100</w:t>
            </w:r>
          </w:p>
        </w:tc>
        <w:tc>
          <w:tcPr>
            <w:tcW w:w="1387"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bottom"/>
          </w:tcPr>
          <w:p>
            <w:pPr>
              <w:widowControl/>
              <w:spacing w:before="0" w:beforeAutospacing="0" w:after="0" w:afterAutospacing="0"/>
              <w:ind w:left="0" w:right="0"/>
              <w:jc w:val="left"/>
              <w:textAlignment w:val="bottom"/>
              <w:rPr>
                <w:rFonts w:hint="eastAsia" w:ascii="仿宋" w:hAnsi="仿宋" w:eastAsia="仿宋" w:cs="仿宋"/>
                <w:color w:val="auto"/>
                <w:sz w:val="20"/>
                <w:highlight w:val="none"/>
              </w:rPr>
            </w:pPr>
            <w:r>
              <w:rPr>
                <w:rFonts w:hint="eastAsia" w:ascii="仿宋" w:hAnsi="仿宋" w:eastAsia="仿宋" w:cs="仿宋"/>
                <w:color w:val="auto"/>
                <w:kern w:val="0"/>
                <w:sz w:val="20"/>
                <w:highlight w:val="none"/>
              </w:rPr>
              <w:t>100≤Y＜1000</w:t>
            </w:r>
          </w:p>
        </w:tc>
        <w:tc>
          <w:tcPr>
            <w:tcW w:w="1425" w:type="dxa"/>
            <w:tcBorders>
              <w:top w:val="single" w:color="000000" w:sz="4" w:space="0"/>
              <w:left w:val="single" w:color="000000" w:sz="4" w:space="0"/>
              <w:bottom w:val="single" w:color="000000" w:sz="4" w:space="0"/>
              <w:right w:val="single" w:color="000000" w:sz="12" w:space="0"/>
            </w:tcBorders>
            <w:tcMar>
              <w:top w:w="15" w:type="dxa"/>
              <w:left w:w="15" w:type="dxa"/>
              <w:bottom w:w="15" w:type="dxa"/>
              <w:right w:w="15" w:type="dxa"/>
            </w:tcMar>
            <w:vAlign w:val="bottom"/>
          </w:tcPr>
          <w:p>
            <w:pPr>
              <w:spacing w:before="0" w:beforeAutospacing="0" w:after="0" w:afterAutospacing="0"/>
              <w:ind w:left="0" w:right="0"/>
              <w:rPr>
                <w:rFonts w:hint="eastAsia" w:ascii="仿宋" w:hAnsi="仿宋" w:eastAsia="仿宋" w:cs="仿宋"/>
                <w:color w:val="auto"/>
                <w:sz w:val="20"/>
                <w:highlight w:val="none"/>
              </w:rPr>
            </w:pPr>
          </w:p>
        </w:tc>
        <w:tc>
          <w:tcPr>
            <w:tcW w:w="1010" w:type="dxa"/>
            <w:tcBorders>
              <w:top w:val="single" w:color="000000" w:sz="4" w:space="0"/>
              <w:left w:val="single" w:color="000000" w:sz="12" w:space="0"/>
              <w:bottom w:val="single" w:color="000000" w:sz="4" w:space="0"/>
              <w:right w:val="single" w:color="000000" w:sz="4" w:space="0"/>
            </w:tcBorders>
            <w:tcMar>
              <w:top w:w="15" w:type="dxa"/>
              <w:left w:w="15" w:type="dxa"/>
              <w:bottom w:w="15" w:type="dxa"/>
              <w:right w:w="15" w:type="dxa"/>
            </w:tcMar>
            <w:vAlign w:val="bottom"/>
          </w:tcPr>
          <w:p>
            <w:pPr>
              <w:widowControl/>
              <w:spacing w:before="0" w:beforeAutospacing="0" w:after="0" w:afterAutospacing="0"/>
              <w:ind w:left="0" w:right="0"/>
              <w:jc w:val="left"/>
              <w:textAlignment w:val="bottom"/>
              <w:rPr>
                <w:rFonts w:hint="eastAsia" w:ascii="仿宋" w:hAnsi="仿宋" w:eastAsia="仿宋" w:cs="仿宋"/>
                <w:color w:val="auto"/>
                <w:sz w:val="20"/>
                <w:highlight w:val="none"/>
              </w:rPr>
            </w:pPr>
            <w:r>
              <w:rPr>
                <w:rFonts w:hint="eastAsia" w:ascii="仿宋" w:hAnsi="仿宋" w:eastAsia="仿宋" w:cs="仿宋"/>
                <w:color w:val="auto"/>
                <w:kern w:val="0"/>
                <w:sz w:val="20"/>
                <w:highlight w:val="none"/>
              </w:rPr>
              <w:t>X＜20</w:t>
            </w:r>
          </w:p>
        </w:tc>
        <w:tc>
          <w:tcPr>
            <w:tcW w:w="976"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bottom"/>
          </w:tcPr>
          <w:p>
            <w:pPr>
              <w:widowControl/>
              <w:spacing w:before="0" w:beforeAutospacing="0" w:after="0" w:afterAutospacing="0"/>
              <w:ind w:left="0" w:right="0"/>
              <w:jc w:val="left"/>
              <w:textAlignment w:val="bottom"/>
              <w:rPr>
                <w:rFonts w:hint="eastAsia" w:ascii="仿宋" w:hAnsi="仿宋" w:eastAsia="仿宋" w:cs="仿宋"/>
                <w:color w:val="auto"/>
                <w:sz w:val="20"/>
                <w:highlight w:val="none"/>
              </w:rPr>
            </w:pPr>
            <w:r>
              <w:rPr>
                <w:rFonts w:hint="eastAsia" w:ascii="仿宋" w:hAnsi="仿宋" w:eastAsia="仿宋" w:cs="仿宋"/>
                <w:color w:val="auto"/>
                <w:kern w:val="0"/>
                <w:sz w:val="20"/>
                <w:highlight w:val="none"/>
              </w:rPr>
              <w:t>Y＜100</w:t>
            </w:r>
          </w:p>
        </w:tc>
        <w:tc>
          <w:tcPr>
            <w:tcW w:w="2145" w:type="dxa"/>
            <w:tcBorders>
              <w:top w:val="single" w:color="000000" w:sz="4" w:space="0"/>
              <w:left w:val="single" w:color="000000" w:sz="4" w:space="0"/>
              <w:bottom w:val="single" w:color="000000" w:sz="4" w:space="0"/>
              <w:right w:val="single" w:color="000000" w:sz="12" w:space="0"/>
            </w:tcBorders>
            <w:tcMar>
              <w:top w:w="15" w:type="dxa"/>
              <w:left w:w="15" w:type="dxa"/>
              <w:bottom w:w="15" w:type="dxa"/>
              <w:right w:w="15" w:type="dxa"/>
            </w:tcMar>
            <w:vAlign w:val="bottom"/>
          </w:tcPr>
          <w:p>
            <w:pPr>
              <w:spacing w:before="0" w:beforeAutospacing="0" w:after="0" w:afterAutospacing="0"/>
              <w:ind w:left="0" w:right="0"/>
              <w:rPr>
                <w:rFonts w:hint="eastAsia" w:ascii="仿宋" w:hAnsi="仿宋" w:eastAsia="仿宋" w:cs="仿宋"/>
                <w:color w:val="auto"/>
                <w:sz w:val="20"/>
                <w:highlight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7" w:hRule="atLeast"/>
        </w:trPr>
        <w:tc>
          <w:tcPr>
            <w:tcW w:w="2178" w:type="dxa"/>
            <w:tcBorders>
              <w:top w:val="single" w:color="000000" w:sz="4" w:space="0"/>
              <w:left w:val="single" w:color="000000" w:sz="12" w:space="0"/>
              <w:bottom w:val="single" w:color="000000" w:sz="4" w:space="0"/>
              <w:right w:val="single" w:color="000000" w:sz="12" w:space="0"/>
            </w:tcBorders>
            <w:tcMar>
              <w:top w:w="15" w:type="dxa"/>
              <w:left w:w="15" w:type="dxa"/>
              <w:bottom w:w="15" w:type="dxa"/>
              <w:right w:w="15" w:type="dxa"/>
            </w:tcMar>
            <w:vAlign w:val="bottom"/>
          </w:tcPr>
          <w:p>
            <w:pPr>
              <w:widowControl/>
              <w:spacing w:before="0" w:beforeAutospacing="0" w:after="0" w:afterAutospacing="0"/>
              <w:ind w:left="0" w:right="0"/>
              <w:jc w:val="left"/>
              <w:textAlignment w:val="bottom"/>
              <w:rPr>
                <w:rFonts w:hint="eastAsia" w:ascii="仿宋" w:hAnsi="仿宋" w:eastAsia="仿宋" w:cs="仿宋"/>
                <w:color w:val="auto"/>
                <w:sz w:val="20"/>
                <w:highlight w:val="none"/>
              </w:rPr>
            </w:pPr>
            <w:r>
              <w:rPr>
                <w:rFonts w:hint="eastAsia" w:ascii="仿宋" w:hAnsi="仿宋" w:eastAsia="仿宋" w:cs="仿宋"/>
                <w:color w:val="auto"/>
                <w:kern w:val="0"/>
                <w:sz w:val="20"/>
                <w:highlight w:val="none"/>
              </w:rPr>
              <w:t xml:space="preserve"> 8、邮政业</w:t>
            </w:r>
          </w:p>
        </w:tc>
        <w:tc>
          <w:tcPr>
            <w:tcW w:w="1383" w:type="dxa"/>
            <w:tcBorders>
              <w:top w:val="single" w:color="000000" w:sz="4" w:space="0"/>
              <w:left w:val="single" w:color="000000" w:sz="12" w:space="0"/>
              <w:bottom w:val="single" w:color="000000" w:sz="4" w:space="0"/>
              <w:right w:val="single" w:color="000000" w:sz="4" w:space="0"/>
            </w:tcBorders>
            <w:tcMar>
              <w:top w:w="15" w:type="dxa"/>
              <w:left w:w="15" w:type="dxa"/>
              <w:bottom w:w="15" w:type="dxa"/>
              <w:right w:w="15" w:type="dxa"/>
            </w:tcMar>
            <w:vAlign w:val="bottom"/>
          </w:tcPr>
          <w:p>
            <w:pPr>
              <w:widowControl/>
              <w:spacing w:before="0" w:beforeAutospacing="0" w:after="0" w:afterAutospacing="0"/>
              <w:ind w:left="0" w:right="0"/>
              <w:jc w:val="left"/>
              <w:textAlignment w:val="bottom"/>
              <w:rPr>
                <w:rFonts w:hint="eastAsia" w:ascii="仿宋" w:hAnsi="仿宋" w:eastAsia="仿宋" w:cs="仿宋"/>
                <w:color w:val="auto"/>
                <w:sz w:val="20"/>
                <w:highlight w:val="none"/>
              </w:rPr>
            </w:pPr>
            <w:r>
              <w:rPr>
                <w:rFonts w:hint="eastAsia" w:ascii="仿宋" w:hAnsi="仿宋" w:eastAsia="仿宋" w:cs="仿宋"/>
                <w:color w:val="auto"/>
                <w:kern w:val="0"/>
                <w:sz w:val="20"/>
                <w:highlight w:val="none"/>
              </w:rPr>
              <w:t>300≤X＜1000</w:t>
            </w:r>
          </w:p>
        </w:tc>
        <w:tc>
          <w:tcPr>
            <w:tcW w:w="1575"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bottom"/>
          </w:tcPr>
          <w:p>
            <w:pPr>
              <w:widowControl/>
              <w:spacing w:before="0" w:beforeAutospacing="0" w:after="0" w:afterAutospacing="0"/>
              <w:ind w:left="0" w:right="0"/>
              <w:jc w:val="left"/>
              <w:textAlignment w:val="bottom"/>
              <w:rPr>
                <w:rFonts w:hint="eastAsia" w:ascii="仿宋" w:hAnsi="仿宋" w:eastAsia="仿宋" w:cs="仿宋"/>
                <w:color w:val="auto"/>
                <w:sz w:val="20"/>
                <w:highlight w:val="none"/>
              </w:rPr>
            </w:pPr>
            <w:r>
              <w:rPr>
                <w:rFonts w:hint="eastAsia" w:ascii="仿宋" w:hAnsi="仿宋" w:eastAsia="仿宋" w:cs="仿宋"/>
                <w:color w:val="auto"/>
                <w:kern w:val="0"/>
                <w:sz w:val="20"/>
                <w:highlight w:val="none"/>
              </w:rPr>
              <w:t>2000≤Y＜30000</w:t>
            </w:r>
          </w:p>
        </w:tc>
        <w:tc>
          <w:tcPr>
            <w:tcW w:w="1550" w:type="dxa"/>
            <w:tcBorders>
              <w:top w:val="single" w:color="000000" w:sz="4" w:space="0"/>
              <w:left w:val="single" w:color="000000" w:sz="4" w:space="0"/>
              <w:bottom w:val="single" w:color="000000" w:sz="4" w:space="0"/>
              <w:right w:val="single" w:color="000000" w:sz="12" w:space="0"/>
            </w:tcBorders>
            <w:tcMar>
              <w:top w:w="15" w:type="dxa"/>
              <w:left w:w="15" w:type="dxa"/>
              <w:bottom w:w="15" w:type="dxa"/>
              <w:right w:w="15" w:type="dxa"/>
            </w:tcMar>
            <w:vAlign w:val="bottom"/>
          </w:tcPr>
          <w:p>
            <w:pPr>
              <w:spacing w:before="0" w:beforeAutospacing="0" w:after="0" w:afterAutospacing="0"/>
              <w:ind w:left="0" w:right="0"/>
              <w:rPr>
                <w:rFonts w:hint="eastAsia" w:ascii="仿宋" w:hAnsi="仿宋" w:eastAsia="仿宋" w:cs="仿宋"/>
                <w:color w:val="auto"/>
                <w:sz w:val="20"/>
                <w:highlight w:val="none"/>
              </w:rPr>
            </w:pPr>
          </w:p>
        </w:tc>
        <w:tc>
          <w:tcPr>
            <w:tcW w:w="1182" w:type="dxa"/>
            <w:tcBorders>
              <w:top w:val="single" w:color="000000" w:sz="4" w:space="0"/>
              <w:left w:val="single" w:color="000000" w:sz="12" w:space="0"/>
              <w:bottom w:val="single" w:color="000000" w:sz="4" w:space="0"/>
              <w:right w:val="single" w:color="000000" w:sz="4" w:space="0"/>
            </w:tcBorders>
            <w:tcMar>
              <w:top w:w="15" w:type="dxa"/>
              <w:left w:w="15" w:type="dxa"/>
              <w:bottom w:w="15" w:type="dxa"/>
              <w:right w:w="15" w:type="dxa"/>
            </w:tcMar>
            <w:vAlign w:val="bottom"/>
          </w:tcPr>
          <w:p>
            <w:pPr>
              <w:widowControl/>
              <w:spacing w:before="0" w:beforeAutospacing="0" w:after="0" w:afterAutospacing="0"/>
              <w:ind w:left="0" w:right="0"/>
              <w:jc w:val="left"/>
              <w:textAlignment w:val="bottom"/>
              <w:rPr>
                <w:rFonts w:hint="eastAsia" w:ascii="仿宋" w:hAnsi="仿宋" w:eastAsia="仿宋" w:cs="仿宋"/>
                <w:color w:val="auto"/>
                <w:sz w:val="20"/>
                <w:highlight w:val="none"/>
              </w:rPr>
            </w:pPr>
            <w:r>
              <w:rPr>
                <w:rFonts w:hint="eastAsia" w:ascii="仿宋" w:hAnsi="仿宋" w:eastAsia="仿宋" w:cs="仿宋"/>
                <w:color w:val="auto"/>
                <w:kern w:val="0"/>
                <w:sz w:val="20"/>
                <w:highlight w:val="none"/>
              </w:rPr>
              <w:t>20≤X＜300</w:t>
            </w:r>
          </w:p>
        </w:tc>
        <w:tc>
          <w:tcPr>
            <w:tcW w:w="1387"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bottom"/>
          </w:tcPr>
          <w:p>
            <w:pPr>
              <w:widowControl/>
              <w:spacing w:before="0" w:beforeAutospacing="0" w:after="0" w:afterAutospacing="0"/>
              <w:ind w:left="0" w:right="0"/>
              <w:jc w:val="left"/>
              <w:textAlignment w:val="bottom"/>
              <w:rPr>
                <w:rFonts w:hint="eastAsia" w:ascii="仿宋" w:hAnsi="仿宋" w:eastAsia="仿宋" w:cs="仿宋"/>
                <w:color w:val="auto"/>
                <w:sz w:val="20"/>
                <w:highlight w:val="none"/>
              </w:rPr>
            </w:pPr>
            <w:r>
              <w:rPr>
                <w:rFonts w:hint="eastAsia" w:ascii="仿宋" w:hAnsi="仿宋" w:eastAsia="仿宋" w:cs="仿宋"/>
                <w:color w:val="auto"/>
                <w:kern w:val="0"/>
                <w:sz w:val="20"/>
                <w:highlight w:val="none"/>
              </w:rPr>
              <w:t>100≤Y＜2000</w:t>
            </w:r>
          </w:p>
        </w:tc>
        <w:tc>
          <w:tcPr>
            <w:tcW w:w="1425" w:type="dxa"/>
            <w:tcBorders>
              <w:top w:val="single" w:color="000000" w:sz="4" w:space="0"/>
              <w:left w:val="single" w:color="000000" w:sz="4" w:space="0"/>
              <w:bottom w:val="single" w:color="000000" w:sz="4" w:space="0"/>
              <w:right w:val="single" w:color="000000" w:sz="12" w:space="0"/>
            </w:tcBorders>
            <w:tcMar>
              <w:top w:w="15" w:type="dxa"/>
              <w:left w:w="15" w:type="dxa"/>
              <w:bottom w:w="15" w:type="dxa"/>
              <w:right w:w="15" w:type="dxa"/>
            </w:tcMar>
            <w:vAlign w:val="bottom"/>
          </w:tcPr>
          <w:p>
            <w:pPr>
              <w:spacing w:before="0" w:beforeAutospacing="0" w:after="0" w:afterAutospacing="0"/>
              <w:ind w:left="0" w:right="0"/>
              <w:rPr>
                <w:rFonts w:hint="eastAsia" w:ascii="仿宋" w:hAnsi="仿宋" w:eastAsia="仿宋" w:cs="仿宋"/>
                <w:color w:val="auto"/>
                <w:sz w:val="20"/>
                <w:highlight w:val="none"/>
              </w:rPr>
            </w:pPr>
          </w:p>
        </w:tc>
        <w:tc>
          <w:tcPr>
            <w:tcW w:w="1010" w:type="dxa"/>
            <w:tcBorders>
              <w:top w:val="single" w:color="000000" w:sz="4" w:space="0"/>
              <w:left w:val="single" w:color="000000" w:sz="12" w:space="0"/>
              <w:bottom w:val="single" w:color="000000" w:sz="4" w:space="0"/>
              <w:right w:val="single" w:color="000000" w:sz="4" w:space="0"/>
            </w:tcBorders>
            <w:tcMar>
              <w:top w:w="15" w:type="dxa"/>
              <w:left w:w="15" w:type="dxa"/>
              <w:bottom w:w="15" w:type="dxa"/>
              <w:right w:w="15" w:type="dxa"/>
            </w:tcMar>
            <w:vAlign w:val="bottom"/>
          </w:tcPr>
          <w:p>
            <w:pPr>
              <w:widowControl/>
              <w:spacing w:before="0" w:beforeAutospacing="0" w:after="0" w:afterAutospacing="0"/>
              <w:ind w:left="0" w:right="0"/>
              <w:jc w:val="left"/>
              <w:textAlignment w:val="bottom"/>
              <w:rPr>
                <w:rFonts w:hint="eastAsia" w:ascii="仿宋" w:hAnsi="仿宋" w:eastAsia="仿宋" w:cs="仿宋"/>
                <w:color w:val="auto"/>
                <w:sz w:val="20"/>
                <w:highlight w:val="none"/>
              </w:rPr>
            </w:pPr>
            <w:r>
              <w:rPr>
                <w:rFonts w:hint="eastAsia" w:ascii="仿宋" w:hAnsi="仿宋" w:eastAsia="仿宋" w:cs="仿宋"/>
                <w:color w:val="auto"/>
                <w:kern w:val="0"/>
                <w:sz w:val="20"/>
                <w:highlight w:val="none"/>
              </w:rPr>
              <w:t>X＜20</w:t>
            </w:r>
          </w:p>
        </w:tc>
        <w:tc>
          <w:tcPr>
            <w:tcW w:w="976"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bottom"/>
          </w:tcPr>
          <w:p>
            <w:pPr>
              <w:widowControl/>
              <w:spacing w:before="0" w:beforeAutospacing="0" w:after="0" w:afterAutospacing="0"/>
              <w:ind w:left="0" w:right="0"/>
              <w:jc w:val="left"/>
              <w:textAlignment w:val="bottom"/>
              <w:rPr>
                <w:rFonts w:hint="eastAsia" w:ascii="仿宋" w:hAnsi="仿宋" w:eastAsia="仿宋" w:cs="仿宋"/>
                <w:color w:val="auto"/>
                <w:sz w:val="20"/>
                <w:highlight w:val="none"/>
              </w:rPr>
            </w:pPr>
            <w:r>
              <w:rPr>
                <w:rFonts w:hint="eastAsia" w:ascii="仿宋" w:hAnsi="仿宋" w:eastAsia="仿宋" w:cs="仿宋"/>
                <w:color w:val="auto"/>
                <w:kern w:val="0"/>
                <w:sz w:val="20"/>
                <w:highlight w:val="none"/>
              </w:rPr>
              <w:t>Y＜100</w:t>
            </w:r>
          </w:p>
        </w:tc>
        <w:tc>
          <w:tcPr>
            <w:tcW w:w="2145" w:type="dxa"/>
            <w:tcBorders>
              <w:top w:val="single" w:color="000000" w:sz="4" w:space="0"/>
              <w:left w:val="single" w:color="000000" w:sz="4" w:space="0"/>
              <w:bottom w:val="single" w:color="000000" w:sz="4" w:space="0"/>
              <w:right w:val="single" w:color="000000" w:sz="12" w:space="0"/>
            </w:tcBorders>
            <w:tcMar>
              <w:top w:w="15" w:type="dxa"/>
              <w:left w:w="15" w:type="dxa"/>
              <w:bottom w:w="15" w:type="dxa"/>
              <w:right w:w="15" w:type="dxa"/>
            </w:tcMar>
            <w:vAlign w:val="bottom"/>
          </w:tcPr>
          <w:p>
            <w:pPr>
              <w:spacing w:before="0" w:beforeAutospacing="0" w:after="0" w:afterAutospacing="0"/>
              <w:ind w:left="0" w:right="0"/>
              <w:rPr>
                <w:rFonts w:hint="eastAsia" w:ascii="仿宋" w:hAnsi="仿宋" w:eastAsia="仿宋" w:cs="仿宋"/>
                <w:color w:val="auto"/>
                <w:sz w:val="20"/>
                <w:highlight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7" w:hRule="atLeast"/>
        </w:trPr>
        <w:tc>
          <w:tcPr>
            <w:tcW w:w="2178" w:type="dxa"/>
            <w:tcBorders>
              <w:top w:val="single" w:color="000000" w:sz="4" w:space="0"/>
              <w:left w:val="single" w:color="000000" w:sz="12" w:space="0"/>
              <w:bottom w:val="single" w:color="000000" w:sz="4" w:space="0"/>
              <w:right w:val="single" w:color="000000" w:sz="12" w:space="0"/>
            </w:tcBorders>
            <w:tcMar>
              <w:top w:w="15" w:type="dxa"/>
              <w:left w:w="15" w:type="dxa"/>
              <w:bottom w:w="15" w:type="dxa"/>
              <w:right w:w="15" w:type="dxa"/>
            </w:tcMar>
            <w:vAlign w:val="bottom"/>
          </w:tcPr>
          <w:p>
            <w:pPr>
              <w:widowControl/>
              <w:spacing w:before="0" w:beforeAutospacing="0" w:after="0" w:afterAutospacing="0"/>
              <w:ind w:left="0" w:right="0"/>
              <w:jc w:val="left"/>
              <w:textAlignment w:val="bottom"/>
              <w:rPr>
                <w:rFonts w:hint="eastAsia" w:ascii="仿宋" w:hAnsi="仿宋" w:eastAsia="仿宋" w:cs="仿宋"/>
                <w:color w:val="auto"/>
                <w:sz w:val="20"/>
                <w:highlight w:val="none"/>
              </w:rPr>
            </w:pPr>
            <w:r>
              <w:rPr>
                <w:rFonts w:hint="eastAsia" w:ascii="仿宋" w:hAnsi="仿宋" w:eastAsia="仿宋" w:cs="仿宋"/>
                <w:color w:val="auto"/>
                <w:kern w:val="0"/>
                <w:sz w:val="20"/>
                <w:highlight w:val="none"/>
              </w:rPr>
              <w:t xml:space="preserve"> 9、住宿业</w:t>
            </w:r>
          </w:p>
        </w:tc>
        <w:tc>
          <w:tcPr>
            <w:tcW w:w="1383" w:type="dxa"/>
            <w:tcBorders>
              <w:top w:val="single" w:color="000000" w:sz="4" w:space="0"/>
              <w:left w:val="single" w:color="000000" w:sz="12" w:space="0"/>
              <w:bottom w:val="single" w:color="000000" w:sz="4" w:space="0"/>
              <w:right w:val="single" w:color="000000" w:sz="4" w:space="0"/>
            </w:tcBorders>
            <w:tcMar>
              <w:top w:w="15" w:type="dxa"/>
              <w:left w:w="15" w:type="dxa"/>
              <w:bottom w:w="15" w:type="dxa"/>
              <w:right w:w="15" w:type="dxa"/>
            </w:tcMar>
            <w:vAlign w:val="bottom"/>
          </w:tcPr>
          <w:p>
            <w:pPr>
              <w:widowControl/>
              <w:spacing w:before="0" w:beforeAutospacing="0" w:after="0" w:afterAutospacing="0"/>
              <w:ind w:left="0" w:right="0"/>
              <w:jc w:val="left"/>
              <w:textAlignment w:val="bottom"/>
              <w:rPr>
                <w:rFonts w:hint="eastAsia" w:ascii="仿宋" w:hAnsi="仿宋" w:eastAsia="仿宋" w:cs="仿宋"/>
                <w:color w:val="auto"/>
                <w:sz w:val="20"/>
                <w:highlight w:val="none"/>
              </w:rPr>
            </w:pPr>
            <w:r>
              <w:rPr>
                <w:rFonts w:hint="eastAsia" w:ascii="仿宋" w:hAnsi="仿宋" w:eastAsia="仿宋" w:cs="仿宋"/>
                <w:color w:val="auto"/>
                <w:kern w:val="0"/>
                <w:sz w:val="20"/>
                <w:highlight w:val="none"/>
              </w:rPr>
              <w:t>100≤X＜300</w:t>
            </w:r>
          </w:p>
        </w:tc>
        <w:tc>
          <w:tcPr>
            <w:tcW w:w="1575"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bottom"/>
          </w:tcPr>
          <w:p>
            <w:pPr>
              <w:widowControl/>
              <w:spacing w:before="0" w:beforeAutospacing="0" w:after="0" w:afterAutospacing="0"/>
              <w:ind w:left="0" w:right="0"/>
              <w:jc w:val="left"/>
              <w:textAlignment w:val="bottom"/>
              <w:rPr>
                <w:rFonts w:hint="eastAsia" w:ascii="仿宋" w:hAnsi="仿宋" w:eastAsia="仿宋" w:cs="仿宋"/>
                <w:color w:val="auto"/>
                <w:sz w:val="20"/>
                <w:highlight w:val="none"/>
              </w:rPr>
            </w:pPr>
            <w:r>
              <w:rPr>
                <w:rFonts w:hint="eastAsia" w:ascii="仿宋" w:hAnsi="仿宋" w:eastAsia="仿宋" w:cs="仿宋"/>
                <w:color w:val="auto"/>
                <w:kern w:val="0"/>
                <w:sz w:val="20"/>
                <w:highlight w:val="none"/>
              </w:rPr>
              <w:t>2000≤Y＜10000</w:t>
            </w:r>
          </w:p>
        </w:tc>
        <w:tc>
          <w:tcPr>
            <w:tcW w:w="1550" w:type="dxa"/>
            <w:tcBorders>
              <w:top w:val="single" w:color="000000" w:sz="4" w:space="0"/>
              <w:left w:val="single" w:color="000000" w:sz="4" w:space="0"/>
              <w:bottom w:val="single" w:color="000000" w:sz="4" w:space="0"/>
              <w:right w:val="single" w:color="000000" w:sz="12" w:space="0"/>
            </w:tcBorders>
            <w:tcMar>
              <w:top w:w="15" w:type="dxa"/>
              <w:left w:w="15" w:type="dxa"/>
              <w:bottom w:w="15" w:type="dxa"/>
              <w:right w:w="15" w:type="dxa"/>
            </w:tcMar>
            <w:vAlign w:val="bottom"/>
          </w:tcPr>
          <w:p>
            <w:pPr>
              <w:spacing w:before="0" w:beforeAutospacing="0" w:after="0" w:afterAutospacing="0"/>
              <w:ind w:left="0" w:right="0"/>
              <w:rPr>
                <w:rFonts w:hint="eastAsia" w:ascii="仿宋" w:hAnsi="仿宋" w:eastAsia="仿宋" w:cs="仿宋"/>
                <w:color w:val="auto"/>
                <w:sz w:val="20"/>
                <w:highlight w:val="none"/>
              </w:rPr>
            </w:pPr>
          </w:p>
        </w:tc>
        <w:tc>
          <w:tcPr>
            <w:tcW w:w="1182" w:type="dxa"/>
            <w:tcBorders>
              <w:top w:val="single" w:color="000000" w:sz="4" w:space="0"/>
              <w:left w:val="single" w:color="000000" w:sz="12" w:space="0"/>
              <w:bottom w:val="single" w:color="000000" w:sz="4" w:space="0"/>
              <w:right w:val="single" w:color="000000" w:sz="4" w:space="0"/>
            </w:tcBorders>
            <w:tcMar>
              <w:top w:w="15" w:type="dxa"/>
              <w:left w:w="15" w:type="dxa"/>
              <w:bottom w:w="15" w:type="dxa"/>
              <w:right w:w="15" w:type="dxa"/>
            </w:tcMar>
            <w:vAlign w:val="bottom"/>
          </w:tcPr>
          <w:p>
            <w:pPr>
              <w:widowControl/>
              <w:spacing w:before="0" w:beforeAutospacing="0" w:after="0" w:afterAutospacing="0"/>
              <w:ind w:left="0" w:right="0"/>
              <w:jc w:val="left"/>
              <w:textAlignment w:val="bottom"/>
              <w:rPr>
                <w:rFonts w:hint="eastAsia" w:ascii="仿宋" w:hAnsi="仿宋" w:eastAsia="仿宋" w:cs="仿宋"/>
                <w:color w:val="auto"/>
                <w:sz w:val="20"/>
                <w:highlight w:val="none"/>
              </w:rPr>
            </w:pPr>
            <w:r>
              <w:rPr>
                <w:rFonts w:hint="eastAsia" w:ascii="仿宋" w:hAnsi="仿宋" w:eastAsia="仿宋" w:cs="仿宋"/>
                <w:color w:val="auto"/>
                <w:kern w:val="0"/>
                <w:sz w:val="20"/>
                <w:highlight w:val="none"/>
              </w:rPr>
              <w:t>10≤X＜100</w:t>
            </w:r>
          </w:p>
        </w:tc>
        <w:tc>
          <w:tcPr>
            <w:tcW w:w="1387"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bottom"/>
          </w:tcPr>
          <w:p>
            <w:pPr>
              <w:widowControl/>
              <w:spacing w:before="0" w:beforeAutospacing="0" w:after="0" w:afterAutospacing="0"/>
              <w:ind w:left="0" w:right="0"/>
              <w:jc w:val="left"/>
              <w:textAlignment w:val="bottom"/>
              <w:rPr>
                <w:rFonts w:hint="eastAsia" w:ascii="仿宋" w:hAnsi="仿宋" w:eastAsia="仿宋" w:cs="仿宋"/>
                <w:color w:val="auto"/>
                <w:sz w:val="20"/>
                <w:highlight w:val="none"/>
              </w:rPr>
            </w:pPr>
            <w:r>
              <w:rPr>
                <w:rFonts w:hint="eastAsia" w:ascii="仿宋" w:hAnsi="仿宋" w:eastAsia="仿宋" w:cs="仿宋"/>
                <w:color w:val="auto"/>
                <w:kern w:val="0"/>
                <w:sz w:val="20"/>
                <w:highlight w:val="none"/>
              </w:rPr>
              <w:t>100≤Y＜2000</w:t>
            </w:r>
          </w:p>
        </w:tc>
        <w:tc>
          <w:tcPr>
            <w:tcW w:w="1425" w:type="dxa"/>
            <w:tcBorders>
              <w:top w:val="single" w:color="000000" w:sz="4" w:space="0"/>
              <w:left w:val="single" w:color="000000" w:sz="4" w:space="0"/>
              <w:bottom w:val="single" w:color="000000" w:sz="4" w:space="0"/>
              <w:right w:val="single" w:color="000000" w:sz="12" w:space="0"/>
            </w:tcBorders>
            <w:tcMar>
              <w:top w:w="15" w:type="dxa"/>
              <w:left w:w="15" w:type="dxa"/>
              <w:bottom w:w="15" w:type="dxa"/>
              <w:right w:w="15" w:type="dxa"/>
            </w:tcMar>
            <w:vAlign w:val="bottom"/>
          </w:tcPr>
          <w:p>
            <w:pPr>
              <w:spacing w:before="0" w:beforeAutospacing="0" w:after="0" w:afterAutospacing="0"/>
              <w:ind w:left="0" w:right="0"/>
              <w:rPr>
                <w:rFonts w:hint="eastAsia" w:ascii="仿宋" w:hAnsi="仿宋" w:eastAsia="仿宋" w:cs="仿宋"/>
                <w:color w:val="auto"/>
                <w:sz w:val="20"/>
                <w:highlight w:val="none"/>
              </w:rPr>
            </w:pPr>
          </w:p>
        </w:tc>
        <w:tc>
          <w:tcPr>
            <w:tcW w:w="1010" w:type="dxa"/>
            <w:tcBorders>
              <w:top w:val="single" w:color="000000" w:sz="4" w:space="0"/>
              <w:left w:val="single" w:color="000000" w:sz="12" w:space="0"/>
              <w:bottom w:val="single" w:color="000000" w:sz="4" w:space="0"/>
              <w:right w:val="single" w:color="000000" w:sz="4" w:space="0"/>
            </w:tcBorders>
            <w:tcMar>
              <w:top w:w="15" w:type="dxa"/>
              <w:left w:w="15" w:type="dxa"/>
              <w:bottom w:w="15" w:type="dxa"/>
              <w:right w:w="15" w:type="dxa"/>
            </w:tcMar>
            <w:vAlign w:val="bottom"/>
          </w:tcPr>
          <w:p>
            <w:pPr>
              <w:widowControl/>
              <w:spacing w:before="0" w:beforeAutospacing="0" w:after="0" w:afterAutospacing="0"/>
              <w:ind w:left="0" w:right="0"/>
              <w:jc w:val="left"/>
              <w:textAlignment w:val="bottom"/>
              <w:rPr>
                <w:rFonts w:hint="eastAsia" w:ascii="仿宋" w:hAnsi="仿宋" w:eastAsia="仿宋" w:cs="仿宋"/>
                <w:color w:val="auto"/>
                <w:sz w:val="20"/>
                <w:highlight w:val="none"/>
              </w:rPr>
            </w:pPr>
            <w:r>
              <w:rPr>
                <w:rFonts w:hint="eastAsia" w:ascii="仿宋" w:hAnsi="仿宋" w:eastAsia="仿宋" w:cs="仿宋"/>
                <w:color w:val="auto"/>
                <w:kern w:val="0"/>
                <w:sz w:val="20"/>
                <w:highlight w:val="none"/>
              </w:rPr>
              <w:t>X＜10</w:t>
            </w:r>
          </w:p>
        </w:tc>
        <w:tc>
          <w:tcPr>
            <w:tcW w:w="976"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bottom"/>
          </w:tcPr>
          <w:p>
            <w:pPr>
              <w:widowControl/>
              <w:spacing w:before="0" w:beforeAutospacing="0" w:after="0" w:afterAutospacing="0"/>
              <w:ind w:left="0" w:right="0"/>
              <w:jc w:val="left"/>
              <w:textAlignment w:val="bottom"/>
              <w:rPr>
                <w:rFonts w:hint="eastAsia" w:ascii="仿宋" w:hAnsi="仿宋" w:eastAsia="仿宋" w:cs="仿宋"/>
                <w:color w:val="auto"/>
                <w:sz w:val="20"/>
                <w:highlight w:val="none"/>
              </w:rPr>
            </w:pPr>
            <w:r>
              <w:rPr>
                <w:rFonts w:hint="eastAsia" w:ascii="仿宋" w:hAnsi="仿宋" w:eastAsia="仿宋" w:cs="仿宋"/>
                <w:color w:val="auto"/>
                <w:kern w:val="0"/>
                <w:sz w:val="20"/>
                <w:highlight w:val="none"/>
              </w:rPr>
              <w:t>Y＜100</w:t>
            </w:r>
          </w:p>
        </w:tc>
        <w:tc>
          <w:tcPr>
            <w:tcW w:w="2145" w:type="dxa"/>
            <w:tcBorders>
              <w:top w:val="single" w:color="000000" w:sz="4" w:space="0"/>
              <w:left w:val="single" w:color="000000" w:sz="4" w:space="0"/>
              <w:bottom w:val="single" w:color="000000" w:sz="4" w:space="0"/>
              <w:right w:val="single" w:color="000000" w:sz="12" w:space="0"/>
            </w:tcBorders>
            <w:tcMar>
              <w:top w:w="15" w:type="dxa"/>
              <w:left w:w="15" w:type="dxa"/>
              <w:bottom w:w="15" w:type="dxa"/>
              <w:right w:w="15" w:type="dxa"/>
            </w:tcMar>
            <w:vAlign w:val="bottom"/>
          </w:tcPr>
          <w:p>
            <w:pPr>
              <w:spacing w:before="0" w:beforeAutospacing="0" w:after="0" w:afterAutospacing="0"/>
              <w:ind w:left="0" w:right="0"/>
              <w:rPr>
                <w:rFonts w:hint="eastAsia" w:ascii="仿宋" w:hAnsi="仿宋" w:eastAsia="仿宋" w:cs="仿宋"/>
                <w:color w:val="auto"/>
                <w:sz w:val="20"/>
                <w:highlight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7" w:hRule="atLeast"/>
        </w:trPr>
        <w:tc>
          <w:tcPr>
            <w:tcW w:w="2178" w:type="dxa"/>
            <w:tcBorders>
              <w:top w:val="single" w:color="000000" w:sz="4" w:space="0"/>
              <w:left w:val="single" w:color="000000" w:sz="12" w:space="0"/>
              <w:bottom w:val="single" w:color="000000" w:sz="4" w:space="0"/>
              <w:right w:val="single" w:color="000000" w:sz="12" w:space="0"/>
            </w:tcBorders>
            <w:tcMar>
              <w:top w:w="15" w:type="dxa"/>
              <w:left w:w="15" w:type="dxa"/>
              <w:bottom w:w="15" w:type="dxa"/>
              <w:right w:w="15" w:type="dxa"/>
            </w:tcMar>
            <w:vAlign w:val="bottom"/>
          </w:tcPr>
          <w:p>
            <w:pPr>
              <w:widowControl/>
              <w:spacing w:before="0" w:beforeAutospacing="0" w:after="0" w:afterAutospacing="0"/>
              <w:ind w:left="0" w:right="0"/>
              <w:jc w:val="left"/>
              <w:textAlignment w:val="bottom"/>
              <w:rPr>
                <w:rFonts w:hint="eastAsia" w:ascii="仿宋" w:hAnsi="仿宋" w:eastAsia="仿宋" w:cs="仿宋"/>
                <w:color w:val="auto"/>
                <w:sz w:val="20"/>
                <w:highlight w:val="none"/>
              </w:rPr>
            </w:pPr>
            <w:r>
              <w:rPr>
                <w:rFonts w:hint="eastAsia" w:ascii="仿宋" w:hAnsi="仿宋" w:eastAsia="仿宋" w:cs="仿宋"/>
                <w:color w:val="auto"/>
                <w:kern w:val="0"/>
                <w:sz w:val="20"/>
                <w:highlight w:val="none"/>
              </w:rPr>
              <w:t>10、餐饮业</w:t>
            </w:r>
          </w:p>
        </w:tc>
        <w:tc>
          <w:tcPr>
            <w:tcW w:w="1383" w:type="dxa"/>
            <w:tcBorders>
              <w:top w:val="single" w:color="000000" w:sz="4" w:space="0"/>
              <w:left w:val="single" w:color="000000" w:sz="12" w:space="0"/>
              <w:bottom w:val="single" w:color="000000" w:sz="4" w:space="0"/>
              <w:right w:val="single" w:color="000000" w:sz="4" w:space="0"/>
            </w:tcBorders>
            <w:tcMar>
              <w:top w:w="15" w:type="dxa"/>
              <w:left w:w="15" w:type="dxa"/>
              <w:bottom w:w="15" w:type="dxa"/>
              <w:right w:w="15" w:type="dxa"/>
            </w:tcMar>
            <w:vAlign w:val="bottom"/>
          </w:tcPr>
          <w:p>
            <w:pPr>
              <w:widowControl/>
              <w:spacing w:before="0" w:beforeAutospacing="0" w:after="0" w:afterAutospacing="0"/>
              <w:ind w:left="0" w:right="0"/>
              <w:jc w:val="left"/>
              <w:textAlignment w:val="bottom"/>
              <w:rPr>
                <w:rFonts w:hint="eastAsia" w:ascii="仿宋" w:hAnsi="仿宋" w:eastAsia="仿宋" w:cs="仿宋"/>
                <w:color w:val="auto"/>
                <w:sz w:val="20"/>
                <w:highlight w:val="none"/>
              </w:rPr>
            </w:pPr>
            <w:r>
              <w:rPr>
                <w:rFonts w:hint="eastAsia" w:ascii="仿宋" w:hAnsi="仿宋" w:eastAsia="仿宋" w:cs="仿宋"/>
                <w:color w:val="auto"/>
                <w:kern w:val="0"/>
                <w:sz w:val="20"/>
                <w:highlight w:val="none"/>
              </w:rPr>
              <w:t>100≤X＜300</w:t>
            </w:r>
          </w:p>
        </w:tc>
        <w:tc>
          <w:tcPr>
            <w:tcW w:w="1575"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bottom"/>
          </w:tcPr>
          <w:p>
            <w:pPr>
              <w:widowControl/>
              <w:spacing w:before="0" w:beforeAutospacing="0" w:after="0" w:afterAutospacing="0"/>
              <w:ind w:left="0" w:right="0"/>
              <w:jc w:val="left"/>
              <w:textAlignment w:val="bottom"/>
              <w:rPr>
                <w:rFonts w:hint="eastAsia" w:ascii="仿宋" w:hAnsi="仿宋" w:eastAsia="仿宋" w:cs="仿宋"/>
                <w:color w:val="auto"/>
                <w:sz w:val="20"/>
                <w:highlight w:val="none"/>
              </w:rPr>
            </w:pPr>
            <w:r>
              <w:rPr>
                <w:rFonts w:hint="eastAsia" w:ascii="仿宋" w:hAnsi="仿宋" w:eastAsia="仿宋" w:cs="仿宋"/>
                <w:color w:val="auto"/>
                <w:kern w:val="0"/>
                <w:sz w:val="20"/>
                <w:highlight w:val="none"/>
              </w:rPr>
              <w:t>2000≤Y＜10000</w:t>
            </w:r>
          </w:p>
        </w:tc>
        <w:tc>
          <w:tcPr>
            <w:tcW w:w="1550" w:type="dxa"/>
            <w:tcBorders>
              <w:top w:val="single" w:color="000000" w:sz="4" w:space="0"/>
              <w:left w:val="single" w:color="000000" w:sz="4" w:space="0"/>
              <w:bottom w:val="single" w:color="000000" w:sz="4" w:space="0"/>
              <w:right w:val="single" w:color="000000" w:sz="12" w:space="0"/>
            </w:tcBorders>
            <w:tcMar>
              <w:top w:w="15" w:type="dxa"/>
              <w:left w:w="15" w:type="dxa"/>
              <w:bottom w:w="15" w:type="dxa"/>
              <w:right w:w="15" w:type="dxa"/>
            </w:tcMar>
            <w:vAlign w:val="bottom"/>
          </w:tcPr>
          <w:p>
            <w:pPr>
              <w:spacing w:before="0" w:beforeAutospacing="0" w:after="0" w:afterAutospacing="0"/>
              <w:ind w:left="0" w:right="0"/>
              <w:rPr>
                <w:rFonts w:hint="eastAsia" w:ascii="仿宋" w:hAnsi="仿宋" w:eastAsia="仿宋" w:cs="仿宋"/>
                <w:color w:val="auto"/>
                <w:sz w:val="20"/>
                <w:highlight w:val="none"/>
              </w:rPr>
            </w:pPr>
          </w:p>
        </w:tc>
        <w:tc>
          <w:tcPr>
            <w:tcW w:w="1182" w:type="dxa"/>
            <w:tcBorders>
              <w:top w:val="single" w:color="000000" w:sz="4" w:space="0"/>
              <w:left w:val="single" w:color="000000" w:sz="12" w:space="0"/>
              <w:bottom w:val="single" w:color="000000" w:sz="4" w:space="0"/>
              <w:right w:val="single" w:color="000000" w:sz="4" w:space="0"/>
            </w:tcBorders>
            <w:tcMar>
              <w:top w:w="15" w:type="dxa"/>
              <w:left w:w="15" w:type="dxa"/>
              <w:bottom w:w="15" w:type="dxa"/>
              <w:right w:w="15" w:type="dxa"/>
            </w:tcMar>
            <w:vAlign w:val="bottom"/>
          </w:tcPr>
          <w:p>
            <w:pPr>
              <w:widowControl/>
              <w:spacing w:before="0" w:beforeAutospacing="0" w:after="0" w:afterAutospacing="0"/>
              <w:ind w:left="0" w:right="0"/>
              <w:jc w:val="left"/>
              <w:textAlignment w:val="bottom"/>
              <w:rPr>
                <w:rFonts w:hint="eastAsia" w:ascii="仿宋" w:hAnsi="仿宋" w:eastAsia="仿宋" w:cs="仿宋"/>
                <w:color w:val="auto"/>
                <w:sz w:val="20"/>
                <w:highlight w:val="none"/>
              </w:rPr>
            </w:pPr>
            <w:r>
              <w:rPr>
                <w:rFonts w:hint="eastAsia" w:ascii="仿宋" w:hAnsi="仿宋" w:eastAsia="仿宋" w:cs="仿宋"/>
                <w:color w:val="auto"/>
                <w:kern w:val="0"/>
                <w:sz w:val="20"/>
                <w:highlight w:val="none"/>
              </w:rPr>
              <w:t>10≤X＜100</w:t>
            </w:r>
          </w:p>
        </w:tc>
        <w:tc>
          <w:tcPr>
            <w:tcW w:w="1387"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bottom"/>
          </w:tcPr>
          <w:p>
            <w:pPr>
              <w:widowControl/>
              <w:spacing w:before="0" w:beforeAutospacing="0" w:after="0" w:afterAutospacing="0"/>
              <w:ind w:left="0" w:right="0"/>
              <w:jc w:val="left"/>
              <w:textAlignment w:val="bottom"/>
              <w:rPr>
                <w:rFonts w:hint="eastAsia" w:ascii="仿宋" w:hAnsi="仿宋" w:eastAsia="仿宋" w:cs="仿宋"/>
                <w:color w:val="auto"/>
                <w:sz w:val="20"/>
                <w:highlight w:val="none"/>
              </w:rPr>
            </w:pPr>
            <w:r>
              <w:rPr>
                <w:rFonts w:hint="eastAsia" w:ascii="仿宋" w:hAnsi="仿宋" w:eastAsia="仿宋" w:cs="仿宋"/>
                <w:color w:val="auto"/>
                <w:kern w:val="0"/>
                <w:sz w:val="20"/>
                <w:highlight w:val="none"/>
              </w:rPr>
              <w:t>100≤Y＜2000</w:t>
            </w:r>
          </w:p>
        </w:tc>
        <w:tc>
          <w:tcPr>
            <w:tcW w:w="1425" w:type="dxa"/>
            <w:tcBorders>
              <w:top w:val="single" w:color="000000" w:sz="4" w:space="0"/>
              <w:left w:val="single" w:color="000000" w:sz="4" w:space="0"/>
              <w:bottom w:val="single" w:color="000000" w:sz="4" w:space="0"/>
              <w:right w:val="single" w:color="000000" w:sz="12" w:space="0"/>
            </w:tcBorders>
            <w:tcMar>
              <w:top w:w="15" w:type="dxa"/>
              <w:left w:w="15" w:type="dxa"/>
              <w:bottom w:w="15" w:type="dxa"/>
              <w:right w:w="15" w:type="dxa"/>
            </w:tcMar>
            <w:vAlign w:val="bottom"/>
          </w:tcPr>
          <w:p>
            <w:pPr>
              <w:spacing w:before="0" w:beforeAutospacing="0" w:after="0" w:afterAutospacing="0"/>
              <w:ind w:left="0" w:right="0"/>
              <w:rPr>
                <w:rFonts w:hint="eastAsia" w:ascii="仿宋" w:hAnsi="仿宋" w:eastAsia="仿宋" w:cs="仿宋"/>
                <w:color w:val="auto"/>
                <w:sz w:val="20"/>
                <w:highlight w:val="none"/>
              </w:rPr>
            </w:pPr>
          </w:p>
        </w:tc>
        <w:tc>
          <w:tcPr>
            <w:tcW w:w="1010" w:type="dxa"/>
            <w:tcBorders>
              <w:top w:val="single" w:color="000000" w:sz="4" w:space="0"/>
              <w:left w:val="single" w:color="000000" w:sz="12" w:space="0"/>
              <w:bottom w:val="single" w:color="000000" w:sz="4" w:space="0"/>
              <w:right w:val="single" w:color="000000" w:sz="4" w:space="0"/>
            </w:tcBorders>
            <w:tcMar>
              <w:top w:w="15" w:type="dxa"/>
              <w:left w:w="15" w:type="dxa"/>
              <w:bottom w:w="15" w:type="dxa"/>
              <w:right w:w="15" w:type="dxa"/>
            </w:tcMar>
            <w:vAlign w:val="bottom"/>
          </w:tcPr>
          <w:p>
            <w:pPr>
              <w:widowControl/>
              <w:spacing w:before="0" w:beforeAutospacing="0" w:after="0" w:afterAutospacing="0"/>
              <w:ind w:left="0" w:right="0"/>
              <w:jc w:val="left"/>
              <w:textAlignment w:val="bottom"/>
              <w:rPr>
                <w:rFonts w:hint="eastAsia" w:ascii="仿宋" w:hAnsi="仿宋" w:eastAsia="仿宋" w:cs="仿宋"/>
                <w:color w:val="auto"/>
                <w:sz w:val="20"/>
                <w:highlight w:val="none"/>
              </w:rPr>
            </w:pPr>
            <w:r>
              <w:rPr>
                <w:rFonts w:hint="eastAsia" w:ascii="仿宋" w:hAnsi="仿宋" w:eastAsia="仿宋" w:cs="仿宋"/>
                <w:color w:val="auto"/>
                <w:kern w:val="0"/>
                <w:sz w:val="20"/>
                <w:highlight w:val="none"/>
              </w:rPr>
              <w:t>X＜10</w:t>
            </w:r>
          </w:p>
        </w:tc>
        <w:tc>
          <w:tcPr>
            <w:tcW w:w="976"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bottom"/>
          </w:tcPr>
          <w:p>
            <w:pPr>
              <w:widowControl/>
              <w:spacing w:before="0" w:beforeAutospacing="0" w:after="0" w:afterAutospacing="0"/>
              <w:ind w:left="0" w:right="0"/>
              <w:jc w:val="left"/>
              <w:textAlignment w:val="bottom"/>
              <w:rPr>
                <w:rFonts w:hint="eastAsia" w:ascii="仿宋" w:hAnsi="仿宋" w:eastAsia="仿宋" w:cs="仿宋"/>
                <w:color w:val="auto"/>
                <w:sz w:val="20"/>
                <w:highlight w:val="none"/>
              </w:rPr>
            </w:pPr>
            <w:r>
              <w:rPr>
                <w:rFonts w:hint="eastAsia" w:ascii="仿宋" w:hAnsi="仿宋" w:eastAsia="仿宋" w:cs="仿宋"/>
                <w:color w:val="auto"/>
                <w:kern w:val="0"/>
                <w:sz w:val="20"/>
                <w:highlight w:val="none"/>
              </w:rPr>
              <w:t>V＜100</w:t>
            </w:r>
          </w:p>
        </w:tc>
        <w:tc>
          <w:tcPr>
            <w:tcW w:w="2145" w:type="dxa"/>
            <w:tcBorders>
              <w:top w:val="single" w:color="000000" w:sz="4" w:space="0"/>
              <w:left w:val="single" w:color="000000" w:sz="4" w:space="0"/>
              <w:bottom w:val="single" w:color="000000" w:sz="4" w:space="0"/>
              <w:right w:val="single" w:color="000000" w:sz="12" w:space="0"/>
            </w:tcBorders>
            <w:tcMar>
              <w:top w:w="15" w:type="dxa"/>
              <w:left w:w="15" w:type="dxa"/>
              <w:bottom w:w="15" w:type="dxa"/>
              <w:right w:w="15" w:type="dxa"/>
            </w:tcMar>
            <w:vAlign w:val="bottom"/>
          </w:tcPr>
          <w:p>
            <w:pPr>
              <w:spacing w:before="0" w:beforeAutospacing="0" w:after="0" w:afterAutospacing="0"/>
              <w:ind w:left="0" w:right="0"/>
              <w:rPr>
                <w:rFonts w:hint="eastAsia" w:ascii="仿宋" w:hAnsi="仿宋" w:eastAsia="仿宋" w:cs="仿宋"/>
                <w:color w:val="auto"/>
                <w:sz w:val="20"/>
                <w:highlight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7" w:hRule="atLeast"/>
        </w:trPr>
        <w:tc>
          <w:tcPr>
            <w:tcW w:w="2178" w:type="dxa"/>
            <w:tcBorders>
              <w:top w:val="single" w:color="000000" w:sz="4" w:space="0"/>
              <w:left w:val="single" w:color="000000" w:sz="12" w:space="0"/>
              <w:bottom w:val="single" w:color="000000" w:sz="4" w:space="0"/>
              <w:right w:val="single" w:color="000000" w:sz="12" w:space="0"/>
            </w:tcBorders>
            <w:tcMar>
              <w:top w:w="15" w:type="dxa"/>
              <w:left w:w="15" w:type="dxa"/>
              <w:bottom w:w="15" w:type="dxa"/>
              <w:right w:w="15" w:type="dxa"/>
            </w:tcMar>
            <w:vAlign w:val="bottom"/>
          </w:tcPr>
          <w:p>
            <w:pPr>
              <w:widowControl/>
              <w:spacing w:before="0" w:beforeAutospacing="0" w:after="0" w:afterAutospacing="0"/>
              <w:ind w:left="0" w:right="0"/>
              <w:jc w:val="left"/>
              <w:textAlignment w:val="bottom"/>
              <w:rPr>
                <w:rFonts w:hint="eastAsia" w:ascii="仿宋" w:hAnsi="仿宋" w:eastAsia="仿宋" w:cs="仿宋"/>
                <w:color w:val="auto"/>
                <w:sz w:val="20"/>
                <w:highlight w:val="none"/>
              </w:rPr>
            </w:pPr>
            <w:r>
              <w:rPr>
                <w:rFonts w:hint="eastAsia" w:ascii="仿宋" w:hAnsi="仿宋" w:eastAsia="仿宋" w:cs="仿宋"/>
                <w:color w:val="auto"/>
                <w:kern w:val="0"/>
                <w:sz w:val="20"/>
                <w:highlight w:val="none"/>
              </w:rPr>
              <w:t>11、信息传输业</w:t>
            </w:r>
          </w:p>
        </w:tc>
        <w:tc>
          <w:tcPr>
            <w:tcW w:w="1383" w:type="dxa"/>
            <w:tcBorders>
              <w:top w:val="single" w:color="000000" w:sz="4" w:space="0"/>
              <w:left w:val="single" w:color="000000" w:sz="12" w:space="0"/>
              <w:bottom w:val="single" w:color="000000" w:sz="4" w:space="0"/>
              <w:right w:val="single" w:color="000000" w:sz="4" w:space="0"/>
            </w:tcBorders>
            <w:tcMar>
              <w:top w:w="15" w:type="dxa"/>
              <w:left w:w="15" w:type="dxa"/>
              <w:bottom w:w="15" w:type="dxa"/>
              <w:right w:w="15" w:type="dxa"/>
            </w:tcMar>
            <w:vAlign w:val="bottom"/>
          </w:tcPr>
          <w:p>
            <w:pPr>
              <w:widowControl/>
              <w:spacing w:before="0" w:beforeAutospacing="0" w:after="0" w:afterAutospacing="0"/>
              <w:ind w:left="0" w:right="0"/>
              <w:jc w:val="left"/>
              <w:textAlignment w:val="bottom"/>
              <w:rPr>
                <w:rFonts w:hint="eastAsia" w:ascii="仿宋" w:hAnsi="仿宋" w:eastAsia="仿宋" w:cs="仿宋"/>
                <w:color w:val="auto"/>
                <w:sz w:val="20"/>
                <w:highlight w:val="none"/>
              </w:rPr>
            </w:pPr>
            <w:r>
              <w:rPr>
                <w:rFonts w:hint="eastAsia" w:ascii="仿宋" w:hAnsi="仿宋" w:eastAsia="仿宋" w:cs="仿宋"/>
                <w:color w:val="auto"/>
                <w:kern w:val="0"/>
                <w:sz w:val="20"/>
                <w:highlight w:val="none"/>
              </w:rPr>
              <w:t>100≤X＜2000</w:t>
            </w:r>
          </w:p>
        </w:tc>
        <w:tc>
          <w:tcPr>
            <w:tcW w:w="1575"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bottom"/>
          </w:tcPr>
          <w:p>
            <w:pPr>
              <w:widowControl/>
              <w:spacing w:before="0" w:beforeAutospacing="0" w:after="0" w:afterAutospacing="0"/>
              <w:ind w:left="0" w:right="0"/>
              <w:jc w:val="left"/>
              <w:textAlignment w:val="bottom"/>
              <w:rPr>
                <w:rFonts w:hint="eastAsia" w:ascii="仿宋" w:hAnsi="仿宋" w:eastAsia="仿宋" w:cs="仿宋"/>
                <w:color w:val="auto"/>
                <w:sz w:val="20"/>
                <w:highlight w:val="none"/>
              </w:rPr>
            </w:pPr>
            <w:r>
              <w:rPr>
                <w:rFonts w:hint="eastAsia" w:ascii="仿宋" w:hAnsi="仿宋" w:eastAsia="仿宋" w:cs="仿宋"/>
                <w:color w:val="auto"/>
                <w:kern w:val="0"/>
                <w:sz w:val="20"/>
                <w:highlight w:val="none"/>
              </w:rPr>
              <w:t>1000≤Y＜100000</w:t>
            </w:r>
          </w:p>
        </w:tc>
        <w:tc>
          <w:tcPr>
            <w:tcW w:w="1550" w:type="dxa"/>
            <w:tcBorders>
              <w:top w:val="single" w:color="000000" w:sz="4" w:space="0"/>
              <w:left w:val="single" w:color="000000" w:sz="4" w:space="0"/>
              <w:bottom w:val="single" w:color="000000" w:sz="4" w:space="0"/>
              <w:right w:val="single" w:color="000000" w:sz="12" w:space="0"/>
            </w:tcBorders>
            <w:tcMar>
              <w:top w:w="15" w:type="dxa"/>
              <w:left w:w="15" w:type="dxa"/>
              <w:bottom w:w="15" w:type="dxa"/>
              <w:right w:w="15" w:type="dxa"/>
            </w:tcMar>
            <w:vAlign w:val="bottom"/>
          </w:tcPr>
          <w:p>
            <w:pPr>
              <w:spacing w:before="0" w:beforeAutospacing="0" w:after="0" w:afterAutospacing="0"/>
              <w:ind w:left="0" w:right="0"/>
              <w:rPr>
                <w:rFonts w:hint="eastAsia" w:ascii="仿宋" w:hAnsi="仿宋" w:eastAsia="仿宋" w:cs="仿宋"/>
                <w:color w:val="auto"/>
                <w:sz w:val="20"/>
                <w:highlight w:val="none"/>
              </w:rPr>
            </w:pPr>
          </w:p>
        </w:tc>
        <w:tc>
          <w:tcPr>
            <w:tcW w:w="1182" w:type="dxa"/>
            <w:tcBorders>
              <w:top w:val="single" w:color="000000" w:sz="4" w:space="0"/>
              <w:left w:val="single" w:color="000000" w:sz="12" w:space="0"/>
              <w:bottom w:val="single" w:color="000000" w:sz="4" w:space="0"/>
              <w:right w:val="single" w:color="000000" w:sz="4" w:space="0"/>
            </w:tcBorders>
            <w:tcMar>
              <w:top w:w="15" w:type="dxa"/>
              <w:left w:w="15" w:type="dxa"/>
              <w:bottom w:w="15" w:type="dxa"/>
              <w:right w:w="15" w:type="dxa"/>
            </w:tcMar>
            <w:vAlign w:val="bottom"/>
          </w:tcPr>
          <w:p>
            <w:pPr>
              <w:widowControl/>
              <w:spacing w:before="0" w:beforeAutospacing="0" w:after="0" w:afterAutospacing="0"/>
              <w:ind w:left="0" w:right="0"/>
              <w:jc w:val="left"/>
              <w:textAlignment w:val="bottom"/>
              <w:rPr>
                <w:rFonts w:hint="eastAsia" w:ascii="仿宋" w:hAnsi="仿宋" w:eastAsia="仿宋" w:cs="仿宋"/>
                <w:color w:val="auto"/>
                <w:sz w:val="20"/>
                <w:highlight w:val="none"/>
              </w:rPr>
            </w:pPr>
            <w:r>
              <w:rPr>
                <w:rFonts w:hint="eastAsia" w:ascii="仿宋" w:hAnsi="仿宋" w:eastAsia="仿宋" w:cs="仿宋"/>
                <w:color w:val="auto"/>
                <w:kern w:val="0"/>
                <w:sz w:val="20"/>
                <w:highlight w:val="none"/>
              </w:rPr>
              <w:t>10≤X＜100</w:t>
            </w:r>
          </w:p>
        </w:tc>
        <w:tc>
          <w:tcPr>
            <w:tcW w:w="1387"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bottom"/>
          </w:tcPr>
          <w:p>
            <w:pPr>
              <w:widowControl/>
              <w:spacing w:before="0" w:beforeAutospacing="0" w:after="0" w:afterAutospacing="0"/>
              <w:ind w:left="0" w:right="0"/>
              <w:jc w:val="left"/>
              <w:textAlignment w:val="bottom"/>
              <w:rPr>
                <w:rFonts w:hint="eastAsia" w:ascii="仿宋" w:hAnsi="仿宋" w:eastAsia="仿宋" w:cs="仿宋"/>
                <w:color w:val="auto"/>
                <w:sz w:val="20"/>
                <w:highlight w:val="none"/>
              </w:rPr>
            </w:pPr>
            <w:r>
              <w:rPr>
                <w:rFonts w:hint="eastAsia" w:ascii="仿宋" w:hAnsi="仿宋" w:eastAsia="仿宋" w:cs="仿宋"/>
                <w:color w:val="auto"/>
                <w:kern w:val="0"/>
                <w:sz w:val="20"/>
                <w:highlight w:val="none"/>
              </w:rPr>
              <w:t>100≤Y＜1000</w:t>
            </w:r>
          </w:p>
        </w:tc>
        <w:tc>
          <w:tcPr>
            <w:tcW w:w="1425" w:type="dxa"/>
            <w:tcBorders>
              <w:top w:val="single" w:color="000000" w:sz="4" w:space="0"/>
              <w:left w:val="single" w:color="000000" w:sz="4" w:space="0"/>
              <w:bottom w:val="single" w:color="000000" w:sz="4" w:space="0"/>
              <w:right w:val="single" w:color="000000" w:sz="12" w:space="0"/>
            </w:tcBorders>
            <w:tcMar>
              <w:top w:w="15" w:type="dxa"/>
              <w:left w:w="15" w:type="dxa"/>
              <w:bottom w:w="15" w:type="dxa"/>
              <w:right w:w="15" w:type="dxa"/>
            </w:tcMar>
            <w:vAlign w:val="bottom"/>
          </w:tcPr>
          <w:p>
            <w:pPr>
              <w:spacing w:before="0" w:beforeAutospacing="0" w:after="0" w:afterAutospacing="0"/>
              <w:ind w:left="0" w:right="0"/>
              <w:rPr>
                <w:rFonts w:hint="eastAsia" w:ascii="仿宋" w:hAnsi="仿宋" w:eastAsia="仿宋" w:cs="仿宋"/>
                <w:color w:val="auto"/>
                <w:sz w:val="20"/>
                <w:highlight w:val="none"/>
              </w:rPr>
            </w:pPr>
          </w:p>
        </w:tc>
        <w:tc>
          <w:tcPr>
            <w:tcW w:w="1010" w:type="dxa"/>
            <w:tcBorders>
              <w:top w:val="single" w:color="000000" w:sz="4" w:space="0"/>
              <w:left w:val="single" w:color="000000" w:sz="12" w:space="0"/>
              <w:bottom w:val="single" w:color="000000" w:sz="4" w:space="0"/>
              <w:right w:val="single" w:color="000000" w:sz="4" w:space="0"/>
            </w:tcBorders>
            <w:tcMar>
              <w:top w:w="15" w:type="dxa"/>
              <w:left w:w="15" w:type="dxa"/>
              <w:bottom w:w="15" w:type="dxa"/>
              <w:right w:w="15" w:type="dxa"/>
            </w:tcMar>
            <w:vAlign w:val="bottom"/>
          </w:tcPr>
          <w:p>
            <w:pPr>
              <w:widowControl/>
              <w:spacing w:before="0" w:beforeAutospacing="0" w:after="0" w:afterAutospacing="0"/>
              <w:ind w:left="0" w:right="0"/>
              <w:jc w:val="left"/>
              <w:textAlignment w:val="bottom"/>
              <w:rPr>
                <w:rFonts w:hint="eastAsia" w:ascii="仿宋" w:hAnsi="仿宋" w:eastAsia="仿宋" w:cs="仿宋"/>
                <w:color w:val="auto"/>
                <w:sz w:val="20"/>
                <w:highlight w:val="none"/>
              </w:rPr>
            </w:pPr>
            <w:r>
              <w:rPr>
                <w:rFonts w:hint="eastAsia" w:ascii="仿宋" w:hAnsi="仿宋" w:eastAsia="仿宋" w:cs="仿宋"/>
                <w:color w:val="auto"/>
                <w:kern w:val="0"/>
                <w:sz w:val="20"/>
                <w:highlight w:val="none"/>
              </w:rPr>
              <w:t>X＜10</w:t>
            </w:r>
          </w:p>
        </w:tc>
        <w:tc>
          <w:tcPr>
            <w:tcW w:w="976"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bottom"/>
          </w:tcPr>
          <w:p>
            <w:pPr>
              <w:widowControl/>
              <w:spacing w:before="0" w:beforeAutospacing="0" w:after="0" w:afterAutospacing="0"/>
              <w:ind w:left="0" w:right="0"/>
              <w:jc w:val="left"/>
              <w:textAlignment w:val="bottom"/>
              <w:rPr>
                <w:rFonts w:hint="eastAsia" w:ascii="仿宋" w:hAnsi="仿宋" w:eastAsia="仿宋" w:cs="仿宋"/>
                <w:color w:val="auto"/>
                <w:sz w:val="20"/>
                <w:highlight w:val="none"/>
              </w:rPr>
            </w:pPr>
            <w:r>
              <w:rPr>
                <w:rFonts w:hint="eastAsia" w:ascii="仿宋" w:hAnsi="仿宋" w:eastAsia="仿宋" w:cs="仿宋"/>
                <w:color w:val="auto"/>
                <w:kern w:val="0"/>
                <w:sz w:val="20"/>
                <w:highlight w:val="none"/>
              </w:rPr>
              <w:t>Y＜100</w:t>
            </w:r>
          </w:p>
        </w:tc>
        <w:tc>
          <w:tcPr>
            <w:tcW w:w="2145" w:type="dxa"/>
            <w:tcBorders>
              <w:top w:val="single" w:color="000000" w:sz="4" w:space="0"/>
              <w:left w:val="single" w:color="000000" w:sz="4" w:space="0"/>
              <w:bottom w:val="single" w:color="000000" w:sz="4" w:space="0"/>
              <w:right w:val="single" w:color="000000" w:sz="12" w:space="0"/>
            </w:tcBorders>
            <w:tcMar>
              <w:top w:w="15" w:type="dxa"/>
              <w:left w:w="15" w:type="dxa"/>
              <w:bottom w:w="15" w:type="dxa"/>
              <w:right w:w="15" w:type="dxa"/>
            </w:tcMar>
            <w:vAlign w:val="bottom"/>
          </w:tcPr>
          <w:p>
            <w:pPr>
              <w:spacing w:before="0" w:beforeAutospacing="0" w:after="0" w:afterAutospacing="0"/>
              <w:ind w:left="0" w:right="0"/>
              <w:rPr>
                <w:rFonts w:hint="eastAsia" w:ascii="仿宋" w:hAnsi="仿宋" w:eastAsia="仿宋" w:cs="仿宋"/>
                <w:color w:val="auto"/>
                <w:sz w:val="20"/>
                <w:highlight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5" w:hRule="atLeast"/>
        </w:trPr>
        <w:tc>
          <w:tcPr>
            <w:tcW w:w="2178" w:type="dxa"/>
            <w:tcBorders>
              <w:top w:val="single" w:color="000000" w:sz="4" w:space="0"/>
              <w:left w:val="single" w:color="000000" w:sz="12" w:space="0"/>
              <w:bottom w:val="single" w:color="000000" w:sz="4" w:space="0"/>
              <w:right w:val="single" w:color="000000" w:sz="12" w:space="0"/>
            </w:tcBorders>
            <w:tcMar>
              <w:top w:w="15" w:type="dxa"/>
              <w:left w:w="15" w:type="dxa"/>
              <w:bottom w:w="15" w:type="dxa"/>
              <w:right w:w="15" w:type="dxa"/>
            </w:tcMar>
            <w:vAlign w:val="bottom"/>
          </w:tcPr>
          <w:p>
            <w:pPr>
              <w:widowControl/>
              <w:spacing w:before="0" w:beforeAutospacing="0" w:after="0" w:afterAutospacing="0"/>
              <w:ind w:left="0" w:right="0"/>
              <w:jc w:val="left"/>
              <w:textAlignment w:val="bottom"/>
              <w:rPr>
                <w:rFonts w:hint="eastAsia" w:ascii="仿宋" w:hAnsi="仿宋" w:eastAsia="仿宋" w:cs="仿宋"/>
                <w:color w:val="auto"/>
                <w:sz w:val="20"/>
                <w:highlight w:val="none"/>
              </w:rPr>
            </w:pPr>
            <w:r>
              <w:rPr>
                <w:rFonts w:hint="eastAsia" w:ascii="仿宋" w:hAnsi="仿宋" w:eastAsia="仿宋" w:cs="仿宋"/>
                <w:color w:val="auto"/>
                <w:kern w:val="0"/>
                <w:sz w:val="20"/>
                <w:highlight w:val="none"/>
              </w:rPr>
              <w:t>12、软件和信息技术服务业</w:t>
            </w:r>
          </w:p>
        </w:tc>
        <w:tc>
          <w:tcPr>
            <w:tcW w:w="1383" w:type="dxa"/>
            <w:tcBorders>
              <w:top w:val="single" w:color="000000" w:sz="4" w:space="0"/>
              <w:left w:val="single" w:color="000000" w:sz="12" w:space="0"/>
              <w:bottom w:val="single" w:color="000000" w:sz="4" w:space="0"/>
              <w:right w:val="single" w:color="000000" w:sz="4" w:space="0"/>
            </w:tcBorders>
            <w:tcMar>
              <w:top w:w="15" w:type="dxa"/>
              <w:left w:w="15" w:type="dxa"/>
              <w:bottom w:w="15" w:type="dxa"/>
              <w:right w:w="15" w:type="dxa"/>
            </w:tcMar>
            <w:vAlign w:val="bottom"/>
          </w:tcPr>
          <w:p>
            <w:pPr>
              <w:widowControl/>
              <w:spacing w:before="0" w:beforeAutospacing="0" w:after="0" w:afterAutospacing="0"/>
              <w:ind w:left="0" w:right="0"/>
              <w:jc w:val="left"/>
              <w:textAlignment w:val="bottom"/>
              <w:rPr>
                <w:rFonts w:hint="eastAsia" w:ascii="仿宋" w:hAnsi="仿宋" w:eastAsia="仿宋" w:cs="仿宋"/>
                <w:color w:val="auto"/>
                <w:sz w:val="20"/>
                <w:highlight w:val="none"/>
              </w:rPr>
            </w:pPr>
            <w:r>
              <w:rPr>
                <w:rFonts w:hint="eastAsia" w:ascii="仿宋" w:hAnsi="仿宋" w:eastAsia="仿宋" w:cs="仿宋"/>
                <w:color w:val="auto"/>
                <w:kern w:val="0"/>
                <w:sz w:val="20"/>
                <w:highlight w:val="none"/>
              </w:rPr>
              <w:t>100≤X＜300</w:t>
            </w:r>
          </w:p>
        </w:tc>
        <w:tc>
          <w:tcPr>
            <w:tcW w:w="1575"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bottom"/>
          </w:tcPr>
          <w:p>
            <w:pPr>
              <w:widowControl/>
              <w:spacing w:before="0" w:beforeAutospacing="0" w:after="0" w:afterAutospacing="0"/>
              <w:ind w:left="0" w:right="0"/>
              <w:jc w:val="left"/>
              <w:textAlignment w:val="bottom"/>
              <w:rPr>
                <w:rFonts w:hint="eastAsia" w:ascii="仿宋" w:hAnsi="仿宋" w:eastAsia="仿宋" w:cs="仿宋"/>
                <w:color w:val="auto"/>
                <w:sz w:val="20"/>
                <w:highlight w:val="none"/>
              </w:rPr>
            </w:pPr>
            <w:r>
              <w:rPr>
                <w:rFonts w:hint="eastAsia" w:ascii="仿宋" w:hAnsi="仿宋" w:eastAsia="仿宋" w:cs="仿宋"/>
                <w:color w:val="auto"/>
                <w:kern w:val="0"/>
                <w:sz w:val="20"/>
                <w:highlight w:val="none"/>
              </w:rPr>
              <w:t>1000≤Y＜10000</w:t>
            </w:r>
          </w:p>
        </w:tc>
        <w:tc>
          <w:tcPr>
            <w:tcW w:w="1550" w:type="dxa"/>
            <w:tcBorders>
              <w:top w:val="single" w:color="000000" w:sz="4" w:space="0"/>
              <w:left w:val="single" w:color="000000" w:sz="4" w:space="0"/>
              <w:bottom w:val="single" w:color="000000" w:sz="4" w:space="0"/>
              <w:right w:val="single" w:color="000000" w:sz="12" w:space="0"/>
            </w:tcBorders>
            <w:tcMar>
              <w:top w:w="15" w:type="dxa"/>
              <w:left w:w="15" w:type="dxa"/>
              <w:bottom w:w="15" w:type="dxa"/>
              <w:right w:w="15" w:type="dxa"/>
            </w:tcMar>
            <w:vAlign w:val="bottom"/>
          </w:tcPr>
          <w:p>
            <w:pPr>
              <w:spacing w:before="0" w:beforeAutospacing="0" w:after="0" w:afterAutospacing="0"/>
              <w:ind w:left="0" w:right="0"/>
              <w:rPr>
                <w:rFonts w:hint="eastAsia" w:ascii="仿宋" w:hAnsi="仿宋" w:eastAsia="仿宋" w:cs="仿宋"/>
                <w:color w:val="auto"/>
                <w:sz w:val="20"/>
                <w:highlight w:val="none"/>
              </w:rPr>
            </w:pPr>
          </w:p>
        </w:tc>
        <w:tc>
          <w:tcPr>
            <w:tcW w:w="1182" w:type="dxa"/>
            <w:tcBorders>
              <w:top w:val="single" w:color="000000" w:sz="4" w:space="0"/>
              <w:left w:val="single" w:color="000000" w:sz="12" w:space="0"/>
              <w:bottom w:val="single" w:color="000000" w:sz="4" w:space="0"/>
              <w:right w:val="single" w:color="000000" w:sz="4" w:space="0"/>
            </w:tcBorders>
            <w:tcMar>
              <w:top w:w="15" w:type="dxa"/>
              <w:left w:w="15" w:type="dxa"/>
              <w:bottom w:w="15" w:type="dxa"/>
              <w:right w:w="15" w:type="dxa"/>
            </w:tcMar>
            <w:vAlign w:val="bottom"/>
          </w:tcPr>
          <w:p>
            <w:pPr>
              <w:widowControl/>
              <w:spacing w:before="0" w:beforeAutospacing="0" w:after="0" w:afterAutospacing="0"/>
              <w:ind w:left="0" w:right="0"/>
              <w:jc w:val="left"/>
              <w:textAlignment w:val="bottom"/>
              <w:rPr>
                <w:rFonts w:hint="eastAsia" w:ascii="仿宋" w:hAnsi="仿宋" w:eastAsia="仿宋" w:cs="仿宋"/>
                <w:color w:val="auto"/>
                <w:sz w:val="20"/>
                <w:highlight w:val="none"/>
              </w:rPr>
            </w:pPr>
            <w:r>
              <w:rPr>
                <w:rFonts w:hint="eastAsia" w:ascii="仿宋" w:hAnsi="仿宋" w:eastAsia="仿宋" w:cs="仿宋"/>
                <w:color w:val="auto"/>
                <w:kern w:val="0"/>
                <w:sz w:val="20"/>
                <w:highlight w:val="none"/>
              </w:rPr>
              <w:t>10≤X＜100</w:t>
            </w:r>
          </w:p>
        </w:tc>
        <w:tc>
          <w:tcPr>
            <w:tcW w:w="1387"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bottom"/>
          </w:tcPr>
          <w:p>
            <w:pPr>
              <w:widowControl/>
              <w:spacing w:before="0" w:beforeAutospacing="0" w:after="0" w:afterAutospacing="0"/>
              <w:ind w:left="0" w:right="0"/>
              <w:jc w:val="left"/>
              <w:textAlignment w:val="bottom"/>
              <w:rPr>
                <w:rFonts w:hint="eastAsia" w:ascii="仿宋" w:hAnsi="仿宋" w:eastAsia="仿宋" w:cs="仿宋"/>
                <w:color w:val="auto"/>
                <w:sz w:val="20"/>
                <w:highlight w:val="none"/>
              </w:rPr>
            </w:pPr>
            <w:r>
              <w:rPr>
                <w:rFonts w:hint="eastAsia" w:ascii="仿宋" w:hAnsi="仿宋" w:eastAsia="仿宋" w:cs="仿宋"/>
                <w:color w:val="auto"/>
                <w:kern w:val="0"/>
                <w:sz w:val="20"/>
                <w:highlight w:val="none"/>
              </w:rPr>
              <w:t xml:space="preserve"> 50≤Y＜1000</w:t>
            </w:r>
          </w:p>
        </w:tc>
        <w:tc>
          <w:tcPr>
            <w:tcW w:w="1425" w:type="dxa"/>
            <w:tcBorders>
              <w:top w:val="single" w:color="000000" w:sz="4" w:space="0"/>
              <w:left w:val="single" w:color="000000" w:sz="4" w:space="0"/>
              <w:bottom w:val="single" w:color="000000" w:sz="4" w:space="0"/>
              <w:right w:val="single" w:color="000000" w:sz="12" w:space="0"/>
            </w:tcBorders>
            <w:tcMar>
              <w:top w:w="15" w:type="dxa"/>
              <w:left w:w="15" w:type="dxa"/>
              <w:bottom w:w="15" w:type="dxa"/>
              <w:right w:w="15" w:type="dxa"/>
            </w:tcMar>
            <w:vAlign w:val="bottom"/>
          </w:tcPr>
          <w:p>
            <w:pPr>
              <w:spacing w:before="0" w:beforeAutospacing="0" w:after="0" w:afterAutospacing="0"/>
              <w:ind w:left="0" w:right="0"/>
              <w:rPr>
                <w:rFonts w:hint="eastAsia" w:ascii="仿宋" w:hAnsi="仿宋" w:eastAsia="仿宋" w:cs="仿宋"/>
                <w:color w:val="auto"/>
                <w:sz w:val="20"/>
                <w:highlight w:val="none"/>
              </w:rPr>
            </w:pPr>
          </w:p>
        </w:tc>
        <w:tc>
          <w:tcPr>
            <w:tcW w:w="1010" w:type="dxa"/>
            <w:tcBorders>
              <w:top w:val="single" w:color="000000" w:sz="4" w:space="0"/>
              <w:left w:val="single" w:color="000000" w:sz="12" w:space="0"/>
              <w:bottom w:val="single" w:color="000000" w:sz="4" w:space="0"/>
              <w:right w:val="single" w:color="000000" w:sz="4" w:space="0"/>
            </w:tcBorders>
            <w:tcMar>
              <w:top w:w="15" w:type="dxa"/>
              <w:left w:w="15" w:type="dxa"/>
              <w:bottom w:w="15" w:type="dxa"/>
              <w:right w:w="15" w:type="dxa"/>
            </w:tcMar>
            <w:vAlign w:val="bottom"/>
          </w:tcPr>
          <w:p>
            <w:pPr>
              <w:widowControl/>
              <w:spacing w:before="0" w:beforeAutospacing="0" w:after="0" w:afterAutospacing="0"/>
              <w:ind w:left="0" w:right="0"/>
              <w:jc w:val="left"/>
              <w:textAlignment w:val="bottom"/>
              <w:rPr>
                <w:rFonts w:hint="eastAsia" w:ascii="仿宋" w:hAnsi="仿宋" w:eastAsia="仿宋" w:cs="仿宋"/>
                <w:color w:val="auto"/>
                <w:sz w:val="20"/>
                <w:highlight w:val="none"/>
              </w:rPr>
            </w:pPr>
            <w:r>
              <w:rPr>
                <w:rFonts w:hint="eastAsia" w:ascii="仿宋" w:hAnsi="仿宋" w:eastAsia="仿宋" w:cs="仿宋"/>
                <w:color w:val="auto"/>
                <w:kern w:val="0"/>
                <w:sz w:val="20"/>
                <w:highlight w:val="none"/>
              </w:rPr>
              <w:t>X＜10</w:t>
            </w:r>
          </w:p>
        </w:tc>
        <w:tc>
          <w:tcPr>
            <w:tcW w:w="976"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bottom"/>
          </w:tcPr>
          <w:p>
            <w:pPr>
              <w:widowControl/>
              <w:spacing w:before="0" w:beforeAutospacing="0" w:after="0" w:afterAutospacing="0"/>
              <w:ind w:left="0" w:right="0"/>
              <w:jc w:val="left"/>
              <w:textAlignment w:val="bottom"/>
              <w:rPr>
                <w:rFonts w:hint="eastAsia" w:ascii="仿宋" w:hAnsi="仿宋" w:eastAsia="仿宋" w:cs="仿宋"/>
                <w:color w:val="auto"/>
                <w:sz w:val="20"/>
                <w:highlight w:val="none"/>
              </w:rPr>
            </w:pPr>
            <w:r>
              <w:rPr>
                <w:rFonts w:hint="eastAsia" w:ascii="仿宋" w:hAnsi="仿宋" w:eastAsia="仿宋" w:cs="仿宋"/>
                <w:color w:val="auto"/>
                <w:kern w:val="0"/>
                <w:sz w:val="20"/>
                <w:highlight w:val="none"/>
              </w:rPr>
              <w:t>Y＜50</w:t>
            </w:r>
          </w:p>
        </w:tc>
        <w:tc>
          <w:tcPr>
            <w:tcW w:w="2145" w:type="dxa"/>
            <w:tcBorders>
              <w:top w:val="single" w:color="000000" w:sz="4" w:space="0"/>
              <w:left w:val="single" w:color="000000" w:sz="4" w:space="0"/>
              <w:bottom w:val="single" w:color="000000" w:sz="4" w:space="0"/>
              <w:right w:val="single" w:color="000000" w:sz="12" w:space="0"/>
            </w:tcBorders>
            <w:tcMar>
              <w:top w:w="15" w:type="dxa"/>
              <w:left w:w="15" w:type="dxa"/>
              <w:bottom w:w="15" w:type="dxa"/>
              <w:right w:w="15" w:type="dxa"/>
            </w:tcMar>
            <w:vAlign w:val="bottom"/>
          </w:tcPr>
          <w:p>
            <w:pPr>
              <w:spacing w:before="0" w:beforeAutospacing="0" w:after="0" w:afterAutospacing="0"/>
              <w:ind w:left="0" w:right="0"/>
              <w:rPr>
                <w:rFonts w:hint="eastAsia" w:ascii="仿宋" w:hAnsi="仿宋" w:eastAsia="仿宋" w:cs="仿宋"/>
                <w:color w:val="auto"/>
                <w:sz w:val="20"/>
                <w:highlight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7" w:hRule="atLeast"/>
        </w:trPr>
        <w:tc>
          <w:tcPr>
            <w:tcW w:w="2178" w:type="dxa"/>
            <w:tcBorders>
              <w:top w:val="single" w:color="000000" w:sz="4" w:space="0"/>
              <w:left w:val="single" w:color="000000" w:sz="12" w:space="0"/>
              <w:bottom w:val="single" w:color="000000" w:sz="4" w:space="0"/>
              <w:right w:val="single" w:color="000000" w:sz="12" w:space="0"/>
            </w:tcBorders>
            <w:tcMar>
              <w:top w:w="15" w:type="dxa"/>
              <w:left w:w="15" w:type="dxa"/>
              <w:bottom w:w="15" w:type="dxa"/>
              <w:right w:w="15" w:type="dxa"/>
            </w:tcMar>
            <w:vAlign w:val="bottom"/>
          </w:tcPr>
          <w:p>
            <w:pPr>
              <w:widowControl/>
              <w:spacing w:before="0" w:beforeAutospacing="0" w:after="0" w:afterAutospacing="0"/>
              <w:ind w:left="0" w:right="0"/>
              <w:jc w:val="left"/>
              <w:textAlignment w:val="bottom"/>
              <w:rPr>
                <w:rFonts w:hint="eastAsia" w:ascii="仿宋" w:hAnsi="仿宋" w:eastAsia="仿宋" w:cs="仿宋"/>
                <w:color w:val="auto"/>
                <w:sz w:val="20"/>
                <w:highlight w:val="none"/>
              </w:rPr>
            </w:pPr>
            <w:r>
              <w:rPr>
                <w:rFonts w:hint="eastAsia" w:ascii="仿宋" w:hAnsi="仿宋" w:eastAsia="仿宋" w:cs="仿宋"/>
                <w:color w:val="auto"/>
                <w:kern w:val="0"/>
                <w:sz w:val="20"/>
                <w:highlight w:val="none"/>
              </w:rPr>
              <w:t>13、房地产开发经营</w:t>
            </w:r>
          </w:p>
        </w:tc>
        <w:tc>
          <w:tcPr>
            <w:tcW w:w="1383" w:type="dxa"/>
            <w:tcBorders>
              <w:top w:val="single" w:color="000000" w:sz="4" w:space="0"/>
              <w:left w:val="single" w:color="000000" w:sz="12" w:space="0"/>
              <w:bottom w:val="single" w:color="000000" w:sz="4" w:space="0"/>
              <w:right w:val="single" w:color="000000" w:sz="4" w:space="0"/>
            </w:tcBorders>
            <w:tcMar>
              <w:top w:w="15" w:type="dxa"/>
              <w:left w:w="15" w:type="dxa"/>
              <w:bottom w:w="15" w:type="dxa"/>
              <w:right w:w="15" w:type="dxa"/>
            </w:tcMar>
            <w:vAlign w:val="bottom"/>
          </w:tcPr>
          <w:p>
            <w:pPr>
              <w:spacing w:before="0" w:beforeAutospacing="0" w:after="0" w:afterAutospacing="0"/>
              <w:ind w:left="0" w:right="0"/>
              <w:rPr>
                <w:rFonts w:hint="eastAsia" w:ascii="仿宋" w:hAnsi="仿宋" w:eastAsia="仿宋" w:cs="仿宋"/>
                <w:color w:val="auto"/>
                <w:sz w:val="20"/>
                <w:highlight w:val="none"/>
              </w:rPr>
            </w:pPr>
          </w:p>
        </w:tc>
        <w:tc>
          <w:tcPr>
            <w:tcW w:w="1575"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bottom"/>
          </w:tcPr>
          <w:p>
            <w:pPr>
              <w:widowControl/>
              <w:spacing w:before="0" w:beforeAutospacing="0" w:after="0" w:afterAutospacing="0"/>
              <w:ind w:left="0" w:right="0"/>
              <w:jc w:val="left"/>
              <w:textAlignment w:val="bottom"/>
              <w:rPr>
                <w:rFonts w:hint="eastAsia" w:ascii="仿宋" w:hAnsi="仿宋" w:eastAsia="仿宋" w:cs="仿宋"/>
                <w:color w:val="auto"/>
                <w:sz w:val="20"/>
                <w:highlight w:val="none"/>
              </w:rPr>
            </w:pPr>
            <w:r>
              <w:rPr>
                <w:rFonts w:hint="eastAsia" w:ascii="仿宋" w:hAnsi="仿宋" w:eastAsia="仿宋" w:cs="仿宋"/>
                <w:color w:val="auto"/>
                <w:kern w:val="0"/>
                <w:sz w:val="20"/>
                <w:highlight w:val="none"/>
              </w:rPr>
              <w:t>1000≤Y＜200000</w:t>
            </w:r>
          </w:p>
        </w:tc>
        <w:tc>
          <w:tcPr>
            <w:tcW w:w="1550" w:type="dxa"/>
            <w:tcBorders>
              <w:top w:val="single" w:color="000000" w:sz="4" w:space="0"/>
              <w:left w:val="single" w:color="000000" w:sz="4" w:space="0"/>
              <w:bottom w:val="single" w:color="000000" w:sz="4" w:space="0"/>
              <w:right w:val="single" w:color="000000" w:sz="12" w:space="0"/>
            </w:tcBorders>
            <w:tcMar>
              <w:top w:w="15" w:type="dxa"/>
              <w:left w:w="15" w:type="dxa"/>
              <w:bottom w:w="15" w:type="dxa"/>
              <w:right w:w="15" w:type="dxa"/>
            </w:tcMar>
            <w:vAlign w:val="bottom"/>
          </w:tcPr>
          <w:p>
            <w:pPr>
              <w:widowControl/>
              <w:spacing w:before="0" w:beforeAutospacing="0" w:after="0" w:afterAutospacing="0"/>
              <w:ind w:left="0" w:right="0"/>
              <w:jc w:val="left"/>
              <w:textAlignment w:val="bottom"/>
              <w:rPr>
                <w:rFonts w:hint="eastAsia" w:ascii="仿宋" w:hAnsi="仿宋" w:eastAsia="仿宋" w:cs="仿宋"/>
                <w:color w:val="auto"/>
                <w:sz w:val="20"/>
                <w:highlight w:val="none"/>
              </w:rPr>
            </w:pPr>
            <w:r>
              <w:rPr>
                <w:rFonts w:hint="eastAsia" w:ascii="仿宋" w:hAnsi="仿宋" w:eastAsia="仿宋" w:cs="仿宋"/>
                <w:color w:val="auto"/>
                <w:kern w:val="0"/>
                <w:sz w:val="20"/>
                <w:highlight w:val="none"/>
              </w:rPr>
              <w:t>5000≤Z＜10000</w:t>
            </w:r>
          </w:p>
        </w:tc>
        <w:tc>
          <w:tcPr>
            <w:tcW w:w="1182" w:type="dxa"/>
            <w:tcBorders>
              <w:top w:val="single" w:color="000000" w:sz="4" w:space="0"/>
              <w:left w:val="single" w:color="000000" w:sz="12" w:space="0"/>
              <w:bottom w:val="single" w:color="000000" w:sz="4" w:space="0"/>
              <w:right w:val="single" w:color="000000" w:sz="4" w:space="0"/>
            </w:tcBorders>
            <w:tcMar>
              <w:top w:w="15" w:type="dxa"/>
              <w:left w:w="15" w:type="dxa"/>
              <w:bottom w:w="15" w:type="dxa"/>
              <w:right w:w="15" w:type="dxa"/>
            </w:tcMar>
            <w:vAlign w:val="bottom"/>
          </w:tcPr>
          <w:p>
            <w:pPr>
              <w:spacing w:before="0" w:beforeAutospacing="0" w:after="0" w:afterAutospacing="0"/>
              <w:ind w:left="0" w:right="0"/>
              <w:rPr>
                <w:rFonts w:hint="eastAsia" w:ascii="仿宋" w:hAnsi="仿宋" w:eastAsia="仿宋" w:cs="仿宋"/>
                <w:color w:val="auto"/>
                <w:sz w:val="20"/>
                <w:highlight w:val="none"/>
              </w:rPr>
            </w:pPr>
          </w:p>
        </w:tc>
        <w:tc>
          <w:tcPr>
            <w:tcW w:w="1387"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bottom"/>
          </w:tcPr>
          <w:p>
            <w:pPr>
              <w:widowControl/>
              <w:spacing w:before="0" w:beforeAutospacing="0" w:after="0" w:afterAutospacing="0"/>
              <w:ind w:left="0" w:right="0"/>
              <w:jc w:val="left"/>
              <w:textAlignment w:val="bottom"/>
              <w:rPr>
                <w:rFonts w:hint="eastAsia" w:ascii="仿宋" w:hAnsi="仿宋" w:eastAsia="仿宋" w:cs="仿宋"/>
                <w:color w:val="auto"/>
                <w:sz w:val="20"/>
                <w:highlight w:val="none"/>
              </w:rPr>
            </w:pPr>
            <w:r>
              <w:rPr>
                <w:rFonts w:hint="eastAsia" w:ascii="仿宋" w:hAnsi="仿宋" w:eastAsia="仿宋" w:cs="仿宋"/>
                <w:color w:val="auto"/>
                <w:kern w:val="0"/>
                <w:sz w:val="20"/>
                <w:highlight w:val="none"/>
              </w:rPr>
              <w:t>100≤Y＜1000</w:t>
            </w:r>
          </w:p>
        </w:tc>
        <w:tc>
          <w:tcPr>
            <w:tcW w:w="1425" w:type="dxa"/>
            <w:tcBorders>
              <w:top w:val="single" w:color="000000" w:sz="4" w:space="0"/>
              <w:left w:val="single" w:color="000000" w:sz="4" w:space="0"/>
              <w:bottom w:val="single" w:color="000000" w:sz="4" w:space="0"/>
              <w:right w:val="single" w:color="000000" w:sz="12" w:space="0"/>
            </w:tcBorders>
            <w:tcMar>
              <w:top w:w="15" w:type="dxa"/>
              <w:left w:w="15" w:type="dxa"/>
              <w:bottom w:w="15" w:type="dxa"/>
              <w:right w:w="15" w:type="dxa"/>
            </w:tcMar>
            <w:vAlign w:val="bottom"/>
          </w:tcPr>
          <w:p>
            <w:pPr>
              <w:widowControl/>
              <w:spacing w:before="0" w:beforeAutospacing="0" w:after="0" w:afterAutospacing="0"/>
              <w:ind w:left="0" w:right="0"/>
              <w:jc w:val="left"/>
              <w:textAlignment w:val="bottom"/>
              <w:rPr>
                <w:rFonts w:hint="eastAsia" w:ascii="仿宋" w:hAnsi="仿宋" w:eastAsia="仿宋" w:cs="仿宋"/>
                <w:color w:val="auto"/>
                <w:sz w:val="20"/>
                <w:highlight w:val="none"/>
              </w:rPr>
            </w:pPr>
            <w:r>
              <w:rPr>
                <w:rFonts w:hint="eastAsia" w:ascii="仿宋" w:hAnsi="仿宋" w:eastAsia="仿宋" w:cs="仿宋"/>
                <w:color w:val="auto"/>
                <w:kern w:val="0"/>
                <w:sz w:val="20"/>
                <w:highlight w:val="none"/>
              </w:rPr>
              <w:t>2000≤Z＜5000</w:t>
            </w:r>
          </w:p>
        </w:tc>
        <w:tc>
          <w:tcPr>
            <w:tcW w:w="1010" w:type="dxa"/>
            <w:tcBorders>
              <w:top w:val="single" w:color="000000" w:sz="4" w:space="0"/>
              <w:left w:val="single" w:color="000000" w:sz="12" w:space="0"/>
              <w:bottom w:val="single" w:color="000000" w:sz="4" w:space="0"/>
              <w:right w:val="single" w:color="000000" w:sz="4" w:space="0"/>
            </w:tcBorders>
            <w:tcMar>
              <w:top w:w="15" w:type="dxa"/>
              <w:left w:w="15" w:type="dxa"/>
              <w:bottom w:w="15" w:type="dxa"/>
              <w:right w:w="15" w:type="dxa"/>
            </w:tcMar>
            <w:vAlign w:val="bottom"/>
          </w:tcPr>
          <w:p>
            <w:pPr>
              <w:spacing w:before="0" w:beforeAutospacing="0" w:after="0" w:afterAutospacing="0"/>
              <w:ind w:left="0" w:right="0"/>
              <w:rPr>
                <w:rFonts w:hint="eastAsia" w:ascii="仿宋" w:hAnsi="仿宋" w:eastAsia="仿宋" w:cs="仿宋"/>
                <w:color w:val="auto"/>
                <w:sz w:val="20"/>
                <w:highlight w:val="none"/>
              </w:rPr>
            </w:pPr>
          </w:p>
        </w:tc>
        <w:tc>
          <w:tcPr>
            <w:tcW w:w="976"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bottom"/>
          </w:tcPr>
          <w:p>
            <w:pPr>
              <w:widowControl/>
              <w:spacing w:before="0" w:beforeAutospacing="0" w:after="0" w:afterAutospacing="0"/>
              <w:ind w:left="0" w:right="0"/>
              <w:jc w:val="left"/>
              <w:textAlignment w:val="bottom"/>
              <w:rPr>
                <w:rFonts w:hint="eastAsia" w:ascii="仿宋" w:hAnsi="仿宋" w:eastAsia="仿宋" w:cs="仿宋"/>
                <w:color w:val="auto"/>
                <w:sz w:val="20"/>
                <w:highlight w:val="none"/>
              </w:rPr>
            </w:pPr>
            <w:r>
              <w:rPr>
                <w:rFonts w:hint="eastAsia" w:ascii="仿宋" w:hAnsi="仿宋" w:eastAsia="仿宋" w:cs="仿宋"/>
                <w:color w:val="auto"/>
                <w:kern w:val="0"/>
                <w:sz w:val="20"/>
                <w:highlight w:val="none"/>
              </w:rPr>
              <w:t>Y＜100</w:t>
            </w:r>
          </w:p>
        </w:tc>
        <w:tc>
          <w:tcPr>
            <w:tcW w:w="2145" w:type="dxa"/>
            <w:tcBorders>
              <w:top w:val="single" w:color="000000" w:sz="4" w:space="0"/>
              <w:left w:val="single" w:color="000000" w:sz="4" w:space="0"/>
              <w:bottom w:val="single" w:color="000000" w:sz="4" w:space="0"/>
              <w:right w:val="single" w:color="000000" w:sz="12" w:space="0"/>
            </w:tcBorders>
            <w:tcMar>
              <w:top w:w="15" w:type="dxa"/>
              <w:left w:w="15" w:type="dxa"/>
              <w:bottom w:w="15" w:type="dxa"/>
              <w:right w:w="15" w:type="dxa"/>
            </w:tcMar>
            <w:vAlign w:val="bottom"/>
          </w:tcPr>
          <w:p>
            <w:pPr>
              <w:widowControl/>
              <w:spacing w:before="0" w:beforeAutospacing="0" w:after="0" w:afterAutospacing="0"/>
              <w:ind w:left="0" w:right="0"/>
              <w:jc w:val="left"/>
              <w:textAlignment w:val="bottom"/>
              <w:rPr>
                <w:rFonts w:hint="eastAsia" w:ascii="仿宋" w:hAnsi="仿宋" w:eastAsia="仿宋" w:cs="仿宋"/>
                <w:color w:val="auto"/>
                <w:sz w:val="20"/>
                <w:highlight w:val="none"/>
              </w:rPr>
            </w:pPr>
            <w:r>
              <w:rPr>
                <w:rFonts w:hint="eastAsia" w:ascii="仿宋" w:hAnsi="仿宋" w:eastAsia="仿宋" w:cs="仿宋"/>
                <w:color w:val="auto"/>
                <w:kern w:val="0"/>
                <w:sz w:val="20"/>
                <w:highlight w:val="none"/>
              </w:rPr>
              <w:t>Z＜2000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7" w:hRule="atLeast"/>
        </w:trPr>
        <w:tc>
          <w:tcPr>
            <w:tcW w:w="2178" w:type="dxa"/>
            <w:tcBorders>
              <w:top w:val="single" w:color="000000" w:sz="4" w:space="0"/>
              <w:left w:val="single" w:color="000000" w:sz="12" w:space="0"/>
              <w:bottom w:val="single" w:color="000000" w:sz="4" w:space="0"/>
              <w:right w:val="single" w:color="000000" w:sz="12" w:space="0"/>
            </w:tcBorders>
            <w:tcMar>
              <w:top w:w="15" w:type="dxa"/>
              <w:left w:w="15" w:type="dxa"/>
              <w:bottom w:w="15" w:type="dxa"/>
              <w:right w:w="15" w:type="dxa"/>
            </w:tcMar>
            <w:vAlign w:val="bottom"/>
          </w:tcPr>
          <w:p>
            <w:pPr>
              <w:widowControl/>
              <w:spacing w:before="0" w:beforeAutospacing="0" w:after="0" w:afterAutospacing="0"/>
              <w:ind w:left="0" w:right="0"/>
              <w:jc w:val="left"/>
              <w:textAlignment w:val="bottom"/>
              <w:rPr>
                <w:rFonts w:hint="eastAsia" w:ascii="仿宋" w:hAnsi="仿宋" w:eastAsia="仿宋" w:cs="仿宋"/>
                <w:color w:val="auto"/>
                <w:sz w:val="20"/>
                <w:highlight w:val="none"/>
              </w:rPr>
            </w:pPr>
            <w:r>
              <w:rPr>
                <w:rFonts w:hint="eastAsia" w:ascii="仿宋" w:hAnsi="仿宋" w:eastAsia="仿宋" w:cs="仿宋"/>
                <w:color w:val="auto"/>
                <w:kern w:val="0"/>
                <w:sz w:val="20"/>
                <w:highlight w:val="none"/>
              </w:rPr>
              <w:t>14、物业管理</w:t>
            </w:r>
          </w:p>
        </w:tc>
        <w:tc>
          <w:tcPr>
            <w:tcW w:w="1383" w:type="dxa"/>
            <w:tcBorders>
              <w:top w:val="single" w:color="000000" w:sz="4" w:space="0"/>
              <w:left w:val="single" w:color="000000" w:sz="12" w:space="0"/>
              <w:bottom w:val="single" w:color="000000" w:sz="4" w:space="0"/>
              <w:right w:val="single" w:color="000000" w:sz="4" w:space="0"/>
            </w:tcBorders>
            <w:tcMar>
              <w:top w:w="15" w:type="dxa"/>
              <w:left w:w="15" w:type="dxa"/>
              <w:bottom w:w="15" w:type="dxa"/>
              <w:right w:w="15" w:type="dxa"/>
            </w:tcMar>
            <w:vAlign w:val="bottom"/>
          </w:tcPr>
          <w:p>
            <w:pPr>
              <w:widowControl/>
              <w:spacing w:before="0" w:beforeAutospacing="0" w:after="0" w:afterAutospacing="0"/>
              <w:ind w:left="0" w:right="0"/>
              <w:jc w:val="left"/>
              <w:textAlignment w:val="bottom"/>
              <w:rPr>
                <w:rFonts w:hint="eastAsia" w:ascii="仿宋" w:hAnsi="仿宋" w:eastAsia="仿宋" w:cs="仿宋"/>
                <w:color w:val="auto"/>
                <w:sz w:val="20"/>
                <w:highlight w:val="none"/>
              </w:rPr>
            </w:pPr>
            <w:r>
              <w:rPr>
                <w:rFonts w:hint="eastAsia" w:ascii="仿宋" w:hAnsi="仿宋" w:eastAsia="仿宋" w:cs="仿宋"/>
                <w:color w:val="auto"/>
                <w:kern w:val="0"/>
                <w:sz w:val="20"/>
                <w:highlight w:val="none"/>
              </w:rPr>
              <w:t>300≤X＜1000</w:t>
            </w:r>
          </w:p>
        </w:tc>
        <w:tc>
          <w:tcPr>
            <w:tcW w:w="1575"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bottom"/>
          </w:tcPr>
          <w:p>
            <w:pPr>
              <w:widowControl/>
              <w:spacing w:before="0" w:beforeAutospacing="0" w:after="0" w:afterAutospacing="0"/>
              <w:ind w:left="0" w:right="0"/>
              <w:jc w:val="left"/>
              <w:textAlignment w:val="bottom"/>
              <w:rPr>
                <w:rFonts w:hint="eastAsia" w:ascii="仿宋" w:hAnsi="仿宋" w:eastAsia="仿宋" w:cs="仿宋"/>
                <w:color w:val="auto"/>
                <w:sz w:val="20"/>
                <w:highlight w:val="none"/>
              </w:rPr>
            </w:pPr>
            <w:r>
              <w:rPr>
                <w:rFonts w:hint="eastAsia" w:ascii="仿宋" w:hAnsi="仿宋" w:eastAsia="仿宋" w:cs="仿宋"/>
                <w:color w:val="auto"/>
                <w:kern w:val="0"/>
                <w:sz w:val="20"/>
                <w:highlight w:val="none"/>
              </w:rPr>
              <w:t>1000≤Y＜5000</w:t>
            </w:r>
          </w:p>
        </w:tc>
        <w:tc>
          <w:tcPr>
            <w:tcW w:w="1550" w:type="dxa"/>
            <w:tcBorders>
              <w:top w:val="single" w:color="000000" w:sz="4" w:space="0"/>
              <w:left w:val="single" w:color="000000" w:sz="4" w:space="0"/>
              <w:bottom w:val="single" w:color="000000" w:sz="4" w:space="0"/>
              <w:right w:val="single" w:color="000000" w:sz="12" w:space="0"/>
            </w:tcBorders>
            <w:tcMar>
              <w:top w:w="15" w:type="dxa"/>
              <w:left w:w="15" w:type="dxa"/>
              <w:bottom w:w="15" w:type="dxa"/>
              <w:right w:w="15" w:type="dxa"/>
            </w:tcMar>
            <w:vAlign w:val="bottom"/>
          </w:tcPr>
          <w:p>
            <w:pPr>
              <w:spacing w:before="0" w:beforeAutospacing="0" w:after="0" w:afterAutospacing="0"/>
              <w:ind w:left="0" w:right="0"/>
              <w:rPr>
                <w:rFonts w:hint="eastAsia" w:ascii="仿宋" w:hAnsi="仿宋" w:eastAsia="仿宋" w:cs="仿宋"/>
                <w:color w:val="auto"/>
                <w:sz w:val="20"/>
                <w:highlight w:val="none"/>
              </w:rPr>
            </w:pPr>
          </w:p>
        </w:tc>
        <w:tc>
          <w:tcPr>
            <w:tcW w:w="1182" w:type="dxa"/>
            <w:tcBorders>
              <w:top w:val="single" w:color="000000" w:sz="4" w:space="0"/>
              <w:left w:val="single" w:color="000000" w:sz="12" w:space="0"/>
              <w:bottom w:val="single" w:color="000000" w:sz="4" w:space="0"/>
              <w:right w:val="single" w:color="000000" w:sz="4" w:space="0"/>
            </w:tcBorders>
            <w:tcMar>
              <w:top w:w="15" w:type="dxa"/>
              <w:left w:w="15" w:type="dxa"/>
              <w:bottom w:w="15" w:type="dxa"/>
              <w:right w:w="15" w:type="dxa"/>
            </w:tcMar>
            <w:vAlign w:val="bottom"/>
          </w:tcPr>
          <w:p>
            <w:pPr>
              <w:widowControl/>
              <w:spacing w:before="0" w:beforeAutospacing="0" w:after="0" w:afterAutospacing="0"/>
              <w:ind w:left="0" w:right="0"/>
              <w:jc w:val="left"/>
              <w:textAlignment w:val="bottom"/>
              <w:rPr>
                <w:rFonts w:hint="eastAsia" w:ascii="仿宋" w:hAnsi="仿宋" w:eastAsia="仿宋" w:cs="仿宋"/>
                <w:color w:val="auto"/>
                <w:sz w:val="20"/>
                <w:highlight w:val="none"/>
              </w:rPr>
            </w:pPr>
            <w:r>
              <w:rPr>
                <w:rFonts w:hint="eastAsia" w:ascii="仿宋" w:hAnsi="仿宋" w:eastAsia="仿宋" w:cs="仿宋"/>
                <w:color w:val="auto"/>
                <w:kern w:val="0"/>
                <w:sz w:val="20"/>
                <w:highlight w:val="none"/>
              </w:rPr>
              <w:t>100≤X＜300</w:t>
            </w:r>
          </w:p>
        </w:tc>
        <w:tc>
          <w:tcPr>
            <w:tcW w:w="1387"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bottom"/>
          </w:tcPr>
          <w:p>
            <w:pPr>
              <w:widowControl/>
              <w:spacing w:before="0" w:beforeAutospacing="0" w:after="0" w:afterAutospacing="0"/>
              <w:ind w:left="0" w:right="0"/>
              <w:jc w:val="left"/>
              <w:textAlignment w:val="bottom"/>
              <w:rPr>
                <w:rFonts w:hint="eastAsia" w:ascii="仿宋" w:hAnsi="仿宋" w:eastAsia="仿宋" w:cs="仿宋"/>
                <w:color w:val="auto"/>
                <w:sz w:val="20"/>
                <w:highlight w:val="none"/>
              </w:rPr>
            </w:pPr>
            <w:r>
              <w:rPr>
                <w:rFonts w:hint="eastAsia" w:ascii="仿宋" w:hAnsi="仿宋" w:eastAsia="仿宋" w:cs="仿宋"/>
                <w:color w:val="auto"/>
                <w:kern w:val="0"/>
                <w:sz w:val="20"/>
                <w:highlight w:val="none"/>
              </w:rPr>
              <w:t>500≤Y＜1000</w:t>
            </w:r>
          </w:p>
        </w:tc>
        <w:tc>
          <w:tcPr>
            <w:tcW w:w="1425" w:type="dxa"/>
            <w:tcBorders>
              <w:top w:val="single" w:color="000000" w:sz="4" w:space="0"/>
              <w:left w:val="single" w:color="000000" w:sz="4" w:space="0"/>
              <w:bottom w:val="single" w:color="000000" w:sz="4" w:space="0"/>
              <w:right w:val="single" w:color="000000" w:sz="12" w:space="0"/>
            </w:tcBorders>
            <w:tcMar>
              <w:top w:w="15" w:type="dxa"/>
              <w:left w:w="15" w:type="dxa"/>
              <w:bottom w:w="15" w:type="dxa"/>
              <w:right w:w="15" w:type="dxa"/>
            </w:tcMar>
            <w:vAlign w:val="bottom"/>
          </w:tcPr>
          <w:p>
            <w:pPr>
              <w:spacing w:before="0" w:beforeAutospacing="0" w:after="0" w:afterAutospacing="0"/>
              <w:ind w:left="0" w:right="0"/>
              <w:rPr>
                <w:rFonts w:hint="eastAsia" w:ascii="仿宋" w:hAnsi="仿宋" w:eastAsia="仿宋" w:cs="仿宋"/>
                <w:color w:val="auto"/>
                <w:sz w:val="20"/>
                <w:highlight w:val="none"/>
              </w:rPr>
            </w:pPr>
          </w:p>
        </w:tc>
        <w:tc>
          <w:tcPr>
            <w:tcW w:w="1010" w:type="dxa"/>
            <w:tcBorders>
              <w:top w:val="single" w:color="000000" w:sz="4" w:space="0"/>
              <w:left w:val="single" w:color="000000" w:sz="12" w:space="0"/>
              <w:bottom w:val="single" w:color="000000" w:sz="4" w:space="0"/>
              <w:right w:val="single" w:color="000000" w:sz="4" w:space="0"/>
            </w:tcBorders>
            <w:tcMar>
              <w:top w:w="15" w:type="dxa"/>
              <w:left w:w="15" w:type="dxa"/>
              <w:bottom w:w="15" w:type="dxa"/>
              <w:right w:w="15" w:type="dxa"/>
            </w:tcMar>
            <w:vAlign w:val="bottom"/>
          </w:tcPr>
          <w:p>
            <w:pPr>
              <w:widowControl/>
              <w:spacing w:before="0" w:beforeAutospacing="0" w:after="0" w:afterAutospacing="0"/>
              <w:ind w:left="0" w:right="0"/>
              <w:jc w:val="left"/>
              <w:textAlignment w:val="bottom"/>
              <w:rPr>
                <w:rFonts w:hint="eastAsia" w:ascii="仿宋" w:hAnsi="仿宋" w:eastAsia="仿宋" w:cs="仿宋"/>
                <w:color w:val="auto"/>
                <w:sz w:val="20"/>
                <w:highlight w:val="none"/>
              </w:rPr>
            </w:pPr>
            <w:r>
              <w:rPr>
                <w:rFonts w:hint="eastAsia" w:ascii="仿宋" w:hAnsi="仿宋" w:eastAsia="仿宋" w:cs="仿宋"/>
                <w:color w:val="auto"/>
                <w:kern w:val="0"/>
                <w:sz w:val="20"/>
                <w:highlight w:val="none"/>
              </w:rPr>
              <w:t>X＜100</w:t>
            </w:r>
          </w:p>
        </w:tc>
        <w:tc>
          <w:tcPr>
            <w:tcW w:w="976"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bottom"/>
          </w:tcPr>
          <w:p>
            <w:pPr>
              <w:widowControl/>
              <w:spacing w:before="0" w:beforeAutospacing="0" w:after="0" w:afterAutospacing="0"/>
              <w:ind w:left="0" w:right="0"/>
              <w:jc w:val="left"/>
              <w:textAlignment w:val="bottom"/>
              <w:rPr>
                <w:rFonts w:hint="eastAsia" w:ascii="仿宋" w:hAnsi="仿宋" w:eastAsia="仿宋" w:cs="仿宋"/>
                <w:color w:val="auto"/>
                <w:sz w:val="20"/>
                <w:highlight w:val="none"/>
              </w:rPr>
            </w:pPr>
            <w:r>
              <w:rPr>
                <w:rFonts w:hint="eastAsia" w:ascii="仿宋" w:hAnsi="仿宋" w:eastAsia="仿宋" w:cs="仿宋"/>
                <w:color w:val="auto"/>
                <w:kern w:val="0"/>
                <w:sz w:val="20"/>
                <w:highlight w:val="none"/>
              </w:rPr>
              <w:t>Y＜500</w:t>
            </w:r>
          </w:p>
        </w:tc>
        <w:tc>
          <w:tcPr>
            <w:tcW w:w="2145" w:type="dxa"/>
            <w:tcBorders>
              <w:top w:val="single" w:color="000000" w:sz="4" w:space="0"/>
              <w:left w:val="single" w:color="000000" w:sz="4" w:space="0"/>
              <w:bottom w:val="single" w:color="000000" w:sz="4" w:space="0"/>
              <w:right w:val="single" w:color="000000" w:sz="12" w:space="0"/>
            </w:tcBorders>
            <w:tcMar>
              <w:top w:w="15" w:type="dxa"/>
              <w:left w:w="15" w:type="dxa"/>
              <w:bottom w:w="15" w:type="dxa"/>
              <w:right w:w="15" w:type="dxa"/>
            </w:tcMar>
            <w:vAlign w:val="bottom"/>
          </w:tcPr>
          <w:p>
            <w:pPr>
              <w:spacing w:before="0" w:beforeAutospacing="0" w:after="0" w:afterAutospacing="0"/>
              <w:ind w:left="0" w:right="0"/>
              <w:rPr>
                <w:rFonts w:hint="eastAsia" w:ascii="仿宋" w:hAnsi="仿宋" w:eastAsia="仿宋" w:cs="仿宋"/>
                <w:color w:val="auto"/>
                <w:sz w:val="20"/>
                <w:highlight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7" w:hRule="atLeast"/>
        </w:trPr>
        <w:tc>
          <w:tcPr>
            <w:tcW w:w="2178" w:type="dxa"/>
            <w:tcBorders>
              <w:top w:val="single" w:color="000000" w:sz="4" w:space="0"/>
              <w:left w:val="single" w:color="000000" w:sz="12" w:space="0"/>
              <w:bottom w:val="single" w:color="000000" w:sz="4" w:space="0"/>
              <w:right w:val="single" w:color="000000" w:sz="12" w:space="0"/>
            </w:tcBorders>
            <w:tcMar>
              <w:top w:w="15" w:type="dxa"/>
              <w:left w:w="15" w:type="dxa"/>
              <w:bottom w:w="15" w:type="dxa"/>
              <w:right w:w="15" w:type="dxa"/>
            </w:tcMar>
            <w:vAlign w:val="bottom"/>
          </w:tcPr>
          <w:p>
            <w:pPr>
              <w:widowControl/>
              <w:spacing w:before="0" w:beforeAutospacing="0" w:after="0" w:afterAutospacing="0"/>
              <w:ind w:left="0" w:right="0"/>
              <w:jc w:val="left"/>
              <w:textAlignment w:val="bottom"/>
              <w:rPr>
                <w:rFonts w:hint="eastAsia" w:ascii="仿宋" w:hAnsi="仿宋" w:eastAsia="仿宋" w:cs="仿宋"/>
                <w:color w:val="auto"/>
                <w:sz w:val="20"/>
                <w:highlight w:val="none"/>
              </w:rPr>
            </w:pPr>
            <w:r>
              <w:rPr>
                <w:rFonts w:hint="eastAsia" w:ascii="仿宋" w:hAnsi="仿宋" w:eastAsia="仿宋" w:cs="仿宋"/>
                <w:color w:val="auto"/>
                <w:kern w:val="0"/>
                <w:sz w:val="20"/>
                <w:highlight w:val="none"/>
              </w:rPr>
              <w:t>15、租赁和商务服务业</w:t>
            </w:r>
          </w:p>
        </w:tc>
        <w:tc>
          <w:tcPr>
            <w:tcW w:w="1383" w:type="dxa"/>
            <w:tcBorders>
              <w:top w:val="single" w:color="000000" w:sz="4" w:space="0"/>
              <w:left w:val="single" w:color="000000" w:sz="12" w:space="0"/>
              <w:bottom w:val="single" w:color="000000" w:sz="4" w:space="0"/>
              <w:right w:val="single" w:color="000000" w:sz="4" w:space="0"/>
            </w:tcBorders>
            <w:tcMar>
              <w:top w:w="15" w:type="dxa"/>
              <w:left w:w="15" w:type="dxa"/>
              <w:bottom w:w="15" w:type="dxa"/>
              <w:right w:w="15" w:type="dxa"/>
            </w:tcMar>
            <w:vAlign w:val="bottom"/>
          </w:tcPr>
          <w:p>
            <w:pPr>
              <w:widowControl/>
              <w:spacing w:before="0" w:beforeAutospacing="0" w:after="0" w:afterAutospacing="0"/>
              <w:ind w:left="0" w:right="0"/>
              <w:jc w:val="left"/>
              <w:textAlignment w:val="bottom"/>
              <w:rPr>
                <w:rFonts w:hint="eastAsia" w:ascii="仿宋" w:hAnsi="仿宋" w:eastAsia="仿宋" w:cs="仿宋"/>
                <w:color w:val="auto"/>
                <w:sz w:val="20"/>
                <w:highlight w:val="none"/>
              </w:rPr>
            </w:pPr>
            <w:r>
              <w:rPr>
                <w:rFonts w:hint="eastAsia" w:ascii="仿宋" w:hAnsi="仿宋" w:eastAsia="仿宋" w:cs="仿宋"/>
                <w:color w:val="auto"/>
                <w:kern w:val="0"/>
                <w:sz w:val="20"/>
                <w:highlight w:val="none"/>
              </w:rPr>
              <w:t>100≤X＜300</w:t>
            </w:r>
          </w:p>
        </w:tc>
        <w:tc>
          <w:tcPr>
            <w:tcW w:w="1575"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bottom"/>
          </w:tcPr>
          <w:p>
            <w:pPr>
              <w:spacing w:before="0" w:beforeAutospacing="0" w:after="0" w:afterAutospacing="0"/>
              <w:ind w:left="0" w:right="0"/>
              <w:rPr>
                <w:rFonts w:hint="eastAsia" w:ascii="仿宋" w:hAnsi="仿宋" w:eastAsia="仿宋" w:cs="仿宋"/>
                <w:color w:val="auto"/>
                <w:sz w:val="20"/>
                <w:highlight w:val="none"/>
              </w:rPr>
            </w:pPr>
          </w:p>
        </w:tc>
        <w:tc>
          <w:tcPr>
            <w:tcW w:w="1550" w:type="dxa"/>
            <w:tcBorders>
              <w:top w:val="single" w:color="000000" w:sz="4" w:space="0"/>
              <w:left w:val="single" w:color="000000" w:sz="4" w:space="0"/>
              <w:bottom w:val="single" w:color="000000" w:sz="4" w:space="0"/>
              <w:right w:val="single" w:color="000000" w:sz="12" w:space="0"/>
            </w:tcBorders>
            <w:tcMar>
              <w:top w:w="15" w:type="dxa"/>
              <w:left w:w="15" w:type="dxa"/>
              <w:bottom w:w="15" w:type="dxa"/>
              <w:right w:w="15" w:type="dxa"/>
            </w:tcMar>
            <w:vAlign w:val="bottom"/>
          </w:tcPr>
          <w:p>
            <w:pPr>
              <w:widowControl/>
              <w:spacing w:before="0" w:beforeAutospacing="0" w:after="0" w:afterAutospacing="0"/>
              <w:ind w:left="0" w:right="0"/>
              <w:jc w:val="left"/>
              <w:textAlignment w:val="bottom"/>
              <w:rPr>
                <w:rFonts w:hint="eastAsia" w:ascii="仿宋" w:hAnsi="仿宋" w:eastAsia="仿宋" w:cs="仿宋"/>
                <w:color w:val="auto"/>
                <w:sz w:val="20"/>
                <w:highlight w:val="none"/>
              </w:rPr>
            </w:pPr>
            <w:r>
              <w:rPr>
                <w:rFonts w:hint="eastAsia" w:ascii="仿宋" w:hAnsi="仿宋" w:eastAsia="仿宋" w:cs="仿宋"/>
                <w:color w:val="auto"/>
                <w:kern w:val="0"/>
                <w:sz w:val="20"/>
                <w:highlight w:val="none"/>
              </w:rPr>
              <w:t>8000≤Z＜120000</w:t>
            </w:r>
          </w:p>
        </w:tc>
        <w:tc>
          <w:tcPr>
            <w:tcW w:w="1182" w:type="dxa"/>
            <w:tcBorders>
              <w:top w:val="single" w:color="000000" w:sz="4" w:space="0"/>
              <w:left w:val="single" w:color="000000" w:sz="12" w:space="0"/>
              <w:bottom w:val="single" w:color="000000" w:sz="4" w:space="0"/>
              <w:right w:val="single" w:color="000000" w:sz="4" w:space="0"/>
            </w:tcBorders>
            <w:tcMar>
              <w:top w:w="15" w:type="dxa"/>
              <w:left w:w="15" w:type="dxa"/>
              <w:bottom w:w="15" w:type="dxa"/>
              <w:right w:w="15" w:type="dxa"/>
            </w:tcMar>
            <w:vAlign w:val="bottom"/>
          </w:tcPr>
          <w:p>
            <w:pPr>
              <w:widowControl/>
              <w:spacing w:before="0" w:beforeAutospacing="0" w:after="0" w:afterAutospacing="0"/>
              <w:ind w:left="0" w:right="0"/>
              <w:jc w:val="left"/>
              <w:textAlignment w:val="bottom"/>
              <w:rPr>
                <w:rFonts w:hint="eastAsia" w:ascii="仿宋" w:hAnsi="仿宋" w:eastAsia="仿宋" w:cs="仿宋"/>
                <w:color w:val="auto"/>
                <w:sz w:val="20"/>
                <w:highlight w:val="none"/>
              </w:rPr>
            </w:pPr>
            <w:r>
              <w:rPr>
                <w:rFonts w:hint="eastAsia" w:ascii="仿宋" w:hAnsi="仿宋" w:eastAsia="仿宋" w:cs="仿宋"/>
                <w:color w:val="auto"/>
                <w:kern w:val="0"/>
                <w:sz w:val="20"/>
                <w:highlight w:val="none"/>
              </w:rPr>
              <w:t>10≤X＜100</w:t>
            </w:r>
          </w:p>
        </w:tc>
        <w:tc>
          <w:tcPr>
            <w:tcW w:w="1387"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bottom"/>
          </w:tcPr>
          <w:p>
            <w:pPr>
              <w:spacing w:before="0" w:beforeAutospacing="0" w:after="0" w:afterAutospacing="0"/>
              <w:ind w:left="0" w:right="0"/>
              <w:rPr>
                <w:rFonts w:hint="eastAsia" w:ascii="仿宋" w:hAnsi="仿宋" w:eastAsia="仿宋" w:cs="仿宋"/>
                <w:color w:val="auto"/>
                <w:sz w:val="20"/>
                <w:highlight w:val="none"/>
              </w:rPr>
            </w:pPr>
          </w:p>
        </w:tc>
        <w:tc>
          <w:tcPr>
            <w:tcW w:w="1425" w:type="dxa"/>
            <w:tcBorders>
              <w:top w:val="single" w:color="000000" w:sz="4" w:space="0"/>
              <w:left w:val="single" w:color="000000" w:sz="4" w:space="0"/>
              <w:bottom w:val="single" w:color="000000" w:sz="4" w:space="0"/>
              <w:right w:val="single" w:color="000000" w:sz="12" w:space="0"/>
            </w:tcBorders>
            <w:tcMar>
              <w:top w:w="15" w:type="dxa"/>
              <w:left w:w="15" w:type="dxa"/>
              <w:bottom w:w="15" w:type="dxa"/>
              <w:right w:w="15" w:type="dxa"/>
            </w:tcMar>
            <w:vAlign w:val="bottom"/>
          </w:tcPr>
          <w:p>
            <w:pPr>
              <w:widowControl/>
              <w:spacing w:before="0" w:beforeAutospacing="0" w:after="0" w:afterAutospacing="0"/>
              <w:ind w:left="0" w:right="0"/>
              <w:jc w:val="left"/>
              <w:textAlignment w:val="bottom"/>
              <w:rPr>
                <w:rFonts w:hint="eastAsia" w:ascii="仿宋" w:hAnsi="仿宋" w:eastAsia="仿宋" w:cs="仿宋"/>
                <w:color w:val="auto"/>
                <w:sz w:val="20"/>
                <w:highlight w:val="none"/>
              </w:rPr>
            </w:pPr>
            <w:r>
              <w:rPr>
                <w:rFonts w:hint="eastAsia" w:ascii="仿宋" w:hAnsi="仿宋" w:eastAsia="仿宋" w:cs="仿宋"/>
                <w:color w:val="auto"/>
                <w:kern w:val="0"/>
                <w:sz w:val="20"/>
                <w:highlight w:val="none"/>
              </w:rPr>
              <w:t xml:space="preserve"> 100≤Z＜8000</w:t>
            </w:r>
          </w:p>
        </w:tc>
        <w:tc>
          <w:tcPr>
            <w:tcW w:w="1010" w:type="dxa"/>
            <w:tcBorders>
              <w:top w:val="single" w:color="000000" w:sz="4" w:space="0"/>
              <w:left w:val="single" w:color="000000" w:sz="12" w:space="0"/>
              <w:bottom w:val="single" w:color="000000" w:sz="4" w:space="0"/>
              <w:right w:val="single" w:color="000000" w:sz="4" w:space="0"/>
            </w:tcBorders>
            <w:tcMar>
              <w:top w:w="15" w:type="dxa"/>
              <w:left w:w="15" w:type="dxa"/>
              <w:bottom w:w="15" w:type="dxa"/>
              <w:right w:w="15" w:type="dxa"/>
            </w:tcMar>
            <w:vAlign w:val="bottom"/>
          </w:tcPr>
          <w:p>
            <w:pPr>
              <w:widowControl/>
              <w:spacing w:before="0" w:beforeAutospacing="0" w:after="0" w:afterAutospacing="0"/>
              <w:ind w:left="0" w:right="0"/>
              <w:jc w:val="left"/>
              <w:textAlignment w:val="bottom"/>
              <w:rPr>
                <w:rFonts w:hint="eastAsia" w:ascii="仿宋" w:hAnsi="仿宋" w:eastAsia="仿宋" w:cs="仿宋"/>
                <w:color w:val="auto"/>
                <w:sz w:val="20"/>
                <w:highlight w:val="none"/>
              </w:rPr>
            </w:pPr>
            <w:r>
              <w:rPr>
                <w:rFonts w:hint="eastAsia" w:ascii="仿宋" w:hAnsi="仿宋" w:eastAsia="仿宋" w:cs="仿宋"/>
                <w:color w:val="auto"/>
                <w:kern w:val="0"/>
                <w:sz w:val="20"/>
                <w:highlight w:val="none"/>
              </w:rPr>
              <w:t>X＜10</w:t>
            </w:r>
          </w:p>
        </w:tc>
        <w:tc>
          <w:tcPr>
            <w:tcW w:w="976"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bottom"/>
          </w:tcPr>
          <w:p>
            <w:pPr>
              <w:spacing w:before="0" w:beforeAutospacing="0" w:after="0" w:afterAutospacing="0"/>
              <w:ind w:left="0" w:right="0"/>
              <w:rPr>
                <w:rFonts w:hint="eastAsia" w:ascii="仿宋" w:hAnsi="仿宋" w:eastAsia="仿宋" w:cs="仿宋"/>
                <w:color w:val="auto"/>
                <w:sz w:val="20"/>
                <w:highlight w:val="none"/>
              </w:rPr>
            </w:pPr>
          </w:p>
        </w:tc>
        <w:tc>
          <w:tcPr>
            <w:tcW w:w="2145" w:type="dxa"/>
            <w:tcBorders>
              <w:top w:val="single" w:color="000000" w:sz="4" w:space="0"/>
              <w:left w:val="single" w:color="000000" w:sz="4" w:space="0"/>
              <w:bottom w:val="single" w:color="000000" w:sz="4" w:space="0"/>
              <w:right w:val="single" w:color="000000" w:sz="12" w:space="0"/>
            </w:tcBorders>
            <w:tcMar>
              <w:top w:w="15" w:type="dxa"/>
              <w:left w:w="15" w:type="dxa"/>
              <w:bottom w:w="15" w:type="dxa"/>
              <w:right w:w="15" w:type="dxa"/>
            </w:tcMar>
            <w:vAlign w:val="bottom"/>
          </w:tcPr>
          <w:p>
            <w:pPr>
              <w:widowControl/>
              <w:spacing w:before="0" w:beforeAutospacing="0" w:after="0" w:afterAutospacing="0"/>
              <w:ind w:left="0" w:right="0"/>
              <w:jc w:val="left"/>
              <w:textAlignment w:val="bottom"/>
              <w:rPr>
                <w:rFonts w:hint="eastAsia" w:ascii="仿宋" w:hAnsi="仿宋" w:eastAsia="仿宋" w:cs="仿宋"/>
                <w:color w:val="auto"/>
                <w:sz w:val="20"/>
                <w:highlight w:val="none"/>
              </w:rPr>
            </w:pPr>
            <w:r>
              <w:rPr>
                <w:rFonts w:hint="eastAsia" w:ascii="仿宋" w:hAnsi="仿宋" w:eastAsia="仿宋" w:cs="仿宋"/>
                <w:color w:val="auto"/>
                <w:kern w:val="0"/>
                <w:sz w:val="20"/>
                <w:highlight w:val="none"/>
              </w:rPr>
              <w:t>Z＜100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7" w:hRule="atLeast"/>
        </w:trPr>
        <w:tc>
          <w:tcPr>
            <w:tcW w:w="2178" w:type="dxa"/>
            <w:tcBorders>
              <w:top w:val="single" w:color="000000" w:sz="4" w:space="0"/>
              <w:left w:val="single" w:color="000000" w:sz="12" w:space="0"/>
              <w:bottom w:val="single" w:color="000000" w:sz="12" w:space="0"/>
              <w:right w:val="single" w:color="000000" w:sz="12" w:space="0"/>
            </w:tcBorders>
            <w:tcMar>
              <w:top w:w="15" w:type="dxa"/>
              <w:left w:w="15" w:type="dxa"/>
              <w:bottom w:w="15" w:type="dxa"/>
              <w:right w:w="15" w:type="dxa"/>
            </w:tcMar>
            <w:vAlign w:val="bottom"/>
          </w:tcPr>
          <w:p>
            <w:pPr>
              <w:widowControl/>
              <w:spacing w:before="0" w:beforeAutospacing="0" w:after="0" w:afterAutospacing="0"/>
              <w:ind w:left="0" w:right="0"/>
              <w:jc w:val="left"/>
              <w:textAlignment w:val="bottom"/>
              <w:rPr>
                <w:rFonts w:hint="eastAsia" w:ascii="仿宋" w:hAnsi="仿宋" w:eastAsia="仿宋" w:cs="仿宋"/>
                <w:color w:val="auto"/>
                <w:sz w:val="20"/>
                <w:highlight w:val="none"/>
              </w:rPr>
            </w:pPr>
            <w:r>
              <w:rPr>
                <w:rFonts w:hint="eastAsia" w:ascii="仿宋" w:hAnsi="仿宋" w:eastAsia="仿宋" w:cs="仿宋"/>
                <w:color w:val="auto"/>
                <w:kern w:val="0"/>
                <w:sz w:val="20"/>
                <w:highlight w:val="none"/>
              </w:rPr>
              <w:t>16、其他未列明行业</w:t>
            </w:r>
          </w:p>
        </w:tc>
        <w:tc>
          <w:tcPr>
            <w:tcW w:w="1383" w:type="dxa"/>
            <w:tcBorders>
              <w:top w:val="single" w:color="000000" w:sz="4" w:space="0"/>
              <w:left w:val="single" w:color="000000" w:sz="12" w:space="0"/>
              <w:bottom w:val="single" w:color="000000" w:sz="12" w:space="0"/>
              <w:right w:val="single" w:color="000000" w:sz="4" w:space="0"/>
            </w:tcBorders>
            <w:tcMar>
              <w:top w:w="15" w:type="dxa"/>
              <w:left w:w="15" w:type="dxa"/>
              <w:bottom w:w="15" w:type="dxa"/>
              <w:right w:w="15" w:type="dxa"/>
            </w:tcMar>
            <w:vAlign w:val="bottom"/>
          </w:tcPr>
          <w:p>
            <w:pPr>
              <w:widowControl/>
              <w:spacing w:before="0" w:beforeAutospacing="0" w:after="0" w:afterAutospacing="0"/>
              <w:ind w:left="0" w:right="0"/>
              <w:jc w:val="left"/>
              <w:textAlignment w:val="bottom"/>
              <w:rPr>
                <w:rFonts w:hint="eastAsia" w:ascii="仿宋" w:hAnsi="仿宋" w:eastAsia="仿宋" w:cs="仿宋"/>
                <w:color w:val="auto"/>
                <w:sz w:val="20"/>
                <w:highlight w:val="none"/>
              </w:rPr>
            </w:pPr>
            <w:r>
              <w:rPr>
                <w:rFonts w:hint="eastAsia" w:ascii="仿宋" w:hAnsi="仿宋" w:eastAsia="仿宋" w:cs="仿宋"/>
                <w:color w:val="auto"/>
                <w:kern w:val="0"/>
                <w:sz w:val="20"/>
                <w:highlight w:val="none"/>
              </w:rPr>
              <w:t>100≤X＜300</w:t>
            </w:r>
          </w:p>
        </w:tc>
        <w:tc>
          <w:tcPr>
            <w:tcW w:w="1575" w:type="dxa"/>
            <w:tcBorders>
              <w:top w:val="single" w:color="000000" w:sz="4" w:space="0"/>
              <w:left w:val="single" w:color="000000" w:sz="4" w:space="0"/>
              <w:bottom w:val="single" w:color="000000" w:sz="12" w:space="0"/>
              <w:right w:val="single" w:color="000000" w:sz="4" w:space="0"/>
            </w:tcBorders>
            <w:tcMar>
              <w:top w:w="15" w:type="dxa"/>
              <w:left w:w="15" w:type="dxa"/>
              <w:bottom w:w="15" w:type="dxa"/>
              <w:right w:w="15" w:type="dxa"/>
            </w:tcMar>
            <w:vAlign w:val="bottom"/>
          </w:tcPr>
          <w:p>
            <w:pPr>
              <w:spacing w:before="0" w:beforeAutospacing="0" w:after="0" w:afterAutospacing="0"/>
              <w:ind w:left="0" w:right="0"/>
              <w:rPr>
                <w:rFonts w:hint="eastAsia" w:ascii="仿宋" w:hAnsi="仿宋" w:eastAsia="仿宋" w:cs="仿宋"/>
                <w:color w:val="auto"/>
                <w:sz w:val="20"/>
                <w:highlight w:val="none"/>
              </w:rPr>
            </w:pPr>
          </w:p>
        </w:tc>
        <w:tc>
          <w:tcPr>
            <w:tcW w:w="1550" w:type="dxa"/>
            <w:tcBorders>
              <w:top w:val="single" w:color="000000" w:sz="4" w:space="0"/>
              <w:left w:val="single" w:color="000000" w:sz="4" w:space="0"/>
              <w:bottom w:val="single" w:color="000000" w:sz="12" w:space="0"/>
              <w:right w:val="single" w:color="000000" w:sz="12" w:space="0"/>
            </w:tcBorders>
            <w:tcMar>
              <w:top w:w="15" w:type="dxa"/>
              <w:left w:w="15" w:type="dxa"/>
              <w:bottom w:w="15" w:type="dxa"/>
              <w:right w:w="15" w:type="dxa"/>
            </w:tcMar>
            <w:vAlign w:val="bottom"/>
          </w:tcPr>
          <w:p>
            <w:pPr>
              <w:spacing w:before="0" w:beforeAutospacing="0" w:after="0" w:afterAutospacing="0"/>
              <w:ind w:left="0" w:right="0"/>
              <w:rPr>
                <w:rFonts w:hint="eastAsia" w:ascii="仿宋" w:hAnsi="仿宋" w:eastAsia="仿宋" w:cs="仿宋"/>
                <w:color w:val="auto"/>
                <w:sz w:val="20"/>
                <w:highlight w:val="none"/>
              </w:rPr>
            </w:pPr>
          </w:p>
        </w:tc>
        <w:tc>
          <w:tcPr>
            <w:tcW w:w="1182" w:type="dxa"/>
            <w:tcBorders>
              <w:top w:val="single" w:color="000000" w:sz="4" w:space="0"/>
              <w:left w:val="single" w:color="000000" w:sz="12" w:space="0"/>
              <w:bottom w:val="single" w:color="000000" w:sz="12" w:space="0"/>
              <w:right w:val="single" w:color="000000" w:sz="4" w:space="0"/>
            </w:tcBorders>
            <w:tcMar>
              <w:top w:w="15" w:type="dxa"/>
              <w:left w:w="15" w:type="dxa"/>
              <w:bottom w:w="15" w:type="dxa"/>
              <w:right w:w="15" w:type="dxa"/>
            </w:tcMar>
            <w:vAlign w:val="bottom"/>
          </w:tcPr>
          <w:p>
            <w:pPr>
              <w:widowControl/>
              <w:spacing w:before="0" w:beforeAutospacing="0" w:after="0" w:afterAutospacing="0"/>
              <w:ind w:left="0" w:right="0"/>
              <w:jc w:val="left"/>
              <w:textAlignment w:val="bottom"/>
              <w:rPr>
                <w:rFonts w:hint="eastAsia" w:ascii="仿宋" w:hAnsi="仿宋" w:eastAsia="仿宋" w:cs="仿宋"/>
                <w:color w:val="auto"/>
                <w:sz w:val="20"/>
                <w:highlight w:val="none"/>
              </w:rPr>
            </w:pPr>
            <w:r>
              <w:rPr>
                <w:rFonts w:hint="eastAsia" w:ascii="仿宋" w:hAnsi="仿宋" w:eastAsia="仿宋" w:cs="仿宋"/>
                <w:color w:val="auto"/>
                <w:kern w:val="0"/>
                <w:sz w:val="20"/>
                <w:highlight w:val="none"/>
              </w:rPr>
              <w:t>10≤X＜100</w:t>
            </w:r>
          </w:p>
        </w:tc>
        <w:tc>
          <w:tcPr>
            <w:tcW w:w="1387" w:type="dxa"/>
            <w:tcBorders>
              <w:top w:val="single" w:color="000000" w:sz="4" w:space="0"/>
              <w:left w:val="single" w:color="000000" w:sz="4" w:space="0"/>
              <w:bottom w:val="single" w:color="000000" w:sz="12" w:space="0"/>
              <w:right w:val="single" w:color="000000" w:sz="4" w:space="0"/>
            </w:tcBorders>
            <w:tcMar>
              <w:top w:w="15" w:type="dxa"/>
              <w:left w:w="15" w:type="dxa"/>
              <w:bottom w:w="15" w:type="dxa"/>
              <w:right w:w="15" w:type="dxa"/>
            </w:tcMar>
            <w:vAlign w:val="bottom"/>
          </w:tcPr>
          <w:p>
            <w:pPr>
              <w:spacing w:before="0" w:beforeAutospacing="0" w:after="0" w:afterAutospacing="0"/>
              <w:ind w:left="0" w:right="0"/>
              <w:rPr>
                <w:rFonts w:hint="eastAsia" w:ascii="仿宋" w:hAnsi="仿宋" w:eastAsia="仿宋" w:cs="仿宋"/>
                <w:color w:val="auto"/>
                <w:sz w:val="20"/>
                <w:highlight w:val="none"/>
              </w:rPr>
            </w:pPr>
          </w:p>
        </w:tc>
        <w:tc>
          <w:tcPr>
            <w:tcW w:w="1425" w:type="dxa"/>
            <w:tcBorders>
              <w:top w:val="single" w:color="000000" w:sz="4" w:space="0"/>
              <w:left w:val="single" w:color="000000" w:sz="4" w:space="0"/>
              <w:bottom w:val="single" w:color="000000" w:sz="12" w:space="0"/>
              <w:right w:val="single" w:color="000000" w:sz="12" w:space="0"/>
            </w:tcBorders>
            <w:tcMar>
              <w:top w:w="15" w:type="dxa"/>
              <w:left w:w="15" w:type="dxa"/>
              <w:bottom w:w="15" w:type="dxa"/>
              <w:right w:w="15" w:type="dxa"/>
            </w:tcMar>
            <w:vAlign w:val="bottom"/>
          </w:tcPr>
          <w:p>
            <w:pPr>
              <w:spacing w:before="0" w:beforeAutospacing="0" w:after="0" w:afterAutospacing="0"/>
              <w:ind w:left="0" w:right="0"/>
              <w:rPr>
                <w:rFonts w:hint="eastAsia" w:ascii="仿宋" w:hAnsi="仿宋" w:eastAsia="仿宋" w:cs="仿宋"/>
                <w:color w:val="auto"/>
                <w:sz w:val="20"/>
                <w:highlight w:val="none"/>
              </w:rPr>
            </w:pPr>
          </w:p>
        </w:tc>
        <w:tc>
          <w:tcPr>
            <w:tcW w:w="1010" w:type="dxa"/>
            <w:tcBorders>
              <w:top w:val="single" w:color="000000" w:sz="4" w:space="0"/>
              <w:left w:val="single" w:color="000000" w:sz="12" w:space="0"/>
              <w:bottom w:val="single" w:color="000000" w:sz="12" w:space="0"/>
              <w:right w:val="single" w:color="000000" w:sz="4" w:space="0"/>
            </w:tcBorders>
            <w:tcMar>
              <w:top w:w="15" w:type="dxa"/>
              <w:left w:w="15" w:type="dxa"/>
              <w:bottom w:w="15" w:type="dxa"/>
              <w:right w:w="15" w:type="dxa"/>
            </w:tcMar>
            <w:vAlign w:val="bottom"/>
          </w:tcPr>
          <w:p>
            <w:pPr>
              <w:widowControl/>
              <w:spacing w:before="0" w:beforeAutospacing="0" w:after="0" w:afterAutospacing="0"/>
              <w:ind w:left="0" w:right="0"/>
              <w:jc w:val="left"/>
              <w:textAlignment w:val="bottom"/>
              <w:rPr>
                <w:rFonts w:hint="eastAsia" w:ascii="仿宋" w:hAnsi="仿宋" w:eastAsia="仿宋" w:cs="仿宋"/>
                <w:color w:val="auto"/>
                <w:sz w:val="20"/>
                <w:highlight w:val="none"/>
              </w:rPr>
            </w:pPr>
            <w:r>
              <w:rPr>
                <w:rFonts w:hint="eastAsia" w:ascii="仿宋" w:hAnsi="仿宋" w:eastAsia="仿宋" w:cs="仿宋"/>
                <w:color w:val="auto"/>
                <w:kern w:val="0"/>
                <w:sz w:val="20"/>
                <w:highlight w:val="none"/>
              </w:rPr>
              <w:t>X＜10</w:t>
            </w:r>
          </w:p>
        </w:tc>
        <w:tc>
          <w:tcPr>
            <w:tcW w:w="976" w:type="dxa"/>
            <w:tcBorders>
              <w:top w:val="single" w:color="000000" w:sz="4" w:space="0"/>
              <w:left w:val="single" w:color="000000" w:sz="4" w:space="0"/>
              <w:bottom w:val="single" w:color="000000" w:sz="12" w:space="0"/>
              <w:right w:val="single" w:color="000000" w:sz="4" w:space="0"/>
            </w:tcBorders>
            <w:tcMar>
              <w:top w:w="15" w:type="dxa"/>
              <w:left w:w="15" w:type="dxa"/>
              <w:bottom w:w="15" w:type="dxa"/>
              <w:right w:w="15" w:type="dxa"/>
            </w:tcMar>
            <w:vAlign w:val="bottom"/>
          </w:tcPr>
          <w:p>
            <w:pPr>
              <w:spacing w:before="0" w:beforeAutospacing="0" w:after="0" w:afterAutospacing="0"/>
              <w:ind w:left="0" w:right="0"/>
              <w:rPr>
                <w:rFonts w:hint="eastAsia" w:ascii="仿宋" w:hAnsi="仿宋" w:eastAsia="仿宋" w:cs="仿宋"/>
                <w:color w:val="auto"/>
                <w:sz w:val="20"/>
                <w:highlight w:val="none"/>
              </w:rPr>
            </w:pPr>
          </w:p>
        </w:tc>
        <w:tc>
          <w:tcPr>
            <w:tcW w:w="2145" w:type="dxa"/>
            <w:tcBorders>
              <w:top w:val="single" w:color="000000" w:sz="4" w:space="0"/>
              <w:left w:val="single" w:color="000000" w:sz="4" w:space="0"/>
              <w:bottom w:val="single" w:color="000000" w:sz="12" w:space="0"/>
              <w:right w:val="single" w:color="000000" w:sz="12" w:space="0"/>
            </w:tcBorders>
            <w:tcMar>
              <w:top w:w="15" w:type="dxa"/>
              <w:left w:w="15" w:type="dxa"/>
              <w:bottom w:w="15" w:type="dxa"/>
              <w:right w:w="15" w:type="dxa"/>
            </w:tcMar>
            <w:vAlign w:val="bottom"/>
          </w:tcPr>
          <w:p>
            <w:pPr>
              <w:spacing w:before="0" w:beforeAutospacing="0" w:after="0" w:afterAutospacing="0"/>
              <w:ind w:left="0" w:right="0"/>
              <w:rPr>
                <w:rFonts w:hint="eastAsia" w:ascii="仿宋" w:hAnsi="仿宋" w:eastAsia="仿宋" w:cs="仿宋"/>
                <w:color w:val="auto"/>
                <w:sz w:val="20"/>
                <w:highlight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7" w:hRule="atLeast"/>
        </w:trPr>
        <w:tc>
          <w:tcPr>
            <w:tcW w:w="14811" w:type="dxa"/>
            <w:gridSpan w:val="10"/>
            <w:tcMar>
              <w:top w:w="15" w:type="dxa"/>
              <w:left w:w="15" w:type="dxa"/>
              <w:bottom w:w="15" w:type="dxa"/>
              <w:right w:w="15" w:type="dxa"/>
            </w:tcMar>
            <w:vAlign w:val="bottom"/>
          </w:tcPr>
          <w:p>
            <w:pPr>
              <w:widowControl/>
              <w:spacing w:before="0" w:beforeAutospacing="0" w:after="0" w:afterAutospacing="0"/>
              <w:ind w:left="0" w:right="0"/>
              <w:jc w:val="left"/>
              <w:textAlignment w:val="bottom"/>
              <w:rPr>
                <w:rFonts w:hint="eastAsia" w:ascii="仿宋" w:hAnsi="仿宋" w:eastAsia="仿宋" w:cs="仿宋"/>
                <w:color w:val="auto"/>
                <w:sz w:val="20"/>
                <w:highlight w:val="none"/>
              </w:rPr>
            </w:pPr>
            <w:r>
              <w:rPr>
                <w:rFonts w:hint="eastAsia" w:ascii="仿宋" w:hAnsi="仿宋" w:eastAsia="仿宋" w:cs="仿宋"/>
                <w:color w:val="auto"/>
                <w:kern w:val="0"/>
                <w:sz w:val="20"/>
                <w:highlight w:val="none"/>
              </w:rPr>
              <w:t>说明　1、企业类型的划分以统计部门的统计数据为依据。2、个体工商户和本规定以外的行业，参照本规定进行划型。3、本规定的中型企业标准上限即为大型企业标准的下限。</w:t>
            </w:r>
          </w:p>
        </w:tc>
      </w:tr>
    </w:tbl>
    <w:p>
      <w:pPr>
        <w:rPr>
          <w:rFonts w:hint="eastAsia" w:ascii="仿宋" w:hAnsi="仿宋" w:eastAsia="仿宋" w:cs="仿宋"/>
          <w:color w:val="auto"/>
          <w:highlight w:val="none"/>
        </w:rPr>
        <w:sectPr>
          <w:pgSz w:w="16838" w:h="11906" w:orient="landscape"/>
          <w:pgMar w:top="1418" w:right="1276" w:bottom="1418" w:left="1247" w:header="851" w:footer="992" w:gutter="0"/>
          <w:cols w:space="720" w:num="1"/>
          <w:titlePg/>
          <w:docGrid w:linePitch="312" w:charSpace="0"/>
        </w:sectPr>
      </w:pPr>
    </w:p>
    <w:p>
      <w:pPr>
        <w:spacing w:line="360" w:lineRule="auto"/>
        <w:jc w:val="left"/>
        <w:outlineLvl w:val="0"/>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val="en-US" w:eastAsia="zh-CN"/>
        </w:rPr>
        <w:t>附件8（中标后提供）：</w:t>
      </w:r>
    </w:p>
    <w:p>
      <w:pPr>
        <w:jc w:val="center"/>
        <w:rPr>
          <w:rFonts w:hint="eastAsia" w:ascii="仿宋" w:hAnsi="仿宋" w:eastAsia="仿宋" w:cs="仿宋"/>
          <w:b/>
          <w:color w:val="auto"/>
          <w:sz w:val="30"/>
          <w:szCs w:val="30"/>
          <w:highlight w:val="none"/>
        </w:rPr>
      </w:pPr>
    </w:p>
    <w:p>
      <w:pPr>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承 诺 书</w:t>
      </w:r>
    </w:p>
    <w:p>
      <w:pPr>
        <w:rPr>
          <w:rFonts w:hint="eastAsia" w:ascii="仿宋" w:hAnsi="仿宋" w:eastAsia="仿宋" w:cs="仿宋"/>
          <w:color w:val="auto"/>
          <w:sz w:val="30"/>
          <w:szCs w:val="30"/>
          <w:highlight w:val="none"/>
        </w:rPr>
      </w:pPr>
    </w:p>
    <w:p>
      <w:pPr>
        <w:rPr>
          <w:rFonts w:hint="eastAsia" w:ascii="仿宋" w:hAnsi="仿宋" w:eastAsia="仿宋" w:cs="仿宋"/>
          <w:color w:val="auto"/>
          <w:sz w:val="30"/>
          <w:szCs w:val="30"/>
          <w:highlight w:val="none"/>
        </w:rPr>
      </w:pPr>
      <w:r>
        <w:rPr>
          <w:rFonts w:hint="eastAsia" w:ascii="仿宋" w:hAnsi="仿宋" w:eastAsia="仿宋" w:cs="仿宋"/>
          <w:color w:val="auto"/>
          <w:sz w:val="30"/>
          <w:szCs w:val="30"/>
          <w:highlight w:val="none"/>
          <w:u w:val="single"/>
          <w:lang w:val="en-US" w:eastAsia="zh-CN"/>
        </w:rPr>
        <w:t xml:space="preserve">杭州天坤建设咨询有限公司 </w:t>
      </w:r>
      <w:r>
        <w:rPr>
          <w:rFonts w:hint="eastAsia" w:ascii="仿宋" w:hAnsi="仿宋" w:eastAsia="仿宋" w:cs="仿宋"/>
          <w:color w:val="auto"/>
          <w:sz w:val="30"/>
          <w:szCs w:val="30"/>
          <w:highlight w:val="none"/>
        </w:rPr>
        <w:t>：</w:t>
      </w:r>
    </w:p>
    <w:p>
      <w:pPr>
        <w:spacing w:line="780" w:lineRule="exact"/>
        <w:ind w:firstLine="600" w:firstLineChars="200"/>
        <w:rPr>
          <w:rFonts w:hint="eastAsia" w:ascii="仿宋" w:hAnsi="仿宋" w:eastAsia="仿宋" w:cs="仿宋"/>
          <w:color w:val="auto"/>
          <w:sz w:val="30"/>
          <w:szCs w:val="30"/>
          <w:highlight w:val="none"/>
          <w:lang w:eastAsia="zh-CN"/>
        </w:rPr>
      </w:pPr>
      <w:r>
        <w:rPr>
          <w:rFonts w:hint="eastAsia" w:ascii="仿宋" w:hAnsi="仿宋" w:eastAsia="仿宋" w:cs="仿宋"/>
          <w:color w:val="auto"/>
          <w:sz w:val="30"/>
          <w:szCs w:val="30"/>
          <w:highlight w:val="none"/>
          <w:u w:val="none"/>
          <w:lang w:val="en-US" w:eastAsia="zh-CN"/>
        </w:rPr>
        <w:t>我单位参与投标的</w:t>
      </w:r>
      <w:r>
        <w:rPr>
          <w:rFonts w:hint="eastAsia" w:ascii="仿宋" w:hAnsi="仿宋" w:eastAsia="仿宋" w:cs="仿宋"/>
          <w:color w:val="auto"/>
          <w:sz w:val="30"/>
          <w:szCs w:val="30"/>
          <w:highlight w:val="none"/>
          <w:u w:val="single"/>
          <w:lang w:val="en-US" w:eastAsia="zh-CN"/>
        </w:rPr>
        <w:t xml:space="preserve">   余杭街道2023年区域性微型消防救援站服务外包项目   </w:t>
      </w:r>
      <w:r>
        <w:rPr>
          <w:rFonts w:hint="eastAsia" w:ascii="仿宋" w:hAnsi="仿宋" w:eastAsia="仿宋" w:cs="仿宋"/>
          <w:color w:val="auto"/>
          <w:sz w:val="30"/>
          <w:szCs w:val="30"/>
          <w:highlight w:val="none"/>
          <w:u w:val="none"/>
          <w:lang w:val="en-US" w:eastAsia="zh-CN"/>
        </w:rPr>
        <w:t>有幸中标，考虑本项目备案事宜，故由我单位再提供加盖公章的纸质版投标文件一式三份（正本一份，副本二份）递交给招标代理机构备案</w:t>
      </w:r>
      <w:r>
        <w:rPr>
          <w:rFonts w:hint="eastAsia" w:ascii="仿宋" w:hAnsi="仿宋" w:eastAsia="仿宋" w:cs="仿宋"/>
          <w:color w:val="auto"/>
          <w:sz w:val="30"/>
          <w:szCs w:val="30"/>
          <w:highlight w:val="none"/>
          <w:lang w:eastAsia="zh-CN"/>
        </w:rPr>
        <w:t>。</w:t>
      </w:r>
    </w:p>
    <w:p>
      <w:pPr>
        <w:spacing w:line="780" w:lineRule="exact"/>
        <w:ind w:firstLine="600" w:firstLineChars="200"/>
        <w:rPr>
          <w:rFonts w:hint="eastAsia" w:ascii="仿宋" w:hAnsi="仿宋" w:eastAsia="仿宋" w:cs="仿宋"/>
          <w:color w:val="auto"/>
          <w:sz w:val="30"/>
          <w:szCs w:val="30"/>
          <w:highlight w:val="none"/>
        </w:rPr>
      </w:pPr>
      <w:r>
        <w:rPr>
          <w:rFonts w:hint="eastAsia" w:ascii="仿宋" w:hAnsi="仿宋" w:eastAsia="仿宋" w:cs="仿宋"/>
          <w:color w:val="auto"/>
          <w:sz w:val="30"/>
          <w:szCs w:val="30"/>
          <w:highlight w:val="none"/>
        </w:rPr>
        <w:t>本公司承诺：</w:t>
      </w:r>
    </w:p>
    <w:p>
      <w:pPr>
        <w:spacing w:line="780" w:lineRule="exact"/>
        <w:ind w:firstLine="600" w:firstLineChars="200"/>
        <w:rPr>
          <w:rFonts w:hint="eastAsia" w:ascii="仿宋" w:hAnsi="仿宋" w:eastAsia="仿宋" w:cs="仿宋"/>
          <w:color w:val="auto"/>
          <w:sz w:val="30"/>
          <w:szCs w:val="30"/>
          <w:highlight w:val="none"/>
          <w:lang w:val="en-US" w:eastAsia="zh-CN"/>
        </w:rPr>
      </w:pPr>
      <w:r>
        <w:rPr>
          <w:rFonts w:hint="eastAsia" w:ascii="仿宋" w:hAnsi="仿宋" w:eastAsia="仿宋" w:cs="仿宋"/>
          <w:color w:val="auto"/>
          <w:sz w:val="30"/>
          <w:szCs w:val="30"/>
          <w:highlight w:val="none"/>
          <w:lang w:eastAsia="zh-CN"/>
        </w:rPr>
        <w:t>本单位</w:t>
      </w:r>
      <w:r>
        <w:rPr>
          <w:rFonts w:hint="eastAsia" w:ascii="仿宋" w:hAnsi="仿宋" w:eastAsia="仿宋" w:cs="仿宋"/>
          <w:color w:val="auto"/>
          <w:sz w:val="30"/>
          <w:szCs w:val="30"/>
          <w:highlight w:val="none"/>
        </w:rPr>
        <w:t>提交给</w:t>
      </w:r>
      <w:r>
        <w:rPr>
          <w:rFonts w:hint="eastAsia" w:ascii="仿宋" w:hAnsi="仿宋" w:eastAsia="仿宋" w:cs="仿宋"/>
          <w:color w:val="auto"/>
          <w:sz w:val="30"/>
          <w:szCs w:val="30"/>
          <w:highlight w:val="none"/>
          <w:lang w:eastAsia="zh-CN"/>
        </w:rPr>
        <w:t>招标代理机构备案的</w:t>
      </w:r>
      <w:r>
        <w:rPr>
          <w:rFonts w:hint="eastAsia" w:ascii="仿宋" w:hAnsi="仿宋" w:eastAsia="仿宋" w:cs="仿宋"/>
          <w:color w:val="auto"/>
          <w:sz w:val="30"/>
          <w:szCs w:val="30"/>
          <w:highlight w:val="none"/>
          <w:u w:val="single"/>
        </w:rPr>
        <w:t>纸质</w:t>
      </w:r>
      <w:r>
        <w:rPr>
          <w:rFonts w:hint="eastAsia" w:ascii="仿宋" w:hAnsi="仿宋" w:eastAsia="仿宋" w:cs="仿宋"/>
          <w:color w:val="auto"/>
          <w:sz w:val="30"/>
          <w:szCs w:val="30"/>
          <w:highlight w:val="none"/>
          <w:u w:val="single"/>
          <w:lang w:eastAsia="zh-CN"/>
        </w:rPr>
        <w:t>版投标文件</w:t>
      </w:r>
      <w:r>
        <w:rPr>
          <w:rFonts w:hint="eastAsia" w:ascii="仿宋" w:hAnsi="仿宋" w:eastAsia="仿宋" w:cs="仿宋"/>
          <w:color w:val="auto"/>
          <w:sz w:val="30"/>
          <w:szCs w:val="30"/>
          <w:highlight w:val="none"/>
        </w:rPr>
        <w:t>与</w:t>
      </w:r>
      <w:r>
        <w:rPr>
          <w:rFonts w:hint="eastAsia" w:ascii="仿宋" w:hAnsi="仿宋" w:eastAsia="仿宋" w:cs="仿宋"/>
          <w:color w:val="auto"/>
          <w:sz w:val="30"/>
          <w:szCs w:val="30"/>
          <w:highlight w:val="none"/>
          <w:u w:val="single"/>
        </w:rPr>
        <w:t>电子</w:t>
      </w:r>
      <w:r>
        <w:rPr>
          <w:rFonts w:hint="eastAsia" w:ascii="仿宋" w:hAnsi="仿宋" w:eastAsia="仿宋" w:cs="仿宋"/>
          <w:color w:val="auto"/>
          <w:sz w:val="30"/>
          <w:szCs w:val="30"/>
          <w:highlight w:val="none"/>
          <w:u w:val="single"/>
          <w:lang w:eastAsia="zh-CN"/>
        </w:rPr>
        <w:t>投标文件</w:t>
      </w:r>
      <w:r>
        <w:rPr>
          <w:rFonts w:hint="eastAsia" w:ascii="仿宋" w:hAnsi="仿宋" w:eastAsia="仿宋" w:cs="仿宋"/>
          <w:color w:val="auto"/>
          <w:sz w:val="30"/>
          <w:szCs w:val="30"/>
          <w:highlight w:val="none"/>
        </w:rPr>
        <w:t>内容均一致，</w:t>
      </w:r>
      <w:r>
        <w:rPr>
          <w:rFonts w:hint="eastAsia" w:ascii="仿宋" w:hAnsi="仿宋" w:eastAsia="仿宋" w:cs="仿宋"/>
          <w:color w:val="auto"/>
          <w:sz w:val="30"/>
          <w:szCs w:val="30"/>
          <w:highlight w:val="none"/>
          <w:lang w:eastAsia="zh-CN"/>
        </w:rPr>
        <w:t>如不一致导致的任何法律责任自负。特此承诺！</w:t>
      </w:r>
    </w:p>
    <w:p>
      <w:pPr>
        <w:spacing w:line="780" w:lineRule="exact"/>
        <w:ind w:firstLine="450" w:firstLineChars="150"/>
        <w:rPr>
          <w:rFonts w:hint="eastAsia" w:ascii="仿宋" w:hAnsi="仿宋" w:eastAsia="仿宋" w:cs="仿宋"/>
          <w:color w:val="auto"/>
          <w:sz w:val="30"/>
          <w:szCs w:val="30"/>
          <w:highlight w:val="none"/>
        </w:rPr>
      </w:pPr>
    </w:p>
    <w:p>
      <w:pPr>
        <w:spacing w:line="780" w:lineRule="exact"/>
        <w:jc w:val="both"/>
        <w:rPr>
          <w:rFonts w:hint="eastAsia" w:ascii="仿宋" w:hAnsi="仿宋" w:eastAsia="仿宋" w:cs="仿宋"/>
          <w:color w:val="auto"/>
          <w:sz w:val="30"/>
          <w:szCs w:val="30"/>
          <w:highlight w:val="none"/>
          <w:lang w:eastAsia="zh-CN"/>
        </w:rPr>
      </w:pPr>
    </w:p>
    <w:p>
      <w:pPr>
        <w:spacing w:line="780" w:lineRule="exact"/>
        <w:jc w:val="both"/>
        <w:rPr>
          <w:rFonts w:hint="eastAsia" w:ascii="仿宋" w:hAnsi="仿宋" w:eastAsia="仿宋" w:cs="仿宋"/>
          <w:color w:val="auto"/>
          <w:sz w:val="30"/>
          <w:szCs w:val="30"/>
          <w:highlight w:val="none"/>
          <w:lang w:eastAsia="zh-CN"/>
        </w:rPr>
      </w:pPr>
    </w:p>
    <w:p>
      <w:pPr>
        <w:spacing w:line="780" w:lineRule="exact"/>
        <w:jc w:val="both"/>
        <w:rPr>
          <w:rFonts w:hint="eastAsia" w:ascii="仿宋" w:hAnsi="仿宋" w:eastAsia="仿宋" w:cs="仿宋"/>
          <w:color w:val="auto"/>
          <w:sz w:val="30"/>
          <w:szCs w:val="30"/>
          <w:highlight w:val="none"/>
        </w:rPr>
      </w:pPr>
      <w:r>
        <w:rPr>
          <w:rFonts w:hint="eastAsia" w:ascii="仿宋" w:hAnsi="仿宋" w:eastAsia="仿宋" w:cs="仿宋"/>
          <w:color w:val="auto"/>
          <w:sz w:val="30"/>
          <w:szCs w:val="30"/>
          <w:highlight w:val="none"/>
          <w:lang w:eastAsia="zh-CN"/>
        </w:rPr>
        <w:t>投标人名称（盖公章）：</w:t>
      </w:r>
    </w:p>
    <w:p>
      <w:pPr>
        <w:spacing w:line="780" w:lineRule="exact"/>
        <w:ind w:firstLine="5850" w:firstLineChars="1950"/>
        <w:rPr>
          <w:rFonts w:hint="eastAsia" w:ascii="仿宋" w:hAnsi="仿宋" w:eastAsia="仿宋" w:cs="仿宋"/>
          <w:color w:val="auto"/>
          <w:sz w:val="30"/>
          <w:szCs w:val="30"/>
          <w:highlight w:val="none"/>
        </w:rPr>
      </w:pPr>
      <w:r>
        <w:rPr>
          <w:rFonts w:hint="eastAsia" w:ascii="仿宋" w:hAnsi="仿宋" w:eastAsia="仿宋" w:cs="仿宋"/>
          <w:color w:val="auto"/>
          <w:sz w:val="30"/>
          <w:szCs w:val="30"/>
          <w:highlight w:val="none"/>
        </w:rPr>
        <w:t>20</w:t>
      </w:r>
      <w:r>
        <w:rPr>
          <w:rFonts w:hint="eastAsia" w:ascii="仿宋" w:hAnsi="仿宋" w:eastAsia="仿宋" w:cs="仿宋"/>
          <w:color w:val="auto"/>
          <w:sz w:val="30"/>
          <w:szCs w:val="30"/>
          <w:highlight w:val="none"/>
          <w:lang w:val="en-US" w:eastAsia="zh-CN"/>
        </w:rPr>
        <w:t>23</w:t>
      </w:r>
      <w:r>
        <w:rPr>
          <w:rFonts w:hint="eastAsia" w:ascii="仿宋" w:hAnsi="仿宋" w:eastAsia="仿宋" w:cs="仿宋"/>
          <w:color w:val="auto"/>
          <w:sz w:val="30"/>
          <w:szCs w:val="30"/>
          <w:highlight w:val="none"/>
        </w:rPr>
        <w:t>年</w:t>
      </w:r>
      <w:r>
        <w:rPr>
          <w:rFonts w:hint="eastAsia" w:ascii="仿宋" w:hAnsi="仿宋" w:eastAsia="仿宋" w:cs="仿宋"/>
          <w:color w:val="auto"/>
          <w:sz w:val="30"/>
          <w:szCs w:val="30"/>
          <w:highlight w:val="none"/>
          <w:lang w:val="en-US" w:eastAsia="zh-CN"/>
        </w:rPr>
        <w:t xml:space="preserve">   </w:t>
      </w:r>
      <w:r>
        <w:rPr>
          <w:rFonts w:hint="eastAsia" w:ascii="仿宋" w:hAnsi="仿宋" w:eastAsia="仿宋" w:cs="仿宋"/>
          <w:color w:val="auto"/>
          <w:sz w:val="30"/>
          <w:szCs w:val="30"/>
          <w:highlight w:val="none"/>
        </w:rPr>
        <w:t>月</w:t>
      </w:r>
      <w:r>
        <w:rPr>
          <w:rFonts w:hint="eastAsia" w:ascii="仿宋" w:hAnsi="仿宋" w:eastAsia="仿宋" w:cs="仿宋"/>
          <w:color w:val="auto"/>
          <w:sz w:val="30"/>
          <w:szCs w:val="30"/>
          <w:highlight w:val="none"/>
          <w:lang w:val="en-US" w:eastAsia="zh-CN"/>
        </w:rPr>
        <w:t xml:space="preserve">   </w:t>
      </w:r>
      <w:r>
        <w:rPr>
          <w:rFonts w:hint="eastAsia" w:ascii="仿宋" w:hAnsi="仿宋" w:eastAsia="仿宋" w:cs="仿宋"/>
          <w:color w:val="auto"/>
          <w:sz w:val="30"/>
          <w:szCs w:val="30"/>
          <w:highlight w:val="none"/>
        </w:rPr>
        <w:t>日</w:t>
      </w:r>
    </w:p>
    <w:p>
      <w:pPr>
        <w:rPr>
          <w:rFonts w:hint="eastAsia" w:ascii="仿宋" w:hAnsi="仿宋" w:eastAsia="仿宋" w:cs="仿宋"/>
          <w:color w:val="auto"/>
          <w:sz w:val="30"/>
          <w:szCs w:val="30"/>
          <w:highlight w:val="none"/>
        </w:rPr>
      </w:pPr>
    </w:p>
    <w:p>
      <w:pPr>
        <w:spacing w:line="360" w:lineRule="auto"/>
        <w:rPr>
          <w:rFonts w:hint="eastAsia" w:ascii="仿宋" w:hAnsi="仿宋" w:eastAsia="仿宋" w:cs="仿宋"/>
          <w:bCs/>
          <w:color w:val="auto"/>
          <w:sz w:val="24"/>
          <w:highlight w:val="none"/>
        </w:rPr>
      </w:pPr>
    </w:p>
    <w:p>
      <w:pPr>
        <w:pStyle w:val="4"/>
        <w:rPr>
          <w:rFonts w:hint="eastAsia" w:ascii="仿宋" w:hAnsi="仿宋" w:eastAsia="仿宋" w:cs="仿宋"/>
          <w:color w:val="auto"/>
          <w:highlight w:val="none"/>
        </w:rPr>
      </w:pPr>
    </w:p>
    <w:sectPr>
      <w:pgSz w:w="11906" w:h="16838"/>
      <w:pgMar w:top="1276" w:right="1418" w:bottom="1247" w:left="1418" w:header="851" w:footer="992" w:gutter="0"/>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auto"/>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Cambria">
    <w:panose1 w:val="02040503050406030204"/>
    <w:charset w:val="00"/>
    <w:family w:val="auto"/>
    <w:pitch w:val="default"/>
    <w:sig w:usb0="E00006FF" w:usb1="420024FF" w:usb2="02000000" w:usb3="00000000" w:csb0="2000019F" w:csb1="00000000"/>
  </w:font>
  <w:font w:name="微软雅黑">
    <w:panose1 w:val="020B0503020204020204"/>
    <w:charset w:val="86"/>
    <w:family w:val="auto"/>
    <w:pitch w:val="default"/>
    <w:sig w:usb0="80000287" w:usb1="2ACF3C50" w:usb2="00000016" w:usb3="00000000" w:csb0="0004001F" w:csb1="00000000"/>
  </w:font>
  <w:font w:name="隶书">
    <w:panose1 w:val="02010509060101010101"/>
    <w:charset w:val="86"/>
    <w:family w:val="auto"/>
    <w:pitch w:val="default"/>
    <w:sig w:usb0="00000001" w:usb1="080E0000" w:usb2="00000000" w:usb3="00000000" w:csb0="00040000" w:csb1="00000000"/>
  </w:font>
  <w:font w:name="楷体_GB2312">
    <w:altName w:val="楷体"/>
    <w:panose1 w:val="02010609030101010101"/>
    <w:charset w:val="86"/>
    <w:family w:val="auto"/>
    <w:pitch w:val="default"/>
    <w:sig w:usb0="00000000" w:usb1="00000000" w:usb2="00000000" w:usb3="00000000" w:csb0="00040000" w:csb1="00000000"/>
  </w:font>
  <w:font w:name="Futura Bk">
    <w:altName w:val="Segoe Print"/>
    <w:panose1 w:val="00000000000000000000"/>
    <w:charset w:val="00"/>
    <w:family w:val="auto"/>
    <w:pitch w:val="default"/>
    <w:sig w:usb0="00000000" w:usb1="00000000" w:usb2="00000000" w:usb3="00000000" w:csb0="00000011" w:csb1="00000000"/>
  </w:font>
  <w:font w:name="Tahoma">
    <w:panose1 w:val="020B0604030504040204"/>
    <w:charset w:val="00"/>
    <w:family w:val="auto"/>
    <w:pitch w:val="default"/>
    <w:sig w:usb0="E1002EFF" w:usb1="C000605B" w:usb2="00000029" w:usb3="00000000" w:csb0="200101FF" w:csb1="20280000"/>
  </w:font>
  <w:font w:name="Lucida Sans">
    <w:panose1 w:val="020B0602030504020204"/>
    <w:charset w:val="00"/>
    <w:family w:val="auto"/>
    <w:pitch w:val="default"/>
    <w:sig w:usb0="00000003" w:usb1="00000000" w:usb2="00000000" w:usb3="00000000" w:csb0="20000001" w:csb1="00000000"/>
  </w:font>
  <w:font w:name="Verdana">
    <w:panose1 w:val="020B0604030504040204"/>
    <w:charset w:val="00"/>
    <w:family w:val="auto"/>
    <w:pitch w:val="default"/>
    <w:sig w:usb0="A00006FF" w:usb1="4000205B" w:usb2="00000010" w:usb3="00000000" w:csb0="2000019F" w:csb1="00000000"/>
  </w:font>
  <w:font w:name="幼圆">
    <w:panose1 w:val="02010509060101010101"/>
    <w:charset w:val="86"/>
    <w:family w:val="auto"/>
    <w:pitch w:val="default"/>
    <w:sig w:usb0="00000001" w:usb1="080E0000" w:usb2="00000000" w:usb3="00000000" w:csb0="00040000" w:csb1="00000000"/>
  </w:font>
  <w:font w:name="Arial Narrow">
    <w:panose1 w:val="020B0606020202030204"/>
    <w:charset w:val="00"/>
    <w:family w:val="auto"/>
    <w:pitch w:val="default"/>
    <w:sig w:usb0="00000287" w:usb1="00000800" w:usb2="00000000" w:usb3="00000000" w:csb0="2000009F" w:csb1="DFD70000"/>
  </w:font>
  <w:font w:name="FHLHE E+ Futura Bk">
    <w:altName w:val="宋体"/>
    <w:panose1 w:val="00000000000000000000"/>
    <w:charset w:val="86"/>
    <w:family w:val="auto"/>
    <w:pitch w:val="default"/>
    <w:sig w:usb0="00000000" w:usb1="00000000" w:usb2="00000010" w:usb3="00000000" w:csb0="00040000" w:csb1="00000000"/>
  </w:font>
  <w:font w:name="Arial (W1)">
    <w:altName w:val="Arial"/>
    <w:panose1 w:val="00000000000000000000"/>
    <w:charset w:val="00"/>
    <w:family w:val="auto"/>
    <w:pitch w:val="default"/>
    <w:sig w:usb0="00000000" w:usb1="00000000" w:usb2="00000008" w:usb3="00000000" w:csb0="000001FF" w:csb1="00000000"/>
  </w:font>
  <w:font w:name="Arial Unicode MS">
    <w:altName w:val="宋体"/>
    <w:panose1 w:val="020B0604020202020204"/>
    <w:charset w:val="86"/>
    <w:family w:val="auto"/>
    <w:pitch w:val="default"/>
    <w:sig w:usb0="00000000" w:usb1="00000000" w:usb2="0000003F" w:usb3="00000000" w:csb0="003F01FF" w:csb1="00000000"/>
  </w:font>
  <w:font w:name="Helvetica">
    <w:panose1 w:val="020B0504020202030204"/>
    <w:charset w:val="00"/>
    <w:family w:val="auto"/>
    <w:pitch w:val="default"/>
    <w:sig w:usb0="00000007" w:usb1="00000000" w:usb2="00000000" w:usb3="00000000" w:csb0="00000093" w:csb1="00000000"/>
  </w:font>
  <w:font w:name="Cumberland">
    <w:altName w:val="微软雅黑"/>
    <w:panose1 w:val="00000000000000000000"/>
    <w:charset w:val="00"/>
    <w:family w:val="auto"/>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auto"/>
    <w:pitch w:val="default"/>
    <w:sig w:usb0="00000000" w:usb1="00000000" w:usb2="00000000" w:usb3="00000000" w:csb0="000001FB" w:csb1="00000000"/>
  </w:font>
  <w:font w:name="Segoe UI">
    <w:panose1 w:val="020B0502040204020203"/>
    <w:charset w:val="00"/>
    <w:family w:val="auto"/>
    <w:pitch w:val="default"/>
    <w:sig w:usb0="E4002EFF" w:usb1="C000E47F" w:usb2="00000009" w:usb3="00000000" w:csb0="200001FF" w:csb1="00000000"/>
  </w:font>
  <w:font w:name="Latha">
    <w:altName w:val="Segoe Print"/>
    <w:panose1 w:val="020B0604020202020204"/>
    <w:charset w:val="00"/>
    <w:family w:val="auto"/>
    <w:pitch w:val="default"/>
    <w:sig w:usb0="00000000" w:usb1="00000000" w:usb2="00000000" w:usb3="00000000" w:csb0="00000001"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auto"/>
    <w:pitch w:val="default"/>
    <w:sig w:usb0="00000283" w:usb1="288F0000" w:usb2="00000006" w:usb3="00000000" w:csb0="00040001" w:csb1="00000000"/>
  </w:font>
  <w:font w:name="楷体">
    <w:panose1 w:val="02010609060101010101"/>
    <w:charset w:val="86"/>
    <w:family w:val="auto"/>
    <w:pitch w:val="default"/>
    <w:sig w:usb0="800002BF" w:usb1="38CF7CFA" w:usb2="00000016" w:usb3="00000000" w:csb0="00040001" w:csb1="00000000"/>
  </w:font>
  <w:font w:name="Lucida Sans Unicode">
    <w:panose1 w:val="020B0602030504020204"/>
    <w:charset w:val="00"/>
    <w:family w:val="auto"/>
    <w:pitch w:val="default"/>
    <w:sig w:usb0="80001AFF" w:usb1="0000396B" w:usb2="00000000" w:usb3="00000000" w:csb0="200000BF" w:csb1="D7F70000"/>
  </w:font>
  <w:font w:name="Century Gothic">
    <w:panose1 w:val="020B0502020202020204"/>
    <w:charset w:val="00"/>
    <w:family w:val="auto"/>
    <w:pitch w:val="default"/>
    <w:sig w:usb0="00000287" w:usb1="00000000" w:usb2="00000000" w:usb3="00000000" w:csb0="2000009F" w:csb1="DFD70000"/>
  </w:font>
  <w:font w:name="Aldine401 BT">
    <w:altName w:val="Segoe Print"/>
    <w:panose1 w:val="00000000000000000000"/>
    <w:charset w:val="00"/>
    <w:family w:val="auto"/>
    <w:pitch w:val="default"/>
    <w:sig w:usb0="00000000" w:usb1="00000000" w:usb2="00000000" w:usb3="00000000" w:csb0="00000011" w:csb1="00000000"/>
  </w:font>
  <w:font w:name=".PingFang SC">
    <w:altName w:val="微软雅黑"/>
    <w:panose1 w:val="00000000000000000000"/>
    <w:charset w:val="00"/>
    <w:family w:val="auto"/>
    <w:pitch w:val="default"/>
    <w:sig w:usb0="00000000" w:usb1="00000000" w:usb2="00000000" w:usb3="00000000" w:csb0="00040001" w:csb1="00000000"/>
  </w:font>
  <w:font w:name="华文中宋">
    <w:panose1 w:val="02010600040101010101"/>
    <w:charset w:val="86"/>
    <w:family w:val="auto"/>
    <w:pitch w:val="default"/>
    <w:sig w:usb0="00000287" w:usb1="080F0000" w:usb2="00000000" w:usb3="00000000" w:csb0="0004009F" w:csb1="DFD70000"/>
  </w:font>
  <w:font w:name="MS Sans Serif">
    <w:altName w:val="Arial"/>
    <w:panose1 w:val="020B0500000000000000"/>
    <w:charset w:val="00"/>
    <w:family w:val="auto"/>
    <w:pitch w:val="default"/>
    <w:sig w:usb0="00000000" w:usb1="00000000" w:usb2="00000000" w:usb3="00000000" w:csb0="00000001" w:csb1="00000000"/>
  </w:font>
  <w:font w:name="等线 Light">
    <w:panose1 w:val="02010600030101010101"/>
    <w:charset w:val="86"/>
    <w:family w:val="auto"/>
    <w:pitch w:val="default"/>
    <w:sig w:usb0="A00002BF" w:usb1="38CF7CFA" w:usb2="00000016" w:usb3="00000000" w:csb0="0004000F" w:csb1="00000000"/>
  </w:font>
  <w:font w:name="ˎ̥">
    <w:altName w:val="微软雅黑"/>
    <w:panose1 w:val="00000000000000000000"/>
    <w:charset w:val="00"/>
    <w:family w:val="auto"/>
    <w:pitch w:val="default"/>
    <w:sig w:usb0="00000000" w:usb1="00000000" w:usb2="00000000" w:usb3="00000000" w:csb0="00040001" w:csb1="00000000"/>
  </w:font>
  <w:font w:name="方正仿宋_GB2312">
    <w:altName w:val="仿宋"/>
    <w:panose1 w:val="02000000000000000000"/>
    <w:charset w:val="86"/>
    <w:family w:val="auto"/>
    <w:pitch w:val="default"/>
    <w:sig w:usb0="00000000" w:usb1="00000000" w:usb2="00000012" w:usb3="00000000" w:csb0="00040001"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jc w:val="both"/>
      <w:rPr>
        <w:rFonts w:ascii="仿宋_GB2312" w:eastAsia="仿宋_GB2312"/>
      </w:rPr>
    </w:pPr>
    <w:r>
      <w:rPr>
        <w:rFonts w:ascii="Times New Roman" w:hAnsi="Times New Roman" w:eastAsia="宋体" w:cs="Times New Roman"/>
        <w:kern w:val="2"/>
        <w:sz w:val="18"/>
        <w:szCs w:val="18"/>
        <w:lang w:val="en-US" w:eastAsia="zh-CN" w:bidi="ar-SA"/>
      </w:rPr>
      <w:drawing>
        <wp:inline distT="0" distB="0" distL="114300" distR="114300">
          <wp:extent cx="1943735" cy="170180"/>
          <wp:effectExtent l="0" t="0" r="12065" b="7620"/>
          <wp:docPr id="2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3"/>
                  <pic:cNvPicPr>
                    <a:picLocks noChangeAspect="1"/>
                  </pic:cNvPicPr>
                </pic:nvPicPr>
                <pic:blipFill>
                  <a:blip r:embed="rId1">
                    <a:lum/>
                  </a:blip>
                  <a:stretch>
                    <a:fillRect/>
                  </a:stretch>
                </pic:blipFill>
                <pic:spPr>
                  <a:xfrm>
                    <a:off x="0" y="0"/>
                    <a:ext cx="1943735" cy="170180"/>
                  </a:xfrm>
                  <a:prstGeom prst="rect">
                    <a:avLst/>
                  </a:prstGeom>
                  <a:noFill/>
                  <a:ln>
                    <a:noFill/>
                  </a:ln>
                </pic:spPr>
              </pic:pic>
            </a:graphicData>
          </a:graphic>
        </wp:inline>
      </w:drawing>
    </w: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23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jc w:val="both"/>
      <w:rPr>
        <w:rFonts w:ascii="仿宋_GB2312" w:eastAsia="仿宋_GB2312"/>
        <w:szCs w:val="24"/>
      </w:rPr>
    </w:pPr>
    <w:r>
      <w:rPr>
        <w:rFonts w:ascii="Times New Roman" w:hAnsi="Times New Roman" w:eastAsia="宋体" w:cs="Times New Roman"/>
        <w:kern w:val="2"/>
        <w:sz w:val="18"/>
        <w:szCs w:val="18"/>
        <w:lang w:val="en-US" w:eastAsia="zh-CN" w:bidi="ar-SA"/>
      </w:rPr>
      <w:drawing>
        <wp:inline distT="0" distB="0" distL="114300" distR="114300">
          <wp:extent cx="1943735" cy="170180"/>
          <wp:effectExtent l="0" t="0" r="12065" b="7620"/>
          <wp:docPr id="30"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6"/>
                  <pic:cNvPicPr>
                    <a:picLocks noChangeAspect="1"/>
                  </pic:cNvPicPr>
                </pic:nvPicPr>
                <pic:blipFill>
                  <a:blip r:embed="rId1">
                    <a:lum/>
                  </a:blip>
                  <a:stretch>
                    <a:fillRect/>
                  </a:stretch>
                </pic:blipFill>
                <pic:spPr>
                  <a:xfrm>
                    <a:off x="0" y="0"/>
                    <a:ext cx="1943735" cy="170180"/>
                  </a:xfrm>
                  <a:prstGeom prst="rect">
                    <a:avLst/>
                  </a:prstGeom>
                  <a:noFill/>
                  <a:ln>
                    <a:noFill/>
                  </a:ln>
                </pic:spPr>
              </pic:pic>
            </a:graphicData>
          </a:graphic>
        </wp:inline>
      </w:drawing>
    </w: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r>
      <w:rPr>
        <w:rFonts w:hint="eastAsia" w:ascii="仿宋_GB2312" w:eastAsia="仿宋_GB2312"/>
        <w:kern w:val="0"/>
        <w:szCs w:val="21"/>
      </w:rPr>
      <w:t xml:space="preserve"> 页</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framePr w:wrap="around" w:vAnchor="text" w:hAnchor="margin" w:xAlign="right" w:y="1"/>
      <w:rPr>
        <w:rStyle w:val="72"/>
      </w:rPr>
    </w:pPr>
    <w:r>
      <w:fldChar w:fldCharType="begin"/>
    </w:r>
    <w:r>
      <w:rPr>
        <w:rStyle w:val="72"/>
      </w:rPr>
      <w:instrText xml:space="preserve">PAGE  </w:instrText>
    </w:r>
    <w:r>
      <w:fldChar w:fldCharType="end"/>
    </w:r>
  </w:p>
  <w:p>
    <w:pPr>
      <w:pStyle w:val="39"/>
      <w:ind w:right="360"/>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jc w:val="both"/>
      <w:rPr>
        <w:rFonts w:ascii="仿宋_GB2312" w:eastAsia="仿宋_GB2312"/>
      </w:rPr>
    </w:pPr>
    <w:r>
      <w:rPr>
        <w:rFonts w:ascii="Times New Roman" w:hAnsi="Times New Roman" w:eastAsia="宋体" w:cs="Times New Roman"/>
        <w:kern w:val="2"/>
        <w:sz w:val="18"/>
        <w:szCs w:val="18"/>
        <w:lang w:val="en-US" w:eastAsia="zh-CN" w:bidi="ar-SA"/>
      </w:rPr>
      <w:drawing>
        <wp:inline distT="0" distB="0" distL="114300" distR="114300">
          <wp:extent cx="1943735" cy="170180"/>
          <wp:effectExtent l="0" t="0" r="12065" b="7620"/>
          <wp:docPr id="29"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5"/>
                  <pic:cNvPicPr>
                    <a:picLocks noChangeAspect="1"/>
                  </pic:cNvPicPr>
                </pic:nvPicPr>
                <pic:blipFill>
                  <a:blip r:embed="rId1">
                    <a:lum/>
                  </a:blip>
                  <a:stretch>
                    <a:fillRect/>
                  </a:stretch>
                </pic:blipFill>
                <pic:spPr>
                  <a:xfrm>
                    <a:off x="0" y="0"/>
                    <a:ext cx="1943735" cy="170180"/>
                  </a:xfrm>
                  <a:prstGeom prst="rect">
                    <a:avLst/>
                  </a:prstGeom>
                  <a:noFill/>
                  <a:ln>
                    <a:noFill/>
                  </a:ln>
                </pic:spPr>
              </pic:pic>
            </a:graphicData>
          </a:graphic>
        </wp:inline>
      </w:drawing>
    </w: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59</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bookmarkStart w:id="518" w:name="_Toc131845147"/>
    <w:bookmarkStart w:id="519" w:name="_Toc91899912"/>
    <w:bookmarkStart w:id="520" w:name="_Toc164085800"/>
    <w:bookmarkStart w:id="521" w:name="_Toc36110187"/>
    <w:r>
      <w:rPr>
        <w:rFonts w:hint="eastAsia" w:ascii="仿宋_GB2312" w:eastAsia="仿宋_GB2312"/>
        <w:kern w:val="0"/>
        <w:szCs w:val="21"/>
      </w:rPr>
      <w:t xml:space="preserve"> 页</w:t>
    </w:r>
    <w:bookmarkEnd w:id="518"/>
    <w:bookmarkEnd w:id="519"/>
    <w:bookmarkEnd w:id="520"/>
    <w:bookmarkEnd w:id="521"/>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framePr w:wrap="around" w:vAnchor="text" w:hAnchor="margin" w:xAlign="right" w:y="1"/>
      <w:rPr>
        <w:rStyle w:val="72"/>
      </w:rPr>
    </w:pPr>
    <w:r>
      <w:fldChar w:fldCharType="begin"/>
    </w:r>
    <w:r>
      <w:rPr>
        <w:rStyle w:val="72"/>
      </w:rPr>
      <w:instrText xml:space="preserve">PAGE  </w:instrText>
    </w:r>
    <w:r>
      <w:fldChar w:fldCharType="end"/>
    </w:r>
  </w:p>
  <w:p>
    <w:pPr>
      <w:pStyle w:val="39"/>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52</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r>
      <w:rPr>
        <w:rFonts w:ascii="Times New Roman" w:hAnsi="Times New Roman" w:eastAsia="宋体" w:cs="Times New Roman"/>
        <w:kern w:val="2"/>
        <w:sz w:val="18"/>
        <w:szCs w:val="24"/>
        <w:lang w:val="en-US" w:eastAsia="zh-CN" w:bidi="ar-SA"/>
      </w:rPr>
      <w:drawing>
        <wp:inline distT="0" distB="0" distL="114300" distR="114300">
          <wp:extent cx="1943735" cy="170180"/>
          <wp:effectExtent l="0" t="0" r="12065" b="7620"/>
          <wp:docPr id="24"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0"/>
                  <pic:cNvPicPr>
                    <a:picLocks noChangeAspect="1"/>
                  </pic:cNvPicPr>
                </pic:nvPicPr>
                <pic:blipFill>
                  <a:blip r:embed="rId1">
                    <a:lum/>
                  </a:blip>
                  <a:stretch>
                    <a:fillRect/>
                  </a:stretch>
                </pic:blipFill>
                <pic:spPr>
                  <a:xfrm>
                    <a:off x="0" y="0"/>
                    <a:ext cx="1943735" cy="170180"/>
                  </a:xfrm>
                  <a:prstGeom prst="rect">
                    <a:avLst/>
                  </a:prstGeom>
                  <a:noFill/>
                  <a:ln>
                    <a:noFill/>
                  </a:ln>
                </pic:spPr>
              </pic:pic>
            </a:graphicData>
          </a:graphic>
        </wp:inline>
      </w:drawing>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33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r>
      <w:rPr>
        <w:rFonts w:ascii="Times New Roman" w:hAnsi="Times New Roman" w:eastAsia="宋体" w:cs="Times New Roman"/>
        <w:kern w:val="2"/>
        <w:sz w:val="18"/>
        <w:szCs w:val="24"/>
        <w:lang w:val="en-US" w:eastAsia="zh-CN" w:bidi="ar-SA"/>
      </w:rPr>
      <w:drawing>
        <wp:inline distT="0" distB="0" distL="114300" distR="114300">
          <wp:extent cx="1943735" cy="170180"/>
          <wp:effectExtent l="0" t="0" r="12065" b="7620"/>
          <wp:docPr id="23"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9"/>
                  <pic:cNvPicPr>
                    <a:picLocks noChangeAspect="1"/>
                  </pic:cNvPicPr>
                </pic:nvPicPr>
                <pic:blipFill>
                  <a:blip r:embed="rId1">
                    <a:lum/>
                  </a:blip>
                  <a:stretch>
                    <a:fillRect/>
                  </a:stretch>
                </pic:blipFill>
                <pic:spPr>
                  <a:xfrm>
                    <a:off x="0" y="0"/>
                    <a:ext cx="1943735" cy="170180"/>
                  </a:xfrm>
                  <a:prstGeom prst="rect">
                    <a:avLst/>
                  </a:prstGeom>
                  <a:noFill/>
                  <a:ln>
                    <a:noFill/>
                  </a:ln>
                </pic:spPr>
              </pic:pic>
            </a:graphicData>
          </a:graphic>
        </wp:inline>
      </w:drawing>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r>
      <w:rPr>
        <w:rFonts w:ascii="Times New Roman" w:hAnsi="Times New Roman" w:eastAsia="宋体" w:cs="Times New Roman"/>
        <w:kern w:val="2"/>
        <w:sz w:val="18"/>
        <w:szCs w:val="24"/>
        <w:lang w:val="en-US" w:eastAsia="zh-CN" w:bidi="ar-SA"/>
      </w:rPr>
      <w:drawing>
        <wp:inline distT="0" distB="0" distL="114300" distR="114300">
          <wp:extent cx="1943735" cy="170180"/>
          <wp:effectExtent l="0" t="0" r="12065" b="7620"/>
          <wp:docPr id="26"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2"/>
                  <pic:cNvPicPr>
                    <a:picLocks noChangeAspect="1"/>
                  </pic:cNvPicPr>
                </pic:nvPicPr>
                <pic:blipFill>
                  <a:blip r:embed="rId1">
                    <a:lum/>
                  </a:blip>
                  <a:stretch>
                    <a:fillRect/>
                  </a:stretch>
                </pic:blipFill>
                <pic:spPr>
                  <a:xfrm>
                    <a:off x="0" y="0"/>
                    <a:ext cx="1943735" cy="170180"/>
                  </a:xfrm>
                  <a:prstGeom prst="rect">
                    <a:avLst/>
                  </a:prstGeom>
                  <a:noFill/>
                  <a:ln>
                    <a:noFill/>
                  </a:ln>
                </pic:spPr>
              </pic:pic>
            </a:graphicData>
          </a:graphic>
        </wp:inline>
      </w:drawing>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jc w:val="both"/>
      <w:rPr>
        <w:rFonts w:ascii="仿宋_GB2312" w:eastAsia="仿宋_GB2312"/>
      </w:rPr>
    </w:pPr>
    <w:r>
      <w:rPr>
        <w:rFonts w:ascii="Times New Roman" w:hAnsi="Times New Roman" w:eastAsia="宋体" w:cs="Times New Roman"/>
        <w:kern w:val="2"/>
        <w:sz w:val="18"/>
        <w:szCs w:val="18"/>
        <w:lang w:val="en-US" w:eastAsia="zh-CN" w:bidi="ar-SA"/>
      </w:rPr>
      <w:drawing>
        <wp:inline distT="0" distB="0" distL="114300" distR="114300">
          <wp:extent cx="1943735" cy="170180"/>
          <wp:effectExtent l="0" t="0" r="12065" b="7620"/>
          <wp:docPr id="25"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1"/>
                  <pic:cNvPicPr>
                    <a:picLocks noChangeAspect="1"/>
                  </pic:cNvPicPr>
                </pic:nvPicPr>
                <pic:blipFill>
                  <a:blip r:embed="rId1">
                    <a:lum/>
                  </a:blip>
                  <a:stretch>
                    <a:fillRect/>
                  </a:stretch>
                </pic:blipFill>
                <pic:spPr>
                  <a:xfrm>
                    <a:off x="0" y="0"/>
                    <a:ext cx="1943735" cy="170180"/>
                  </a:xfrm>
                  <a:prstGeom prst="rect">
                    <a:avLst/>
                  </a:prstGeom>
                  <a:noFill/>
                  <a:ln>
                    <a:noFill/>
                  </a:ln>
                </pic:spPr>
              </pic:pic>
            </a:graphicData>
          </a:graphic>
        </wp:inline>
      </w:drawing>
    </w: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58</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r>
      <w:rPr>
        <w:rFonts w:ascii="Times New Roman" w:hAnsi="Times New Roman" w:eastAsia="宋体" w:cs="Times New Roman"/>
        <w:kern w:val="2"/>
        <w:sz w:val="18"/>
        <w:szCs w:val="24"/>
        <w:lang w:val="en-US" w:eastAsia="zh-CN" w:bidi="ar-SA"/>
      </w:rPr>
      <w:drawing>
        <wp:inline distT="0" distB="0" distL="114300" distR="114300">
          <wp:extent cx="1943735" cy="170180"/>
          <wp:effectExtent l="0" t="0" r="12065" b="7620"/>
          <wp:docPr id="28"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4"/>
                  <pic:cNvPicPr>
                    <a:picLocks noChangeAspect="1"/>
                  </pic:cNvPicPr>
                </pic:nvPicPr>
                <pic:blipFill>
                  <a:blip r:embed="rId1">
                    <a:lum/>
                  </a:blip>
                  <a:stretch>
                    <a:fillRect/>
                  </a:stretch>
                </pic:blipFill>
                <pic:spPr>
                  <a:xfrm>
                    <a:off x="0" y="0"/>
                    <a:ext cx="1943735" cy="170180"/>
                  </a:xfrm>
                  <a:prstGeom prst="rect">
                    <a:avLst/>
                  </a:prstGeom>
                  <a:noFill/>
                  <a:ln>
                    <a:noFill/>
                  </a:ln>
                </pic:spPr>
              </pic:pic>
            </a:graphicData>
          </a:graphic>
        </wp:inline>
      </w:drawing>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jc w:val="both"/>
      <w:rPr>
        <w:rFonts w:ascii="仿宋_GB2312" w:eastAsia="仿宋_GB2312"/>
      </w:rPr>
    </w:pPr>
    <w:r>
      <w:rPr>
        <w:rFonts w:ascii="Times New Roman" w:hAnsi="Times New Roman" w:eastAsia="宋体" w:cs="Times New Roman"/>
        <w:kern w:val="2"/>
        <w:sz w:val="18"/>
        <w:szCs w:val="18"/>
        <w:lang w:val="en-US" w:eastAsia="zh-CN" w:bidi="ar-SA"/>
      </w:rPr>
      <w:drawing>
        <wp:inline distT="0" distB="0" distL="114300" distR="114300">
          <wp:extent cx="1943735" cy="170180"/>
          <wp:effectExtent l="0" t="0" r="12065" b="7620"/>
          <wp:docPr id="27"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3"/>
                  <pic:cNvPicPr>
                    <a:picLocks noChangeAspect="1"/>
                  </pic:cNvPicPr>
                </pic:nvPicPr>
                <pic:blipFill>
                  <a:blip r:embed="rId1">
                    <a:lum/>
                  </a:blip>
                  <a:stretch>
                    <a:fillRect/>
                  </a:stretch>
                </pic:blipFill>
                <pic:spPr>
                  <a:xfrm>
                    <a:off x="0" y="0"/>
                    <a:ext cx="1943735" cy="170180"/>
                  </a:xfrm>
                  <a:prstGeom prst="rect">
                    <a:avLst/>
                  </a:prstGeom>
                  <a:noFill/>
                  <a:ln>
                    <a:noFill/>
                  </a:ln>
                </pic:spPr>
              </pic:pic>
            </a:graphicData>
          </a:graphic>
        </wp:inline>
      </w:drawing>
    </w: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57</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pBdr>
        <w:bottom w:val="single" w:color="auto" w:sz="6" w:space="4"/>
      </w:pBdr>
      <w:jc w:val="right"/>
    </w:pPr>
    <w:r>
      <w:t></w:t>
    </w:r>
    <w:r>
      <w:rPr>
        <w:rFonts w:hint="eastAsia"/>
      </w:rPr>
      <w:t xml:space="preserve">             </w:t>
    </w:r>
    <w:r>
      <w:t>杭州市政府采购公开招标文件</w:t>
    </w:r>
  </w:p>
  <w:p>
    <w:pPr>
      <w:pStyle w:val="58"/>
      <w:tabs>
        <w:tab w:val="center" w:pos="4535"/>
        <w:tab w:val="right" w:pos="9070"/>
      </w:tabs>
      <w:ind w:firstLine="180" w:firstLineChars="100"/>
      <w:jc w:val="both"/>
      <w:rPr>
        <w:rFonts w:ascii="仿宋_GB2312" w:eastAsia="仿宋_GB2312"/>
        <w:b w:val="0"/>
        <w:i/>
        <w:sz w:val="18"/>
        <w:u w:val="single"/>
        <w:lang w:val="en-US"/>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pPr>
    <w:r>
      <w:t></w:t>
    </w:r>
    <w:r>
      <w:rPr>
        <w:rFonts w:hint="eastAsia"/>
      </w:rPr>
      <w:t xml:space="preserve">                                             </w:t>
    </w:r>
    <w:r>
      <w:t>杭州市政府采购公开招标文件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pBdr>
        <w:bottom w:val="single" w:color="auto" w:sz="6" w:space="0"/>
      </w:pBdr>
      <w:tabs>
        <w:tab w:val="center" w:pos="4535"/>
        <w:tab w:val="right" w:pos="9070"/>
        <w:tab w:val="clear" w:pos="4153"/>
        <w:tab w:val="clear" w:pos="8306"/>
      </w:tabs>
      <w:jc w:val="right"/>
    </w:pPr>
    <w:r>
      <w:rPr>
        <w:lang w:val="zh-CN"/>
      </w:rPr>
      <w:t></w:t>
    </w:r>
    <w:r>
      <w:tab/>
    </w:r>
    <w:r>
      <w:rPr>
        <w:lang w:val="zh-CN"/>
      </w:rPr>
      <w:t></w:t>
    </w:r>
    <w:r>
      <w:tab/>
    </w:r>
    <w:r>
      <w:rPr>
        <w:lang w:val="zh-CN"/>
      </w:rPr>
      <w:t>杭州市政府采购公开招标文件</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rPr>
        <w:rFonts w:ascii="仿宋_GB2312" w:eastAsia="仿宋_GB2312"/>
        <w:b/>
        <w:i/>
        <w:u w:val="single"/>
      </w:rPr>
    </w:pPr>
    <w:r>
      <w:t></w:t>
    </w:r>
    <w:r>
      <w:rPr>
        <w:rFonts w:hint="eastAsia"/>
      </w:rPr>
      <w:t xml:space="preserve">                                                  </w:t>
    </w:r>
    <w:r>
      <w:t xml:space="preserve">             杭州市政府采购公开招标文件</w:t>
    </w:r>
  </w:p>
  <w:p>
    <w:pPr>
      <w:rPr>
        <w:rFonts w:ascii="仿宋_GB2312" w:eastAsia="仿宋_GB2312"/>
        <w:b/>
        <w:i/>
        <w:sz w:val="18"/>
        <w:u w:val="single"/>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pPr>
    <w:r>
      <w:t></w:t>
    </w:r>
    <w:r>
      <w:rPr>
        <w:rFonts w:hint="eastAsia"/>
      </w:rPr>
      <w:t xml:space="preserve">         </w:t>
    </w:r>
  </w:p>
  <w:p>
    <w:pPr>
      <w:pStyle w:val="40"/>
    </w:pPr>
    <w:r>
      <w:rPr>
        <w:rFonts w:hint="eastAsia"/>
      </w:rPr>
      <w:t xml:space="preserve">                                                                  </w:t>
    </w:r>
    <w:r>
      <w:t>杭州市政府采购公开招标文件</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rPr>
        <w:rFonts w:ascii="仿宋_GB2312" w:eastAsia="仿宋_GB2312"/>
        <w:b/>
        <w:i/>
        <w:u w:val="single"/>
      </w:rPr>
    </w:pPr>
    <w:r>
      <w:t></w:t>
    </w:r>
    <w:r>
      <w:rPr>
        <w:rFonts w:hint="eastAsia"/>
      </w:rPr>
      <w:t xml:space="preserve">                                                  </w:t>
    </w:r>
    <w:r>
      <w:t>杭州市政府采购公开招标文件</w:t>
    </w:r>
  </w:p>
  <w:p>
    <w:pPr>
      <w:rPr>
        <w:rFonts w:ascii="仿宋_GB2312" w:eastAsia="仿宋_GB2312"/>
        <w:b/>
        <w:i/>
        <w:sz w:val="18"/>
        <w:u w:val="single"/>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right"/>
    </w:pPr>
    <w:r>
      <w:t></w:t>
    </w:r>
    <w:r>
      <w:rPr>
        <w:rFonts w:hint="eastAsia"/>
      </w:rPr>
      <w:t xml:space="preserve">                 </w:t>
    </w:r>
    <w:r>
      <w:t xml:space="preserve">                                </w:t>
    </w:r>
    <w:r>
      <w:rPr>
        <w:rFonts w:hint="eastAsia"/>
      </w:rPr>
      <w:t xml:space="preserve">         </w:t>
    </w:r>
    <w:r>
      <w:t>杭州市政府采购公开招标文件</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right"/>
      <w:rPr>
        <w:rFonts w:ascii="仿宋_GB2312" w:eastAsia="仿宋_GB2312"/>
        <w:b/>
        <w:i/>
        <w:u w:val="single"/>
      </w:rPr>
    </w:pPr>
    <w:r>
      <w:rPr>
        <w:rFonts w:hint="eastAsia"/>
      </w:rPr>
      <w:t xml:space="preserve">                                  </w:t>
    </w:r>
    <w:r>
      <w:t>杭州市政府采购公开招标文件</w:t>
    </w:r>
  </w:p>
  <w:p>
    <w:pPr>
      <w:rPr>
        <w:rFonts w:ascii="仿宋_GB2312" w:eastAsia="仿宋_GB2312"/>
        <w:b/>
        <w:i/>
        <w:sz w:val="18"/>
        <w:u w:val="single"/>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right"/>
    </w:pPr>
    <w:r>
      <w:rPr>
        <w:rFonts w:hint="eastAsia"/>
      </w:rPr>
      <w:t xml:space="preserve">                                                                                                        </w:t>
    </w:r>
    <w:r>
      <w:t>杭州市政府采购公开招标文件</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right"/>
      <w:rPr>
        <w:rFonts w:ascii="仿宋_GB2312" w:eastAsia="仿宋_GB2312"/>
        <w:b/>
        <w:i/>
        <w:iCs/>
        <w:u w:val="single"/>
      </w:rPr>
    </w:pPr>
    <w:r>
      <w:t>杭州市政府采购公开招标文件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CC85AD5"/>
    <w:multiLevelType w:val="singleLevel"/>
    <w:tmpl w:val="8CC85AD5"/>
    <w:lvl w:ilvl="0" w:tentative="0">
      <w:start w:val="1"/>
      <w:numFmt w:val="decimal"/>
      <w:suff w:val="nothing"/>
      <w:lvlText w:val="（%1）"/>
      <w:lvlJc w:val="left"/>
      <w:pPr>
        <w:ind w:left="-60"/>
      </w:pPr>
    </w:lvl>
  </w:abstractNum>
  <w:abstractNum w:abstractNumId="1">
    <w:nsid w:val="A1B665AF"/>
    <w:multiLevelType w:val="singleLevel"/>
    <w:tmpl w:val="A1B665AF"/>
    <w:lvl w:ilvl="0" w:tentative="0">
      <w:start w:val="1"/>
      <w:numFmt w:val="decimal"/>
      <w:lvlText w:val="%1."/>
      <w:lvlJc w:val="left"/>
      <w:pPr>
        <w:ind w:left="425" w:hanging="425"/>
      </w:pPr>
      <w:rPr>
        <w:rFonts w:hint="default"/>
      </w:rPr>
    </w:lvl>
  </w:abstractNum>
  <w:abstractNum w:abstractNumId="2">
    <w:nsid w:val="BA689772"/>
    <w:multiLevelType w:val="singleLevel"/>
    <w:tmpl w:val="BA689772"/>
    <w:lvl w:ilvl="0" w:tentative="0">
      <w:start w:val="2"/>
      <w:numFmt w:val="chineseCounting"/>
      <w:suff w:val="nothing"/>
      <w:lvlText w:val="%1、"/>
      <w:lvlJc w:val="left"/>
      <w:rPr>
        <w:rFonts w:hint="eastAsia"/>
      </w:rPr>
    </w:lvl>
  </w:abstractNum>
  <w:abstractNum w:abstractNumId="3">
    <w:nsid w:val="D351EF31"/>
    <w:multiLevelType w:val="singleLevel"/>
    <w:tmpl w:val="D351EF31"/>
    <w:lvl w:ilvl="0" w:tentative="0">
      <w:start w:val="1"/>
      <w:numFmt w:val="decimal"/>
      <w:suff w:val="nothing"/>
      <w:lvlText w:val="%1）"/>
      <w:lvlJc w:val="left"/>
    </w:lvl>
  </w:abstractNum>
  <w:abstractNum w:abstractNumId="4">
    <w:nsid w:val="F09FAC5F"/>
    <w:multiLevelType w:val="singleLevel"/>
    <w:tmpl w:val="F09FAC5F"/>
    <w:lvl w:ilvl="0" w:tentative="0">
      <w:start w:val="2"/>
      <w:numFmt w:val="decimal"/>
      <w:suff w:val="nothing"/>
      <w:lvlText w:val="%1、"/>
      <w:lvlJc w:val="left"/>
    </w:lvl>
  </w:abstractNum>
  <w:abstractNum w:abstractNumId="5">
    <w:nsid w:val="06FD5329"/>
    <w:multiLevelType w:val="multilevel"/>
    <w:tmpl w:val="06FD5329"/>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2DE32A1A"/>
    <w:multiLevelType w:val="multilevel"/>
    <w:tmpl w:val="2DE32A1A"/>
    <w:lvl w:ilvl="0" w:tentative="0">
      <w:start w:val="1"/>
      <w:numFmt w:val="japaneseCounting"/>
      <w:lvlText w:val="%1、"/>
      <w:lvlJc w:val="left"/>
      <w:pPr>
        <w:ind w:left="1140" w:hanging="720"/>
      </w:pPr>
      <w:rPr>
        <w:rFonts w:hint="default" w:cs="Times New Roman"/>
      </w:rPr>
    </w:lvl>
    <w:lvl w:ilvl="1" w:tentative="0">
      <w:start w:val="1"/>
      <w:numFmt w:val="decimal"/>
      <w:lvlText w:val="%2、"/>
      <w:lvlJc w:val="left"/>
      <w:pPr>
        <w:ind w:left="1140" w:hanging="720"/>
      </w:pPr>
      <w:rPr>
        <w:rFonts w:hint="default" w:cs="Times New Roman"/>
      </w:rPr>
    </w:lvl>
    <w:lvl w:ilvl="2" w:tentative="0">
      <w:start w:val="1"/>
      <w:numFmt w:val="lowerRoman"/>
      <w:lvlText w:val="%3."/>
      <w:lvlJc w:val="right"/>
      <w:pPr>
        <w:ind w:left="1260" w:hanging="420"/>
      </w:pPr>
      <w:rPr>
        <w:rFonts w:cs="Times New Roman"/>
      </w:rPr>
    </w:lvl>
    <w:lvl w:ilvl="3" w:tentative="0">
      <w:start w:val="1"/>
      <w:numFmt w:val="decimal"/>
      <w:lvlText w:val="%4."/>
      <w:lvlJc w:val="left"/>
      <w:pPr>
        <w:ind w:left="1680" w:hanging="420"/>
      </w:pPr>
      <w:rPr>
        <w:rFonts w:cs="Times New Roman"/>
      </w:rPr>
    </w:lvl>
    <w:lvl w:ilvl="4" w:tentative="0">
      <w:start w:val="1"/>
      <w:numFmt w:val="lowerLetter"/>
      <w:lvlText w:val="%5)"/>
      <w:lvlJc w:val="left"/>
      <w:pPr>
        <w:ind w:left="2100" w:hanging="420"/>
      </w:pPr>
      <w:rPr>
        <w:rFonts w:cs="Times New Roman"/>
      </w:rPr>
    </w:lvl>
    <w:lvl w:ilvl="5" w:tentative="0">
      <w:start w:val="1"/>
      <w:numFmt w:val="lowerRoman"/>
      <w:lvlText w:val="%6."/>
      <w:lvlJc w:val="right"/>
      <w:pPr>
        <w:ind w:left="2520" w:hanging="420"/>
      </w:pPr>
      <w:rPr>
        <w:rFonts w:cs="Times New Roman"/>
      </w:rPr>
    </w:lvl>
    <w:lvl w:ilvl="6" w:tentative="0">
      <w:start w:val="1"/>
      <w:numFmt w:val="decimal"/>
      <w:lvlText w:val="%7."/>
      <w:lvlJc w:val="left"/>
      <w:pPr>
        <w:ind w:left="2940" w:hanging="420"/>
      </w:pPr>
      <w:rPr>
        <w:rFonts w:cs="Times New Roman"/>
      </w:rPr>
    </w:lvl>
    <w:lvl w:ilvl="7" w:tentative="0">
      <w:start w:val="1"/>
      <w:numFmt w:val="lowerLetter"/>
      <w:lvlText w:val="%8)"/>
      <w:lvlJc w:val="left"/>
      <w:pPr>
        <w:ind w:left="3360" w:hanging="420"/>
      </w:pPr>
      <w:rPr>
        <w:rFonts w:cs="Times New Roman"/>
      </w:rPr>
    </w:lvl>
    <w:lvl w:ilvl="8" w:tentative="0">
      <w:start w:val="1"/>
      <w:numFmt w:val="lowerRoman"/>
      <w:lvlText w:val="%9."/>
      <w:lvlJc w:val="right"/>
      <w:pPr>
        <w:ind w:left="3780" w:hanging="420"/>
      </w:pPr>
      <w:rPr>
        <w:rFonts w:cs="Times New Roman"/>
      </w:rPr>
    </w:lvl>
  </w:abstractNum>
  <w:abstractNum w:abstractNumId="7">
    <w:nsid w:val="2F383E13"/>
    <w:multiLevelType w:val="multilevel"/>
    <w:tmpl w:val="2F383E13"/>
    <w:lvl w:ilvl="0" w:tentative="0">
      <w:start w:val="1"/>
      <w:numFmt w:val="decimal"/>
      <w:lvlText w:val="%1."/>
      <w:lvlJc w:val="left"/>
      <w:pPr>
        <w:tabs>
          <w:tab w:val="left" w:pos="900"/>
        </w:tabs>
        <w:ind w:left="900" w:hanging="360"/>
      </w:pPr>
      <w:rPr>
        <w:rFonts w:hint="default" w:cs="Times New Roman"/>
      </w:rPr>
    </w:lvl>
    <w:lvl w:ilvl="1" w:tentative="0">
      <w:start w:val="1"/>
      <w:numFmt w:val="lowerLetter"/>
      <w:lvlText w:val="%2)"/>
      <w:lvlJc w:val="left"/>
      <w:pPr>
        <w:tabs>
          <w:tab w:val="left" w:pos="1380"/>
        </w:tabs>
        <w:ind w:left="1380" w:hanging="420"/>
      </w:pPr>
      <w:rPr>
        <w:rFonts w:cs="Times New Roman"/>
      </w:rPr>
    </w:lvl>
    <w:lvl w:ilvl="2" w:tentative="0">
      <w:start w:val="1"/>
      <w:numFmt w:val="lowerRoman"/>
      <w:lvlText w:val="%3."/>
      <w:lvlJc w:val="right"/>
      <w:pPr>
        <w:tabs>
          <w:tab w:val="left" w:pos="1800"/>
        </w:tabs>
        <w:ind w:left="1800" w:hanging="420"/>
      </w:pPr>
      <w:rPr>
        <w:rFonts w:cs="Times New Roman"/>
      </w:rPr>
    </w:lvl>
    <w:lvl w:ilvl="3" w:tentative="0">
      <w:start w:val="1"/>
      <w:numFmt w:val="decimal"/>
      <w:lvlText w:val="%4."/>
      <w:lvlJc w:val="left"/>
      <w:pPr>
        <w:tabs>
          <w:tab w:val="left" w:pos="2220"/>
        </w:tabs>
        <w:ind w:left="2220" w:hanging="420"/>
      </w:pPr>
      <w:rPr>
        <w:rFonts w:cs="Times New Roman"/>
      </w:rPr>
    </w:lvl>
    <w:lvl w:ilvl="4" w:tentative="0">
      <w:start w:val="1"/>
      <w:numFmt w:val="lowerLetter"/>
      <w:lvlText w:val="%5)"/>
      <w:lvlJc w:val="left"/>
      <w:pPr>
        <w:tabs>
          <w:tab w:val="left" w:pos="2640"/>
        </w:tabs>
        <w:ind w:left="2640" w:hanging="420"/>
      </w:pPr>
      <w:rPr>
        <w:rFonts w:cs="Times New Roman"/>
      </w:rPr>
    </w:lvl>
    <w:lvl w:ilvl="5" w:tentative="0">
      <w:start w:val="1"/>
      <w:numFmt w:val="lowerRoman"/>
      <w:lvlText w:val="%6."/>
      <w:lvlJc w:val="right"/>
      <w:pPr>
        <w:tabs>
          <w:tab w:val="left" w:pos="3060"/>
        </w:tabs>
        <w:ind w:left="3060" w:hanging="420"/>
      </w:pPr>
      <w:rPr>
        <w:rFonts w:cs="Times New Roman"/>
      </w:rPr>
    </w:lvl>
    <w:lvl w:ilvl="6" w:tentative="0">
      <w:start w:val="1"/>
      <w:numFmt w:val="decimal"/>
      <w:lvlText w:val="%7."/>
      <w:lvlJc w:val="left"/>
      <w:pPr>
        <w:tabs>
          <w:tab w:val="left" w:pos="3480"/>
        </w:tabs>
        <w:ind w:left="3480" w:hanging="420"/>
      </w:pPr>
      <w:rPr>
        <w:rFonts w:cs="Times New Roman"/>
      </w:rPr>
    </w:lvl>
    <w:lvl w:ilvl="7" w:tentative="0">
      <w:start w:val="1"/>
      <w:numFmt w:val="lowerLetter"/>
      <w:lvlText w:val="%8)"/>
      <w:lvlJc w:val="left"/>
      <w:pPr>
        <w:tabs>
          <w:tab w:val="left" w:pos="3900"/>
        </w:tabs>
        <w:ind w:left="3900" w:hanging="420"/>
      </w:pPr>
      <w:rPr>
        <w:rFonts w:cs="Times New Roman"/>
      </w:rPr>
    </w:lvl>
    <w:lvl w:ilvl="8" w:tentative="0">
      <w:start w:val="1"/>
      <w:numFmt w:val="lowerRoman"/>
      <w:lvlText w:val="%9."/>
      <w:lvlJc w:val="right"/>
      <w:pPr>
        <w:tabs>
          <w:tab w:val="left" w:pos="4320"/>
        </w:tabs>
        <w:ind w:left="4320" w:hanging="420"/>
      </w:pPr>
      <w:rPr>
        <w:rFonts w:cs="Times New Roman"/>
      </w:rPr>
    </w:lvl>
  </w:abstractNum>
  <w:abstractNum w:abstractNumId="8">
    <w:nsid w:val="477A47CD"/>
    <w:multiLevelType w:val="multilevel"/>
    <w:tmpl w:val="477A47CD"/>
    <w:lvl w:ilvl="0" w:tentative="0">
      <w:start w:val="1"/>
      <w:numFmt w:val="decimal"/>
      <w:lvlText w:val="%1."/>
      <w:lvlJc w:val="left"/>
      <w:pPr>
        <w:ind w:left="1260" w:hanging="420"/>
      </w:pPr>
      <w:rPr>
        <w:rFonts w:cs="Times New Roman"/>
      </w:rPr>
    </w:lvl>
    <w:lvl w:ilvl="1" w:tentative="0">
      <w:start w:val="1"/>
      <w:numFmt w:val="lowerLetter"/>
      <w:lvlText w:val="%2)"/>
      <w:lvlJc w:val="left"/>
      <w:pPr>
        <w:ind w:left="1680" w:hanging="420"/>
      </w:pPr>
      <w:rPr>
        <w:rFonts w:cs="Times New Roman"/>
      </w:rPr>
    </w:lvl>
    <w:lvl w:ilvl="2" w:tentative="0">
      <w:start w:val="1"/>
      <w:numFmt w:val="lowerRoman"/>
      <w:lvlText w:val="%3."/>
      <w:lvlJc w:val="right"/>
      <w:pPr>
        <w:ind w:left="2100" w:hanging="420"/>
      </w:pPr>
      <w:rPr>
        <w:rFonts w:cs="Times New Roman"/>
      </w:rPr>
    </w:lvl>
    <w:lvl w:ilvl="3" w:tentative="0">
      <w:start w:val="1"/>
      <w:numFmt w:val="decimal"/>
      <w:lvlText w:val="%4."/>
      <w:lvlJc w:val="left"/>
      <w:pPr>
        <w:ind w:left="2520" w:hanging="420"/>
      </w:pPr>
      <w:rPr>
        <w:rFonts w:cs="Times New Roman"/>
      </w:rPr>
    </w:lvl>
    <w:lvl w:ilvl="4" w:tentative="0">
      <w:start w:val="1"/>
      <w:numFmt w:val="lowerLetter"/>
      <w:lvlText w:val="%5)"/>
      <w:lvlJc w:val="left"/>
      <w:pPr>
        <w:ind w:left="2940" w:hanging="420"/>
      </w:pPr>
      <w:rPr>
        <w:rFonts w:cs="Times New Roman"/>
      </w:rPr>
    </w:lvl>
    <w:lvl w:ilvl="5" w:tentative="0">
      <w:start w:val="1"/>
      <w:numFmt w:val="lowerRoman"/>
      <w:lvlText w:val="%6."/>
      <w:lvlJc w:val="right"/>
      <w:pPr>
        <w:ind w:left="3360" w:hanging="420"/>
      </w:pPr>
      <w:rPr>
        <w:rFonts w:cs="Times New Roman"/>
      </w:rPr>
    </w:lvl>
    <w:lvl w:ilvl="6" w:tentative="0">
      <w:start w:val="1"/>
      <w:numFmt w:val="decimal"/>
      <w:lvlText w:val="%7."/>
      <w:lvlJc w:val="left"/>
      <w:pPr>
        <w:ind w:left="3780" w:hanging="420"/>
      </w:pPr>
      <w:rPr>
        <w:rFonts w:cs="Times New Roman"/>
      </w:rPr>
    </w:lvl>
    <w:lvl w:ilvl="7" w:tentative="0">
      <w:start w:val="1"/>
      <w:numFmt w:val="lowerLetter"/>
      <w:lvlText w:val="%8)"/>
      <w:lvlJc w:val="left"/>
      <w:pPr>
        <w:ind w:left="4200" w:hanging="420"/>
      </w:pPr>
      <w:rPr>
        <w:rFonts w:cs="Times New Roman"/>
      </w:rPr>
    </w:lvl>
    <w:lvl w:ilvl="8" w:tentative="0">
      <w:start w:val="1"/>
      <w:numFmt w:val="lowerRoman"/>
      <w:lvlText w:val="%9."/>
      <w:lvlJc w:val="right"/>
      <w:pPr>
        <w:ind w:left="4620" w:hanging="420"/>
      </w:pPr>
      <w:rPr>
        <w:rFonts w:cs="Times New Roman"/>
      </w:rPr>
    </w:lvl>
  </w:abstractNum>
  <w:abstractNum w:abstractNumId="9">
    <w:nsid w:val="4A1F23E9"/>
    <w:multiLevelType w:val="singleLevel"/>
    <w:tmpl w:val="4A1F23E9"/>
    <w:lvl w:ilvl="0" w:tentative="0">
      <w:start w:val="1"/>
      <w:numFmt w:val="decimal"/>
      <w:suff w:val="nothing"/>
      <w:lvlText w:val="（%1）"/>
      <w:lvlJc w:val="left"/>
    </w:lvl>
  </w:abstractNum>
  <w:abstractNum w:abstractNumId="10">
    <w:nsid w:val="54F403B5"/>
    <w:multiLevelType w:val="singleLevel"/>
    <w:tmpl w:val="54F403B5"/>
    <w:lvl w:ilvl="0" w:tentative="0">
      <w:start w:val="1"/>
      <w:numFmt w:val="chineseCounting"/>
      <w:suff w:val="nothing"/>
      <w:lvlText w:val="%1、"/>
      <w:lvlJc w:val="left"/>
    </w:lvl>
  </w:abstractNum>
  <w:abstractNum w:abstractNumId="11">
    <w:nsid w:val="557FD3DA"/>
    <w:multiLevelType w:val="singleLevel"/>
    <w:tmpl w:val="557FD3DA"/>
    <w:lvl w:ilvl="0" w:tentative="0">
      <w:start w:val="3"/>
      <w:numFmt w:val="chineseCounting"/>
      <w:suff w:val="nothing"/>
      <w:lvlText w:val="%1、"/>
      <w:lvlJc w:val="left"/>
    </w:lvl>
  </w:abstractNum>
  <w:abstractNum w:abstractNumId="12">
    <w:nsid w:val="5FB60A33"/>
    <w:multiLevelType w:val="multilevel"/>
    <w:tmpl w:val="5FB60A33"/>
    <w:lvl w:ilvl="0" w:tentative="0">
      <w:start w:val="1"/>
      <w:numFmt w:val="decimal"/>
      <w:lvlText w:val="%1."/>
      <w:lvlJc w:val="left"/>
      <w:pPr>
        <w:tabs>
          <w:tab w:val="left" w:pos="900"/>
        </w:tabs>
        <w:ind w:left="900" w:hanging="360"/>
      </w:pPr>
      <w:rPr>
        <w:rFonts w:hint="default" w:cs="Times New Roman"/>
      </w:rPr>
    </w:lvl>
    <w:lvl w:ilvl="1" w:tentative="0">
      <w:start w:val="1"/>
      <w:numFmt w:val="lowerLetter"/>
      <w:lvlText w:val="%2)"/>
      <w:lvlJc w:val="left"/>
      <w:pPr>
        <w:tabs>
          <w:tab w:val="left" w:pos="1380"/>
        </w:tabs>
        <w:ind w:left="1380" w:hanging="420"/>
      </w:pPr>
      <w:rPr>
        <w:rFonts w:cs="Times New Roman"/>
      </w:rPr>
    </w:lvl>
    <w:lvl w:ilvl="2" w:tentative="0">
      <w:start w:val="1"/>
      <w:numFmt w:val="lowerRoman"/>
      <w:lvlText w:val="%3."/>
      <w:lvlJc w:val="right"/>
      <w:pPr>
        <w:tabs>
          <w:tab w:val="left" w:pos="1800"/>
        </w:tabs>
        <w:ind w:left="1800" w:hanging="420"/>
      </w:pPr>
      <w:rPr>
        <w:rFonts w:cs="Times New Roman"/>
      </w:rPr>
    </w:lvl>
    <w:lvl w:ilvl="3" w:tentative="0">
      <w:start w:val="1"/>
      <w:numFmt w:val="decimal"/>
      <w:lvlText w:val="%4."/>
      <w:lvlJc w:val="left"/>
      <w:pPr>
        <w:tabs>
          <w:tab w:val="left" w:pos="2220"/>
        </w:tabs>
        <w:ind w:left="2220" w:hanging="420"/>
      </w:pPr>
      <w:rPr>
        <w:rFonts w:cs="Times New Roman"/>
      </w:rPr>
    </w:lvl>
    <w:lvl w:ilvl="4" w:tentative="0">
      <w:start w:val="1"/>
      <w:numFmt w:val="lowerLetter"/>
      <w:lvlText w:val="%5)"/>
      <w:lvlJc w:val="left"/>
      <w:pPr>
        <w:tabs>
          <w:tab w:val="left" w:pos="2640"/>
        </w:tabs>
        <w:ind w:left="2640" w:hanging="420"/>
      </w:pPr>
      <w:rPr>
        <w:rFonts w:cs="Times New Roman"/>
      </w:rPr>
    </w:lvl>
    <w:lvl w:ilvl="5" w:tentative="0">
      <w:start w:val="1"/>
      <w:numFmt w:val="lowerRoman"/>
      <w:lvlText w:val="%6."/>
      <w:lvlJc w:val="right"/>
      <w:pPr>
        <w:tabs>
          <w:tab w:val="left" w:pos="3060"/>
        </w:tabs>
        <w:ind w:left="3060" w:hanging="420"/>
      </w:pPr>
      <w:rPr>
        <w:rFonts w:cs="Times New Roman"/>
      </w:rPr>
    </w:lvl>
    <w:lvl w:ilvl="6" w:tentative="0">
      <w:start w:val="1"/>
      <w:numFmt w:val="decimal"/>
      <w:lvlText w:val="%7."/>
      <w:lvlJc w:val="left"/>
      <w:pPr>
        <w:tabs>
          <w:tab w:val="left" w:pos="3480"/>
        </w:tabs>
        <w:ind w:left="3480" w:hanging="420"/>
      </w:pPr>
      <w:rPr>
        <w:rFonts w:cs="Times New Roman"/>
      </w:rPr>
    </w:lvl>
    <w:lvl w:ilvl="7" w:tentative="0">
      <w:start w:val="1"/>
      <w:numFmt w:val="lowerLetter"/>
      <w:lvlText w:val="%8)"/>
      <w:lvlJc w:val="left"/>
      <w:pPr>
        <w:tabs>
          <w:tab w:val="left" w:pos="3900"/>
        </w:tabs>
        <w:ind w:left="3900" w:hanging="420"/>
      </w:pPr>
      <w:rPr>
        <w:rFonts w:cs="Times New Roman"/>
      </w:rPr>
    </w:lvl>
    <w:lvl w:ilvl="8" w:tentative="0">
      <w:start w:val="1"/>
      <w:numFmt w:val="lowerRoman"/>
      <w:lvlText w:val="%9."/>
      <w:lvlJc w:val="right"/>
      <w:pPr>
        <w:tabs>
          <w:tab w:val="left" w:pos="4320"/>
        </w:tabs>
        <w:ind w:left="4320" w:hanging="420"/>
      </w:pPr>
      <w:rPr>
        <w:rFonts w:cs="Times New Roman"/>
      </w:rPr>
    </w:lvl>
  </w:abstractNum>
  <w:abstractNum w:abstractNumId="13">
    <w:nsid w:val="697872CD"/>
    <w:multiLevelType w:val="multilevel"/>
    <w:tmpl w:val="697872CD"/>
    <w:lvl w:ilvl="0" w:tentative="0">
      <w:start w:val="1"/>
      <w:numFmt w:val="chineseCountingThousand"/>
      <w:lvlText w:val="(%1)"/>
      <w:lvlJc w:val="left"/>
      <w:pPr>
        <w:ind w:left="971" w:hanging="420"/>
      </w:pPr>
      <w:rPr>
        <w:rFonts w:cs="Times New Roman"/>
      </w:rPr>
    </w:lvl>
    <w:lvl w:ilvl="1" w:tentative="0">
      <w:start w:val="1"/>
      <w:numFmt w:val="lowerLetter"/>
      <w:lvlText w:val="%2)"/>
      <w:lvlJc w:val="left"/>
      <w:pPr>
        <w:ind w:left="1391" w:hanging="420"/>
      </w:pPr>
      <w:rPr>
        <w:rFonts w:cs="Times New Roman"/>
      </w:rPr>
    </w:lvl>
    <w:lvl w:ilvl="2" w:tentative="0">
      <w:start w:val="1"/>
      <w:numFmt w:val="lowerRoman"/>
      <w:lvlText w:val="%3."/>
      <w:lvlJc w:val="right"/>
      <w:pPr>
        <w:ind w:left="1811" w:hanging="420"/>
      </w:pPr>
      <w:rPr>
        <w:rFonts w:cs="Times New Roman"/>
      </w:rPr>
    </w:lvl>
    <w:lvl w:ilvl="3" w:tentative="0">
      <w:start w:val="1"/>
      <w:numFmt w:val="decimal"/>
      <w:lvlText w:val="%4."/>
      <w:lvlJc w:val="left"/>
      <w:pPr>
        <w:ind w:left="2231" w:hanging="420"/>
      </w:pPr>
      <w:rPr>
        <w:rFonts w:cs="Times New Roman"/>
      </w:rPr>
    </w:lvl>
    <w:lvl w:ilvl="4" w:tentative="0">
      <w:start w:val="1"/>
      <w:numFmt w:val="lowerLetter"/>
      <w:lvlText w:val="%5)"/>
      <w:lvlJc w:val="left"/>
      <w:pPr>
        <w:ind w:left="2651" w:hanging="420"/>
      </w:pPr>
      <w:rPr>
        <w:rFonts w:cs="Times New Roman"/>
      </w:rPr>
    </w:lvl>
    <w:lvl w:ilvl="5" w:tentative="0">
      <w:start w:val="1"/>
      <w:numFmt w:val="lowerRoman"/>
      <w:lvlText w:val="%6."/>
      <w:lvlJc w:val="right"/>
      <w:pPr>
        <w:ind w:left="3071" w:hanging="420"/>
      </w:pPr>
      <w:rPr>
        <w:rFonts w:cs="Times New Roman"/>
      </w:rPr>
    </w:lvl>
    <w:lvl w:ilvl="6" w:tentative="0">
      <w:start w:val="1"/>
      <w:numFmt w:val="decimal"/>
      <w:lvlText w:val="%7."/>
      <w:lvlJc w:val="left"/>
      <w:pPr>
        <w:ind w:left="3491" w:hanging="420"/>
      </w:pPr>
      <w:rPr>
        <w:rFonts w:cs="Times New Roman"/>
      </w:rPr>
    </w:lvl>
    <w:lvl w:ilvl="7" w:tentative="0">
      <w:start w:val="1"/>
      <w:numFmt w:val="lowerLetter"/>
      <w:lvlText w:val="%8)"/>
      <w:lvlJc w:val="left"/>
      <w:pPr>
        <w:ind w:left="3911" w:hanging="420"/>
      </w:pPr>
      <w:rPr>
        <w:rFonts w:cs="Times New Roman"/>
      </w:rPr>
    </w:lvl>
    <w:lvl w:ilvl="8" w:tentative="0">
      <w:start w:val="1"/>
      <w:numFmt w:val="lowerRoman"/>
      <w:lvlText w:val="%9."/>
      <w:lvlJc w:val="right"/>
      <w:pPr>
        <w:ind w:left="4331" w:hanging="420"/>
      </w:pPr>
      <w:rPr>
        <w:rFonts w:cs="Times New Roman"/>
      </w:rPr>
    </w:lvl>
  </w:abstractNum>
  <w:abstractNum w:abstractNumId="14">
    <w:nsid w:val="6B3634A0"/>
    <w:multiLevelType w:val="multilevel"/>
    <w:tmpl w:val="6B3634A0"/>
    <w:lvl w:ilvl="0" w:tentative="0">
      <w:start w:val="1"/>
      <w:numFmt w:val="decimal"/>
      <w:lvlText w:val="%1."/>
      <w:lvlJc w:val="left"/>
      <w:pPr>
        <w:tabs>
          <w:tab w:val="left" w:pos="900"/>
        </w:tabs>
        <w:ind w:left="900" w:hanging="360"/>
      </w:pPr>
      <w:rPr>
        <w:rFonts w:hint="default" w:cs="Times New Roman"/>
      </w:rPr>
    </w:lvl>
    <w:lvl w:ilvl="1" w:tentative="0">
      <w:start w:val="1"/>
      <w:numFmt w:val="lowerLetter"/>
      <w:lvlText w:val="%2)"/>
      <w:lvlJc w:val="left"/>
      <w:pPr>
        <w:tabs>
          <w:tab w:val="left" w:pos="1380"/>
        </w:tabs>
        <w:ind w:left="1380" w:hanging="420"/>
      </w:pPr>
      <w:rPr>
        <w:rFonts w:cs="Times New Roman"/>
      </w:rPr>
    </w:lvl>
    <w:lvl w:ilvl="2" w:tentative="0">
      <w:start w:val="1"/>
      <w:numFmt w:val="lowerRoman"/>
      <w:lvlText w:val="%3."/>
      <w:lvlJc w:val="right"/>
      <w:pPr>
        <w:tabs>
          <w:tab w:val="left" w:pos="1800"/>
        </w:tabs>
        <w:ind w:left="1800" w:hanging="420"/>
      </w:pPr>
      <w:rPr>
        <w:rFonts w:cs="Times New Roman"/>
      </w:rPr>
    </w:lvl>
    <w:lvl w:ilvl="3" w:tentative="0">
      <w:start w:val="1"/>
      <w:numFmt w:val="decimal"/>
      <w:lvlText w:val="%4."/>
      <w:lvlJc w:val="left"/>
      <w:pPr>
        <w:tabs>
          <w:tab w:val="left" w:pos="2220"/>
        </w:tabs>
        <w:ind w:left="2220" w:hanging="420"/>
      </w:pPr>
      <w:rPr>
        <w:rFonts w:cs="Times New Roman"/>
      </w:rPr>
    </w:lvl>
    <w:lvl w:ilvl="4" w:tentative="0">
      <w:start w:val="1"/>
      <w:numFmt w:val="lowerLetter"/>
      <w:lvlText w:val="%5)"/>
      <w:lvlJc w:val="left"/>
      <w:pPr>
        <w:tabs>
          <w:tab w:val="left" w:pos="2640"/>
        </w:tabs>
        <w:ind w:left="2640" w:hanging="420"/>
      </w:pPr>
      <w:rPr>
        <w:rFonts w:cs="Times New Roman"/>
      </w:rPr>
    </w:lvl>
    <w:lvl w:ilvl="5" w:tentative="0">
      <w:start w:val="1"/>
      <w:numFmt w:val="lowerRoman"/>
      <w:lvlText w:val="%6."/>
      <w:lvlJc w:val="right"/>
      <w:pPr>
        <w:tabs>
          <w:tab w:val="left" w:pos="3060"/>
        </w:tabs>
        <w:ind w:left="3060" w:hanging="420"/>
      </w:pPr>
      <w:rPr>
        <w:rFonts w:cs="Times New Roman"/>
      </w:rPr>
    </w:lvl>
    <w:lvl w:ilvl="6" w:tentative="0">
      <w:start w:val="1"/>
      <w:numFmt w:val="decimal"/>
      <w:lvlText w:val="%7."/>
      <w:lvlJc w:val="left"/>
      <w:pPr>
        <w:tabs>
          <w:tab w:val="left" w:pos="3480"/>
        </w:tabs>
        <w:ind w:left="3480" w:hanging="420"/>
      </w:pPr>
      <w:rPr>
        <w:rFonts w:cs="Times New Roman"/>
      </w:rPr>
    </w:lvl>
    <w:lvl w:ilvl="7" w:tentative="0">
      <w:start w:val="1"/>
      <w:numFmt w:val="lowerLetter"/>
      <w:lvlText w:val="%8)"/>
      <w:lvlJc w:val="left"/>
      <w:pPr>
        <w:tabs>
          <w:tab w:val="left" w:pos="3900"/>
        </w:tabs>
        <w:ind w:left="3900" w:hanging="420"/>
      </w:pPr>
      <w:rPr>
        <w:rFonts w:cs="Times New Roman"/>
      </w:rPr>
    </w:lvl>
    <w:lvl w:ilvl="8" w:tentative="0">
      <w:start w:val="1"/>
      <w:numFmt w:val="lowerRoman"/>
      <w:lvlText w:val="%9."/>
      <w:lvlJc w:val="right"/>
      <w:pPr>
        <w:tabs>
          <w:tab w:val="left" w:pos="4320"/>
        </w:tabs>
        <w:ind w:left="4320" w:hanging="420"/>
      </w:pPr>
      <w:rPr>
        <w:rFonts w:cs="Times New Roman"/>
      </w:rPr>
    </w:lvl>
  </w:abstractNum>
  <w:abstractNum w:abstractNumId="15">
    <w:nsid w:val="7623F645"/>
    <w:multiLevelType w:val="singleLevel"/>
    <w:tmpl w:val="7623F645"/>
    <w:lvl w:ilvl="0" w:tentative="0">
      <w:start w:val="1"/>
      <w:numFmt w:val="decimal"/>
      <w:suff w:val="nothing"/>
      <w:lvlText w:val="%1）"/>
      <w:lvlJc w:val="left"/>
    </w:lvl>
  </w:abstractNum>
  <w:num w:numId="1">
    <w:abstractNumId w:val="9"/>
  </w:num>
  <w:num w:numId="2">
    <w:abstractNumId w:val="2"/>
  </w:num>
  <w:num w:numId="3">
    <w:abstractNumId w:val="15"/>
  </w:num>
  <w:num w:numId="4">
    <w:abstractNumId w:val="4"/>
  </w:num>
  <w:num w:numId="5">
    <w:abstractNumId w:val="0"/>
  </w:num>
  <w:num w:numId="6">
    <w:abstractNumId w:val="5"/>
  </w:num>
  <w:num w:numId="7">
    <w:abstractNumId w:val="6"/>
  </w:num>
  <w:num w:numId="8">
    <w:abstractNumId w:val="12"/>
  </w:num>
  <w:num w:numId="9">
    <w:abstractNumId w:val="1"/>
  </w:num>
  <w:num w:numId="10">
    <w:abstractNumId w:val="7"/>
  </w:num>
  <w:num w:numId="11">
    <w:abstractNumId w:val="13"/>
  </w:num>
  <w:num w:numId="12">
    <w:abstractNumId w:val="14"/>
  </w:num>
  <w:num w:numId="13">
    <w:abstractNumId w:val="8"/>
  </w:num>
  <w:num w:numId="14">
    <w:abstractNumId w:val="3"/>
  </w:num>
  <w:num w:numId="15">
    <w:abstractNumId w:val="10"/>
  </w:num>
  <w:num w:numId="1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mNiYjI4YWIxMmYxYTAyYmEyNDE2OTY4ZDAyNDEzNTYifQ=="/>
  </w:docVars>
  <w:rsids>
    <w:rsidRoot w:val="00172A27"/>
    <w:rsid w:val="00000451"/>
    <w:rsid w:val="0000108B"/>
    <w:rsid w:val="0000133D"/>
    <w:rsid w:val="00001509"/>
    <w:rsid w:val="00001E3F"/>
    <w:rsid w:val="000032B2"/>
    <w:rsid w:val="0000363B"/>
    <w:rsid w:val="000058BD"/>
    <w:rsid w:val="00006109"/>
    <w:rsid w:val="00006150"/>
    <w:rsid w:val="000063E8"/>
    <w:rsid w:val="00006725"/>
    <w:rsid w:val="0000675E"/>
    <w:rsid w:val="000071E3"/>
    <w:rsid w:val="00007CAA"/>
    <w:rsid w:val="00010FE9"/>
    <w:rsid w:val="0001122F"/>
    <w:rsid w:val="00011A4B"/>
    <w:rsid w:val="00012251"/>
    <w:rsid w:val="00012B4A"/>
    <w:rsid w:val="0001337C"/>
    <w:rsid w:val="000138C4"/>
    <w:rsid w:val="00013C1F"/>
    <w:rsid w:val="00013F31"/>
    <w:rsid w:val="000140D8"/>
    <w:rsid w:val="00014530"/>
    <w:rsid w:val="00014BBC"/>
    <w:rsid w:val="000150EE"/>
    <w:rsid w:val="000168D8"/>
    <w:rsid w:val="000170C8"/>
    <w:rsid w:val="000173F4"/>
    <w:rsid w:val="00020287"/>
    <w:rsid w:val="000202FE"/>
    <w:rsid w:val="00020B5F"/>
    <w:rsid w:val="000211BC"/>
    <w:rsid w:val="0002207B"/>
    <w:rsid w:val="000232FD"/>
    <w:rsid w:val="00023323"/>
    <w:rsid w:val="000233E4"/>
    <w:rsid w:val="00023495"/>
    <w:rsid w:val="00023777"/>
    <w:rsid w:val="00024130"/>
    <w:rsid w:val="00024584"/>
    <w:rsid w:val="00024962"/>
    <w:rsid w:val="000249AA"/>
    <w:rsid w:val="00025350"/>
    <w:rsid w:val="000253E5"/>
    <w:rsid w:val="00025776"/>
    <w:rsid w:val="00026EAC"/>
    <w:rsid w:val="000270F2"/>
    <w:rsid w:val="00027540"/>
    <w:rsid w:val="00030572"/>
    <w:rsid w:val="00030A97"/>
    <w:rsid w:val="00030CB3"/>
    <w:rsid w:val="0003206A"/>
    <w:rsid w:val="000326A7"/>
    <w:rsid w:val="00032EA0"/>
    <w:rsid w:val="000331B0"/>
    <w:rsid w:val="000336D4"/>
    <w:rsid w:val="00034FA7"/>
    <w:rsid w:val="0003533D"/>
    <w:rsid w:val="000357E4"/>
    <w:rsid w:val="00035ACA"/>
    <w:rsid w:val="00040447"/>
    <w:rsid w:val="00040494"/>
    <w:rsid w:val="00040B70"/>
    <w:rsid w:val="00042441"/>
    <w:rsid w:val="00042533"/>
    <w:rsid w:val="00042DBB"/>
    <w:rsid w:val="00042E65"/>
    <w:rsid w:val="0004347C"/>
    <w:rsid w:val="00043907"/>
    <w:rsid w:val="00044F48"/>
    <w:rsid w:val="00047354"/>
    <w:rsid w:val="00050656"/>
    <w:rsid w:val="00050A19"/>
    <w:rsid w:val="000511B6"/>
    <w:rsid w:val="00051B00"/>
    <w:rsid w:val="00051C72"/>
    <w:rsid w:val="00052192"/>
    <w:rsid w:val="0005238F"/>
    <w:rsid w:val="00052787"/>
    <w:rsid w:val="00052BB8"/>
    <w:rsid w:val="0005417A"/>
    <w:rsid w:val="00054D39"/>
    <w:rsid w:val="0005501B"/>
    <w:rsid w:val="000550F5"/>
    <w:rsid w:val="00055337"/>
    <w:rsid w:val="000554C7"/>
    <w:rsid w:val="000559B0"/>
    <w:rsid w:val="00056145"/>
    <w:rsid w:val="00056402"/>
    <w:rsid w:val="00056791"/>
    <w:rsid w:val="00056868"/>
    <w:rsid w:val="00056876"/>
    <w:rsid w:val="000568DF"/>
    <w:rsid w:val="000578A3"/>
    <w:rsid w:val="00057D4C"/>
    <w:rsid w:val="00060C48"/>
    <w:rsid w:val="00061A3C"/>
    <w:rsid w:val="00061C48"/>
    <w:rsid w:val="00064278"/>
    <w:rsid w:val="000646CA"/>
    <w:rsid w:val="000665C4"/>
    <w:rsid w:val="00066965"/>
    <w:rsid w:val="00067821"/>
    <w:rsid w:val="0006785E"/>
    <w:rsid w:val="00067AFB"/>
    <w:rsid w:val="00067F92"/>
    <w:rsid w:val="00067FA7"/>
    <w:rsid w:val="0007038E"/>
    <w:rsid w:val="0007077C"/>
    <w:rsid w:val="00070825"/>
    <w:rsid w:val="00071CD8"/>
    <w:rsid w:val="00071DB2"/>
    <w:rsid w:val="00072AED"/>
    <w:rsid w:val="00072B56"/>
    <w:rsid w:val="00072D2B"/>
    <w:rsid w:val="00072D51"/>
    <w:rsid w:val="000730B1"/>
    <w:rsid w:val="00073860"/>
    <w:rsid w:val="000738EA"/>
    <w:rsid w:val="00074078"/>
    <w:rsid w:val="00075B15"/>
    <w:rsid w:val="00075D0E"/>
    <w:rsid w:val="00075F6A"/>
    <w:rsid w:val="00076159"/>
    <w:rsid w:val="0007616C"/>
    <w:rsid w:val="000763B5"/>
    <w:rsid w:val="000763F3"/>
    <w:rsid w:val="000766D2"/>
    <w:rsid w:val="00076801"/>
    <w:rsid w:val="00077577"/>
    <w:rsid w:val="00077607"/>
    <w:rsid w:val="00077756"/>
    <w:rsid w:val="00077B7F"/>
    <w:rsid w:val="000808C1"/>
    <w:rsid w:val="00080970"/>
    <w:rsid w:val="00081671"/>
    <w:rsid w:val="00082AD4"/>
    <w:rsid w:val="00083E07"/>
    <w:rsid w:val="00084A3E"/>
    <w:rsid w:val="00084D27"/>
    <w:rsid w:val="00084ED6"/>
    <w:rsid w:val="0008580E"/>
    <w:rsid w:val="00085A0E"/>
    <w:rsid w:val="00085C4F"/>
    <w:rsid w:val="00086EFD"/>
    <w:rsid w:val="00086F8A"/>
    <w:rsid w:val="00087031"/>
    <w:rsid w:val="00090243"/>
    <w:rsid w:val="000904F6"/>
    <w:rsid w:val="00090918"/>
    <w:rsid w:val="00090ED8"/>
    <w:rsid w:val="00090F9F"/>
    <w:rsid w:val="0009145F"/>
    <w:rsid w:val="0009184E"/>
    <w:rsid w:val="00091B4E"/>
    <w:rsid w:val="00092467"/>
    <w:rsid w:val="00092FE9"/>
    <w:rsid w:val="000936BF"/>
    <w:rsid w:val="0009382F"/>
    <w:rsid w:val="00093A30"/>
    <w:rsid w:val="00094342"/>
    <w:rsid w:val="000945BA"/>
    <w:rsid w:val="00095954"/>
    <w:rsid w:val="000960BA"/>
    <w:rsid w:val="0009662A"/>
    <w:rsid w:val="0009690D"/>
    <w:rsid w:val="00096DFF"/>
    <w:rsid w:val="00097CDB"/>
    <w:rsid w:val="000A0729"/>
    <w:rsid w:val="000A0E69"/>
    <w:rsid w:val="000A1A52"/>
    <w:rsid w:val="000A1F98"/>
    <w:rsid w:val="000A3D58"/>
    <w:rsid w:val="000A3FE3"/>
    <w:rsid w:val="000A47B0"/>
    <w:rsid w:val="000A4851"/>
    <w:rsid w:val="000A49BB"/>
    <w:rsid w:val="000A4F22"/>
    <w:rsid w:val="000A5674"/>
    <w:rsid w:val="000A5A46"/>
    <w:rsid w:val="000A7299"/>
    <w:rsid w:val="000A752E"/>
    <w:rsid w:val="000B0E04"/>
    <w:rsid w:val="000B1D51"/>
    <w:rsid w:val="000B268D"/>
    <w:rsid w:val="000B291B"/>
    <w:rsid w:val="000B456C"/>
    <w:rsid w:val="000B45B9"/>
    <w:rsid w:val="000B47CE"/>
    <w:rsid w:val="000B4B56"/>
    <w:rsid w:val="000B4C62"/>
    <w:rsid w:val="000B541D"/>
    <w:rsid w:val="000B54C1"/>
    <w:rsid w:val="000B5553"/>
    <w:rsid w:val="000B5FE8"/>
    <w:rsid w:val="000B666E"/>
    <w:rsid w:val="000C0A43"/>
    <w:rsid w:val="000C0CB1"/>
    <w:rsid w:val="000C1411"/>
    <w:rsid w:val="000C1ADE"/>
    <w:rsid w:val="000C1C38"/>
    <w:rsid w:val="000C21DC"/>
    <w:rsid w:val="000C2264"/>
    <w:rsid w:val="000C256B"/>
    <w:rsid w:val="000C3970"/>
    <w:rsid w:val="000C3B1A"/>
    <w:rsid w:val="000C4727"/>
    <w:rsid w:val="000C47AE"/>
    <w:rsid w:val="000C51AD"/>
    <w:rsid w:val="000C5374"/>
    <w:rsid w:val="000C5EC0"/>
    <w:rsid w:val="000C6162"/>
    <w:rsid w:val="000C64CC"/>
    <w:rsid w:val="000C6688"/>
    <w:rsid w:val="000C692E"/>
    <w:rsid w:val="000C6B28"/>
    <w:rsid w:val="000C7BEB"/>
    <w:rsid w:val="000D0124"/>
    <w:rsid w:val="000D11E5"/>
    <w:rsid w:val="000D19E8"/>
    <w:rsid w:val="000D1FA1"/>
    <w:rsid w:val="000D2834"/>
    <w:rsid w:val="000D2CAC"/>
    <w:rsid w:val="000D34C8"/>
    <w:rsid w:val="000D34FD"/>
    <w:rsid w:val="000D3BE5"/>
    <w:rsid w:val="000D3C37"/>
    <w:rsid w:val="000D453A"/>
    <w:rsid w:val="000D4AFA"/>
    <w:rsid w:val="000D5EA6"/>
    <w:rsid w:val="000D5F00"/>
    <w:rsid w:val="000D6C9F"/>
    <w:rsid w:val="000D6E3B"/>
    <w:rsid w:val="000D6F30"/>
    <w:rsid w:val="000D74E4"/>
    <w:rsid w:val="000D7C9D"/>
    <w:rsid w:val="000D7CE0"/>
    <w:rsid w:val="000E2785"/>
    <w:rsid w:val="000E27BB"/>
    <w:rsid w:val="000E3153"/>
    <w:rsid w:val="000E3484"/>
    <w:rsid w:val="000E386F"/>
    <w:rsid w:val="000E4051"/>
    <w:rsid w:val="000E4139"/>
    <w:rsid w:val="000E4765"/>
    <w:rsid w:val="000E5B51"/>
    <w:rsid w:val="000E5B7E"/>
    <w:rsid w:val="000E5FF9"/>
    <w:rsid w:val="000E6AE1"/>
    <w:rsid w:val="000E7142"/>
    <w:rsid w:val="000E7632"/>
    <w:rsid w:val="000E7737"/>
    <w:rsid w:val="000E7739"/>
    <w:rsid w:val="000E77EE"/>
    <w:rsid w:val="000F1604"/>
    <w:rsid w:val="000F287A"/>
    <w:rsid w:val="000F2940"/>
    <w:rsid w:val="000F2AB3"/>
    <w:rsid w:val="000F3D08"/>
    <w:rsid w:val="000F4495"/>
    <w:rsid w:val="000F4A05"/>
    <w:rsid w:val="000F4AA8"/>
    <w:rsid w:val="000F4AEA"/>
    <w:rsid w:val="000F4E67"/>
    <w:rsid w:val="000F505B"/>
    <w:rsid w:val="000F5651"/>
    <w:rsid w:val="000F5677"/>
    <w:rsid w:val="000F5DDB"/>
    <w:rsid w:val="000F628E"/>
    <w:rsid w:val="000F68A0"/>
    <w:rsid w:val="000F6CC2"/>
    <w:rsid w:val="000F729C"/>
    <w:rsid w:val="000F7D4B"/>
    <w:rsid w:val="0010118C"/>
    <w:rsid w:val="0010125E"/>
    <w:rsid w:val="001015F8"/>
    <w:rsid w:val="00101967"/>
    <w:rsid w:val="00103251"/>
    <w:rsid w:val="00103509"/>
    <w:rsid w:val="0010393D"/>
    <w:rsid w:val="00103EBD"/>
    <w:rsid w:val="00104699"/>
    <w:rsid w:val="00104E5B"/>
    <w:rsid w:val="00104EEC"/>
    <w:rsid w:val="001050DC"/>
    <w:rsid w:val="00105482"/>
    <w:rsid w:val="001056A5"/>
    <w:rsid w:val="00105BA9"/>
    <w:rsid w:val="00105FE1"/>
    <w:rsid w:val="00106AAA"/>
    <w:rsid w:val="00106E0E"/>
    <w:rsid w:val="001078A5"/>
    <w:rsid w:val="00107BBD"/>
    <w:rsid w:val="00107BC7"/>
    <w:rsid w:val="00110033"/>
    <w:rsid w:val="001102B5"/>
    <w:rsid w:val="00110F57"/>
    <w:rsid w:val="00111993"/>
    <w:rsid w:val="00111C7D"/>
    <w:rsid w:val="00112038"/>
    <w:rsid w:val="001127FF"/>
    <w:rsid w:val="00112B0B"/>
    <w:rsid w:val="00112EB5"/>
    <w:rsid w:val="0011383E"/>
    <w:rsid w:val="00113EE3"/>
    <w:rsid w:val="00114847"/>
    <w:rsid w:val="0011585B"/>
    <w:rsid w:val="00115B1A"/>
    <w:rsid w:val="001160FF"/>
    <w:rsid w:val="001164F4"/>
    <w:rsid w:val="001168F8"/>
    <w:rsid w:val="001176FF"/>
    <w:rsid w:val="0012153F"/>
    <w:rsid w:val="0012159D"/>
    <w:rsid w:val="00121804"/>
    <w:rsid w:val="00121EC9"/>
    <w:rsid w:val="001224FE"/>
    <w:rsid w:val="001231D3"/>
    <w:rsid w:val="001232A7"/>
    <w:rsid w:val="00123F7C"/>
    <w:rsid w:val="0012419E"/>
    <w:rsid w:val="001248EF"/>
    <w:rsid w:val="00124AC0"/>
    <w:rsid w:val="00124FC4"/>
    <w:rsid w:val="001253AB"/>
    <w:rsid w:val="0012574C"/>
    <w:rsid w:val="001259B8"/>
    <w:rsid w:val="001264B9"/>
    <w:rsid w:val="0012693E"/>
    <w:rsid w:val="00126A3A"/>
    <w:rsid w:val="00127060"/>
    <w:rsid w:val="00127B83"/>
    <w:rsid w:val="0013116E"/>
    <w:rsid w:val="00131C2D"/>
    <w:rsid w:val="0013202C"/>
    <w:rsid w:val="00132704"/>
    <w:rsid w:val="00132CBF"/>
    <w:rsid w:val="00133707"/>
    <w:rsid w:val="00133742"/>
    <w:rsid w:val="00133B70"/>
    <w:rsid w:val="00133E97"/>
    <w:rsid w:val="001350F7"/>
    <w:rsid w:val="00135769"/>
    <w:rsid w:val="00135BE9"/>
    <w:rsid w:val="00135E5C"/>
    <w:rsid w:val="00136762"/>
    <w:rsid w:val="00136E33"/>
    <w:rsid w:val="0013773D"/>
    <w:rsid w:val="0014042F"/>
    <w:rsid w:val="00140693"/>
    <w:rsid w:val="00140D7A"/>
    <w:rsid w:val="00141D28"/>
    <w:rsid w:val="00141DFE"/>
    <w:rsid w:val="00142185"/>
    <w:rsid w:val="001422E2"/>
    <w:rsid w:val="001433BC"/>
    <w:rsid w:val="00143872"/>
    <w:rsid w:val="00143A85"/>
    <w:rsid w:val="00144649"/>
    <w:rsid w:val="00145022"/>
    <w:rsid w:val="00145662"/>
    <w:rsid w:val="00145C6D"/>
    <w:rsid w:val="001460FC"/>
    <w:rsid w:val="00146151"/>
    <w:rsid w:val="00146326"/>
    <w:rsid w:val="00147032"/>
    <w:rsid w:val="00147EA7"/>
    <w:rsid w:val="00151820"/>
    <w:rsid w:val="00151B2F"/>
    <w:rsid w:val="001524DC"/>
    <w:rsid w:val="001525E5"/>
    <w:rsid w:val="00153859"/>
    <w:rsid w:val="00153915"/>
    <w:rsid w:val="001539F0"/>
    <w:rsid w:val="00154BBA"/>
    <w:rsid w:val="00155B95"/>
    <w:rsid w:val="00156853"/>
    <w:rsid w:val="00157432"/>
    <w:rsid w:val="00160A84"/>
    <w:rsid w:val="00161185"/>
    <w:rsid w:val="001620BA"/>
    <w:rsid w:val="001623AC"/>
    <w:rsid w:val="00162BAA"/>
    <w:rsid w:val="00163C40"/>
    <w:rsid w:val="0016470A"/>
    <w:rsid w:val="0016488B"/>
    <w:rsid w:val="00165758"/>
    <w:rsid w:val="00165A65"/>
    <w:rsid w:val="00166317"/>
    <w:rsid w:val="00167478"/>
    <w:rsid w:val="00167594"/>
    <w:rsid w:val="001702BE"/>
    <w:rsid w:val="001704B3"/>
    <w:rsid w:val="0017059C"/>
    <w:rsid w:val="0017105C"/>
    <w:rsid w:val="00171622"/>
    <w:rsid w:val="00171785"/>
    <w:rsid w:val="00171AB5"/>
    <w:rsid w:val="0017204F"/>
    <w:rsid w:val="001721CF"/>
    <w:rsid w:val="001728FD"/>
    <w:rsid w:val="00172A20"/>
    <w:rsid w:val="00172A27"/>
    <w:rsid w:val="00172F02"/>
    <w:rsid w:val="00172F2D"/>
    <w:rsid w:val="00173631"/>
    <w:rsid w:val="0017372D"/>
    <w:rsid w:val="00173826"/>
    <w:rsid w:val="00173C58"/>
    <w:rsid w:val="00173E59"/>
    <w:rsid w:val="001741DC"/>
    <w:rsid w:val="00174C4F"/>
    <w:rsid w:val="00174F57"/>
    <w:rsid w:val="00175078"/>
    <w:rsid w:val="001755DC"/>
    <w:rsid w:val="00176AA6"/>
    <w:rsid w:val="00177063"/>
    <w:rsid w:val="00180A47"/>
    <w:rsid w:val="00181025"/>
    <w:rsid w:val="001827B7"/>
    <w:rsid w:val="001827EF"/>
    <w:rsid w:val="00182982"/>
    <w:rsid w:val="001829BC"/>
    <w:rsid w:val="00182D68"/>
    <w:rsid w:val="00183031"/>
    <w:rsid w:val="00183468"/>
    <w:rsid w:val="0018397E"/>
    <w:rsid w:val="00184466"/>
    <w:rsid w:val="00184DBF"/>
    <w:rsid w:val="001852A8"/>
    <w:rsid w:val="0018620A"/>
    <w:rsid w:val="00186EB0"/>
    <w:rsid w:val="00187121"/>
    <w:rsid w:val="00187243"/>
    <w:rsid w:val="00187C29"/>
    <w:rsid w:val="00190782"/>
    <w:rsid w:val="00190942"/>
    <w:rsid w:val="001909A7"/>
    <w:rsid w:val="001909C3"/>
    <w:rsid w:val="00191459"/>
    <w:rsid w:val="00191603"/>
    <w:rsid w:val="0019173E"/>
    <w:rsid w:val="0019174E"/>
    <w:rsid w:val="0019196B"/>
    <w:rsid w:val="001923D5"/>
    <w:rsid w:val="00192991"/>
    <w:rsid w:val="00193470"/>
    <w:rsid w:val="00193B94"/>
    <w:rsid w:val="001940A7"/>
    <w:rsid w:val="00194BB1"/>
    <w:rsid w:val="00194BC6"/>
    <w:rsid w:val="00194DE5"/>
    <w:rsid w:val="00195070"/>
    <w:rsid w:val="00195245"/>
    <w:rsid w:val="0019526D"/>
    <w:rsid w:val="0019553F"/>
    <w:rsid w:val="001956BE"/>
    <w:rsid w:val="0019602C"/>
    <w:rsid w:val="001969F2"/>
    <w:rsid w:val="00196CD6"/>
    <w:rsid w:val="0019756A"/>
    <w:rsid w:val="001A06B5"/>
    <w:rsid w:val="001A07F8"/>
    <w:rsid w:val="001A0A23"/>
    <w:rsid w:val="001A0C98"/>
    <w:rsid w:val="001A128B"/>
    <w:rsid w:val="001A1475"/>
    <w:rsid w:val="001A1619"/>
    <w:rsid w:val="001A1F0E"/>
    <w:rsid w:val="001A3335"/>
    <w:rsid w:val="001A473A"/>
    <w:rsid w:val="001A4977"/>
    <w:rsid w:val="001A4ED9"/>
    <w:rsid w:val="001A5785"/>
    <w:rsid w:val="001A5FD7"/>
    <w:rsid w:val="001A66A6"/>
    <w:rsid w:val="001A6BAF"/>
    <w:rsid w:val="001A6BBB"/>
    <w:rsid w:val="001A79A2"/>
    <w:rsid w:val="001A7F98"/>
    <w:rsid w:val="001B06A6"/>
    <w:rsid w:val="001B13BF"/>
    <w:rsid w:val="001B16F5"/>
    <w:rsid w:val="001B1C1F"/>
    <w:rsid w:val="001B219B"/>
    <w:rsid w:val="001B2703"/>
    <w:rsid w:val="001B3DCD"/>
    <w:rsid w:val="001B45B9"/>
    <w:rsid w:val="001B46B2"/>
    <w:rsid w:val="001B4725"/>
    <w:rsid w:val="001B48B2"/>
    <w:rsid w:val="001B49DA"/>
    <w:rsid w:val="001B4CA8"/>
    <w:rsid w:val="001B572D"/>
    <w:rsid w:val="001B576E"/>
    <w:rsid w:val="001B5B10"/>
    <w:rsid w:val="001B6025"/>
    <w:rsid w:val="001B6D58"/>
    <w:rsid w:val="001B6FA7"/>
    <w:rsid w:val="001B7A15"/>
    <w:rsid w:val="001B7B69"/>
    <w:rsid w:val="001B7DC1"/>
    <w:rsid w:val="001C08DB"/>
    <w:rsid w:val="001C10BD"/>
    <w:rsid w:val="001C1F01"/>
    <w:rsid w:val="001C2092"/>
    <w:rsid w:val="001C232F"/>
    <w:rsid w:val="001C2544"/>
    <w:rsid w:val="001C2A17"/>
    <w:rsid w:val="001C31F5"/>
    <w:rsid w:val="001C35BF"/>
    <w:rsid w:val="001C6047"/>
    <w:rsid w:val="001C6698"/>
    <w:rsid w:val="001C6C5B"/>
    <w:rsid w:val="001C7399"/>
    <w:rsid w:val="001C7CE0"/>
    <w:rsid w:val="001D005B"/>
    <w:rsid w:val="001D0947"/>
    <w:rsid w:val="001D16F5"/>
    <w:rsid w:val="001D1970"/>
    <w:rsid w:val="001D1D55"/>
    <w:rsid w:val="001D21EF"/>
    <w:rsid w:val="001D29A4"/>
    <w:rsid w:val="001D2B73"/>
    <w:rsid w:val="001D3136"/>
    <w:rsid w:val="001D330D"/>
    <w:rsid w:val="001D4AB6"/>
    <w:rsid w:val="001D4AD3"/>
    <w:rsid w:val="001D5281"/>
    <w:rsid w:val="001E0F77"/>
    <w:rsid w:val="001E17E3"/>
    <w:rsid w:val="001E2052"/>
    <w:rsid w:val="001E2492"/>
    <w:rsid w:val="001E257C"/>
    <w:rsid w:val="001E286C"/>
    <w:rsid w:val="001E2F34"/>
    <w:rsid w:val="001E35EE"/>
    <w:rsid w:val="001E4B2C"/>
    <w:rsid w:val="001E507F"/>
    <w:rsid w:val="001E56C2"/>
    <w:rsid w:val="001E59FB"/>
    <w:rsid w:val="001E7F81"/>
    <w:rsid w:val="001F0FD1"/>
    <w:rsid w:val="001F1526"/>
    <w:rsid w:val="001F19D1"/>
    <w:rsid w:val="001F1CB9"/>
    <w:rsid w:val="001F1F18"/>
    <w:rsid w:val="001F2F92"/>
    <w:rsid w:val="001F456F"/>
    <w:rsid w:val="001F5DA1"/>
    <w:rsid w:val="001F612E"/>
    <w:rsid w:val="001F6A92"/>
    <w:rsid w:val="001F77E8"/>
    <w:rsid w:val="00201A0C"/>
    <w:rsid w:val="00201B0F"/>
    <w:rsid w:val="0020255A"/>
    <w:rsid w:val="00202800"/>
    <w:rsid w:val="002029C7"/>
    <w:rsid w:val="00202D33"/>
    <w:rsid w:val="00202E58"/>
    <w:rsid w:val="00202F99"/>
    <w:rsid w:val="00203C85"/>
    <w:rsid w:val="0020449A"/>
    <w:rsid w:val="00204E9B"/>
    <w:rsid w:val="00205298"/>
    <w:rsid w:val="002055C0"/>
    <w:rsid w:val="0020569E"/>
    <w:rsid w:val="00206698"/>
    <w:rsid w:val="00206736"/>
    <w:rsid w:val="00206C88"/>
    <w:rsid w:val="00210B9C"/>
    <w:rsid w:val="00211185"/>
    <w:rsid w:val="00211A94"/>
    <w:rsid w:val="002126F2"/>
    <w:rsid w:val="00213478"/>
    <w:rsid w:val="00214028"/>
    <w:rsid w:val="002141C3"/>
    <w:rsid w:val="002141DC"/>
    <w:rsid w:val="0021440C"/>
    <w:rsid w:val="00214479"/>
    <w:rsid w:val="002144F3"/>
    <w:rsid w:val="002146C3"/>
    <w:rsid w:val="00215334"/>
    <w:rsid w:val="00215514"/>
    <w:rsid w:val="00215A2A"/>
    <w:rsid w:val="00215A3F"/>
    <w:rsid w:val="00215D21"/>
    <w:rsid w:val="0021636B"/>
    <w:rsid w:val="00216387"/>
    <w:rsid w:val="00216E7B"/>
    <w:rsid w:val="00217E1F"/>
    <w:rsid w:val="002204BC"/>
    <w:rsid w:val="00220F7B"/>
    <w:rsid w:val="002213CE"/>
    <w:rsid w:val="00221AF7"/>
    <w:rsid w:val="00222494"/>
    <w:rsid w:val="00222775"/>
    <w:rsid w:val="00222A31"/>
    <w:rsid w:val="00222CF6"/>
    <w:rsid w:val="00224037"/>
    <w:rsid w:val="002244E4"/>
    <w:rsid w:val="00224D2A"/>
    <w:rsid w:val="00224D8D"/>
    <w:rsid w:val="0022555A"/>
    <w:rsid w:val="00227214"/>
    <w:rsid w:val="00227DDC"/>
    <w:rsid w:val="0023079F"/>
    <w:rsid w:val="00231135"/>
    <w:rsid w:val="00231B0B"/>
    <w:rsid w:val="00232555"/>
    <w:rsid w:val="00233538"/>
    <w:rsid w:val="00234248"/>
    <w:rsid w:val="0023449F"/>
    <w:rsid w:val="002344F5"/>
    <w:rsid w:val="0023454D"/>
    <w:rsid w:val="00234679"/>
    <w:rsid w:val="002359FC"/>
    <w:rsid w:val="002361C8"/>
    <w:rsid w:val="00236690"/>
    <w:rsid w:val="0023669D"/>
    <w:rsid w:val="00237EAE"/>
    <w:rsid w:val="00237FA2"/>
    <w:rsid w:val="002403D5"/>
    <w:rsid w:val="00240C1F"/>
    <w:rsid w:val="00240F55"/>
    <w:rsid w:val="00240F67"/>
    <w:rsid w:val="00241144"/>
    <w:rsid w:val="00242510"/>
    <w:rsid w:val="00242F79"/>
    <w:rsid w:val="0024415B"/>
    <w:rsid w:val="00245565"/>
    <w:rsid w:val="002458C1"/>
    <w:rsid w:val="00245E62"/>
    <w:rsid w:val="002460D0"/>
    <w:rsid w:val="00246357"/>
    <w:rsid w:val="00247422"/>
    <w:rsid w:val="00247BA2"/>
    <w:rsid w:val="00250870"/>
    <w:rsid w:val="0025151C"/>
    <w:rsid w:val="0025184F"/>
    <w:rsid w:val="00251967"/>
    <w:rsid w:val="002527CC"/>
    <w:rsid w:val="00252F48"/>
    <w:rsid w:val="002530C0"/>
    <w:rsid w:val="00253586"/>
    <w:rsid w:val="002537FC"/>
    <w:rsid w:val="002542F8"/>
    <w:rsid w:val="002543EF"/>
    <w:rsid w:val="00254F2A"/>
    <w:rsid w:val="00255784"/>
    <w:rsid w:val="00255A29"/>
    <w:rsid w:val="0025631F"/>
    <w:rsid w:val="00256986"/>
    <w:rsid w:val="00256D61"/>
    <w:rsid w:val="00256E23"/>
    <w:rsid w:val="00257246"/>
    <w:rsid w:val="00257438"/>
    <w:rsid w:val="0026119C"/>
    <w:rsid w:val="00261AFE"/>
    <w:rsid w:val="00261E58"/>
    <w:rsid w:val="0026212A"/>
    <w:rsid w:val="002621D7"/>
    <w:rsid w:val="00262996"/>
    <w:rsid w:val="00263044"/>
    <w:rsid w:val="00263759"/>
    <w:rsid w:val="002638BD"/>
    <w:rsid w:val="0026470B"/>
    <w:rsid w:val="0026486D"/>
    <w:rsid w:val="00264C4B"/>
    <w:rsid w:val="00264ED0"/>
    <w:rsid w:val="00265346"/>
    <w:rsid w:val="00265501"/>
    <w:rsid w:val="00266045"/>
    <w:rsid w:val="002660C3"/>
    <w:rsid w:val="00266519"/>
    <w:rsid w:val="00266C21"/>
    <w:rsid w:val="00266DE1"/>
    <w:rsid w:val="00267A92"/>
    <w:rsid w:val="00267E43"/>
    <w:rsid w:val="00270282"/>
    <w:rsid w:val="00270780"/>
    <w:rsid w:val="00270CF6"/>
    <w:rsid w:val="00271097"/>
    <w:rsid w:val="00271C53"/>
    <w:rsid w:val="0027244F"/>
    <w:rsid w:val="00273052"/>
    <w:rsid w:val="002739CE"/>
    <w:rsid w:val="00273C5F"/>
    <w:rsid w:val="002741D4"/>
    <w:rsid w:val="002743AC"/>
    <w:rsid w:val="0027499D"/>
    <w:rsid w:val="002751CA"/>
    <w:rsid w:val="0027544D"/>
    <w:rsid w:val="00275D6E"/>
    <w:rsid w:val="00277196"/>
    <w:rsid w:val="002775ED"/>
    <w:rsid w:val="002778AB"/>
    <w:rsid w:val="002802A5"/>
    <w:rsid w:val="00280CFB"/>
    <w:rsid w:val="00280D24"/>
    <w:rsid w:val="002815C4"/>
    <w:rsid w:val="00281BCB"/>
    <w:rsid w:val="00281C76"/>
    <w:rsid w:val="0028316D"/>
    <w:rsid w:val="00283296"/>
    <w:rsid w:val="0028583E"/>
    <w:rsid w:val="00285853"/>
    <w:rsid w:val="00285B1A"/>
    <w:rsid w:val="00285FF3"/>
    <w:rsid w:val="002866EC"/>
    <w:rsid w:val="0028744E"/>
    <w:rsid w:val="002876D2"/>
    <w:rsid w:val="00287936"/>
    <w:rsid w:val="00287BB7"/>
    <w:rsid w:val="002903C5"/>
    <w:rsid w:val="0029041B"/>
    <w:rsid w:val="00290A99"/>
    <w:rsid w:val="00290EAF"/>
    <w:rsid w:val="0029159A"/>
    <w:rsid w:val="00291CF1"/>
    <w:rsid w:val="00292AA1"/>
    <w:rsid w:val="00294012"/>
    <w:rsid w:val="002945B0"/>
    <w:rsid w:val="0029499D"/>
    <w:rsid w:val="00294A13"/>
    <w:rsid w:val="00294B10"/>
    <w:rsid w:val="00294DF9"/>
    <w:rsid w:val="00295073"/>
    <w:rsid w:val="00295468"/>
    <w:rsid w:val="00296C32"/>
    <w:rsid w:val="002977CE"/>
    <w:rsid w:val="00297AF5"/>
    <w:rsid w:val="002A02D6"/>
    <w:rsid w:val="002A07C4"/>
    <w:rsid w:val="002A0921"/>
    <w:rsid w:val="002A0CB3"/>
    <w:rsid w:val="002A1887"/>
    <w:rsid w:val="002A2001"/>
    <w:rsid w:val="002A4060"/>
    <w:rsid w:val="002A41AB"/>
    <w:rsid w:val="002A4868"/>
    <w:rsid w:val="002A4A05"/>
    <w:rsid w:val="002A4EB3"/>
    <w:rsid w:val="002A51D9"/>
    <w:rsid w:val="002A525A"/>
    <w:rsid w:val="002A5968"/>
    <w:rsid w:val="002A5CAB"/>
    <w:rsid w:val="002A5D40"/>
    <w:rsid w:val="002A622E"/>
    <w:rsid w:val="002A6424"/>
    <w:rsid w:val="002A64E7"/>
    <w:rsid w:val="002A70AD"/>
    <w:rsid w:val="002A7748"/>
    <w:rsid w:val="002A7ED3"/>
    <w:rsid w:val="002A7FB1"/>
    <w:rsid w:val="002A7FC9"/>
    <w:rsid w:val="002B139C"/>
    <w:rsid w:val="002B1881"/>
    <w:rsid w:val="002B1F61"/>
    <w:rsid w:val="002B2070"/>
    <w:rsid w:val="002B2906"/>
    <w:rsid w:val="002B2C66"/>
    <w:rsid w:val="002B34E3"/>
    <w:rsid w:val="002B51B6"/>
    <w:rsid w:val="002B5AEE"/>
    <w:rsid w:val="002B6177"/>
    <w:rsid w:val="002B650C"/>
    <w:rsid w:val="002B68E6"/>
    <w:rsid w:val="002B6985"/>
    <w:rsid w:val="002B6D7A"/>
    <w:rsid w:val="002C02BA"/>
    <w:rsid w:val="002C0301"/>
    <w:rsid w:val="002C0326"/>
    <w:rsid w:val="002C0A9F"/>
    <w:rsid w:val="002C1AB3"/>
    <w:rsid w:val="002C1BB7"/>
    <w:rsid w:val="002C1FB3"/>
    <w:rsid w:val="002C2665"/>
    <w:rsid w:val="002C28E1"/>
    <w:rsid w:val="002C327D"/>
    <w:rsid w:val="002C3890"/>
    <w:rsid w:val="002C3AD9"/>
    <w:rsid w:val="002C4286"/>
    <w:rsid w:val="002C43FC"/>
    <w:rsid w:val="002C45C3"/>
    <w:rsid w:val="002C483B"/>
    <w:rsid w:val="002C4DFE"/>
    <w:rsid w:val="002C519E"/>
    <w:rsid w:val="002C5D5E"/>
    <w:rsid w:val="002C6116"/>
    <w:rsid w:val="002C643D"/>
    <w:rsid w:val="002C66B8"/>
    <w:rsid w:val="002C70E7"/>
    <w:rsid w:val="002D0C27"/>
    <w:rsid w:val="002D0E88"/>
    <w:rsid w:val="002D0EA7"/>
    <w:rsid w:val="002D0F31"/>
    <w:rsid w:val="002D1593"/>
    <w:rsid w:val="002D1A1E"/>
    <w:rsid w:val="002D22A6"/>
    <w:rsid w:val="002D2819"/>
    <w:rsid w:val="002D2CD6"/>
    <w:rsid w:val="002D2F81"/>
    <w:rsid w:val="002D38A3"/>
    <w:rsid w:val="002D3BA3"/>
    <w:rsid w:val="002D43EE"/>
    <w:rsid w:val="002D4892"/>
    <w:rsid w:val="002D4D06"/>
    <w:rsid w:val="002D4DDE"/>
    <w:rsid w:val="002D4EE7"/>
    <w:rsid w:val="002D4EED"/>
    <w:rsid w:val="002D5AAD"/>
    <w:rsid w:val="002D5DA3"/>
    <w:rsid w:val="002D6097"/>
    <w:rsid w:val="002D65AD"/>
    <w:rsid w:val="002D6782"/>
    <w:rsid w:val="002D74A4"/>
    <w:rsid w:val="002D7DB2"/>
    <w:rsid w:val="002D7DBD"/>
    <w:rsid w:val="002D7EA8"/>
    <w:rsid w:val="002E00E1"/>
    <w:rsid w:val="002E0102"/>
    <w:rsid w:val="002E03AE"/>
    <w:rsid w:val="002E0542"/>
    <w:rsid w:val="002E05F2"/>
    <w:rsid w:val="002E0E87"/>
    <w:rsid w:val="002E12FA"/>
    <w:rsid w:val="002E13CF"/>
    <w:rsid w:val="002E201C"/>
    <w:rsid w:val="002E22CA"/>
    <w:rsid w:val="002E236F"/>
    <w:rsid w:val="002E30C6"/>
    <w:rsid w:val="002E37C5"/>
    <w:rsid w:val="002E3956"/>
    <w:rsid w:val="002E3C08"/>
    <w:rsid w:val="002E3CF2"/>
    <w:rsid w:val="002E469E"/>
    <w:rsid w:val="002E4C01"/>
    <w:rsid w:val="002E4D50"/>
    <w:rsid w:val="002E55FF"/>
    <w:rsid w:val="002E587E"/>
    <w:rsid w:val="002E672A"/>
    <w:rsid w:val="002E6853"/>
    <w:rsid w:val="002E7EC1"/>
    <w:rsid w:val="002E7EE5"/>
    <w:rsid w:val="002F0323"/>
    <w:rsid w:val="002F0DFB"/>
    <w:rsid w:val="002F134F"/>
    <w:rsid w:val="002F1D0B"/>
    <w:rsid w:val="002F1E1D"/>
    <w:rsid w:val="002F1F02"/>
    <w:rsid w:val="002F27E5"/>
    <w:rsid w:val="002F2D81"/>
    <w:rsid w:val="002F2F66"/>
    <w:rsid w:val="002F39D4"/>
    <w:rsid w:val="002F4BA9"/>
    <w:rsid w:val="002F541B"/>
    <w:rsid w:val="002F5BFE"/>
    <w:rsid w:val="002F5DA5"/>
    <w:rsid w:val="002F5E17"/>
    <w:rsid w:val="002F647C"/>
    <w:rsid w:val="002F6C6B"/>
    <w:rsid w:val="002F6CB0"/>
    <w:rsid w:val="002F6EFF"/>
    <w:rsid w:val="002F7DF0"/>
    <w:rsid w:val="002F7FAF"/>
    <w:rsid w:val="00300573"/>
    <w:rsid w:val="003025FE"/>
    <w:rsid w:val="00302A27"/>
    <w:rsid w:val="00303AB6"/>
    <w:rsid w:val="00304640"/>
    <w:rsid w:val="00304AC1"/>
    <w:rsid w:val="00305090"/>
    <w:rsid w:val="00305454"/>
    <w:rsid w:val="00305B9F"/>
    <w:rsid w:val="00305E21"/>
    <w:rsid w:val="003066C6"/>
    <w:rsid w:val="003066FA"/>
    <w:rsid w:val="00306AD6"/>
    <w:rsid w:val="003077F4"/>
    <w:rsid w:val="00307DC7"/>
    <w:rsid w:val="00307FF2"/>
    <w:rsid w:val="00310EDB"/>
    <w:rsid w:val="00311C51"/>
    <w:rsid w:val="00311D56"/>
    <w:rsid w:val="00312016"/>
    <w:rsid w:val="00312340"/>
    <w:rsid w:val="00312DFC"/>
    <w:rsid w:val="00313032"/>
    <w:rsid w:val="0031318C"/>
    <w:rsid w:val="00313C9D"/>
    <w:rsid w:val="0031430C"/>
    <w:rsid w:val="00314919"/>
    <w:rsid w:val="00314C5A"/>
    <w:rsid w:val="0031531A"/>
    <w:rsid w:val="00315394"/>
    <w:rsid w:val="00315D77"/>
    <w:rsid w:val="00315D8E"/>
    <w:rsid w:val="00316002"/>
    <w:rsid w:val="00316CDE"/>
    <w:rsid w:val="00316E94"/>
    <w:rsid w:val="0031752D"/>
    <w:rsid w:val="00317709"/>
    <w:rsid w:val="00320688"/>
    <w:rsid w:val="00320B75"/>
    <w:rsid w:val="00321DB7"/>
    <w:rsid w:val="00321E7A"/>
    <w:rsid w:val="0032226D"/>
    <w:rsid w:val="003235E6"/>
    <w:rsid w:val="00324038"/>
    <w:rsid w:val="00324951"/>
    <w:rsid w:val="003249F6"/>
    <w:rsid w:val="00324B2F"/>
    <w:rsid w:val="00325FCC"/>
    <w:rsid w:val="00326106"/>
    <w:rsid w:val="00326805"/>
    <w:rsid w:val="003269B7"/>
    <w:rsid w:val="00326C0E"/>
    <w:rsid w:val="003272A3"/>
    <w:rsid w:val="003272E4"/>
    <w:rsid w:val="00327B71"/>
    <w:rsid w:val="00331461"/>
    <w:rsid w:val="003316A8"/>
    <w:rsid w:val="00331C80"/>
    <w:rsid w:val="00331CC9"/>
    <w:rsid w:val="003320D7"/>
    <w:rsid w:val="00332265"/>
    <w:rsid w:val="00332862"/>
    <w:rsid w:val="00332D52"/>
    <w:rsid w:val="00333337"/>
    <w:rsid w:val="00333A28"/>
    <w:rsid w:val="00333B6C"/>
    <w:rsid w:val="00334927"/>
    <w:rsid w:val="003360AD"/>
    <w:rsid w:val="0033631D"/>
    <w:rsid w:val="003369C7"/>
    <w:rsid w:val="003373A6"/>
    <w:rsid w:val="00337409"/>
    <w:rsid w:val="00337E18"/>
    <w:rsid w:val="003405AF"/>
    <w:rsid w:val="0034088F"/>
    <w:rsid w:val="00340B3E"/>
    <w:rsid w:val="003413D2"/>
    <w:rsid w:val="00341525"/>
    <w:rsid w:val="0034257E"/>
    <w:rsid w:val="003429A1"/>
    <w:rsid w:val="003429FC"/>
    <w:rsid w:val="00343079"/>
    <w:rsid w:val="00343127"/>
    <w:rsid w:val="00343320"/>
    <w:rsid w:val="00344066"/>
    <w:rsid w:val="00344BBF"/>
    <w:rsid w:val="0034509B"/>
    <w:rsid w:val="00345644"/>
    <w:rsid w:val="00345D0E"/>
    <w:rsid w:val="00345D7A"/>
    <w:rsid w:val="0034607E"/>
    <w:rsid w:val="00346A96"/>
    <w:rsid w:val="00346B6D"/>
    <w:rsid w:val="00346BA3"/>
    <w:rsid w:val="00346C69"/>
    <w:rsid w:val="00347356"/>
    <w:rsid w:val="0035005C"/>
    <w:rsid w:val="00350896"/>
    <w:rsid w:val="00350C31"/>
    <w:rsid w:val="00350C9F"/>
    <w:rsid w:val="00351391"/>
    <w:rsid w:val="003519CD"/>
    <w:rsid w:val="00351A3A"/>
    <w:rsid w:val="0035455F"/>
    <w:rsid w:val="00354A88"/>
    <w:rsid w:val="00355D75"/>
    <w:rsid w:val="00355D8F"/>
    <w:rsid w:val="00356A73"/>
    <w:rsid w:val="00356FF0"/>
    <w:rsid w:val="003577EF"/>
    <w:rsid w:val="00357A60"/>
    <w:rsid w:val="00360304"/>
    <w:rsid w:val="00360A78"/>
    <w:rsid w:val="00361750"/>
    <w:rsid w:val="00363894"/>
    <w:rsid w:val="00363B2A"/>
    <w:rsid w:val="00363BF1"/>
    <w:rsid w:val="00366779"/>
    <w:rsid w:val="003668E5"/>
    <w:rsid w:val="003669C8"/>
    <w:rsid w:val="00366CEB"/>
    <w:rsid w:val="003672B3"/>
    <w:rsid w:val="003676DF"/>
    <w:rsid w:val="00367783"/>
    <w:rsid w:val="00367898"/>
    <w:rsid w:val="003679D3"/>
    <w:rsid w:val="00367A87"/>
    <w:rsid w:val="00367EE7"/>
    <w:rsid w:val="003703BB"/>
    <w:rsid w:val="003705EA"/>
    <w:rsid w:val="00370A56"/>
    <w:rsid w:val="00371213"/>
    <w:rsid w:val="00372842"/>
    <w:rsid w:val="003729A5"/>
    <w:rsid w:val="00372C89"/>
    <w:rsid w:val="00372E9A"/>
    <w:rsid w:val="003735B9"/>
    <w:rsid w:val="00373634"/>
    <w:rsid w:val="00374677"/>
    <w:rsid w:val="0037510C"/>
    <w:rsid w:val="00375850"/>
    <w:rsid w:val="0037632F"/>
    <w:rsid w:val="00377B26"/>
    <w:rsid w:val="00381014"/>
    <w:rsid w:val="00381604"/>
    <w:rsid w:val="00381C68"/>
    <w:rsid w:val="00381F60"/>
    <w:rsid w:val="00383204"/>
    <w:rsid w:val="00383AB0"/>
    <w:rsid w:val="003847BB"/>
    <w:rsid w:val="00384814"/>
    <w:rsid w:val="00384C0A"/>
    <w:rsid w:val="00385B16"/>
    <w:rsid w:val="00385B96"/>
    <w:rsid w:val="0038637D"/>
    <w:rsid w:val="003868F6"/>
    <w:rsid w:val="003869DC"/>
    <w:rsid w:val="00386C07"/>
    <w:rsid w:val="00386F58"/>
    <w:rsid w:val="0038700D"/>
    <w:rsid w:val="003879CE"/>
    <w:rsid w:val="00387B88"/>
    <w:rsid w:val="00390B8F"/>
    <w:rsid w:val="00390C0D"/>
    <w:rsid w:val="00391447"/>
    <w:rsid w:val="003919D9"/>
    <w:rsid w:val="00391BDD"/>
    <w:rsid w:val="003922DE"/>
    <w:rsid w:val="00392E35"/>
    <w:rsid w:val="00393247"/>
    <w:rsid w:val="00393551"/>
    <w:rsid w:val="00393816"/>
    <w:rsid w:val="00393FCD"/>
    <w:rsid w:val="003944EA"/>
    <w:rsid w:val="00394639"/>
    <w:rsid w:val="00394DF6"/>
    <w:rsid w:val="00394EC6"/>
    <w:rsid w:val="00395A02"/>
    <w:rsid w:val="00395CD9"/>
    <w:rsid w:val="003962E6"/>
    <w:rsid w:val="00396831"/>
    <w:rsid w:val="00396FBC"/>
    <w:rsid w:val="003971A1"/>
    <w:rsid w:val="003A03D0"/>
    <w:rsid w:val="003A0F6B"/>
    <w:rsid w:val="003A12B6"/>
    <w:rsid w:val="003A1C44"/>
    <w:rsid w:val="003A20D5"/>
    <w:rsid w:val="003A24CC"/>
    <w:rsid w:val="003A2512"/>
    <w:rsid w:val="003A2A53"/>
    <w:rsid w:val="003A2EE8"/>
    <w:rsid w:val="003A373C"/>
    <w:rsid w:val="003A5378"/>
    <w:rsid w:val="003A553C"/>
    <w:rsid w:val="003A56DF"/>
    <w:rsid w:val="003A6008"/>
    <w:rsid w:val="003A703F"/>
    <w:rsid w:val="003A7E2B"/>
    <w:rsid w:val="003A7E40"/>
    <w:rsid w:val="003B0336"/>
    <w:rsid w:val="003B0A3A"/>
    <w:rsid w:val="003B0D79"/>
    <w:rsid w:val="003B2930"/>
    <w:rsid w:val="003B31A7"/>
    <w:rsid w:val="003B4587"/>
    <w:rsid w:val="003B4B51"/>
    <w:rsid w:val="003B4FE1"/>
    <w:rsid w:val="003B514E"/>
    <w:rsid w:val="003B5531"/>
    <w:rsid w:val="003B636A"/>
    <w:rsid w:val="003B69CE"/>
    <w:rsid w:val="003B7403"/>
    <w:rsid w:val="003B7751"/>
    <w:rsid w:val="003C011C"/>
    <w:rsid w:val="003C0E32"/>
    <w:rsid w:val="003C11D7"/>
    <w:rsid w:val="003C16CB"/>
    <w:rsid w:val="003C1B97"/>
    <w:rsid w:val="003C247B"/>
    <w:rsid w:val="003C3292"/>
    <w:rsid w:val="003C3C1E"/>
    <w:rsid w:val="003C3D88"/>
    <w:rsid w:val="003C4134"/>
    <w:rsid w:val="003C435B"/>
    <w:rsid w:val="003C4EBE"/>
    <w:rsid w:val="003C62EC"/>
    <w:rsid w:val="003C685A"/>
    <w:rsid w:val="003C6E9C"/>
    <w:rsid w:val="003C746F"/>
    <w:rsid w:val="003C7570"/>
    <w:rsid w:val="003C76E6"/>
    <w:rsid w:val="003C7E59"/>
    <w:rsid w:val="003C7F12"/>
    <w:rsid w:val="003D03D6"/>
    <w:rsid w:val="003D075D"/>
    <w:rsid w:val="003D0EE2"/>
    <w:rsid w:val="003D1283"/>
    <w:rsid w:val="003D14C8"/>
    <w:rsid w:val="003D1517"/>
    <w:rsid w:val="003D16C5"/>
    <w:rsid w:val="003D1CA9"/>
    <w:rsid w:val="003D2DA0"/>
    <w:rsid w:val="003D34C3"/>
    <w:rsid w:val="003D3D83"/>
    <w:rsid w:val="003D4685"/>
    <w:rsid w:val="003D4A41"/>
    <w:rsid w:val="003D4CDF"/>
    <w:rsid w:val="003D514A"/>
    <w:rsid w:val="003D5ADB"/>
    <w:rsid w:val="003D6448"/>
    <w:rsid w:val="003D646C"/>
    <w:rsid w:val="003D663E"/>
    <w:rsid w:val="003D664B"/>
    <w:rsid w:val="003D6793"/>
    <w:rsid w:val="003D6B03"/>
    <w:rsid w:val="003D75D8"/>
    <w:rsid w:val="003E006E"/>
    <w:rsid w:val="003E0947"/>
    <w:rsid w:val="003E0E96"/>
    <w:rsid w:val="003E20F7"/>
    <w:rsid w:val="003E336A"/>
    <w:rsid w:val="003E3E2F"/>
    <w:rsid w:val="003E4048"/>
    <w:rsid w:val="003E4CE5"/>
    <w:rsid w:val="003E51FF"/>
    <w:rsid w:val="003E604C"/>
    <w:rsid w:val="003E60DA"/>
    <w:rsid w:val="003E6E00"/>
    <w:rsid w:val="003E7111"/>
    <w:rsid w:val="003E7940"/>
    <w:rsid w:val="003F01BD"/>
    <w:rsid w:val="003F0486"/>
    <w:rsid w:val="003F048E"/>
    <w:rsid w:val="003F09FA"/>
    <w:rsid w:val="003F0AFF"/>
    <w:rsid w:val="003F1AA2"/>
    <w:rsid w:val="003F26DC"/>
    <w:rsid w:val="003F42FF"/>
    <w:rsid w:val="003F4B48"/>
    <w:rsid w:val="003F4DDC"/>
    <w:rsid w:val="003F56B8"/>
    <w:rsid w:val="003F57CB"/>
    <w:rsid w:val="003F5F1A"/>
    <w:rsid w:val="003F6327"/>
    <w:rsid w:val="003F7425"/>
    <w:rsid w:val="003F765B"/>
    <w:rsid w:val="003F7CB8"/>
    <w:rsid w:val="00400CB4"/>
    <w:rsid w:val="00401386"/>
    <w:rsid w:val="004013E6"/>
    <w:rsid w:val="00401E31"/>
    <w:rsid w:val="00402BBA"/>
    <w:rsid w:val="004035D0"/>
    <w:rsid w:val="0040361D"/>
    <w:rsid w:val="00403795"/>
    <w:rsid w:val="004041FB"/>
    <w:rsid w:val="0040443E"/>
    <w:rsid w:val="004054BE"/>
    <w:rsid w:val="004056B6"/>
    <w:rsid w:val="00405764"/>
    <w:rsid w:val="00406745"/>
    <w:rsid w:val="0040674B"/>
    <w:rsid w:val="00406B32"/>
    <w:rsid w:val="004074FA"/>
    <w:rsid w:val="00407A56"/>
    <w:rsid w:val="00407FB7"/>
    <w:rsid w:val="00407FCC"/>
    <w:rsid w:val="0041035A"/>
    <w:rsid w:val="00410E76"/>
    <w:rsid w:val="004112D1"/>
    <w:rsid w:val="004113C9"/>
    <w:rsid w:val="00411D1E"/>
    <w:rsid w:val="00411DF2"/>
    <w:rsid w:val="004120DF"/>
    <w:rsid w:val="004126B5"/>
    <w:rsid w:val="00414909"/>
    <w:rsid w:val="00415034"/>
    <w:rsid w:val="00415B1A"/>
    <w:rsid w:val="00415DFD"/>
    <w:rsid w:val="00416208"/>
    <w:rsid w:val="0041690F"/>
    <w:rsid w:val="004169D3"/>
    <w:rsid w:val="00416C2B"/>
    <w:rsid w:val="00416D41"/>
    <w:rsid w:val="00416E70"/>
    <w:rsid w:val="00417264"/>
    <w:rsid w:val="004172B3"/>
    <w:rsid w:val="004210C0"/>
    <w:rsid w:val="004211DD"/>
    <w:rsid w:val="00421762"/>
    <w:rsid w:val="00421D4B"/>
    <w:rsid w:val="00421ED8"/>
    <w:rsid w:val="00422907"/>
    <w:rsid w:val="00423125"/>
    <w:rsid w:val="00423309"/>
    <w:rsid w:val="004233AD"/>
    <w:rsid w:val="00424446"/>
    <w:rsid w:val="00424867"/>
    <w:rsid w:val="00425341"/>
    <w:rsid w:val="004255FE"/>
    <w:rsid w:val="00425674"/>
    <w:rsid w:val="00425A82"/>
    <w:rsid w:val="00425C60"/>
    <w:rsid w:val="00426B2C"/>
    <w:rsid w:val="00427183"/>
    <w:rsid w:val="00427FA8"/>
    <w:rsid w:val="0043009D"/>
    <w:rsid w:val="0043026B"/>
    <w:rsid w:val="00430299"/>
    <w:rsid w:val="004306D4"/>
    <w:rsid w:val="00431A2A"/>
    <w:rsid w:val="00432ECA"/>
    <w:rsid w:val="0043554E"/>
    <w:rsid w:val="004355D4"/>
    <w:rsid w:val="004357B1"/>
    <w:rsid w:val="00435821"/>
    <w:rsid w:val="0043583E"/>
    <w:rsid w:val="00436CCE"/>
    <w:rsid w:val="00436EAD"/>
    <w:rsid w:val="004375E1"/>
    <w:rsid w:val="00437A2F"/>
    <w:rsid w:val="00440262"/>
    <w:rsid w:val="004406BF"/>
    <w:rsid w:val="00440814"/>
    <w:rsid w:val="004408AE"/>
    <w:rsid w:val="0044105D"/>
    <w:rsid w:val="00441424"/>
    <w:rsid w:val="00442731"/>
    <w:rsid w:val="00442C12"/>
    <w:rsid w:val="004434DF"/>
    <w:rsid w:val="0044354B"/>
    <w:rsid w:val="0044493E"/>
    <w:rsid w:val="00444A1F"/>
    <w:rsid w:val="00444FC6"/>
    <w:rsid w:val="00445874"/>
    <w:rsid w:val="00445C38"/>
    <w:rsid w:val="0044686B"/>
    <w:rsid w:val="004475F7"/>
    <w:rsid w:val="0045057B"/>
    <w:rsid w:val="0045069B"/>
    <w:rsid w:val="00450B22"/>
    <w:rsid w:val="00451709"/>
    <w:rsid w:val="004518FA"/>
    <w:rsid w:val="00451A02"/>
    <w:rsid w:val="0045277C"/>
    <w:rsid w:val="00453507"/>
    <w:rsid w:val="00453592"/>
    <w:rsid w:val="004543AB"/>
    <w:rsid w:val="004545EC"/>
    <w:rsid w:val="00455967"/>
    <w:rsid w:val="00455BDB"/>
    <w:rsid w:val="00455F71"/>
    <w:rsid w:val="00456272"/>
    <w:rsid w:val="004570EF"/>
    <w:rsid w:val="00457517"/>
    <w:rsid w:val="00457CF7"/>
    <w:rsid w:val="00457D37"/>
    <w:rsid w:val="0046028A"/>
    <w:rsid w:val="00460E3A"/>
    <w:rsid w:val="00460E68"/>
    <w:rsid w:val="004614BC"/>
    <w:rsid w:val="004619A5"/>
    <w:rsid w:val="00461F80"/>
    <w:rsid w:val="0046240D"/>
    <w:rsid w:val="00462898"/>
    <w:rsid w:val="00462D84"/>
    <w:rsid w:val="00463208"/>
    <w:rsid w:val="00463576"/>
    <w:rsid w:val="004636D6"/>
    <w:rsid w:val="0046399D"/>
    <w:rsid w:val="00463EA4"/>
    <w:rsid w:val="004642C9"/>
    <w:rsid w:val="00465A21"/>
    <w:rsid w:val="00465DE5"/>
    <w:rsid w:val="00466151"/>
    <w:rsid w:val="00466978"/>
    <w:rsid w:val="00466ABA"/>
    <w:rsid w:val="004672E3"/>
    <w:rsid w:val="0046775D"/>
    <w:rsid w:val="00467823"/>
    <w:rsid w:val="004705FA"/>
    <w:rsid w:val="004708AC"/>
    <w:rsid w:val="00470B42"/>
    <w:rsid w:val="00471387"/>
    <w:rsid w:val="0047146C"/>
    <w:rsid w:val="0047149F"/>
    <w:rsid w:val="00471963"/>
    <w:rsid w:val="004724B8"/>
    <w:rsid w:val="004728FB"/>
    <w:rsid w:val="004729AD"/>
    <w:rsid w:val="00472CA7"/>
    <w:rsid w:val="00472CEC"/>
    <w:rsid w:val="00473308"/>
    <w:rsid w:val="0047377C"/>
    <w:rsid w:val="0047471E"/>
    <w:rsid w:val="004749DA"/>
    <w:rsid w:val="00474DEF"/>
    <w:rsid w:val="00475729"/>
    <w:rsid w:val="004758E7"/>
    <w:rsid w:val="00475BAB"/>
    <w:rsid w:val="00475CBD"/>
    <w:rsid w:val="004764C6"/>
    <w:rsid w:val="00476AC1"/>
    <w:rsid w:val="00476F97"/>
    <w:rsid w:val="00477247"/>
    <w:rsid w:val="004776BB"/>
    <w:rsid w:val="004776FB"/>
    <w:rsid w:val="0048055E"/>
    <w:rsid w:val="00480C2B"/>
    <w:rsid w:val="00480DC5"/>
    <w:rsid w:val="00480FD9"/>
    <w:rsid w:val="0048131D"/>
    <w:rsid w:val="00481D0B"/>
    <w:rsid w:val="004824A9"/>
    <w:rsid w:val="00483091"/>
    <w:rsid w:val="00483140"/>
    <w:rsid w:val="00483984"/>
    <w:rsid w:val="00483BC7"/>
    <w:rsid w:val="00483CF0"/>
    <w:rsid w:val="00484D4D"/>
    <w:rsid w:val="00486516"/>
    <w:rsid w:val="0048664F"/>
    <w:rsid w:val="004868AD"/>
    <w:rsid w:val="00486D00"/>
    <w:rsid w:val="00487FE1"/>
    <w:rsid w:val="00490707"/>
    <w:rsid w:val="00490815"/>
    <w:rsid w:val="0049117E"/>
    <w:rsid w:val="00492503"/>
    <w:rsid w:val="004925C8"/>
    <w:rsid w:val="00492AF9"/>
    <w:rsid w:val="00492B76"/>
    <w:rsid w:val="0049333E"/>
    <w:rsid w:val="0049418F"/>
    <w:rsid w:val="0049570D"/>
    <w:rsid w:val="00495C48"/>
    <w:rsid w:val="00495DC6"/>
    <w:rsid w:val="00496CCE"/>
    <w:rsid w:val="004978C1"/>
    <w:rsid w:val="00497AAD"/>
    <w:rsid w:val="00497BD7"/>
    <w:rsid w:val="00497D1A"/>
    <w:rsid w:val="004A00C9"/>
    <w:rsid w:val="004A03D0"/>
    <w:rsid w:val="004A1049"/>
    <w:rsid w:val="004A1AFA"/>
    <w:rsid w:val="004A1EA7"/>
    <w:rsid w:val="004A26F5"/>
    <w:rsid w:val="004A2EF8"/>
    <w:rsid w:val="004A3A21"/>
    <w:rsid w:val="004A407A"/>
    <w:rsid w:val="004A4E3B"/>
    <w:rsid w:val="004A6110"/>
    <w:rsid w:val="004A61B8"/>
    <w:rsid w:val="004A6415"/>
    <w:rsid w:val="004A64F9"/>
    <w:rsid w:val="004A65F4"/>
    <w:rsid w:val="004A6D2C"/>
    <w:rsid w:val="004B026C"/>
    <w:rsid w:val="004B0271"/>
    <w:rsid w:val="004B0BE8"/>
    <w:rsid w:val="004B0E4A"/>
    <w:rsid w:val="004B18F4"/>
    <w:rsid w:val="004B1A98"/>
    <w:rsid w:val="004B2463"/>
    <w:rsid w:val="004B2E9D"/>
    <w:rsid w:val="004B305F"/>
    <w:rsid w:val="004B34C4"/>
    <w:rsid w:val="004B34E8"/>
    <w:rsid w:val="004B3981"/>
    <w:rsid w:val="004B3A03"/>
    <w:rsid w:val="004B419F"/>
    <w:rsid w:val="004B4EA9"/>
    <w:rsid w:val="004B5C96"/>
    <w:rsid w:val="004B6124"/>
    <w:rsid w:val="004B6E50"/>
    <w:rsid w:val="004B728F"/>
    <w:rsid w:val="004B7317"/>
    <w:rsid w:val="004B75B2"/>
    <w:rsid w:val="004B75C6"/>
    <w:rsid w:val="004C02C5"/>
    <w:rsid w:val="004C0BF0"/>
    <w:rsid w:val="004C0D40"/>
    <w:rsid w:val="004C114F"/>
    <w:rsid w:val="004C11A9"/>
    <w:rsid w:val="004C27CF"/>
    <w:rsid w:val="004C2CA7"/>
    <w:rsid w:val="004C3592"/>
    <w:rsid w:val="004C36D8"/>
    <w:rsid w:val="004C45C8"/>
    <w:rsid w:val="004C4F8F"/>
    <w:rsid w:val="004C5F4B"/>
    <w:rsid w:val="004C612E"/>
    <w:rsid w:val="004C61B8"/>
    <w:rsid w:val="004C69FE"/>
    <w:rsid w:val="004C6C0A"/>
    <w:rsid w:val="004C6C6D"/>
    <w:rsid w:val="004C77FF"/>
    <w:rsid w:val="004C7DB0"/>
    <w:rsid w:val="004C7FFC"/>
    <w:rsid w:val="004D0223"/>
    <w:rsid w:val="004D0C4C"/>
    <w:rsid w:val="004D16A3"/>
    <w:rsid w:val="004D1934"/>
    <w:rsid w:val="004D1E41"/>
    <w:rsid w:val="004D2326"/>
    <w:rsid w:val="004D2E11"/>
    <w:rsid w:val="004D2F9F"/>
    <w:rsid w:val="004D3108"/>
    <w:rsid w:val="004D329C"/>
    <w:rsid w:val="004D34D1"/>
    <w:rsid w:val="004D4523"/>
    <w:rsid w:val="004D4990"/>
    <w:rsid w:val="004D51D6"/>
    <w:rsid w:val="004D6BF2"/>
    <w:rsid w:val="004D6F29"/>
    <w:rsid w:val="004D7BF5"/>
    <w:rsid w:val="004D7F9C"/>
    <w:rsid w:val="004E03F4"/>
    <w:rsid w:val="004E068F"/>
    <w:rsid w:val="004E0860"/>
    <w:rsid w:val="004E09CF"/>
    <w:rsid w:val="004E0B75"/>
    <w:rsid w:val="004E0C29"/>
    <w:rsid w:val="004E0DC4"/>
    <w:rsid w:val="004E109C"/>
    <w:rsid w:val="004E1D6F"/>
    <w:rsid w:val="004E1DF3"/>
    <w:rsid w:val="004E2393"/>
    <w:rsid w:val="004E3117"/>
    <w:rsid w:val="004E3A2A"/>
    <w:rsid w:val="004E3AB1"/>
    <w:rsid w:val="004E4003"/>
    <w:rsid w:val="004E4626"/>
    <w:rsid w:val="004E4984"/>
    <w:rsid w:val="004E5101"/>
    <w:rsid w:val="004E5380"/>
    <w:rsid w:val="004E6746"/>
    <w:rsid w:val="004E6CAC"/>
    <w:rsid w:val="004E6F69"/>
    <w:rsid w:val="004E75C1"/>
    <w:rsid w:val="004E7683"/>
    <w:rsid w:val="004E777F"/>
    <w:rsid w:val="004F07F2"/>
    <w:rsid w:val="004F07F9"/>
    <w:rsid w:val="004F0A50"/>
    <w:rsid w:val="004F0D1F"/>
    <w:rsid w:val="004F0E82"/>
    <w:rsid w:val="004F1523"/>
    <w:rsid w:val="004F1847"/>
    <w:rsid w:val="004F1CE1"/>
    <w:rsid w:val="004F1F9E"/>
    <w:rsid w:val="004F2CB6"/>
    <w:rsid w:val="004F2E6E"/>
    <w:rsid w:val="004F3015"/>
    <w:rsid w:val="004F313F"/>
    <w:rsid w:val="004F367F"/>
    <w:rsid w:val="004F3EEF"/>
    <w:rsid w:val="004F43A7"/>
    <w:rsid w:val="004F447B"/>
    <w:rsid w:val="004F497C"/>
    <w:rsid w:val="004F4FAC"/>
    <w:rsid w:val="004F4FE8"/>
    <w:rsid w:val="004F531B"/>
    <w:rsid w:val="004F560C"/>
    <w:rsid w:val="004F5DBB"/>
    <w:rsid w:val="004F60B4"/>
    <w:rsid w:val="004F61A3"/>
    <w:rsid w:val="004F6874"/>
    <w:rsid w:val="004F7922"/>
    <w:rsid w:val="004F7A1F"/>
    <w:rsid w:val="004F7B47"/>
    <w:rsid w:val="0050079C"/>
    <w:rsid w:val="0050106A"/>
    <w:rsid w:val="005010BC"/>
    <w:rsid w:val="00501848"/>
    <w:rsid w:val="00502B31"/>
    <w:rsid w:val="0050434C"/>
    <w:rsid w:val="0050537D"/>
    <w:rsid w:val="0050591C"/>
    <w:rsid w:val="005059BD"/>
    <w:rsid w:val="005060AE"/>
    <w:rsid w:val="0050790B"/>
    <w:rsid w:val="00507FDF"/>
    <w:rsid w:val="0051037C"/>
    <w:rsid w:val="0051050F"/>
    <w:rsid w:val="0051058B"/>
    <w:rsid w:val="00510DDC"/>
    <w:rsid w:val="00511166"/>
    <w:rsid w:val="00512217"/>
    <w:rsid w:val="00512459"/>
    <w:rsid w:val="005131A2"/>
    <w:rsid w:val="005137E4"/>
    <w:rsid w:val="00513BB9"/>
    <w:rsid w:val="0051440E"/>
    <w:rsid w:val="00514480"/>
    <w:rsid w:val="005148CD"/>
    <w:rsid w:val="00515180"/>
    <w:rsid w:val="00515973"/>
    <w:rsid w:val="00516069"/>
    <w:rsid w:val="00517AC8"/>
    <w:rsid w:val="00517C3E"/>
    <w:rsid w:val="005207D8"/>
    <w:rsid w:val="0052091D"/>
    <w:rsid w:val="005212F4"/>
    <w:rsid w:val="00521908"/>
    <w:rsid w:val="005224BC"/>
    <w:rsid w:val="00522928"/>
    <w:rsid w:val="00522FF1"/>
    <w:rsid w:val="005235D8"/>
    <w:rsid w:val="00523946"/>
    <w:rsid w:val="0052397A"/>
    <w:rsid w:val="005256D6"/>
    <w:rsid w:val="00525AD8"/>
    <w:rsid w:val="00526429"/>
    <w:rsid w:val="005266C1"/>
    <w:rsid w:val="005267F4"/>
    <w:rsid w:val="005269D3"/>
    <w:rsid w:val="00527317"/>
    <w:rsid w:val="00527ED6"/>
    <w:rsid w:val="0053024F"/>
    <w:rsid w:val="00531064"/>
    <w:rsid w:val="005312CB"/>
    <w:rsid w:val="005313B2"/>
    <w:rsid w:val="00531911"/>
    <w:rsid w:val="00531E92"/>
    <w:rsid w:val="005324D7"/>
    <w:rsid w:val="005326F0"/>
    <w:rsid w:val="00532764"/>
    <w:rsid w:val="00532AA5"/>
    <w:rsid w:val="00532C5F"/>
    <w:rsid w:val="00533233"/>
    <w:rsid w:val="005335A2"/>
    <w:rsid w:val="00533D13"/>
    <w:rsid w:val="00533DEC"/>
    <w:rsid w:val="00534026"/>
    <w:rsid w:val="00534D55"/>
    <w:rsid w:val="00535B53"/>
    <w:rsid w:val="00536B03"/>
    <w:rsid w:val="00537456"/>
    <w:rsid w:val="0053790C"/>
    <w:rsid w:val="00537B3D"/>
    <w:rsid w:val="00540401"/>
    <w:rsid w:val="005405B2"/>
    <w:rsid w:val="0054076A"/>
    <w:rsid w:val="00540BBA"/>
    <w:rsid w:val="00540D47"/>
    <w:rsid w:val="00540E71"/>
    <w:rsid w:val="00540EE7"/>
    <w:rsid w:val="00541A22"/>
    <w:rsid w:val="00541EAD"/>
    <w:rsid w:val="005424C2"/>
    <w:rsid w:val="005426B2"/>
    <w:rsid w:val="00543519"/>
    <w:rsid w:val="00543640"/>
    <w:rsid w:val="00544019"/>
    <w:rsid w:val="0054422C"/>
    <w:rsid w:val="005444C6"/>
    <w:rsid w:val="00544BF9"/>
    <w:rsid w:val="00544F05"/>
    <w:rsid w:val="00544FCC"/>
    <w:rsid w:val="005454B8"/>
    <w:rsid w:val="00545697"/>
    <w:rsid w:val="00545ACB"/>
    <w:rsid w:val="00545DB9"/>
    <w:rsid w:val="005462ED"/>
    <w:rsid w:val="00546585"/>
    <w:rsid w:val="00546703"/>
    <w:rsid w:val="0054680A"/>
    <w:rsid w:val="00546BF8"/>
    <w:rsid w:val="00547BA2"/>
    <w:rsid w:val="00550AC5"/>
    <w:rsid w:val="00550B7E"/>
    <w:rsid w:val="00551052"/>
    <w:rsid w:val="005524ED"/>
    <w:rsid w:val="00553F91"/>
    <w:rsid w:val="00554007"/>
    <w:rsid w:val="00554C03"/>
    <w:rsid w:val="00554C58"/>
    <w:rsid w:val="00554D5D"/>
    <w:rsid w:val="005550F9"/>
    <w:rsid w:val="00556338"/>
    <w:rsid w:val="00556441"/>
    <w:rsid w:val="00557031"/>
    <w:rsid w:val="00557F87"/>
    <w:rsid w:val="00560841"/>
    <w:rsid w:val="00560FCB"/>
    <w:rsid w:val="00561001"/>
    <w:rsid w:val="0056111C"/>
    <w:rsid w:val="00561140"/>
    <w:rsid w:val="00561412"/>
    <w:rsid w:val="00561903"/>
    <w:rsid w:val="00561A9B"/>
    <w:rsid w:val="00561E54"/>
    <w:rsid w:val="00561F73"/>
    <w:rsid w:val="005621F7"/>
    <w:rsid w:val="0056278F"/>
    <w:rsid w:val="00562FB1"/>
    <w:rsid w:val="00563068"/>
    <w:rsid w:val="0056376A"/>
    <w:rsid w:val="00563B3C"/>
    <w:rsid w:val="0056419C"/>
    <w:rsid w:val="00564DA7"/>
    <w:rsid w:val="00565204"/>
    <w:rsid w:val="00565473"/>
    <w:rsid w:val="00565DAC"/>
    <w:rsid w:val="00565F0D"/>
    <w:rsid w:val="005662DC"/>
    <w:rsid w:val="00566329"/>
    <w:rsid w:val="005668B9"/>
    <w:rsid w:val="00566E39"/>
    <w:rsid w:val="0056704E"/>
    <w:rsid w:val="00567623"/>
    <w:rsid w:val="005701C2"/>
    <w:rsid w:val="00570763"/>
    <w:rsid w:val="0057200B"/>
    <w:rsid w:val="00572297"/>
    <w:rsid w:val="0057345D"/>
    <w:rsid w:val="0057347D"/>
    <w:rsid w:val="00573560"/>
    <w:rsid w:val="00574E7B"/>
    <w:rsid w:val="00574F36"/>
    <w:rsid w:val="00576B5C"/>
    <w:rsid w:val="005770CC"/>
    <w:rsid w:val="005802F9"/>
    <w:rsid w:val="005806D5"/>
    <w:rsid w:val="00580DFC"/>
    <w:rsid w:val="0058134C"/>
    <w:rsid w:val="005815CD"/>
    <w:rsid w:val="00581AA8"/>
    <w:rsid w:val="00581D39"/>
    <w:rsid w:val="005827A7"/>
    <w:rsid w:val="00583D43"/>
    <w:rsid w:val="005846C3"/>
    <w:rsid w:val="00584F04"/>
    <w:rsid w:val="0058544C"/>
    <w:rsid w:val="00585623"/>
    <w:rsid w:val="005857F7"/>
    <w:rsid w:val="005865E9"/>
    <w:rsid w:val="005868FD"/>
    <w:rsid w:val="00587D7B"/>
    <w:rsid w:val="005904DB"/>
    <w:rsid w:val="005905ED"/>
    <w:rsid w:val="00590D11"/>
    <w:rsid w:val="00591BA6"/>
    <w:rsid w:val="00592825"/>
    <w:rsid w:val="00594437"/>
    <w:rsid w:val="00594B70"/>
    <w:rsid w:val="00596CFA"/>
    <w:rsid w:val="00596EC6"/>
    <w:rsid w:val="005975CE"/>
    <w:rsid w:val="005A0088"/>
    <w:rsid w:val="005A04F6"/>
    <w:rsid w:val="005A14F0"/>
    <w:rsid w:val="005A1861"/>
    <w:rsid w:val="005A1A31"/>
    <w:rsid w:val="005A361D"/>
    <w:rsid w:val="005A36C2"/>
    <w:rsid w:val="005A3719"/>
    <w:rsid w:val="005A3DD7"/>
    <w:rsid w:val="005A40FA"/>
    <w:rsid w:val="005A4C20"/>
    <w:rsid w:val="005A4F48"/>
    <w:rsid w:val="005A54F1"/>
    <w:rsid w:val="005A57B8"/>
    <w:rsid w:val="005A5DDE"/>
    <w:rsid w:val="005A64A8"/>
    <w:rsid w:val="005A65C5"/>
    <w:rsid w:val="005A6875"/>
    <w:rsid w:val="005A7016"/>
    <w:rsid w:val="005A7A32"/>
    <w:rsid w:val="005A7F85"/>
    <w:rsid w:val="005B00DD"/>
    <w:rsid w:val="005B03B1"/>
    <w:rsid w:val="005B07D5"/>
    <w:rsid w:val="005B1A8A"/>
    <w:rsid w:val="005B1AAB"/>
    <w:rsid w:val="005B2578"/>
    <w:rsid w:val="005B2930"/>
    <w:rsid w:val="005B2B87"/>
    <w:rsid w:val="005B2FAA"/>
    <w:rsid w:val="005B33C8"/>
    <w:rsid w:val="005B387B"/>
    <w:rsid w:val="005B3B01"/>
    <w:rsid w:val="005B4333"/>
    <w:rsid w:val="005B48BE"/>
    <w:rsid w:val="005B58F7"/>
    <w:rsid w:val="005B5981"/>
    <w:rsid w:val="005B5994"/>
    <w:rsid w:val="005B6474"/>
    <w:rsid w:val="005B666D"/>
    <w:rsid w:val="005B667A"/>
    <w:rsid w:val="005B6865"/>
    <w:rsid w:val="005C039B"/>
    <w:rsid w:val="005C059F"/>
    <w:rsid w:val="005C07CE"/>
    <w:rsid w:val="005C0B8F"/>
    <w:rsid w:val="005C194E"/>
    <w:rsid w:val="005C1C83"/>
    <w:rsid w:val="005C1DB1"/>
    <w:rsid w:val="005C226F"/>
    <w:rsid w:val="005C2294"/>
    <w:rsid w:val="005C2E48"/>
    <w:rsid w:val="005C3344"/>
    <w:rsid w:val="005C4E4D"/>
    <w:rsid w:val="005C58F2"/>
    <w:rsid w:val="005C5A97"/>
    <w:rsid w:val="005C5F77"/>
    <w:rsid w:val="005C6AAB"/>
    <w:rsid w:val="005C6D5D"/>
    <w:rsid w:val="005C6FD0"/>
    <w:rsid w:val="005D01C3"/>
    <w:rsid w:val="005D05FF"/>
    <w:rsid w:val="005D0FB4"/>
    <w:rsid w:val="005D1176"/>
    <w:rsid w:val="005D1747"/>
    <w:rsid w:val="005D266D"/>
    <w:rsid w:val="005D306D"/>
    <w:rsid w:val="005D3327"/>
    <w:rsid w:val="005D4854"/>
    <w:rsid w:val="005D5BCF"/>
    <w:rsid w:val="005D65BF"/>
    <w:rsid w:val="005D6D84"/>
    <w:rsid w:val="005D70A1"/>
    <w:rsid w:val="005D79F2"/>
    <w:rsid w:val="005D7CB1"/>
    <w:rsid w:val="005D7F57"/>
    <w:rsid w:val="005E0067"/>
    <w:rsid w:val="005E0141"/>
    <w:rsid w:val="005E09CA"/>
    <w:rsid w:val="005E1AB4"/>
    <w:rsid w:val="005E255B"/>
    <w:rsid w:val="005E2CF7"/>
    <w:rsid w:val="005E37FD"/>
    <w:rsid w:val="005E4543"/>
    <w:rsid w:val="005E4A1C"/>
    <w:rsid w:val="005E56C9"/>
    <w:rsid w:val="005E5CF7"/>
    <w:rsid w:val="005E5FF0"/>
    <w:rsid w:val="005E642A"/>
    <w:rsid w:val="005E65A7"/>
    <w:rsid w:val="005E6A54"/>
    <w:rsid w:val="005E721E"/>
    <w:rsid w:val="005F0857"/>
    <w:rsid w:val="005F1470"/>
    <w:rsid w:val="005F15A9"/>
    <w:rsid w:val="005F2807"/>
    <w:rsid w:val="005F2CD5"/>
    <w:rsid w:val="005F3382"/>
    <w:rsid w:val="005F3720"/>
    <w:rsid w:val="005F3949"/>
    <w:rsid w:val="005F4F00"/>
    <w:rsid w:val="005F5506"/>
    <w:rsid w:val="005F5A0D"/>
    <w:rsid w:val="005F60DF"/>
    <w:rsid w:val="005F615B"/>
    <w:rsid w:val="005F61DF"/>
    <w:rsid w:val="005F680A"/>
    <w:rsid w:val="005F6880"/>
    <w:rsid w:val="005F6B3E"/>
    <w:rsid w:val="005F6ED2"/>
    <w:rsid w:val="005F745B"/>
    <w:rsid w:val="005F77F8"/>
    <w:rsid w:val="005F7CA8"/>
    <w:rsid w:val="00600DE1"/>
    <w:rsid w:val="00601506"/>
    <w:rsid w:val="00601596"/>
    <w:rsid w:val="00601C92"/>
    <w:rsid w:val="00601F66"/>
    <w:rsid w:val="0060200D"/>
    <w:rsid w:val="00602764"/>
    <w:rsid w:val="00602B29"/>
    <w:rsid w:val="00602DAD"/>
    <w:rsid w:val="00603373"/>
    <w:rsid w:val="006036D0"/>
    <w:rsid w:val="00603B1C"/>
    <w:rsid w:val="006042CD"/>
    <w:rsid w:val="00605217"/>
    <w:rsid w:val="006054A5"/>
    <w:rsid w:val="006059E4"/>
    <w:rsid w:val="00605D60"/>
    <w:rsid w:val="006062A0"/>
    <w:rsid w:val="00607015"/>
    <w:rsid w:val="0061098D"/>
    <w:rsid w:val="00610B78"/>
    <w:rsid w:val="00611B59"/>
    <w:rsid w:val="00611FBA"/>
    <w:rsid w:val="00612098"/>
    <w:rsid w:val="0061272A"/>
    <w:rsid w:val="0061299E"/>
    <w:rsid w:val="006130D0"/>
    <w:rsid w:val="0061355D"/>
    <w:rsid w:val="006139F7"/>
    <w:rsid w:val="00613AA2"/>
    <w:rsid w:val="00614906"/>
    <w:rsid w:val="0061517F"/>
    <w:rsid w:val="00615276"/>
    <w:rsid w:val="006155F1"/>
    <w:rsid w:val="00615846"/>
    <w:rsid w:val="006160F0"/>
    <w:rsid w:val="0061618F"/>
    <w:rsid w:val="0061624B"/>
    <w:rsid w:val="006166AD"/>
    <w:rsid w:val="00616C1E"/>
    <w:rsid w:val="00617EFC"/>
    <w:rsid w:val="00620055"/>
    <w:rsid w:val="00620336"/>
    <w:rsid w:val="006204B3"/>
    <w:rsid w:val="006204C2"/>
    <w:rsid w:val="00620815"/>
    <w:rsid w:val="006212D3"/>
    <w:rsid w:val="00621639"/>
    <w:rsid w:val="00622B22"/>
    <w:rsid w:val="00622F67"/>
    <w:rsid w:val="00623571"/>
    <w:rsid w:val="00623A5E"/>
    <w:rsid w:val="006241E9"/>
    <w:rsid w:val="00625008"/>
    <w:rsid w:val="0062548B"/>
    <w:rsid w:val="00626710"/>
    <w:rsid w:val="00626930"/>
    <w:rsid w:val="00626AD3"/>
    <w:rsid w:val="00626BAC"/>
    <w:rsid w:val="006271C3"/>
    <w:rsid w:val="00627B14"/>
    <w:rsid w:val="0063001E"/>
    <w:rsid w:val="00630023"/>
    <w:rsid w:val="006308EE"/>
    <w:rsid w:val="00630C70"/>
    <w:rsid w:val="00630D67"/>
    <w:rsid w:val="00631005"/>
    <w:rsid w:val="00631C79"/>
    <w:rsid w:val="00632727"/>
    <w:rsid w:val="0063283D"/>
    <w:rsid w:val="00633769"/>
    <w:rsid w:val="00633FE3"/>
    <w:rsid w:val="00634276"/>
    <w:rsid w:val="00634570"/>
    <w:rsid w:val="0063487C"/>
    <w:rsid w:val="00634CE6"/>
    <w:rsid w:val="00635B73"/>
    <w:rsid w:val="00635BB7"/>
    <w:rsid w:val="00636888"/>
    <w:rsid w:val="00636CC7"/>
    <w:rsid w:val="00637F27"/>
    <w:rsid w:val="006405EC"/>
    <w:rsid w:val="00640A4D"/>
    <w:rsid w:val="006418F2"/>
    <w:rsid w:val="00641A84"/>
    <w:rsid w:val="00641B05"/>
    <w:rsid w:val="00641DA1"/>
    <w:rsid w:val="00641E5B"/>
    <w:rsid w:val="00642C69"/>
    <w:rsid w:val="0064330A"/>
    <w:rsid w:val="00643F89"/>
    <w:rsid w:val="00644334"/>
    <w:rsid w:val="0064487C"/>
    <w:rsid w:val="00644BED"/>
    <w:rsid w:val="00644E2E"/>
    <w:rsid w:val="00645A3A"/>
    <w:rsid w:val="00645B87"/>
    <w:rsid w:val="00645CB4"/>
    <w:rsid w:val="00646084"/>
    <w:rsid w:val="006468ED"/>
    <w:rsid w:val="00647664"/>
    <w:rsid w:val="00650D19"/>
    <w:rsid w:val="00652CF5"/>
    <w:rsid w:val="00652F6C"/>
    <w:rsid w:val="0065343E"/>
    <w:rsid w:val="00653548"/>
    <w:rsid w:val="006536BB"/>
    <w:rsid w:val="0065398F"/>
    <w:rsid w:val="00653C7C"/>
    <w:rsid w:val="00654252"/>
    <w:rsid w:val="006543B7"/>
    <w:rsid w:val="00654EA5"/>
    <w:rsid w:val="0065587E"/>
    <w:rsid w:val="006558CD"/>
    <w:rsid w:val="00655C26"/>
    <w:rsid w:val="0065637A"/>
    <w:rsid w:val="00656998"/>
    <w:rsid w:val="00656E4D"/>
    <w:rsid w:val="006576BA"/>
    <w:rsid w:val="006600BF"/>
    <w:rsid w:val="00660AF7"/>
    <w:rsid w:val="00660D3E"/>
    <w:rsid w:val="00661691"/>
    <w:rsid w:val="00662D3D"/>
    <w:rsid w:val="00662F1F"/>
    <w:rsid w:val="00663D15"/>
    <w:rsid w:val="00665030"/>
    <w:rsid w:val="00665670"/>
    <w:rsid w:val="006659EA"/>
    <w:rsid w:val="006661E8"/>
    <w:rsid w:val="00666424"/>
    <w:rsid w:val="0066676C"/>
    <w:rsid w:val="006673B9"/>
    <w:rsid w:val="0066790C"/>
    <w:rsid w:val="00667FF0"/>
    <w:rsid w:val="00670C7C"/>
    <w:rsid w:val="00671480"/>
    <w:rsid w:val="006717E7"/>
    <w:rsid w:val="00671FD5"/>
    <w:rsid w:val="006720BC"/>
    <w:rsid w:val="00672906"/>
    <w:rsid w:val="00672C73"/>
    <w:rsid w:val="00673B64"/>
    <w:rsid w:val="006753AC"/>
    <w:rsid w:val="00675430"/>
    <w:rsid w:val="006755F0"/>
    <w:rsid w:val="00675749"/>
    <w:rsid w:val="006759FE"/>
    <w:rsid w:val="00677382"/>
    <w:rsid w:val="0067772D"/>
    <w:rsid w:val="00677991"/>
    <w:rsid w:val="00677AD2"/>
    <w:rsid w:val="00680326"/>
    <w:rsid w:val="00680714"/>
    <w:rsid w:val="0068071D"/>
    <w:rsid w:val="00680C6B"/>
    <w:rsid w:val="006811F3"/>
    <w:rsid w:val="00681240"/>
    <w:rsid w:val="00681E43"/>
    <w:rsid w:val="00683068"/>
    <w:rsid w:val="00683DAD"/>
    <w:rsid w:val="00684592"/>
    <w:rsid w:val="00684963"/>
    <w:rsid w:val="00685033"/>
    <w:rsid w:val="0068517F"/>
    <w:rsid w:val="00685D65"/>
    <w:rsid w:val="00685FC8"/>
    <w:rsid w:val="00686E80"/>
    <w:rsid w:val="0068790B"/>
    <w:rsid w:val="00687AF2"/>
    <w:rsid w:val="006901AC"/>
    <w:rsid w:val="00690C8D"/>
    <w:rsid w:val="00691890"/>
    <w:rsid w:val="00691AAD"/>
    <w:rsid w:val="00692416"/>
    <w:rsid w:val="00692AFF"/>
    <w:rsid w:val="00692D2D"/>
    <w:rsid w:val="00693B73"/>
    <w:rsid w:val="006945A1"/>
    <w:rsid w:val="00694A53"/>
    <w:rsid w:val="006952DE"/>
    <w:rsid w:val="00695985"/>
    <w:rsid w:val="00695C78"/>
    <w:rsid w:val="00695E6C"/>
    <w:rsid w:val="00695EAC"/>
    <w:rsid w:val="00696C79"/>
    <w:rsid w:val="00697068"/>
    <w:rsid w:val="006977DE"/>
    <w:rsid w:val="00697D5F"/>
    <w:rsid w:val="006A035B"/>
    <w:rsid w:val="006A0582"/>
    <w:rsid w:val="006A060C"/>
    <w:rsid w:val="006A06F8"/>
    <w:rsid w:val="006A071C"/>
    <w:rsid w:val="006A0DC7"/>
    <w:rsid w:val="006A150D"/>
    <w:rsid w:val="006A1B00"/>
    <w:rsid w:val="006A2766"/>
    <w:rsid w:val="006A39D0"/>
    <w:rsid w:val="006A3E91"/>
    <w:rsid w:val="006A430B"/>
    <w:rsid w:val="006A4321"/>
    <w:rsid w:val="006A4E20"/>
    <w:rsid w:val="006A4F11"/>
    <w:rsid w:val="006A563C"/>
    <w:rsid w:val="006A5A6F"/>
    <w:rsid w:val="006A5F7E"/>
    <w:rsid w:val="006A6786"/>
    <w:rsid w:val="006A7C29"/>
    <w:rsid w:val="006B0580"/>
    <w:rsid w:val="006B0DA2"/>
    <w:rsid w:val="006B0F70"/>
    <w:rsid w:val="006B1486"/>
    <w:rsid w:val="006B169F"/>
    <w:rsid w:val="006B1BEB"/>
    <w:rsid w:val="006B1D06"/>
    <w:rsid w:val="006B2506"/>
    <w:rsid w:val="006B2823"/>
    <w:rsid w:val="006B29DC"/>
    <w:rsid w:val="006B2E37"/>
    <w:rsid w:val="006B2F60"/>
    <w:rsid w:val="006B33DB"/>
    <w:rsid w:val="006B33DD"/>
    <w:rsid w:val="006B3669"/>
    <w:rsid w:val="006B36E5"/>
    <w:rsid w:val="006B3D00"/>
    <w:rsid w:val="006B4CF8"/>
    <w:rsid w:val="006B506B"/>
    <w:rsid w:val="006B54E8"/>
    <w:rsid w:val="006B5FBC"/>
    <w:rsid w:val="006B6ED2"/>
    <w:rsid w:val="006B7F74"/>
    <w:rsid w:val="006C0230"/>
    <w:rsid w:val="006C05C7"/>
    <w:rsid w:val="006C25AB"/>
    <w:rsid w:val="006C2DA6"/>
    <w:rsid w:val="006C3581"/>
    <w:rsid w:val="006C39A0"/>
    <w:rsid w:val="006C3EFE"/>
    <w:rsid w:val="006C46C7"/>
    <w:rsid w:val="006C4767"/>
    <w:rsid w:val="006C4A1A"/>
    <w:rsid w:val="006C4D02"/>
    <w:rsid w:val="006C53A4"/>
    <w:rsid w:val="006C54DF"/>
    <w:rsid w:val="006C5D2E"/>
    <w:rsid w:val="006C5D5D"/>
    <w:rsid w:val="006C627E"/>
    <w:rsid w:val="006C6303"/>
    <w:rsid w:val="006C6A51"/>
    <w:rsid w:val="006C6EBD"/>
    <w:rsid w:val="006C7E04"/>
    <w:rsid w:val="006C7F79"/>
    <w:rsid w:val="006D0004"/>
    <w:rsid w:val="006D015F"/>
    <w:rsid w:val="006D060E"/>
    <w:rsid w:val="006D0665"/>
    <w:rsid w:val="006D0681"/>
    <w:rsid w:val="006D0A80"/>
    <w:rsid w:val="006D0AE8"/>
    <w:rsid w:val="006D135C"/>
    <w:rsid w:val="006D2F72"/>
    <w:rsid w:val="006D43C1"/>
    <w:rsid w:val="006D5442"/>
    <w:rsid w:val="006D6E4E"/>
    <w:rsid w:val="006D7A7B"/>
    <w:rsid w:val="006D7A8E"/>
    <w:rsid w:val="006D7C59"/>
    <w:rsid w:val="006E00E3"/>
    <w:rsid w:val="006E045C"/>
    <w:rsid w:val="006E0569"/>
    <w:rsid w:val="006E065E"/>
    <w:rsid w:val="006E0849"/>
    <w:rsid w:val="006E11D6"/>
    <w:rsid w:val="006E17AC"/>
    <w:rsid w:val="006E189B"/>
    <w:rsid w:val="006E20D9"/>
    <w:rsid w:val="006E27DC"/>
    <w:rsid w:val="006E2902"/>
    <w:rsid w:val="006E2F9D"/>
    <w:rsid w:val="006E37C6"/>
    <w:rsid w:val="006E3CF3"/>
    <w:rsid w:val="006E41ED"/>
    <w:rsid w:val="006E4667"/>
    <w:rsid w:val="006E46B7"/>
    <w:rsid w:val="006E475A"/>
    <w:rsid w:val="006E486D"/>
    <w:rsid w:val="006E4880"/>
    <w:rsid w:val="006E48BB"/>
    <w:rsid w:val="006E727B"/>
    <w:rsid w:val="006E76C8"/>
    <w:rsid w:val="006E7A92"/>
    <w:rsid w:val="006F01FF"/>
    <w:rsid w:val="006F0CB2"/>
    <w:rsid w:val="006F1DE9"/>
    <w:rsid w:val="006F2046"/>
    <w:rsid w:val="006F2F59"/>
    <w:rsid w:val="006F311E"/>
    <w:rsid w:val="006F3442"/>
    <w:rsid w:val="006F36A5"/>
    <w:rsid w:val="006F41F4"/>
    <w:rsid w:val="006F4576"/>
    <w:rsid w:val="006F49D2"/>
    <w:rsid w:val="006F5813"/>
    <w:rsid w:val="006F59A8"/>
    <w:rsid w:val="006F5A1D"/>
    <w:rsid w:val="006F71A6"/>
    <w:rsid w:val="006F7974"/>
    <w:rsid w:val="006F7C2C"/>
    <w:rsid w:val="006F7FD5"/>
    <w:rsid w:val="00700405"/>
    <w:rsid w:val="00700D18"/>
    <w:rsid w:val="0070168D"/>
    <w:rsid w:val="00701C36"/>
    <w:rsid w:val="00702F2D"/>
    <w:rsid w:val="0070353F"/>
    <w:rsid w:val="0070415E"/>
    <w:rsid w:val="00704631"/>
    <w:rsid w:val="00704B79"/>
    <w:rsid w:val="00704E7D"/>
    <w:rsid w:val="00705060"/>
    <w:rsid w:val="00705351"/>
    <w:rsid w:val="00705619"/>
    <w:rsid w:val="00705E93"/>
    <w:rsid w:val="007062AF"/>
    <w:rsid w:val="00706637"/>
    <w:rsid w:val="007069AE"/>
    <w:rsid w:val="007069D4"/>
    <w:rsid w:val="00706C89"/>
    <w:rsid w:val="00707967"/>
    <w:rsid w:val="00710257"/>
    <w:rsid w:val="00710587"/>
    <w:rsid w:val="007107D5"/>
    <w:rsid w:val="007119DC"/>
    <w:rsid w:val="00711CC7"/>
    <w:rsid w:val="0071230A"/>
    <w:rsid w:val="0071294A"/>
    <w:rsid w:val="00712BDD"/>
    <w:rsid w:val="00712E1E"/>
    <w:rsid w:val="00712F37"/>
    <w:rsid w:val="00713A6B"/>
    <w:rsid w:val="00713CB5"/>
    <w:rsid w:val="0071499C"/>
    <w:rsid w:val="00714F9D"/>
    <w:rsid w:val="007154D8"/>
    <w:rsid w:val="00715577"/>
    <w:rsid w:val="0071604D"/>
    <w:rsid w:val="00716C67"/>
    <w:rsid w:val="007170AB"/>
    <w:rsid w:val="0071779C"/>
    <w:rsid w:val="00717808"/>
    <w:rsid w:val="007208A7"/>
    <w:rsid w:val="00720B3D"/>
    <w:rsid w:val="00720B6A"/>
    <w:rsid w:val="007210F6"/>
    <w:rsid w:val="0072129A"/>
    <w:rsid w:val="0072139F"/>
    <w:rsid w:val="0072198A"/>
    <w:rsid w:val="00721AD9"/>
    <w:rsid w:val="00721FC3"/>
    <w:rsid w:val="00722A86"/>
    <w:rsid w:val="00722BC6"/>
    <w:rsid w:val="00722C69"/>
    <w:rsid w:val="0072311F"/>
    <w:rsid w:val="0072388C"/>
    <w:rsid w:val="0072454E"/>
    <w:rsid w:val="007249D1"/>
    <w:rsid w:val="00724FE4"/>
    <w:rsid w:val="00725829"/>
    <w:rsid w:val="00725D6A"/>
    <w:rsid w:val="007263A2"/>
    <w:rsid w:val="007266B9"/>
    <w:rsid w:val="00727351"/>
    <w:rsid w:val="00727AC5"/>
    <w:rsid w:val="00727C65"/>
    <w:rsid w:val="007300F0"/>
    <w:rsid w:val="00730904"/>
    <w:rsid w:val="00731EDE"/>
    <w:rsid w:val="0073245C"/>
    <w:rsid w:val="00732493"/>
    <w:rsid w:val="00732FE9"/>
    <w:rsid w:val="00733772"/>
    <w:rsid w:val="00733A43"/>
    <w:rsid w:val="00733AE4"/>
    <w:rsid w:val="00733D5F"/>
    <w:rsid w:val="00734932"/>
    <w:rsid w:val="00735D53"/>
    <w:rsid w:val="0073618A"/>
    <w:rsid w:val="007364A3"/>
    <w:rsid w:val="00736740"/>
    <w:rsid w:val="007378FD"/>
    <w:rsid w:val="007403FE"/>
    <w:rsid w:val="007413EB"/>
    <w:rsid w:val="007413FB"/>
    <w:rsid w:val="00742D32"/>
    <w:rsid w:val="00742E9B"/>
    <w:rsid w:val="007444E6"/>
    <w:rsid w:val="0074592C"/>
    <w:rsid w:val="00745C91"/>
    <w:rsid w:val="00746098"/>
    <w:rsid w:val="00746814"/>
    <w:rsid w:val="00746D58"/>
    <w:rsid w:val="00747578"/>
    <w:rsid w:val="00750D12"/>
    <w:rsid w:val="00751073"/>
    <w:rsid w:val="00751AF2"/>
    <w:rsid w:val="00751B1A"/>
    <w:rsid w:val="00751BD2"/>
    <w:rsid w:val="00751CE5"/>
    <w:rsid w:val="00752188"/>
    <w:rsid w:val="00752CC6"/>
    <w:rsid w:val="00753938"/>
    <w:rsid w:val="00753A57"/>
    <w:rsid w:val="007543CE"/>
    <w:rsid w:val="0075497E"/>
    <w:rsid w:val="00754A29"/>
    <w:rsid w:val="00755B6F"/>
    <w:rsid w:val="00755BCF"/>
    <w:rsid w:val="00756C5F"/>
    <w:rsid w:val="00756D69"/>
    <w:rsid w:val="00757029"/>
    <w:rsid w:val="007571FD"/>
    <w:rsid w:val="0075723D"/>
    <w:rsid w:val="007602D4"/>
    <w:rsid w:val="00760D96"/>
    <w:rsid w:val="0076124A"/>
    <w:rsid w:val="0076161B"/>
    <w:rsid w:val="0076182A"/>
    <w:rsid w:val="00761950"/>
    <w:rsid w:val="00761CB5"/>
    <w:rsid w:val="0076216B"/>
    <w:rsid w:val="00762948"/>
    <w:rsid w:val="00762A81"/>
    <w:rsid w:val="00763137"/>
    <w:rsid w:val="00763AED"/>
    <w:rsid w:val="00763BF0"/>
    <w:rsid w:val="00763F8B"/>
    <w:rsid w:val="007640F3"/>
    <w:rsid w:val="0076417E"/>
    <w:rsid w:val="0076497F"/>
    <w:rsid w:val="007660EC"/>
    <w:rsid w:val="007662C7"/>
    <w:rsid w:val="00766862"/>
    <w:rsid w:val="007675DD"/>
    <w:rsid w:val="007702BF"/>
    <w:rsid w:val="007705F0"/>
    <w:rsid w:val="00771CAC"/>
    <w:rsid w:val="00772036"/>
    <w:rsid w:val="00772AD2"/>
    <w:rsid w:val="00773098"/>
    <w:rsid w:val="007739A3"/>
    <w:rsid w:val="00773BD9"/>
    <w:rsid w:val="00773CB0"/>
    <w:rsid w:val="00773D71"/>
    <w:rsid w:val="00775526"/>
    <w:rsid w:val="00775651"/>
    <w:rsid w:val="00775F3F"/>
    <w:rsid w:val="0077710B"/>
    <w:rsid w:val="0077765A"/>
    <w:rsid w:val="007776E8"/>
    <w:rsid w:val="007778AE"/>
    <w:rsid w:val="00780032"/>
    <w:rsid w:val="00780636"/>
    <w:rsid w:val="00780E86"/>
    <w:rsid w:val="0078108C"/>
    <w:rsid w:val="00781727"/>
    <w:rsid w:val="007823E8"/>
    <w:rsid w:val="00782CF3"/>
    <w:rsid w:val="00783959"/>
    <w:rsid w:val="00783BA5"/>
    <w:rsid w:val="007844A9"/>
    <w:rsid w:val="00785091"/>
    <w:rsid w:val="0078638C"/>
    <w:rsid w:val="007869F9"/>
    <w:rsid w:val="00786CBB"/>
    <w:rsid w:val="00786E21"/>
    <w:rsid w:val="0079038E"/>
    <w:rsid w:val="00790EBB"/>
    <w:rsid w:val="00791C6E"/>
    <w:rsid w:val="007921F7"/>
    <w:rsid w:val="00792909"/>
    <w:rsid w:val="00792BC6"/>
    <w:rsid w:val="00792C3F"/>
    <w:rsid w:val="00792EE2"/>
    <w:rsid w:val="00792EFD"/>
    <w:rsid w:val="00793105"/>
    <w:rsid w:val="007931E8"/>
    <w:rsid w:val="00793333"/>
    <w:rsid w:val="00794158"/>
    <w:rsid w:val="00794509"/>
    <w:rsid w:val="00794E46"/>
    <w:rsid w:val="007952DE"/>
    <w:rsid w:val="00795479"/>
    <w:rsid w:val="00796292"/>
    <w:rsid w:val="007965D9"/>
    <w:rsid w:val="00796BA2"/>
    <w:rsid w:val="007972D5"/>
    <w:rsid w:val="0079778D"/>
    <w:rsid w:val="00797D73"/>
    <w:rsid w:val="007A006C"/>
    <w:rsid w:val="007A0789"/>
    <w:rsid w:val="007A130E"/>
    <w:rsid w:val="007A18B1"/>
    <w:rsid w:val="007A1BBD"/>
    <w:rsid w:val="007A1F08"/>
    <w:rsid w:val="007A2555"/>
    <w:rsid w:val="007A25FA"/>
    <w:rsid w:val="007A2DB8"/>
    <w:rsid w:val="007A2FCB"/>
    <w:rsid w:val="007A3520"/>
    <w:rsid w:val="007A3604"/>
    <w:rsid w:val="007A3878"/>
    <w:rsid w:val="007A3D85"/>
    <w:rsid w:val="007A3E0D"/>
    <w:rsid w:val="007A436D"/>
    <w:rsid w:val="007A54F6"/>
    <w:rsid w:val="007A55FE"/>
    <w:rsid w:val="007A582C"/>
    <w:rsid w:val="007A5950"/>
    <w:rsid w:val="007A6D91"/>
    <w:rsid w:val="007A7618"/>
    <w:rsid w:val="007B00C9"/>
    <w:rsid w:val="007B02C7"/>
    <w:rsid w:val="007B0306"/>
    <w:rsid w:val="007B08E4"/>
    <w:rsid w:val="007B0D86"/>
    <w:rsid w:val="007B28C3"/>
    <w:rsid w:val="007B3A8E"/>
    <w:rsid w:val="007B3C9B"/>
    <w:rsid w:val="007B4271"/>
    <w:rsid w:val="007B497D"/>
    <w:rsid w:val="007B4EE9"/>
    <w:rsid w:val="007B5234"/>
    <w:rsid w:val="007B54C7"/>
    <w:rsid w:val="007B5637"/>
    <w:rsid w:val="007B5DC5"/>
    <w:rsid w:val="007B5F32"/>
    <w:rsid w:val="007B63FC"/>
    <w:rsid w:val="007B6708"/>
    <w:rsid w:val="007B6C20"/>
    <w:rsid w:val="007B6E8D"/>
    <w:rsid w:val="007C029E"/>
    <w:rsid w:val="007C0636"/>
    <w:rsid w:val="007C10E4"/>
    <w:rsid w:val="007C17B4"/>
    <w:rsid w:val="007C20F8"/>
    <w:rsid w:val="007C21C5"/>
    <w:rsid w:val="007C2229"/>
    <w:rsid w:val="007C2313"/>
    <w:rsid w:val="007C3590"/>
    <w:rsid w:val="007C387A"/>
    <w:rsid w:val="007C3A0D"/>
    <w:rsid w:val="007C3EB0"/>
    <w:rsid w:val="007C43D6"/>
    <w:rsid w:val="007C47FF"/>
    <w:rsid w:val="007C60A8"/>
    <w:rsid w:val="007C660F"/>
    <w:rsid w:val="007C6664"/>
    <w:rsid w:val="007C66FF"/>
    <w:rsid w:val="007C69AE"/>
    <w:rsid w:val="007C6FE9"/>
    <w:rsid w:val="007C7688"/>
    <w:rsid w:val="007C76E3"/>
    <w:rsid w:val="007C76F3"/>
    <w:rsid w:val="007C7DD9"/>
    <w:rsid w:val="007D03BC"/>
    <w:rsid w:val="007D0DC9"/>
    <w:rsid w:val="007D0ECD"/>
    <w:rsid w:val="007D2882"/>
    <w:rsid w:val="007D296C"/>
    <w:rsid w:val="007D2C31"/>
    <w:rsid w:val="007D2E50"/>
    <w:rsid w:val="007D3D74"/>
    <w:rsid w:val="007D445F"/>
    <w:rsid w:val="007D4DED"/>
    <w:rsid w:val="007D5BA2"/>
    <w:rsid w:val="007D5ED3"/>
    <w:rsid w:val="007D682F"/>
    <w:rsid w:val="007D6FB9"/>
    <w:rsid w:val="007D7211"/>
    <w:rsid w:val="007E0595"/>
    <w:rsid w:val="007E0A63"/>
    <w:rsid w:val="007E0C63"/>
    <w:rsid w:val="007E0E05"/>
    <w:rsid w:val="007E0F5D"/>
    <w:rsid w:val="007E23A1"/>
    <w:rsid w:val="007E259F"/>
    <w:rsid w:val="007E347E"/>
    <w:rsid w:val="007E41A4"/>
    <w:rsid w:val="007E43E3"/>
    <w:rsid w:val="007E54B8"/>
    <w:rsid w:val="007E5D12"/>
    <w:rsid w:val="007E6420"/>
    <w:rsid w:val="007E677F"/>
    <w:rsid w:val="007E6B25"/>
    <w:rsid w:val="007E6E06"/>
    <w:rsid w:val="007E6F4A"/>
    <w:rsid w:val="007E79CC"/>
    <w:rsid w:val="007F1124"/>
    <w:rsid w:val="007F152D"/>
    <w:rsid w:val="007F20C4"/>
    <w:rsid w:val="007F20EE"/>
    <w:rsid w:val="007F23D8"/>
    <w:rsid w:val="007F3030"/>
    <w:rsid w:val="007F307A"/>
    <w:rsid w:val="007F30C6"/>
    <w:rsid w:val="007F38FD"/>
    <w:rsid w:val="007F3C18"/>
    <w:rsid w:val="007F4318"/>
    <w:rsid w:val="007F4709"/>
    <w:rsid w:val="007F47DA"/>
    <w:rsid w:val="007F4E52"/>
    <w:rsid w:val="007F4F84"/>
    <w:rsid w:val="007F5382"/>
    <w:rsid w:val="007F55A4"/>
    <w:rsid w:val="007F5D28"/>
    <w:rsid w:val="007F6260"/>
    <w:rsid w:val="007F682B"/>
    <w:rsid w:val="007F78E8"/>
    <w:rsid w:val="007F7F8F"/>
    <w:rsid w:val="00800509"/>
    <w:rsid w:val="0080078E"/>
    <w:rsid w:val="00800B7F"/>
    <w:rsid w:val="008012B1"/>
    <w:rsid w:val="00801D63"/>
    <w:rsid w:val="0080348B"/>
    <w:rsid w:val="00803D82"/>
    <w:rsid w:val="00803D98"/>
    <w:rsid w:val="008052CE"/>
    <w:rsid w:val="008058D0"/>
    <w:rsid w:val="00806A4C"/>
    <w:rsid w:val="00806FED"/>
    <w:rsid w:val="0080705B"/>
    <w:rsid w:val="0080723C"/>
    <w:rsid w:val="00807F71"/>
    <w:rsid w:val="0081000F"/>
    <w:rsid w:val="00812657"/>
    <w:rsid w:val="00812A1A"/>
    <w:rsid w:val="00812DFF"/>
    <w:rsid w:val="0081362F"/>
    <w:rsid w:val="0081383A"/>
    <w:rsid w:val="0081497F"/>
    <w:rsid w:val="00814B90"/>
    <w:rsid w:val="00814FC7"/>
    <w:rsid w:val="0081660C"/>
    <w:rsid w:val="00816AD8"/>
    <w:rsid w:val="00817195"/>
    <w:rsid w:val="00817416"/>
    <w:rsid w:val="00817658"/>
    <w:rsid w:val="008206AE"/>
    <w:rsid w:val="00821271"/>
    <w:rsid w:val="00821306"/>
    <w:rsid w:val="008213D9"/>
    <w:rsid w:val="008216CE"/>
    <w:rsid w:val="008218AE"/>
    <w:rsid w:val="00821D85"/>
    <w:rsid w:val="00821E47"/>
    <w:rsid w:val="008220F6"/>
    <w:rsid w:val="00822456"/>
    <w:rsid w:val="00823819"/>
    <w:rsid w:val="00823C4B"/>
    <w:rsid w:val="0082427D"/>
    <w:rsid w:val="00825441"/>
    <w:rsid w:val="00826855"/>
    <w:rsid w:val="00826E73"/>
    <w:rsid w:val="00830052"/>
    <w:rsid w:val="008300D0"/>
    <w:rsid w:val="008308D8"/>
    <w:rsid w:val="00830ECE"/>
    <w:rsid w:val="008320D2"/>
    <w:rsid w:val="008321CE"/>
    <w:rsid w:val="0083257C"/>
    <w:rsid w:val="0083261B"/>
    <w:rsid w:val="00832B44"/>
    <w:rsid w:val="00832EC9"/>
    <w:rsid w:val="00833307"/>
    <w:rsid w:val="00833583"/>
    <w:rsid w:val="00833B5B"/>
    <w:rsid w:val="00833E9A"/>
    <w:rsid w:val="00834FEF"/>
    <w:rsid w:val="00836323"/>
    <w:rsid w:val="008379FF"/>
    <w:rsid w:val="00837D3D"/>
    <w:rsid w:val="00837E9B"/>
    <w:rsid w:val="008404AA"/>
    <w:rsid w:val="008406D7"/>
    <w:rsid w:val="0084074F"/>
    <w:rsid w:val="008407BA"/>
    <w:rsid w:val="00840AA3"/>
    <w:rsid w:val="00840AAC"/>
    <w:rsid w:val="0084101C"/>
    <w:rsid w:val="0084181B"/>
    <w:rsid w:val="00841F29"/>
    <w:rsid w:val="0084218B"/>
    <w:rsid w:val="008425CC"/>
    <w:rsid w:val="00842DC2"/>
    <w:rsid w:val="0084357B"/>
    <w:rsid w:val="008465B4"/>
    <w:rsid w:val="00846D25"/>
    <w:rsid w:val="00850013"/>
    <w:rsid w:val="008500DD"/>
    <w:rsid w:val="00850A0A"/>
    <w:rsid w:val="00850A94"/>
    <w:rsid w:val="00851CEF"/>
    <w:rsid w:val="00851E96"/>
    <w:rsid w:val="00851F1C"/>
    <w:rsid w:val="0085237B"/>
    <w:rsid w:val="00852FA5"/>
    <w:rsid w:val="00853864"/>
    <w:rsid w:val="00853F7D"/>
    <w:rsid w:val="0085517F"/>
    <w:rsid w:val="0085562D"/>
    <w:rsid w:val="00855A78"/>
    <w:rsid w:val="00856154"/>
    <w:rsid w:val="00856286"/>
    <w:rsid w:val="0085657E"/>
    <w:rsid w:val="00856F0E"/>
    <w:rsid w:val="008573AF"/>
    <w:rsid w:val="008576B0"/>
    <w:rsid w:val="00860296"/>
    <w:rsid w:val="008602E3"/>
    <w:rsid w:val="00860DA4"/>
    <w:rsid w:val="00861146"/>
    <w:rsid w:val="00861948"/>
    <w:rsid w:val="00862011"/>
    <w:rsid w:val="00862A15"/>
    <w:rsid w:val="00862CC9"/>
    <w:rsid w:val="00862D8E"/>
    <w:rsid w:val="00862EF2"/>
    <w:rsid w:val="0086598A"/>
    <w:rsid w:val="00865C3D"/>
    <w:rsid w:val="00865F4C"/>
    <w:rsid w:val="00866453"/>
    <w:rsid w:val="0086707F"/>
    <w:rsid w:val="00867501"/>
    <w:rsid w:val="00867D8E"/>
    <w:rsid w:val="008700C0"/>
    <w:rsid w:val="0087058B"/>
    <w:rsid w:val="0087099A"/>
    <w:rsid w:val="00870D79"/>
    <w:rsid w:val="00871333"/>
    <w:rsid w:val="00871952"/>
    <w:rsid w:val="00872006"/>
    <w:rsid w:val="00872386"/>
    <w:rsid w:val="008726D7"/>
    <w:rsid w:val="008730BB"/>
    <w:rsid w:val="00873128"/>
    <w:rsid w:val="008735BC"/>
    <w:rsid w:val="00873AAC"/>
    <w:rsid w:val="00873C61"/>
    <w:rsid w:val="00873DFD"/>
    <w:rsid w:val="008749BF"/>
    <w:rsid w:val="00875542"/>
    <w:rsid w:val="00875E14"/>
    <w:rsid w:val="0087677E"/>
    <w:rsid w:val="0087712C"/>
    <w:rsid w:val="008776E7"/>
    <w:rsid w:val="00877746"/>
    <w:rsid w:val="00877C5D"/>
    <w:rsid w:val="00880354"/>
    <w:rsid w:val="0088093C"/>
    <w:rsid w:val="00880BC0"/>
    <w:rsid w:val="0088127A"/>
    <w:rsid w:val="00881D59"/>
    <w:rsid w:val="00882991"/>
    <w:rsid w:val="00882EC1"/>
    <w:rsid w:val="0088324E"/>
    <w:rsid w:val="0088434F"/>
    <w:rsid w:val="00884371"/>
    <w:rsid w:val="008848E2"/>
    <w:rsid w:val="00884B7A"/>
    <w:rsid w:val="00884D47"/>
    <w:rsid w:val="008856C5"/>
    <w:rsid w:val="00886112"/>
    <w:rsid w:val="008872B3"/>
    <w:rsid w:val="00887392"/>
    <w:rsid w:val="00890A64"/>
    <w:rsid w:val="00890C40"/>
    <w:rsid w:val="0089122E"/>
    <w:rsid w:val="008912A7"/>
    <w:rsid w:val="0089183A"/>
    <w:rsid w:val="008920B4"/>
    <w:rsid w:val="008925EB"/>
    <w:rsid w:val="0089275E"/>
    <w:rsid w:val="00892B43"/>
    <w:rsid w:val="00893432"/>
    <w:rsid w:val="00893936"/>
    <w:rsid w:val="00893CE2"/>
    <w:rsid w:val="00893F41"/>
    <w:rsid w:val="00895144"/>
    <w:rsid w:val="00895963"/>
    <w:rsid w:val="0089653D"/>
    <w:rsid w:val="008972B6"/>
    <w:rsid w:val="00897339"/>
    <w:rsid w:val="00897697"/>
    <w:rsid w:val="008977E1"/>
    <w:rsid w:val="00897BFA"/>
    <w:rsid w:val="00897D19"/>
    <w:rsid w:val="008A0044"/>
    <w:rsid w:val="008A0BFE"/>
    <w:rsid w:val="008A1932"/>
    <w:rsid w:val="008A21D9"/>
    <w:rsid w:val="008A232D"/>
    <w:rsid w:val="008A3182"/>
    <w:rsid w:val="008A3C76"/>
    <w:rsid w:val="008A3D54"/>
    <w:rsid w:val="008A3E10"/>
    <w:rsid w:val="008A411C"/>
    <w:rsid w:val="008A45AC"/>
    <w:rsid w:val="008A4630"/>
    <w:rsid w:val="008A47CE"/>
    <w:rsid w:val="008A4DFA"/>
    <w:rsid w:val="008A5F2F"/>
    <w:rsid w:val="008A6BAE"/>
    <w:rsid w:val="008A7350"/>
    <w:rsid w:val="008A7A72"/>
    <w:rsid w:val="008B09F3"/>
    <w:rsid w:val="008B111A"/>
    <w:rsid w:val="008B16E6"/>
    <w:rsid w:val="008B1AB2"/>
    <w:rsid w:val="008B1D9B"/>
    <w:rsid w:val="008B2042"/>
    <w:rsid w:val="008B25F1"/>
    <w:rsid w:val="008B3567"/>
    <w:rsid w:val="008B36D0"/>
    <w:rsid w:val="008B38AF"/>
    <w:rsid w:val="008B3D7F"/>
    <w:rsid w:val="008B3E1B"/>
    <w:rsid w:val="008B3F4B"/>
    <w:rsid w:val="008B48EC"/>
    <w:rsid w:val="008B4AF0"/>
    <w:rsid w:val="008B518E"/>
    <w:rsid w:val="008B527B"/>
    <w:rsid w:val="008B5AB9"/>
    <w:rsid w:val="008B67E6"/>
    <w:rsid w:val="008B69B8"/>
    <w:rsid w:val="008B7042"/>
    <w:rsid w:val="008B770C"/>
    <w:rsid w:val="008C0325"/>
    <w:rsid w:val="008C094A"/>
    <w:rsid w:val="008C1570"/>
    <w:rsid w:val="008C1792"/>
    <w:rsid w:val="008C17B2"/>
    <w:rsid w:val="008C1E3E"/>
    <w:rsid w:val="008C2059"/>
    <w:rsid w:val="008C21D0"/>
    <w:rsid w:val="008C2DBC"/>
    <w:rsid w:val="008C3A4E"/>
    <w:rsid w:val="008C5371"/>
    <w:rsid w:val="008C623D"/>
    <w:rsid w:val="008C65F4"/>
    <w:rsid w:val="008C6683"/>
    <w:rsid w:val="008C6E0C"/>
    <w:rsid w:val="008C7273"/>
    <w:rsid w:val="008C78F8"/>
    <w:rsid w:val="008D05DF"/>
    <w:rsid w:val="008D09E8"/>
    <w:rsid w:val="008D0E65"/>
    <w:rsid w:val="008D110A"/>
    <w:rsid w:val="008D1612"/>
    <w:rsid w:val="008D2259"/>
    <w:rsid w:val="008D2531"/>
    <w:rsid w:val="008D2833"/>
    <w:rsid w:val="008D2A5B"/>
    <w:rsid w:val="008D313A"/>
    <w:rsid w:val="008D3381"/>
    <w:rsid w:val="008D33FE"/>
    <w:rsid w:val="008D3B9F"/>
    <w:rsid w:val="008D3D02"/>
    <w:rsid w:val="008D3D5A"/>
    <w:rsid w:val="008D4226"/>
    <w:rsid w:val="008D4D7C"/>
    <w:rsid w:val="008D5432"/>
    <w:rsid w:val="008D54C0"/>
    <w:rsid w:val="008D5558"/>
    <w:rsid w:val="008D5806"/>
    <w:rsid w:val="008D5ED9"/>
    <w:rsid w:val="008D65BE"/>
    <w:rsid w:val="008D7247"/>
    <w:rsid w:val="008D7567"/>
    <w:rsid w:val="008E0EE4"/>
    <w:rsid w:val="008E12BE"/>
    <w:rsid w:val="008E13FD"/>
    <w:rsid w:val="008E1C24"/>
    <w:rsid w:val="008E2626"/>
    <w:rsid w:val="008E27A9"/>
    <w:rsid w:val="008E323C"/>
    <w:rsid w:val="008E32E0"/>
    <w:rsid w:val="008E35A6"/>
    <w:rsid w:val="008E36D9"/>
    <w:rsid w:val="008E3A5C"/>
    <w:rsid w:val="008E3A9A"/>
    <w:rsid w:val="008E429E"/>
    <w:rsid w:val="008E58A3"/>
    <w:rsid w:val="008E5938"/>
    <w:rsid w:val="008E6109"/>
    <w:rsid w:val="008E6A39"/>
    <w:rsid w:val="008E76BB"/>
    <w:rsid w:val="008F1764"/>
    <w:rsid w:val="008F1E3D"/>
    <w:rsid w:val="008F235C"/>
    <w:rsid w:val="008F290B"/>
    <w:rsid w:val="008F2F11"/>
    <w:rsid w:val="008F3369"/>
    <w:rsid w:val="008F33A6"/>
    <w:rsid w:val="008F35EC"/>
    <w:rsid w:val="008F4FE8"/>
    <w:rsid w:val="008F4FED"/>
    <w:rsid w:val="008F5D5A"/>
    <w:rsid w:val="008F60F3"/>
    <w:rsid w:val="008F6200"/>
    <w:rsid w:val="008F62F8"/>
    <w:rsid w:val="008F6893"/>
    <w:rsid w:val="008F7292"/>
    <w:rsid w:val="008F76C0"/>
    <w:rsid w:val="009000F2"/>
    <w:rsid w:val="0090079D"/>
    <w:rsid w:val="0090086A"/>
    <w:rsid w:val="00900D2C"/>
    <w:rsid w:val="00901807"/>
    <w:rsid w:val="00901F0E"/>
    <w:rsid w:val="00902A26"/>
    <w:rsid w:val="00902A57"/>
    <w:rsid w:val="00902B29"/>
    <w:rsid w:val="00903C83"/>
    <w:rsid w:val="00903D77"/>
    <w:rsid w:val="0090408F"/>
    <w:rsid w:val="0090446A"/>
    <w:rsid w:val="00904537"/>
    <w:rsid w:val="00904DC3"/>
    <w:rsid w:val="0090534A"/>
    <w:rsid w:val="00905469"/>
    <w:rsid w:val="00906078"/>
    <w:rsid w:val="0090629C"/>
    <w:rsid w:val="00906EA2"/>
    <w:rsid w:val="00907278"/>
    <w:rsid w:val="009076CA"/>
    <w:rsid w:val="00910041"/>
    <w:rsid w:val="0091112B"/>
    <w:rsid w:val="00911D61"/>
    <w:rsid w:val="00912850"/>
    <w:rsid w:val="009128B8"/>
    <w:rsid w:val="009141F2"/>
    <w:rsid w:val="0091472C"/>
    <w:rsid w:val="00914DC9"/>
    <w:rsid w:val="00915243"/>
    <w:rsid w:val="00915351"/>
    <w:rsid w:val="00915679"/>
    <w:rsid w:val="009159C2"/>
    <w:rsid w:val="0091627F"/>
    <w:rsid w:val="00916E45"/>
    <w:rsid w:val="0092077A"/>
    <w:rsid w:val="00920DC0"/>
    <w:rsid w:val="009219F3"/>
    <w:rsid w:val="009221CB"/>
    <w:rsid w:val="00922320"/>
    <w:rsid w:val="00923643"/>
    <w:rsid w:val="00923E1A"/>
    <w:rsid w:val="009245CC"/>
    <w:rsid w:val="0092490A"/>
    <w:rsid w:val="00924E4B"/>
    <w:rsid w:val="00925A3E"/>
    <w:rsid w:val="009261DB"/>
    <w:rsid w:val="00926939"/>
    <w:rsid w:val="00926F4C"/>
    <w:rsid w:val="00927330"/>
    <w:rsid w:val="00927710"/>
    <w:rsid w:val="009307CA"/>
    <w:rsid w:val="009312F9"/>
    <w:rsid w:val="00931445"/>
    <w:rsid w:val="00931AB8"/>
    <w:rsid w:val="00931C19"/>
    <w:rsid w:val="00931C63"/>
    <w:rsid w:val="00931D10"/>
    <w:rsid w:val="0093218A"/>
    <w:rsid w:val="0093386D"/>
    <w:rsid w:val="00934C8E"/>
    <w:rsid w:val="00935194"/>
    <w:rsid w:val="0093545F"/>
    <w:rsid w:val="00936EA5"/>
    <w:rsid w:val="00937114"/>
    <w:rsid w:val="0094015D"/>
    <w:rsid w:val="00940916"/>
    <w:rsid w:val="009412B7"/>
    <w:rsid w:val="00941B13"/>
    <w:rsid w:val="0094215C"/>
    <w:rsid w:val="00942A27"/>
    <w:rsid w:val="00942F8E"/>
    <w:rsid w:val="00943543"/>
    <w:rsid w:val="009441DB"/>
    <w:rsid w:val="00944834"/>
    <w:rsid w:val="00946128"/>
    <w:rsid w:val="0094633F"/>
    <w:rsid w:val="00947BA5"/>
    <w:rsid w:val="00950805"/>
    <w:rsid w:val="009517E4"/>
    <w:rsid w:val="009518D4"/>
    <w:rsid w:val="009520BC"/>
    <w:rsid w:val="009521D2"/>
    <w:rsid w:val="00952403"/>
    <w:rsid w:val="00952589"/>
    <w:rsid w:val="00952BD8"/>
    <w:rsid w:val="00953573"/>
    <w:rsid w:val="0095370A"/>
    <w:rsid w:val="009537C0"/>
    <w:rsid w:val="009557A9"/>
    <w:rsid w:val="00956647"/>
    <w:rsid w:val="00956CF3"/>
    <w:rsid w:val="00957380"/>
    <w:rsid w:val="00957409"/>
    <w:rsid w:val="00957499"/>
    <w:rsid w:val="00957ED2"/>
    <w:rsid w:val="009604AE"/>
    <w:rsid w:val="009609AF"/>
    <w:rsid w:val="00960DE4"/>
    <w:rsid w:val="009610C7"/>
    <w:rsid w:val="00961164"/>
    <w:rsid w:val="009612A4"/>
    <w:rsid w:val="00961867"/>
    <w:rsid w:val="00961A07"/>
    <w:rsid w:val="00961A4F"/>
    <w:rsid w:val="009625B7"/>
    <w:rsid w:val="00962FB8"/>
    <w:rsid w:val="00963183"/>
    <w:rsid w:val="0096373F"/>
    <w:rsid w:val="00964007"/>
    <w:rsid w:val="00964283"/>
    <w:rsid w:val="009642A4"/>
    <w:rsid w:val="009643F4"/>
    <w:rsid w:val="009645A6"/>
    <w:rsid w:val="00964F5A"/>
    <w:rsid w:val="0096527F"/>
    <w:rsid w:val="009653ED"/>
    <w:rsid w:val="009664AE"/>
    <w:rsid w:val="00966A21"/>
    <w:rsid w:val="00966AD2"/>
    <w:rsid w:val="0097025C"/>
    <w:rsid w:val="00971415"/>
    <w:rsid w:val="009716D8"/>
    <w:rsid w:val="00971F54"/>
    <w:rsid w:val="00972057"/>
    <w:rsid w:val="0097227B"/>
    <w:rsid w:val="0097262E"/>
    <w:rsid w:val="0097293F"/>
    <w:rsid w:val="00973103"/>
    <w:rsid w:val="00974022"/>
    <w:rsid w:val="009743E8"/>
    <w:rsid w:val="009745D8"/>
    <w:rsid w:val="00974F3B"/>
    <w:rsid w:val="0097552A"/>
    <w:rsid w:val="0097564A"/>
    <w:rsid w:val="00975974"/>
    <w:rsid w:val="00975D06"/>
    <w:rsid w:val="00975D63"/>
    <w:rsid w:val="00975DAE"/>
    <w:rsid w:val="00976BBE"/>
    <w:rsid w:val="0098055B"/>
    <w:rsid w:val="00980B30"/>
    <w:rsid w:val="009810BE"/>
    <w:rsid w:val="009817BC"/>
    <w:rsid w:val="009819A7"/>
    <w:rsid w:val="0098220A"/>
    <w:rsid w:val="00982E75"/>
    <w:rsid w:val="00983337"/>
    <w:rsid w:val="009836AA"/>
    <w:rsid w:val="009846BF"/>
    <w:rsid w:val="009851F5"/>
    <w:rsid w:val="0098534B"/>
    <w:rsid w:val="00986019"/>
    <w:rsid w:val="00986281"/>
    <w:rsid w:val="00986FC9"/>
    <w:rsid w:val="0098764E"/>
    <w:rsid w:val="00987683"/>
    <w:rsid w:val="00987826"/>
    <w:rsid w:val="00987B4F"/>
    <w:rsid w:val="00987D58"/>
    <w:rsid w:val="0099034B"/>
    <w:rsid w:val="009906D4"/>
    <w:rsid w:val="00990A8E"/>
    <w:rsid w:val="00990EB7"/>
    <w:rsid w:val="00990F5F"/>
    <w:rsid w:val="009911A7"/>
    <w:rsid w:val="009913B8"/>
    <w:rsid w:val="009914E4"/>
    <w:rsid w:val="00992141"/>
    <w:rsid w:val="009921DB"/>
    <w:rsid w:val="00992C67"/>
    <w:rsid w:val="00992D5B"/>
    <w:rsid w:val="00993135"/>
    <w:rsid w:val="00993AC7"/>
    <w:rsid w:val="00993BAD"/>
    <w:rsid w:val="00993E49"/>
    <w:rsid w:val="00994120"/>
    <w:rsid w:val="009942F5"/>
    <w:rsid w:val="00994568"/>
    <w:rsid w:val="00994602"/>
    <w:rsid w:val="00995B01"/>
    <w:rsid w:val="00996055"/>
    <w:rsid w:val="00996EF4"/>
    <w:rsid w:val="00997044"/>
    <w:rsid w:val="00997BC9"/>
    <w:rsid w:val="009A113D"/>
    <w:rsid w:val="009A1ECA"/>
    <w:rsid w:val="009A2BE9"/>
    <w:rsid w:val="009A2BF3"/>
    <w:rsid w:val="009A3688"/>
    <w:rsid w:val="009A3713"/>
    <w:rsid w:val="009A3C3E"/>
    <w:rsid w:val="009A4153"/>
    <w:rsid w:val="009A4C2C"/>
    <w:rsid w:val="009A4E60"/>
    <w:rsid w:val="009A59B3"/>
    <w:rsid w:val="009A5FAE"/>
    <w:rsid w:val="009A6B3A"/>
    <w:rsid w:val="009A70A3"/>
    <w:rsid w:val="009A7E7C"/>
    <w:rsid w:val="009B05D2"/>
    <w:rsid w:val="009B152B"/>
    <w:rsid w:val="009B2731"/>
    <w:rsid w:val="009B2DCF"/>
    <w:rsid w:val="009B39D8"/>
    <w:rsid w:val="009B3D38"/>
    <w:rsid w:val="009B4368"/>
    <w:rsid w:val="009B4D4C"/>
    <w:rsid w:val="009B66F5"/>
    <w:rsid w:val="009B7505"/>
    <w:rsid w:val="009C0020"/>
    <w:rsid w:val="009C03F7"/>
    <w:rsid w:val="009C10DA"/>
    <w:rsid w:val="009C19FC"/>
    <w:rsid w:val="009C27F7"/>
    <w:rsid w:val="009C3BC4"/>
    <w:rsid w:val="009C3C93"/>
    <w:rsid w:val="009C3E97"/>
    <w:rsid w:val="009C4017"/>
    <w:rsid w:val="009C424E"/>
    <w:rsid w:val="009C4708"/>
    <w:rsid w:val="009C4870"/>
    <w:rsid w:val="009C4C4E"/>
    <w:rsid w:val="009C4D37"/>
    <w:rsid w:val="009C574C"/>
    <w:rsid w:val="009C5753"/>
    <w:rsid w:val="009C5E42"/>
    <w:rsid w:val="009C620F"/>
    <w:rsid w:val="009C657D"/>
    <w:rsid w:val="009C724B"/>
    <w:rsid w:val="009C7266"/>
    <w:rsid w:val="009C748A"/>
    <w:rsid w:val="009D03B7"/>
    <w:rsid w:val="009D07AD"/>
    <w:rsid w:val="009D0824"/>
    <w:rsid w:val="009D1172"/>
    <w:rsid w:val="009D13CC"/>
    <w:rsid w:val="009D1654"/>
    <w:rsid w:val="009D1AAC"/>
    <w:rsid w:val="009D1BDB"/>
    <w:rsid w:val="009D298F"/>
    <w:rsid w:val="009D2F9C"/>
    <w:rsid w:val="009D4207"/>
    <w:rsid w:val="009D4E4A"/>
    <w:rsid w:val="009D5130"/>
    <w:rsid w:val="009D53D1"/>
    <w:rsid w:val="009D53FB"/>
    <w:rsid w:val="009D56A4"/>
    <w:rsid w:val="009D6081"/>
    <w:rsid w:val="009D678C"/>
    <w:rsid w:val="009D6B9A"/>
    <w:rsid w:val="009D6D30"/>
    <w:rsid w:val="009D7523"/>
    <w:rsid w:val="009D76B5"/>
    <w:rsid w:val="009D7AF1"/>
    <w:rsid w:val="009D7BC7"/>
    <w:rsid w:val="009D7FAC"/>
    <w:rsid w:val="009E0109"/>
    <w:rsid w:val="009E0342"/>
    <w:rsid w:val="009E098B"/>
    <w:rsid w:val="009E09AB"/>
    <w:rsid w:val="009E0D7D"/>
    <w:rsid w:val="009E0DAF"/>
    <w:rsid w:val="009E19BB"/>
    <w:rsid w:val="009E1C47"/>
    <w:rsid w:val="009E38D1"/>
    <w:rsid w:val="009E3DF1"/>
    <w:rsid w:val="009E514A"/>
    <w:rsid w:val="009E5177"/>
    <w:rsid w:val="009E5701"/>
    <w:rsid w:val="009E5711"/>
    <w:rsid w:val="009E758E"/>
    <w:rsid w:val="009E7BA2"/>
    <w:rsid w:val="009E7BFB"/>
    <w:rsid w:val="009E7D6B"/>
    <w:rsid w:val="009E7E81"/>
    <w:rsid w:val="009F020A"/>
    <w:rsid w:val="009F05AD"/>
    <w:rsid w:val="009F0659"/>
    <w:rsid w:val="009F1109"/>
    <w:rsid w:val="009F143E"/>
    <w:rsid w:val="009F1DE8"/>
    <w:rsid w:val="009F2186"/>
    <w:rsid w:val="009F227C"/>
    <w:rsid w:val="009F28DC"/>
    <w:rsid w:val="009F2EDB"/>
    <w:rsid w:val="009F33DC"/>
    <w:rsid w:val="009F3572"/>
    <w:rsid w:val="009F4550"/>
    <w:rsid w:val="009F56C0"/>
    <w:rsid w:val="009F5C76"/>
    <w:rsid w:val="00A000C5"/>
    <w:rsid w:val="00A007B4"/>
    <w:rsid w:val="00A00930"/>
    <w:rsid w:val="00A00CA0"/>
    <w:rsid w:val="00A00E00"/>
    <w:rsid w:val="00A01221"/>
    <w:rsid w:val="00A012A8"/>
    <w:rsid w:val="00A012F1"/>
    <w:rsid w:val="00A016FF"/>
    <w:rsid w:val="00A01886"/>
    <w:rsid w:val="00A0207F"/>
    <w:rsid w:val="00A021AF"/>
    <w:rsid w:val="00A027B1"/>
    <w:rsid w:val="00A0307A"/>
    <w:rsid w:val="00A03A7C"/>
    <w:rsid w:val="00A044AA"/>
    <w:rsid w:val="00A0686F"/>
    <w:rsid w:val="00A0700C"/>
    <w:rsid w:val="00A102F8"/>
    <w:rsid w:val="00A10A20"/>
    <w:rsid w:val="00A117D5"/>
    <w:rsid w:val="00A11C11"/>
    <w:rsid w:val="00A12720"/>
    <w:rsid w:val="00A12ED1"/>
    <w:rsid w:val="00A13121"/>
    <w:rsid w:val="00A131F5"/>
    <w:rsid w:val="00A133C1"/>
    <w:rsid w:val="00A13414"/>
    <w:rsid w:val="00A13675"/>
    <w:rsid w:val="00A138B7"/>
    <w:rsid w:val="00A13F2D"/>
    <w:rsid w:val="00A148A0"/>
    <w:rsid w:val="00A14AA8"/>
    <w:rsid w:val="00A14F81"/>
    <w:rsid w:val="00A1535F"/>
    <w:rsid w:val="00A15CB1"/>
    <w:rsid w:val="00A15DCC"/>
    <w:rsid w:val="00A15E7D"/>
    <w:rsid w:val="00A15E84"/>
    <w:rsid w:val="00A16021"/>
    <w:rsid w:val="00A16961"/>
    <w:rsid w:val="00A176DD"/>
    <w:rsid w:val="00A21838"/>
    <w:rsid w:val="00A22C3E"/>
    <w:rsid w:val="00A22C4D"/>
    <w:rsid w:val="00A2334E"/>
    <w:rsid w:val="00A23442"/>
    <w:rsid w:val="00A249D2"/>
    <w:rsid w:val="00A254AB"/>
    <w:rsid w:val="00A259F2"/>
    <w:rsid w:val="00A266CC"/>
    <w:rsid w:val="00A26DB4"/>
    <w:rsid w:val="00A27425"/>
    <w:rsid w:val="00A3023E"/>
    <w:rsid w:val="00A305C5"/>
    <w:rsid w:val="00A30919"/>
    <w:rsid w:val="00A31F05"/>
    <w:rsid w:val="00A31FD2"/>
    <w:rsid w:val="00A3404D"/>
    <w:rsid w:val="00A341AB"/>
    <w:rsid w:val="00A34290"/>
    <w:rsid w:val="00A355F9"/>
    <w:rsid w:val="00A357D3"/>
    <w:rsid w:val="00A35AA9"/>
    <w:rsid w:val="00A35F3C"/>
    <w:rsid w:val="00A36CF6"/>
    <w:rsid w:val="00A37309"/>
    <w:rsid w:val="00A37329"/>
    <w:rsid w:val="00A37558"/>
    <w:rsid w:val="00A3786A"/>
    <w:rsid w:val="00A4008C"/>
    <w:rsid w:val="00A402A8"/>
    <w:rsid w:val="00A40685"/>
    <w:rsid w:val="00A40E2F"/>
    <w:rsid w:val="00A41819"/>
    <w:rsid w:val="00A41C9A"/>
    <w:rsid w:val="00A41D73"/>
    <w:rsid w:val="00A42406"/>
    <w:rsid w:val="00A42A74"/>
    <w:rsid w:val="00A433E8"/>
    <w:rsid w:val="00A43A1D"/>
    <w:rsid w:val="00A43AB0"/>
    <w:rsid w:val="00A44854"/>
    <w:rsid w:val="00A44A45"/>
    <w:rsid w:val="00A4665D"/>
    <w:rsid w:val="00A46859"/>
    <w:rsid w:val="00A46D39"/>
    <w:rsid w:val="00A47019"/>
    <w:rsid w:val="00A472B8"/>
    <w:rsid w:val="00A5004A"/>
    <w:rsid w:val="00A5017C"/>
    <w:rsid w:val="00A502D6"/>
    <w:rsid w:val="00A502F5"/>
    <w:rsid w:val="00A504F4"/>
    <w:rsid w:val="00A507C4"/>
    <w:rsid w:val="00A508AA"/>
    <w:rsid w:val="00A50EE7"/>
    <w:rsid w:val="00A526CE"/>
    <w:rsid w:val="00A53D28"/>
    <w:rsid w:val="00A5468F"/>
    <w:rsid w:val="00A54909"/>
    <w:rsid w:val="00A54DC0"/>
    <w:rsid w:val="00A550C9"/>
    <w:rsid w:val="00A55228"/>
    <w:rsid w:val="00A55410"/>
    <w:rsid w:val="00A55A04"/>
    <w:rsid w:val="00A564DE"/>
    <w:rsid w:val="00A6054E"/>
    <w:rsid w:val="00A60799"/>
    <w:rsid w:val="00A6170B"/>
    <w:rsid w:val="00A61767"/>
    <w:rsid w:val="00A61991"/>
    <w:rsid w:val="00A61B7F"/>
    <w:rsid w:val="00A61B91"/>
    <w:rsid w:val="00A61C3A"/>
    <w:rsid w:val="00A620E8"/>
    <w:rsid w:val="00A63335"/>
    <w:rsid w:val="00A634EB"/>
    <w:rsid w:val="00A63685"/>
    <w:rsid w:val="00A63EA5"/>
    <w:rsid w:val="00A64545"/>
    <w:rsid w:val="00A645AC"/>
    <w:rsid w:val="00A64C79"/>
    <w:rsid w:val="00A65EFB"/>
    <w:rsid w:val="00A66E28"/>
    <w:rsid w:val="00A6707F"/>
    <w:rsid w:val="00A67429"/>
    <w:rsid w:val="00A677E7"/>
    <w:rsid w:val="00A67CE9"/>
    <w:rsid w:val="00A70590"/>
    <w:rsid w:val="00A7062E"/>
    <w:rsid w:val="00A70834"/>
    <w:rsid w:val="00A71542"/>
    <w:rsid w:val="00A7171F"/>
    <w:rsid w:val="00A71FA0"/>
    <w:rsid w:val="00A71FBD"/>
    <w:rsid w:val="00A72727"/>
    <w:rsid w:val="00A727D8"/>
    <w:rsid w:val="00A72C1A"/>
    <w:rsid w:val="00A732FB"/>
    <w:rsid w:val="00A7463E"/>
    <w:rsid w:val="00A74E67"/>
    <w:rsid w:val="00A758E2"/>
    <w:rsid w:val="00A765B1"/>
    <w:rsid w:val="00A772F2"/>
    <w:rsid w:val="00A77828"/>
    <w:rsid w:val="00A77BAA"/>
    <w:rsid w:val="00A800F9"/>
    <w:rsid w:val="00A803A6"/>
    <w:rsid w:val="00A8073D"/>
    <w:rsid w:val="00A80D02"/>
    <w:rsid w:val="00A815FB"/>
    <w:rsid w:val="00A81AEB"/>
    <w:rsid w:val="00A82D32"/>
    <w:rsid w:val="00A82EAE"/>
    <w:rsid w:val="00A82FC7"/>
    <w:rsid w:val="00A847F9"/>
    <w:rsid w:val="00A84F27"/>
    <w:rsid w:val="00A8519C"/>
    <w:rsid w:val="00A855EE"/>
    <w:rsid w:val="00A8597A"/>
    <w:rsid w:val="00A85B87"/>
    <w:rsid w:val="00A85F83"/>
    <w:rsid w:val="00A86019"/>
    <w:rsid w:val="00A86EED"/>
    <w:rsid w:val="00A8733A"/>
    <w:rsid w:val="00A9151F"/>
    <w:rsid w:val="00A9196B"/>
    <w:rsid w:val="00A91BB5"/>
    <w:rsid w:val="00A91BEE"/>
    <w:rsid w:val="00A91D4B"/>
    <w:rsid w:val="00A920B2"/>
    <w:rsid w:val="00A92A96"/>
    <w:rsid w:val="00A92AF0"/>
    <w:rsid w:val="00A933FE"/>
    <w:rsid w:val="00A937D5"/>
    <w:rsid w:val="00A93C70"/>
    <w:rsid w:val="00A94A32"/>
    <w:rsid w:val="00A94AFC"/>
    <w:rsid w:val="00A94B4E"/>
    <w:rsid w:val="00A94BF5"/>
    <w:rsid w:val="00A954F8"/>
    <w:rsid w:val="00A962AE"/>
    <w:rsid w:val="00A9686A"/>
    <w:rsid w:val="00A96B4A"/>
    <w:rsid w:val="00A97BDA"/>
    <w:rsid w:val="00AA043A"/>
    <w:rsid w:val="00AA0779"/>
    <w:rsid w:val="00AA08F3"/>
    <w:rsid w:val="00AA0A7E"/>
    <w:rsid w:val="00AA0F23"/>
    <w:rsid w:val="00AA1067"/>
    <w:rsid w:val="00AA1163"/>
    <w:rsid w:val="00AA1DA8"/>
    <w:rsid w:val="00AA222C"/>
    <w:rsid w:val="00AA2264"/>
    <w:rsid w:val="00AA238E"/>
    <w:rsid w:val="00AA2483"/>
    <w:rsid w:val="00AA253B"/>
    <w:rsid w:val="00AA29F8"/>
    <w:rsid w:val="00AA3243"/>
    <w:rsid w:val="00AA388F"/>
    <w:rsid w:val="00AA3C4C"/>
    <w:rsid w:val="00AA408E"/>
    <w:rsid w:val="00AA4DA9"/>
    <w:rsid w:val="00AA4F6D"/>
    <w:rsid w:val="00AA50CE"/>
    <w:rsid w:val="00AA536B"/>
    <w:rsid w:val="00AA57C9"/>
    <w:rsid w:val="00AA5A5C"/>
    <w:rsid w:val="00AA5A6F"/>
    <w:rsid w:val="00AA634D"/>
    <w:rsid w:val="00AA6F6C"/>
    <w:rsid w:val="00AA721D"/>
    <w:rsid w:val="00AA7519"/>
    <w:rsid w:val="00AA790A"/>
    <w:rsid w:val="00AB02EA"/>
    <w:rsid w:val="00AB110C"/>
    <w:rsid w:val="00AB227A"/>
    <w:rsid w:val="00AB22BF"/>
    <w:rsid w:val="00AB256E"/>
    <w:rsid w:val="00AB318B"/>
    <w:rsid w:val="00AB3466"/>
    <w:rsid w:val="00AB38B2"/>
    <w:rsid w:val="00AB3BBB"/>
    <w:rsid w:val="00AB408C"/>
    <w:rsid w:val="00AB43AF"/>
    <w:rsid w:val="00AB4E41"/>
    <w:rsid w:val="00AB5EB1"/>
    <w:rsid w:val="00AB6003"/>
    <w:rsid w:val="00AB759A"/>
    <w:rsid w:val="00AB7B06"/>
    <w:rsid w:val="00AB7EAA"/>
    <w:rsid w:val="00AC0432"/>
    <w:rsid w:val="00AC0770"/>
    <w:rsid w:val="00AC1683"/>
    <w:rsid w:val="00AC1D82"/>
    <w:rsid w:val="00AC2D5F"/>
    <w:rsid w:val="00AC4094"/>
    <w:rsid w:val="00AC42B6"/>
    <w:rsid w:val="00AC4AB7"/>
    <w:rsid w:val="00AC51E0"/>
    <w:rsid w:val="00AC6D24"/>
    <w:rsid w:val="00AC6E18"/>
    <w:rsid w:val="00AC7F64"/>
    <w:rsid w:val="00AD1065"/>
    <w:rsid w:val="00AD159E"/>
    <w:rsid w:val="00AD2AB1"/>
    <w:rsid w:val="00AD3132"/>
    <w:rsid w:val="00AD3DA6"/>
    <w:rsid w:val="00AD3F3C"/>
    <w:rsid w:val="00AD447E"/>
    <w:rsid w:val="00AD4B2F"/>
    <w:rsid w:val="00AD5F0A"/>
    <w:rsid w:val="00AD6A5B"/>
    <w:rsid w:val="00AD6B4F"/>
    <w:rsid w:val="00AD6D19"/>
    <w:rsid w:val="00AD7812"/>
    <w:rsid w:val="00AD7C42"/>
    <w:rsid w:val="00AD7CFA"/>
    <w:rsid w:val="00AE06B0"/>
    <w:rsid w:val="00AE0BD6"/>
    <w:rsid w:val="00AE11C1"/>
    <w:rsid w:val="00AE163D"/>
    <w:rsid w:val="00AE1A42"/>
    <w:rsid w:val="00AE1C5C"/>
    <w:rsid w:val="00AE315E"/>
    <w:rsid w:val="00AE319F"/>
    <w:rsid w:val="00AE31D9"/>
    <w:rsid w:val="00AE3CF0"/>
    <w:rsid w:val="00AE4546"/>
    <w:rsid w:val="00AE6575"/>
    <w:rsid w:val="00AE71EE"/>
    <w:rsid w:val="00AF03CF"/>
    <w:rsid w:val="00AF0A0A"/>
    <w:rsid w:val="00AF14FC"/>
    <w:rsid w:val="00AF1ED2"/>
    <w:rsid w:val="00AF1F4E"/>
    <w:rsid w:val="00AF2302"/>
    <w:rsid w:val="00AF262A"/>
    <w:rsid w:val="00AF3557"/>
    <w:rsid w:val="00AF3F86"/>
    <w:rsid w:val="00AF4CEE"/>
    <w:rsid w:val="00AF4F4A"/>
    <w:rsid w:val="00AF584C"/>
    <w:rsid w:val="00AF5D84"/>
    <w:rsid w:val="00AF6476"/>
    <w:rsid w:val="00AF669D"/>
    <w:rsid w:val="00AF672C"/>
    <w:rsid w:val="00AF673E"/>
    <w:rsid w:val="00AF6ABE"/>
    <w:rsid w:val="00AF7389"/>
    <w:rsid w:val="00AF79DF"/>
    <w:rsid w:val="00AF7C37"/>
    <w:rsid w:val="00B00378"/>
    <w:rsid w:val="00B00D91"/>
    <w:rsid w:val="00B00E84"/>
    <w:rsid w:val="00B01DD9"/>
    <w:rsid w:val="00B01F0E"/>
    <w:rsid w:val="00B038F1"/>
    <w:rsid w:val="00B03C1B"/>
    <w:rsid w:val="00B04678"/>
    <w:rsid w:val="00B047C9"/>
    <w:rsid w:val="00B04A04"/>
    <w:rsid w:val="00B04B78"/>
    <w:rsid w:val="00B04C37"/>
    <w:rsid w:val="00B04F00"/>
    <w:rsid w:val="00B05BA6"/>
    <w:rsid w:val="00B066FE"/>
    <w:rsid w:val="00B06912"/>
    <w:rsid w:val="00B06B4F"/>
    <w:rsid w:val="00B06BEA"/>
    <w:rsid w:val="00B07316"/>
    <w:rsid w:val="00B07A43"/>
    <w:rsid w:val="00B07F74"/>
    <w:rsid w:val="00B10618"/>
    <w:rsid w:val="00B10B04"/>
    <w:rsid w:val="00B10CC6"/>
    <w:rsid w:val="00B11932"/>
    <w:rsid w:val="00B11A61"/>
    <w:rsid w:val="00B12082"/>
    <w:rsid w:val="00B12648"/>
    <w:rsid w:val="00B1270C"/>
    <w:rsid w:val="00B12710"/>
    <w:rsid w:val="00B13389"/>
    <w:rsid w:val="00B1364C"/>
    <w:rsid w:val="00B13EDB"/>
    <w:rsid w:val="00B141A5"/>
    <w:rsid w:val="00B14F47"/>
    <w:rsid w:val="00B15282"/>
    <w:rsid w:val="00B15286"/>
    <w:rsid w:val="00B1539F"/>
    <w:rsid w:val="00B1550D"/>
    <w:rsid w:val="00B15F6C"/>
    <w:rsid w:val="00B163E8"/>
    <w:rsid w:val="00B1767E"/>
    <w:rsid w:val="00B20760"/>
    <w:rsid w:val="00B2125C"/>
    <w:rsid w:val="00B21676"/>
    <w:rsid w:val="00B219E1"/>
    <w:rsid w:val="00B21ECF"/>
    <w:rsid w:val="00B22150"/>
    <w:rsid w:val="00B226DE"/>
    <w:rsid w:val="00B22FB5"/>
    <w:rsid w:val="00B241D5"/>
    <w:rsid w:val="00B24BE9"/>
    <w:rsid w:val="00B2551D"/>
    <w:rsid w:val="00B25F8C"/>
    <w:rsid w:val="00B260BE"/>
    <w:rsid w:val="00B26677"/>
    <w:rsid w:val="00B26A96"/>
    <w:rsid w:val="00B274E3"/>
    <w:rsid w:val="00B2765C"/>
    <w:rsid w:val="00B27C4B"/>
    <w:rsid w:val="00B30563"/>
    <w:rsid w:val="00B3069E"/>
    <w:rsid w:val="00B30A76"/>
    <w:rsid w:val="00B31246"/>
    <w:rsid w:val="00B32295"/>
    <w:rsid w:val="00B33AB5"/>
    <w:rsid w:val="00B3412E"/>
    <w:rsid w:val="00B343E0"/>
    <w:rsid w:val="00B35B6D"/>
    <w:rsid w:val="00B35D53"/>
    <w:rsid w:val="00B367C4"/>
    <w:rsid w:val="00B36D3E"/>
    <w:rsid w:val="00B37B8E"/>
    <w:rsid w:val="00B40222"/>
    <w:rsid w:val="00B404C3"/>
    <w:rsid w:val="00B41938"/>
    <w:rsid w:val="00B41A04"/>
    <w:rsid w:val="00B42743"/>
    <w:rsid w:val="00B430E9"/>
    <w:rsid w:val="00B4311F"/>
    <w:rsid w:val="00B431AE"/>
    <w:rsid w:val="00B44288"/>
    <w:rsid w:val="00B448BF"/>
    <w:rsid w:val="00B45A59"/>
    <w:rsid w:val="00B45F9F"/>
    <w:rsid w:val="00B4627C"/>
    <w:rsid w:val="00B4641F"/>
    <w:rsid w:val="00B46793"/>
    <w:rsid w:val="00B46953"/>
    <w:rsid w:val="00B47455"/>
    <w:rsid w:val="00B47979"/>
    <w:rsid w:val="00B47A59"/>
    <w:rsid w:val="00B47ECD"/>
    <w:rsid w:val="00B47FF3"/>
    <w:rsid w:val="00B503D6"/>
    <w:rsid w:val="00B51520"/>
    <w:rsid w:val="00B515C3"/>
    <w:rsid w:val="00B517C2"/>
    <w:rsid w:val="00B518CE"/>
    <w:rsid w:val="00B51F56"/>
    <w:rsid w:val="00B52234"/>
    <w:rsid w:val="00B53623"/>
    <w:rsid w:val="00B536FC"/>
    <w:rsid w:val="00B53D1D"/>
    <w:rsid w:val="00B53E98"/>
    <w:rsid w:val="00B53F9B"/>
    <w:rsid w:val="00B54B19"/>
    <w:rsid w:val="00B55F64"/>
    <w:rsid w:val="00B56ECA"/>
    <w:rsid w:val="00B57093"/>
    <w:rsid w:val="00B57B5D"/>
    <w:rsid w:val="00B60613"/>
    <w:rsid w:val="00B61AEC"/>
    <w:rsid w:val="00B6244C"/>
    <w:rsid w:val="00B62A2F"/>
    <w:rsid w:val="00B62B7B"/>
    <w:rsid w:val="00B62F0A"/>
    <w:rsid w:val="00B63484"/>
    <w:rsid w:val="00B634B7"/>
    <w:rsid w:val="00B634F1"/>
    <w:rsid w:val="00B637EF"/>
    <w:rsid w:val="00B63EF6"/>
    <w:rsid w:val="00B6440A"/>
    <w:rsid w:val="00B65788"/>
    <w:rsid w:val="00B65844"/>
    <w:rsid w:val="00B66054"/>
    <w:rsid w:val="00B6677F"/>
    <w:rsid w:val="00B66C7A"/>
    <w:rsid w:val="00B672EA"/>
    <w:rsid w:val="00B6747B"/>
    <w:rsid w:val="00B70200"/>
    <w:rsid w:val="00B702D7"/>
    <w:rsid w:val="00B70389"/>
    <w:rsid w:val="00B70E01"/>
    <w:rsid w:val="00B718FA"/>
    <w:rsid w:val="00B72A0B"/>
    <w:rsid w:val="00B72CF0"/>
    <w:rsid w:val="00B7380E"/>
    <w:rsid w:val="00B740F6"/>
    <w:rsid w:val="00B74615"/>
    <w:rsid w:val="00B74789"/>
    <w:rsid w:val="00B755B6"/>
    <w:rsid w:val="00B75977"/>
    <w:rsid w:val="00B75A48"/>
    <w:rsid w:val="00B75CC0"/>
    <w:rsid w:val="00B76021"/>
    <w:rsid w:val="00B76FCD"/>
    <w:rsid w:val="00B7764D"/>
    <w:rsid w:val="00B804F8"/>
    <w:rsid w:val="00B8095A"/>
    <w:rsid w:val="00B81274"/>
    <w:rsid w:val="00B815D3"/>
    <w:rsid w:val="00B81742"/>
    <w:rsid w:val="00B817B5"/>
    <w:rsid w:val="00B823A6"/>
    <w:rsid w:val="00B83E76"/>
    <w:rsid w:val="00B83FA0"/>
    <w:rsid w:val="00B84156"/>
    <w:rsid w:val="00B846E6"/>
    <w:rsid w:val="00B8537B"/>
    <w:rsid w:val="00B85586"/>
    <w:rsid w:val="00B86289"/>
    <w:rsid w:val="00B863B3"/>
    <w:rsid w:val="00B869D3"/>
    <w:rsid w:val="00B86CF8"/>
    <w:rsid w:val="00B86E44"/>
    <w:rsid w:val="00B87359"/>
    <w:rsid w:val="00B87F1C"/>
    <w:rsid w:val="00B90D8D"/>
    <w:rsid w:val="00B91263"/>
    <w:rsid w:val="00B91B61"/>
    <w:rsid w:val="00B93849"/>
    <w:rsid w:val="00B938BD"/>
    <w:rsid w:val="00B93CF3"/>
    <w:rsid w:val="00B9407F"/>
    <w:rsid w:val="00B944E9"/>
    <w:rsid w:val="00B945D7"/>
    <w:rsid w:val="00B94896"/>
    <w:rsid w:val="00B94CDD"/>
    <w:rsid w:val="00B94DA7"/>
    <w:rsid w:val="00B95163"/>
    <w:rsid w:val="00B954D0"/>
    <w:rsid w:val="00B96DD9"/>
    <w:rsid w:val="00B96EA6"/>
    <w:rsid w:val="00B9789D"/>
    <w:rsid w:val="00B97A4C"/>
    <w:rsid w:val="00BA050E"/>
    <w:rsid w:val="00BA1289"/>
    <w:rsid w:val="00BA14B2"/>
    <w:rsid w:val="00BA15DC"/>
    <w:rsid w:val="00BA1E2F"/>
    <w:rsid w:val="00BA1EB8"/>
    <w:rsid w:val="00BA2C82"/>
    <w:rsid w:val="00BA3869"/>
    <w:rsid w:val="00BA4399"/>
    <w:rsid w:val="00BA4452"/>
    <w:rsid w:val="00BA46C6"/>
    <w:rsid w:val="00BA4ACF"/>
    <w:rsid w:val="00BA5039"/>
    <w:rsid w:val="00BA583B"/>
    <w:rsid w:val="00BA5DF2"/>
    <w:rsid w:val="00BA5EC7"/>
    <w:rsid w:val="00BA6319"/>
    <w:rsid w:val="00BA63CE"/>
    <w:rsid w:val="00BA676E"/>
    <w:rsid w:val="00BA6980"/>
    <w:rsid w:val="00BA6EF2"/>
    <w:rsid w:val="00BA7227"/>
    <w:rsid w:val="00BA763C"/>
    <w:rsid w:val="00BA784D"/>
    <w:rsid w:val="00BA7CD7"/>
    <w:rsid w:val="00BB00E5"/>
    <w:rsid w:val="00BB1688"/>
    <w:rsid w:val="00BB1EFB"/>
    <w:rsid w:val="00BB269F"/>
    <w:rsid w:val="00BB27CC"/>
    <w:rsid w:val="00BB2ACE"/>
    <w:rsid w:val="00BB2E4E"/>
    <w:rsid w:val="00BB2E62"/>
    <w:rsid w:val="00BB36C9"/>
    <w:rsid w:val="00BB3A66"/>
    <w:rsid w:val="00BB40D1"/>
    <w:rsid w:val="00BB6D85"/>
    <w:rsid w:val="00BB777D"/>
    <w:rsid w:val="00BB7EC0"/>
    <w:rsid w:val="00BB7F88"/>
    <w:rsid w:val="00BC0207"/>
    <w:rsid w:val="00BC089F"/>
    <w:rsid w:val="00BC0A0C"/>
    <w:rsid w:val="00BC0A5A"/>
    <w:rsid w:val="00BC0E64"/>
    <w:rsid w:val="00BC25D1"/>
    <w:rsid w:val="00BC2DBD"/>
    <w:rsid w:val="00BC3BCB"/>
    <w:rsid w:val="00BC3CF1"/>
    <w:rsid w:val="00BC4202"/>
    <w:rsid w:val="00BC428A"/>
    <w:rsid w:val="00BC4C40"/>
    <w:rsid w:val="00BC5A29"/>
    <w:rsid w:val="00BC5AE3"/>
    <w:rsid w:val="00BC5BAD"/>
    <w:rsid w:val="00BC692A"/>
    <w:rsid w:val="00BC76C5"/>
    <w:rsid w:val="00BC7F94"/>
    <w:rsid w:val="00BD1039"/>
    <w:rsid w:val="00BD10B7"/>
    <w:rsid w:val="00BD138A"/>
    <w:rsid w:val="00BD164A"/>
    <w:rsid w:val="00BD1BDD"/>
    <w:rsid w:val="00BD1D7D"/>
    <w:rsid w:val="00BD1E27"/>
    <w:rsid w:val="00BD2B4D"/>
    <w:rsid w:val="00BD2F08"/>
    <w:rsid w:val="00BD2FB9"/>
    <w:rsid w:val="00BD31C2"/>
    <w:rsid w:val="00BD3683"/>
    <w:rsid w:val="00BD450A"/>
    <w:rsid w:val="00BD4717"/>
    <w:rsid w:val="00BD48EA"/>
    <w:rsid w:val="00BD4BA8"/>
    <w:rsid w:val="00BD5624"/>
    <w:rsid w:val="00BD62E6"/>
    <w:rsid w:val="00BD6B0E"/>
    <w:rsid w:val="00BD734D"/>
    <w:rsid w:val="00BD7941"/>
    <w:rsid w:val="00BE0591"/>
    <w:rsid w:val="00BE0C55"/>
    <w:rsid w:val="00BE0F03"/>
    <w:rsid w:val="00BE11A2"/>
    <w:rsid w:val="00BE1EF0"/>
    <w:rsid w:val="00BE246C"/>
    <w:rsid w:val="00BE2657"/>
    <w:rsid w:val="00BE2FD2"/>
    <w:rsid w:val="00BE377A"/>
    <w:rsid w:val="00BE37AE"/>
    <w:rsid w:val="00BE3B14"/>
    <w:rsid w:val="00BE3C65"/>
    <w:rsid w:val="00BE4222"/>
    <w:rsid w:val="00BE472D"/>
    <w:rsid w:val="00BE4C03"/>
    <w:rsid w:val="00BE7F4D"/>
    <w:rsid w:val="00BF03C0"/>
    <w:rsid w:val="00BF0EBF"/>
    <w:rsid w:val="00BF1534"/>
    <w:rsid w:val="00BF2021"/>
    <w:rsid w:val="00BF21D4"/>
    <w:rsid w:val="00BF2DDC"/>
    <w:rsid w:val="00BF32DE"/>
    <w:rsid w:val="00BF4A15"/>
    <w:rsid w:val="00BF4E0E"/>
    <w:rsid w:val="00BF4E27"/>
    <w:rsid w:val="00BF4F7C"/>
    <w:rsid w:val="00BF537B"/>
    <w:rsid w:val="00BF5901"/>
    <w:rsid w:val="00BF626A"/>
    <w:rsid w:val="00BF688E"/>
    <w:rsid w:val="00BF6D77"/>
    <w:rsid w:val="00BF704C"/>
    <w:rsid w:val="00BF739A"/>
    <w:rsid w:val="00BF7EF5"/>
    <w:rsid w:val="00C00BF6"/>
    <w:rsid w:val="00C0234A"/>
    <w:rsid w:val="00C0247B"/>
    <w:rsid w:val="00C0378E"/>
    <w:rsid w:val="00C04314"/>
    <w:rsid w:val="00C04BD0"/>
    <w:rsid w:val="00C05730"/>
    <w:rsid w:val="00C05AF4"/>
    <w:rsid w:val="00C05AFD"/>
    <w:rsid w:val="00C0661C"/>
    <w:rsid w:val="00C0675F"/>
    <w:rsid w:val="00C06ECC"/>
    <w:rsid w:val="00C0702A"/>
    <w:rsid w:val="00C0724C"/>
    <w:rsid w:val="00C07C11"/>
    <w:rsid w:val="00C07E10"/>
    <w:rsid w:val="00C10015"/>
    <w:rsid w:val="00C1110A"/>
    <w:rsid w:val="00C11689"/>
    <w:rsid w:val="00C12414"/>
    <w:rsid w:val="00C12ECB"/>
    <w:rsid w:val="00C148B2"/>
    <w:rsid w:val="00C14ABD"/>
    <w:rsid w:val="00C151E0"/>
    <w:rsid w:val="00C155A8"/>
    <w:rsid w:val="00C159FD"/>
    <w:rsid w:val="00C15B31"/>
    <w:rsid w:val="00C15F66"/>
    <w:rsid w:val="00C1604F"/>
    <w:rsid w:val="00C166D4"/>
    <w:rsid w:val="00C168E5"/>
    <w:rsid w:val="00C1696D"/>
    <w:rsid w:val="00C16C90"/>
    <w:rsid w:val="00C17AB5"/>
    <w:rsid w:val="00C20051"/>
    <w:rsid w:val="00C2021B"/>
    <w:rsid w:val="00C20B6C"/>
    <w:rsid w:val="00C20B86"/>
    <w:rsid w:val="00C21145"/>
    <w:rsid w:val="00C215ED"/>
    <w:rsid w:val="00C22350"/>
    <w:rsid w:val="00C2302B"/>
    <w:rsid w:val="00C23615"/>
    <w:rsid w:val="00C2397E"/>
    <w:rsid w:val="00C23A83"/>
    <w:rsid w:val="00C24381"/>
    <w:rsid w:val="00C24801"/>
    <w:rsid w:val="00C24C2E"/>
    <w:rsid w:val="00C24C7A"/>
    <w:rsid w:val="00C24FFB"/>
    <w:rsid w:val="00C25CFF"/>
    <w:rsid w:val="00C25EA6"/>
    <w:rsid w:val="00C26164"/>
    <w:rsid w:val="00C261C1"/>
    <w:rsid w:val="00C26574"/>
    <w:rsid w:val="00C26DBF"/>
    <w:rsid w:val="00C27199"/>
    <w:rsid w:val="00C27204"/>
    <w:rsid w:val="00C304E9"/>
    <w:rsid w:val="00C30B0B"/>
    <w:rsid w:val="00C31320"/>
    <w:rsid w:val="00C316B4"/>
    <w:rsid w:val="00C332D4"/>
    <w:rsid w:val="00C33A66"/>
    <w:rsid w:val="00C33E51"/>
    <w:rsid w:val="00C34C45"/>
    <w:rsid w:val="00C34C47"/>
    <w:rsid w:val="00C34FCE"/>
    <w:rsid w:val="00C35411"/>
    <w:rsid w:val="00C35EED"/>
    <w:rsid w:val="00C36B2C"/>
    <w:rsid w:val="00C3701A"/>
    <w:rsid w:val="00C379EF"/>
    <w:rsid w:val="00C405C8"/>
    <w:rsid w:val="00C40C2F"/>
    <w:rsid w:val="00C415AC"/>
    <w:rsid w:val="00C4297A"/>
    <w:rsid w:val="00C4360C"/>
    <w:rsid w:val="00C439B8"/>
    <w:rsid w:val="00C43A0B"/>
    <w:rsid w:val="00C43EDA"/>
    <w:rsid w:val="00C43FEC"/>
    <w:rsid w:val="00C4414C"/>
    <w:rsid w:val="00C45512"/>
    <w:rsid w:val="00C4602B"/>
    <w:rsid w:val="00C46564"/>
    <w:rsid w:val="00C46BFA"/>
    <w:rsid w:val="00C46DDF"/>
    <w:rsid w:val="00C500A1"/>
    <w:rsid w:val="00C50A02"/>
    <w:rsid w:val="00C51149"/>
    <w:rsid w:val="00C5117E"/>
    <w:rsid w:val="00C512D1"/>
    <w:rsid w:val="00C51856"/>
    <w:rsid w:val="00C51B04"/>
    <w:rsid w:val="00C51DB5"/>
    <w:rsid w:val="00C53CE9"/>
    <w:rsid w:val="00C5531B"/>
    <w:rsid w:val="00C55375"/>
    <w:rsid w:val="00C5570F"/>
    <w:rsid w:val="00C56C98"/>
    <w:rsid w:val="00C56DE1"/>
    <w:rsid w:val="00C56DEE"/>
    <w:rsid w:val="00C57120"/>
    <w:rsid w:val="00C571D5"/>
    <w:rsid w:val="00C575D4"/>
    <w:rsid w:val="00C57612"/>
    <w:rsid w:val="00C60CB2"/>
    <w:rsid w:val="00C61223"/>
    <w:rsid w:val="00C61246"/>
    <w:rsid w:val="00C618A8"/>
    <w:rsid w:val="00C61A78"/>
    <w:rsid w:val="00C629F3"/>
    <w:rsid w:val="00C62B88"/>
    <w:rsid w:val="00C62CD3"/>
    <w:rsid w:val="00C634F9"/>
    <w:rsid w:val="00C63CDE"/>
    <w:rsid w:val="00C643ED"/>
    <w:rsid w:val="00C64534"/>
    <w:rsid w:val="00C64D93"/>
    <w:rsid w:val="00C64F49"/>
    <w:rsid w:val="00C64F71"/>
    <w:rsid w:val="00C650E3"/>
    <w:rsid w:val="00C65200"/>
    <w:rsid w:val="00C65BD3"/>
    <w:rsid w:val="00C664FB"/>
    <w:rsid w:val="00C665DE"/>
    <w:rsid w:val="00C667C3"/>
    <w:rsid w:val="00C6728B"/>
    <w:rsid w:val="00C70718"/>
    <w:rsid w:val="00C70B25"/>
    <w:rsid w:val="00C71528"/>
    <w:rsid w:val="00C717E4"/>
    <w:rsid w:val="00C7191B"/>
    <w:rsid w:val="00C71F09"/>
    <w:rsid w:val="00C72588"/>
    <w:rsid w:val="00C727B9"/>
    <w:rsid w:val="00C72F44"/>
    <w:rsid w:val="00C73670"/>
    <w:rsid w:val="00C737D1"/>
    <w:rsid w:val="00C738A0"/>
    <w:rsid w:val="00C73DE0"/>
    <w:rsid w:val="00C74609"/>
    <w:rsid w:val="00C749AB"/>
    <w:rsid w:val="00C75A8F"/>
    <w:rsid w:val="00C76129"/>
    <w:rsid w:val="00C76C0C"/>
    <w:rsid w:val="00C76FFC"/>
    <w:rsid w:val="00C774E0"/>
    <w:rsid w:val="00C776BA"/>
    <w:rsid w:val="00C7791E"/>
    <w:rsid w:val="00C81716"/>
    <w:rsid w:val="00C832CB"/>
    <w:rsid w:val="00C84085"/>
    <w:rsid w:val="00C852DC"/>
    <w:rsid w:val="00C854A8"/>
    <w:rsid w:val="00C85677"/>
    <w:rsid w:val="00C85E17"/>
    <w:rsid w:val="00C868A7"/>
    <w:rsid w:val="00C86ABA"/>
    <w:rsid w:val="00C86BF7"/>
    <w:rsid w:val="00C87164"/>
    <w:rsid w:val="00C8786A"/>
    <w:rsid w:val="00C87BBA"/>
    <w:rsid w:val="00C87BD0"/>
    <w:rsid w:val="00C905E5"/>
    <w:rsid w:val="00C90754"/>
    <w:rsid w:val="00C90B95"/>
    <w:rsid w:val="00C90BC4"/>
    <w:rsid w:val="00C90CA9"/>
    <w:rsid w:val="00C91802"/>
    <w:rsid w:val="00C92E41"/>
    <w:rsid w:val="00C92F62"/>
    <w:rsid w:val="00C93097"/>
    <w:rsid w:val="00C93B40"/>
    <w:rsid w:val="00C93DB5"/>
    <w:rsid w:val="00C94CB9"/>
    <w:rsid w:val="00C95853"/>
    <w:rsid w:val="00C95C2F"/>
    <w:rsid w:val="00C95F87"/>
    <w:rsid w:val="00C96035"/>
    <w:rsid w:val="00C968EF"/>
    <w:rsid w:val="00C972CE"/>
    <w:rsid w:val="00CA0492"/>
    <w:rsid w:val="00CA05B0"/>
    <w:rsid w:val="00CA0632"/>
    <w:rsid w:val="00CA0A04"/>
    <w:rsid w:val="00CA2528"/>
    <w:rsid w:val="00CA3CAB"/>
    <w:rsid w:val="00CA3FC0"/>
    <w:rsid w:val="00CA5685"/>
    <w:rsid w:val="00CA6A2E"/>
    <w:rsid w:val="00CA6B56"/>
    <w:rsid w:val="00CA7D3E"/>
    <w:rsid w:val="00CB0317"/>
    <w:rsid w:val="00CB0662"/>
    <w:rsid w:val="00CB0A82"/>
    <w:rsid w:val="00CB0F2F"/>
    <w:rsid w:val="00CB0F76"/>
    <w:rsid w:val="00CB1556"/>
    <w:rsid w:val="00CB2913"/>
    <w:rsid w:val="00CB3970"/>
    <w:rsid w:val="00CB42B9"/>
    <w:rsid w:val="00CB4550"/>
    <w:rsid w:val="00CB4F39"/>
    <w:rsid w:val="00CB52A4"/>
    <w:rsid w:val="00CB537C"/>
    <w:rsid w:val="00CB5A26"/>
    <w:rsid w:val="00CB645B"/>
    <w:rsid w:val="00CB65DB"/>
    <w:rsid w:val="00CB6A93"/>
    <w:rsid w:val="00CB6C79"/>
    <w:rsid w:val="00CB77C3"/>
    <w:rsid w:val="00CB7E9C"/>
    <w:rsid w:val="00CC0072"/>
    <w:rsid w:val="00CC027A"/>
    <w:rsid w:val="00CC0915"/>
    <w:rsid w:val="00CC1398"/>
    <w:rsid w:val="00CC1AF5"/>
    <w:rsid w:val="00CC1B74"/>
    <w:rsid w:val="00CC291E"/>
    <w:rsid w:val="00CC2D03"/>
    <w:rsid w:val="00CC2EB0"/>
    <w:rsid w:val="00CC4701"/>
    <w:rsid w:val="00CC56B4"/>
    <w:rsid w:val="00CC5F95"/>
    <w:rsid w:val="00CC642A"/>
    <w:rsid w:val="00CC6AC7"/>
    <w:rsid w:val="00CC733D"/>
    <w:rsid w:val="00CC7617"/>
    <w:rsid w:val="00CC7E0D"/>
    <w:rsid w:val="00CC7E97"/>
    <w:rsid w:val="00CD00EB"/>
    <w:rsid w:val="00CD1255"/>
    <w:rsid w:val="00CD1484"/>
    <w:rsid w:val="00CD1892"/>
    <w:rsid w:val="00CD1C01"/>
    <w:rsid w:val="00CD1D00"/>
    <w:rsid w:val="00CD2009"/>
    <w:rsid w:val="00CD27AC"/>
    <w:rsid w:val="00CD2A82"/>
    <w:rsid w:val="00CD3CAB"/>
    <w:rsid w:val="00CD44FF"/>
    <w:rsid w:val="00CD46A7"/>
    <w:rsid w:val="00CD47BC"/>
    <w:rsid w:val="00CD4E50"/>
    <w:rsid w:val="00CD57CB"/>
    <w:rsid w:val="00CD64E1"/>
    <w:rsid w:val="00CD66BA"/>
    <w:rsid w:val="00CD68D5"/>
    <w:rsid w:val="00CD699D"/>
    <w:rsid w:val="00CD6BA3"/>
    <w:rsid w:val="00CD70DB"/>
    <w:rsid w:val="00CD7544"/>
    <w:rsid w:val="00CD78D4"/>
    <w:rsid w:val="00CE0697"/>
    <w:rsid w:val="00CE14CB"/>
    <w:rsid w:val="00CE2E2E"/>
    <w:rsid w:val="00CE3A51"/>
    <w:rsid w:val="00CE41F9"/>
    <w:rsid w:val="00CE59F6"/>
    <w:rsid w:val="00CE66CD"/>
    <w:rsid w:val="00CE6BA9"/>
    <w:rsid w:val="00CE71C3"/>
    <w:rsid w:val="00CE727A"/>
    <w:rsid w:val="00CF029C"/>
    <w:rsid w:val="00CF0AF0"/>
    <w:rsid w:val="00CF157E"/>
    <w:rsid w:val="00CF1631"/>
    <w:rsid w:val="00CF1834"/>
    <w:rsid w:val="00CF1AAA"/>
    <w:rsid w:val="00CF1EC2"/>
    <w:rsid w:val="00CF2ACF"/>
    <w:rsid w:val="00CF345B"/>
    <w:rsid w:val="00CF475F"/>
    <w:rsid w:val="00CF5008"/>
    <w:rsid w:val="00CF5069"/>
    <w:rsid w:val="00CF5E34"/>
    <w:rsid w:val="00CF6707"/>
    <w:rsid w:val="00CF7101"/>
    <w:rsid w:val="00CF7327"/>
    <w:rsid w:val="00CF7385"/>
    <w:rsid w:val="00CF7539"/>
    <w:rsid w:val="00CF75C6"/>
    <w:rsid w:val="00CF7B77"/>
    <w:rsid w:val="00CF7DF5"/>
    <w:rsid w:val="00D001D2"/>
    <w:rsid w:val="00D02A80"/>
    <w:rsid w:val="00D0352D"/>
    <w:rsid w:val="00D038DC"/>
    <w:rsid w:val="00D04F01"/>
    <w:rsid w:val="00D04F8B"/>
    <w:rsid w:val="00D054EF"/>
    <w:rsid w:val="00D05637"/>
    <w:rsid w:val="00D05BA9"/>
    <w:rsid w:val="00D05EB1"/>
    <w:rsid w:val="00D0650B"/>
    <w:rsid w:val="00D068AA"/>
    <w:rsid w:val="00D06E71"/>
    <w:rsid w:val="00D06E9C"/>
    <w:rsid w:val="00D0714B"/>
    <w:rsid w:val="00D0764E"/>
    <w:rsid w:val="00D07D82"/>
    <w:rsid w:val="00D10327"/>
    <w:rsid w:val="00D103C9"/>
    <w:rsid w:val="00D1079C"/>
    <w:rsid w:val="00D10BE1"/>
    <w:rsid w:val="00D11FE3"/>
    <w:rsid w:val="00D12393"/>
    <w:rsid w:val="00D12945"/>
    <w:rsid w:val="00D12CC0"/>
    <w:rsid w:val="00D12DA1"/>
    <w:rsid w:val="00D130C0"/>
    <w:rsid w:val="00D1343A"/>
    <w:rsid w:val="00D13D50"/>
    <w:rsid w:val="00D14101"/>
    <w:rsid w:val="00D144D8"/>
    <w:rsid w:val="00D14919"/>
    <w:rsid w:val="00D14E25"/>
    <w:rsid w:val="00D15470"/>
    <w:rsid w:val="00D15AE3"/>
    <w:rsid w:val="00D160C4"/>
    <w:rsid w:val="00D165D8"/>
    <w:rsid w:val="00D1724E"/>
    <w:rsid w:val="00D17C26"/>
    <w:rsid w:val="00D17E08"/>
    <w:rsid w:val="00D206F6"/>
    <w:rsid w:val="00D20FD1"/>
    <w:rsid w:val="00D214D4"/>
    <w:rsid w:val="00D21AAA"/>
    <w:rsid w:val="00D21E6F"/>
    <w:rsid w:val="00D2218A"/>
    <w:rsid w:val="00D22B13"/>
    <w:rsid w:val="00D2371E"/>
    <w:rsid w:val="00D237E0"/>
    <w:rsid w:val="00D23A17"/>
    <w:rsid w:val="00D25676"/>
    <w:rsid w:val="00D2579F"/>
    <w:rsid w:val="00D2580E"/>
    <w:rsid w:val="00D265A7"/>
    <w:rsid w:val="00D2690C"/>
    <w:rsid w:val="00D27129"/>
    <w:rsid w:val="00D279E7"/>
    <w:rsid w:val="00D27F75"/>
    <w:rsid w:val="00D3046D"/>
    <w:rsid w:val="00D30497"/>
    <w:rsid w:val="00D30C4D"/>
    <w:rsid w:val="00D30F5F"/>
    <w:rsid w:val="00D31243"/>
    <w:rsid w:val="00D316D9"/>
    <w:rsid w:val="00D31B07"/>
    <w:rsid w:val="00D31B9D"/>
    <w:rsid w:val="00D3272E"/>
    <w:rsid w:val="00D32D38"/>
    <w:rsid w:val="00D32FA0"/>
    <w:rsid w:val="00D33112"/>
    <w:rsid w:val="00D331CB"/>
    <w:rsid w:val="00D3451E"/>
    <w:rsid w:val="00D3497A"/>
    <w:rsid w:val="00D35F2F"/>
    <w:rsid w:val="00D35FC6"/>
    <w:rsid w:val="00D36BB8"/>
    <w:rsid w:val="00D3756D"/>
    <w:rsid w:val="00D377D4"/>
    <w:rsid w:val="00D401A1"/>
    <w:rsid w:val="00D40217"/>
    <w:rsid w:val="00D40385"/>
    <w:rsid w:val="00D404CE"/>
    <w:rsid w:val="00D40E8F"/>
    <w:rsid w:val="00D412BF"/>
    <w:rsid w:val="00D417C6"/>
    <w:rsid w:val="00D417D0"/>
    <w:rsid w:val="00D42B0C"/>
    <w:rsid w:val="00D42D6E"/>
    <w:rsid w:val="00D43DEF"/>
    <w:rsid w:val="00D44259"/>
    <w:rsid w:val="00D45C61"/>
    <w:rsid w:val="00D45DDC"/>
    <w:rsid w:val="00D5064C"/>
    <w:rsid w:val="00D50C94"/>
    <w:rsid w:val="00D511E7"/>
    <w:rsid w:val="00D51372"/>
    <w:rsid w:val="00D517ED"/>
    <w:rsid w:val="00D5251C"/>
    <w:rsid w:val="00D52F56"/>
    <w:rsid w:val="00D539DA"/>
    <w:rsid w:val="00D54A50"/>
    <w:rsid w:val="00D54FFD"/>
    <w:rsid w:val="00D5552C"/>
    <w:rsid w:val="00D5556D"/>
    <w:rsid w:val="00D55C34"/>
    <w:rsid w:val="00D55C81"/>
    <w:rsid w:val="00D5674B"/>
    <w:rsid w:val="00D56B56"/>
    <w:rsid w:val="00D56BF5"/>
    <w:rsid w:val="00D56F99"/>
    <w:rsid w:val="00D5743F"/>
    <w:rsid w:val="00D57F1F"/>
    <w:rsid w:val="00D60065"/>
    <w:rsid w:val="00D60270"/>
    <w:rsid w:val="00D605C2"/>
    <w:rsid w:val="00D60733"/>
    <w:rsid w:val="00D60C60"/>
    <w:rsid w:val="00D61E1D"/>
    <w:rsid w:val="00D629A4"/>
    <w:rsid w:val="00D62BDF"/>
    <w:rsid w:val="00D62EEE"/>
    <w:rsid w:val="00D64F1C"/>
    <w:rsid w:val="00D6570C"/>
    <w:rsid w:val="00D659EA"/>
    <w:rsid w:val="00D65A89"/>
    <w:rsid w:val="00D65E85"/>
    <w:rsid w:val="00D6611C"/>
    <w:rsid w:val="00D671C7"/>
    <w:rsid w:val="00D675B0"/>
    <w:rsid w:val="00D675DE"/>
    <w:rsid w:val="00D678BB"/>
    <w:rsid w:val="00D67D81"/>
    <w:rsid w:val="00D70170"/>
    <w:rsid w:val="00D702E8"/>
    <w:rsid w:val="00D70552"/>
    <w:rsid w:val="00D70D42"/>
    <w:rsid w:val="00D71285"/>
    <w:rsid w:val="00D71ABC"/>
    <w:rsid w:val="00D721C5"/>
    <w:rsid w:val="00D72454"/>
    <w:rsid w:val="00D729A7"/>
    <w:rsid w:val="00D72A5B"/>
    <w:rsid w:val="00D73991"/>
    <w:rsid w:val="00D73CD4"/>
    <w:rsid w:val="00D73F06"/>
    <w:rsid w:val="00D740B2"/>
    <w:rsid w:val="00D74247"/>
    <w:rsid w:val="00D743F1"/>
    <w:rsid w:val="00D744CF"/>
    <w:rsid w:val="00D7456E"/>
    <w:rsid w:val="00D753A9"/>
    <w:rsid w:val="00D755F7"/>
    <w:rsid w:val="00D75DDB"/>
    <w:rsid w:val="00D75E4B"/>
    <w:rsid w:val="00D774F4"/>
    <w:rsid w:val="00D77687"/>
    <w:rsid w:val="00D77AF6"/>
    <w:rsid w:val="00D804C5"/>
    <w:rsid w:val="00D815E6"/>
    <w:rsid w:val="00D81A28"/>
    <w:rsid w:val="00D81BDE"/>
    <w:rsid w:val="00D8201D"/>
    <w:rsid w:val="00D82B00"/>
    <w:rsid w:val="00D82B04"/>
    <w:rsid w:val="00D82BE4"/>
    <w:rsid w:val="00D82E05"/>
    <w:rsid w:val="00D83C0D"/>
    <w:rsid w:val="00D83C80"/>
    <w:rsid w:val="00D83F5B"/>
    <w:rsid w:val="00D85FDE"/>
    <w:rsid w:val="00D8665E"/>
    <w:rsid w:val="00D869C1"/>
    <w:rsid w:val="00D86EC6"/>
    <w:rsid w:val="00D87418"/>
    <w:rsid w:val="00D87A39"/>
    <w:rsid w:val="00D87FE6"/>
    <w:rsid w:val="00D90BC3"/>
    <w:rsid w:val="00D90C93"/>
    <w:rsid w:val="00D90DB9"/>
    <w:rsid w:val="00D91001"/>
    <w:rsid w:val="00D910FF"/>
    <w:rsid w:val="00D91337"/>
    <w:rsid w:val="00D915C9"/>
    <w:rsid w:val="00D918DA"/>
    <w:rsid w:val="00D9198F"/>
    <w:rsid w:val="00D92078"/>
    <w:rsid w:val="00D926F0"/>
    <w:rsid w:val="00D92A87"/>
    <w:rsid w:val="00D9384E"/>
    <w:rsid w:val="00D93AEE"/>
    <w:rsid w:val="00D9413E"/>
    <w:rsid w:val="00D94C8D"/>
    <w:rsid w:val="00D95F88"/>
    <w:rsid w:val="00D96698"/>
    <w:rsid w:val="00D96876"/>
    <w:rsid w:val="00D96940"/>
    <w:rsid w:val="00D96B12"/>
    <w:rsid w:val="00D96F59"/>
    <w:rsid w:val="00D9726C"/>
    <w:rsid w:val="00DA0175"/>
    <w:rsid w:val="00DA099C"/>
    <w:rsid w:val="00DA0F18"/>
    <w:rsid w:val="00DA2125"/>
    <w:rsid w:val="00DA21EC"/>
    <w:rsid w:val="00DA24DE"/>
    <w:rsid w:val="00DA270C"/>
    <w:rsid w:val="00DA281F"/>
    <w:rsid w:val="00DA3C5B"/>
    <w:rsid w:val="00DA3D23"/>
    <w:rsid w:val="00DA4A61"/>
    <w:rsid w:val="00DA5AFE"/>
    <w:rsid w:val="00DA61AB"/>
    <w:rsid w:val="00DA61CD"/>
    <w:rsid w:val="00DA6EE2"/>
    <w:rsid w:val="00DA718A"/>
    <w:rsid w:val="00DA78CF"/>
    <w:rsid w:val="00DA78D5"/>
    <w:rsid w:val="00DA7A89"/>
    <w:rsid w:val="00DA7BF4"/>
    <w:rsid w:val="00DB052F"/>
    <w:rsid w:val="00DB14D3"/>
    <w:rsid w:val="00DB154B"/>
    <w:rsid w:val="00DB1BDC"/>
    <w:rsid w:val="00DB3490"/>
    <w:rsid w:val="00DB3593"/>
    <w:rsid w:val="00DB440B"/>
    <w:rsid w:val="00DB4426"/>
    <w:rsid w:val="00DB4522"/>
    <w:rsid w:val="00DB4B40"/>
    <w:rsid w:val="00DB4F12"/>
    <w:rsid w:val="00DB4F21"/>
    <w:rsid w:val="00DB4F42"/>
    <w:rsid w:val="00DB540C"/>
    <w:rsid w:val="00DB6F96"/>
    <w:rsid w:val="00DB71B9"/>
    <w:rsid w:val="00DB733F"/>
    <w:rsid w:val="00DB7662"/>
    <w:rsid w:val="00DB7E46"/>
    <w:rsid w:val="00DC1395"/>
    <w:rsid w:val="00DC203C"/>
    <w:rsid w:val="00DC32FC"/>
    <w:rsid w:val="00DC3D89"/>
    <w:rsid w:val="00DC4567"/>
    <w:rsid w:val="00DC4D6C"/>
    <w:rsid w:val="00DC4F47"/>
    <w:rsid w:val="00DC5059"/>
    <w:rsid w:val="00DC5860"/>
    <w:rsid w:val="00DC5BD0"/>
    <w:rsid w:val="00DC5BE2"/>
    <w:rsid w:val="00DC6284"/>
    <w:rsid w:val="00DC628E"/>
    <w:rsid w:val="00DC6747"/>
    <w:rsid w:val="00DC6AF3"/>
    <w:rsid w:val="00DC7608"/>
    <w:rsid w:val="00DC761E"/>
    <w:rsid w:val="00DC7B3B"/>
    <w:rsid w:val="00DC7CFC"/>
    <w:rsid w:val="00DD09F2"/>
    <w:rsid w:val="00DD0DEE"/>
    <w:rsid w:val="00DD1205"/>
    <w:rsid w:val="00DD1633"/>
    <w:rsid w:val="00DD17A0"/>
    <w:rsid w:val="00DD1B97"/>
    <w:rsid w:val="00DD2831"/>
    <w:rsid w:val="00DD2A6D"/>
    <w:rsid w:val="00DD2E17"/>
    <w:rsid w:val="00DD42DE"/>
    <w:rsid w:val="00DD4309"/>
    <w:rsid w:val="00DD4344"/>
    <w:rsid w:val="00DD4357"/>
    <w:rsid w:val="00DD4DDD"/>
    <w:rsid w:val="00DD573B"/>
    <w:rsid w:val="00DD57E7"/>
    <w:rsid w:val="00DD5A1E"/>
    <w:rsid w:val="00DD5B8C"/>
    <w:rsid w:val="00DD5DFA"/>
    <w:rsid w:val="00DD5E91"/>
    <w:rsid w:val="00DD6CE2"/>
    <w:rsid w:val="00DD720D"/>
    <w:rsid w:val="00DE0229"/>
    <w:rsid w:val="00DE04E0"/>
    <w:rsid w:val="00DE12F1"/>
    <w:rsid w:val="00DE1A9D"/>
    <w:rsid w:val="00DE1CB1"/>
    <w:rsid w:val="00DE2073"/>
    <w:rsid w:val="00DE30AC"/>
    <w:rsid w:val="00DE38D1"/>
    <w:rsid w:val="00DE4106"/>
    <w:rsid w:val="00DE466B"/>
    <w:rsid w:val="00DE48F4"/>
    <w:rsid w:val="00DE5563"/>
    <w:rsid w:val="00DE5C19"/>
    <w:rsid w:val="00DE5D48"/>
    <w:rsid w:val="00DE6E4D"/>
    <w:rsid w:val="00DE7498"/>
    <w:rsid w:val="00DE75EF"/>
    <w:rsid w:val="00DE7611"/>
    <w:rsid w:val="00DE7D19"/>
    <w:rsid w:val="00DF05A0"/>
    <w:rsid w:val="00DF1162"/>
    <w:rsid w:val="00DF1BA8"/>
    <w:rsid w:val="00DF1F63"/>
    <w:rsid w:val="00DF28F2"/>
    <w:rsid w:val="00DF2BFF"/>
    <w:rsid w:val="00DF339B"/>
    <w:rsid w:val="00DF3798"/>
    <w:rsid w:val="00DF393E"/>
    <w:rsid w:val="00DF4FF1"/>
    <w:rsid w:val="00DF56A3"/>
    <w:rsid w:val="00DF5B33"/>
    <w:rsid w:val="00DF6FD2"/>
    <w:rsid w:val="00DF72EF"/>
    <w:rsid w:val="00DF743D"/>
    <w:rsid w:val="00DF7724"/>
    <w:rsid w:val="00E000D8"/>
    <w:rsid w:val="00E00C1E"/>
    <w:rsid w:val="00E00F5F"/>
    <w:rsid w:val="00E010E6"/>
    <w:rsid w:val="00E01377"/>
    <w:rsid w:val="00E014E7"/>
    <w:rsid w:val="00E0232F"/>
    <w:rsid w:val="00E026A9"/>
    <w:rsid w:val="00E0356F"/>
    <w:rsid w:val="00E03B42"/>
    <w:rsid w:val="00E03C10"/>
    <w:rsid w:val="00E0479F"/>
    <w:rsid w:val="00E04816"/>
    <w:rsid w:val="00E04982"/>
    <w:rsid w:val="00E04D6A"/>
    <w:rsid w:val="00E058DB"/>
    <w:rsid w:val="00E05950"/>
    <w:rsid w:val="00E05CD4"/>
    <w:rsid w:val="00E05DE8"/>
    <w:rsid w:val="00E06100"/>
    <w:rsid w:val="00E0614E"/>
    <w:rsid w:val="00E06E97"/>
    <w:rsid w:val="00E07B8F"/>
    <w:rsid w:val="00E105CE"/>
    <w:rsid w:val="00E10712"/>
    <w:rsid w:val="00E10DD1"/>
    <w:rsid w:val="00E1224C"/>
    <w:rsid w:val="00E1254C"/>
    <w:rsid w:val="00E12BDF"/>
    <w:rsid w:val="00E13326"/>
    <w:rsid w:val="00E13D07"/>
    <w:rsid w:val="00E14356"/>
    <w:rsid w:val="00E14961"/>
    <w:rsid w:val="00E14D76"/>
    <w:rsid w:val="00E15183"/>
    <w:rsid w:val="00E15D6C"/>
    <w:rsid w:val="00E1720B"/>
    <w:rsid w:val="00E203DE"/>
    <w:rsid w:val="00E20CE7"/>
    <w:rsid w:val="00E217B1"/>
    <w:rsid w:val="00E222FA"/>
    <w:rsid w:val="00E229CE"/>
    <w:rsid w:val="00E22B4A"/>
    <w:rsid w:val="00E2449B"/>
    <w:rsid w:val="00E24A62"/>
    <w:rsid w:val="00E24F52"/>
    <w:rsid w:val="00E255CC"/>
    <w:rsid w:val="00E25636"/>
    <w:rsid w:val="00E25755"/>
    <w:rsid w:val="00E25F90"/>
    <w:rsid w:val="00E266DD"/>
    <w:rsid w:val="00E26D2E"/>
    <w:rsid w:val="00E279B2"/>
    <w:rsid w:val="00E303C0"/>
    <w:rsid w:val="00E3055B"/>
    <w:rsid w:val="00E31687"/>
    <w:rsid w:val="00E31699"/>
    <w:rsid w:val="00E31761"/>
    <w:rsid w:val="00E31812"/>
    <w:rsid w:val="00E31889"/>
    <w:rsid w:val="00E31CE7"/>
    <w:rsid w:val="00E333D5"/>
    <w:rsid w:val="00E3394F"/>
    <w:rsid w:val="00E33A0B"/>
    <w:rsid w:val="00E34A2F"/>
    <w:rsid w:val="00E35A45"/>
    <w:rsid w:val="00E35F7F"/>
    <w:rsid w:val="00E36392"/>
    <w:rsid w:val="00E36B32"/>
    <w:rsid w:val="00E37A6F"/>
    <w:rsid w:val="00E37A9C"/>
    <w:rsid w:val="00E40222"/>
    <w:rsid w:val="00E40406"/>
    <w:rsid w:val="00E4082B"/>
    <w:rsid w:val="00E40835"/>
    <w:rsid w:val="00E408EC"/>
    <w:rsid w:val="00E409B5"/>
    <w:rsid w:val="00E40BCB"/>
    <w:rsid w:val="00E4208F"/>
    <w:rsid w:val="00E42E94"/>
    <w:rsid w:val="00E43006"/>
    <w:rsid w:val="00E4312A"/>
    <w:rsid w:val="00E4331B"/>
    <w:rsid w:val="00E43551"/>
    <w:rsid w:val="00E437FA"/>
    <w:rsid w:val="00E45A2C"/>
    <w:rsid w:val="00E46A6B"/>
    <w:rsid w:val="00E46A9C"/>
    <w:rsid w:val="00E47DB1"/>
    <w:rsid w:val="00E50BDD"/>
    <w:rsid w:val="00E510CF"/>
    <w:rsid w:val="00E513D7"/>
    <w:rsid w:val="00E519FE"/>
    <w:rsid w:val="00E5206C"/>
    <w:rsid w:val="00E52AAB"/>
    <w:rsid w:val="00E5448E"/>
    <w:rsid w:val="00E54E0D"/>
    <w:rsid w:val="00E55247"/>
    <w:rsid w:val="00E558E5"/>
    <w:rsid w:val="00E55B3C"/>
    <w:rsid w:val="00E56795"/>
    <w:rsid w:val="00E57932"/>
    <w:rsid w:val="00E606C4"/>
    <w:rsid w:val="00E60811"/>
    <w:rsid w:val="00E60AB8"/>
    <w:rsid w:val="00E6103E"/>
    <w:rsid w:val="00E6185F"/>
    <w:rsid w:val="00E61D32"/>
    <w:rsid w:val="00E63C60"/>
    <w:rsid w:val="00E64050"/>
    <w:rsid w:val="00E64B7B"/>
    <w:rsid w:val="00E6514D"/>
    <w:rsid w:val="00E65161"/>
    <w:rsid w:val="00E652C9"/>
    <w:rsid w:val="00E6593B"/>
    <w:rsid w:val="00E65D74"/>
    <w:rsid w:val="00E66E11"/>
    <w:rsid w:val="00E672C6"/>
    <w:rsid w:val="00E70192"/>
    <w:rsid w:val="00E70C55"/>
    <w:rsid w:val="00E70E34"/>
    <w:rsid w:val="00E71809"/>
    <w:rsid w:val="00E71D1E"/>
    <w:rsid w:val="00E725F7"/>
    <w:rsid w:val="00E726F2"/>
    <w:rsid w:val="00E728E2"/>
    <w:rsid w:val="00E738FA"/>
    <w:rsid w:val="00E739B6"/>
    <w:rsid w:val="00E74A2B"/>
    <w:rsid w:val="00E75667"/>
    <w:rsid w:val="00E756D3"/>
    <w:rsid w:val="00E75A5A"/>
    <w:rsid w:val="00E76004"/>
    <w:rsid w:val="00E7608F"/>
    <w:rsid w:val="00E760D7"/>
    <w:rsid w:val="00E769CC"/>
    <w:rsid w:val="00E76E26"/>
    <w:rsid w:val="00E77124"/>
    <w:rsid w:val="00E77341"/>
    <w:rsid w:val="00E7783E"/>
    <w:rsid w:val="00E778B8"/>
    <w:rsid w:val="00E801C7"/>
    <w:rsid w:val="00E8062F"/>
    <w:rsid w:val="00E80AF8"/>
    <w:rsid w:val="00E80BED"/>
    <w:rsid w:val="00E816E8"/>
    <w:rsid w:val="00E82592"/>
    <w:rsid w:val="00E825ED"/>
    <w:rsid w:val="00E827BB"/>
    <w:rsid w:val="00E82D24"/>
    <w:rsid w:val="00E8357D"/>
    <w:rsid w:val="00E83C4F"/>
    <w:rsid w:val="00E84212"/>
    <w:rsid w:val="00E84C04"/>
    <w:rsid w:val="00E84F72"/>
    <w:rsid w:val="00E856A2"/>
    <w:rsid w:val="00E8572B"/>
    <w:rsid w:val="00E8575B"/>
    <w:rsid w:val="00E85929"/>
    <w:rsid w:val="00E85AD2"/>
    <w:rsid w:val="00E86976"/>
    <w:rsid w:val="00E87A37"/>
    <w:rsid w:val="00E87CF7"/>
    <w:rsid w:val="00E9036E"/>
    <w:rsid w:val="00E9078A"/>
    <w:rsid w:val="00E912FD"/>
    <w:rsid w:val="00E91B26"/>
    <w:rsid w:val="00E92C6E"/>
    <w:rsid w:val="00E92D0B"/>
    <w:rsid w:val="00E92FFF"/>
    <w:rsid w:val="00E93195"/>
    <w:rsid w:val="00E9391C"/>
    <w:rsid w:val="00E93D05"/>
    <w:rsid w:val="00E951D8"/>
    <w:rsid w:val="00E95C2A"/>
    <w:rsid w:val="00E961CB"/>
    <w:rsid w:val="00E963BC"/>
    <w:rsid w:val="00E966A6"/>
    <w:rsid w:val="00E96E91"/>
    <w:rsid w:val="00E9751D"/>
    <w:rsid w:val="00E97DC6"/>
    <w:rsid w:val="00E97F7A"/>
    <w:rsid w:val="00EA0010"/>
    <w:rsid w:val="00EA0143"/>
    <w:rsid w:val="00EA089B"/>
    <w:rsid w:val="00EA1ACC"/>
    <w:rsid w:val="00EA23E8"/>
    <w:rsid w:val="00EA2E21"/>
    <w:rsid w:val="00EA2EAA"/>
    <w:rsid w:val="00EA380C"/>
    <w:rsid w:val="00EA613D"/>
    <w:rsid w:val="00EA6744"/>
    <w:rsid w:val="00EA6768"/>
    <w:rsid w:val="00EA7308"/>
    <w:rsid w:val="00EA7474"/>
    <w:rsid w:val="00EA7C70"/>
    <w:rsid w:val="00EB0831"/>
    <w:rsid w:val="00EB089C"/>
    <w:rsid w:val="00EB0AA8"/>
    <w:rsid w:val="00EB0B65"/>
    <w:rsid w:val="00EB0C65"/>
    <w:rsid w:val="00EB1624"/>
    <w:rsid w:val="00EB169F"/>
    <w:rsid w:val="00EB2635"/>
    <w:rsid w:val="00EB2961"/>
    <w:rsid w:val="00EB2E1A"/>
    <w:rsid w:val="00EB2F8A"/>
    <w:rsid w:val="00EB3268"/>
    <w:rsid w:val="00EB3298"/>
    <w:rsid w:val="00EB3939"/>
    <w:rsid w:val="00EB3CE6"/>
    <w:rsid w:val="00EB3E92"/>
    <w:rsid w:val="00EB54AB"/>
    <w:rsid w:val="00EB6257"/>
    <w:rsid w:val="00EB68E6"/>
    <w:rsid w:val="00EB6AE9"/>
    <w:rsid w:val="00EB6B2D"/>
    <w:rsid w:val="00EB71C9"/>
    <w:rsid w:val="00EB763E"/>
    <w:rsid w:val="00EB7659"/>
    <w:rsid w:val="00EB7B67"/>
    <w:rsid w:val="00EC07F1"/>
    <w:rsid w:val="00EC1E8A"/>
    <w:rsid w:val="00EC328C"/>
    <w:rsid w:val="00EC32F5"/>
    <w:rsid w:val="00EC3852"/>
    <w:rsid w:val="00EC4528"/>
    <w:rsid w:val="00EC5241"/>
    <w:rsid w:val="00EC5817"/>
    <w:rsid w:val="00EC594C"/>
    <w:rsid w:val="00EC5C7B"/>
    <w:rsid w:val="00EC66AA"/>
    <w:rsid w:val="00EC6B30"/>
    <w:rsid w:val="00EC6B8F"/>
    <w:rsid w:val="00EC7154"/>
    <w:rsid w:val="00EC7371"/>
    <w:rsid w:val="00EC73F5"/>
    <w:rsid w:val="00EC7894"/>
    <w:rsid w:val="00EC7A28"/>
    <w:rsid w:val="00EC7B48"/>
    <w:rsid w:val="00ED0151"/>
    <w:rsid w:val="00ED0257"/>
    <w:rsid w:val="00ED071B"/>
    <w:rsid w:val="00ED18B1"/>
    <w:rsid w:val="00ED1ADE"/>
    <w:rsid w:val="00ED3692"/>
    <w:rsid w:val="00ED4A77"/>
    <w:rsid w:val="00ED4B6E"/>
    <w:rsid w:val="00ED5981"/>
    <w:rsid w:val="00ED613A"/>
    <w:rsid w:val="00ED6514"/>
    <w:rsid w:val="00ED66B2"/>
    <w:rsid w:val="00ED71BA"/>
    <w:rsid w:val="00ED728F"/>
    <w:rsid w:val="00ED73A1"/>
    <w:rsid w:val="00ED7CA2"/>
    <w:rsid w:val="00EE04F9"/>
    <w:rsid w:val="00EE05E0"/>
    <w:rsid w:val="00EE13DA"/>
    <w:rsid w:val="00EE1595"/>
    <w:rsid w:val="00EE1E71"/>
    <w:rsid w:val="00EE2087"/>
    <w:rsid w:val="00EE20C2"/>
    <w:rsid w:val="00EE2A9D"/>
    <w:rsid w:val="00EE3384"/>
    <w:rsid w:val="00EE499F"/>
    <w:rsid w:val="00EE56E2"/>
    <w:rsid w:val="00EE5FCD"/>
    <w:rsid w:val="00EE63BF"/>
    <w:rsid w:val="00EE6D45"/>
    <w:rsid w:val="00EE6E89"/>
    <w:rsid w:val="00EF0D4B"/>
    <w:rsid w:val="00EF0FE6"/>
    <w:rsid w:val="00EF1130"/>
    <w:rsid w:val="00EF1432"/>
    <w:rsid w:val="00EF1511"/>
    <w:rsid w:val="00EF1F01"/>
    <w:rsid w:val="00EF2C39"/>
    <w:rsid w:val="00EF2C5F"/>
    <w:rsid w:val="00EF3811"/>
    <w:rsid w:val="00EF3AC4"/>
    <w:rsid w:val="00EF3FF9"/>
    <w:rsid w:val="00EF41AF"/>
    <w:rsid w:val="00EF4B87"/>
    <w:rsid w:val="00EF4DB4"/>
    <w:rsid w:val="00EF50D5"/>
    <w:rsid w:val="00EF5234"/>
    <w:rsid w:val="00EF55E9"/>
    <w:rsid w:val="00EF5B41"/>
    <w:rsid w:val="00EF611C"/>
    <w:rsid w:val="00EF625F"/>
    <w:rsid w:val="00EF62C0"/>
    <w:rsid w:val="00EF6D5A"/>
    <w:rsid w:val="00EF71E6"/>
    <w:rsid w:val="00F0058A"/>
    <w:rsid w:val="00F00630"/>
    <w:rsid w:val="00F00922"/>
    <w:rsid w:val="00F00924"/>
    <w:rsid w:val="00F0187E"/>
    <w:rsid w:val="00F01BE6"/>
    <w:rsid w:val="00F01F75"/>
    <w:rsid w:val="00F0217A"/>
    <w:rsid w:val="00F026D3"/>
    <w:rsid w:val="00F027E8"/>
    <w:rsid w:val="00F03395"/>
    <w:rsid w:val="00F034E6"/>
    <w:rsid w:val="00F03E4C"/>
    <w:rsid w:val="00F04D19"/>
    <w:rsid w:val="00F050A3"/>
    <w:rsid w:val="00F06340"/>
    <w:rsid w:val="00F0665D"/>
    <w:rsid w:val="00F06D42"/>
    <w:rsid w:val="00F06D97"/>
    <w:rsid w:val="00F07134"/>
    <w:rsid w:val="00F0724D"/>
    <w:rsid w:val="00F07378"/>
    <w:rsid w:val="00F10B81"/>
    <w:rsid w:val="00F10BC9"/>
    <w:rsid w:val="00F11078"/>
    <w:rsid w:val="00F113C9"/>
    <w:rsid w:val="00F11C01"/>
    <w:rsid w:val="00F11D80"/>
    <w:rsid w:val="00F1360D"/>
    <w:rsid w:val="00F14B08"/>
    <w:rsid w:val="00F14B4B"/>
    <w:rsid w:val="00F14CD1"/>
    <w:rsid w:val="00F15115"/>
    <w:rsid w:val="00F15A85"/>
    <w:rsid w:val="00F15C81"/>
    <w:rsid w:val="00F15D8C"/>
    <w:rsid w:val="00F15F18"/>
    <w:rsid w:val="00F16B86"/>
    <w:rsid w:val="00F16E1A"/>
    <w:rsid w:val="00F16F92"/>
    <w:rsid w:val="00F17C3E"/>
    <w:rsid w:val="00F20197"/>
    <w:rsid w:val="00F20369"/>
    <w:rsid w:val="00F20607"/>
    <w:rsid w:val="00F208BB"/>
    <w:rsid w:val="00F20C9E"/>
    <w:rsid w:val="00F213D8"/>
    <w:rsid w:val="00F21A5D"/>
    <w:rsid w:val="00F21C13"/>
    <w:rsid w:val="00F22362"/>
    <w:rsid w:val="00F22796"/>
    <w:rsid w:val="00F2296A"/>
    <w:rsid w:val="00F234A4"/>
    <w:rsid w:val="00F2363A"/>
    <w:rsid w:val="00F238F7"/>
    <w:rsid w:val="00F23BA0"/>
    <w:rsid w:val="00F2420C"/>
    <w:rsid w:val="00F24C28"/>
    <w:rsid w:val="00F254C4"/>
    <w:rsid w:val="00F25641"/>
    <w:rsid w:val="00F256D8"/>
    <w:rsid w:val="00F25824"/>
    <w:rsid w:val="00F25E8C"/>
    <w:rsid w:val="00F26065"/>
    <w:rsid w:val="00F266E3"/>
    <w:rsid w:val="00F2689C"/>
    <w:rsid w:val="00F27E44"/>
    <w:rsid w:val="00F30313"/>
    <w:rsid w:val="00F303BC"/>
    <w:rsid w:val="00F30472"/>
    <w:rsid w:val="00F31052"/>
    <w:rsid w:val="00F31068"/>
    <w:rsid w:val="00F318A1"/>
    <w:rsid w:val="00F31CF5"/>
    <w:rsid w:val="00F3265C"/>
    <w:rsid w:val="00F32C4A"/>
    <w:rsid w:val="00F33262"/>
    <w:rsid w:val="00F343EE"/>
    <w:rsid w:val="00F353F4"/>
    <w:rsid w:val="00F35494"/>
    <w:rsid w:val="00F35607"/>
    <w:rsid w:val="00F359AB"/>
    <w:rsid w:val="00F35DBA"/>
    <w:rsid w:val="00F3619D"/>
    <w:rsid w:val="00F36DDE"/>
    <w:rsid w:val="00F3722A"/>
    <w:rsid w:val="00F37366"/>
    <w:rsid w:val="00F37C99"/>
    <w:rsid w:val="00F37FCC"/>
    <w:rsid w:val="00F419B8"/>
    <w:rsid w:val="00F41C0F"/>
    <w:rsid w:val="00F42856"/>
    <w:rsid w:val="00F42ED7"/>
    <w:rsid w:val="00F43777"/>
    <w:rsid w:val="00F4482B"/>
    <w:rsid w:val="00F44F02"/>
    <w:rsid w:val="00F45039"/>
    <w:rsid w:val="00F4526B"/>
    <w:rsid w:val="00F45298"/>
    <w:rsid w:val="00F45F64"/>
    <w:rsid w:val="00F462DF"/>
    <w:rsid w:val="00F46534"/>
    <w:rsid w:val="00F4662D"/>
    <w:rsid w:val="00F467BA"/>
    <w:rsid w:val="00F4689E"/>
    <w:rsid w:val="00F468AC"/>
    <w:rsid w:val="00F4696F"/>
    <w:rsid w:val="00F46A5F"/>
    <w:rsid w:val="00F47316"/>
    <w:rsid w:val="00F47507"/>
    <w:rsid w:val="00F47A01"/>
    <w:rsid w:val="00F47CEE"/>
    <w:rsid w:val="00F5052D"/>
    <w:rsid w:val="00F51A82"/>
    <w:rsid w:val="00F51B78"/>
    <w:rsid w:val="00F51BDD"/>
    <w:rsid w:val="00F52065"/>
    <w:rsid w:val="00F521CE"/>
    <w:rsid w:val="00F5253E"/>
    <w:rsid w:val="00F5254B"/>
    <w:rsid w:val="00F52CB7"/>
    <w:rsid w:val="00F53A44"/>
    <w:rsid w:val="00F54E5E"/>
    <w:rsid w:val="00F551DB"/>
    <w:rsid w:val="00F55810"/>
    <w:rsid w:val="00F559BE"/>
    <w:rsid w:val="00F56F7E"/>
    <w:rsid w:val="00F56FEF"/>
    <w:rsid w:val="00F57521"/>
    <w:rsid w:val="00F60938"/>
    <w:rsid w:val="00F60C7E"/>
    <w:rsid w:val="00F60E0A"/>
    <w:rsid w:val="00F61606"/>
    <w:rsid w:val="00F61918"/>
    <w:rsid w:val="00F62151"/>
    <w:rsid w:val="00F62BA9"/>
    <w:rsid w:val="00F62CA8"/>
    <w:rsid w:val="00F62F92"/>
    <w:rsid w:val="00F630B4"/>
    <w:rsid w:val="00F635EF"/>
    <w:rsid w:val="00F63BF4"/>
    <w:rsid w:val="00F63C55"/>
    <w:rsid w:val="00F63C60"/>
    <w:rsid w:val="00F64991"/>
    <w:rsid w:val="00F65425"/>
    <w:rsid w:val="00F65BA9"/>
    <w:rsid w:val="00F65BC8"/>
    <w:rsid w:val="00F65EEA"/>
    <w:rsid w:val="00F66205"/>
    <w:rsid w:val="00F6630F"/>
    <w:rsid w:val="00F66419"/>
    <w:rsid w:val="00F67079"/>
    <w:rsid w:val="00F67B58"/>
    <w:rsid w:val="00F67E81"/>
    <w:rsid w:val="00F7044B"/>
    <w:rsid w:val="00F70FD4"/>
    <w:rsid w:val="00F71342"/>
    <w:rsid w:val="00F71C68"/>
    <w:rsid w:val="00F724E2"/>
    <w:rsid w:val="00F74103"/>
    <w:rsid w:val="00F7410A"/>
    <w:rsid w:val="00F745A4"/>
    <w:rsid w:val="00F74C0C"/>
    <w:rsid w:val="00F758E1"/>
    <w:rsid w:val="00F75BB5"/>
    <w:rsid w:val="00F75FD5"/>
    <w:rsid w:val="00F7604C"/>
    <w:rsid w:val="00F773A9"/>
    <w:rsid w:val="00F8056E"/>
    <w:rsid w:val="00F805B7"/>
    <w:rsid w:val="00F810C1"/>
    <w:rsid w:val="00F81623"/>
    <w:rsid w:val="00F81D25"/>
    <w:rsid w:val="00F8245C"/>
    <w:rsid w:val="00F82928"/>
    <w:rsid w:val="00F829B9"/>
    <w:rsid w:val="00F83045"/>
    <w:rsid w:val="00F83615"/>
    <w:rsid w:val="00F83EC7"/>
    <w:rsid w:val="00F8421D"/>
    <w:rsid w:val="00F85329"/>
    <w:rsid w:val="00F85683"/>
    <w:rsid w:val="00F85841"/>
    <w:rsid w:val="00F86079"/>
    <w:rsid w:val="00F8610A"/>
    <w:rsid w:val="00F87282"/>
    <w:rsid w:val="00F878CD"/>
    <w:rsid w:val="00F87905"/>
    <w:rsid w:val="00F87A66"/>
    <w:rsid w:val="00F90C1F"/>
    <w:rsid w:val="00F912D9"/>
    <w:rsid w:val="00F91A44"/>
    <w:rsid w:val="00F91BFA"/>
    <w:rsid w:val="00F91F8F"/>
    <w:rsid w:val="00F9217B"/>
    <w:rsid w:val="00F934DD"/>
    <w:rsid w:val="00F97A34"/>
    <w:rsid w:val="00F97E4A"/>
    <w:rsid w:val="00F97EA1"/>
    <w:rsid w:val="00FA003A"/>
    <w:rsid w:val="00FA05C8"/>
    <w:rsid w:val="00FA0678"/>
    <w:rsid w:val="00FA0DB6"/>
    <w:rsid w:val="00FA23F7"/>
    <w:rsid w:val="00FA27EB"/>
    <w:rsid w:val="00FA35B6"/>
    <w:rsid w:val="00FA3EBC"/>
    <w:rsid w:val="00FA423C"/>
    <w:rsid w:val="00FA44D0"/>
    <w:rsid w:val="00FA4590"/>
    <w:rsid w:val="00FA55A2"/>
    <w:rsid w:val="00FA672F"/>
    <w:rsid w:val="00FA775E"/>
    <w:rsid w:val="00FA7792"/>
    <w:rsid w:val="00FA7AA8"/>
    <w:rsid w:val="00FA7F1D"/>
    <w:rsid w:val="00FB011C"/>
    <w:rsid w:val="00FB0D60"/>
    <w:rsid w:val="00FB18FD"/>
    <w:rsid w:val="00FB2BF5"/>
    <w:rsid w:val="00FB2F8E"/>
    <w:rsid w:val="00FB30C3"/>
    <w:rsid w:val="00FB39B0"/>
    <w:rsid w:val="00FB5138"/>
    <w:rsid w:val="00FB547F"/>
    <w:rsid w:val="00FB5A71"/>
    <w:rsid w:val="00FB63F6"/>
    <w:rsid w:val="00FB7823"/>
    <w:rsid w:val="00FC05B2"/>
    <w:rsid w:val="00FC08B3"/>
    <w:rsid w:val="00FC09D7"/>
    <w:rsid w:val="00FC0ABE"/>
    <w:rsid w:val="00FC1269"/>
    <w:rsid w:val="00FC22D0"/>
    <w:rsid w:val="00FC38D4"/>
    <w:rsid w:val="00FC391E"/>
    <w:rsid w:val="00FC39B3"/>
    <w:rsid w:val="00FC3BB7"/>
    <w:rsid w:val="00FC4345"/>
    <w:rsid w:val="00FC444A"/>
    <w:rsid w:val="00FC453D"/>
    <w:rsid w:val="00FC4A89"/>
    <w:rsid w:val="00FC5856"/>
    <w:rsid w:val="00FC619B"/>
    <w:rsid w:val="00FC665F"/>
    <w:rsid w:val="00FC6C35"/>
    <w:rsid w:val="00FC6D59"/>
    <w:rsid w:val="00FC7561"/>
    <w:rsid w:val="00FC78F5"/>
    <w:rsid w:val="00FC7ACA"/>
    <w:rsid w:val="00FC7AD2"/>
    <w:rsid w:val="00FD10B3"/>
    <w:rsid w:val="00FD11C3"/>
    <w:rsid w:val="00FD154E"/>
    <w:rsid w:val="00FD24D7"/>
    <w:rsid w:val="00FD29CE"/>
    <w:rsid w:val="00FD3AE2"/>
    <w:rsid w:val="00FD3E41"/>
    <w:rsid w:val="00FD3EFA"/>
    <w:rsid w:val="00FD54A8"/>
    <w:rsid w:val="00FD5AE4"/>
    <w:rsid w:val="00FD5F25"/>
    <w:rsid w:val="00FD60BE"/>
    <w:rsid w:val="00FD6894"/>
    <w:rsid w:val="00FD6AF0"/>
    <w:rsid w:val="00FD704D"/>
    <w:rsid w:val="00FD74EF"/>
    <w:rsid w:val="00FD79B8"/>
    <w:rsid w:val="00FD79F6"/>
    <w:rsid w:val="00FE033F"/>
    <w:rsid w:val="00FE07A8"/>
    <w:rsid w:val="00FE0AD1"/>
    <w:rsid w:val="00FE0CC0"/>
    <w:rsid w:val="00FE1852"/>
    <w:rsid w:val="00FE1963"/>
    <w:rsid w:val="00FE1981"/>
    <w:rsid w:val="00FE1BF1"/>
    <w:rsid w:val="00FE1DE4"/>
    <w:rsid w:val="00FE33DB"/>
    <w:rsid w:val="00FE33F5"/>
    <w:rsid w:val="00FE352A"/>
    <w:rsid w:val="00FE37DD"/>
    <w:rsid w:val="00FE3C31"/>
    <w:rsid w:val="00FE4015"/>
    <w:rsid w:val="00FE44F5"/>
    <w:rsid w:val="00FE4783"/>
    <w:rsid w:val="00FE480D"/>
    <w:rsid w:val="00FE4ACC"/>
    <w:rsid w:val="00FE4F80"/>
    <w:rsid w:val="00FE570E"/>
    <w:rsid w:val="00FE6870"/>
    <w:rsid w:val="00FE713E"/>
    <w:rsid w:val="00FE7877"/>
    <w:rsid w:val="00FE7DD1"/>
    <w:rsid w:val="00FF0B4F"/>
    <w:rsid w:val="00FF0F58"/>
    <w:rsid w:val="00FF183C"/>
    <w:rsid w:val="00FF1A06"/>
    <w:rsid w:val="00FF1AD3"/>
    <w:rsid w:val="00FF1B46"/>
    <w:rsid w:val="00FF219D"/>
    <w:rsid w:val="00FF2A7B"/>
    <w:rsid w:val="00FF3D2B"/>
    <w:rsid w:val="00FF49B4"/>
    <w:rsid w:val="00FF49F4"/>
    <w:rsid w:val="00FF5C6A"/>
    <w:rsid w:val="00FF651D"/>
    <w:rsid w:val="00FF6843"/>
    <w:rsid w:val="00FF6C25"/>
    <w:rsid w:val="010651D9"/>
    <w:rsid w:val="011F6449"/>
    <w:rsid w:val="01236AFB"/>
    <w:rsid w:val="01624CD8"/>
    <w:rsid w:val="019F7441"/>
    <w:rsid w:val="01B37585"/>
    <w:rsid w:val="01D55165"/>
    <w:rsid w:val="01DF6BF8"/>
    <w:rsid w:val="01EC2C57"/>
    <w:rsid w:val="025F0711"/>
    <w:rsid w:val="026B2E25"/>
    <w:rsid w:val="02824D4D"/>
    <w:rsid w:val="02DC4B10"/>
    <w:rsid w:val="02DD76CE"/>
    <w:rsid w:val="02F36323"/>
    <w:rsid w:val="02F5619C"/>
    <w:rsid w:val="0326446A"/>
    <w:rsid w:val="032D5555"/>
    <w:rsid w:val="036634D2"/>
    <w:rsid w:val="03DD35E4"/>
    <w:rsid w:val="04076900"/>
    <w:rsid w:val="041A5A3B"/>
    <w:rsid w:val="042311BA"/>
    <w:rsid w:val="042B157A"/>
    <w:rsid w:val="048F763B"/>
    <w:rsid w:val="049F330E"/>
    <w:rsid w:val="04AA775C"/>
    <w:rsid w:val="04AF1889"/>
    <w:rsid w:val="04F66F48"/>
    <w:rsid w:val="05251E14"/>
    <w:rsid w:val="05A16594"/>
    <w:rsid w:val="05A7762D"/>
    <w:rsid w:val="060E5941"/>
    <w:rsid w:val="06110FAF"/>
    <w:rsid w:val="06493CA7"/>
    <w:rsid w:val="065A6178"/>
    <w:rsid w:val="066F1CF3"/>
    <w:rsid w:val="06930BB8"/>
    <w:rsid w:val="07245D42"/>
    <w:rsid w:val="07264C62"/>
    <w:rsid w:val="0779354C"/>
    <w:rsid w:val="07877D4C"/>
    <w:rsid w:val="08044DE9"/>
    <w:rsid w:val="08061376"/>
    <w:rsid w:val="08452D77"/>
    <w:rsid w:val="086401F8"/>
    <w:rsid w:val="08751CAA"/>
    <w:rsid w:val="087E4C40"/>
    <w:rsid w:val="08A871D0"/>
    <w:rsid w:val="08D66AD6"/>
    <w:rsid w:val="08DA33A3"/>
    <w:rsid w:val="08E0715B"/>
    <w:rsid w:val="08E80F13"/>
    <w:rsid w:val="08FD1976"/>
    <w:rsid w:val="09335624"/>
    <w:rsid w:val="0944690F"/>
    <w:rsid w:val="09535675"/>
    <w:rsid w:val="095F057D"/>
    <w:rsid w:val="09642282"/>
    <w:rsid w:val="09733572"/>
    <w:rsid w:val="09772C16"/>
    <w:rsid w:val="098353B5"/>
    <w:rsid w:val="09A92330"/>
    <w:rsid w:val="09B06B87"/>
    <w:rsid w:val="09C13146"/>
    <w:rsid w:val="09CE10B7"/>
    <w:rsid w:val="09E04166"/>
    <w:rsid w:val="0A1641A0"/>
    <w:rsid w:val="0A1C0718"/>
    <w:rsid w:val="0A3E7710"/>
    <w:rsid w:val="0A5B7E63"/>
    <w:rsid w:val="0A780E00"/>
    <w:rsid w:val="0AA374A5"/>
    <w:rsid w:val="0AAB7649"/>
    <w:rsid w:val="0ABC5606"/>
    <w:rsid w:val="0B30404E"/>
    <w:rsid w:val="0B4C6C14"/>
    <w:rsid w:val="0B547599"/>
    <w:rsid w:val="0B631A88"/>
    <w:rsid w:val="0B683D45"/>
    <w:rsid w:val="0B7F3F11"/>
    <w:rsid w:val="0B884417"/>
    <w:rsid w:val="0BD92B31"/>
    <w:rsid w:val="0BF6188C"/>
    <w:rsid w:val="0BF73C91"/>
    <w:rsid w:val="0C03505D"/>
    <w:rsid w:val="0C170175"/>
    <w:rsid w:val="0C324180"/>
    <w:rsid w:val="0C571A41"/>
    <w:rsid w:val="0C5C1171"/>
    <w:rsid w:val="0C5E1CBC"/>
    <w:rsid w:val="0C615B50"/>
    <w:rsid w:val="0C8445DA"/>
    <w:rsid w:val="0C87121B"/>
    <w:rsid w:val="0CC007F7"/>
    <w:rsid w:val="0CC617AC"/>
    <w:rsid w:val="0CE618DF"/>
    <w:rsid w:val="0CFE707A"/>
    <w:rsid w:val="0D063BDA"/>
    <w:rsid w:val="0D08375F"/>
    <w:rsid w:val="0D1206F0"/>
    <w:rsid w:val="0D184CFB"/>
    <w:rsid w:val="0D4A7419"/>
    <w:rsid w:val="0D577436"/>
    <w:rsid w:val="0D7B6B99"/>
    <w:rsid w:val="0D827401"/>
    <w:rsid w:val="0D84094E"/>
    <w:rsid w:val="0D8A00E9"/>
    <w:rsid w:val="0D8D589E"/>
    <w:rsid w:val="0DA01C73"/>
    <w:rsid w:val="0DCD29FE"/>
    <w:rsid w:val="0DD63300"/>
    <w:rsid w:val="0DF50604"/>
    <w:rsid w:val="0DF702FE"/>
    <w:rsid w:val="0E060E51"/>
    <w:rsid w:val="0E5604B2"/>
    <w:rsid w:val="0E6D5D79"/>
    <w:rsid w:val="0E76739A"/>
    <w:rsid w:val="0E9D0089"/>
    <w:rsid w:val="0EB803EE"/>
    <w:rsid w:val="0EF94D4B"/>
    <w:rsid w:val="0F4958DC"/>
    <w:rsid w:val="0F515DF7"/>
    <w:rsid w:val="0F596BA8"/>
    <w:rsid w:val="0F6248D2"/>
    <w:rsid w:val="0F693536"/>
    <w:rsid w:val="0F7B0511"/>
    <w:rsid w:val="0F7B76D9"/>
    <w:rsid w:val="0F816ACD"/>
    <w:rsid w:val="0F9832DB"/>
    <w:rsid w:val="0FBF3FD2"/>
    <w:rsid w:val="0FBF7FF3"/>
    <w:rsid w:val="10097F2A"/>
    <w:rsid w:val="10646583"/>
    <w:rsid w:val="107D4B15"/>
    <w:rsid w:val="108A3C80"/>
    <w:rsid w:val="10C26171"/>
    <w:rsid w:val="10F33360"/>
    <w:rsid w:val="10FC16EA"/>
    <w:rsid w:val="110F1D40"/>
    <w:rsid w:val="11266F33"/>
    <w:rsid w:val="118963A1"/>
    <w:rsid w:val="11C6522A"/>
    <w:rsid w:val="11C709DC"/>
    <w:rsid w:val="11E104CC"/>
    <w:rsid w:val="11E20309"/>
    <w:rsid w:val="11F0333E"/>
    <w:rsid w:val="12255233"/>
    <w:rsid w:val="124F1D8E"/>
    <w:rsid w:val="12530213"/>
    <w:rsid w:val="127723A9"/>
    <w:rsid w:val="12862074"/>
    <w:rsid w:val="12883966"/>
    <w:rsid w:val="129E45B4"/>
    <w:rsid w:val="12D81596"/>
    <w:rsid w:val="13072A44"/>
    <w:rsid w:val="134E66DF"/>
    <w:rsid w:val="135F4BE2"/>
    <w:rsid w:val="139B1A0A"/>
    <w:rsid w:val="139D25C7"/>
    <w:rsid w:val="13BF3CE4"/>
    <w:rsid w:val="141008D8"/>
    <w:rsid w:val="14125FE6"/>
    <w:rsid w:val="146D271E"/>
    <w:rsid w:val="14982588"/>
    <w:rsid w:val="149A5AD9"/>
    <w:rsid w:val="14A7619D"/>
    <w:rsid w:val="150536C3"/>
    <w:rsid w:val="150C1963"/>
    <w:rsid w:val="151447A0"/>
    <w:rsid w:val="154A6454"/>
    <w:rsid w:val="15762120"/>
    <w:rsid w:val="15F668ED"/>
    <w:rsid w:val="16A8729C"/>
    <w:rsid w:val="16B33777"/>
    <w:rsid w:val="16BC70A7"/>
    <w:rsid w:val="16C6339E"/>
    <w:rsid w:val="16EC77D2"/>
    <w:rsid w:val="171068E5"/>
    <w:rsid w:val="172F2D79"/>
    <w:rsid w:val="17557BEF"/>
    <w:rsid w:val="17B60D70"/>
    <w:rsid w:val="17D349C1"/>
    <w:rsid w:val="1830729E"/>
    <w:rsid w:val="185B3E0D"/>
    <w:rsid w:val="1870062C"/>
    <w:rsid w:val="18817102"/>
    <w:rsid w:val="18830A15"/>
    <w:rsid w:val="18852B28"/>
    <w:rsid w:val="188B5321"/>
    <w:rsid w:val="19932372"/>
    <w:rsid w:val="19A20DD5"/>
    <w:rsid w:val="19AE03F1"/>
    <w:rsid w:val="19F37F07"/>
    <w:rsid w:val="1A071A03"/>
    <w:rsid w:val="1A1F16AE"/>
    <w:rsid w:val="1A3B5C77"/>
    <w:rsid w:val="1A4542A2"/>
    <w:rsid w:val="1A984BAD"/>
    <w:rsid w:val="1AB8220E"/>
    <w:rsid w:val="1ACB23D8"/>
    <w:rsid w:val="1AE4166C"/>
    <w:rsid w:val="1AEE3BBF"/>
    <w:rsid w:val="1AF06CFB"/>
    <w:rsid w:val="1AF11B8D"/>
    <w:rsid w:val="1B11359C"/>
    <w:rsid w:val="1B2A271F"/>
    <w:rsid w:val="1B530544"/>
    <w:rsid w:val="1B713184"/>
    <w:rsid w:val="1BA209CF"/>
    <w:rsid w:val="1BB4777D"/>
    <w:rsid w:val="1BD75AB8"/>
    <w:rsid w:val="1C0459C2"/>
    <w:rsid w:val="1C1B3B4A"/>
    <w:rsid w:val="1C88086E"/>
    <w:rsid w:val="1CFC5477"/>
    <w:rsid w:val="1D266CE1"/>
    <w:rsid w:val="1D3963AF"/>
    <w:rsid w:val="1D6A673C"/>
    <w:rsid w:val="1D9247AE"/>
    <w:rsid w:val="1DB567EC"/>
    <w:rsid w:val="1DE75FFF"/>
    <w:rsid w:val="1DF51A98"/>
    <w:rsid w:val="1E3608EF"/>
    <w:rsid w:val="1E3D060F"/>
    <w:rsid w:val="1E3F7D2E"/>
    <w:rsid w:val="1E4134E4"/>
    <w:rsid w:val="1E5062B3"/>
    <w:rsid w:val="1E523514"/>
    <w:rsid w:val="1E714A66"/>
    <w:rsid w:val="1E802593"/>
    <w:rsid w:val="1E8B6156"/>
    <w:rsid w:val="1EA703CC"/>
    <w:rsid w:val="1EB7330C"/>
    <w:rsid w:val="1EDA3137"/>
    <w:rsid w:val="1F0A0FF3"/>
    <w:rsid w:val="1F550E6F"/>
    <w:rsid w:val="1F5771FF"/>
    <w:rsid w:val="1FD52DD5"/>
    <w:rsid w:val="1FE868A9"/>
    <w:rsid w:val="20034907"/>
    <w:rsid w:val="20173E4B"/>
    <w:rsid w:val="204E48BC"/>
    <w:rsid w:val="208921B3"/>
    <w:rsid w:val="20973DEB"/>
    <w:rsid w:val="20B26522"/>
    <w:rsid w:val="20B44310"/>
    <w:rsid w:val="20DA787E"/>
    <w:rsid w:val="211116EB"/>
    <w:rsid w:val="216133FC"/>
    <w:rsid w:val="21D56769"/>
    <w:rsid w:val="21E52EF3"/>
    <w:rsid w:val="21FB5D7B"/>
    <w:rsid w:val="22015E94"/>
    <w:rsid w:val="220B1C3D"/>
    <w:rsid w:val="221D1D20"/>
    <w:rsid w:val="22334A87"/>
    <w:rsid w:val="22BE6801"/>
    <w:rsid w:val="233500BF"/>
    <w:rsid w:val="23377FF7"/>
    <w:rsid w:val="236B425F"/>
    <w:rsid w:val="237D04CA"/>
    <w:rsid w:val="23836192"/>
    <w:rsid w:val="23901F29"/>
    <w:rsid w:val="239C0061"/>
    <w:rsid w:val="23A3635D"/>
    <w:rsid w:val="23B908A4"/>
    <w:rsid w:val="23E95BEF"/>
    <w:rsid w:val="23FD0064"/>
    <w:rsid w:val="245375B0"/>
    <w:rsid w:val="24642C0A"/>
    <w:rsid w:val="247A7590"/>
    <w:rsid w:val="24B22173"/>
    <w:rsid w:val="24B95AD9"/>
    <w:rsid w:val="24BE24DA"/>
    <w:rsid w:val="24CF5825"/>
    <w:rsid w:val="24D663E6"/>
    <w:rsid w:val="24D77F2B"/>
    <w:rsid w:val="258B00E2"/>
    <w:rsid w:val="25A917A6"/>
    <w:rsid w:val="25BE27CC"/>
    <w:rsid w:val="25F74A5C"/>
    <w:rsid w:val="2628662C"/>
    <w:rsid w:val="262D45DE"/>
    <w:rsid w:val="26871DC8"/>
    <w:rsid w:val="26A53EF9"/>
    <w:rsid w:val="26A94201"/>
    <w:rsid w:val="26AC274F"/>
    <w:rsid w:val="26B769D8"/>
    <w:rsid w:val="27044A29"/>
    <w:rsid w:val="271D34C8"/>
    <w:rsid w:val="276142BF"/>
    <w:rsid w:val="27783712"/>
    <w:rsid w:val="27907362"/>
    <w:rsid w:val="28333E1D"/>
    <w:rsid w:val="28454BD6"/>
    <w:rsid w:val="28455253"/>
    <w:rsid w:val="28551971"/>
    <w:rsid w:val="285B1C53"/>
    <w:rsid w:val="289F7086"/>
    <w:rsid w:val="28C32028"/>
    <w:rsid w:val="28CC490F"/>
    <w:rsid w:val="28DE40AA"/>
    <w:rsid w:val="29345E77"/>
    <w:rsid w:val="294C65AD"/>
    <w:rsid w:val="29806583"/>
    <w:rsid w:val="298B3C4C"/>
    <w:rsid w:val="29A2439C"/>
    <w:rsid w:val="29F26D24"/>
    <w:rsid w:val="2A15033F"/>
    <w:rsid w:val="2A1662C1"/>
    <w:rsid w:val="2A1C7367"/>
    <w:rsid w:val="2A2815FA"/>
    <w:rsid w:val="2A6D6092"/>
    <w:rsid w:val="2A7D76B4"/>
    <w:rsid w:val="2AB32EED"/>
    <w:rsid w:val="2B437463"/>
    <w:rsid w:val="2B7807EE"/>
    <w:rsid w:val="2BA50BF7"/>
    <w:rsid w:val="2BBF00EC"/>
    <w:rsid w:val="2BC37CFD"/>
    <w:rsid w:val="2BD5237F"/>
    <w:rsid w:val="2BE536CE"/>
    <w:rsid w:val="2BE758D9"/>
    <w:rsid w:val="2C09049E"/>
    <w:rsid w:val="2C0A653C"/>
    <w:rsid w:val="2C191F85"/>
    <w:rsid w:val="2CE82D6F"/>
    <w:rsid w:val="2D343236"/>
    <w:rsid w:val="2D9C1CAA"/>
    <w:rsid w:val="2DD15014"/>
    <w:rsid w:val="2DF72DE4"/>
    <w:rsid w:val="2E0220AF"/>
    <w:rsid w:val="2E4B082A"/>
    <w:rsid w:val="2E5D4E86"/>
    <w:rsid w:val="2E5D790B"/>
    <w:rsid w:val="2E853A7E"/>
    <w:rsid w:val="2E9A3C18"/>
    <w:rsid w:val="2EBB0FEE"/>
    <w:rsid w:val="2EC63002"/>
    <w:rsid w:val="2F0A6B38"/>
    <w:rsid w:val="2F5457A0"/>
    <w:rsid w:val="2F946CCB"/>
    <w:rsid w:val="2FD25781"/>
    <w:rsid w:val="2FDC745C"/>
    <w:rsid w:val="2FFD7934"/>
    <w:rsid w:val="30733ACD"/>
    <w:rsid w:val="308C3862"/>
    <w:rsid w:val="309379D8"/>
    <w:rsid w:val="30A270F7"/>
    <w:rsid w:val="30DF1478"/>
    <w:rsid w:val="30EC586F"/>
    <w:rsid w:val="314550B7"/>
    <w:rsid w:val="315405EA"/>
    <w:rsid w:val="31980702"/>
    <w:rsid w:val="319C6071"/>
    <w:rsid w:val="31AC537E"/>
    <w:rsid w:val="31E3679B"/>
    <w:rsid w:val="31E732FD"/>
    <w:rsid w:val="32517576"/>
    <w:rsid w:val="32AC3CB0"/>
    <w:rsid w:val="32B85545"/>
    <w:rsid w:val="32BE5C2C"/>
    <w:rsid w:val="32FB6478"/>
    <w:rsid w:val="33263B3F"/>
    <w:rsid w:val="336963EB"/>
    <w:rsid w:val="33816EEB"/>
    <w:rsid w:val="33EB55CD"/>
    <w:rsid w:val="33EC4C02"/>
    <w:rsid w:val="340D2360"/>
    <w:rsid w:val="3410665D"/>
    <w:rsid w:val="34211214"/>
    <w:rsid w:val="342E63AB"/>
    <w:rsid w:val="34950E68"/>
    <w:rsid w:val="34986E94"/>
    <w:rsid w:val="34AF62C9"/>
    <w:rsid w:val="34CB4388"/>
    <w:rsid w:val="34FA6E12"/>
    <w:rsid w:val="354D7158"/>
    <w:rsid w:val="354D750C"/>
    <w:rsid w:val="358D5588"/>
    <w:rsid w:val="363A3B40"/>
    <w:rsid w:val="365302AE"/>
    <w:rsid w:val="36607A0A"/>
    <w:rsid w:val="366E227C"/>
    <w:rsid w:val="366F2E0D"/>
    <w:rsid w:val="367B6A5C"/>
    <w:rsid w:val="36A74ADA"/>
    <w:rsid w:val="36AD60D5"/>
    <w:rsid w:val="36B224F9"/>
    <w:rsid w:val="36EC0CC9"/>
    <w:rsid w:val="373F410B"/>
    <w:rsid w:val="375A7E56"/>
    <w:rsid w:val="376F3EFE"/>
    <w:rsid w:val="37D82760"/>
    <w:rsid w:val="37EE7094"/>
    <w:rsid w:val="38296C89"/>
    <w:rsid w:val="383002EB"/>
    <w:rsid w:val="38586797"/>
    <w:rsid w:val="38621244"/>
    <w:rsid w:val="38926DE1"/>
    <w:rsid w:val="38BC0149"/>
    <w:rsid w:val="38D87D1C"/>
    <w:rsid w:val="39636459"/>
    <w:rsid w:val="396B7F6C"/>
    <w:rsid w:val="39AB4ACB"/>
    <w:rsid w:val="39B417A9"/>
    <w:rsid w:val="39FC5695"/>
    <w:rsid w:val="3A006D8E"/>
    <w:rsid w:val="3A3651E5"/>
    <w:rsid w:val="3A451DB4"/>
    <w:rsid w:val="3A6A27F0"/>
    <w:rsid w:val="3A744481"/>
    <w:rsid w:val="3A8C7BEF"/>
    <w:rsid w:val="3A906246"/>
    <w:rsid w:val="3B2349B7"/>
    <w:rsid w:val="3B616CFF"/>
    <w:rsid w:val="3B6259F6"/>
    <w:rsid w:val="3B976654"/>
    <w:rsid w:val="3BC01EFC"/>
    <w:rsid w:val="3BCA786A"/>
    <w:rsid w:val="3BD31E2F"/>
    <w:rsid w:val="3BF15831"/>
    <w:rsid w:val="3C105946"/>
    <w:rsid w:val="3C471448"/>
    <w:rsid w:val="3C5F759A"/>
    <w:rsid w:val="3C6C525A"/>
    <w:rsid w:val="3CCE23CB"/>
    <w:rsid w:val="3CD17D17"/>
    <w:rsid w:val="3D3C7F39"/>
    <w:rsid w:val="3D440F09"/>
    <w:rsid w:val="3D4504A0"/>
    <w:rsid w:val="3D8734BB"/>
    <w:rsid w:val="3D9A11D4"/>
    <w:rsid w:val="3DA16D89"/>
    <w:rsid w:val="3DA364BE"/>
    <w:rsid w:val="3DE041CB"/>
    <w:rsid w:val="3E0D48F6"/>
    <w:rsid w:val="3E1868B4"/>
    <w:rsid w:val="3E377251"/>
    <w:rsid w:val="3E42664B"/>
    <w:rsid w:val="3E44398B"/>
    <w:rsid w:val="3E5A7334"/>
    <w:rsid w:val="3E7B5D6B"/>
    <w:rsid w:val="3E843E66"/>
    <w:rsid w:val="3E8F51FE"/>
    <w:rsid w:val="3E926F87"/>
    <w:rsid w:val="3E9A59DE"/>
    <w:rsid w:val="3EAF4836"/>
    <w:rsid w:val="3EC33DFA"/>
    <w:rsid w:val="3EE5023D"/>
    <w:rsid w:val="3EF94CDF"/>
    <w:rsid w:val="3F060E16"/>
    <w:rsid w:val="3F1D1096"/>
    <w:rsid w:val="3F2F0234"/>
    <w:rsid w:val="3F6363FE"/>
    <w:rsid w:val="3F756B8F"/>
    <w:rsid w:val="3F8B17BD"/>
    <w:rsid w:val="3F95482B"/>
    <w:rsid w:val="4019356B"/>
    <w:rsid w:val="40592157"/>
    <w:rsid w:val="406E1CAE"/>
    <w:rsid w:val="40A0133A"/>
    <w:rsid w:val="40C31A53"/>
    <w:rsid w:val="40FF545D"/>
    <w:rsid w:val="410067C8"/>
    <w:rsid w:val="414A5DF0"/>
    <w:rsid w:val="418F0D2A"/>
    <w:rsid w:val="41D01505"/>
    <w:rsid w:val="42474939"/>
    <w:rsid w:val="424C3C57"/>
    <w:rsid w:val="42613FF3"/>
    <w:rsid w:val="42660D96"/>
    <w:rsid w:val="428667D2"/>
    <w:rsid w:val="42CD1CE0"/>
    <w:rsid w:val="42E1381E"/>
    <w:rsid w:val="42E74413"/>
    <w:rsid w:val="42ED6459"/>
    <w:rsid w:val="42FE58DD"/>
    <w:rsid w:val="430345BA"/>
    <w:rsid w:val="43174B3D"/>
    <w:rsid w:val="43420DB3"/>
    <w:rsid w:val="434B790E"/>
    <w:rsid w:val="434F2525"/>
    <w:rsid w:val="4360274F"/>
    <w:rsid w:val="43977AB6"/>
    <w:rsid w:val="43A3342B"/>
    <w:rsid w:val="43C77C27"/>
    <w:rsid w:val="43DE09EE"/>
    <w:rsid w:val="44002FAD"/>
    <w:rsid w:val="449101DD"/>
    <w:rsid w:val="44DE1391"/>
    <w:rsid w:val="451B225C"/>
    <w:rsid w:val="452410C9"/>
    <w:rsid w:val="45317DFB"/>
    <w:rsid w:val="456D3CE4"/>
    <w:rsid w:val="4579042C"/>
    <w:rsid w:val="457F0571"/>
    <w:rsid w:val="45851176"/>
    <w:rsid w:val="45C63B94"/>
    <w:rsid w:val="45EB5B53"/>
    <w:rsid w:val="460E7DA5"/>
    <w:rsid w:val="46214358"/>
    <w:rsid w:val="46422483"/>
    <w:rsid w:val="4659254A"/>
    <w:rsid w:val="465B0637"/>
    <w:rsid w:val="465E3F0D"/>
    <w:rsid w:val="466A16E6"/>
    <w:rsid w:val="46893F2B"/>
    <w:rsid w:val="46C4686E"/>
    <w:rsid w:val="477B778F"/>
    <w:rsid w:val="478203EC"/>
    <w:rsid w:val="47B025FA"/>
    <w:rsid w:val="4809698F"/>
    <w:rsid w:val="4811697D"/>
    <w:rsid w:val="487A3E25"/>
    <w:rsid w:val="488B5503"/>
    <w:rsid w:val="48937E21"/>
    <w:rsid w:val="489A0361"/>
    <w:rsid w:val="48B94FF3"/>
    <w:rsid w:val="48E37AAB"/>
    <w:rsid w:val="48F57BE6"/>
    <w:rsid w:val="48FD4B4C"/>
    <w:rsid w:val="490A68E0"/>
    <w:rsid w:val="491055FE"/>
    <w:rsid w:val="492367D0"/>
    <w:rsid w:val="495F5B3E"/>
    <w:rsid w:val="496F77D7"/>
    <w:rsid w:val="497654FD"/>
    <w:rsid w:val="49B64211"/>
    <w:rsid w:val="49E56AF9"/>
    <w:rsid w:val="49F6167F"/>
    <w:rsid w:val="4A064FA0"/>
    <w:rsid w:val="4A16615C"/>
    <w:rsid w:val="4A4424D7"/>
    <w:rsid w:val="4AB82D0F"/>
    <w:rsid w:val="4AEB7664"/>
    <w:rsid w:val="4AFD7C19"/>
    <w:rsid w:val="4B0567D1"/>
    <w:rsid w:val="4B236AAE"/>
    <w:rsid w:val="4B334AEF"/>
    <w:rsid w:val="4B707271"/>
    <w:rsid w:val="4B9739F7"/>
    <w:rsid w:val="4BEE2503"/>
    <w:rsid w:val="4C245A30"/>
    <w:rsid w:val="4C4E4740"/>
    <w:rsid w:val="4CB6685F"/>
    <w:rsid w:val="4CC367FE"/>
    <w:rsid w:val="4D077F3C"/>
    <w:rsid w:val="4D123355"/>
    <w:rsid w:val="4D2A3B31"/>
    <w:rsid w:val="4D312C52"/>
    <w:rsid w:val="4D905305"/>
    <w:rsid w:val="4D964A72"/>
    <w:rsid w:val="4D9C1254"/>
    <w:rsid w:val="4DF331B5"/>
    <w:rsid w:val="4E793892"/>
    <w:rsid w:val="4E800872"/>
    <w:rsid w:val="4E9F3FA2"/>
    <w:rsid w:val="4EC569ED"/>
    <w:rsid w:val="4ED50EA1"/>
    <w:rsid w:val="4EEC050C"/>
    <w:rsid w:val="4F104EC3"/>
    <w:rsid w:val="4F363A4C"/>
    <w:rsid w:val="4F47354A"/>
    <w:rsid w:val="4F911C54"/>
    <w:rsid w:val="4FE625E0"/>
    <w:rsid w:val="5010121D"/>
    <w:rsid w:val="5021480F"/>
    <w:rsid w:val="5026537D"/>
    <w:rsid w:val="50962ECB"/>
    <w:rsid w:val="50A42E38"/>
    <w:rsid w:val="50A4577F"/>
    <w:rsid w:val="50B73D1F"/>
    <w:rsid w:val="50BD5BC9"/>
    <w:rsid w:val="50C11EEE"/>
    <w:rsid w:val="50D67C2E"/>
    <w:rsid w:val="50E97CFC"/>
    <w:rsid w:val="50FA4028"/>
    <w:rsid w:val="510D65B7"/>
    <w:rsid w:val="511157AB"/>
    <w:rsid w:val="5142540C"/>
    <w:rsid w:val="518832C8"/>
    <w:rsid w:val="519D3C50"/>
    <w:rsid w:val="51A0432A"/>
    <w:rsid w:val="51A86090"/>
    <w:rsid w:val="51B7396D"/>
    <w:rsid w:val="522E4CC3"/>
    <w:rsid w:val="5244713B"/>
    <w:rsid w:val="52615633"/>
    <w:rsid w:val="526F4DE4"/>
    <w:rsid w:val="52785AA2"/>
    <w:rsid w:val="52977FD4"/>
    <w:rsid w:val="52A25790"/>
    <w:rsid w:val="52A96B6F"/>
    <w:rsid w:val="52B45975"/>
    <w:rsid w:val="52D94AA4"/>
    <w:rsid w:val="52EA3A62"/>
    <w:rsid w:val="52F50BB8"/>
    <w:rsid w:val="53097272"/>
    <w:rsid w:val="53271D10"/>
    <w:rsid w:val="53544462"/>
    <w:rsid w:val="536D5C5D"/>
    <w:rsid w:val="5397158E"/>
    <w:rsid w:val="54013861"/>
    <w:rsid w:val="54487265"/>
    <w:rsid w:val="544D6070"/>
    <w:rsid w:val="54605E1E"/>
    <w:rsid w:val="547A528D"/>
    <w:rsid w:val="54B3506A"/>
    <w:rsid w:val="54CA0D16"/>
    <w:rsid w:val="54DD4057"/>
    <w:rsid w:val="54E7490F"/>
    <w:rsid w:val="550764A4"/>
    <w:rsid w:val="550B2BF6"/>
    <w:rsid w:val="55214EB5"/>
    <w:rsid w:val="55364EFD"/>
    <w:rsid w:val="554641E0"/>
    <w:rsid w:val="555D4828"/>
    <w:rsid w:val="557A4C8B"/>
    <w:rsid w:val="558931E1"/>
    <w:rsid w:val="55923347"/>
    <w:rsid w:val="55925180"/>
    <w:rsid w:val="55983B1B"/>
    <w:rsid w:val="55A8376B"/>
    <w:rsid w:val="55DC29B6"/>
    <w:rsid w:val="55DD4241"/>
    <w:rsid w:val="566B6D1E"/>
    <w:rsid w:val="569A6B8C"/>
    <w:rsid w:val="56D44689"/>
    <w:rsid w:val="56EE7D9F"/>
    <w:rsid w:val="57032A2C"/>
    <w:rsid w:val="570F5219"/>
    <w:rsid w:val="575D12B5"/>
    <w:rsid w:val="57610A87"/>
    <w:rsid w:val="577B1140"/>
    <w:rsid w:val="577B7F21"/>
    <w:rsid w:val="577F181B"/>
    <w:rsid w:val="57921984"/>
    <w:rsid w:val="579737F0"/>
    <w:rsid w:val="57AB7B30"/>
    <w:rsid w:val="57AF5251"/>
    <w:rsid w:val="57B26373"/>
    <w:rsid w:val="57B63F04"/>
    <w:rsid w:val="57CD20C2"/>
    <w:rsid w:val="57D675AB"/>
    <w:rsid w:val="57D95FDD"/>
    <w:rsid w:val="583A124A"/>
    <w:rsid w:val="58917D2F"/>
    <w:rsid w:val="5894085C"/>
    <w:rsid w:val="58AE4F0C"/>
    <w:rsid w:val="58B85899"/>
    <w:rsid w:val="58E363A9"/>
    <w:rsid w:val="595E1678"/>
    <w:rsid w:val="596D5BD4"/>
    <w:rsid w:val="597E3DD8"/>
    <w:rsid w:val="59F80043"/>
    <w:rsid w:val="5A09252F"/>
    <w:rsid w:val="5A0B2778"/>
    <w:rsid w:val="5A2A7C7B"/>
    <w:rsid w:val="5A3E2560"/>
    <w:rsid w:val="5A5D3B6E"/>
    <w:rsid w:val="5A637A76"/>
    <w:rsid w:val="5A6D33BA"/>
    <w:rsid w:val="5A724478"/>
    <w:rsid w:val="5A792B1F"/>
    <w:rsid w:val="5A874767"/>
    <w:rsid w:val="5AA85BE2"/>
    <w:rsid w:val="5AAC4417"/>
    <w:rsid w:val="5AAD6F28"/>
    <w:rsid w:val="5AD63A24"/>
    <w:rsid w:val="5B2E1A1D"/>
    <w:rsid w:val="5B843A1C"/>
    <w:rsid w:val="5B873E3F"/>
    <w:rsid w:val="5BB61A8C"/>
    <w:rsid w:val="5BFF43F5"/>
    <w:rsid w:val="5C02690E"/>
    <w:rsid w:val="5C196DA7"/>
    <w:rsid w:val="5C2A048C"/>
    <w:rsid w:val="5C80234E"/>
    <w:rsid w:val="5C8A680C"/>
    <w:rsid w:val="5D0C4701"/>
    <w:rsid w:val="5D0F0395"/>
    <w:rsid w:val="5D221076"/>
    <w:rsid w:val="5D397964"/>
    <w:rsid w:val="5D4F63BC"/>
    <w:rsid w:val="5D5A391C"/>
    <w:rsid w:val="5D5F10C0"/>
    <w:rsid w:val="5D731EE5"/>
    <w:rsid w:val="5D891B7B"/>
    <w:rsid w:val="5DAD38EE"/>
    <w:rsid w:val="5E006862"/>
    <w:rsid w:val="5E0207B9"/>
    <w:rsid w:val="5E1834A1"/>
    <w:rsid w:val="5E261785"/>
    <w:rsid w:val="5E4A7017"/>
    <w:rsid w:val="5E552BBA"/>
    <w:rsid w:val="5E611C10"/>
    <w:rsid w:val="5E7A0F3F"/>
    <w:rsid w:val="5EFC7377"/>
    <w:rsid w:val="5F06174D"/>
    <w:rsid w:val="5F3A3602"/>
    <w:rsid w:val="5F45733B"/>
    <w:rsid w:val="5F6277C6"/>
    <w:rsid w:val="5F6D0B1D"/>
    <w:rsid w:val="5F8D0B82"/>
    <w:rsid w:val="5FB129B2"/>
    <w:rsid w:val="5FCC5339"/>
    <w:rsid w:val="5FE34A5B"/>
    <w:rsid w:val="5FFE1E36"/>
    <w:rsid w:val="60232584"/>
    <w:rsid w:val="607330CE"/>
    <w:rsid w:val="60825176"/>
    <w:rsid w:val="609F2AC4"/>
    <w:rsid w:val="60FA2EE8"/>
    <w:rsid w:val="61054A27"/>
    <w:rsid w:val="610A52BC"/>
    <w:rsid w:val="611D2366"/>
    <w:rsid w:val="61421856"/>
    <w:rsid w:val="615227C4"/>
    <w:rsid w:val="61654E3F"/>
    <w:rsid w:val="6182292A"/>
    <w:rsid w:val="619F7F92"/>
    <w:rsid w:val="61F94C26"/>
    <w:rsid w:val="62000E56"/>
    <w:rsid w:val="624F3E49"/>
    <w:rsid w:val="625136C5"/>
    <w:rsid w:val="62632286"/>
    <w:rsid w:val="62885958"/>
    <w:rsid w:val="62F40B65"/>
    <w:rsid w:val="62FC2CFE"/>
    <w:rsid w:val="63024505"/>
    <w:rsid w:val="635600A5"/>
    <w:rsid w:val="635B1DB5"/>
    <w:rsid w:val="63711FED"/>
    <w:rsid w:val="63880DDC"/>
    <w:rsid w:val="638D750D"/>
    <w:rsid w:val="63AC6CC0"/>
    <w:rsid w:val="63AE011A"/>
    <w:rsid w:val="64055776"/>
    <w:rsid w:val="64240056"/>
    <w:rsid w:val="643E143A"/>
    <w:rsid w:val="64491666"/>
    <w:rsid w:val="648B6EEF"/>
    <w:rsid w:val="64BE066D"/>
    <w:rsid w:val="64C158BF"/>
    <w:rsid w:val="64CE2EAA"/>
    <w:rsid w:val="653C3090"/>
    <w:rsid w:val="65854376"/>
    <w:rsid w:val="658767BE"/>
    <w:rsid w:val="65892531"/>
    <w:rsid w:val="65C14BBC"/>
    <w:rsid w:val="65C6352D"/>
    <w:rsid w:val="66195831"/>
    <w:rsid w:val="662E75B1"/>
    <w:rsid w:val="66342C2E"/>
    <w:rsid w:val="663E784C"/>
    <w:rsid w:val="668B6A45"/>
    <w:rsid w:val="67011F07"/>
    <w:rsid w:val="672F3F24"/>
    <w:rsid w:val="673E055F"/>
    <w:rsid w:val="67551CE3"/>
    <w:rsid w:val="67A22552"/>
    <w:rsid w:val="67B22DCC"/>
    <w:rsid w:val="67BE71AA"/>
    <w:rsid w:val="67D90273"/>
    <w:rsid w:val="67DE5875"/>
    <w:rsid w:val="67E55852"/>
    <w:rsid w:val="67EB1AB4"/>
    <w:rsid w:val="67FA1285"/>
    <w:rsid w:val="68551F4F"/>
    <w:rsid w:val="687C10C9"/>
    <w:rsid w:val="68840C16"/>
    <w:rsid w:val="68872541"/>
    <w:rsid w:val="68876EFB"/>
    <w:rsid w:val="68884654"/>
    <w:rsid w:val="689F444F"/>
    <w:rsid w:val="68B96DBB"/>
    <w:rsid w:val="68CA2805"/>
    <w:rsid w:val="68E937A3"/>
    <w:rsid w:val="691664E5"/>
    <w:rsid w:val="693754E5"/>
    <w:rsid w:val="693E15D3"/>
    <w:rsid w:val="69627681"/>
    <w:rsid w:val="6977531D"/>
    <w:rsid w:val="69CC2BFF"/>
    <w:rsid w:val="69FD55B8"/>
    <w:rsid w:val="6A0B1C62"/>
    <w:rsid w:val="6A2406C8"/>
    <w:rsid w:val="6ADE0BD1"/>
    <w:rsid w:val="6AE96859"/>
    <w:rsid w:val="6B147746"/>
    <w:rsid w:val="6B24787C"/>
    <w:rsid w:val="6B573233"/>
    <w:rsid w:val="6B5B6274"/>
    <w:rsid w:val="6B935D53"/>
    <w:rsid w:val="6C196F71"/>
    <w:rsid w:val="6C226FCB"/>
    <w:rsid w:val="6C31226F"/>
    <w:rsid w:val="6C552F0B"/>
    <w:rsid w:val="6C8C67B7"/>
    <w:rsid w:val="6C9D744C"/>
    <w:rsid w:val="6CC8224D"/>
    <w:rsid w:val="6CCD38AE"/>
    <w:rsid w:val="6CCF5389"/>
    <w:rsid w:val="6D167928"/>
    <w:rsid w:val="6D26299B"/>
    <w:rsid w:val="6D3724E0"/>
    <w:rsid w:val="6D4772EC"/>
    <w:rsid w:val="6D894AD8"/>
    <w:rsid w:val="6D9078AF"/>
    <w:rsid w:val="6DA41013"/>
    <w:rsid w:val="6DAA3FEF"/>
    <w:rsid w:val="6DC0172B"/>
    <w:rsid w:val="6DCB690C"/>
    <w:rsid w:val="6DD41A5B"/>
    <w:rsid w:val="6DF43C2E"/>
    <w:rsid w:val="6DF51CA3"/>
    <w:rsid w:val="6E7F06E9"/>
    <w:rsid w:val="6E8335BD"/>
    <w:rsid w:val="6E8E12EF"/>
    <w:rsid w:val="6E972936"/>
    <w:rsid w:val="6ED446C5"/>
    <w:rsid w:val="6F2A7D94"/>
    <w:rsid w:val="6F8331F1"/>
    <w:rsid w:val="6FAE1A09"/>
    <w:rsid w:val="6FD75BF8"/>
    <w:rsid w:val="707723D0"/>
    <w:rsid w:val="70F5661B"/>
    <w:rsid w:val="71360107"/>
    <w:rsid w:val="713B688E"/>
    <w:rsid w:val="71D43752"/>
    <w:rsid w:val="71F1796A"/>
    <w:rsid w:val="72005FE5"/>
    <w:rsid w:val="72154626"/>
    <w:rsid w:val="72262B5D"/>
    <w:rsid w:val="72283FF7"/>
    <w:rsid w:val="722E7212"/>
    <w:rsid w:val="723A0474"/>
    <w:rsid w:val="72530F55"/>
    <w:rsid w:val="725923E4"/>
    <w:rsid w:val="72864BF7"/>
    <w:rsid w:val="729023FC"/>
    <w:rsid w:val="738F0939"/>
    <w:rsid w:val="73C0646E"/>
    <w:rsid w:val="742222F5"/>
    <w:rsid w:val="74271853"/>
    <w:rsid w:val="74476126"/>
    <w:rsid w:val="74706664"/>
    <w:rsid w:val="747F3682"/>
    <w:rsid w:val="749C4185"/>
    <w:rsid w:val="75067759"/>
    <w:rsid w:val="752E6DCD"/>
    <w:rsid w:val="7551380D"/>
    <w:rsid w:val="75600BE5"/>
    <w:rsid w:val="7564475C"/>
    <w:rsid w:val="7583797F"/>
    <w:rsid w:val="75D20F1D"/>
    <w:rsid w:val="75DA2C18"/>
    <w:rsid w:val="75F54412"/>
    <w:rsid w:val="761D08E0"/>
    <w:rsid w:val="765D347C"/>
    <w:rsid w:val="76826699"/>
    <w:rsid w:val="76C87133"/>
    <w:rsid w:val="76CD08D5"/>
    <w:rsid w:val="76DB4B92"/>
    <w:rsid w:val="77052AA4"/>
    <w:rsid w:val="77136511"/>
    <w:rsid w:val="77340A39"/>
    <w:rsid w:val="77351FD0"/>
    <w:rsid w:val="77472422"/>
    <w:rsid w:val="77694EF6"/>
    <w:rsid w:val="777F31F2"/>
    <w:rsid w:val="77D1700D"/>
    <w:rsid w:val="77EC04CC"/>
    <w:rsid w:val="783B2DA8"/>
    <w:rsid w:val="78775729"/>
    <w:rsid w:val="78A42DB0"/>
    <w:rsid w:val="78A656AB"/>
    <w:rsid w:val="78B2245C"/>
    <w:rsid w:val="78E172CC"/>
    <w:rsid w:val="78EA1D1F"/>
    <w:rsid w:val="7904172F"/>
    <w:rsid w:val="790F7E27"/>
    <w:rsid w:val="792A231A"/>
    <w:rsid w:val="79316829"/>
    <w:rsid w:val="797E66A9"/>
    <w:rsid w:val="798518A4"/>
    <w:rsid w:val="79A97383"/>
    <w:rsid w:val="79E27E8B"/>
    <w:rsid w:val="79F850CE"/>
    <w:rsid w:val="79FD443C"/>
    <w:rsid w:val="7A1D1975"/>
    <w:rsid w:val="7A3E5150"/>
    <w:rsid w:val="7A4670D6"/>
    <w:rsid w:val="7A534B63"/>
    <w:rsid w:val="7A615382"/>
    <w:rsid w:val="7A67303B"/>
    <w:rsid w:val="7AAB1D04"/>
    <w:rsid w:val="7ABA4368"/>
    <w:rsid w:val="7AD05746"/>
    <w:rsid w:val="7B132227"/>
    <w:rsid w:val="7B257FFD"/>
    <w:rsid w:val="7B273D20"/>
    <w:rsid w:val="7B343476"/>
    <w:rsid w:val="7B5A2978"/>
    <w:rsid w:val="7B5A7E4C"/>
    <w:rsid w:val="7B615190"/>
    <w:rsid w:val="7B667AF9"/>
    <w:rsid w:val="7B7468F8"/>
    <w:rsid w:val="7BEE0103"/>
    <w:rsid w:val="7C0A0FE4"/>
    <w:rsid w:val="7C254906"/>
    <w:rsid w:val="7C590818"/>
    <w:rsid w:val="7C5B7EE0"/>
    <w:rsid w:val="7C7C10F6"/>
    <w:rsid w:val="7C853BEA"/>
    <w:rsid w:val="7C881368"/>
    <w:rsid w:val="7CE27788"/>
    <w:rsid w:val="7D0C32F1"/>
    <w:rsid w:val="7D0F408D"/>
    <w:rsid w:val="7D491C6C"/>
    <w:rsid w:val="7D5429C0"/>
    <w:rsid w:val="7D680183"/>
    <w:rsid w:val="7D6E6D43"/>
    <w:rsid w:val="7D781D90"/>
    <w:rsid w:val="7D983FF8"/>
    <w:rsid w:val="7DA131A6"/>
    <w:rsid w:val="7DB57A34"/>
    <w:rsid w:val="7DCA43B9"/>
    <w:rsid w:val="7DE60973"/>
    <w:rsid w:val="7DEF0916"/>
    <w:rsid w:val="7E1E5218"/>
    <w:rsid w:val="7E7C44DE"/>
    <w:rsid w:val="7E9A4E1F"/>
    <w:rsid w:val="7EA7723A"/>
    <w:rsid w:val="7EF56FBB"/>
    <w:rsid w:val="7EF93557"/>
    <w:rsid w:val="7F0768EB"/>
    <w:rsid w:val="7F143BEC"/>
    <w:rsid w:val="7F715AF2"/>
    <w:rsid w:val="7F886E69"/>
    <w:rsid w:val="BB7FA927"/>
    <w:rsid w:val="F5FFD31F"/>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iPriority="0" w:semiHidden="0" w:name="List Bullet 3"/>
    <w:lsdException w:qFormat="1"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qFormat="1" w:unhideWhenUsed="0" w:uiPriority="0" w:semiHidden="0" w:name="Table Grid 5"/>
    <w:lsdException w:uiPriority="99" w:name="Table Grid 6"/>
    <w:lsdException w:uiPriority="99" w:name="Table Grid 7"/>
    <w:lsdException w:qFormat="1" w:unhideWhenUsed="0" w:uiPriority="0" w:semiHidden="0"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qFormat="1" w:unhideWhenUsed="0" w:uiPriority="0" w:semiHidden="0" w:name="Table Elegant"/>
    <w:lsdException w:qFormat="1" w:unhideWhenUsed="0" w:uiPriority="0" w:semiHidden="0"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800"/>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4">
    <w:name w:val="heading 2"/>
    <w:basedOn w:val="1"/>
    <w:next w:val="5"/>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7">
    <w:name w:val="heading 3"/>
    <w:basedOn w:val="1"/>
    <w:next w:val="5"/>
    <w:qFormat/>
    <w:uiPriority w:val="0"/>
    <w:pPr>
      <w:keepNext/>
      <w:keepLines/>
      <w:tabs>
        <w:tab w:val="left" w:pos="900"/>
      </w:tabs>
      <w:spacing w:before="260" w:after="260" w:line="416" w:lineRule="auto"/>
      <w:ind w:left="900" w:hanging="720"/>
      <w:outlineLvl w:val="2"/>
    </w:pPr>
    <w:rPr>
      <w:b/>
      <w:bCs/>
      <w:sz w:val="32"/>
      <w:szCs w:val="32"/>
    </w:rPr>
  </w:style>
  <w:style w:type="paragraph" w:styleId="8">
    <w:name w:val="heading 4"/>
    <w:basedOn w:val="1"/>
    <w:next w:val="1"/>
    <w:link w:val="840"/>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9">
    <w:name w:val="heading 5"/>
    <w:basedOn w:val="1"/>
    <w:next w:val="1"/>
    <w:link w:val="810"/>
    <w:qFormat/>
    <w:uiPriority w:val="0"/>
    <w:pPr>
      <w:keepNext/>
      <w:keepLines/>
      <w:tabs>
        <w:tab w:val="left" w:pos="1008"/>
      </w:tabs>
      <w:spacing w:before="280" w:after="290" w:line="376" w:lineRule="auto"/>
      <w:ind w:left="1008" w:hanging="1008"/>
      <w:outlineLvl w:val="4"/>
    </w:pPr>
    <w:rPr>
      <w:b/>
      <w:bCs/>
      <w:sz w:val="28"/>
      <w:szCs w:val="28"/>
    </w:rPr>
  </w:style>
  <w:style w:type="paragraph" w:styleId="10">
    <w:name w:val="heading 6"/>
    <w:basedOn w:val="1"/>
    <w:next w:val="1"/>
    <w:link w:val="679"/>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11">
    <w:name w:val="heading 7"/>
    <w:basedOn w:val="1"/>
    <w:next w:val="1"/>
    <w:link w:val="822"/>
    <w:qFormat/>
    <w:uiPriority w:val="0"/>
    <w:pPr>
      <w:keepNext/>
      <w:keepLines/>
      <w:tabs>
        <w:tab w:val="left" w:pos="1296"/>
      </w:tabs>
      <w:spacing w:before="240" w:after="64" w:line="320" w:lineRule="auto"/>
      <w:ind w:left="1296" w:hanging="1296"/>
      <w:outlineLvl w:val="6"/>
    </w:pPr>
    <w:rPr>
      <w:b/>
      <w:bCs/>
      <w:sz w:val="24"/>
    </w:rPr>
  </w:style>
  <w:style w:type="paragraph" w:styleId="12">
    <w:name w:val="heading 8"/>
    <w:basedOn w:val="1"/>
    <w:next w:val="1"/>
    <w:link w:val="867"/>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3">
    <w:name w:val="heading 9"/>
    <w:basedOn w:val="1"/>
    <w:next w:val="1"/>
    <w:link w:val="710"/>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69">
    <w:name w:val="Default Paragraph Font"/>
    <w:unhideWhenUsed/>
    <w:qFormat/>
    <w:uiPriority w:val="1"/>
  </w:style>
  <w:style w:type="table" w:default="1" w:styleId="62">
    <w:name w:val="Normal Table"/>
    <w:unhideWhenUsed/>
    <w:qFormat/>
    <w:uiPriority w:val="99"/>
    <w:tblPr>
      <w:tblCellMar>
        <w:top w:w="0" w:type="dxa"/>
        <w:left w:w="108" w:type="dxa"/>
        <w:bottom w:w="0" w:type="dxa"/>
        <w:right w:w="108" w:type="dxa"/>
      </w:tblCellMar>
    </w:tblPr>
  </w:style>
  <w:style w:type="paragraph" w:styleId="2">
    <w:name w:val="Body Text Indent 2"/>
    <w:basedOn w:val="1"/>
    <w:link w:val="823"/>
    <w:qFormat/>
    <w:uiPriority w:val="0"/>
    <w:pPr>
      <w:spacing w:line="360" w:lineRule="auto"/>
      <w:ind w:firstLine="601"/>
      <w:textAlignment w:val="baseline"/>
    </w:pPr>
    <w:rPr>
      <w:rFonts w:ascii="宋体"/>
      <w:kern w:val="0"/>
      <w:sz w:val="28"/>
      <w:szCs w:val="20"/>
    </w:rPr>
  </w:style>
  <w:style w:type="paragraph" w:styleId="5">
    <w:name w:val="Normal Indent"/>
    <w:basedOn w:val="1"/>
    <w:next w:val="6"/>
    <w:link w:val="720"/>
    <w:qFormat/>
    <w:uiPriority w:val="0"/>
    <w:pPr>
      <w:widowControl/>
      <w:snapToGrid w:val="0"/>
      <w:spacing w:line="480" w:lineRule="exact"/>
      <w:ind w:firstLine="567"/>
    </w:pPr>
    <w:rPr>
      <w:rFonts w:ascii="宋体"/>
      <w:snapToGrid w:val="0"/>
      <w:color w:val="000000"/>
      <w:kern w:val="28"/>
      <w:sz w:val="28"/>
      <w:szCs w:val="20"/>
    </w:rPr>
  </w:style>
  <w:style w:type="paragraph" w:styleId="6">
    <w:name w:val="Body Text Indent"/>
    <w:basedOn w:val="1"/>
    <w:next w:val="5"/>
    <w:link w:val="783"/>
    <w:qFormat/>
    <w:uiPriority w:val="0"/>
    <w:pPr>
      <w:spacing w:line="480" w:lineRule="exact"/>
      <w:ind w:firstLine="480" w:firstLineChars="200"/>
    </w:pPr>
    <w:rPr>
      <w:rFonts w:ascii="宋体" w:hAnsi="宋体"/>
      <w:sz w:val="24"/>
    </w:rPr>
  </w:style>
  <w:style w:type="paragraph" w:styleId="14">
    <w:name w:val="toc 7"/>
    <w:basedOn w:val="1"/>
    <w:next w:val="1"/>
    <w:qFormat/>
    <w:uiPriority w:val="0"/>
    <w:pPr>
      <w:ind w:left="2520" w:leftChars="1200"/>
    </w:pPr>
  </w:style>
  <w:style w:type="paragraph" w:styleId="15">
    <w:name w:val="List Number 2"/>
    <w:basedOn w:val="1"/>
    <w:qFormat/>
    <w:uiPriority w:val="0"/>
    <w:pPr>
      <w:widowControl/>
      <w:tabs>
        <w:tab w:val="left" w:pos="1697"/>
      </w:tabs>
      <w:adjustRightInd/>
      <w:spacing w:after="156" w:afterLines="50"/>
      <w:ind w:left="1697" w:hanging="420"/>
      <w:jc w:val="left"/>
    </w:pPr>
    <w:rPr>
      <w:kern w:val="0"/>
      <w:sz w:val="24"/>
      <w:szCs w:val="20"/>
    </w:rPr>
  </w:style>
  <w:style w:type="paragraph" w:styleId="16">
    <w:name w:val="List Bullet 4"/>
    <w:basedOn w:val="1"/>
    <w:unhideWhenUsed/>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7">
    <w:name w:val="List Number"/>
    <w:basedOn w:val="1"/>
    <w:qFormat/>
    <w:uiPriority w:val="0"/>
    <w:pPr>
      <w:widowControl/>
      <w:tabs>
        <w:tab w:val="left" w:pos="390"/>
        <w:tab w:val="left" w:pos="454"/>
      </w:tabs>
      <w:adjustRightInd/>
      <w:spacing w:after="156" w:afterLines="50"/>
      <w:ind w:left="454" w:hanging="284"/>
      <w:jc w:val="left"/>
    </w:pPr>
    <w:rPr>
      <w:kern w:val="0"/>
      <w:sz w:val="24"/>
      <w:szCs w:val="20"/>
    </w:rPr>
  </w:style>
  <w:style w:type="paragraph" w:styleId="18">
    <w:name w:val="caption"/>
    <w:basedOn w:val="1"/>
    <w:next w:val="1"/>
    <w:link w:val="752"/>
    <w:qFormat/>
    <w:uiPriority w:val="0"/>
    <w:rPr>
      <w:b/>
      <w:sz w:val="28"/>
      <w:szCs w:val="20"/>
    </w:rPr>
  </w:style>
  <w:style w:type="paragraph" w:styleId="19">
    <w:name w:val="index 5"/>
    <w:basedOn w:val="1"/>
    <w:next w:val="1"/>
    <w:qFormat/>
    <w:uiPriority w:val="0"/>
    <w:pPr>
      <w:adjustRightInd/>
      <w:ind w:left="800" w:leftChars="800" w:firstLine="200" w:firstLineChars="200"/>
    </w:pPr>
  </w:style>
  <w:style w:type="paragraph" w:styleId="20">
    <w:name w:val="Document Map"/>
    <w:basedOn w:val="1"/>
    <w:link w:val="727"/>
    <w:qFormat/>
    <w:uiPriority w:val="0"/>
    <w:pPr>
      <w:shd w:val="clear" w:color="auto" w:fill="000080"/>
    </w:pPr>
  </w:style>
  <w:style w:type="paragraph" w:styleId="21">
    <w:name w:val="annotation text"/>
    <w:basedOn w:val="1"/>
    <w:link w:val="855"/>
    <w:qFormat/>
    <w:uiPriority w:val="99"/>
    <w:pPr>
      <w:jc w:val="left"/>
    </w:pPr>
  </w:style>
  <w:style w:type="paragraph" w:styleId="22">
    <w:name w:val="Salutation"/>
    <w:basedOn w:val="1"/>
    <w:next w:val="1"/>
    <w:link w:val="815"/>
    <w:qFormat/>
    <w:uiPriority w:val="0"/>
    <w:rPr>
      <w:rFonts w:ascii="仿宋_GB2312" w:eastAsia="仿宋_GB2312"/>
      <w:sz w:val="28"/>
      <w:szCs w:val="20"/>
    </w:rPr>
  </w:style>
  <w:style w:type="paragraph" w:styleId="23">
    <w:name w:val="Body Text 3"/>
    <w:basedOn w:val="1"/>
    <w:link w:val="843"/>
    <w:qFormat/>
    <w:uiPriority w:val="0"/>
    <w:pPr>
      <w:jc w:val="center"/>
    </w:pPr>
    <w:rPr>
      <w:szCs w:val="20"/>
    </w:rPr>
  </w:style>
  <w:style w:type="paragraph" w:styleId="24">
    <w:name w:val="List Bullet 3"/>
    <w:basedOn w:val="1"/>
    <w:unhideWhenUsed/>
    <w:qFormat/>
    <w:uiPriority w:val="0"/>
    <w:pPr>
      <w:snapToGrid w:val="0"/>
      <w:spacing w:line="360" w:lineRule="auto"/>
      <w:ind w:left="360" w:right="238" w:hanging="360"/>
      <w:contextualSpacing/>
    </w:pPr>
    <w:rPr>
      <w:sz w:val="24"/>
    </w:rPr>
  </w:style>
  <w:style w:type="paragraph" w:styleId="25">
    <w:name w:val="Body Text"/>
    <w:basedOn w:val="1"/>
    <w:next w:val="1"/>
    <w:link w:val="932"/>
    <w:qFormat/>
    <w:uiPriority w:val="0"/>
    <w:pPr>
      <w:autoSpaceDE w:val="0"/>
      <w:autoSpaceDN w:val="0"/>
      <w:spacing w:line="360" w:lineRule="auto"/>
    </w:pPr>
    <w:rPr>
      <w:rFonts w:ascii="宋体" w:hAnsi="Arial" w:cs="Arial"/>
      <w:snapToGrid w:val="0"/>
      <w:sz w:val="24"/>
      <w:szCs w:val="21"/>
      <w:lang w:val="zh-CN"/>
    </w:rPr>
  </w:style>
  <w:style w:type="paragraph" w:styleId="26">
    <w:name w:val="List Number 3"/>
    <w:basedOn w:val="1"/>
    <w:qFormat/>
    <w:uiPriority w:val="0"/>
    <w:pPr>
      <w:widowControl/>
      <w:tabs>
        <w:tab w:val="left" w:pos="360"/>
        <w:tab w:val="left" w:pos="482"/>
      </w:tabs>
      <w:adjustRightInd/>
      <w:spacing w:after="156" w:afterLines="50"/>
      <w:ind w:left="482" w:hanging="340"/>
      <w:jc w:val="left"/>
    </w:pPr>
    <w:rPr>
      <w:kern w:val="0"/>
      <w:sz w:val="24"/>
      <w:szCs w:val="20"/>
    </w:rPr>
  </w:style>
  <w:style w:type="paragraph" w:styleId="27">
    <w:name w:val="List 2"/>
    <w:basedOn w:val="1"/>
    <w:qFormat/>
    <w:uiPriority w:val="0"/>
    <w:pPr>
      <w:adjustRightInd/>
      <w:spacing w:line="360" w:lineRule="auto"/>
      <w:ind w:left="100" w:leftChars="200" w:hanging="200" w:hangingChars="200"/>
    </w:pPr>
    <w:rPr>
      <w:rFonts w:eastAsia="微软雅黑"/>
    </w:rPr>
  </w:style>
  <w:style w:type="paragraph" w:styleId="28">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29">
    <w:name w:val="List Bullet 2"/>
    <w:basedOn w:val="1"/>
    <w:qFormat/>
    <w:uiPriority w:val="0"/>
    <w:pPr>
      <w:autoSpaceDE w:val="0"/>
      <w:autoSpaceDN w:val="0"/>
      <w:ind w:left="420"/>
      <w:jc w:val="left"/>
    </w:pPr>
    <w:rPr>
      <w:rFonts w:ascii="宋体" w:hAnsi="宋体"/>
      <w:color w:val="000000"/>
      <w:kern w:val="0"/>
      <w:sz w:val="24"/>
      <w:szCs w:val="20"/>
    </w:rPr>
  </w:style>
  <w:style w:type="paragraph" w:styleId="30">
    <w:name w:val="HTML Address"/>
    <w:basedOn w:val="1"/>
    <w:link w:val="744"/>
    <w:qFormat/>
    <w:uiPriority w:val="0"/>
    <w:pPr>
      <w:widowControl/>
      <w:adjustRightInd/>
      <w:ind w:firstLine="200" w:firstLineChars="200"/>
      <w:jc w:val="left"/>
    </w:pPr>
    <w:rPr>
      <w:rFonts w:ascii="宋体" w:hAnsi="宋体"/>
      <w:i/>
      <w:iCs/>
      <w:kern w:val="0"/>
      <w:sz w:val="24"/>
    </w:rPr>
  </w:style>
  <w:style w:type="paragraph" w:styleId="31">
    <w:name w:val="toc 5"/>
    <w:basedOn w:val="1"/>
    <w:next w:val="1"/>
    <w:qFormat/>
    <w:uiPriority w:val="0"/>
    <w:pPr>
      <w:ind w:left="1680" w:leftChars="800"/>
    </w:pPr>
  </w:style>
  <w:style w:type="paragraph" w:styleId="32">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3">
    <w:name w:val="Plain Text"/>
    <w:basedOn w:val="1"/>
    <w:link w:val="659"/>
    <w:qFormat/>
    <w:uiPriority w:val="0"/>
    <w:rPr>
      <w:rFonts w:ascii="宋体" w:hAnsi="Courier New" w:cs="Arial"/>
      <w:snapToGrid w:val="0"/>
      <w:szCs w:val="21"/>
    </w:rPr>
  </w:style>
  <w:style w:type="paragraph" w:styleId="34">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5">
    <w:name w:val="toc 8"/>
    <w:basedOn w:val="1"/>
    <w:next w:val="1"/>
    <w:qFormat/>
    <w:uiPriority w:val="0"/>
    <w:pPr>
      <w:ind w:left="2940" w:leftChars="1400"/>
    </w:pPr>
  </w:style>
  <w:style w:type="paragraph" w:styleId="36">
    <w:name w:val="Date"/>
    <w:basedOn w:val="1"/>
    <w:next w:val="1"/>
    <w:link w:val="709"/>
    <w:qFormat/>
    <w:uiPriority w:val="0"/>
    <w:pPr>
      <w:ind w:left="100" w:leftChars="2500"/>
    </w:pPr>
    <w:rPr>
      <w:rFonts w:ascii="宋体"/>
      <w:sz w:val="24"/>
      <w:szCs w:val="21"/>
      <w:lang w:val="zh-CN"/>
    </w:rPr>
  </w:style>
  <w:style w:type="paragraph" w:styleId="37">
    <w:name w:val="endnote text"/>
    <w:basedOn w:val="1"/>
    <w:link w:val="940"/>
    <w:qFormat/>
    <w:uiPriority w:val="0"/>
    <w:rPr>
      <w:lang w:val="zh-CN"/>
    </w:rPr>
  </w:style>
  <w:style w:type="paragraph" w:styleId="38">
    <w:name w:val="Balloon Text"/>
    <w:basedOn w:val="1"/>
    <w:link w:val="716"/>
    <w:qFormat/>
    <w:uiPriority w:val="0"/>
    <w:rPr>
      <w:sz w:val="18"/>
      <w:szCs w:val="18"/>
    </w:rPr>
  </w:style>
  <w:style w:type="paragraph" w:styleId="39">
    <w:name w:val="footer"/>
    <w:basedOn w:val="1"/>
    <w:link w:val="891"/>
    <w:qFormat/>
    <w:uiPriority w:val="99"/>
    <w:pPr>
      <w:tabs>
        <w:tab w:val="center" w:pos="4153"/>
        <w:tab w:val="right" w:pos="8306"/>
      </w:tabs>
      <w:snapToGrid w:val="0"/>
      <w:jc w:val="left"/>
    </w:pPr>
    <w:rPr>
      <w:sz w:val="18"/>
      <w:szCs w:val="18"/>
    </w:rPr>
  </w:style>
  <w:style w:type="paragraph" w:styleId="40">
    <w:name w:val="header"/>
    <w:basedOn w:val="1"/>
    <w:link w:val="899"/>
    <w:qFormat/>
    <w:uiPriority w:val="99"/>
    <w:pPr>
      <w:pBdr>
        <w:bottom w:val="single" w:color="auto" w:sz="6" w:space="1"/>
      </w:pBdr>
      <w:tabs>
        <w:tab w:val="center" w:pos="4153"/>
        <w:tab w:val="right" w:pos="8306"/>
      </w:tabs>
      <w:snapToGrid w:val="0"/>
      <w:jc w:val="center"/>
    </w:pPr>
    <w:rPr>
      <w:sz w:val="18"/>
      <w:szCs w:val="18"/>
    </w:rPr>
  </w:style>
  <w:style w:type="paragraph" w:styleId="41">
    <w:name w:val="Signature"/>
    <w:basedOn w:val="1"/>
    <w:link w:val="856"/>
    <w:qFormat/>
    <w:uiPriority w:val="0"/>
    <w:pPr>
      <w:spacing w:after="600" w:line="312" w:lineRule="atLeast"/>
      <w:jc w:val="center"/>
      <w:textAlignment w:val="baseline"/>
    </w:pPr>
    <w:rPr>
      <w:rFonts w:eastAsia="仿宋_GB2312"/>
      <w:kern w:val="0"/>
      <w:sz w:val="24"/>
      <w:szCs w:val="20"/>
    </w:rPr>
  </w:style>
  <w:style w:type="paragraph" w:styleId="42">
    <w:name w:val="toc 1"/>
    <w:basedOn w:val="1"/>
    <w:next w:val="1"/>
    <w:qFormat/>
    <w:uiPriority w:val="0"/>
  </w:style>
  <w:style w:type="paragraph" w:styleId="43">
    <w:name w:val="toc 4"/>
    <w:basedOn w:val="1"/>
    <w:next w:val="1"/>
    <w:qFormat/>
    <w:uiPriority w:val="0"/>
    <w:pPr>
      <w:ind w:left="1260" w:leftChars="600"/>
    </w:pPr>
  </w:style>
  <w:style w:type="paragraph" w:styleId="44">
    <w:name w:val="index heading"/>
    <w:basedOn w:val="1"/>
    <w:next w:val="45"/>
    <w:qFormat/>
    <w:uiPriority w:val="0"/>
    <w:pPr>
      <w:adjustRightInd/>
      <w:ind w:firstLine="200" w:firstLineChars="200"/>
    </w:pPr>
  </w:style>
  <w:style w:type="paragraph" w:styleId="45">
    <w:name w:val="index 1"/>
    <w:basedOn w:val="1"/>
    <w:next w:val="1"/>
    <w:qFormat/>
    <w:uiPriority w:val="0"/>
    <w:pPr>
      <w:adjustRightInd/>
      <w:spacing w:line="360" w:lineRule="auto"/>
      <w:ind w:firstLine="200" w:firstLineChars="200"/>
      <w:jc w:val="center"/>
    </w:pPr>
    <w:rPr>
      <w:sz w:val="24"/>
      <w:szCs w:val="20"/>
    </w:rPr>
  </w:style>
  <w:style w:type="paragraph" w:styleId="46">
    <w:name w:val="Subtitle"/>
    <w:basedOn w:val="1"/>
    <w:next w:val="1"/>
    <w:link w:val="666"/>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7">
    <w:name w:val="List Number 5"/>
    <w:basedOn w:val="1"/>
    <w:qFormat/>
    <w:uiPriority w:val="0"/>
    <w:pPr>
      <w:tabs>
        <w:tab w:val="left" w:pos="902"/>
      </w:tabs>
      <w:adjustRightInd/>
      <w:spacing w:line="400" w:lineRule="exact"/>
      <w:ind w:left="902" w:hanging="420"/>
    </w:pPr>
    <w:rPr>
      <w:sz w:val="24"/>
      <w:szCs w:val="20"/>
    </w:rPr>
  </w:style>
  <w:style w:type="paragraph" w:styleId="48">
    <w:name w:val="List"/>
    <w:basedOn w:val="1"/>
    <w:qFormat/>
    <w:uiPriority w:val="0"/>
    <w:pPr>
      <w:ind w:left="200" w:hanging="200" w:hangingChars="200"/>
    </w:pPr>
  </w:style>
  <w:style w:type="paragraph" w:styleId="49">
    <w:name w:val="footnote text"/>
    <w:basedOn w:val="5"/>
    <w:link w:val="825"/>
    <w:qFormat/>
    <w:uiPriority w:val="0"/>
    <w:pPr>
      <w:adjustRightInd/>
      <w:snapToGrid/>
      <w:spacing w:before="60" w:after="60" w:line="300" w:lineRule="exact"/>
      <w:ind w:firstLine="0"/>
    </w:pPr>
    <w:rPr>
      <w:rFonts w:ascii="Calibri"/>
      <w:color w:val="0000FF"/>
      <w:kern w:val="0"/>
      <w:sz w:val="21"/>
    </w:rPr>
  </w:style>
  <w:style w:type="paragraph" w:styleId="50">
    <w:name w:val="toc 6"/>
    <w:basedOn w:val="1"/>
    <w:next w:val="1"/>
    <w:qFormat/>
    <w:uiPriority w:val="0"/>
    <w:pPr>
      <w:ind w:left="2100" w:leftChars="1000"/>
    </w:pPr>
  </w:style>
  <w:style w:type="paragraph" w:styleId="51">
    <w:name w:val="List 5"/>
    <w:basedOn w:val="1"/>
    <w:qFormat/>
    <w:uiPriority w:val="0"/>
    <w:pPr>
      <w:adjustRightInd/>
      <w:ind w:left="100" w:leftChars="800" w:hanging="200" w:hangingChars="200"/>
    </w:pPr>
  </w:style>
  <w:style w:type="paragraph" w:styleId="52">
    <w:name w:val="Body Text Indent 3"/>
    <w:basedOn w:val="1"/>
    <w:link w:val="884"/>
    <w:qFormat/>
    <w:uiPriority w:val="0"/>
    <w:pPr>
      <w:spacing w:line="360" w:lineRule="auto"/>
      <w:ind w:firstLine="420"/>
    </w:pPr>
    <w:rPr>
      <w:sz w:val="24"/>
      <w:szCs w:val="20"/>
    </w:rPr>
  </w:style>
  <w:style w:type="paragraph" w:styleId="53">
    <w:name w:val="toc 2"/>
    <w:basedOn w:val="1"/>
    <w:next w:val="1"/>
    <w:qFormat/>
    <w:uiPriority w:val="0"/>
    <w:pPr>
      <w:ind w:left="420" w:leftChars="200"/>
    </w:pPr>
  </w:style>
  <w:style w:type="paragraph" w:styleId="54">
    <w:name w:val="toc 9"/>
    <w:basedOn w:val="1"/>
    <w:next w:val="1"/>
    <w:qFormat/>
    <w:uiPriority w:val="0"/>
    <w:pPr>
      <w:ind w:left="3360" w:leftChars="1600"/>
    </w:pPr>
  </w:style>
  <w:style w:type="paragraph" w:styleId="55">
    <w:name w:val="Body Text 2"/>
    <w:basedOn w:val="1"/>
    <w:link w:val="819"/>
    <w:qFormat/>
    <w:uiPriority w:val="0"/>
    <w:pPr>
      <w:spacing w:after="120" w:line="480" w:lineRule="auto"/>
    </w:pPr>
  </w:style>
  <w:style w:type="paragraph" w:styleId="56">
    <w:name w:val="HTML Preformatted"/>
    <w:basedOn w:val="1"/>
    <w:link w:val="818"/>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7">
    <w:name w:val="Normal (Web)"/>
    <w:basedOn w:val="1"/>
    <w:qFormat/>
    <w:uiPriority w:val="99"/>
    <w:pPr>
      <w:widowControl/>
      <w:spacing w:before="100" w:beforeAutospacing="1" w:after="100" w:afterAutospacing="1"/>
      <w:jc w:val="left"/>
    </w:pPr>
    <w:rPr>
      <w:rFonts w:ascii="宋体" w:hAnsi="宋体"/>
      <w:kern w:val="0"/>
      <w:sz w:val="24"/>
    </w:rPr>
  </w:style>
  <w:style w:type="paragraph" w:styleId="58">
    <w:name w:val="Title"/>
    <w:basedOn w:val="1"/>
    <w:link w:val="803"/>
    <w:qFormat/>
    <w:uiPriority w:val="10"/>
    <w:pPr>
      <w:widowControl/>
      <w:overflowPunct w:val="0"/>
      <w:autoSpaceDE w:val="0"/>
      <w:autoSpaceDN w:val="0"/>
      <w:jc w:val="center"/>
      <w:textAlignment w:val="baseline"/>
    </w:pPr>
    <w:rPr>
      <w:b/>
      <w:kern w:val="0"/>
      <w:sz w:val="24"/>
      <w:szCs w:val="20"/>
    </w:rPr>
  </w:style>
  <w:style w:type="paragraph" w:styleId="59">
    <w:name w:val="annotation subject"/>
    <w:basedOn w:val="21"/>
    <w:next w:val="21"/>
    <w:link w:val="632"/>
    <w:qFormat/>
    <w:uiPriority w:val="0"/>
    <w:rPr>
      <w:b/>
      <w:bCs/>
    </w:rPr>
  </w:style>
  <w:style w:type="paragraph" w:styleId="60">
    <w:name w:val="Body Text First Indent"/>
    <w:basedOn w:val="25"/>
    <w:next w:val="50"/>
    <w:link w:val="834"/>
    <w:qFormat/>
    <w:uiPriority w:val="0"/>
    <w:pPr>
      <w:ind w:firstLine="420"/>
    </w:pPr>
    <w:rPr>
      <w:rFonts w:hAnsi="Calibri" w:cs="Times New Roman"/>
      <w:szCs w:val="20"/>
    </w:rPr>
  </w:style>
  <w:style w:type="paragraph" w:styleId="61">
    <w:name w:val="Body Text First Indent 2"/>
    <w:basedOn w:val="6"/>
    <w:next w:val="1"/>
    <w:link w:val="655"/>
    <w:qFormat/>
    <w:uiPriority w:val="0"/>
    <w:pPr>
      <w:adjustRightInd/>
      <w:spacing w:after="120" w:line="240" w:lineRule="auto"/>
      <w:ind w:left="420" w:leftChars="200" w:firstLine="210"/>
    </w:pPr>
    <w:rPr>
      <w:sz w:val="21"/>
    </w:rPr>
  </w:style>
  <w:style w:type="table" w:styleId="63">
    <w:name w:val="Table Grid"/>
    <w:basedOn w:val="6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4">
    <w:name w:val="Table Theme"/>
    <w:basedOn w:val="6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Elegant"/>
    <w:basedOn w:val="62"/>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6">
    <w:name w:val="Table Grid 5"/>
    <w:basedOn w:val="62"/>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7">
    <w:name w:val="Table Grid 8"/>
    <w:basedOn w:val="62"/>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8">
    <w:name w:val="Table Professional"/>
    <w:basedOn w:val="62"/>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0">
    <w:name w:val="Strong"/>
    <w:qFormat/>
    <w:uiPriority w:val="22"/>
    <w:rPr>
      <w:b/>
      <w:bCs/>
    </w:rPr>
  </w:style>
  <w:style w:type="character" w:styleId="71">
    <w:name w:val="endnote reference"/>
    <w:qFormat/>
    <w:uiPriority w:val="0"/>
    <w:rPr>
      <w:vertAlign w:val="superscript"/>
    </w:rPr>
  </w:style>
  <w:style w:type="character" w:styleId="72">
    <w:name w:val="page number"/>
    <w:basedOn w:val="69"/>
    <w:qFormat/>
    <w:uiPriority w:val="0"/>
    <w:rPr>
      <w:rFonts w:ascii="Arial" w:hAnsi="Arial" w:eastAsia="黑体" w:cs="Arial"/>
      <w:snapToGrid w:val="0"/>
      <w:kern w:val="0"/>
      <w:szCs w:val="21"/>
    </w:rPr>
  </w:style>
  <w:style w:type="character" w:styleId="73">
    <w:name w:val="FollowedHyperlink"/>
    <w:qFormat/>
    <w:uiPriority w:val="99"/>
    <w:rPr>
      <w:rFonts w:ascii="Arial" w:hAnsi="Arial" w:eastAsia="黑体" w:cs="Arial"/>
      <w:snapToGrid w:val="0"/>
      <w:color w:val="000000"/>
      <w:kern w:val="0"/>
      <w:sz w:val="18"/>
      <w:szCs w:val="18"/>
      <w:u w:val="none"/>
    </w:rPr>
  </w:style>
  <w:style w:type="character" w:styleId="74">
    <w:name w:val="Emphasis"/>
    <w:qFormat/>
    <w:uiPriority w:val="20"/>
    <w:rPr>
      <w:color w:val="CC0033"/>
    </w:rPr>
  </w:style>
  <w:style w:type="character" w:styleId="75">
    <w:name w:val="line number"/>
    <w:basedOn w:val="69"/>
    <w:qFormat/>
    <w:uiPriority w:val="0"/>
    <w:rPr>
      <w:rFonts w:ascii="Arial" w:hAnsi="Arial" w:eastAsia="黑体" w:cs="Arial"/>
      <w:snapToGrid w:val="0"/>
      <w:kern w:val="0"/>
      <w:szCs w:val="21"/>
    </w:rPr>
  </w:style>
  <w:style w:type="character" w:styleId="76">
    <w:name w:val="Hyperlink"/>
    <w:qFormat/>
    <w:uiPriority w:val="99"/>
    <w:rPr>
      <w:rFonts w:ascii="Arial" w:hAnsi="Arial" w:eastAsia="黑体" w:cs="Arial"/>
      <w:snapToGrid w:val="0"/>
      <w:color w:val="000000"/>
      <w:kern w:val="0"/>
      <w:sz w:val="18"/>
      <w:szCs w:val="18"/>
      <w:u w:val="none"/>
    </w:rPr>
  </w:style>
  <w:style w:type="character" w:styleId="77">
    <w:name w:val="HTML Code"/>
    <w:qFormat/>
    <w:uiPriority w:val="0"/>
    <w:rPr>
      <w:rFonts w:ascii="黑体" w:hAnsi="Courier New" w:eastAsia="黑体" w:cs="楷体_GB2312"/>
      <w:sz w:val="20"/>
      <w:szCs w:val="20"/>
    </w:rPr>
  </w:style>
  <w:style w:type="character" w:styleId="78">
    <w:name w:val="annotation reference"/>
    <w:qFormat/>
    <w:uiPriority w:val="99"/>
    <w:rPr>
      <w:sz w:val="21"/>
      <w:szCs w:val="21"/>
    </w:rPr>
  </w:style>
  <w:style w:type="paragraph" w:customStyle="1" w:styleId="79">
    <w:name w:val="[Normal]"/>
    <w:qFormat/>
    <w:uiPriority w:val="0"/>
    <w:rPr>
      <w:rFonts w:ascii="宋体" w:hAnsi="宋体" w:eastAsia="宋体" w:cs="Times New Roman"/>
      <w:sz w:val="24"/>
      <w:szCs w:val="22"/>
      <w:lang w:val="zh-CN" w:eastAsia="zh-CN" w:bidi="ar-SA"/>
    </w:rPr>
  </w:style>
  <w:style w:type="paragraph" w:customStyle="1" w:styleId="80">
    <w:name w:val="表格非标题文字"/>
    <w:link w:val="621"/>
    <w:qFormat/>
    <w:uiPriority w:val="0"/>
    <w:pPr>
      <w:snapToGrid w:val="0"/>
      <w:spacing w:before="80" w:after="40"/>
    </w:pPr>
    <w:rPr>
      <w:rFonts w:ascii="Futura Bk" w:hAnsi="Futura Bk" w:eastAsia="宋体" w:cs="Times New Roman"/>
      <w:kern w:val="2"/>
      <w:sz w:val="18"/>
      <w:szCs w:val="21"/>
      <w:lang w:val="en-US" w:eastAsia="zh-CN" w:bidi="ar-SA"/>
    </w:rPr>
  </w:style>
  <w:style w:type="paragraph" w:customStyle="1" w:styleId="81">
    <w:name w:val="*正文"/>
    <w:basedOn w:val="1"/>
    <w:link w:val="622"/>
    <w:qFormat/>
    <w:uiPriority w:val="0"/>
    <w:pPr>
      <w:snapToGrid w:val="0"/>
      <w:spacing w:line="360" w:lineRule="auto"/>
      <w:ind w:firstLine="482"/>
      <w:jc w:val="left"/>
    </w:pPr>
    <w:rPr>
      <w:rFonts w:ascii="宋体" w:hAnsi="宋体"/>
      <w:kern w:val="0"/>
      <w:sz w:val="24"/>
      <w:szCs w:val="20"/>
    </w:rPr>
  </w:style>
  <w:style w:type="paragraph" w:customStyle="1" w:styleId="82">
    <w:name w:val="U_正文"/>
    <w:basedOn w:val="1"/>
    <w:link w:val="630"/>
    <w:qFormat/>
    <w:uiPriority w:val="0"/>
    <w:pPr>
      <w:adjustRightInd/>
      <w:spacing w:beforeLines="20" w:afterLines="20" w:line="300" w:lineRule="auto"/>
      <w:ind w:firstLine="200" w:firstLineChars="200"/>
    </w:pPr>
    <w:rPr>
      <w:kern w:val="0"/>
      <w:sz w:val="24"/>
    </w:rPr>
  </w:style>
  <w:style w:type="paragraph" w:customStyle="1" w:styleId="83">
    <w:name w:val="哈哈正文"/>
    <w:basedOn w:val="1"/>
    <w:link w:val="637"/>
    <w:qFormat/>
    <w:uiPriority w:val="0"/>
    <w:pPr>
      <w:adjustRightInd/>
      <w:spacing w:line="360" w:lineRule="auto"/>
      <w:ind w:firstLine="200" w:firstLineChars="200"/>
    </w:pPr>
    <w:rPr>
      <w:rFonts w:ascii="宋体" w:hAnsi="宋体"/>
      <w:sz w:val="24"/>
      <w:szCs w:val="20"/>
    </w:rPr>
  </w:style>
  <w:style w:type="paragraph" w:customStyle="1" w:styleId="84">
    <w:name w:val="5正文"/>
    <w:basedOn w:val="1"/>
    <w:link w:val="650"/>
    <w:qFormat/>
    <w:uiPriority w:val="0"/>
    <w:pPr>
      <w:adjustRightInd/>
      <w:spacing w:line="360" w:lineRule="auto"/>
      <w:ind w:firstLine="566" w:firstLineChars="202"/>
      <w:jc w:val="left"/>
    </w:pPr>
    <w:rPr>
      <w:rFonts w:ascii="仿宋_GB2312" w:hAnsi="微软雅黑" w:eastAsia="仿宋_GB2312"/>
      <w:kern w:val="0"/>
      <w:sz w:val="28"/>
      <w:szCs w:val="21"/>
    </w:rPr>
  </w:style>
  <w:style w:type="paragraph" w:customStyle="1" w:styleId="85">
    <w:name w:val="正文2"/>
    <w:basedOn w:val="1"/>
    <w:link w:val="664"/>
    <w:qFormat/>
    <w:uiPriority w:val="0"/>
    <w:pPr>
      <w:spacing w:before="156" w:line="360" w:lineRule="auto"/>
      <w:ind w:firstLine="510" w:firstLineChars="200"/>
    </w:pPr>
    <w:rPr>
      <w:sz w:val="24"/>
      <w:szCs w:val="20"/>
    </w:rPr>
  </w:style>
  <w:style w:type="paragraph" w:customStyle="1" w:styleId="86">
    <w:name w:val="无间隔1"/>
    <w:link w:val="672"/>
    <w:qFormat/>
    <w:uiPriority w:val="1"/>
    <w:rPr>
      <w:rFonts w:ascii="Times New Roman" w:hAnsi="Times New Roman" w:eastAsia="宋体" w:cs="Times New Roman"/>
      <w:sz w:val="22"/>
      <w:szCs w:val="22"/>
      <w:lang w:val="en-US" w:eastAsia="zh-CN" w:bidi="ar-SA"/>
    </w:rPr>
  </w:style>
  <w:style w:type="paragraph" w:customStyle="1" w:styleId="87">
    <w:name w:val="纯文本_0_0"/>
    <w:basedOn w:val="88"/>
    <w:link w:val="680"/>
    <w:qFormat/>
    <w:uiPriority w:val="0"/>
    <w:rPr>
      <w:rFonts w:ascii="宋体" w:hAnsi="Courier New"/>
      <w:szCs w:val="21"/>
    </w:rPr>
  </w:style>
  <w:style w:type="paragraph" w:customStyle="1" w:styleId="88">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89">
    <w:name w:val="正文（绿盟科技）"/>
    <w:link w:val="690"/>
    <w:qFormat/>
    <w:uiPriority w:val="0"/>
    <w:pPr>
      <w:spacing w:line="300" w:lineRule="auto"/>
    </w:pPr>
    <w:rPr>
      <w:rFonts w:ascii="Arial" w:hAnsi="Arial" w:eastAsia="宋体" w:cs="Times New Roman"/>
      <w:sz w:val="21"/>
      <w:szCs w:val="21"/>
      <w:lang w:val="en-US" w:eastAsia="zh-CN" w:bidi="ar-SA"/>
    </w:rPr>
  </w:style>
  <w:style w:type="paragraph" w:customStyle="1" w:styleId="90">
    <w:name w:val="表格名称"/>
    <w:basedOn w:val="4"/>
    <w:link w:val="699"/>
    <w:qFormat/>
    <w:uiPriority w:val="0"/>
    <w:pPr>
      <w:snapToGrid w:val="0"/>
      <w:spacing w:before="240" w:after="240" w:line="240" w:lineRule="auto"/>
      <w:ind w:left="0" w:firstLine="0"/>
      <w:jc w:val="center"/>
    </w:pPr>
    <w:rPr>
      <w:rFonts w:ascii="Calibri" w:hAnsi="Calibri" w:eastAsia="宋体"/>
      <w:b w:val="0"/>
      <w:bCs w:val="0"/>
      <w:kern w:val="0"/>
      <w:szCs w:val="20"/>
    </w:rPr>
  </w:style>
  <w:style w:type="paragraph" w:customStyle="1" w:styleId="91">
    <w:name w:val="my正文"/>
    <w:basedOn w:val="1"/>
    <w:link w:val="719"/>
    <w:qFormat/>
    <w:uiPriority w:val="0"/>
    <w:pPr>
      <w:adjustRightInd/>
      <w:spacing w:line="360" w:lineRule="auto"/>
      <w:ind w:firstLine="480" w:firstLineChars="200"/>
    </w:pPr>
    <w:rPr>
      <w:rFonts w:ascii="Tahoma" w:hAnsi="Tahoma"/>
      <w:kern w:val="0"/>
      <w:sz w:val="24"/>
    </w:rPr>
  </w:style>
  <w:style w:type="paragraph" w:customStyle="1" w:styleId="92">
    <w:name w:val="3级"/>
    <w:basedOn w:val="93"/>
    <w:link w:val="725"/>
    <w:qFormat/>
    <w:uiPriority w:val="0"/>
    <w:pPr>
      <w:ind w:left="0" w:right="466" w:firstLine="288"/>
    </w:pPr>
    <w:rPr>
      <w:rFonts w:hAnsi="宋体"/>
    </w:rPr>
  </w:style>
  <w:style w:type="paragraph" w:customStyle="1" w:styleId="93">
    <w:name w:val="样式 标题 3h33rd level3BOD 0H3l3CTHeading 3 - oldLevel 3 He..."/>
    <w:basedOn w:val="7"/>
    <w:qFormat/>
    <w:uiPriority w:val="99"/>
    <w:pPr>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paragraph" w:customStyle="1" w:styleId="94">
    <w:name w:val="标题4-dyf"/>
    <w:basedOn w:val="8"/>
    <w:link w:val="747"/>
    <w:qFormat/>
    <w:uiPriority w:val="0"/>
    <w:pPr>
      <w:tabs>
        <w:tab w:val="left" w:pos="851"/>
        <w:tab w:val="clear" w:pos="864"/>
      </w:tabs>
      <w:adjustRightInd/>
      <w:spacing w:line="376" w:lineRule="atLeast"/>
      <w:ind w:left="851" w:hanging="851"/>
    </w:pPr>
    <w:rPr>
      <w:rFonts w:ascii="Cambria" w:hAnsi="Cambria" w:eastAsia="宋体"/>
      <w:color w:val="000000"/>
      <w:sz w:val="21"/>
      <w:szCs w:val="21"/>
    </w:rPr>
  </w:style>
  <w:style w:type="paragraph" w:customStyle="1" w:styleId="95">
    <w:name w:val="冯"/>
    <w:basedOn w:val="1"/>
    <w:link w:val="749"/>
    <w:qFormat/>
    <w:uiPriority w:val="0"/>
    <w:pPr>
      <w:widowControl/>
      <w:adjustRightInd/>
      <w:spacing w:line="360" w:lineRule="auto"/>
      <w:ind w:firstLine="480" w:firstLineChars="200"/>
    </w:pPr>
    <w:rPr>
      <w:rFonts w:ascii="宋体" w:hAnsi="宋体"/>
      <w:color w:val="000000"/>
      <w:kern w:val="0"/>
      <w:sz w:val="24"/>
    </w:rPr>
  </w:style>
  <w:style w:type="paragraph" w:customStyle="1" w:styleId="96">
    <w:name w:val="Default"/>
    <w:link w:val="757"/>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97">
    <w:name w:val="正文样式"/>
    <w:basedOn w:val="1"/>
    <w:link w:val="767"/>
    <w:qFormat/>
    <w:uiPriority w:val="0"/>
    <w:pPr>
      <w:adjustRightInd/>
      <w:spacing w:line="360" w:lineRule="auto"/>
      <w:ind w:firstLine="480" w:firstLineChars="200"/>
    </w:pPr>
    <w:rPr>
      <w:kern w:val="0"/>
      <w:sz w:val="24"/>
    </w:rPr>
  </w:style>
  <w:style w:type="paragraph" w:customStyle="1" w:styleId="98">
    <w:name w:val="gf正文1"/>
    <w:basedOn w:val="1"/>
    <w:link w:val="773"/>
    <w:qFormat/>
    <w:uiPriority w:val="0"/>
    <w:pPr>
      <w:tabs>
        <w:tab w:val="left" w:pos="3240"/>
        <w:tab w:val="left" w:pos="3960"/>
      </w:tabs>
      <w:snapToGrid w:val="0"/>
      <w:spacing w:line="360" w:lineRule="auto"/>
      <w:ind w:firstLine="480" w:firstLineChars="200"/>
    </w:pPr>
    <w:rPr>
      <w:rFonts w:ascii="宋体" w:hAnsi="宋体"/>
      <w:sz w:val="24"/>
    </w:rPr>
  </w:style>
  <w:style w:type="paragraph" w:customStyle="1" w:styleId="99">
    <w:name w:val="列表1"/>
    <w:basedOn w:val="1"/>
    <w:next w:val="100"/>
    <w:link w:val="776"/>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100">
    <w:name w:val="List Paragraph"/>
    <w:basedOn w:val="1"/>
    <w:qFormat/>
    <w:uiPriority w:val="34"/>
    <w:pPr>
      <w:spacing w:line="360" w:lineRule="auto"/>
      <w:ind w:firstLine="200" w:firstLineChars="200"/>
    </w:pPr>
    <w:rPr>
      <w:rFonts w:eastAsia="楷体_GB2312" w:cs="Lucida Sans"/>
      <w:sz w:val="24"/>
    </w:rPr>
  </w:style>
  <w:style w:type="paragraph" w:customStyle="1" w:styleId="101">
    <w:name w:val="此正文"/>
    <w:basedOn w:val="1"/>
    <w:link w:val="798"/>
    <w:qFormat/>
    <w:uiPriority w:val="0"/>
    <w:pPr>
      <w:adjustRightInd/>
      <w:spacing w:line="360" w:lineRule="auto"/>
      <w:ind w:firstLine="200" w:firstLineChars="200"/>
    </w:pPr>
    <w:rPr>
      <w:sz w:val="24"/>
    </w:rPr>
  </w:style>
  <w:style w:type="paragraph" w:customStyle="1" w:styleId="102">
    <w:name w:val="样式 样式 标题 4h4H4Fab-4T5Ref Heading 1rh1Heading sqlsect 1.2.3.... +..."/>
    <w:basedOn w:val="103"/>
    <w:link w:val="820"/>
    <w:qFormat/>
    <w:uiPriority w:val="0"/>
    <w:pPr>
      <w:tabs>
        <w:tab w:val="left" w:pos="2356"/>
      </w:tabs>
    </w:pPr>
  </w:style>
  <w:style w:type="paragraph" w:customStyle="1" w:styleId="103">
    <w:name w:val="样式 标题 4h4H4Fab-4T5Ref Heading 1rh1Heading sqlsect 1.2.3...."/>
    <w:basedOn w:val="8"/>
    <w:link w:val="917"/>
    <w:qFormat/>
    <w:uiPriority w:val="0"/>
    <w:pPr>
      <w:tabs>
        <w:tab w:val="left" w:pos="2356"/>
        <w:tab w:val="clear" w:pos="864"/>
      </w:tabs>
      <w:adjustRightInd/>
      <w:spacing w:line="360" w:lineRule="auto"/>
      <w:ind w:left="1984" w:leftChars="75" w:hanging="708" w:firstLineChars="200"/>
    </w:pPr>
    <w:rPr>
      <w:rFonts w:ascii="微软雅黑" w:hAnsi="微软雅黑" w:eastAsia="微软雅黑"/>
      <w:sz w:val="24"/>
    </w:rPr>
  </w:style>
  <w:style w:type="paragraph" w:customStyle="1" w:styleId="104">
    <w:name w:val="Item List"/>
    <w:link w:val="831"/>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paragraph" w:customStyle="1" w:styleId="105">
    <w:name w:val="纯文本1"/>
    <w:basedOn w:val="1"/>
    <w:link w:val="833"/>
    <w:qFormat/>
    <w:uiPriority w:val="0"/>
    <w:pPr>
      <w:adjustRightInd/>
    </w:pPr>
    <w:rPr>
      <w:rFonts w:ascii="宋体" w:hAnsi="Courier New"/>
      <w:kern w:val="0"/>
      <w:sz w:val="20"/>
      <w:szCs w:val="20"/>
    </w:rPr>
  </w:style>
  <w:style w:type="paragraph" w:customStyle="1" w:styleId="106">
    <w:name w:val="正文说明"/>
    <w:basedOn w:val="1"/>
    <w:link w:val="845"/>
    <w:qFormat/>
    <w:uiPriority w:val="0"/>
    <w:pPr>
      <w:adjustRightInd/>
      <w:spacing w:line="360" w:lineRule="auto"/>
    </w:pPr>
    <w:rPr>
      <w:kern w:val="0"/>
      <w:sz w:val="24"/>
    </w:rPr>
  </w:style>
  <w:style w:type="paragraph" w:customStyle="1" w:styleId="107">
    <w:name w:val="Table Text"/>
    <w:basedOn w:val="1"/>
    <w:link w:val="851"/>
    <w:qFormat/>
    <w:uiPriority w:val="0"/>
    <w:pPr>
      <w:widowControl/>
      <w:spacing w:before="60" w:after="60"/>
      <w:jc w:val="left"/>
    </w:pPr>
    <w:rPr>
      <w:kern w:val="0"/>
      <w:sz w:val="24"/>
    </w:rPr>
  </w:style>
  <w:style w:type="paragraph" w:customStyle="1" w:styleId="108">
    <w:name w:val="公文正文"/>
    <w:basedOn w:val="1"/>
    <w:link w:val="863"/>
    <w:qFormat/>
    <w:uiPriority w:val="0"/>
    <w:pPr>
      <w:adjustRightInd/>
      <w:spacing w:before="156" w:line="360" w:lineRule="auto"/>
      <w:ind w:firstLine="360" w:firstLineChars="200"/>
    </w:pPr>
    <w:rPr>
      <w:rFonts w:ascii="仿宋_GB2312" w:eastAsia="仿宋_GB2312"/>
      <w:sz w:val="24"/>
    </w:rPr>
  </w:style>
  <w:style w:type="paragraph" w:customStyle="1" w:styleId="109">
    <w:name w:val="正文（缩进2汉字）"/>
    <w:basedOn w:val="1"/>
    <w:link w:val="866"/>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paragraph" w:customStyle="1" w:styleId="110">
    <w:name w:val="b11_01b"/>
    <w:basedOn w:val="1"/>
    <w:next w:val="1"/>
    <w:link w:val="888"/>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paragraph" w:customStyle="1" w:styleId="111">
    <w:name w:val="段落"/>
    <w:basedOn w:val="1"/>
    <w:link w:val="896"/>
    <w:qFormat/>
    <w:uiPriority w:val="0"/>
    <w:pPr>
      <w:adjustRightInd/>
      <w:spacing w:line="360" w:lineRule="auto"/>
      <w:ind w:firstLine="480" w:firstLineChars="200"/>
    </w:pPr>
    <w:rPr>
      <w:rFonts w:ascii="宋体" w:hAnsi="宋体"/>
      <w:kern w:val="0"/>
      <w:sz w:val="24"/>
      <w:szCs w:val="20"/>
    </w:rPr>
  </w:style>
  <w:style w:type="paragraph" w:customStyle="1" w:styleId="112">
    <w:name w:val="正文段"/>
    <w:basedOn w:val="1"/>
    <w:link w:val="903"/>
    <w:qFormat/>
    <w:uiPriority w:val="0"/>
    <w:pPr>
      <w:widowControl/>
      <w:snapToGrid w:val="0"/>
      <w:spacing w:after="156" w:afterLines="50"/>
      <w:ind w:firstLine="200" w:firstLineChars="200"/>
    </w:pPr>
    <w:rPr>
      <w:kern w:val="0"/>
      <w:sz w:val="24"/>
      <w:szCs w:val="20"/>
    </w:rPr>
  </w:style>
  <w:style w:type="paragraph" w:customStyle="1" w:styleId="113">
    <w:name w:val="冯广丽"/>
    <w:basedOn w:val="1"/>
    <w:link w:val="906"/>
    <w:qFormat/>
    <w:uiPriority w:val="0"/>
    <w:pPr>
      <w:adjustRightInd/>
      <w:spacing w:line="360" w:lineRule="auto"/>
      <w:ind w:firstLine="480" w:firstLineChars="200"/>
    </w:pPr>
    <w:rPr>
      <w:rFonts w:ascii="宋体" w:hAnsi="宋体"/>
      <w:sz w:val="24"/>
      <w:szCs w:val="22"/>
    </w:rPr>
  </w:style>
  <w:style w:type="paragraph" w:customStyle="1" w:styleId="114">
    <w:name w:val="编号，小四"/>
    <w:basedOn w:val="1"/>
    <w:link w:val="912"/>
    <w:qFormat/>
    <w:uiPriority w:val="0"/>
    <w:pPr>
      <w:tabs>
        <w:tab w:val="left" w:pos="432"/>
      </w:tabs>
      <w:adjustRightInd/>
      <w:spacing w:line="360" w:lineRule="auto"/>
      <w:ind w:left="432" w:hanging="432"/>
    </w:pPr>
    <w:rPr>
      <w:rFonts w:ascii="Arial" w:hAnsi="Arial"/>
      <w:kern w:val="0"/>
      <w:sz w:val="24"/>
      <w:szCs w:val="20"/>
    </w:rPr>
  </w:style>
  <w:style w:type="paragraph" w:customStyle="1" w:styleId="115">
    <w:name w:val="仿宋正文"/>
    <w:basedOn w:val="1"/>
    <w:link w:val="919"/>
    <w:qFormat/>
    <w:uiPriority w:val="0"/>
    <w:pPr>
      <w:adjustRightInd/>
      <w:spacing w:line="360" w:lineRule="auto"/>
      <w:ind w:firstLine="480" w:firstLineChars="200"/>
    </w:pPr>
    <w:rPr>
      <w:rFonts w:ascii="仿宋_GB2312" w:eastAsia="仿宋_GB2312"/>
      <w:sz w:val="24"/>
      <w:szCs w:val="20"/>
    </w:rPr>
  </w:style>
  <w:style w:type="paragraph" w:customStyle="1" w:styleId="116">
    <w:name w:val="样式 正文缩进 + 首行缩进:  2 字符"/>
    <w:basedOn w:val="5"/>
    <w:link w:val="931"/>
    <w:qFormat/>
    <w:uiPriority w:val="0"/>
    <w:pPr>
      <w:widowControl w:val="0"/>
      <w:adjustRightInd/>
      <w:snapToGrid/>
      <w:spacing w:line="360" w:lineRule="auto"/>
      <w:ind w:firstLine="200" w:firstLineChars="200"/>
    </w:pPr>
    <w:rPr>
      <w:rFonts w:ascii="Calibri"/>
      <w:color w:val="auto"/>
      <w:kern w:val="2"/>
      <w:sz w:val="24"/>
    </w:rPr>
  </w:style>
  <w:style w:type="paragraph" w:customStyle="1" w:styleId="117">
    <w:name w:val="样式 正文文本缩进 + 左侧:  2 字符 首行缩进:  2 字符"/>
    <w:basedOn w:val="6"/>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118">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119">
    <w:name w:val="正文文本 221"/>
    <w:basedOn w:val="1"/>
    <w:qFormat/>
    <w:uiPriority w:val="0"/>
    <w:pPr>
      <w:widowControl/>
      <w:overflowPunct w:val="0"/>
      <w:autoSpaceDE w:val="0"/>
      <w:autoSpaceDN w:val="0"/>
      <w:ind w:left="720" w:hanging="720"/>
      <w:textAlignment w:val="baseline"/>
    </w:pPr>
    <w:rPr>
      <w:kern w:val="0"/>
      <w:sz w:val="24"/>
      <w:szCs w:val="20"/>
    </w:rPr>
  </w:style>
  <w:style w:type="paragraph" w:customStyle="1" w:styleId="120">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121">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122">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123">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124">
    <w:name w:val="标题4_自定义"/>
    <w:basedOn w:val="8"/>
    <w:qFormat/>
    <w:uiPriority w:val="0"/>
    <w:pPr>
      <w:adjustRightInd/>
      <w:spacing w:before="0" w:after="0" w:line="360" w:lineRule="auto"/>
    </w:pPr>
    <w:rPr>
      <w:rFonts w:ascii="Verdana" w:eastAsia="Verdana"/>
      <w:sz w:val="21"/>
      <w:lang w:val="en-US"/>
    </w:rPr>
  </w:style>
  <w:style w:type="paragraph" w:customStyle="1" w:styleId="125">
    <w:name w:val="正文 内标 序号标"/>
    <w:basedOn w:val="126"/>
    <w:qFormat/>
    <w:uiPriority w:val="0"/>
    <w:pPr>
      <w:tabs>
        <w:tab w:val="left" w:pos="0"/>
      </w:tabs>
      <w:adjustRightInd/>
      <w:spacing w:before="0"/>
      <w:ind w:firstLine="482"/>
    </w:pPr>
    <w:rPr>
      <w:rFonts w:ascii="微软雅黑" w:hAnsi="微软雅黑"/>
      <w:sz w:val="24"/>
      <w:szCs w:val="24"/>
    </w:rPr>
  </w:style>
  <w:style w:type="paragraph" w:customStyle="1" w:styleId="126">
    <w:name w:val="My正文"/>
    <w:basedOn w:val="1"/>
    <w:qFormat/>
    <w:uiPriority w:val="0"/>
    <w:pPr>
      <w:spacing w:before="120" w:line="360" w:lineRule="auto"/>
      <w:ind w:firstLine="567"/>
    </w:pPr>
    <w:rPr>
      <w:rFonts w:ascii="Arial" w:hAnsi="Arial"/>
      <w:sz w:val="20"/>
      <w:szCs w:val="20"/>
    </w:rPr>
  </w:style>
  <w:style w:type="paragraph" w:customStyle="1" w:styleId="127">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128">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129">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130">
    <w:name w:val="修订2"/>
    <w:qFormat/>
    <w:uiPriority w:val="0"/>
    <w:rPr>
      <w:rFonts w:ascii="Times New Roman" w:hAnsi="Times New Roman" w:eastAsia="宋体" w:cs="Times New Roman"/>
      <w:kern w:val="2"/>
      <w:sz w:val="21"/>
      <w:lang w:val="en-US" w:eastAsia="zh-CN" w:bidi="ar-SA"/>
    </w:rPr>
  </w:style>
  <w:style w:type="paragraph" w:customStyle="1" w:styleId="131">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132">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133">
    <w:name w:val="文章标题"/>
    <w:next w:val="134"/>
    <w:qFormat/>
    <w:uiPriority w:val="0"/>
    <w:pPr>
      <w:spacing w:before="2496" w:beforeLines="800" w:after="312" w:afterLines="100"/>
      <w:jc w:val="center"/>
    </w:pPr>
    <w:rPr>
      <w:rFonts w:ascii="Arial" w:hAnsi="Arial" w:eastAsia="黑体" w:cs="宋体"/>
      <w:bCs/>
      <w:kern w:val="2"/>
      <w:sz w:val="52"/>
      <w:lang w:val="en-US" w:eastAsia="zh-CN" w:bidi="ar-SA"/>
    </w:rPr>
  </w:style>
  <w:style w:type="paragraph" w:customStyle="1" w:styleId="134">
    <w:name w:val="封面公司名"/>
    <w:qFormat/>
    <w:uiPriority w:val="0"/>
    <w:pPr>
      <w:jc w:val="center"/>
    </w:pPr>
    <w:rPr>
      <w:rFonts w:ascii="Arial" w:hAnsi="Arial" w:eastAsia="楷体_GB2312" w:cs="宋体"/>
      <w:bCs/>
      <w:kern w:val="2"/>
      <w:sz w:val="28"/>
      <w:lang w:val="en-US" w:eastAsia="zh-CN" w:bidi="ar-SA"/>
    </w:rPr>
  </w:style>
  <w:style w:type="paragraph" w:customStyle="1" w:styleId="135">
    <w:name w:val="Char1 Char Char Char5"/>
    <w:basedOn w:val="1"/>
    <w:qFormat/>
    <w:uiPriority w:val="0"/>
    <w:pPr>
      <w:adjustRightInd/>
      <w:ind w:firstLine="200" w:firstLineChars="200"/>
    </w:pPr>
    <w:rPr>
      <w:rFonts w:ascii="Tahoma" w:hAnsi="Tahoma"/>
      <w:sz w:val="24"/>
      <w:szCs w:val="20"/>
    </w:rPr>
  </w:style>
  <w:style w:type="paragraph" w:customStyle="1" w:styleId="136">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137">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138">
    <w:name w:val="Char Char Char Char Char Char Char Char"/>
    <w:basedOn w:val="1"/>
    <w:qFormat/>
    <w:uiPriority w:val="0"/>
    <w:pPr>
      <w:tabs>
        <w:tab w:val="left" w:pos="360"/>
      </w:tabs>
    </w:pPr>
    <w:rPr>
      <w:sz w:val="24"/>
      <w:szCs w:val="20"/>
    </w:rPr>
  </w:style>
  <w:style w:type="paragraph" w:customStyle="1" w:styleId="139">
    <w:name w:val="Char Char11 Char Char Char"/>
    <w:basedOn w:val="1"/>
    <w:qFormat/>
    <w:uiPriority w:val="0"/>
    <w:pPr>
      <w:spacing w:line="360" w:lineRule="auto"/>
    </w:pPr>
    <w:rPr>
      <w:szCs w:val="20"/>
    </w:rPr>
  </w:style>
  <w:style w:type="paragraph" w:customStyle="1" w:styleId="140">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val="none" w:color="000000"/>
      <w:lang w:val="en-US" w:eastAsia="zh-CN" w:bidi="ar-SA"/>
    </w:rPr>
  </w:style>
  <w:style w:type="paragraph" w:customStyle="1" w:styleId="141">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142">
    <w:name w:val="样式3"/>
    <w:basedOn w:val="143"/>
    <w:qFormat/>
    <w:uiPriority w:val="0"/>
    <w:pPr>
      <w:tabs>
        <w:tab w:val="left" w:pos="2790"/>
        <w:tab w:val="left" w:pos="4230"/>
      </w:tabs>
      <w:spacing w:before="312" w:beforeLines="100"/>
      <w:jc w:val="left"/>
    </w:pPr>
  </w:style>
  <w:style w:type="paragraph" w:customStyle="1" w:styleId="143">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144">
    <w:name w:val="Char Char1 Char Char1 Char Char1"/>
    <w:basedOn w:val="1"/>
    <w:qFormat/>
    <w:uiPriority w:val="0"/>
    <w:pPr>
      <w:tabs>
        <w:tab w:val="left" w:pos="840"/>
      </w:tabs>
      <w:ind w:left="840" w:hanging="420"/>
    </w:pPr>
    <w:rPr>
      <w:rFonts w:ascii="Tahoma" w:hAnsi="Tahoma"/>
      <w:sz w:val="24"/>
    </w:rPr>
  </w:style>
  <w:style w:type="paragraph" w:customStyle="1" w:styleId="145">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146">
    <w:name w:val="标书标题2"/>
    <w:basedOn w:val="4"/>
    <w:qFormat/>
    <w:uiPriority w:val="0"/>
    <w:pPr>
      <w:widowControl/>
      <w:tabs>
        <w:tab w:val="left" w:pos="840"/>
        <w:tab w:val="clear" w:pos="432"/>
      </w:tabs>
      <w:adjustRightInd w:val="0"/>
      <w:snapToGrid w:val="0"/>
      <w:spacing w:before="156" w:beforeLines="50" w:after="60" w:line="300" w:lineRule="auto"/>
      <w:ind w:left="840" w:hanging="420"/>
    </w:pPr>
    <w:rPr>
      <w:rFonts w:ascii="Arial Narrow" w:hAnsi="Arial Narrow"/>
      <w:snapToGrid w:val="0"/>
      <w:kern w:val="0"/>
      <w:szCs w:val="20"/>
      <w:lang w:val="en-US"/>
    </w:rPr>
  </w:style>
  <w:style w:type="paragraph" w:customStyle="1" w:styleId="147">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148">
    <w:name w:val="正文21"/>
    <w:basedOn w:val="1"/>
    <w:qFormat/>
    <w:uiPriority w:val="0"/>
    <w:pPr>
      <w:adjustRightInd/>
      <w:spacing w:before="156" w:line="360" w:lineRule="auto"/>
      <w:ind w:firstLine="510" w:firstLineChars="200"/>
    </w:pPr>
    <w:rPr>
      <w:sz w:val="24"/>
      <w:szCs w:val="20"/>
    </w:rPr>
  </w:style>
  <w:style w:type="paragraph" w:customStyle="1" w:styleId="149">
    <w:name w:val="Test2"/>
    <w:basedOn w:val="4"/>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150">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151">
    <w:name w:val="Char1"/>
    <w:basedOn w:val="1"/>
    <w:qFormat/>
    <w:uiPriority w:val="0"/>
    <w:rPr>
      <w:rFonts w:ascii="仿宋_GB2312" w:eastAsia="仿宋_GB2312"/>
      <w:b/>
      <w:sz w:val="32"/>
      <w:szCs w:val="32"/>
    </w:rPr>
  </w:style>
  <w:style w:type="paragraph" w:customStyle="1" w:styleId="152">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153">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154">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155">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156">
    <w:name w:val="6级标题"/>
    <w:basedOn w:val="157"/>
    <w:qFormat/>
    <w:uiPriority w:val="0"/>
    <w:pPr>
      <w:keepNext/>
      <w:tabs>
        <w:tab w:val="left" w:pos="360"/>
      </w:tabs>
      <w:spacing w:before="0" w:after="0"/>
      <w:outlineLvl w:val="5"/>
    </w:pPr>
  </w:style>
  <w:style w:type="paragraph" w:customStyle="1" w:styleId="157">
    <w:name w:val="5级标题"/>
    <w:basedOn w:val="158"/>
    <w:qFormat/>
    <w:uiPriority w:val="0"/>
    <w:pPr>
      <w:tabs>
        <w:tab w:val="left" w:pos="360"/>
      </w:tabs>
      <w:spacing w:before="10" w:beforeLines="10" w:after="10" w:afterLines="10"/>
      <w:outlineLvl w:val="4"/>
    </w:pPr>
    <w:rPr>
      <w:rFonts w:ascii="Times New Roman" w:hAnsi="Times New Roman" w:eastAsia="仿宋"/>
      <w:b/>
      <w:kern w:val="2"/>
      <w:szCs w:val="20"/>
      <w:lang w:eastAsia="zh-CN" w:bidi="ar-SA"/>
    </w:rPr>
  </w:style>
  <w:style w:type="paragraph" w:customStyle="1" w:styleId="158">
    <w:name w:val="4级标题"/>
    <w:basedOn w:val="100"/>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159">
    <w:name w:val="样式 正文文本缩进 + 段前: 2 字符"/>
    <w:basedOn w:val="1"/>
    <w:qFormat/>
    <w:uiPriority w:val="0"/>
    <w:pPr>
      <w:adjustRightInd/>
      <w:ind w:left="420" w:leftChars="200"/>
      <w:jc w:val="left"/>
    </w:pPr>
    <w:rPr>
      <w:sz w:val="28"/>
      <w:szCs w:val="20"/>
      <w:lang w:eastAsia="zh-TW"/>
    </w:rPr>
  </w:style>
  <w:style w:type="paragraph" w:customStyle="1" w:styleId="160">
    <w:name w:val="Char2 Char Char"/>
    <w:basedOn w:val="1"/>
    <w:qFormat/>
    <w:uiPriority w:val="0"/>
    <w:pPr>
      <w:adjustRightInd/>
    </w:pPr>
    <w:rPr>
      <w:rFonts w:ascii="Tahoma" w:hAnsi="Tahoma"/>
      <w:sz w:val="24"/>
      <w:szCs w:val="20"/>
    </w:rPr>
  </w:style>
  <w:style w:type="paragraph" w:customStyle="1" w:styleId="161">
    <w:name w:val="_Style 11"/>
    <w:basedOn w:val="1"/>
    <w:qFormat/>
    <w:uiPriority w:val="34"/>
    <w:pPr>
      <w:adjustRightInd/>
      <w:ind w:firstLine="420" w:firstLineChars="200"/>
    </w:pPr>
    <w:rPr>
      <w:rFonts w:eastAsia="仿宋_GB2312"/>
      <w:sz w:val="28"/>
    </w:rPr>
  </w:style>
  <w:style w:type="paragraph" w:customStyle="1" w:styleId="162">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163">
    <w:name w:val="Char Char Char"/>
    <w:basedOn w:val="1"/>
    <w:qFormat/>
    <w:uiPriority w:val="0"/>
    <w:rPr>
      <w:rFonts w:ascii="Tahoma" w:hAnsi="Tahoma"/>
      <w:sz w:val="24"/>
      <w:szCs w:val="20"/>
    </w:rPr>
  </w:style>
  <w:style w:type="paragraph" w:customStyle="1" w:styleId="164">
    <w:name w:val="数字标题6"/>
    <w:basedOn w:val="10"/>
    <w:next w:val="1"/>
    <w:qFormat/>
    <w:uiPriority w:val="0"/>
    <w:pPr>
      <w:tabs>
        <w:tab w:val="left" w:pos="1080"/>
        <w:tab w:val="clear" w:pos="1152"/>
      </w:tabs>
      <w:ind w:left="1080" w:hanging="1080"/>
    </w:pPr>
    <w:rPr>
      <w:rFonts w:ascii="Times New Roman" w:hAnsi="Times New Roman" w:eastAsia="宋体"/>
      <w:i/>
    </w:rPr>
  </w:style>
  <w:style w:type="paragraph" w:customStyle="1" w:styleId="165">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166">
    <w:name w:val="No Spacing"/>
    <w:basedOn w:val="1"/>
    <w:link w:val="941"/>
    <w:qFormat/>
    <w:uiPriority w:val="99"/>
    <w:rPr>
      <w:szCs w:val="22"/>
    </w:rPr>
  </w:style>
  <w:style w:type="paragraph" w:customStyle="1" w:styleId="167">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168">
    <w:name w:val="Char Char Char Char Char Char Char Char Char Char Char Char1 Char1"/>
    <w:basedOn w:val="1"/>
    <w:qFormat/>
    <w:uiPriority w:val="6"/>
    <w:rPr>
      <w:rFonts w:ascii="Tahoma" w:hAnsi="Tahoma" w:cs="仿宋_GB2312"/>
      <w:sz w:val="24"/>
      <w:szCs w:val="20"/>
    </w:rPr>
  </w:style>
  <w:style w:type="paragraph" w:customStyle="1" w:styleId="169">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170">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171">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172">
    <w:name w:val="MM Topic 2"/>
    <w:basedOn w:val="4"/>
    <w:qFormat/>
    <w:uiPriority w:val="0"/>
    <w:pPr>
      <w:tabs>
        <w:tab w:val="left" w:pos="1260"/>
        <w:tab w:val="clear" w:pos="432"/>
      </w:tabs>
      <w:ind w:left="1260" w:hanging="420"/>
    </w:pPr>
    <w:rPr>
      <w:rFonts w:ascii="Arial" w:hAnsi="Arial" w:eastAsia="黑体"/>
      <w:lang w:val="en-US"/>
    </w:rPr>
  </w:style>
  <w:style w:type="paragraph" w:customStyle="1" w:styleId="173">
    <w:name w:val="五级无标题条"/>
    <w:basedOn w:val="1"/>
    <w:qFormat/>
    <w:uiPriority w:val="0"/>
    <w:pPr>
      <w:adjustRightInd/>
    </w:pPr>
  </w:style>
  <w:style w:type="paragraph" w:customStyle="1" w:styleId="174">
    <w:name w:val="Char5"/>
    <w:basedOn w:val="1"/>
    <w:qFormat/>
    <w:uiPriority w:val="0"/>
    <w:rPr>
      <w:rFonts w:ascii="仿宋_GB2312" w:eastAsia="仿宋_GB2312"/>
      <w:b/>
      <w:sz w:val="32"/>
      <w:szCs w:val="32"/>
    </w:rPr>
  </w:style>
  <w:style w:type="paragraph" w:customStyle="1" w:styleId="175">
    <w:name w:val="TOC 标题1"/>
    <w:basedOn w:val="3"/>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176">
    <w:name w:val="彩色列表 - 强调文字颜色 12"/>
    <w:basedOn w:val="1"/>
    <w:qFormat/>
    <w:uiPriority w:val="0"/>
    <w:pPr>
      <w:adjustRightInd/>
      <w:ind w:firstLine="420" w:firstLineChars="200"/>
    </w:pPr>
    <w:rPr>
      <w:rFonts w:ascii="Calibri" w:hAnsi="Calibri"/>
      <w:szCs w:val="22"/>
    </w:rPr>
  </w:style>
  <w:style w:type="paragraph" w:customStyle="1" w:styleId="177">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178">
    <w:name w:val="Char2"/>
    <w:basedOn w:val="1"/>
    <w:qFormat/>
    <w:uiPriority w:val="0"/>
    <w:rPr>
      <w:rFonts w:ascii="仿宋_GB2312" w:eastAsia="仿宋_GB2312"/>
      <w:b/>
      <w:sz w:val="32"/>
      <w:szCs w:val="32"/>
    </w:rPr>
  </w:style>
  <w:style w:type="paragraph" w:customStyle="1" w:styleId="179">
    <w:name w:val="数字标题3"/>
    <w:basedOn w:val="7"/>
    <w:next w:val="1"/>
    <w:qFormat/>
    <w:uiPriority w:val="0"/>
    <w:pPr>
      <w:spacing w:line="240" w:lineRule="auto"/>
    </w:pPr>
    <w:rPr>
      <w:sz w:val="28"/>
      <w:szCs w:val="28"/>
    </w:rPr>
  </w:style>
  <w:style w:type="paragraph" w:customStyle="1" w:styleId="180">
    <w:name w:val="FA正文"/>
    <w:basedOn w:val="1"/>
    <w:qFormat/>
    <w:uiPriority w:val="0"/>
    <w:pPr>
      <w:spacing w:line="360" w:lineRule="auto"/>
      <w:ind w:firstLine="480" w:firstLineChars="200"/>
    </w:pPr>
    <w:rPr>
      <w:rFonts w:hAnsi="宋体"/>
      <w:sz w:val="24"/>
      <w:szCs w:val="20"/>
    </w:rPr>
  </w:style>
  <w:style w:type="paragraph" w:customStyle="1" w:styleId="181">
    <w:name w:val="MM Topic 5"/>
    <w:basedOn w:val="9"/>
    <w:qFormat/>
    <w:uiPriority w:val="0"/>
    <w:pPr>
      <w:tabs>
        <w:tab w:val="left" w:pos="2520"/>
        <w:tab w:val="clear" w:pos="1008"/>
      </w:tabs>
      <w:adjustRightInd/>
      <w:ind w:left="2520" w:hanging="420"/>
    </w:pPr>
  </w:style>
  <w:style w:type="paragraph" w:customStyle="1" w:styleId="182">
    <w:name w:val="Char Char Char Char Char Char Char Char Char Char1"/>
    <w:basedOn w:val="1"/>
    <w:qFormat/>
    <w:uiPriority w:val="0"/>
    <w:rPr>
      <w:rFonts w:ascii="仿宋_GB2312" w:eastAsia="仿宋_GB2312"/>
      <w:b/>
      <w:sz w:val="32"/>
      <w:szCs w:val="32"/>
    </w:rPr>
  </w:style>
  <w:style w:type="paragraph" w:customStyle="1" w:styleId="183">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184">
    <w:name w:val="修订1"/>
    <w:qFormat/>
    <w:uiPriority w:val="3"/>
    <w:rPr>
      <w:rFonts w:ascii="Times New Roman" w:hAnsi="Times New Roman" w:eastAsia="宋体" w:cs="Times New Roman"/>
      <w:color w:val="000000"/>
      <w:kern w:val="1"/>
      <w:sz w:val="21"/>
      <w:lang w:val="en-US" w:eastAsia="zh-CN" w:bidi="ar-SA"/>
    </w:rPr>
  </w:style>
  <w:style w:type="paragraph" w:customStyle="1" w:styleId="185">
    <w:name w:val="Char2 Char Char Char"/>
    <w:basedOn w:val="1"/>
    <w:qFormat/>
    <w:uiPriority w:val="0"/>
    <w:rPr>
      <w:rFonts w:ascii="仿宋_GB2312" w:eastAsia="仿宋_GB2312"/>
      <w:b/>
      <w:sz w:val="32"/>
      <w:szCs w:val="32"/>
    </w:rPr>
  </w:style>
  <w:style w:type="paragraph" w:customStyle="1" w:styleId="186">
    <w:name w:val="Char2 Char Char Char1"/>
    <w:basedOn w:val="1"/>
    <w:qFormat/>
    <w:uiPriority w:val="6"/>
    <w:rPr>
      <w:rFonts w:ascii="仿宋_GB2312" w:eastAsia="仿宋_GB2312"/>
      <w:b/>
      <w:sz w:val="32"/>
      <w:szCs w:val="32"/>
    </w:rPr>
  </w:style>
  <w:style w:type="paragraph" w:customStyle="1" w:styleId="187">
    <w:name w:val="默认段落样式"/>
    <w:basedOn w:val="85"/>
    <w:qFormat/>
    <w:uiPriority w:val="0"/>
    <w:pPr>
      <w:spacing w:before="0"/>
      <w:ind w:firstLine="480"/>
      <w:outlineLvl w:val="2"/>
    </w:pPr>
    <w:rPr>
      <w:rFonts w:ascii="仿宋_GB2312" w:hAnsi="宋体" w:eastAsia="仿宋_GB2312"/>
      <w:color w:val="000000"/>
      <w:szCs w:val="24"/>
    </w:rPr>
  </w:style>
  <w:style w:type="paragraph" w:customStyle="1" w:styleId="188">
    <w:name w:val="图中文字"/>
    <w:basedOn w:val="1"/>
    <w:qFormat/>
    <w:uiPriority w:val="0"/>
    <w:pPr>
      <w:snapToGrid w:val="0"/>
      <w:spacing w:line="0" w:lineRule="atLeast"/>
      <w:ind w:firstLine="200" w:firstLineChars="200"/>
      <w:jc w:val="center"/>
    </w:pPr>
    <w:rPr>
      <w:sz w:val="24"/>
      <w:szCs w:val="20"/>
    </w:rPr>
  </w:style>
  <w:style w:type="paragraph" w:customStyle="1" w:styleId="189">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190">
    <w:name w:val="MM Topic 3"/>
    <w:basedOn w:val="7"/>
    <w:qFormat/>
    <w:uiPriority w:val="0"/>
    <w:pPr>
      <w:tabs>
        <w:tab w:val="left" w:pos="1680"/>
        <w:tab w:val="clear" w:pos="900"/>
      </w:tabs>
      <w:adjustRightInd/>
      <w:ind w:left="1680" w:hanging="420"/>
    </w:pPr>
  </w:style>
  <w:style w:type="paragraph" w:customStyle="1" w:styleId="191">
    <w:name w:val="标准小四"/>
    <w:basedOn w:val="1"/>
    <w:qFormat/>
    <w:uiPriority w:val="0"/>
    <w:pPr>
      <w:spacing w:line="360" w:lineRule="auto"/>
      <w:ind w:firstLine="480" w:firstLineChars="200"/>
    </w:pPr>
    <w:rPr>
      <w:rFonts w:ascii="Arial" w:hAnsi="Arial"/>
      <w:sz w:val="24"/>
      <w:szCs w:val="21"/>
    </w:rPr>
  </w:style>
  <w:style w:type="paragraph" w:customStyle="1" w:styleId="192">
    <w:name w:val="样式 标题 2H2h2Underrubrik1prop2l2Chapter Titlesect 1.2DO NO..."/>
    <w:basedOn w:val="4"/>
    <w:qFormat/>
    <w:uiPriority w:val="0"/>
    <w:pPr>
      <w:spacing w:before="120" w:after="120"/>
      <w:ind w:left="425" w:hanging="425"/>
    </w:pPr>
    <w:rPr>
      <w:rFonts w:ascii="微软雅黑" w:hAnsi="微软雅黑" w:eastAsia="微软雅黑" w:cs="宋体"/>
      <w:szCs w:val="20"/>
      <w:lang w:val="en-US"/>
    </w:rPr>
  </w:style>
  <w:style w:type="paragraph" w:customStyle="1" w:styleId="193">
    <w:name w:val="表格（小）"/>
    <w:basedOn w:val="1"/>
    <w:qFormat/>
    <w:uiPriority w:val="0"/>
    <w:pPr>
      <w:adjustRightInd/>
      <w:snapToGrid w:val="0"/>
      <w:spacing w:line="300" w:lineRule="auto"/>
    </w:pPr>
    <w:rPr>
      <w:rFonts w:eastAsia="仿宋"/>
      <w:szCs w:val="21"/>
    </w:rPr>
  </w:style>
  <w:style w:type="paragraph" w:customStyle="1" w:styleId="194">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195">
    <w:name w:val="Char2 Char Char1"/>
    <w:basedOn w:val="1"/>
    <w:qFormat/>
    <w:uiPriority w:val="6"/>
    <w:pPr>
      <w:adjustRightInd/>
    </w:pPr>
    <w:rPr>
      <w:rFonts w:ascii="Tahoma" w:hAnsi="Tahoma"/>
      <w:sz w:val="24"/>
      <w:szCs w:val="20"/>
    </w:rPr>
  </w:style>
  <w:style w:type="paragraph" w:customStyle="1" w:styleId="196">
    <w:name w:val="列出段落5"/>
    <w:basedOn w:val="1"/>
    <w:qFormat/>
    <w:uiPriority w:val="0"/>
    <w:pPr>
      <w:spacing w:line="360" w:lineRule="auto"/>
      <w:ind w:firstLine="200" w:firstLineChars="200"/>
    </w:pPr>
    <w:rPr>
      <w:rFonts w:eastAsia="楷体_GB2312" w:cs="Lucida Sans"/>
      <w:sz w:val="24"/>
    </w:rPr>
  </w:style>
  <w:style w:type="paragraph" w:customStyle="1" w:styleId="197">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198">
    <w:name w:val="表格文字"/>
    <w:basedOn w:val="1"/>
    <w:next w:val="5"/>
    <w:qFormat/>
    <w:uiPriority w:val="0"/>
    <w:pPr>
      <w:adjustRightInd/>
      <w:ind w:firstLine="200" w:firstLineChars="200"/>
    </w:pPr>
    <w:rPr>
      <w:rFonts w:ascii="Arial" w:hAnsi="Arial"/>
      <w:spacing w:val="-5"/>
      <w:kern w:val="0"/>
      <w:sz w:val="24"/>
      <w:szCs w:val="20"/>
    </w:rPr>
  </w:style>
  <w:style w:type="paragraph" w:customStyle="1" w:styleId="199">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200">
    <w:name w:val="TOC 标题111"/>
    <w:basedOn w:val="3"/>
    <w:next w:val="1"/>
    <w:unhideWhenUsed/>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201">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202">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203">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204">
    <w:name w:val="_Style 3"/>
    <w:basedOn w:val="1"/>
    <w:qFormat/>
    <w:uiPriority w:val="0"/>
    <w:pPr>
      <w:adjustRightInd/>
      <w:ind w:firstLine="420" w:firstLineChars="200"/>
    </w:pPr>
    <w:rPr>
      <w:rFonts w:eastAsia="仿宋_GB2312"/>
      <w:sz w:val="28"/>
    </w:rPr>
  </w:style>
  <w:style w:type="paragraph" w:customStyle="1" w:styleId="205">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206">
    <w:name w:val="Bulleting First Indent 1"/>
    <w:basedOn w:val="60"/>
    <w:qFormat/>
    <w:uiPriority w:val="0"/>
    <w:pPr>
      <w:tabs>
        <w:tab w:val="left" w:pos="840"/>
      </w:tabs>
      <w:adjustRightInd/>
      <w:spacing w:before="20" w:after="20" w:line="300" w:lineRule="auto"/>
      <w:ind w:left="840" w:hanging="420"/>
    </w:pPr>
    <w:rPr>
      <w:rFonts w:ascii="Tahoma" w:hAnsi="Tahoma"/>
      <w:kern w:val="0"/>
      <w:sz w:val="21"/>
      <w:szCs w:val="21"/>
      <w:lang w:val="en-US"/>
    </w:rPr>
  </w:style>
  <w:style w:type="paragraph" w:customStyle="1" w:styleId="207">
    <w:name w:val="左对齐表格文字"/>
    <w:basedOn w:val="1"/>
    <w:qFormat/>
    <w:uiPriority w:val="0"/>
    <w:pPr>
      <w:adjustRightInd/>
      <w:ind w:firstLine="200" w:firstLineChars="200"/>
      <w:jc w:val="right"/>
    </w:pPr>
  </w:style>
  <w:style w:type="paragraph" w:customStyle="1" w:styleId="208">
    <w:name w:val="Char Char11 Char Char Char Char Char Char Char Char Char"/>
    <w:basedOn w:val="1"/>
    <w:qFormat/>
    <w:uiPriority w:val="0"/>
    <w:pPr>
      <w:spacing w:line="360" w:lineRule="auto"/>
    </w:pPr>
    <w:rPr>
      <w:szCs w:val="20"/>
    </w:rPr>
  </w:style>
  <w:style w:type="paragraph" w:customStyle="1" w:styleId="209">
    <w:name w:val="正文1.25"/>
    <w:basedOn w:val="1"/>
    <w:qFormat/>
    <w:uiPriority w:val="0"/>
    <w:pPr>
      <w:adjustRightInd/>
      <w:spacing w:line="300" w:lineRule="auto"/>
      <w:ind w:firstLine="480" w:firstLineChars="200"/>
    </w:pPr>
    <w:rPr>
      <w:sz w:val="24"/>
      <w:szCs w:val="20"/>
    </w:rPr>
  </w:style>
  <w:style w:type="paragraph" w:customStyle="1" w:styleId="210">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211">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212">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213">
    <w:name w:val="Char Char1 Char Char Char1"/>
    <w:basedOn w:val="1"/>
    <w:qFormat/>
    <w:uiPriority w:val="6"/>
    <w:rPr>
      <w:rFonts w:ascii="仿宋_GB2312" w:eastAsia="仿宋_GB2312"/>
      <w:b/>
      <w:sz w:val="32"/>
      <w:szCs w:val="20"/>
    </w:rPr>
  </w:style>
  <w:style w:type="paragraph" w:customStyle="1" w:styleId="214">
    <w:name w:val="列出段落2"/>
    <w:basedOn w:val="1"/>
    <w:qFormat/>
    <w:uiPriority w:val="0"/>
    <w:pPr>
      <w:adjustRightInd/>
      <w:ind w:firstLine="420" w:firstLineChars="200"/>
    </w:pPr>
    <w:rPr>
      <w:rFonts w:ascii="宋体" w:hAnsi="宋体"/>
      <w:sz w:val="24"/>
    </w:rPr>
  </w:style>
  <w:style w:type="paragraph" w:customStyle="1" w:styleId="215">
    <w:name w:val="默认段落字体 Para Char Char Char Char Char Char Char"/>
    <w:basedOn w:val="1"/>
    <w:qFormat/>
    <w:uiPriority w:val="0"/>
    <w:rPr>
      <w:rFonts w:eastAsia="仿宋_GB2312"/>
      <w:sz w:val="28"/>
      <w:szCs w:val="20"/>
    </w:rPr>
  </w:style>
  <w:style w:type="paragraph" w:customStyle="1" w:styleId="216">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217">
    <w:name w:val="样式 标题 4PIM 4H4h4bulletblbbH41H42H43H44H45H46H47H48...1"/>
    <w:basedOn w:val="8"/>
    <w:qFormat/>
    <w:uiPriority w:val="0"/>
    <w:pPr>
      <w:widowControl/>
      <w:jc w:val="left"/>
    </w:pPr>
    <w:rPr>
      <w:rFonts w:cs="宋体"/>
      <w:sz w:val="24"/>
      <w:szCs w:val="20"/>
    </w:rPr>
  </w:style>
  <w:style w:type="paragraph" w:customStyle="1" w:styleId="218">
    <w:name w:val="彩色列表 - 强调文字颜色 11"/>
    <w:basedOn w:val="1"/>
    <w:qFormat/>
    <w:uiPriority w:val="0"/>
    <w:pPr>
      <w:adjustRightInd/>
      <w:ind w:firstLine="420" w:firstLineChars="200"/>
    </w:pPr>
    <w:rPr>
      <w:rFonts w:ascii="Calibri" w:hAnsi="Calibri"/>
      <w:szCs w:val="22"/>
    </w:rPr>
  </w:style>
  <w:style w:type="paragraph" w:customStyle="1" w:styleId="219">
    <w:name w:val="加粗正文"/>
    <w:basedOn w:val="1"/>
    <w:qFormat/>
    <w:uiPriority w:val="0"/>
    <w:pPr>
      <w:adjustRightInd/>
      <w:spacing w:before="156" w:beforeLines="50" w:after="156" w:afterLines="50" w:line="360" w:lineRule="auto"/>
      <w:ind w:firstLine="422" w:firstLineChars="200"/>
    </w:pPr>
    <w:rPr>
      <w:b/>
      <w:bCs/>
      <w:szCs w:val="21"/>
    </w:rPr>
  </w:style>
  <w:style w:type="paragraph" w:customStyle="1" w:styleId="220">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221">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222">
    <w:name w:val="Char Char Char1 Char1"/>
    <w:basedOn w:val="1"/>
    <w:qFormat/>
    <w:uiPriority w:val="6"/>
    <w:rPr>
      <w:szCs w:val="20"/>
    </w:rPr>
  </w:style>
  <w:style w:type="paragraph" w:customStyle="1" w:styleId="223">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224">
    <w:name w:val="样式 标题 2 + 宋体 左侧:  1.76 厘米 首行缩进:  0 厘米"/>
    <w:basedOn w:val="4"/>
    <w:qFormat/>
    <w:uiPriority w:val="0"/>
    <w:pPr>
      <w:tabs>
        <w:tab w:val="left" w:pos="0"/>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225">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226">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227">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228">
    <w:name w:val="CM14"/>
    <w:basedOn w:val="96"/>
    <w:next w:val="96"/>
    <w:qFormat/>
    <w:uiPriority w:val="0"/>
    <w:pPr>
      <w:spacing w:after="68"/>
    </w:pPr>
    <w:rPr>
      <w:rFonts w:ascii="FHLHE E+ Futura Bk" w:eastAsia="FHLHE E+ Futura Bk" w:cs="Times New Roman"/>
      <w:color w:val="auto"/>
    </w:rPr>
  </w:style>
  <w:style w:type="paragraph" w:customStyle="1" w:styleId="229">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230">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231">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232">
    <w:name w:val="正文文字 2"/>
    <w:basedOn w:val="96"/>
    <w:next w:val="96"/>
    <w:qFormat/>
    <w:uiPriority w:val="0"/>
    <w:rPr>
      <w:rFonts w:ascii="宋体" w:eastAsia="宋体" w:cs="Times New Roman"/>
      <w:color w:val="auto"/>
    </w:rPr>
  </w:style>
  <w:style w:type="paragraph" w:customStyle="1" w:styleId="233">
    <w:name w:val="正文首行缩进两字"/>
    <w:qFormat/>
    <w:uiPriority w:val="0"/>
    <w:pPr>
      <w:spacing w:after="156"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234">
    <w:name w:val="Char Char1 Char"/>
    <w:basedOn w:val="1"/>
    <w:qFormat/>
    <w:uiPriority w:val="0"/>
    <w:rPr>
      <w:rFonts w:ascii="仿宋_GB2312" w:eastAsia="仿宋_GB2312"/>
      <w:b/>
      <w:sz w:val="32"/>
      <w:szCs w:val="32"/>
    </w:rPr>
  </w:style>
  <w:style w:type="paragraph" w:customStyle="1" w:styleId="235">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236">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237">
    <w:name w:val="Char Char111"/>
    <w:basedOn w:val="1"/>
    <w:qFormat/>
    <w:uiPriority w:val="0"/>
    <w:pPr>
      <w:spacing w:line="360" w:lineRule="auto"/>
    </w:pPr>
    <w:rPr>
      <w:szCs w:val="20"/>
    </w:rPr>
  </w:style>
  <w:style w:type="paragraph" w:customStyle="1" w:styleId="238">
    <w:name w:val="Char"/>
    <w:basedOn w:val="1"/>
    <w:qFormat/>
    <w:uiPriority w:val="0"/>
    <w:rPr>
      <w:rFonts w:ascii="仿宋_GB2312" w:eastAsia="仿宋_GB2312"/>
      <w:b/>
      <w:sz w:val="32"/>
      <w:szCs w:val="32"/>
    </w:rPr>
  </w:style>
  <w:style w:type="paragraph" w:customStyle="1" w:styleId="239">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eastAsia="en-US"/>
    </w:rPr>
  </w:style>
  <w:style w:type="paragraph" w:customStyle="1" w:styleId="240">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241">
    <w:name w:val="Char Char Char1 Char"/>
    <w:basedOn w:val="1"/>
    <w:qFormat/>
    <w:uiPriority w:val="0"/>
    <w:rPr>
      <w:szCs w:val="20"/>
    </w:rPr>
  </w:style>
  <w:style w:type="paragraph" w:customStyle="1" w:styleId="242">
    <w:name w:val="正文标准"/>
    <w:basedOn w:val="1"/>
    <w:qFormat/>
    <w:uiPriority w:val="0"/>
    <w:pPr>
      <w:adjustRightInd/>
      <w:spacing w:line="360" w:lineRule="auto"/>
      <w:ind w:firstLine="200" w:firstLineChars="200"/>
    </w:pPr>
    <w:rPr>
      <w:rFonts w:ascii="宋体" w:hAnsi="Calibri"/>
      <w:sz w:val="24"/>
    </w:rPr>
  </w:style>
  <w:style w:type="paragraph" w:customStyle="1" w:styleId="243">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244">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245">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246">
    <w:name w:val="规范正文"/>
    <w:basedOn w:val="1"/>
    <w:qFormat/>
    <w:uiPriority w:val="0"/>
    <w:pPr>
      <w:tabs>
        <w:tab w:val="left" w:pos="840"/>
      </w:tabs>
      <w:spacing w:before="156" w:beforeLines="50" w:line="360" w:lineRule="auto"/>
      <w:ind w:left="840" w:hanging="420"/>
      <w:textAlignment w:val="baseline"/>
    </w:pPr>
    <w:rPr>
      <w:szCs w:val="20"/>
    </w:rPr>
  </w:style>
  <w:style w:type="paragraph" w:customStyle="1" w:styleId="247">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248">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249">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250">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251">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252">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253">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254">
    <w:name w:val="标准有序列表（L1）"/>
    <w:basedOn w:val="5"/>
    <w:qFormat/>
    <w:uiPriority w:val="0"/>
    <w:pPr>
      <w:widowControl w:val="0"/>
      <w:tabs>
        <w:tab w:val="left" w:pos="0"/>
        <w:tab w:val="left" w:pos="992"/>
      </w:tabs>
      <w:adjustRightInd/>
      <w:snapToGrid/>
      <w:spacing w:line="360" w:lineRule="auto"/>
      <w:ind w:firstLine="0"/>
    </w:pPr>
    <w:rPr>
      <w:rFonts w:ascii="黑体" w:eastAsia="黑体"/>
      <w:kern w:val="2"/>
      <w:sz w:val="24"/>
    </w:rPr>
  </w:style>
  <w:style w:type="paragraph" w:customStyle="1" w:styleId="255">
    <w:name w:val="Char Char Char Char Char Char Char Char Char Char"/>
    <w:basedOn w:val="1"/>
    <w:qFormat/>
    <w:uiPriority w:val="0"/>
    <w:rPr>
      <w:rFonts w:ascii="仿宋_GB2312" w:eastAsia="仿宋_GB2312"/>
      <w:b/>
      <w:sz w:val="32"/>
      <w:szCs w:val="32"/>
    </w:rPr>
  </w:style>
  <w:style w:type="paragraph" w:customStyle="1" w:styleId="256">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257">
    <w:name w:val="_正文段落"/>
    <w:basedOn w:val="1"/>
    <w:qFormat/>
    <w:uiPriority w:val="0"/>
    <w:pPr>
      <w:adjustRightInd/>
      <w:ind w:firstLine="560"/>
    </w:pPr>
    <w:rPr>
      <w:rFonts w:ascii="仿宋_GB2312" w:hAnsi="仿宋" w:eastAsia="仿宋_GB2312"/>
      <w:kern w:val="0"/>
      <w:sz w:val="28"/>
      <w:szCs w:val="28"/>
    </w:rPr>
  </w:style>
  <w:style w:type="paragraph" w:customStyle="1" w:styleId="258">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259">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260">
    <w:name w:val="正文（首行缩进）"/>
    <w:basedOn w:val="6"/>
    <w:qFormat/>
    <w:uiPriority w:val="0"/>
    <w:pPr>
      <w:widowControl/>
      <w:tabs>
        <w:tab w:val="left" w:pos="840"/>
      </w:tabs>
      <w:overflowPunct w:val="0"/>
      <w:autoSpaceDE w:val="0"/>
      <w:autoSpaceDN w:val="0"/>
      <w:spacing w:before="156"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261">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262">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263">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264">
    <w:name w:val="Char Char Char1 Char2"/>
    <w:basedOn w:val="1"/>
    <w:qFormat/>
    <w:uiPriority w:val="0"/>
    <w:rPr>
      <w:szCs w:val="20"/>
    </w:rPr>
  </w:style>
  <w:style w:type="paragraph" w:customStyle="1" w:styleId="265">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266">
    <w:name w:val="默认段落字体 Para Char"/>
    <w:basedOn w:val="1"/>
    <w:qFormat/>
    <w:uiPriority w:val="0"/>
    <w:rPr>
      <w:rFonts w:ascii="Tahoma" w:hAnsi="Tahoma"/>
      <w:sz w:val="24"/>
      <w:szCs w:val="20"/>
    </w:rPr>
  </w:style>
  <w:style w:type="paragraph" w:customStyle="1" w:styleId="267">
    <w:name w:val="标题五"/>
    <w:basedOn w:val="1"/>
    <w:qFormat/>
    <w:uiPriority w:val="0"/>
    <w:pPr>
      <w:adjustRightInd/>
      <w:spacing w:before="156" w:beforeLines="50" w:line="360" w:lineRule="auto"/>
    </w:pPr>
    <w:rPr>
      <w:b/>
      <w:sz w:val="24"/>
    </w:rPr>
  </w:style>
  <w:style w:type="paragraph" w:customStyle="1" w:styleId="268">
    <w:name w:val="Char Char1101"/>
    <w:basedOn w:val="1"/>
    <w:qFormat/>
    <w:uiPriority w:val="0"/>
    <w:pPr>
      <w:spacing w:line="360" w:lineRule="auto"/>
    </w:pPr>
    <w:rPr>
      <w:rFonts w:ascii="Tahoma" w:hAnsi="Tahoma"/>
      <w:sz w:val="24"/>
      <w:szCs w:val="20"/>
    </w:rPr>
  </w:style>
  <w:style w:type="paragraph" w:customStyle="1" w:styleId="269">
    <w:name w:val="Char Char Char Char Char Char Char Char1"/>
    <w:basedOn w:val="1"/>
    <w:qFormat/>
    <w:uiPriority w:val="0"/>
    <w:pPr>
      <w:tabs>
        <w:tab w:val="left" w:pos="360"/>
      </w:tabs>
    </w:pPr>
    <w:rPr>
      <w:sz w:val="24"/>
      <w:szCs w:val="20"/>
    </w:rPr>
  </w:style>
  <w:style w:type="paragraph" w:customStyle="1" w:styleId="270">
    <w:name w:val="Char Char Char 字元 字元"/>
    <w:basedOn w:val="1"/>
    <w:qFormat/>
    <w:uiPriority w:val="0"/>
    <w:pPr>
      <w:adjustRightInd/>
      <w:spacing w:line="360" w:lineRule="auto"/>
      <w:ind w:firstLine="200" w:firstLineChars="200"/>
    </w:pPr>
    <w:rPr>
      <w:szCs w:val="20"/>
    </w:rPr>
  </w:style>
  <w:style w:type="paragraph" w:customStyle="1" w:styleId="271">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272">
    <w:name w:val="Char Char Char Char Char Char Char"/>
    <w:basedOn w:val="1"/>
    <w:qFormat/>
    <w:uiPriority w:val="0"/>
    <w:rPr>
      <w:rFonts w:ascii="仿宋_GB2312" w:eastAsia="仿宋_GB2312"/>
      <w:b/>
      <w:sz w:val="32"/>
      <w:szCs w:val="32"/>
    </w:rPr>
  </w:style>
  <w:style w:type="paragraph" w:customStyle="1" w:styleId="273">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274">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275">
    <w:name w:val="样式 标题 22h2L1 Heading 2H2sect 1.2H21sect 1.21H22sect 1.2..."/>
    <w:basedOn w:val="4"/>
    <w:next w:val="1"/>
    <w:qFormat/>
    <w:uiPriority w:val="0"/>
    <w:pPr>
      <w:tabs>
        <w:tab w:val="left" w:pos="425"/>
        <w:tab w:val="clear" w:pos="432"/>
      </w:tabs>
      <w:spacing w:before="260" w:after="260" w:line="415" w:lineRule="auto"/>
      <w:ind w:left="425" w:hanging="425"/>
    </w:pPr>
    <w:rPr>
      <w:rFonts w:ascii="微软雅黑" w:hAnsi="微软雅黑" w:eastAsia="微软雅黑"/>
      <w:lang w:val="en-US"/>
    </w:rPr>
  </w:style>
  <w:style w:type="paragraph" w:customStyle="1" w:styleId="276">
    <w:name w:val="样式6"/>
    <w:basedOn w:val="33"/>
    <w:qFormat/>
    <w:uiPriority w:val="0"/>
    <w:pPr>
      <w:spacing w:line="460" w:lineRule="exact"/>
      <w:outlineLvl w:val="2"/>
    </w:pPr>
    <w:rPr>
      <w:rFonts w:ascii="仿宋_GB2312" w:hAnsi="宋体" w:eastAsia="仿宋_GB2312"/>
      <w:b/>
      <w:bCs/>
      <w:sz w:val="24"/>
      <w:szCs w:val="24"/>
    </w:rPr>
  </w:style>
  <w:style w:type="paragraph" w:customStyle="1" w:styleId="277">
    <w:name w:val="批注框文本 Char Char"/>
    <w:basedOn w:val="1"/>
    <w:qFormat/>
    <w:uiPriority w:val="0"/>
    <w:pPr>
      <w:adjustRightInd/>
    </w:pPr>
    <w:rPr>
      <w:sz w:val="18"/>
      <w:szCs w:val="20"/>
    </w:rPr>
  </w:style>
  <w:style w:type="paragraph" w:customStyle="1" w:styleId="278">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279">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280">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281">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val="none" w:color="000000"/>
      <w:lang w:val="en-US" w:eastAsia="zh-CN" w:bidi="ar-SA"/>
    </w:rPr>
  </w:style>
  <w:style w:type="paragraph" w:customStyle="1" w:styleId="282">
    <w:name w:val="索引 11"/>
    <w:basedOn w:val="1"/>
    <w:next w:val="1"/>
    <w:qFormat/>
    <w:uiPriority w:val="99"/>
    <w:pPr>
      <w:adjustRightInd/>
      <w:spacing w:line="360" w:lineRule="auto"/>
    </w:pPr>
    <w:rPr>
      <w:rFonts w:ascii="仿宋_GB2312" w:eastAsia="仿宋_GB2312"/>
      <w:sz w:val="24"/>
      <w:szCs w:val="20"/>
    </w:rPr>
  </w:style>
  <w:style w:type="paragraph" w:customStyle="1" w:styleId="283">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284">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285">
    <w:name w:val="正文文字缩进项目"/>
    <w:basedOn w:val="6"/>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286">
    <w:name w:val="文档正文"/>
    <w:basedOn w:val="1"/>
    <w:qFormat/>
    <w:uiPriority w:val="0"/>
    <w:pPr>
      <w:spacing w:line="480" w:lineRule="atLeast"/>
      <w:ind w:firstLine="567"/>
      <w:textAlignment w:val="baseline"/>
    </w:pPr>
    <w:rPr>
      <w:kern w:val="0"/>
      <w:sz w:val="24"/>
      <w:szCs w:val="20"/>
    </w:rPr>
  </w:style>
  <w:style w:type="paragraph" w:customStyle="1" w:styleId="287">
    <w:name w:val="正文文字表格居中"/>
    <w:basedOn w:val="1"/>
    <w:next w:val="55"/>
    <w:qFormat/>
    <w:uiPriority w:val="0"/>
    <w:pPr>
      <w:snapToGrid w:val="0"/>
      <w:spacing w:line="360" w:lineRule="auto"/>
    </w:pPr>
    <w:rPr>
      <w:rFonts w:ascii="宋体"/>
      <w:b/>
      <w:sz w:val="24"/>
      <w:szCs w:val="20"/>
    </w:rPr>
  </w:style>
  <w:style w:type="paragraph" w:customStyle="1" w:styleId="288">
    <w:name w:val="规划正文"/>
    <w:basedOn w:val="1"/>
    <w:qFormat/>
    <w:uiPriority w:val="0"/>
    <w:pPr>
      <w:adjustRightInd/>
      <w:spacing w:before="312" w:beforeLines="100" w:line="360" w:lineRule="auto"/>
      <w:jc w:val="left"/>
    </w:pPr>
    <w:rPr>
      <w:rFonts w:ascii="Arial" w:hAnsi="Arial" w:eastAsia="仿宋_GB2312"/>
      <w:bCs/>
      <w:sz w:val="28"/>
    </w:rPr>
  </w:style>
  <w:style w:type="paragraph" w:customStyle="1" w:styleId="289">
    <w:name w:val="小节"/>
    <w:basedOn w:val="7"/>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290">
    <w:name w:val="Plain Text1"/>
    <w:basedOn w:val="1"/>
    <w:qFormat/>
    <w:uiPriority w:val="7"/>
    <w:pPr>
      <w:adjustRightInd/>
    </w:pPr>
    <w:rPr>
      <w:rFonts w:ascii="宋体" w:hAnsi="Courier New"/>
    </w:rPr>
  </w:style>
  <w:style w:type="paragraph" w:customStyle="1" w:styleId="291">
    <w:name w:val="Char3"/>
    <w:basedOn w:val="1"/>
    <w:qFormat/>
    <w:uiPriority w:val="0"/>
    <w:pPr>
      <w:adjustRightInd/>
    </w:pPr>
    <w:rPr>
      <w:rFonts w:ascii="仿宋_GB2312" w:eastAsia="仿宋_GB2312"/>
      <w:b/>
      <w:sz w:val="32"/>
      <w:szCs w:val="32"/>
    </w:rPr>
  </w:style>
  <w:style w:type="paragraph" w:customStyle="1" w:styleId="292">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293">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294">
    <w:name w:val="标题2"/>
    <w:basedOn w:val="4"/>
    <w:next w:val="1"/>
    <w:qFormat/>
    <w:uiPriority w:val="0"/>
    <w:pPr>
      <w:tabs>
        <w:tab w:val="left" w:pos="578"/>
        <w:tab w:val="left" w:pos="900"/>
        <w:tab w:val="left" w:pos="1440"/>
        <w:tab w:val="clear" w:pos="432"/>
      </w:tabs>
      <w:ind w:left="1440" w:hanging="360"/>
    </w:pPr>
    <w:rPr>
      <w:rFonts w:ascii="仿宋" w:eastAsia="仿宋" w:cs="宋体"/>
      <w:bCs w:val="0"/>
      <w:szCs w:val="28"/>
    </w:rPr>
  </w:style>
  <w:style w:type="paragraph" w:customStyle="1" w:styleId="295">
    <w:name w:val="List Paragraph1"/>
    <w:basedOn w:val="1"/>
    <w:qFormat/>
    <w:uiPriority w:val="0"/>
    <w:pPr>
      <w:spacing w:line="360" w:lineRule="auto"/>
      <w:ind w:firstLine="200" w:firstLineChars="200"/>
    </w:pPr>
    <w:rPr>
      <w:rFonts w:eastAsia="楷体_GB2312" w:cs="Lucida Sans"/>
      <w:sz w:val="24"/>
    </w:rPr>
  </w:style>
  <w:style w:type="paragraph" w:customStyle="1" w:styleId="296">
    <w:name w:val="样式 标题 3标题 3 Char第二层条h33Bold Headbh章标题1小标题level_3PIM 3..."/>
    <w:basedOn w:val="7"/>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297">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298">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299">
    <w:name w:val="Char3 Char Char Char"/>
    <w:basedOn w:val="1"/>
    <w:qFormat/>
    <w:uiPriority w:val="0"/>
    <w:pPr>
      <w:widowControl/>
      <w:adjustRightInd/>
      <w:spacing w:after="160" w:line="240" w:lineRule="exact"/>
      <w:jc w:val="left"/>
    </w:pPr>
    <w:rPr>
      <w:szCs w:val="20"/>
    </w:rPr>
  </w:style>
  <w:style w:type="paragraph" w:customStyle="1" w:styleId="300">
    <w:name w:val="表格标题2"/>
    <w:basedOn w:val="301"/>
    <w:qFormat/>
    <w:uiPriority w:val="0"/>
    <w:rPr>
      <w:b/>
    </w:rPr>
  </w:style>
  <w:style w:type="paragraph" w:customStyle="1" w:styleId="301">
    <w:name w:val="表格内文"/>
    <w:basedOn w:val="1"/>
    <w:qFormat/>
    <w:uiPriority w:val="0"/>
    <w:pPr>
      <w:adjustRightInd/>
      <w:spacing w:line="360" w:lineRule="auto"/>
    </w:pPr>
    <w:rPr>
      <w:rFonts w:ascii="宋体" w:hAnsi="宋体" w:cs="宋体"/>
      <w:color w:val="000000"/>
      <w:szCs w:val="20"/>
    </w:rPr>
  </w:style>
  <w:style w:type="paragraph" w:customStyle="1" w:styleId="302">
    <w:name w:val="Char Char Char Char Char Char Char Char Char Char2"/>
    <w:basedOn w:val="1"/>
    <w:qFormat/>
    <w:uiPriority w:val="0"/>
    <w:rPr>
      <w:rFonts w:ascii="仿宋_GB2312" w:eastAsia="仿宋_GB2312"/>
      <w:b/>
      <w:sz w:val="32"/>
      <w:szCs w:val="32"/>
    </w:rPr>
  </w:style>
  <w:style w:type="paragraph" w:customStyle="1" w:styleId="303">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304">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305">
    <w:name w:val="Char Char11 Char Char Char Char Char Char Char Char Char11"/>
    <w:basedOn w:val="1"/>
    <w:qFormat/>
    <w:uiPriority w:val="0"/>
    <w:pPr>
      <w:spacing w:line="360" w:lineRule="auto"/>
    </w:pPr>
    <w:rPr>
      <w:szCs w:val="20"/>
    </w:rPr>
  </w:style>
  <w:style w:type="paragraph" w:customStyle="1" w:styleId="306">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307">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308">
    <w:name w:val="MM Topic 1"/>
    <w:basedOn w:val="3"/>
    <w:qFormat/>
    <w:uiPriority w:val="0"/>
    <w:pPr>
      <w:tabs>
        <w:tab w:val="left" w:pos="840"/>
        <w:tab w:val="clear" w:pos="432"/>
      </w:tabs>
      <w:adjustRightInd/>
      <w:ind w:left="840" w:hanging="420"/>
    </w:pPr>
  </w:style>
  <w:style w:type="paragraph" w:customStyle="1" w:styleId="309">
    <w:name w:val="样式 标题 2标题2H2Heading 2 HiddenHeading 2 CCBSheading 22nd lev..."/>
    <w:basedOn w:val="4"/>
    <w:qFormat/>
    <w:uiPriority w:val="0"/>
    <w:pPr>
      <w:widowControl/>
      <w:spacing w:before="260" w:after="260" w:line="416" w:lineRule="auto"/>
      <w:ind w:left="0" w:firstLine="0"/>
    </w:pPr>
    <w:rPr>
      <w:rFonts w:ascii="Arial" w:hAnsi="Arial" w:eastAsia="黑体"/>
      <w:sz w:val="30"/>
      <w:szCs w:val="21"/>
    </w:rPr>
  </w:style>
  <w:style w:type="paragraph" w:customStyle="1" w:styleId="310">
    <w:name w:val="文本正文 Char"/>
    <w:basedOn w:val="1"/>
    <w:qFormat/>
    <w:uiPriority w:val="0"/>
    <w:pPr>
      <w:spacing w:line="360" w:lineRule="auto"/>
      <w:ind w:firstLine="200" w:firstLineChars="200"/>
    </w:pPr>
    <w:rPr>
      <w:kern w:val="0"/>
      <w:sz w:val="24"/>
      <w:szCs w:val="20"/>
    </w:rPr>
  </w:style>
  <w:style w:type="paragraph" w:customStyle="1" w:styleId="311">
    <w:name w:val="表格"/>
    <w:basedOn w:val="1"/>
    <w:qFormat/>
    <w:uiPriority w:val="0"/>
    <w:pPr>
      <w:snapToGrid w:val="0"/>
      <w:ind w:firstLine="42" w:firstLineChars="21"/>
    </w:pPr>
    <w:rPr>
      <w:rFonts w:ascii="宋体" w:hAnsi="宋体"/>
      <w:kern w:val="0"/>
      <w:sz w:val="20"/>
      <w:szCs w:val="20"/>
    </w:rPr>
  </w:style>
  <w:style w:type="paragraph" w:customStyle="1" w:styleId="312">
    <w:name w:val="标书标题4"/>
    <w:basedOn w:val="8"/>
    <w:qFormat/>
    <w:uiPriority w:val="0"/>
    <w:pPr>
      <w:snapToGrid w:val="0"/>
      <w:spacing w:before="0" w:after="0" w:line="300" w:lineRule="auto"/>
    </w:pPr>
    <w:rPr>
      <w:rFonts w:ascii="Arial Narrow" w:hAnsi="Arial Narrow" w:eastAsia="仿宋_GB2312"/>
      <w:bCs w:val="0"/>
      <w:color w:val="000000"/>
      <w:kern w:val="0"/>
      <w:szCs w:val="32"/>
      <w:lang w:val="en-US"/>
    </w:rPr>
  </w:style>
  <w:style w:type="paragraph" w:customStyle="1" w:styleId="313">
    <w:name w:val="插图题注"/>
    <w:next w:val="1"/>
    <w:qFormat/>
    <w:uiPriority w:val="0"/>
    <w:pPr>
      <w:tabs>
        <w:tab w:val="left" w:pos="3780"/>
      </w:tabs>
      <w:spacing w:after="312" w:afterLines="100"/>
      <w:ind w:left="1089" w:hanging="369"/>
      <w:jc w:val="center"/>
    </w:pPr>
    <w:rPr>
      <w:rFonts w:ascii="Arial" w:hAnsi="Arial" w:eastAsia="宋体" w:cs="Times New Roman"/>
      <w:sz w:val="18"/>
      <w:szCs w:val="18"/>
      <w:lang w:val="en-US" w:eastAsia="zh-CN" w:bidi="ar-SA"/>
    </w:rPr>
  </w:style>
  <w:style w:type="paragraph" w:customStyle="1" w:styleId="314">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315">
    <w:name w:val="表格项目符号 2"/>
    <w:basedOn w:val="29"/>
    <w:qFormat/>
    <w:uiPriority w:val="0"/>
    <w:pPr>
      <w:tabs>
        <w:tab w:val="left" w:pos="624"/>
      </w:tabs>
      <w:adjustRightInd/>
      <w:snapToGrid w:val="0"/>
      <w:spacing w:line="300" w:lineRule="auto"/>
      <w:ind w:left="623" w:hanging="374"/>
      <w:jc w:val="both"/>
    </w:pPr>
    <w:rPr>
      <w:rFonts w:ascii="Times New Roman" w:hAnsi="Times New Roman"/>
      <w:color w:val="auto"/>
      <w:kern w:val="2"/>
      <w:sz w:val="21"/>
      <w:szCs w:val="24"/>
    </w:rPr>
  </w:style>
  <w:style w:type="paragraph" w:customStyle="1" w:styleId="316">
    <w:name w:val="EB_表格"/>
    <w:basedOn w:val="1"/>
    <w:qFormat/>
    <w:uiPriority w:val="0"/>
    <w:pPr>
      <w:adjustRightInd/>
      <w:spacing w:line="300" w:lineRule="auto"/>
      <w:jc w:val="center"/>
    </w:pPr>
  </w:style>
  <w:style w:type="paragraph" w:customStyle="1" w:styleId="317">
    <w:name w:val="_Style 6"/>
    <w:basedOn w:val="1"/>
    <w:qFormat/>
    <w:uiPriority w:val="34"/>
    <w:pPr>
      <w:adjustRightInd/>
      <w:ind w:firstLine="420" w:firstLineChars="200"/>
    </w:pPr>
    <w:rPr>
      <w:rFonts w:eastAsia="仿宋_GB2312"/>
      <w:sz w:val="28"/>
    </w:rPr>
  </w:style>
  <w:style w:type="paragraph" w:customStyle="1" w:styleId="318">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319">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320">
    <w:name w:val="!大节"/>
    <w:basedOn w:val="4"/>
    <w:qFormat/>
    <w:uiPriority w:val="0"/>
    <w:pPr>
      <w:spacing w:before="260" w:after="260" w:line="415" w:lineRule="auto"/>
      <w:ind w:left="420" w:hanging="420"/>
    </w:pPr>
    <w:rPr>
      <w:rFonts w:ascii="Arial" w:hAnsi="Arial" w:eastAsia="微软雅黑"/>
      <w:lang w:val="en-US"/>
    </w:rPr>
  </w:style>
  <w:style w:type="paragraph" w:customStyle="1" w:styleId="321">
    <w:name w:val="正文文本 22"/>
    <w:basedOn w:val="1"/>
    <w:qFormat/>
    <w:uiPriority w:val="0"/>
    <w:pPr>
      <w:widowControl/>
      <w:overflowPunct w:val="0"/>
      <w:autoSpaceDE w:val="0"/>
      <w:autoSpaceDN w:val="0"/>
      <w:ind w:left="720" w:hanging="720"/>
      <w:textAlignment w:val="baseline"/>
    </w:pPr>
    <w:rPr>
      <w:kern w:val="0"/>
      <w:sz w:val="24"/>
      <w:szCs w:val="20"/>
    </w:rPr>
  </w:style>
  <w:style w:type="paragraph" w:customStyle="1" w:styleId="322">
    <w:name w:val="正文表标题"/>
    <w:next w:val="323"/>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323">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324">
    <w:name w:val="Char Char Char Char Char Char"/>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325">
    <w:name w:val="trademark"/>
    <w:qFormat/>
    <w:uiPriority w:val="0"/>
    <w:pPr>
      <w:spacing w:after="60"/>
    </w:pPr>
    <w:rPr>
      <w:rFonts w:ascii="Futura Bk" w:hAnsi="Futura Bk" w:eastAsia="宋体" w:cs="Times New Roman"/>
      <w:sz w:val="15"/>
      <w:lang w:val="en-US" w:eastAsia="en-US" w:bidi="ar-SA"/>
    </w:rPr>
  </w:style>
  <w:style w:type="paragraph" w:customStyle="1" w:styleId="326">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eastAsia="en-US"/>
    </w:rPr>
  </w:style>
  <w:style w:type="paragraph" w:customStyle="1" w:styleId="327">
    <w:name w:val="Char Char1 Char Char Char Char Char Char1"/>
    <w:basedOn w:val="1"/>
    <w:qFormat/>
    <w:uiPriority w:val="0"/>
    <w:rPr>
      <w:rFonts w:ascii="仿宋_GB2312" w:eastAsia="仿宋_GB2312"/>
      <w:b/>
      <w:sz w:val="32"/>
      <w:szCs w:val="20"/>
    </w:rPr>
  </w:style>
  <w:style w:type="paragraph" w:customStyle="1" w:styleId="328">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329">
    <w:name w:val="Char1 Char Char Char1"/>
    <w:basedOn w:val="1"/>
    <w:qFormat/>
    <w:uiPriority w:val="0"/>
    <w:pPr>
      <w:adjustRightInd/>
      <w:ind w:firstLine="200" w:firstLineChars="200"/>
    </w:pPr>
    <w:rPr>
      <w:rFonts w:ascii="Tahoma" w:hAnsi="Tahoma"/>
      <w:sz w:val="24"/>
      <w:szCs w:val="20"/>
    </w:rPr>
  </w:style>
  <w:style w:type="paragraph" w:customStyle="1" w:styleId="330">
    <w:name w:val="a1"/>
    <w:basedOn w:val="1"/>
    <w:qFormat/>
    <w:uiPriority w:val="0"/>
    <w:pPr>
      <w:widowControl/>
      <w:spacing w:line="300" w:lineRule="atLeast"/>
      <w:jc w:val="left"/>
    </w:pPr>
    <w:rPr>
      <w:rFonts w:ascii="宋体" w:hAnsi="宋体"/>
      <w:kern w:val="0"/>
      <w:sz w:val="18"/>
      <w:szCs w:val="20"/>
    </w:rPr>
  </w:style>
  <w:style w:type="paragraph" w:customStyle="1" w:styleId="331">
    <w:name w:val="样式7"/>
    <w:basedOn w:val="332"/>
    <w:next w:val="1"/>
    <w:qFormat/>
    <w:uiPriority w:val="0"/>
    <w:pPr>
      <w:spacing w:after="156" w:afterLines="50"/>
      <w:jc w:val="left"/>
      <w:outlineLvl w:val="3"/>
    </w:pPr>
    <w:rPr>
      <w:sz w:val="24"/>
      <w:szCs w:val="24"/>
    </w:rPr>
  </w:style>
  <w:style w:type="paragraph" w:customStyle="1" w:styleId="332">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333">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334">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335">
    <w:name w:val="样式 样式2 + 左侧:  1 字符 右侧:  1 字符"/>
    <w:basedOn w:val="143"/>
    <w:qFormat/>
    <w:uiPriority w:val="0"/>
    <w:pPr>
      <w:tabs>
        <w:tab w:val="clear" w:pos="2790"/>
        <w:tab w:val="clear" w:pos="4230"/>
      </w:tabs>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336">
    <w:name w:val="Char2 Char Char2"/>
    <w:basedOn w:val="1"/>
    <w:qFormat/>
    <w:uiPriority w:val="0"/>
    <w:pPr>
      <w:adjustRightInd/>
    </w:pPr>
    <w:rPr>
      <w:rFonts w:ascii="Tahoma" w:hAnsi="Tahoma"/>
      <w:sz w:val="24"/>
      <w:szCs w:val="20"/>
    </w:rPr>
  </w:style>
  <w:style w:type="paragraph" w:customStyle="1" w:styleId="337">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338">
    <w:name w:val="三级条标题"/>
    <w:basedOn w:val="339"/>
    <w:next w:val="323"/>
    <w:qFormat/>
    <w:uiPriority w:val="0"/>
    <w:pPr>
      <w:tabs>
        <w:tab w:val="left" w:pos="1260"/>
        <w:tab w:val="left" w:pos="1680"/>
        <w:tab w:val="left" w:pos="2100"/>
        <w:tab w:val="left" w:pos="2520"/>
      </w:tabs>
      <w:ind w:left="2520"/>
      <w:outlineLvl w:val="4"/>
    </w:pPr>
  </w:style>
  <w:style w:type="paragraph" w:customStyle="1" w:styleId="339">
    <w:name w:val="二级条标题"/>
    <w:basedOn w:val="340"/>
    <w:next w:val="323"/>
    <w:qFormat/>
    <w:uiPriority w:val="0"/>
    <w:pPr>
      <w:tabs>
        <w:tab w:val="left" w:pos="1260"/>
        <w:tab w:val="left" w:pos="1680"/>
        <w:tab w:val="left" w:pos="2100"/>
      </w:tabs>
      <w:ind w:left="0"/>
      <w:outlineLvl w:val="3"/>
    </w:pPr>
  </w:style>
  <w:style w:type="paragraph" w:customStyle="1" w:styleId="340">
    <w:name w:val="一级条标题"/>
    <w:basedOn w:val="341"/>
    <w:next w:val="323"/>
    <w:qFormat/>
    <w:uiPriority w:val="0"/>
    <w:pPr>
      <w:tabs>
        <w:tab w:val="left" w:pos="1260"/>
        <w:tab w:val="left" w:pos="1680"/>
      </w:tabs>
      <w:spacing w:before="0" w:beforeLines="0" w:after="0" w:afterLines="0"/>
      <w:ind w:left="1680"/>
      <w:outlineLvl w:val="2"/>
    </w:pPr>
  </w:style>
  <w:style w:type="paragraph" w:customStyle="1" w:styleId="341">
    <w:name w:val="章标题"/>
    <w:next w:val="323"/>
    <w:qFormat/>
    <w:uiPriority w:val="0"/>
    <w:pPr>
      <w:tabs>
        <w:tab w:val="left" w:pos="1260"/>
      </w:tabs>
      <w:spacing w:before="156" w:beforeLines="50" w:after="156" w:afterLines="50"/>
      <w:ind w:left="1260" w:hanging="420"/>
      <w:jc w:val="both"/>
      <w:outlineLvl w:val="1"/>
    </w:pPr>
    <w:rPr>
      <w:rFonts w:ascii="黑体" w:hAnsi="Times New Roman" w:eastAsia="黑体" w:cs="Times New Roman"/>
      <w:sz w:val="21"/>
      <w:lang w:val="en-US" w:eastAsia="zh-CN" w:bidi="ar-SA"/>
    </w:rPr>
  </w:style>
  <w:style w:type="paragraph" w:customStyle="1" w:styleId="342">
    <w:name w:val="数字标题2"/>
    <w:basedOn w:val="4"/>
    <w:next w:val="1"/>
    <w:qFormat/>
    <w:uiPriority w:val="0"/>
    <w:pPr>
      <w:tabs>
        <w:tab w:val="left" w:pos="480"/>
        <w:tab w:val="clear" w:pos="432"/>
      </w:tabs>
      <w:ind w:left="480" w:hanging="480"/>
    </w:pPr>
    <w:rPr>
      <w:rFonts w:ascii="Times New Roman" w:eastAsia="宋体"/>
      <w:i/>
      <w:sz w:val="36"/>
      <w:szCs w:val="36"/>
      <w:lang w:val="en-US"/>
    </w:rPr>
  </w:style>
  <w:style w:type="paragraph" w:customStyle="1" w:styleId="343">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344">
    <w:name w:val="样式 标题 1Level 1 HeadPIM 1Section Headh1l11Heading 0Datash..."/>
    <w:basedOn w:val="3"/>
    <w:qFormat/>
    <w:uiPriority w:val="0"/>
    <w:pPr>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345">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346">
    <w:name w:val="样式 标题 1章节第一层h1H"/>
    <w:basedOn w:val="3"/>
    <w:qFormat/>
    <w:uiPriority w:val="0"/>
    <w:pPr>
      <w:autoSpaceDE w:val="0"/>
      <w:autoSpaceDN w:val="0"/>
      <w:spacing w:before="0" w:after="0" w:line="240" w:lineRule="auto"/>
      <w:ind w:left="0" w:firstLine="0"/>
      <w:jc w:val="left"/>
      <w:outlineLvl w:val="9"/>
    </w:pPr>
    <w:rPr>
      <w:kern w:val="0"/>
      <w:sz w:val="52"/>
      <w:szCs w:val="52"/>
      <w:lang w:val="zh-CN"/>
    </w:rPr>
  </w:style>
  <w:style w:type="paragraph" w:customStyle="1" w:styleId="347">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348">
    <w:name w:val="正文 项目2"/>
    <w:basedOn w:val="349"/>
    <w:qFormat/>
    <w:uiPriority w:val="0"/>
    <w:pPr>
      <w:tabs>
        <w:tab w:val="left" w:pos="840"/>
      </w:tabs>
      <w:spacing w:after="0"/>
      <w:ind w:left="900"/>
    </w:pPr>
  </w:style>
  <w:style w:type="paragraph" w:customStyle="1" w:styleId="349">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350">
    <w:name w:val="Body Text 2*"/>
    <w:basedOn w:val="1"/>
    <w:qFormat/>
    <w:uiPriority w:val="6"/>
    <w:pPr>
      <w:widowControl/>
      <w:adjustRightInd/>
      <w:ind w:left="720" w:hanging="720"/>
    </w:pPr>
    <w:rPr>
      <w:color w:val="000000"/>
      <w:kern w:val="0"/>
      <w:sz w:val="24"/>
      <w:szCs w:val="20"/>
    </w:rPr>
  </w:style>
  <w:style w:type="paragraph" w:customStyle="1" w:styleId="351">
    <w:name w:val="表1"/>
    <w:basedOn w:val="1"/>
    <w:qFormat/>
    <w:uiPriority w:val="0"/>
    <w:pPr>
      <w:tabs>
        <w:tab w:val="left" w:pos="703"/>
      </w:tabs>
      <w:adjustRightInd/>
      <w:spacing w:line="360" w:lineRule="auto"/>
      <w:ind w:left="703"/>
      <w:jc w:val="center"/>
    </w:pPr>
  </w:style>
  <w:style w:type="paragraph" w:customStyle="1" w:styleId="352">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353">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354">
    <w:name w:val="章正文"/>
    <w:basedOn w:val="1"/>
    <w:qFormat/>
    <w:uiPriority w:val="0"/>
    <w:pPr>
      <w:adjustRightInd/>
      <w:spacing w:before="156" w:beforeLines="50" w:after="120" w:line="300" w:lineRule="auto"/>
      <w:ind w:firstLine="480" w:firstLineChars="200"/>
    </w:pPr>
    <w:rPr>
      <w:rFonts w:ascii="Helvetica" w:hAnsi="Helvetica"/>
      <w:kern w:val="0"/>
      <w:sz w:val="24"/>
    </w:rPr>
  </w:style>
  <w:style w:type="paragraph" w:customStyle="1" w:styleId="355">
    <w:name w:val="2级标题"/>
    <w:basedOn w:val="356"/>
    <w:qFormat/>
    <w:uiPriority w:val="0"/>
    <w:pPr>
      <w:jc w:val="left"/>
      <w:outlineLvl w:val="1"/>
    </w:pPr>
    <w:rPr>
      <w:rFonts w:ascii="Times New Roman" w:hAnsi="Times New Roman" w:eastAsia="仿宋"/>
      <w:sz w:val="30"/>
    </w:rPr>
  </w:style>
  <w:style w:type="paragraph" w:customStyle="1" w:styleId="356">
    <w:name w:val="1级标题"/>
    <w:basedOn w:val="1"/>
    <w:qFormat/>
    <w:uiPriority w:val="0"/>
    <w:pPr>
      <w:adjustRightInd/>
      <w:spacing w:before="31" w:beforeLines="10" w:after="31" w:afterLines="10" w:line="360" w:lineRule="auto"/>
      <w:jc w:val="center"/>
      <w:outlineLvl w:val="0"/>
    </w:pPr>
    <w:rPr>
      <w:rFonts w:ascii="Calibri" w:hAnsi="Calibri"/>
      <w:b/>
      <w:sz w:val="44"/>
      <w:szCs w:val="22"/>
    </w:rPr>
  </w:style>
  <w:style w:type="paragraph" w:customStyle="1" w:styleId="357">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358">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359">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360">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361">
    <w:name w:val="bullet"/>
    <w:basedOn w:val="1"/>
    <w:qFormat/>
    <w:uiPriority w:val="0"/>
    <w:pPr>
      <w:tabs>
        <w:tab w:val="left" w:pos="840"/>
      </w:tabs>
      <w:adjustRightInd/>
      <w:ind w:left="840" w:hanging="420"/>
    </w:pPr>
  </w:style>
  <w:style w:type="paragraph" w:customStyle="1" w:styleId="362">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363">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364">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365">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366">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367">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368">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369">
    <w:name w:val="MM Topic 4"/>
    <w:basedOn w:val="8"/>
    <w:qFormat/>
    <w:uiPriority w:val="0"/>
    <w:pPr>
      <w:tabs>
        <w:tab w:val="left" w:pos="2100"/>
        <w:tab w:val="clear" w:pos="864"/>
      </w:tabs>
      <w:adjustRightInd/>
      <w:ind w:left="2100" w:hanging="420"/>
    </w:pPr>
    <w:rPr>
      <w:lang w:val="en-US"/>
    </w:rPr>
  </w:style>
  <w:style w:type="paragraph" w:customStyle="1" w:styleId="370">
    <w:name w:val="Char11"/>
    <w:basedOn w:val="1"/>
    <w:qFormat/>
    <w:uiPriority w:val="0"/>
    <w:pPr>
      <w:tabs>
        <w:tab w:val="left" w:pos="432"/>
      </w:tabs>
      <w:adjustRightInd/>
      <w:spacing w:before="156" w:beforeLines="50" w:after="156" w:afterLines="50"/>
      <w:ind w:left="432" w:hanging="432" w:firstLineChars="200"/>
    </w:pPr>
    <w:rPr>
      <w:sz w:val="24"/>
    </w:rPr>
  </w:style>
  <w:style w:type="paragraph" w:customStyle="1" w:styleId="371">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val="none" w:color="000000"/>
      <w:lang w:val="en-US" w:eastAsia="zh-CN" w:bidi="ar-SA"/>
    </w:rPr>
  </w:style>
  <w:style w:type="paragraph" w:customStyle="1" w:styleId="372">
    <w:name w:val="Char Char11 Char Char Char Char Char Char Char Char Char1"/>
    <w:basedOn w:val="1"/>
    <w:qFormat/>
    <w:uiPriority w:val="6"/>
    <w:pPr>
      <w:spacing w:line="360" w:lineRule="auto"/>
    </w:pPr>
    <w:rPr>
      <w:szCs w:val="20"/>
    </w:rPr>
  </w:style>
  <w:style w:type="paragraph" w:customStyle="1" w:styleId="373">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374">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375">
    <w:name w:val="body text bold"/>
    <w:basedOn w:val="25"/>
    <w:qFormat/>
    <w:uiPriority w:val="0"/>
    <w:pPr>
      <w:widowControl/>
      <w:adjustRightInd/>
      <w:spacing w:line="240" w:lineRule="auto"/>
      <w:ind w:firstLine="200" w:firstLineChars="200"/>
      <w:jc w:val="left"/>
    </w:pPr>
    <w:rPr>
      <w:rFonts w:ascii="Futura Hv" w:hAnsi="Futura Hv"/>
      <w:kern w:val="0"/>
      <w:sz w:val="18"/>
      <w:szCs w:val="20"/>
      <w:lang w:val="en-US" w:eastAsia="en-US"/>
    </w:rPr>
  </w:style>
  <w:style w:type="paragraph" w:customStyle="1" w:styleId="376">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377">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378">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379">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380">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381">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382">
    <w:name w:val="单元格居中"/>
    <w:basedOn w:val="1"/>
    <w:qFormat/>
    <w:uiPriority w:val="0"/>
    <w:pPr>
      <w:adjustRightInd/>
      <w:spacing w:line="360" w:lineRule="auto"/>
      <w:jc w:val="center"/>
    </w:pPr>
    <w:rPr>
      <w:sz w:val="24"/>
    </w:rPr>
  </w:style>
  <w:style w:type="paragraph" w:customStyle="1" w:styleId="383">
    <w:name w:val="正文3"/>
    <w:basedOn w:val="1"/>
    <w:qFormat/>
    <w:uiPriority w:val="0"/>
    <w:pPr>
      <w:adjustRightInd/>
      <w:spacing w:before="156" w:beforeLines="50" w:after="156" w:afterLines="50" w:line="360" w:lineRule="auto"/>
      <w:outlineLvl w:val="8"/>
    </w:pPr>
    <w:rPr>
      <w:rFonts w:ascii="Segoe UI" w:hAnsi="宋体" w:eastAsia="楷体_GB2312" w:cs="Latha"/>
      <w:sz w:val="24"/>
      <w:szCs w:val="21"/>
    </w:rPr>
  </w:style>
  <w:style w:type="paragraph" w:customStyle="1" w:styleId="384">
    <w:name w:val="Char Char Char Char Char Char Char1"/>
    <w:basedOn w:val="1"/>
    <w:qFormat/>
    <w:uiPriority w:val="6"/>
    <w:rPr>
      <w:rFonts w:ascii="仿宋_GB2312" w:eastAsia="仿宋_GB2312"/>
      <w:b/>
      <w:sz w:val="32"/>
      <w:szCs w:val="32"/>
    </w:rPr>
  </w:style>
  <w:style w:type="paragraph" w:customStyle="1" w:styleId="385">
    <w:name w:val="正文缩进1"/>
    <w:basedOn w:val="1"/>
    <w:next w:val="6"/>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386">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387">
    <w:name w:val="Char3 Char Char Char11"/>
    <w:basedOn w:val="1"/>
    <w:qFormat/>
    <w:uiPriority w:val="0"/>
    <w:pPr>
      <w:widowControl/>
      <w:adjustRightInd/>
      <w:spacing w:after="160" w:line="240" w:lineRule="exact"/>
      <w:jc w:val="left"/>
    </w:pPr>
    <w:rPr>
      <w:szCs w:val="20"/>
    </w:rPr>
  </w:style>
  <w:style w:type="paragraph" w:customStyle="1" w:styleId="388">
    <w:name w:val="Char Char1121"/>
    <w:basedOn w:val="1"/>
    <w:qFormat/>
    <w:uiPriority w:val="0"/>
    <w:pPr>
      <w:spacing w:line="360" w:lineRule="auto"/>
    </w:pPr>
    <w:rPr>
      <w:szCs w:val="20"/>
    </w:rPr>
  </w:style>
  <w:style w:type="paragraph" w:customStyle="1" w:styleId="389">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390">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val="none" w:color="000000"/>
      <w:lang w:val="en-US" w:eastAsia="zh-CN" w:bidi="ar-SA"/>
    </w:rPr>
  </w:style>
  <w:style w:type="paragraph" w:customStyle="1" w:styleId="391">
    <w:name w:val="Normal0"/>
    <w:qFormat/>
    <w:uiPriority w:val="0"/>
    <w:rPr>
      <w:rFonts w:ascii="Times New Roman" w:hAnsi="Times New Roman" w:eastAsia="宋体" w:cs="Times New Roman"/>
      <w:lang w:val="en-US" w:eastAsia="en-US" w:bidi="ar-SA"/>
    </w:rPr>
  </w:style>
  <w:style w:type="paragraph" w:customStyle="1" w:styleId="392">
    <w:name w:val="带编号样式"/>
    <w:basedOn w:val="310"/>
    <w:qFormat/>
    <w:uiPriority w:val="0"/>
    <w:pPr>
      <w:tabs>
        <w:tab w:val="left" w:pos="840"/>
      </w:tabs>
      <w:snapToGrid w:val="0"/>
      <w:ind w:left="840" w:hanging="420" w:firstLineChars="0"/>
    </w:pPr>
    <w:rPr>
      <w:rFonts w:ascii="仿宋_GB2312" w:eastAsia="仿宋_GB2312"/>
      <w:color w:val="000000"/>
    </w:rPr>
  </w:style>
  <w:style w:type="paragraph" w:customStyle="1" w:styleId="393">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394">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395">
    <w:name w:val="封面"/>
    <w:basedOn w:val="1"/>
    <w:qFormat/>
    <w:uiPriority w:val="0"/>
    <w:pPr>
      <w:spacing w:line="360" w:lineRule="atLeast"/>
      <w:jc w:val="right"/>
      <w:textAlignment w:val="baseline"/>
    </w:pPr>
    <w:rPr>
      <w:rFonts w:ascii="Symbol" w:hAnsi="Symbol"/>
      <w:kern w:val="0"/>
      <w:szCs w:val="20"/>
    </w:rPr>
  </w:style>
  <w:style w:type="paragraph" w:customStyle="1" w:styleId="396">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397">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398">
    <w:name w:val="默认段落字体 Para Char Char Char1 Char"/>
    <w:basedOn w:val="1"/>
    <w:qFormat/>
    <w:uiPriority w:val="0"/>
    <w:pPr>
      <w:spacing w:line="240" w:lineRule="atLeast"/>
      <w:ind w:left="420" w:firstLine="420"/>
    </w:pPr>
    <w:rPr>
      <w:sz w:val="24"/>
    </w:rPr>
  </w:style>
  <w:style w:type="paragraph" w:customStyle="1" w:styleId="399">
    <w:name w:val="WW-正文文字缩进 2"/>
    <w:basedOn w:val="1"/>
    <w:qFormat/>
    <w:uiPriority w:val="0"/>
    <w:pPr>
      <w:suppressAutoHyphens/>
      <w:adjustRightInd/>
      <w:ind w:firstLine="420"/>
    </w:pPr>
    <w:rPr>
      <w:kern w:val="1"/>
      <w:szCs w:val="20"/>
    </w:rPr>
  </w:style>
  <w:style w:type="paragraph" w:customStyle="1" w:styleId="400">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401">
    <w:name w:val="样式 标题 2 + 四号"/>
    <w:basedOn w:val="4"/>
    <w:qFormat/>
    <w:uiPriority w:val="0"/>
    <w:pPr>
      <w:spacing w:before="120" w:after="120"/>
      <w:ind w:left="0" w:firstLine="0"/>
      <w:jc w:val="both"/>
    </w:pPr>
    <w:rPr>
      <w:rFonts w:ascii="宋体" w:hAnsi="Arial" w:eastAsia="宋体"/>
      <w:sz w:val="28"/>
      <w:lang w:val="en-US"/>
    </w:rPr>
  </w:style>
  <w:style w:type="paragraph" w:customStyle="1" w:styleId="402">
    <w:name w:val="有符号正文"/>
    <w:basedOn w:val="1"/>
    <w:qFormat/>
    <w:uiPriority w:val="0"/>
    <w:pPr>
      <w:adjustRightInd/>
      <w:spacing w:line="400" w:lineRule="exact"/>
      <w:ind w:firstLine="200" w:firstLineChars="200"/>
    </w:pPr>
    <w:rPr>
      <w:rFonts w:ascii="Arial" w:hAnsi="Arial"/>
    </w:rPr>
  </w:style>
  <w:style w:type="paragraph" w:customStyle="1" w:styleId="403">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404">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405">
    <w:name w:val="4"/>
    <w:basedOn w:val="1"/>
    <w:next w:val="2"/>
    <w:qFormat/>
    <w:uiPriority w:val="0"/>
    <w:pPr>
      <w:spacing w:after="120" w:line="480" w:lineRule="auto"/>
      <w:ind w:left="420" w:leftChars="200"/>
    </w:pPr>
    <w:rPr>
      <w:sz w:val="24"/>
      <w:szCs w:val="20"/>
    </w:rPr>
  </w:style>
  <w:style w:type="paragraph" w:customStyle="1" w:styleId="406">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07">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408">
    <w:name w:val="样式 标题 3H3 + 两端对齐"/>
    <w:basedOn w:val="7"/>
    <w:qFormat/>
    <w:uiPriority w:val="0"/>
    <w:pPr>
      <w:spacing w:before="0" w:after="0" w:line="240" w:lineRule="auto"/>
      <w:jc w:val="left"/>
    </w:pPr>
    <w:rPr>
      <w:rFonts w:cs="宋体"/>
      <w:sz w:val="21"/>
      <w:szCs w:val="20"/>
    </w:rPr>
  </w:style>
  <w:style w:type="paragraph" w:customStyle="1" w:styleId="409">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410">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411">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412">
    <w:name w:val="表格 表头"/>
    <w:basedOn w:val="1"/>
    <w:qFormat/>
    <w:uiPriority w:val="0"/>
    <w:pPr>
      <w:adjustRightInd/>
      <w:spacing w:before="50" w:beforeLines="50" w:after="50" w:afterLines="50" w:line="360" w:lineRule="auto"/>
      <w:jc w:val="center"/>
    </w:pPr>
    <w:rPr>
      <w:rFonts w:ascii="微软雅黑" w:hAnsi="Calibri" w:eastAsia="微软雅黑"/>
      <w:b/>
      <w:sz w:val="28"/>
      <w:szCs w:val="20"/>
    </w:rPr>
  </w:style>
  <w:style w:type="paragraph" w:customStyle="1" w:styleId="413">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414">
    <w:name w:val="Char Char1 Char Char Char"/>
    <w:basedOn w:val="1"/>
    <w:qFormat/>
    <w:uiPriority w:val="0"/>
    <w:rPr>
      <w:rFonts w:ascii="仿宋_GB2312" w:eastAsia="仿宋_GB2312"/>
      <w:b/>
      <w:sz w:val="32"/>
      <w:szCs w:val="20"/>
    </w:rPr>
  </w:style>
  <w:style w:type="paragraph" w:customStyle="1" w:styleId="415">
    <w:name w:val="表格题注"/>
    <w:next w:val="1"/>
    <w:qFormat/>
    <w:uiPriority w:val="0"/>
    <w:pPr>
      <w:keepLines/>
      <w:tabs>
        <w:tab w:val="left" w:pos="4200"/>
      </w:tabs>
      <w:spacing w:before="312" w:beforeLines="100"/>
      <w:ind w:left="1089" w:hanging="369"/>
      <w:jc w:val="center"/>
    </w:pPr>
    <w:rPr>
      <w:rFonts w:ascii="Arial" w:hAnsi="Arial" w:eastAsia="宋体" w:cs="Times New Roman"/>
      <w:sz w:val="18"/>
      <w:szCs w:val="18"/>
      <w:lang w:val="en-US" w:eastAsia="zh-CN" w:bidi="ar-SA"/>
    </w:rPr>
  </w:style>
  <w:style w:type="paragraph" w:customStyle="1" w:styleId="416">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417">
    <w:name w:val="Picture"/>
    <w:basedOn w:val="1"/>
    <w:next w:val="18"/>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418">
    <w:name w:val="Char Char1 Char Char Char2"/>
    <w:basedOn w:val="1"/>
    <w:qFormat/>
    <w:uiPriority w:val="0"/>
    <w:rPr>
      <w:rFonts w:ascii="仿宋_GB2312" w:eastAsia="仿宋_GB2312"/>
      <w:b/>
      <w:sz w:val="32"/>
      <w:szCs w:val="32"/>
    </w:rPr>
  </w:style>
  <w:style w:type="paragraph" w:customStyle="1" w:styleId="419">
    <w:name w:val="Char3 Char Char Char1"/>
    <w:basedOn w:val="1"/>
    <w:qFormat/>
    <w:uiPriority w:val="6"/>
    <w:pPr>
      <w:widowControl/>
      <w:adjustRightInd/>
      <w:spacing w:after="160" w:line="240" w:lineRule="exact"/>
      <w:jc w:val="left"/>
    </w:pPr>
    <w:rPr>
      <w:szCs w:val="20"/>
    </w:rPr>
  </w:style>
  <w:style w:type="paragraph" w:customStyle="1" w:styleId="420">
    <w:name w:val="Char1 Char Char Char21"/>
    <w:basedOn w:val="1"/>
    <w:qFormat/>
    <w:uiPriority w:val="0"/>
    <w:rPr>
      <w:rFonts w:ascii="Tahoma" w:hAnsi="Tahoma"/>
      <w:sz w:val="24"/>
      <w:szCs w:val="20"/>
    </w:rPr>
  </w:style>
  <w:style w:type="paragraph" w:customStyle="1" w:styleId="421">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22">
    <w:name w:val="正文（标题三）"/>
    <w:basedOn w:val="1"/>
    <w:qFormat/>
    <w:uiPriority w:val="0"/>
    <w:pPr>
      <w:spacing w:line="360" w:lineRule="auto"/>
      <w:ind w:firstLine="200" w:firstLineChars="200"/>
    </w:pPr>
    <w:rPr>
      <w:sz w:val="24"/>
    </w:rPr>
  </w:style>
  <w:style w:type="paragraph" w:customStyle="1" w:styleId="423">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424">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25">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426">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427">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428">
    <w:name w:val="Char1 Char Char Char4"/>
    <w:basedOn w:val="1"/>
    <w:qFormat/>
    <w:uiPriority w:val="0"/>
    <w:pPr>
      <w:adjustRightInd/>
      <w:ind w:firstLine="200" w:firstLineChars="200"/>
    </w:pPr>
    <w:rPr>
      <w:rFonts w:ascii="Tahoma" w:hAnsi="Tahoma"/>
      <w:sz w:val="24"/>
      <w:szCs w:val="20"/>
    </w:rPr>
  </w:style>
  <w:style w:type="paragraph" w:customStyle="1" w:styleId="429">
    <w:name w:val="_标题2"/>
    <w:basedOn w:val="396"/>
    <w:next w:val="396"/>
    <w:qFormat/>
    <w:uiPriority w:val="0"/>
    <w:pPr>
      <w:widowControl w:val="0"/>
      <w:tabs>
        <w:tab w:val="left" w:pos="480"/>
      </w:tabs>
      <w:spacing w:before="50" w:beforeLines="50" w:after="50" w:afterLines="50"/>
      <w:ind w:left="50" w:leftChars="50" w:hanging="420" w:firstLineChars="0"/>
      <w:outlineLvl w:val="1"/>
    </w:pPr>
    <w:rPr>
      <w:b/>
      <w:sz w:val="36"/>
    </w:rPr>
  </w:style>
  <w:style w:type="paragraph" w:customStyle="1" w:styleId="430">
    <w:name w:val="样式1 + (中宋体"/>
    <w:basedOn w:val="407"/>
    <w:qFormat/>
    <w:uiPriority w:val="0"/>
    <w:pPr>
      <w:widowControl w:val="0"/>
      <w:tabs>
        <w:tab w:val="left" w:pos="1200"/>
        <w:tab w:val="clear" w:pos="1212"/>
        <w:tab w:val="clear" w:pos="3888"/>
      </w:tabs>
      <w:adjustRightInd/>
      <w:snapToGrid/>
      <w:spacing w:line="360" w:lineRule="auto"/>
      <w:ind w:left="1200" w:hanging="360" w:firstLineChars="200"/>
      <w:jc w:val="both"/>
    </w:pPr>
    <w:rPr>
      <w:kern w:val="2"/>
      <w:szCs w:val="24"/>
    </w:rPr>
  </w:style>
  <w:style w:type="paragraph" w:customStyle="1" w:styleId="431">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32">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433">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434">
    <w:name w:val="四号　首行缩进"/>
    <w:basedOn w:val="1"/>
    <w:qFormat/>
    <w:uiPriority w:val="0"/>
    <w:pPr>
      <w:adjustRightInd/>
      <w:spacing w:line="360" w:lineRule="auto"/>
    </w:pPr>
    <w:rPr>
      <w:rFonts w:ascii="宋体" w:hAnsi="宋体"/>
      <w:szCs w:val="20"/>
    </w:rPr>
  </w:style>
  <w:style w:type="paragraph" w:customStyle="1" w:styleId="435">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436">
    <w:name w:val="Char Char Char Char Char Char Char Char Char Char Char1 Char"/>
    <w:basedOn w:val="1"/>
    <w:qFormat/>
    <w:uiPriority w:val="0"/>
    <w:pPr>
      <w:adjustRightInd/>
    </w:pPr>
    <w:rPr>
      <w:rFonts w:ascii="Tahoma" w:hAnsi="Tahoma"/>
      <w:sz w:val="24"/>
    </w:rPr>
  </w:style>
  <w:style w:type="paragraph" w:customStyle="1" w:styleId="437">
    <w:name w:val="Char Char Char Char11"/>
    <w:basedOn w:val="1"/>
    <w:qFormat/>
    <w:uiPriority w:val="0"/>
    <w:rPr>
      <w:rFonts w:ascii="Tahoma" w:hAnsi="Tahoma"/>
      <w:sz w:val="24"/>
      <w:szCs w:val="20"/>
    </w:rPr>
  </w:style>
  <w:style w:type="paragraph" w:customStyle="1" w:styleId="438">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439">
    <w:name w:val="Char Char Char Char"/>
    <w:basedOn w:val="1"/>
    <w:qFormat/>
    <w:uiPriority w:val="0"/>
    <w:rPr>
      <w:rFonts w:ascii="Tahoma" w:hAnsi="Tahoma"/>
      <w:sz w:val="24"/>
      <w:szCs w:val="20"/>
    </w:rPr>
  </w:style>
  <w:style w:type="paragraph" w:customStyle="1" w:styleId="440">
    <w:name w:val="标1"/>
    <w:basedOn w:val="1"/>
    <w:qFormat/>
    <w:uiPriority w:val="0"/>
    <w:pPr>
      <w:widowControl/>
      <w:tabs>
        <w:tab w:val="left" w:pos="1020"/>
      </w:tabs>
      <w:snapToGrid w:val="0"/>
      <w:spacing w:before="312"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441">
    <w:name w:val="Char19"/>
    <w:basedOn w:val="1"/>
    <w:qFormat/>
    <w:uiPriority w:val="0"/>
    <w:pPr>
      <w:adjustRightInd/>
    </w:pPr>
    <w:rPr>
      <w:szCs w:val="20"/>
    </w:rPr>
  </w:style>
  <w:style w:type="paragraph" w:customStyle="1" w:styleId="442">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443">
    <w:name w:val="样式8"/>
    <w:basedOn w:val="1"/>
    <w:qFormat/>
    <w:uiPriority w:val="0"/>
    <w:pPr>
      <w:spacing w:before="156" w:beforeLines="50" w:after="156" w:afterLines="50"/>
      <w:ind w:firstLine="200" w:firstLineChars="200"/>
      <w:outlineLvl w:val="4"/>
    </w:pPr>
    <w:rPr>
      <w:rFonts w:ascii="仿宋_GB2312" w:hAnsi="宋体" w:eastAsia="仿宋_GB2312"/>
      <w:b/>
      <w:bCs/>
      <w:sz w:val="24"/>
    </w:rPr>
  </w:style>
  <w:style w:type="paragraph" w:customStyle="1" w:styleId="444">
    <w:name w:val="_Style 5"/>
    <w:basedOn w:val="1"/>
    <w:qFormat/>
    <w:uiPriority w:val="34"/>
    <w:pPr>
      <w:adjustRightInd/>
      <w:ind w:firstLine="420" w:firstLineChars="200"/>
    </w:pPr>
    <w:rPr>
      <w:rFonts w:eastAsia="仿宋_GB2312"/>
      <w:sz w:val="28"/>
    </w:rPr>
  </w:style>
  <w:style w:type="paragraph" w:customStyle="1" w:styleId="445">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446">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447">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448">
    <w:name w:val="标书表格字体格式"/>
    <w:next w:val="442"/>
    <w:qFormat/>
    <w:uiPriority w:val="0"/>
    <w:rPr>
      <w:rFonts w:ascii="Times New Roman" w:hAnsi="Times New Roman" w:eastAsia="宋体" w:cs="Times New Roman"/>
      <w:kern w:val="2"/>
      <w:sz w:val="21"/>
      <w:szCs w:val="24"/>
      <w:lang w:val="en-US" w:eastAsia="zh-CN" w:bidi="ar-SA"/>
    </w:rPr>
  </w:style>
  <w:style w:type="paragraph" w:customStyle="1" w:styleId="449">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450">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451">
    <w:name w:val="修订3"/>
    <w:qFormat/>
    <w:uiPriority w:val="0"/>
    <w:rPr>
      <w:rFonts w:ascii="Times New Roman" w:hAnsi="Times New Roman" w:eastAsia="宋体" w:cs="Times New Roman"/>
      <w:kern w:val="2"/>
      <w:sz w:val="21"/>
      <w:lang w:val="en-US" w:eastAsia="zh-CN" w:bidi="ar-SA"/>
    </w:rPr>
  </w:style>
  <w:style w:type="paragraph" w:customStyle="1" w:styleId="452">
    <w:name w:val="CSS1级正文 Char"/>
    <w:basedOn w:val="25"/>
    <w:qFormat/>
    <w:uiPriority w:val="0"/>
    <w:pPr>
      <w:snapToGrid w:val="0"/>
      <w:ind w:firstLine="480" w:firstLineChars="200"/>
    </w:pPr>
    <w:rPr>
      <w:rFonts w:ascii="Times New Roman"/>
      <w:szCs w:val="24"/>
      <w:lang w:val="en-US"/>
    </w:rPr>
  </w:style>
  <w:style w:type="paragraph" w:customStyle="1" w:styleId="453">
    <w:name w:val="无间隔2"/>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454">
    <w:name w:val="表文字"/>
    <w:qFormat/>
    <w:uiPriority w:val="0"/>
    <w:rPr>
      <w:rFonts w:ascii="宋体" w:hAnsi="Times New Roman" w:eastAsia="宋体" w:cs="Times New Roman"/>
      <w:kern w:val="2"/>
      <w:lang w:val="en-US" w:eastAsia="zh-CN" w:bidi="ar-SA"/>
    </w:rPr>
  </w:style>
  <w:style w:type="paragraph" w:customStyle="1" w:styleId="455">
    <w:name w:val="MM Title"/>
    <w:basedOn w:val="58"/>
    <w:qFormat/>
    <w:uiPriority w:val="0"/>
    <w:pPr>
      <w:widowControl w:val="0"/>
      <w:adjustRightInd/>
      <w:spacing w:before="240" w:after="60"/>
      <w:textAlignment w:val="auto"/>
      <w:outlineLvl w:val="0"/>
    </w:pPr>
    <w:rPr>
      <w:rFonts w:ascii="Arial" w:hAnsi="Arial" w:cs="Arial"/>
      <w:bCs/>
      <w:kern w:val="2"/>
      <w:sz w:val="32"/>
      <w:szCs w:val="32"/>
      <w:lang w:val="en-US"/>
    </w:rPr>
  </w:style>
  <w:style w:type="paragraph" w:customStyle="1" w:styleId="456">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457">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458">
    <w:name w:val="Char Char Char Char Char Char Char Char2"/>
    <w:basedOn w:val="1"/>
    <w:qFormat/>
    <w:uiPriority w:val="0"/>
    <w:pPr>
      <w:tabs>
        <w:tab w:val="left" w:pos="360"/>
      </w:tabs>
    </w:pPr>
    <w:rPr>
      <w:sz w:val="24"/>
      <w:szCs w:val="20"/>
    </w:rPr>
  </w:style>
  <w:style w:type="paragraph" w:customStyle="1" w:styleId="459">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460">
    <w:name w:val="正文文本 21"/>
    <w:basedOn w:val="1"/>
    <w:qFormat/>
    <w:uiPriority w:val="0"/>
    <w:pPr>
      <w:widowControl/>
      <w:overflowPunct w:val="0"/>
      <w:autoSpaceDE w:val="0"/>
      <w:autoSpaceDN w:val="0"/>
      <w:ind w:left="720" w:hanging="720"/>
      <w:textAlignment w:val="baseline"/>
    </w:pPr>
    <w:rPr>
      <w:kern w:val="0"/>
      <w:sz w:val="24"/>
      <w:szCs w:val="20"/>
    </w:rPr>
  </w:style>
  <w:style w:type="paragraph" w:customStyle="1" w:styleId="461">
    <w:name w:val="中文标题 3"/>
    <w:basedOn w:val="6"/>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462">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463">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464">
    <w:name w:val="正文－恩普"/>
    <w:basedOn w:val="5"/>
    <w:qFormat/>
    <w:uiPriority w:val="0"/>
    <w:pPr>
      <w:adjustRightInd/>
      <w:snapToGrid/>
      <w:spacing w:before="100" w:beforeAutospacing="1" w:after="100" w:afterLines="50" w:afterAutospacing="1" w:line="360" w:lineRule="auto"/>
      <w:ind w:firstLine="480" w:firstLineChars="200"/>
      <w:jc w:val="left"/>
    </w:pPr>
    <w:rPr>
      <w:rFonts w:ascii="Times New Roman"/>
      <w:color w:val="auto"/>
      <w:kern w:val="0"/>
      <w:sz w:val="24"/>
    </w:rPr>
  </w:style>
  <w:style w:type="paragraph" w:customStyle="1" w:styleId="465">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466">
    <w:name w:val="Char4"/>
    <w:basedOn w:val="1"/>
    <w:qFormat/>
    <w:uiPriority w:val="0"/>
    <w:pPr>
      <w:tabs>
        <w:tab w:val="left" w:pos="432"/>
      </w:tabs>
      <w:adjustRightInd/>
      <w:spacing w:before="156" w:beforeLines="50" w:after="156" w:afterLines="50" w:line="360" w:lineRule="auto"/>
      <w:ind w:left="432" w:hanging="432" w:firstLineChars="200"/>
    </w:pPr>
    <w:rPr>
      <w:rFonts w:ascii="宋体" w:hAnsi="宋体" w:eastAsia="微软雅黑"/>
      <w:b/>
      <w:kern w:val="44"/>
      <w:sz w:val="32"/>
      <w:szCs w:val="32"/>
    </w:rPr>
  </w:style>
  <w:style w:type="paragraph" w:customStyle="1" w:styleId="467">
    <w:name w:val="p0"/>
    <w:basedOn w:val="1"/>
    <w:qFormat/>
    <w:uiPriority w:val="0"/>
    <w:pPr>
      <w:widowControl/>
      <w:adjustRightInd/>
    </w:pPr>
    <w:rPr>
      <w:kern w:val="0"/>
      <w:szCs w:val="21"/>
    </w:rPr>
  </w:style>
  <w:style w:type="paragraph" w:customStyle="1" w:styleId="468">
    <w:name w:val="Char6"/>
    <w:basedOn w:val="1"/>
    <w:qFormat/>
    <w:uiPriority w:val="0"/>
    <w:rPr>
      <w:rFonts w:ascii="仿宋_GB2312" w:eastAsia="仿宋_GB2312"/>
      <w:b/>
      <w:sz w:val="32"/>
      <w:szCs w:val="32"/>
    </w:rPr>
  </w:style>
  <w:style w:type="paragraph" w:customStyle="1" w:styleId="469">
    <w:name w:val="Char111"/>
    <w:basedOn w:val="1"/>
    <w:qFormat/>
    <w:uiPriority w:val="0"/>
    <w:rPr>
      <w:rFonts w:ascii="仿宋_GB2312" w:eastAsia="仿宋_GB2312"/>
      <w:b/>
      <w:sz w:val="32"/>
      <w:szCs w:val="32"/>
    </w:rPr>
  </w:style>
  <w:style w:type="paragraph" w:customStyle="1" w:styleId="470">
    <w:name w:val="标题3"/>
    <w:basedOn w:val="7"/>
    <w:next w:val="52"/>
    <w:qFormat/>
    <w:uiPriority w:val="0"/>
    <w:pPr>
      <w:tabs>
        <w:tab w:val="clear" w:pos="900"/>
      </w:tabs>
      <w:spacing w:after="0" w:line="360" w:lineRule="auto"/>
    </w:pPr>
    <w:rPr>
      <w:rFonts w:ascii="仿宋" w:hAnsi="仿宋" w:eastAsia="仿宋" w:cs="仿宋"/>
    </w:rPr>
  </w:style>
  <w:style w:type="paragraph" w:customStyle="1" w:styleId="471">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472">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473">
    <w:name w:val="Char1 Char Char Char2"/>
    <w:basedOn w:val="1"/>
    <w:qFormat/>
    <w:uiPriority w:val="0"/>
    <w:pPr>
      <w:adjustRightInd/>
      <w:ind w:firstLine="200" w:firstLineChars="200"/>
    </w:pPr>
    <w:rPr>
      <w:rFonts w:ascii="Tahoma" w:hAnsi="Tahoma"/>
      <w:sz w:val="24"/>
      <w:szCs w:val="20"/>
    </w:rPr>
  </w:style>
  <w:style w:type="paragraph" w:customStyle="1" w:styleId="474">
    <w:name w:val="列出段落1"/>
    <w:basedOn w:val="1"/>
    <w:qFormat/>
    <w:uiPriority w:val="0"/>
    <w:pPr>
      <w:adjustRightInd/>
      <w:spacing w:line="360" w:lineRule="auto"/>
      <w:ind w:firstLine="420" w:firstLineChars="200"/>
    </w:pPr>
    <w:rPr>
      <w:rFonts w:ascii="Calibri" w:hAnsi="Calibri"/>
      <w:sz w:val="24"/>
      <w:szCs w:val="22"/>
    </w:rPr>
  </w:style>
  <w:style w:type="paragraph" w:customStyle="1" w:styleId="475">
    <w:name w:val="样式 标题 1 + 黑色 段前: 0.5 行 段后: 0.5 行1"/>
    <w:basedOn w:val="3"/>
    <w:qFormat/>
    <w:uiPriority w:val="0"/>
    <w:pPr>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476">
    <w:name w:val="Char Char Char Char Char Char Char2"/>
    <w:basedOn w:val="1"/>
    <w:qFormat/>
    <w:uiPriority w:val="0"/>
    <w:rPr>
      <w:rFonts w:ascii="仿宋_GB2312" w:eastAsia="仿宋_GB2312"/>
      <w:b/>
      <w:sz w:val="32"/>
      <w:szCs w:val="32"/>
    </w:rPr>
  </w:style>
  <w:style w:type="paragraph" w:customStyle="1" w:styleId="477">
    <w:name w:val="五级条标题"/>
    <w:basedOn w:val="478"/>
    <w:next w:val="323"/>
    <w:qFormat/>
    <w:uiPriority w:val="0"/>
    <w:pPr>
      <w:tabs>
        <w:tab w:val="left" w:pos="1260"/>
        <w:tab w:val="left" w:pos="1680"/>
        <w:tab w:val="left" w:pos="2100"/>
        <w:tab w:val="left" w:pos="2940"/>
        <w:tab w:val="left" w:pos="3360"/>
      </w:tabs>
      <w:ind w:left="3360"/>
      <w:outlineLvl w:val="6"/>
    </w:pPr>
  </w:style>
  <w:style w:type="paragraph" w:customStyle="1" w:styleId="478">
    <w:name w:val="四级条标题"/>
    <w:basedOn w:val="338"/>
    <w:next w:val="323"/>
    <w:qFormat/>
    <w:uiPriority w:val="0"/>
    <w:pPr>
      <w:tabs>
        <w:tab w:val="left" w:pos="2940"/>
        <w:tab w:val="clear" w:pos="1260"/>
        <w:tab w:val="clear" w:pos="1680"/>
        <w:tab w:val="clear" w:pos="2100"/>
        <w:tab w:val="clear" w:pos="2520"/>
      </w:tabs>
      <w:ind w:left="2940"/>
      <w:outlineLvl w:val="5"/>
    </w:pPr>
  </w:style>
  <w:style w:type="paragraph" w:customStyle="1" w:styleId="479">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480">
    <w:name w:val="Char23"/>
    <w:basedOn w:val="1"/>
    <w:qFormat/>
    <w:uiPriority w:val="0"/>
    <w:rPr>
      <w:rFonts w:ascii="仿宋_GB2312" w:eastAsia="仿宋_GB2312"/>
      <w:b/>
      <w:sz w:val="32"/>
      <w:szCs w:val="32"/>
    </w:rPr>
  </w:style>
  <w:style w:type="paragraph" w:customStyle="1" w:styleId="481">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482">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483">
    <w:name w:val="首行缩进"/>
    <w:basedOn w:val="1"/>
    <w:qFormat/>
    <w:uiPriority w:val="0"/>
    <w:pPr>
      <w:spacing w:line="360" w:lineRule="auto"/>
      <w:ind w:firstLine="480" w:firstLineChars="200"/>
    </w:pPr>
    <w:rPr>
      <w:rFonts w:ascii="宋体"/>
      <w:sz w:val="24"/>
      <w:szCs w:val="20"/>
    </w:rPr>
  </w:style>
  <w:style w:type="paragraph" w:customStyle="1" w:styleId="484">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485">
    <w:name w:val="单元格左对齐"/>
    <w:basedOn w:val="1"/>
    <w:qFormat/>
    <w:uiPriority w:val="0"/>
    <w:pPr>
      <w:adjustRightInd/>
      <w:spacing w:line="360" w:lineRule="auto"/>
    </w:pPr>
    <w:rPr>
      <w:sz w:val="24"/>
    </w:rPr>
  </w:style>
  <w:style w:type="paragraph" w:customStyle="1" w:styleId="486">
    <w:name w:val="正文主体"/>
    <w:basedOn w:val="307"/>
    <w:qFormat/>
    <w:uiPriority w:val="0"/>
  </w:style>
  <w:style w:type="paragraph" w:customStyle="1" w:styleId="487">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488">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489">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490">
    <w:name w:val="正文（首行缩进2字符）"/>
    <w:basedOn w:val="1"/>
    <w:qFormat/>
    <w:uiPriority w:val="0"/>
    <w:pPr>
      <w:adjustRightInd/>
      <w:spacing w:line="360" w:lineRule="auto"/>
      <w:ind w:firstLine="480" w:firstLineChars="200"/>
    </w:pPr>
    <w:rPr>
      <w:sz w:val="24"/>
      <w:szCs w:val="20"/>
    </w:rPr>
  </w:style>
  <w:style w:type="paragraph" w:customStyle="1" w:styleId="491">
    <w:name w:val="P1"/>
    <w:basedOn w:val="1"/>
    <w:qFormat/>
    <w:uiPriority w:val="0"/>
    <w:pPr>
      <w:adjustRightInd/>
      <w:spacing w:line="288" w:lineRule="auto"/>
      <w:ind w:firstLine="425" w:firstLineChars="200"/>
    </w:pPr>
  </w:style>
  <w:style w:type="paragraph" w:customStyle="1" w:styleId="492">
    <w:name w:val="列表内容"/>
    <w:basedOn w:val="1"/>
    <w:next w:val="1"/>
    <w:qFormat/>
    <w:uiPriority w:val="0"/>
    <w:pPr>
      <w:widowControl/>
      <w:tabs>
        <w:tab w:val="left" w:pos="840"/>
      </w:tabs>
      <w:ind w:left="840" w:hanging="420"/>
      <w:jc w:val="left"/>
    </w:pPr>
    <w:rPr>
      <w:kern w:val="0"/>
      <w:sz w:val="18"/>
    </w:rPr>
  </w:style>
  <w:style w:type="paragraph" w:customStyle="1" w:styleId="493">
    <w:name w:val="Char Char11 Char Char Char1"/>
    <w:basedOn w:val="1"/>
    <w:qFormat/>
    <w:uiPriority w:val="6"/>
    <w:pPr>
      <w:spacing w:line="360" w:lineRule="auto"/>
    </w:pPr>
    <w:rPr>
      <w:szCs w:val="20"/>
    </w:rPr>
  </w:style>
  <w:style w:type="paragraph" w:customStyle="1" w:styleId="494">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495">
    <w:name w:val="Char Char Char Char Char Char11"/>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496">
    <w:name w:val="标题 41"/>
    <w:basedOn w:val="1"/>
    <w:next w:val="1"/>
    <w:unhideWhenUsed/>
    <w:qFormat/>
    <w:uiPriority w:val="9"/>
    <w:pPr>
      <w:keepNext/>
      <w:keepLines/>
      <w:adjustRightInd/>
      <w:spacing w:before="280" w:after="290" w:line="376" w:lineRule="auto"/>
      <w:outlineLvl w:val="3"/>
    </w:pPr>
    <w:rPr>
      <w:rFonts w:ascii="Cambria" w:hAnsi="Cambria"/>
      <w:b/>
      <w:bCs/>
      <w:sz w:val="28"/>
      <w:szCs w:val="28"/>
    </w:rPr>
  </w:style>
  <w:style w:type="paragraph" w:customStyle="1" w:styleId="497">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498">
    <w:name w:val="正文文字缩进2字"/>
    <w:basedOn w:val="25"/>
    <w:qFormat/>
    <w:uiPriority w:val="0"/>
    <w:pPr>
      <w:adjustRightInd/>
      <w:spacing w:before="60" w:after="60"/>
      <w:ind w:firstLine="200" w:firstLineChars="200"/>
    </w:pPr>
    <w:rPr>
      <w:rFonts w:ascii="Times New Roman"/>
      <w:szCs w:val="20"/>
      <w:lang w:val="en-US"/>
    </w:rPr>
  </w:style>
  <w:style w:type="paragraph" w:customStyle="1" w:styleId="499">
    <w:name w:val="默认段落字体 Para Char Char Char Char"/>
    <w:basedOn w:val="1"/>
    <w:qFormat/>
    <w:uiPriority w:val="0"/>
    <w:pPr>
      <w:spacing w:line="360" w:lineRule="auto"/>
    </w:pPr>
    <w:rPr>
      <w:szCs w:val="20"/>
    </w:rPr>
  </w:style>
  <w:style w:type="paragraph" w:customStyle="1" w:styleId="500">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501">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502">
    <w:name w:val="Char2 Char Char Char2"/>
    <w:basedOn w:val="1"/>
    <w:qFormat/>
    <w:uiPriority w:val="0"/>
    <w:rPr>
      <w:rFonts w:ascii="仿宋_GB2312" w:eastAsia="仿宋_GB2312"/>
      <w:b/>
      <w:sz w:val="32"/>
      <w:szCs w:val="32"/>
    </w:rPr>
  </w:style>
  <w:style w:type="paragraph" w:customStyle="1" w:styleId="503">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504">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505">
    <w:name w:val="正文 首行缩进:  2 字符 Char"/>
    <w:basedOn w:val="1"/>
    <w:qFormat/>
    <w:uiPriority w:val="0"/>
    <w:pPr>
      <w:adjustRightInd/>
      <w:spacing w:line="360" w:lineRule="auto"/>
      <w:ind w:firstLine="480"/>
    </w:pPr>
    <w:rPr>
      <w:rFonts w:cs="宋体"/>
      <w:sz w:val="24"/>
      <w:szCs w:val="20"/>
    </w:rPr>
  </w:style>
  <w:style w:type="paragraph" w:customStyle="1" w:styleId="506">
    <w:name w:val="Char Char4 Char Char"/>
    <w:basedOn w:val="1"/>
    <w:qFormat/>
    <w:uiPriority w:val="0"/>
    <w:pPr>
      <w:widowControl/>
      <w:adjustRightInd/>
      <w:spacing w:after="160" w:line="240" w:lineRule="exact"/>
      <w:jc w:val="left"/>
    </w:pPr>
  </w:style>
  <w:style w:type="paragraph" w:customStyle="1" w:styleId="507">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508">
    <w:name w:val="Char Char11 Char Char Char2"/>
    <w:basedOn w:val="1"/>
    <w:qFormat/>
    <w:uiPriority w:val="0"/>
    <w:pPr>
      <w:spacing w:line="360" w:lineRule="auto"/>
    </w:pPr>
    <w:rPr>
      <w:szCs w:val="20"/>
    </w:rPr>
  </w:style>
  <w:style w:type="paragraph" w:customStyle="1" w:styleId="509">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510">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11">
    <w:name w:val="数字标题4"/>
    <w:basedOn w:val="8"/>
    <w:qFormat/>
    <w:uiPriority w:val="0"/>
    <w:pPr>
      <w:tabs>
        <w:tab w:val="left" w:pos="0"/>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512">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513">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514">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515">
    <w:name w:val="Char311"/>
    <w:basedOn w:val="1"/>
    <w:qFormat/>
    <w:uiPriority w:val="0"/>
    <w:pPr>
      <w:adjustRightInd/>
      <w:ind w:firstLine="200" w:firstLineChars="200"/>
    </w:pPr>
    <w:rPr>
      <w:rFonts w:ascii="Tahoma" w:hAnsi="Tahoma"/>
      <w:sz w:val="24"/>
      <w:szCs w:val="20"/>
    </w:rPr>
  </w:style>
  <w:style w:type="paragraph" w:customStyle="1" w:styleId="516">
    <w:name w:val="正文文本 23"/>
    <w:basedOn w:val="1"/>
    <w:qFormat/>
    <w:uiPriority w:val="0"/>
    <w:pPr>
      <w:widowControl/>
      <w:overflowPunct w:val="0"/>
      <w:autoSpaceDE w:val="0"/>
      <w:autoSpaceDN w:val="0"/>
      <w:ind w:left="720" w:hanging="720"/>
      <w:textAlignment w:val="baseline"/>
    </w:pPr>
    <w:rPr>
      <w:kern w:val="0"/>
      <w:sz w:val="24"/>
      <w:szCs w:val="20"/>
    </w:rPr>
  </w:style>
  <w:style w:type="paragraph" w:customStyle="1" w:styleId="517">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518">
    <w:name w:val="正文 内标"/>
    <w:basedOn w:val="433"/>
    <w:qFormat/>
    <w:uiPriority w:val="0"/>
    <w:pPr>
      <w:tabs>
        <w:tab w:val="left" w:pos="0"/>
      </w:tabs>
      <w:ind w:left="900" w:firstLine="0" w:firstLineChars="0"/>
    </w:pPr>
  </w:style>
  <w:style w:type="paragraph" w:customStyle="1" w:styleId="519">
    <w:name w:val="Bulleted List"/>
    <w:basedOn w:val="1"/>
    <w:qFormat/>
    <w:uiPriority w:val="0"/>
    <w:pPr>
      <w:tabs>
        <w:tab w:val="left" w:pos="1260"/>
      </w:tabs>
      <w:adjustRightInd/>
      <w:ind w:left="1260" w:hanging="420"/>
    </w:pPr>
  </w:style>
  <w:style w:type="paragraph" w:customStyle="1" w:styleId="520">
    <w:name w:val="样式 正文文本缩进 2 + 仿宋_GB2312 黑色 行距: 1.5 倍行距"/>
    <w:basedOn w:val="2"/>
    <w:qFormat/>
    <w:uiPriority w:val="0"/>
    <w:pPr>
      <w:adjustRightInd/>
      <w:ind w:firstLine="560" w:firstLineChars="200"/>
      <w:textAlignment w:val="auto"/>
    </w:pPr>
    <w:rPr>
      <w:rFonts w:hAnsi="宋体" w:cs="宋体"/>
      <w:color w:val="000000"/>
      <w:kern w:val="2"/>
      <w:sz w:val="24"/>
    </w:rPr>
  </w:style>
  <w:style w:type="paragraph" w:customStyle="1" w:styleId="521">
    <w:name w:val="样式 左侧:  0.85 厘米"/>
    <w:basedOn w:val="1"/>
    <w:qFormat/>
    <w:uiPriority w:val="2"/>
    <w:pPr>
      <w:adjustRightInd/>
      <w:spacing w:line="360" w:lineRule="auto"/>
    </w:pPr>
    <w:rPr>
      <w:rFonts w:cs="宋体"/>
      <w:sz w:val="24"/>
      <w:szCs w:val="20"/>
    </w:rPr>
  </w:style>
  <w:style w:type="paragraph" w:customStyle="1" w:styleId="522">
    <w:name w:val="Char Char Char Char Char Char Char Char Char Char Char Char1 Char"/>
    <w:basedOn w:val="1"/>
    <w:qFormat/>
    <w:uiPriority w:val="0"/>
    <w:rPr>
      <w:rFonts w:ascii="Tahoma" w:hAnsi="Tahoma" w:cs="仿宋_GB2312"/>
      <w:sz w:val="24"/>
      <w:szCs w:val="20"/>
    </w:rPr>
  </w:style>
  <w:style w:type="paragraph" w:customStyle="1" w:styleId="523">
    <w:name w:val="正文1"/>
    <w:basedOn w:val="32"/>
    <w:qFormat/>
    <w:uiPriority w:val="0"/>
    <w:pPr>
      <w:ind w:left="0" w:leftChars="0" w:firstLine="480" w:firstLineChars="200"/>
    </w:pPr>
    <w:rPr>
      <w:rFonts w:ascii="仿宋_GB2312" w:hAnsi="Courier New" w:eastAsia="仿宋_GB2312"/>
      <w:kern w:val="28"/>
      <w:sz w:val="24"/>
    </w:rPr>
  </w:style>
  <w:style w:type="paragraph" w:customStyle="1" w:styleId="524">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525">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26">
    <w:name w:val="模板普通正文"/>
    <w:basedOn w:val="6"/>
    <w:qFormat/>
    <w:uiPriority w:val="0"/>
    <w:pPr>
      <w:adjustRightInd/>
      <w:spacing w:before="156" w:beforeLines="50" w:after="10" w:line="360" w:lineRule="auto"/>
      <w:ind w:firstLine="175" w:firstLineChars="175"/>
      <w:jc w:val="left"/>
    </w:pPr>
    <w:rPr>
      <w:rFonts w:ascii="Times New Roman" w:hAnsi="Times New Roman"/>
    </w:rPr>
  </w:style>
  <w:style w:type="paragraph" w:customStyle="1" w:styleId="527">
    <w:name w:val="Char Char1 Char Char Char Char Char Char"/>
    <w:basedOn w:val="1"/>
    <w:qFormat/>
    <w:uiPriority w:val="0"/>
    <w:rPr>
      <w:rFonts w:ascii="仿宋_GB2312" w:eastAsia="仿宋_GB2312"/>
      <w:b/>
      <w:sz w:val="32"/>
      <w:szCs w:val="20"/>
    </w:rPr>
  </w:style>
  <w:style w:type="paragraph" w:customStyle="1" w:styleId="528">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529">
    <w:name w:val="Char Char1 Char Char Char Char Char Char2"/>
    <w:basedOn w:val="1"/>
    <w:qFormat/>
    <w:uiPriority w:val="0"/>
    <w:rPr>
      <w:rFonts w:ascii="仿宋_GB2312" w:eastAsia="仿宋_GB2312"/>
      <w:b/>
      <w:sz w:val="32"/>
      <w:szCs w:val="20"/>
    </w:rPr>
  </w:style>
  <w:style w:type="paragraph" w:customStyle="1" w:styleId="530">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531">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532">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533">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34">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535">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536">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537">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38">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539">
    <w:name w:val="Char31"/>
    <w:basedOn w:val="1"/>
    <w:qFormat/>
    <w:uiPriority w:val="0"/>
    <w:pPr>
      <w:adjustRightInd/>
    </w:pPr>
    <w:rPr>
      <w:rFonts w:ascii="仿宋_GB2312" w:eastAsia="仿宋_GB2312"/>
      <w:b/>
      <w:sz w:val="32"/>
      <w:szCs w:val="32"/>
    </w:rPr>
  </w:style>
  <w:style w:type="paragraph" w:customStyle="1" w:styleId="540">
    <w:name w:val="样式 标题 3h33rd level3Heading 3 - oldH3l3CTheading 3Headin..."/>
    <w:basedOn w:val="7"/>
    <w:qFormat/>
    <w:uiPriority w:val="0"/>
    <w:pPr>
      <w:snapToGrid w:val="0"/>
      <w:ind w:left="0" w:firstLine="0"/>
      <w:jc w:val="left"/>
    </w:pPr>
    <w:rPr>
      <w:rFonts w:eastAsia="黑体" w:cs="宋体"/>
      <w:sz w:val="28"/>
      <w:szCs w:val="20"/>
    </w:rPr>
  </w:style>
  <w:style w:type="paragraph" w:customStyle="1" w:styleId="541">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542">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543">
    <w:name w:val="Char Char1"/>
    <w:basedOn w:val="1"/>
    <w:qFormat/>
    <w:uiPriority w:val="0"/>
    <w:pPr>
      <w:widowControl/>
      <w:spacing w:after="160" w:line="240" w:lineRule="exact"/>
      <w:jc w:val="left"/>
    </w:pPr>
    <w:rPr>
      <w:rFonts w:eastAsia="仿宋_GB2312"/>
      <w:sz w:val="28"/>
    </w:rPr>
  </w:style>
  <w:style w:type="paragraph" w:customStyle="1" w:styleId="544">
    <w:name w:val="Char21"/>
    <w:basedOn w:val="1"/>
    <w:qFormat/>
    <w:uiPriority w:val="0"/>
    <w:pPr>
      <w:adjustRightInd/>
      <w:ind w:firstLine="200" w:firstLineChars="200"/>
    </w:pPr>
    <w:rPr>
      <w:rFonts w:ascii="仿宋_GB2312" w:eastAsia="仿宋_GB2312"/>
      <w:b/>
      <w:sz w:val="32"/>
      <w:szCs w:val="32"/>
    </w:rPr>
  </w:style>
  <w:style w:type="paragraph" w:customStyle="1" w:styleId="545">
    <w:name w:val="列表段落1"/>
    <w:basedOn w:val="1"/>
    <w:qFormat/>
    <w:uiPriority w:val="34"/>
    <w:pPr>
      <w:adjustRightInd/>
      <w:ind w:right="238" w:firstLine="420"/>
    </w:pPr>
    <w:rPr>
      <w:rFonts w:ascii="Calibri" w:hAnsi="Calibri"/>
      <w:sz w:val="24"/>
    </w:rPr>
  </w:style>
  <w:style w:type="paragraph" w:customStyle="1" w:styleId="546">
    <w:name w:val="Char Char110"/>
    <w:basedOn w:val="1"/>
    <w:qFormat/>
    <w:uiPriority w:val="6"/>
    <w:pPr>
      <w:spacing w:line="360" w:lineRule="auto"/>
    </w:pPr>
    <w:rPr>
      <w:rFonts w:ascii="Tahoma" w:hAnsi="Tahoma"/>
      <w:sz w:val="24"/>
      <w:szCs w:val="20"/>
    </w:rPr>
  </w:style>
  <w:style w:type="paragraph" w:customStyle="1" w:styleId="547">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548">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49">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550">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551">
    <w:name w:val="Char Char Char Char Char Char Char Char Char Char Char Char1 Char2"/>
    <w:basedOn w:val="1"/>
    <w:qFormat/>
    <w:uiPriority w:val="0"/>
    <w:rPr>
      <w:rFonts w:ascii="Tahoma" w:hAnsi="Tahoma" w:cs="仿宋_GB2312"/>
      <w:sz w:val="24"/>
      <w:szCs w:val="20"/>
    </w:rPr>
  </w:style>
  <w:style w:type="paragraph" w:customStyle="1" w:styleId="552">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553">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554">
    <w:name w:val="样式 列表编号 + 段后: 0.5 行"/>
    <w:basedOn w:val="17"/>
    <w:qFormat/>
    <w:uiPriority w:val="2"/>
    <w:pPr>
      <w:tabs>
        <w:tab w:val="clear" w:pos="390"/>
        <w:tab w:val="clear" w:pos="454"/>
      </w:tabs>
      <w:spacing w:after="0"/>
      <w:ind w:left="840" w:hanging="420"/>
      <w:contextualSpacing/>
    </w:pPr>
    <w:rPr>
      <w:rFonts w:cs="宋体"/>
    </w:rPr>
  </w:style>
  <w:style w:type="paragraph" w:customStyle="1" w:styleId="555">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556">
    <w:name w:val="_Style 12"/>
    <w:basedOn w:val="20"/>
    <w:qFormat/>
    <w:uiPriority w:val="0"/>
    <w:pPr>
      <w:snapToGrid w:val="0"/>
      <w:spacing w:line="360" w:lineRule="auto"/>
    </w:pPr>
  </w:style>
  <w:style w:type="paragraph" w:customStyle="1" w:styleId="557">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558">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559">
    <w:name w:val="_Style 94"/>
    <w:basedOn w:val="1"/>
    <w:next w:val="100"/>
    <w:qFormat/>
    <w:uiPriority w:val="34"/>
    <w:pPr>
      <w:adjustRightInd/>
      <w:spacing w:line="360" w:lineRule="auto"/>
      <w:ind w:firstLine="200" w:firstLineChars="200"/>
    </w:pPr>
    <w:rPr>
      <w:rFonts w:ascii="Calibri" w:hAnsi="Calibri"/>
      <w:sz w:val="28"/>
      <w:szCs w:val="20"/>
    </w:rPr>
  </w:style>
  <w:style w:type="paragraph" w:customStyle="1" w:styleId="560">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561">
    <w:name w:val="正文 A"/>
    <w:qFormat/>
    <w:uiPriority w:val="0"/>
    <w:pPr>
      <w:widowControl w:val="0"/>
      <w:jc w:val="both"/>
    </w:pPr>
    <w:rPr>
      <w:rFonts w:ascii="Times New Roman" w:hAnsi="Times New Roman" w:eastAsia="Arial Unicode MS" w:cs="Arial Unicode MS"/>
      <w:color w:val="000000"/>
      <w:kern w:val="2"/>
      <w:sz w:val="21"/>
      <w:szCs w:val="21"/>
      <w:u w:val="none" w:color="000000"/>
      <w:lang w:val="en-US" w:eastAsia="zh-CN" w:bidi="ar-SA"/>
    </w:rPr>
  </w:style>
  <w:style w:type="paragraph" w:customStyle="1" w:styleId="562">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563">
    <w:name w:val="3级标题"/>
    <w:basedOn w:val="355"/>
    <w:qFormat/>
    <w:uiPriority w:val="0"/>
    <w:pPr>
      <w:outlineLvl w:val="2"/>
    </w:pPr>
  </w:style>
  <w:style w:type="paragraph" w:customStyle="1" w:styleId="564">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565">
    <w:name w:val="Char1 Char Char Char3"/>
    <w:basedOn w:val="1"/>
    <w:qFormat/>
    <w:uiPriority w:val="0"/>
    <w:pPr>
      <w:adjustRightInd/>
      <w:ind w:firstLine="200" w:firstLineChars="200"/>
    </w:pPr>
    <w:rPr>
      <w:rFonts w:ascii="Tahoma" w:hAnsi="Tahoma"/>
      <w:sz w:val="24"/>
      <w:szCs w:val="20"/>
    </w:rPr>
  </w:style>
  <w:style w:type="paragraph" w:customStyle="1" w:styleId="566">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567">
    <w:name w:val="MM Empty"/>
    <w:basedOn w:val="1"/>
    <w:qFormat/>
    <w:uiPriority w:val="0"/>
    <w:pPr>
      <w:adjustRightInd/>
    </w:pPr>
  </w:style>
  <w:style w:type="paragraph" w:customStyle="1" w:styleId="568">
    <w:name w:val="Char24"/>
    <w:basedOn w:val="1"/>
    <w:qFormat/>
    <w:uiPriority w:val="0"/>
    <w:rPr>
      <w:rFonts w:ascii="仿宋_GB2312" w:eastAsia="仿宋_GB2312"/>
      <w:b/>
      <w:sz w:val="32"/>
      <w:szCs w:val="32"/>
    </w:rPr>
  </w:style>
  <w:style w:type="paragraph" w:customStyle="1" w:styleId="569">
    <w:name w:val="正文箭头"/>
    <w:basedOn w:val="221"/>
    <w:qFormat/>
    <w:uiPriority w:val="0"/>
  </w:style>
  <w:style w:type="paragraph" w:customStyle="1" w:styleId="570">
    <w:name w:val="U_编号2"/>
    <w:basedOn w:val="1"/>
    <w:qFormat/>
    <w:uiPriority w:val="0"/>
    <w:pPr>
      <w:tabs>
        <w:tab w:val="left" w:pos="785"/>
      </w:tabs>
      <w:adjustRightInd/>
      <w:spacing w:beforeLines="10" w:afterLines="10" w:line="300" w:lineRule="auto"/>
    </w:pPr>
    <w:rPr>
      <w:sz w:val="24"/>
    </w:rPr>
  </w:style>
  <w:style w:type="paragraph" w:customStyle="1" w:styleId="571">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72">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73">
    <w:name w:val="标书标题3"/>
    <w:basedOn w:val="7"/>
    <w:qFormat/>
    <w:uiPriority w:val="0"/>
    <w:pPr>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574">
    <w:name w:val="TOC 标题11"/>
    <w:basedOn w:val="3"/>
    <w:next w:val="1"/>
    <w:unhideWhenUsed/>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75">
    <w:name w:val="_Style 1"/>
    <w:basedOn w:val="1"/>
    <w:qFormat/>
    <w:uiPriority w:val="34"/>
    <w:pPr>
      <w:adjustRightInd/>
      <w:ind w:firstLine="420" w:firstLineChars="200"/>
    </w:pPr>
    <w:rPr>
      <w:rFonts w:eastAsia="仿宋_GB2312"/>
      <w:sz w:val="28"/>
    </w:rPr>
  </w:style>
  <w:style w:type="paragraph" w:customStyle="1" w:styleId="576">
    <w:name w:val="表格 内容"/>
    <w:basedOn w:val="412"/>
    <w:qFormat/>
    <w:uiPriority w:val="0"/>
    <w:rPr>
      <w:b w:val="0"/>
      <w:sz w:val="20"/>
    </w:rPr>
  </w:style>
  <w:style w:type="paragraph" w:customStyle="1" w:styleId="577">
    <w:name w:val="正文首行缩进1"/>
    <w:basedOn w:val="25"/>
    <w:qFormat/>
    <w:uiPriority w:val="0"/>
    <w:pPr>
      <w:suppressAutoHyphens/>
      <w:adjustRightInd/>
      <w:spacing w:after="120" w:line="240" w:lineRule="auto"/>
      <w:ind w:firstLine="420"/>
      <w:jc w:val="left"/>
    </w:pPr>
    <w:rPr>
      <w:rFonts w:ascii="Times New Roman"/>
      <w:kern w:val="1"/>
      <w:sz w:val="28"/>
      <w:szCs w:val="24"/>
      <w:lang w:val="en-US" w:eastAsia="ar-SA"/>
    </w:rPr>
  </w:style>
  <w:style w:type="paragraph" w:customStyle="1" w:styleId="578">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579">
    <w:name w:val="数字标题5"/>
    <w:basedOn w:val="9"/>
    <w:next w:val="1"/>
    <w:qFormat/>
    <w:uiPriority w:val="0"/>
    <w:pPr>
      <w:tabs>
        <w:tab w:val="left" w:pos="1080"/>
        <w:tab w:val="clear" w:pos="1008"/>
      </w:tabs>
      <w:ind w:left="1080" w:hanging="1080"/>
    </w:pPr>
  </w:style>
  <w:style w:type="paragraph" w:customStyle="1" w:styleId="580">
    <w:name w:val="数字标题1"/>
    <w:basedOn w:val="3"/>
    <w:next w:val="1"/>
    <w:qFormat/>
    <w:uiPriority w:val="0"/>
    <w:pPr>
      <w:tabs>
        <w:tab w:val="left" w:pos="480"/>
        <w:tab w:val="clear" w:pos="432"/>
      </w:tabs>
      <w:ind w:left="480" w:hanging="480"/>
    </w:pPr>
  </w:style>
  <w:style w:type="paragraph" w:customStyle="1" w:styleId="581">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582">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583">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584">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eastAsia="en-US"/>
    </w:rPr>
  </w:style>
  <w:style w:type="paragraph" w:customStyle="1" w:styleId="585">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586">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587">
    <w:name w:val="0"/>
    <w:basedOn w:val="1"/>
    <w:qFormat/>
    <w:uiPriority w:val="0"/>
    <w:pPr>
      <w:widowControl/>
    </w:pPr>
    <w:rPr>
      <w:kern w:val="0"/>
      <w:sz w:val="24"/>
      <w:szCs w:val="20"/>
    </w:rPr>
  </w:style>
  <w:style w:type="paragraph" w:customStyle="1" w:styleId="588">
    <w:name w:val="Char Char113"/>
    <w:basedOn w:val="1"/>
    <w:qFormat/>
    <w:uiPriority w:val="0"/>
    <w:pPr>
      <w:widowControl/>
      <w:spacing w:after="160" w:line="240" w:lineRule="exact"/>
      <w:jc w:val="left"/>
    </w:pPr>
    <w:rPr>
      <w:rFonts w:eastAsia="仿宋_GB2312"/>
      <w:sz w:val="28"/>
    </w:rPr>
  </w:style>
  <w:style w:type="paragraph" w:customStyle="1" w:styleId="589">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590">
    <w:name w:val="_Style 8"/>
    <w:basedOn w:val="1"/>
    <w:qFormat/>
    <w:uiPriority w:val="34"/>
    <w:pPr>
      <w:adjustRightInd/>
      <w:ind w:firstLine="420" w:firstLineChars="200"/>
    </w:pPr>
    <w:rPr>
      <w:rFonts w:eastAsia="仿宋_GB2312"/>
      <w:sz w:val="28"/>
    </w:rPr>
  </w:style>
  <w:style w:type="paragraph" w:customStyle="1" w:styleId="591">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92">
    <w:name w:val="正文样式 首行缩进:  0.74 厘米"/>
    <w:basedOn w:val="1"/>
    <w:qFormat/>
    <w:uiPriority w:val="0"/>
    <w:pPr>
      <w:adjustRightInd/>
      <w:spacing w:before="156" w:beforeLines="50" w:line="360" w:lineRule="auto"/>
      <w:ind w:firstLine="420"/>
    </w:pPr>
    <w:rPr>
      <w:rFonts w:cs="宋体"/>
      <w:sz w:val="24"/>
      <w:szCs w:val="20"/>
    </w:rPr>
  </w:style>
  <w:style w:type="paragraph" w:customStyle="1" w:styleId="593">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4">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595">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596">
    <w:name w:val="Char Char112"/>
    <w:basedOn w:val="1"/>
    <w:qFormat/>
    <w:uiPriority w:val="6"/>
    <w:pPr>
      <w:widowControl/>
      <w:spacing w:after="160" w:line="240" w:lineRule="exact"/>
      <w:jc w:val="left"/>
    </w:pPr>
    <w:rPr>
      <w:rFonts w:eastAsia="仿宋_GB2312"/>
      <w:sz w:val="28"/>
    </w:rPr>
  </w:style>
  <w:style w:type="paragraph" w:customStyle="1" w:styleId="597">
    <w:name w:val="正文 图"/>
    <w:basedOn w:val="126"/>
    <w:qFormat/>
    <w:uiPriority w:val="0"/>
    <w:pPr>
      <w:adjustRightInd/>
      <w:spacing w:before="0"/>
      <w:ind w:firstLine="0"/>
      <w:jc w:val="center"/>
    </w:pPr>
    <w:rPr>
      <w:rFonts w:ascii="微软雅黑" w:hAnsi="微软雅黑"/>
    </w:rPr>
  </w:style>
  <w:style w:type="paragraph" w:customStyle="1" w:styleId="598">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599">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600">
    <w:name w:val="Thf"/>
    <w:basedOn w:val="245"/>
    <w:qFormat/>
    <w:uiPriority w:val="0"/>
    <w:pPr>
      <w:ind w:left="0"/>
    </w:pPr>
  </w:style>
  <w:style w:type="paragraph" w:customStyle="1" w:styleId="601">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602">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603">
    <w:name w:val="注释"/>
    <w:basedOn w:val="1"/>
    <w:qFormat/>
    <w:uiPriority w:val="0"/>
    <w:pPr>
      <w:adjustRightInd/>
      <w:spacing w:line="360" w:lineRule="auto"/>
      <w:ind w:firstLine="480"/>
    </w:pPr>
    <w:rPr>
      <w:sz w:val="24"/>
    </w:rPr>
  </w:style>
  <w:style w:type="paragraph" w:customStyle="1" w:styleId="604">
    <w:name w:val="列出段落111"/>
    <w:basedOn w:val="1"/>
    <w:qFormat/>
    <w:uiPriority w:val="34"/>
    <w:pPr>
      <w:ind w:firstLine="420" w:firstLineChars="200"/>
    </w:pPr>
  </w:style>
  <w:style w:type="paragraph" w:customStyle="1" w:styleId="605">
    <w:name w:val="标准文本"/>
    <w:basedOn w:val="1"/>
    <w:link w:val="942"/>
    <w:qFormat/>
    <w:uiPriority w:val="0"/>
    <w:pPr>
      <w:adjustRightInd/>
      <w:spacing w:line="360" w:lineRule="auto"/>
      <w:ind w:firstLine="480" w:firstLineChars="200"/>
    </w:pPr>
    <w:rPr>
      <w:rFonts w:cs="宋体"/>
      <w:sz w:val="24"/>
      <w:szCs w:val="20"/>
    </w:rPr>
  </w:style>
  <w:style w:type="paragraph" w:customStyle="1" w:styleId="606">
    <w:name w:val="_Style 947"/>
    <w:basedOn w:val="1"/>
    <w:next w:val="100"/>
    <w:qFormat/>
    <w:uiPriority w:val="34"/>
    <w:pPr>
      <w:adjustRightInd/>
      <w:ind w:firstLine="420" w:firstLineChars="200"/>
    </w:pPr>
  </w:style>
  <w:style w:type="paragraph" w:customStyle="1" w:styleId="607">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608">
    <w:name w:val="纯文本2"/>
    <w:basedOn w:val="1"/>
    <w:qFormat/>
    <w:uiPriority w:val="0"/>
    <w:pPr>
      <w:adjustRightInd/>
      <w:snapToGrid w:val="0"/>
      <w:jc w:val="left"/>
    </w:pPr>
    <w:rPr>
      <w:rFonts w:ascii="Century Gothic" w:hAnsi="楷体_GB2312" w:eastAsia="Century Gothic"/>
      <w:szCs w:val="20"/>
    </w:rPr>
  </w:style>
  <w:style w:type="paragraph" w:customStyle="1" w:styleId="609">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610">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611">
    <w:name w:val="节"/>
    <w:basedOn w:val="4"/>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612">
    <w:name w:val="Blockquote"/>
    <w:basedOn w:val="1"/>
    <w:qFormat/>
    <w:uiPriority w:val="0"/>
    <w:pPr>
      <w:autoSpaceDE w:val="0"/>
      <w:autoSpaceDN w:val="0"/>
      <w:spacing w:before="100" w:after="100"/>
      <w:ind w:left="360" w:right="360"/>
      <w:jc w:val="left"/>
    </w:pPr>
    <w:rPr>
      <w:kern w:val="0"/>
      <w:sz w:val="24"/>
      <w:szCs w:val="20"/>
    </w:rPr>
  </w:style>
  <w:style w:type="paragraph" w:customStyle="1" w:styleId="613">
    <w:name w:val="p1"/>
    <w:basedOn w:val="1"/>
    <w:qFormat/>
    <w:uiPriority w:val="0"/>
    <w:pPr>
      <w:widowControl/>
      <w:adjustRightInd/>
      <w:jc w:val="left"/>
    </w:pPr>
    <w:rPr>
      <w:rFonts w:ascii=".PingFang SC" w:eastAsia=".PingFang SC"/>
      <w:color w:val="454545"/>
      <w:kern w:val="0"/>
      <w:sz w:val="18"/>
      <w:szCs w:val="18"/>
    </w:rPr>
  </w:style>
  <w:style w:type="paragraph" w:customStyle="1" w:styleId="614">
    <w:name w:val="Table Paragraph"/>
    <w:basedOn w:val="1"/>
    <w:qFormat/>
    <w:uiPriority w:val="0"/>
    <w:pPr>
      <w:adjustRightInd/>
      <w:jc w:val="left"/>
    </w:pPr>
    <w:rPr>
      <w:rFonts w:ascii="Calibri" w:hAnsi="Calibri"/>
      <w:kern w:val="0"/>
      <w:sz w:val="22"/>
      <w:szCs w:val="22"/>
      <w:lang w:eastAsia="en-US"/>
    </w:rPr>
  </w:style>
  <w:style w:type="paragraph" w:customStyle="1" w:styleId="615">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616">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617">
    <w:name w:val="text-tag"/>
    <w:basedOn w:val="1"/>
    <w:semiHidden/>
    <w:qFormat/>
    <w:uiPriority w:val="99"/>
    <w:pPr>
      <w:widowControl/>
      <w:adjustRightInd/>
      <w:spacing w:before="100" w:beforeAutospacing="1" w:after="100" w:afterAutospacing="1"/>
      <w:jc w:val="left"/>
    </w:pPr>
    <w:rPr>
      <w:rFonts w:ascii="宋体" w:hAnsi="宋体" w:cs="宋体"/>
      <w:kern w:val="0"/>
      <w:sz w:val="24"/>
    </w:rPr>
  </w:style>
  <w:style w:type="paragraph" w:customStyle="1" w:styleId="618">
    <w:name w:val="修订4"/>
    <w:hidden/>
    <w:semiHidden/>
    <w:qFormat/>
    <w:uiPriority w:val="99"/>
    <w:rPr>
      <w:rFonts w:ascii="Times New Roman" w:hAnsi="Times New Roman" w:eastAsia="宋体" w:cs="Times New Roman"/>
      <w:kern w:val="2"/>
      <w:sz w:val="21"/>
      <w:szCs w:val="24"/>
      <w:lang w:val="en-US" w:eastAsia="zh-CN" w:bidi="ar-SA"/>
    </w:rPr>
  </w:style>
  <w:style w:type="paragraph" w:customStyle="1" w:styleId="619">
    <w:name w:val="Plain Text"/>
    <w:basedOn w:val="1"/>
    <w:qFormat/>
    <w:uiPriority w:val="0"/>
    <w:pPr>
      <w:spacing w:before="156" w:beforeLines="50" w:after="156" w:afterLines="50" w:line="400" w:lineRule="exact"/>
    </w:pPr>
    <w:rPr>
      <w:rFonts w:ascii="宋体" w:hAnsi="Courier New"/>
      <w:sz w:val="24"/>
    </w:rPr>
  </w:style>
  <w:style w:type="paragraph" w:customStyle="1" w:styleId="620">
    <w:name w:val="Normal"/>
    <w:qFormat/>
    <w:uiPriority w:val="0"/>
    <w:pPr>
      <w:widowControl w:val="0"/>
      <w:jc w:val="both"/>
    </w:pPr>
    <w:rPr>
      <w:rFonts w:hint="eastAsia" w:ascii="Times New Roman" w:hAnsi="Times New Roman" w:eastAsia="宋体" w:cs="Times New Roman"/>
      <w:kern w:val="2"/>
      <w:sz w:val="21"/>
      <w:lang w:val="en-US" w:eastAsia="zh-CN" w:bidi="ar-SA"/>
    </w:rPr>
  </w:style>
  <w:style w:type="character" w:customStyle="1" w:styleId="621">
    <w:name w:val="表格非标题文字 Char"/>
    <w:link w:val="80"/>
    <w:qFormat/>
    <w:uiPriority w:val="0"/>
    <w:rPr>
      <w:rFonts w:ascii="Futura Bk" w:hAnsi="Futura Bk"/>
      <w:kern w:val="2"/>
      <w:sz w:val="18"/>
      <w:szCs w:val="21"/>
      <w:lang w:val="en-US" w:eastAsia="zh-CN" w:bidi="ar-SA"/>
    </w:rPr>
  </w:style>
  <w:style w:type="character" w:customStyle="1" w:styleId="622">
    <w:name w:val="*正文 Char"/>
    <w:link w:val="81"/>
    <w:qFormat/>
    <w:locked/>
    <w:uiPriority w:val="0"/>
    <w:rPr>
      <w:rFonts w:ascii="宋体" w:hAnsi="宋体"/>
      <w:sz w:val="24"/>
    </w:rPr>
  </w:style>
  <w:style w:type="character" w:customStyle="1" w:styleId="623">
    <w:name w:val="Char Char71"/>
    <w:semiHidden/>
    <w:qFormat/>
    <w:uiPriority w:val="0"/>
    <w:rPr>
      <w:rFonts w:eastAsia="宋体"/>
      <w:kern w:val="2"/>
      <w:sz w:val="21"/>
      <w:szCs w:val="24"/>
      <w:lang w:val="en-US" w:eastAsia="zh-CN" w:bidi="ar-SA"/>
    </w:rPr>
  </w:style>
  <w:style w:type="character" w:customStyle="1" w:styleId="624">
    <w:name w:val="Char Char6"/>
    <w:qFormat/>
    <w:uiPriority w:val="0"/>
    <w:rPr>
      <w:rFonts w:eastAsia="宋体"/>
      <w:kern w:val="2"/>
      <w:sz w:val="21"/>
      <w:szCs w:val="24"/>
      <w:lang w:val="en-US" w:eastAsia="zh-CN" w:bidi="ar-SA"/>
    </w:rPr>
  </w:style>
  <w:style w:type="character" w:customStyle="1" w:styleId="625">
    <w:name w:val="正文缩进 Char"/>
    <w:qFormat/>
    <w:uiPriority w:val="0"/>
    <w:rPr>
      <w:rFonts w:eastAsia="宋体"/>
      <w:kern w:val="2"/>
      <w:sz w:val="21"/>
      <w:lang w:val="en-US" w:eastAsia="zh-CN"/>
    </w:rPr>
  </w:style>
  <w:style w:type="character" w:customStyle="1" w:styleId="626">
    <w:name w:val="正文首行缩进 Char1"/>
    <w:qFormat/>
    <w:uiPriority w:val="0"/>
    <w:rPr>
      <w:rFonts w:ascii="宋体" w:hAnsi="Times New Roman" w:eastAsia="宋体" w:cs="Times New Roman"/>
      <w:snapToGrid w:val="0"/>
      <w:kern w:val="2"/>
      <w:sz w:val="24"/>
      <w:szCs w:val="21"/>
      <w:lang w:val="zh-CN"/>
    </w:rPr>
  </w:style>
  <w:style w:type="character" w:customStyle="1" w:styleId="627">
    <w:name w:val="Char Char28"/>
    <w:qFormat/>
    <w:uiPriority w:val="6"/>
    <w:rPr>
      <w:rFonts w:ascii="仿宋_GB2312" w:hAnsi="仿宋_GB2312" w:eastAsia="仿宋_GB2312"/>
      <w:kern w:val="1"/>
      <w:sz w:val="28"/>
    </w:rPr>
  </w:style>
  <w:style w:type="character" w:customStyle="1" w:styleId="628">
    <w:name w:val="标题 3 Char1"/>
    <w:qFormat/>
    <w:uiPriority w:val="0"/>
    <w:rPr>
      <w:rFonts w:hint="eastAsia" w:ascii="华文中宋" w:hAnsi="华文中宋" w:eastAsia="华文中宋"/>
      <w:b/>
      <w:bCs/>
      <w:kern w:val="2"/>
      <w:sz w:val="32"/>
      <w:szCs w:val="32"/>
      <w:lang w:val="en-US" w:eastAsia="zh-CN" w:bidi="ar-SA"/>
    </w:rPr>
  </w:style>
  <w:style w:type="character" w:customStyle="1" w:styleId="629">
    <w:name w:val="Heading 1 Char"/>
    <w:qFormat/>
    <w:uiPriority w:val="6"/>
    <w:rPr>
      <w:rFonts w:ascii="Times New Roman" w:hAnsi="Times New Roman" w:eastAsia="黑体" w:cs="Times New Roman"/>
      <w:b/>
      <w:kern w:val="0"/>
      <w:sz w:val="24"/>
      <w:szCs w:val="24"/>
    </w:rPr>
  </w:style>
  <w:style w:type="character" w:customStyle="1" w:styleId="630">
    <w:name w:val="U_正文 Char"/>
    <w:link w:val="82"/>
    <w:qFormat/>
    <w:uiPriority w:val="0"/>
    <w:rPr>
      <w:sz w:val="24"/>
      <w:szCs w:val="24"/>
    </w:rPr>
  </w:style>
  <w:style w:type="character" w:customStyle="1" w:styleId="631">
    <w:name w:val="HTML 地址 Char1"/>
    <w:qFormat/>
    <w:uiPriority w:val="0"/>
    <w:rPr>
      <w:rFonts w:ascii="Times New Roman" w:hAnsi="Times New Roman" w:eastAsia="宋体" w:cs="Times New Roman"/>
      <w:i/>
      <w:iCs/>
      <w:szCs w:val="24"/>
    </w:rPr>
  </w:style>
  <w:style w:type="character" w:customStyle="1" w:styleId="632">
    <w:name w:val="批注主题 Char1"/>
    <w:link w:val="59"/>
    <w:qFormat/>
    <w:uiPriority w:val="0"/>
    <w:rPr>
      <w:b/>
      <w:bCs/>
      <w:kern w:val="2"/>
      <w:sz w:val="21"/>
      <w:szCs w:val="24"/>
    </w:rPr>
  </w:style>
  <w:style w:type="character" w:customStyle="1" w:styleId="633">
    <w:name w:val="Char Char51"/>
    <w:qFormat/>
    <w:uiPriority w:val="0"/>
    <w:rPr>
      <w:rFonts w:ascii="宋体" w:hAnsi="Courier New" w:eastAsia="宋体"/>
      <w:kern w:val="2"/>
      <w:sz w:val="21"/>
      <w:lang w:val="en-US" w:eastAsia="zh-CN"/>
    </w:rPr>
  </w:style>
  <w:style w:type="character" w:customStyle="1" w:styleId="634">
    <w:name w:val="表正文 Char"/>
    <w:qFormat/>
    <w:uiPriority w:val="0"/>
    <w:rPr>
      <w:rFonts w:ascii="宋体" w:eastAsia="宋体"/>
      <w:snapToGrid w:val="0"/>
      <w:color w:val="000000"/>
      <w:kern w:val="28"/>
      <w:sz w:val="28"/>
      <w:lang w:val="en-US" w:eastAsia="zh-CN" w:bidi="ar-SA"/>
    </w:rPr>
  </w:style>
  <w:style w:type="character" w:customStyle="1" w:styleId="635">
    <w:name w:val="Char Char34"/>
    <w:qFormat/>
    <w:uiPriority w:val="6"/>
    <w:rPr>
      <w:b/>
      <w:kern w:val="1"/>
      <w:sz w:val="28"/>
      <w:szCs w:val="28"/>
    </w:rPr>
  </w:style>
  <w:style w:type="character" w:customStyle="1" w:styleId="636">
    <w:name w:val="Normal Indent Char"/>
    <w:qFormat/>
    <w:locked/>
    <w:uiPriority w:val="0"/>
    <w:rPr>
      <w:rFonts w:ascii="Calibri" w:hAnsi="Calibri" w:eastAsia="宋体" w:cs="黑体"/>
      <w:snapToGrid w:val="0"/>
      <w:kern w:val="2"/>
      <w:sz w:val="24"/>
      <w:szCs w:val="22"/>
      <w:lang w:val="en-US" w:eastAsia="zh-CN" w:bidi="ar-SA"/>
    </w:rPr>
  </w:style>
  <w:style w:type="character" w:customStyle="1" w:styleId="637">
    <w:name w:val="哈哈正文 Char"/>
    <w:link w:val="83"/>
    <w:qFormat/>
    <w:uiPriority w:val="0"/>
    <w:rPr>
      <w:rFonts w:ascii="宋体" w:hAnsi="宋体" w:eastAsia="宋体"/>
      <w:kern w:val="2"/>
      <w:sz w:val="24"/>
      <w:lang w:bidi="ar-SA"/>
    </w:rPr>
  </w:style>
  <w:style w:type="character" w:customStyle="1" w:styleId="638">
    <w:name w:val="未处理的提及1"/>
    <w:qFormat/>
    <w:uiPriority w:val="0"/>
    <w:rPr>
      <w:color w:val="808080"/>
      <w:shd w:val="clear" w:color="auto" w:fill="E6E6E6"/>
    </w:rPr>
  </w:style>
  <w:style w:type="character" w:customStyle="1" w:styleId="639">
    <w:name w:val="txt"/>
    <w:qFormat/>
    <w:uiPriority w:val="0"/>
    <w:rPr>
      <w:rFonts w:ascii="仿宋_GB2312" w:eastAsia="微软雅黑"/>
      <w:b/>
      <w:kern w:val="2"/>
      <w:sz w:val="32"/>
      <w:szCs w:val="32"/>
      <w:lang w:val="en-US" w:eastAsia="zh-CN" w:bidi="ar-SA"/>
    </w:rPr>
  </w:style>
  <w:style w:type="character" w:customStyle="1" w:styleId="640">
    <w:name w:val="二级标题 Char Char"/>
    <w:qFormat/>
    <w:uiPriority w:val="0"/>
    <w:rPr>
      <w:rFonts w:ascii="宋体" w:hAnsi="宋体" w:eastAsia="宋体"/>
      <w:b/>
      <w:snapToGrid w:val="0"/>
      <w:kern w:val="2"/>
      <w:sz w:val="24"/>
      <w:szCs w:val="24"/>
      <w:lang w:val="en-US" w:eastAsia="zh-CN" w:bidi="ar-SA"/>
    </w:rPr>
  </w:style>
  <w:style w:type="character" w:customStyle="1" w:styleId="641">
    <w:name w:val="Char Char32"/>
    <w:qFormat/>
    <w:uiPriority w:val="6"/>
    <w:rPr>
      <w:b/>
      <w:kern w:val="1"/>
      <w:sz w:val="24"/>
      <w:szCs w:val="24"/>
    </w:rPr>
  </w:style>
  <w:style w:type="character" w:customStyle="1" w:styleId="642">
    <w:name w:val="PI Char1"/>
    <w:qFormat/>
    <w:uiPriority w:val="0"/>
    <w:rPr>
      <w:rFonts w:ascii="宋体" w:hAnsi="宋体"/>
      <w:kern w:val="2"/>
      <w:sz w:val="24"/>
      <w:szCs w:val="24"/>
    </w:rPr>
  </w:style>
  <w:style w:type="character" w:customStyle="1" w:styleId="643">
    <w:name w:val="tw4winTerm"/>
    <w:qFormat/>
    <w:uiPriority w:val="0"/>
    <w:rPr>
      <w:color w:val="0000FF"/>
    </w:rPr>
  </w:style>
  <w:style w:type="character" w:customStyle="1" w:styleId="644">
    <w:name w:val="Footer Char"/>
    <w:qFormat/>
    <w:locked/>
    <w:uiPriority w:val="0"/>
    <w:rPr>
      <w:rFonts w:eastAsia="宋体"/>
      <w:kern w:val="2"/>
      <w:sz w:val="18"/>
      <w:lang w:val="en-US" w:eastAsia="zh-CN" w:bidi="ar-SA"/>
    </w:rPr>
  </w:style>
  <w:style w:type="character" w:customStyle="1" w:styleId="645">
    <w:name w:val="普通文字 Char Char1"/>
    <w:qFormat/>
    <w:uiPriority w:val="0"/>
    <w:rPr>
      <w:rFonts w:ascii="宋体" w:hAnsi="Courier New"/>
      <w:kern w:val="2"/>
      <w:sz w:val="21"/>
    </w:rPr>
  </w:style>
  <w:style w:type="character" w:customStyle="1" w:styleId="646">
    <w:name w:val="Char Char101"/>
    <w:qFormat/>
    <w:uiPriority w:val="6"/>
    <w:rPr>
      <w:rFonts w:ascii="宋体" w:hAnsi="宋体"/>
      <w:kern w:val="2"/>
      <w:sz w:val="21"/>
      <w:szCs w:val="24"/>
      <w:lang w:val="en-US" w:eastAsia="zh-CN"/>
    </w:rPr>
  </w:style>
  <w:style w:type="character" w:customStyle="1" w:styleId="647">
    <w:name w:val="标题 4 Char"/>
    <w:qFormat/>
    <w:uiPriority w:val="0"/>
    <w:rPr>
      <w:rFonts w:ascii="Arial" w:hAnsi="Arial" w:eastAsia="黑体"/>
      <w:b/>
      <w:kern w:val="2"/>
      <w:sz w:val="28"/>
    </w:rPr>
  </w:style>
  <w:style w:type="character" w:customStyle="1" w:styleId="648">
    <w:name w:val="链接"/>
    <w:qFormat/>
    <w:uiPriority w:val="0"/>
    <w:rPr>
      <w:color w:val="0000FF"/>
      <w:sz w:val="21"/>
      <w:szCs w:val="21"/>
      <w:u w:val="single"/>
    </w:rPr>
  </w:style>
  <w:style w:type="character" w:customStyle="1" w:styleId="649">
    <w:name w:val="h4 Char"/>
    <w:qFormat/>
    <w:uiPriority w:val="0"/>
    <w:rPr>
      <w:rFonts w:ascii="Arial" w:hAnsi="Arial" w:eastAsia="黑体"/>
      <w:b/>
      <w:bCs/>
      <w:kern w:val="2"/>
      <w:sz w:val="28"/>
      <w:szCs w:val="28"/>
      <w:lang w:val="zh-CN" w:eastAsia="zh-CN" w:bidi="ar-SA"/>
    </w:rPr>
  </w:style>
  <w:style w:type="character" w:customStyle="1" w:styleId="650">
    <w:name w:val="5正文 Char"/>
    <w:link w:val="84"/>
    <w:qFormat/>
    <w:uiPriority w:val="0"/>
    <w:rPr>
      <w:rFonts w:ascii="仿宋_GB2312" w:hAnsi="微软雅黑" w:eastAsia="仿宋_GB2312"/>
      <w:sz w:val="28"/>
      <w:szCs w:val="21"/>
    </w:rPr>
  </w:style>
  <w:style w:type="character" w:customStyle="1" w:styleId="651">
    <w:name w:val="标题 3 字符"/>
    <w:qFormat/>
    <w:uiPriority w:val="9"/>
    <w:rPr>
      <w:b/>
      <w:bCs/>
      <w:kern w:val="2"/>
      <w:sz w:val="32"/>
      <w:szCs w:val="32"/>
    </w:rPr>
  </w:style>
  <w:style w:type="character" w:customStyle="1" w:styleId="652">
    <w:name w:val="样式6 Char"/>
    <w:qFormat/>
    <w:uiPriority w:val="0"/>
    <w:rPr>
      <w:rFonts w:ascii="仿宋_GB2312" w:hAnsi="宋体" w:eastAsia="仿宋_GB2312"/>
      <w:b/>
      <w:bCs/>
      <w:kern w:val="2"/>
      <w:sz w:val="24"/>
      <w:szCs w:val="24"/>
      <w:lang w:val="en-US" w:eastAsia="zh-CN" w:bidi="ar-SA"/>
    </w:rPr>
  </w:style>
  <w:style w:type="character" w:customStyle="1" w:styleId="653">
    <w:name w:val="Char Char14"/>
    <w:qFormat/>
    <w:uiPriority w:val="6"/>
    <w:rPr>
      <w:rFonts w:ascii="黑体" w:hAnsi="黑体" w:eastAsia="黑体"/>
    </w:rPr>
  </w:style>
  <w:style w:type="character" w:customStyle="1" w:styleId="654">
    <w:name w:val="Heading 2 Hidden Char"/>
    <w:qFormat/>
    <w:uiPriority w:val="0"/>
    <w:rPr>
      <w:rFonts w:ascii="仿宋_GB2312" w:eastAsia="仿宋_GB2312"/>
      <w:b/>
      <w:bCs/>
      <w:kern w:val="2"/>
      <w:sz w:val="24"/>
      <w:szCs w:val="24"/>
      <w:lang w:val="zh-CN" w:eastAsia="zh-CN" w:bidi="ar-SA"/>
    </w:rPr>
  </w:style>
  <w:style w:type="character" w:customStyle="1" w:styleId="655">
    <w:name w:val="正文首行缩进 2 Char"/>
    <w:link w:val="61"/>
    <w:qFormat/>
    <w:uiPriority w:val="0"/>
    <w:rPr>
      <w:rFonts w:ascii="宋体" w:hAnsi="宋体"/>
      <w:kern w:val="2"/>
      <w:sz w:val="21"/>
      <w:szCs w:val="24"/>
    </w:rPr>
  </w:style>
  <w:style w:type="character" w:customStyle="1" w:styleId="656">
    <w:name w:val="font11"/>
    <w:qFormat/>
    <w:uiPriority w:val="0"/>
    <w:rPr>
      <w:rFonts w:hint="default" w:ascii="Times New Roman" w:hAnsi="Times New Roman" w:cs="Times New Roman"/>
      <w:color w:val="000000"/>
      <w:sz w:val="22"/>
      <w:szCs w:val="22"/>
      <w:u w:val="none"/>
    </w:rPr>
  </w:style>
  <w:style w:type="character" w:customStyle="1" w:styleId="657">
    <w:name w:val="表正文 Char1"/>
    <w:qFormat/>
    <w:uiPriority w:val="0"/>
    <w:rPr>
      <w:rFonts w:ascii="宋体" w:eastAsia="宋体"/>
      <w:snapToGrid w:val="0"/>
      <w:color w:val="000000"/>
      <w:kern w:val="28"/>
      <w:sz w:val="28"/>
    </w:rPr>
  </w:style>
  <w:style w:type="character" w:customStyle="1" w:styleId="658">
    <w:name w:val="blue1"/>
    <w:basedOn w:val="69"/>
    <w:qFormat/>
    <w:uiPriority w:val="0"/>
    <w:rPr>
      <w:rFonts w:ascii="Arial" w:hAnsi="Arial" w:eastAsia="黑体" w:cs="Arial"/>
      <w:snapToGrid w:val="0"/>
      <w:kern w:val="0"/>
      <w:szCs w:val="21"/>
    </w:rPr>
  </w:style>
  <w:style w:type="character" w:customStyle="1" w:styleId="659">
    <w:name w:val="纯文本 Char"/>
    <w:link w:val="33"/>
    <w:qFormat/>
    <w:uiPriority w:val="0"/>
    <w:rPr>
      <w:rFonts w:ascii="宋体" w:hAnsi="Courier New" w:eastAsia="宋体" w:cs="Arial"/>
      <w:snapToGrid w:val="0"/>
      <w:kern w:val="2"/>
      <w:sz w:val="21"/>
      <w:szCs w:val="21"/>
      <w:lang w:val="en-US" w:eastAsia="zh-CN" w:bidi="ar-SA"/>
    </w:rPr>
  </w:style>
  <w:style w:type="character" w:customStyle="1" w:styleId="660">
    <w:name w:val="标书1 Char"/>
    <w:qFormat/>
    <w:uiPriority w:val="0"/>
    <w:rPr>
      <w:rFonts w:eastAsia="宋体"/>
      <w:b/>
      <w:bCs/>
      <w:kern w:val="44"/>
      <w:sz w:val="44"/>
      <w:szCs w:val="44"/>
      <w:lang w:val="en-US" w:eastAsia="zh-CN" w:bidi="ar-SA"/>
    </w:rPr>
  </w:style>
  <w:style w:type="character" w:customStyle="1" w:styleId="661">
    <w:name w:val="样式5 Char"/>
    <w:qFormat/>
    <w:uiPriority w:val="0"/>
    <w:rPr>
      <w:rFonts w:ascii="仿宋_GB2312" w:hAnsi="仿宋" w:eastAsia="仿宋_GB2312"/>
      <w:kern w:val="2"/>
      <w:sz w:val="24"/>
      <w:szCs w:val="24"/>
    </w:rPr>
  </w:style>
  <w:style w:type="character" w:customStyle="1" w:styleId="662">
    <w:name w:val="样式4 Char"/>
    <w:qFormat/>
    <w:uiPriority w:val="0"/>
    <w:rPr>
      <w:rFonts w:ascii="仿宋_GB2312" w:hAnsi="仿宋" w:eastAsia="仿宋_GB2312"/>
      <w:b/>
      <w:kern w:val="2"/>
      <w:sz w:val="32"/>
      <w:szCs w:val="32"/>
      <w:lang w:bidi="ar-SA"/>
    </w:rPr>
  </w:style>
  <w:style w:type="character" w:customStyle="1" w:styleId="663">
    <w:name w:val="插图说明 Char"/>
    <w:qFormat/>
    <w:uiPriority w:val="0"/>
    <w:rPr>
      <w:rFonts w:eastAsia="黑体"/>
      <w:sz w:val="24"/>
      <w:lang w:val="en-US" w:eastAsia="zh-CN"/>
    </w:rPr>
  </w:style>
  <w:style w:type="character" w:customStyle="1" w:styleId="664">
    <w:name w:val="正文2 Char Char"/>
    <w:link w:val="85"/>
    <w:qFormat/>
    <w:uiPriority w:val="0"/>
    <w:rPr>
      <w:rFonts w:eastAsia="宋体"/>
      <w:kern w:val="2"/>
      <w:sz w:val="24"/>
      <w:lang w:val="en-US" w:eastAsia="zh-CN" w:bidi="ar-SA"/>
    </w:rPr>
  </w:style>
  <w:style w:type="character" w:customStyle="1" w:styleId="665">
    <w:name w:val="Char Char24"/>
    <w:qFormat/>
    <w:uiPriority w:val="6"/>
    <w:rPr>
      <w:kern w:val="1"/>
      <w:sz w:val="21"/>
    </w:rPr>
  </w:style>
  <w:style w:type="character" w:customStyle="1" w:styleId="666">
    <w:name w:val="副标题 Char"/>
    <w:link w:val="46"/>
    <w:qFormat/>
    <w:uiPriority w:val="0"/>
    <w:rPr>
      <w:rFonts w:ascii="Arial" w:hAnsi="Arial" w:eastAsia="隶书"/>
      <w:b/>
      <w:bCs/>
      <w:kern w:val="28"/>
      <w:sz w:val="44"/>
      <w:szCs w:val="32"/>
      <w:lang w:val="en-US" w:eastAsia="zh-CN" w:bidi="ar-SA"/>
    </w:rPr>
  </w:style>
  <w:style w:type="character" w:customStyle="1" w:styleId="667">
    <w:name w:val="普通文字 Char1 Char"/>
    <w:qFormat/>
    <w:uiPriority w:val="0"/>
    <w:rPr>
      <w:rFonts w:ascii="宋体" w:hAnsi="Courier New" w:eastAsia="宋体"/>
      <w:kern w:val="2"/>
      <w:sz w:val="21"/>
      <w:szCs w:val="24"/>
      <w:lang w:val="en-US" w:eastAsia="zh-CN" w:bidi="ar-SA"/>
    </w:rPr>
  </w:style>
  <w:style w:type="character" w:customStyle="1" w:styleId="668">
    <w:name w:val="h3 Char1"/>
    <w:qFormat/>
    <w:uiPriority w:val="0"/>
    <w:rPr>
      <w:rFonts w:eastAsia="宋体"/>
      <w:b/>
      <w:bCs/>
      <w:kern w:val="2"/>
      <w:sz w:val="32"/>
      <w:szCs w:val="32"/>
      <w:lang w:bidi="ar-SA"/>
    </w:rPr>
  </w:style>
  <w:style w:type="character" w:customStyle="1" w:styleId="669">
    <w:name w:val="标题 Char1"/>
    <w:qFormat/>
    <w:uiPriority w:val="0"/>
    <w:rPr>
      <w:rFonts w:ascii="Cambria" w:hAnsi="Cambria" w:eastAsia="宋体" w:cs="Times New Roman"/>
      <w:b/>
      <w:bCs/>
      <w:sz w:val="32"/>
      <w:szCs w:val="32"/>
      <w:lang w:bidi="ar-SA"/>
    </w:rPr>
  </w:style>
  <w:style w:type="character" w:customStyle="1" w:styleId="670">
    <w:name w:val="gf正文1 Char"/>
    <w:qFormat/>
    <w:uiPriority w:val="0"/>
    <w:rPr>
      <w:rFonts w:ascii="宋体" w:hAnsi="宋体" w:eastAsia="宋体" w:cs="宋体"/>
      <w:kern w:val="2"/>
      <w:sz w:val="24"/>
      <w:szCs w:val="24"/>
      <w:lang w:val="en-US" w:eastAsia="zh-CN" w:bidi="ar-SA"/>
    </w:rPr>
  </w:style>
  <w:style w:type="character" w:customStyle="1" w:styleId="671">
    <w:name w:val="正文文本缩进 Char1"/>
    <w:qFormat/>
    <w:uiPriority w:val="0"/>
    <w:rPr>
      <w:rFonts w:ascii="Calibri" w:hAnsi="Calibri"/>
      <w:sz w:val="28"/>
    </w:rPr>
  </w:style>
  <w:style w:type="character" w:customStyle="1" w:styleId="672">
    <w:name w:val="No Spacing Char"/>
    <w:link w:val="86"/>
    <w:qFormat/>
    <w:uiPriority w:val="1"/>
    <w:rPr>
      <w:sz w:val="22"/>
      <w:szCs w:val="22"/>
      <w:lang w:val="en-US" w:eastAsia="zh-CN" w:bidi="ar-SA"/>
    </w:rPr>
  </w:style>
  <w:style w:type="character" w:customStyle="1" w:styleId="673">
    <w:name w:val="样式7 Char"/>
    <w:qFormat/>
    <w:uiPriority w:val="0"/>
    <w:rPr>
      <w:rFonts w:ascii="仿宋_GB2312" w:hAnsi="仿宋" w:eastAsia="仿宋_GB2312"/>
      <w:b/>
      <w:kern w:val="2"/>
      <w:sz w:val="24"/>
      <w:szCs w:val="24"/>
    </w:rPr>
  </w:style>
  <w:style w:type="character" w:customStyle="1" w:styleId="674">
    <w:name w:val="font12gray1"/>
    <w:qFormat/>
    <w:uiPriority w:val="0"/>
    <w:rPr>
      <w:rFonts w:ascii="仿宋_GB2312" w:eastAsia="微软雅黑"/>
      <w:b/>
      <w:spacing w:val="300"/>
      <w:kern w:val="2"/>
      <w:sz w:val="18"/>
      <w:szCs w:val="18"/>
      <w:lang w:val="en-US" w:eastAsia="zh-CN" w:bidi="ar-SA"/>
    </w:rPr>
  </w:style>
  <w:style w:type="character" w:customStyle="1" w:styleId="675">
    <w:name w:val="Char Char7"/>
    <w:semiHidden/>
    <w:qFormat/>
    <w:uiPriority w:val="0"/>
    <w:rPr>
      <w:rFonts w:eastAsia="宋体"/>
      <w:kern w:val="2"/>
      <w:sz w:val="21"/>
      <w:szCs w:val="24"/>
      <w:lang w:val="en-US" w:eastAsia="zh-CN" w:bidi="ar-SA"/>
    </w:rPr>
  </w:style>
  <w:style w:type="character" w:customStyle="1" w:styleId="676">
    <w:name w:val="表名 Char"/>
    <w:qFormat/>
    <w:uiPriority w:val="0"/>
    <w:rPr>
      <w:rFonts w:eastAsia="宋体"/>
      <w:b/>
      <w:bCs/>
      <w:kern w:val="2"/>
      <w:sz w:val="24"/>
      <w:szCs w:val="24"/>
      <w:lang w:val="en-US" w:eastAsia="zh-CN" w:bidi="ar-SA"/>
    </w:rPr>
  </w:style>
  <w:style w:type="character" w:customStyle="1" w:styleId="677">
    <w:name w:val="Document Map Char"/>
    <w:qFormat/>
    <w:locked/>
    <w:uiPriority w:val="0"/>
    <w:rPr>
      <w:rFonts w:eastAsia="宋体"/>
      <w:kern w:val="2"/>
      <w:sz w:val="21"/>
      <w:szCs w:val="24"/>
      <w:lang w:val="en-US" w:eastAsia="zh-CN" w:bidi="ar-SA"/>
    </w:rPr>
  </w:style>
  <w:style w:type="character" w:customStyle="1" w:styleId="678">
    <w:name w:val="font41"/>
    <w:qFormat/>
    <w:uiPriority w:val="0"/>
    <w:rPr>
      <w:rFonts w:hint="eastAsia" w:ascii="仿宋_GB2312" w:eastAsia="仿宋_GB2312" w:cs="仿宋_GB2312"/>
      <w:color w:val="000000"/>
      <w:sz w:val="22"/>
      <w:szCs w:val="22"/>
      <w:u w:val="none"/>
    </w:rPr>
  </w:style>
  <w:style w:type="character" w:customStyle="1" w:styleId="679">
    <w:name w:val="标题 6 Char"/>
    <w:link w:val="10"/>
    <w:qFormat/>
    <w:uiPriority w:val="0"/>
    <w:rPr>
      <w:rFonts w:ascii="Arial" w:hAnsi="Arial" w:eastAsia="黑体"/>
      <w:b/>
      <w:bCs/>
      <w:kern w:val="2"/>
      <w:sz w:val="24"/>
      <w:szCs w:val="24"/>
    </w:rPr>
  </w:style>
  <w:style w:type="character" w:customStyle="1" w:styleId="680">
    <w:name w:val="纯文本 Char_0"/>
    <w:link w:val="87"/>
    <w:qFormat/>
    <w:uiPriority w:val="0"/>
    <w:rPr>
      <w:rFonts w:ascii="宋体" w:hAnsi="Courier New"/>
      <w:kern w:val="2"/>
      <w:sz w:val="21"/>
      <w:szCs w:val="21"/>
      <w:lang w:val="en-US" w:eastAsia="zh-CN"/>
    </w:rPr>
  </w:style>
  <w:style w:type="character" w:customStyle="1" w:styleId="681">
    <w:name w:val="Balloon Text Char"/>
    <w:qFormat/>
    <w:locked/>
    <w:uiPriority w:val="0"/>
    <w:rPr>
      <w:rFonts w:eastAsia="宋体"/>
      <w:kern w:val="2"/>
      <w:sz w:val="18"/>
      <w:szCs w:val="18"/>
      <w:lang w:val="en-US" w:eastAsia="zh-CN" w:bidi="ar-SA"/>
    </w:rPr>
  </w:style>
  <w:style w:type="character" w:customStyle="1" w:styleId="682">
    <w:name w:val="正文 项目2 Char"/>
    <w:basedOn w:val="683"/>
    <w:qFormat/>
    <w:uiPriority w:val="0"/>
    <w:rPr>
      <w:rFonts w:ascii="仿宋_GB2312" w:hAnsi="仿宋_GB2312" w:eastAsia="仿宋_GB2312"/>
      <w:kern w:val="2"/>
      <w:sz w:val="24"/>
      <w:lang w:bidi="ar-SA"/>
    </w:rPr>
  </w:style>
  <w:style w:type="character" w:customStyle="1" w:styleId="683">
    <w:name w:val="正文 项目 Char"/>
    <w:qFormat/>
    <w:uiPriority w:val="0"/>
    <w:rPr>
      <w:rFonts w:ascii="仿宋_GB2312" w:hAnsi="仿宋_GB2312" w:eastAsia="仿宋_GB2312"/>
      <w:kern w:val="2"/>
      <w:sz w:val="24"/>
      <w:lang w:bidi="ar-SA"/>
    </w:rPr>
  </w:style>
  <w:style w:type="character" w:customStyle="1" w:styleId="684">
    <w:name w:val="h Char Char1"/>
    <w:qFormat/>
    <w:uiPriority w:val="0"/>
    <w:rPr>
      <w:rFonts w:eastAsia="宋体"/>
      <w:kern w:val="2"/>
      <w:sz w:val="18"/>
      <w:szCs w:val="18"/>
      <w:lang w:val="en-US" w:eastAsia="zh-CN" w:bidi="ar-SA"/>
    </w:rPr>
  </w:style>
  <w:style w:type="character" w:customStyle="1" w:styleId="685">
    <w:name w:val="Char Char27"/>
    <w:qFormat/>
    <w:uiPriority w:val="6"/>
    <w:rPr>
      <w:rFonts w:ascii="宋体" w:hAnsi="宋体" w:eastAsia="宋体"/>
      <w:color w:val="000000"/>
      <w:kern w:val="1"/>
      <w:sz w:val="28"/>
      <w:lang w:val="en-US" w:eastAsia="zh-CN" w:bidi="ar-SA"/>
    </w:rPr>
  </w:style>
  <w:style w:type="character" w:customStyle="1" w:styleId="686">
    <w:name w:val="px14"/>
    <w:qFormat/>
    <w:uiPriority w:val="0"/>
    <w:rPr>
      <w:rFonts w:ascii="仿宋_GB2312" w:eastAsia="微软雅黑" w:cs="Times New Roman"/>
      <w:b/>
      <w:kern w:val="2"/>
      <w:sz w:val="32"/>
      <w:szCs w:val="32"/>
      <w:lang w:val="en-US" w:eastAsia="zh-CN" w:bidi="ar-SA"/>
    </w:rPr>
  </w:style>
  <w:style w:type="character" w:customStyle="1" w:styleId="687">
    <w:name w:val="HTML 预设格式 Char1"/>
    <w:qFormat/>
    <w:uiPriority w:val="0"/>
    <w:rPr>
      <w:rFonts w:ascii="Courier New" w:hAnsi="Courier New" w:eastAsia="宋体" w:cs="Courier New"/>
      <w:sz w:val="20"/>
      <w:szCs w:val="20"/>
    </w:rPr>
  </w:style>
  <w:style w:type="character" w:customStyle="1" w:styleId="688">
    <w:name w:val="普通文字 Char1"/>
    <w:qFormat/>
    <w:uiPriority w:val="0"/>
    <w:rPr>
      <w:rFonts w:ascii="宋体" w:hAnsi="Courier New" w:eastAsia="宋体"/>
      <w:kern w:val="2"/>
      <w:sz w:val="21"/>
      <w:lang w:val="en-US" w:eastAsia="zh-CN"/>
    </w:rPr>
  </w:style>
  <w:style w:type="character" w:customStyle="1" w:styleId="689">
    <w:name w:val="hei16b1"/>
    <w:qFormat/>
    <w:uiPriority w:val="0"/>
    <w:rPr>
      <w:rFonts w:hint="default" w:ascii="Arial" w:hAnsi="Arial" w:cs="Arial"/>
      <w:b/>
      <w:bCs/>
      <w:color w:val="000000"/>
      <w:sz w:val="24"/>
      <w:szCs w:val="24"/>
    </w:rPr>
  </w:style>
  <w:style w:type="character" w:customStyle="1" w:styleId="690">
    <w:name w:val="正文（绿盟科技） Char"/>
    <w:link w:val="89"/>
    <w:qFormat/>
    <w:uiPriority w:val="0"/>
    <w:rPr>
      <w:rFonts w:ascii="Arial" w:hAnsi="Arial"/>
      <w:sz w:val="21"/>
      <w:szCs w:val="21"/>
    </w:rPr>
  </w:style>
  <w:style w:type="character" w:customStyle="1" w:styleId="691">
    <w:name w:val="Char Char19"/>
    <w:qFormat/>
    <w:uiPriority w:val="6"/>
    <w:rPr>
      <w:rFonts w:ascii="宋体" w:hAnsi="宋体"/>
      <w:i/>
      <w:sz w:val="24"/>
      <w:szCs w:val="24"/>
    </w:rPr>
  </w:style>
  <w:style w:type="character" w:customStyle="1" w:styleId="692">
    <w:name w:val="页脚 Char"/>
    <w:qFormat/>
    <w:uiPriority w:val="0"/>
    <w:rPr>
      <w:rFonts w:eastAsia="仿宋_GB2312"/>
      <w:kern w:val="2"/>
      <w:sz w:val="18"/>
      <w:lang w:val="en-US" w:eastAsia="zh-CN"/>
    </w:rPr>
  </w:style>
  <w:style w:type="character" w:customStyle="1" w:styleId="693">
    <w:name w:val="批注主题 Char"/>
    <w:qFormat/>
    <w:uiPriority w:val="0"/>
    <w:rPr>
      <w:rFonts w:eastAsia="宋体"/>
      <w:b/>
      <w:bCs/>
      <w:kern w:val="2"/>
      <w:sz w:val="21"/>
      <w:szCs w:val="24"/>
      <w:lang w:val="en-US" w:eastAsia="zh-CN" w:bidi="ar-SA"/>
    </w:rPr>
  </w:style>
  <w:style w:type="character" w:customStyle="1" w:styleId="694">
    <w:name w:val="Comment Text Char"/>
    <w:qFormat/>
    <w:locked/>
    <w:uiPriority w:val="0"/>
    <w:rPr>
      <w:rFonts w:ascii="宋体" w:hAnsi="宋体" w:eastAsia="宋体"/>
      <w:kern w:val="2"/>
      <w:sz w:val="24"/>
      <w:lang w:val="en-US" w:eastAsia="zh-CN" w:bidi="ar-SA"/>
    </w:rPr>
  </w:style>
  <w:style w:type="character" w:customStyle="1" w:styleId="695">
    <w:name w:val="标题 2 字符"/>
    <w:qFormat/>
    <w:uiPriority w:val="1"/>
    <w:rPr>
      <w:rFonts w:ascii="仿宋_GB2312" w:hAnsi="Times New Roman" w:eastAsia="仿宋_GB2312" w:cs="Times New Roman"/>
      <w:b/>
      <w:kern w:val="2"/>
      <w:sz w:val="24"/>
      <w:lang w:val="zh-CN"/>
    </w:rPr>
  </w:style>
  <w:style w:type="character" w:customStyle="1" w:styleId="696">
    <w:name w:val="Char Char72"/>
    <w:qFormat/>
    <w:uiPriority w:val="0"/>
    <w:rPr>
      <w:rFonts w:eastAsia="宋体"/>
      <w:kern w:val="2"/>
      <w:sz w:val="21"/>
      <w:szCs w:val="24"/>
      <w:lang w:val="en-US" w:eastAsia="zh-CN" w:bidi="ar-SA"/>
    </w:rPr>
  </w:style>
  <w:style w:type="character" w:customStyle="1" w:styleId="697">
    <w:name w:val="正文文本缩进 Char2"/>
    <w:qFormat/>
    <w:uiPriority w:val="0"/>
    <w:rPr>
      <w:rFonts w:ascii="Times New Roman" w:hAnsi="Times New Roman" w:eastAsia="宋体" w:cs="Times New Roman"/>
      <w:snapToGrid w:val="0"/>
      <w:kern w:val="0"/>
      <w:szCs w:val="24"/>
    </w:rPr>
  </w:style>
  <w:style w:type="character" w:customStyle="1" w:styleId="698">
    <w:name w:val="样式2 Char"/>
    <w:qFormat/>
    <w:uiPriority w:val="0"/>
    <w:rPr>
      <w:rFonts w:ascii="仿宋_GB2312" w:hAnsi="仿宋" w:eastAsia="仿宋_GB2312" w:cs="仿宋_GB2312"/>
      <w:b/>
      <w:bCs/>
      <w:sz w:val="32"/>
      <w:szCs w:val="30"/>
      <w:lang w:val="zh-CN"/>
    </w:rPr>
  </w:style>
  <w:style w:type="character" w:customStyle="1" w:styleId="699">
    <w:name w:val="表格名称[858D7CFB-ED40-4347-BF05-701D383B685F]"/>
    <w:link w:val="90"/>
    <w:qFormat/>
    <w:uiPriority w:val="0"/>
    <w:rPr>
      <w:sz w:val="32"/>
    </w:rPr>
  </w:style>
  <w:style w:type="character" w:customStyle="1" w:styleId="700">
    <w:name w:val="Char Char4"/>
    <w:qFormat/>
    <w:uiPriority w:val="0"/>
    <w:rPr>
      <w:rFonts w:eastAsia="宋体"/>
      <w:b/>
      <w:sz w:val="24"/>
      <w:lang w:eastAsia="zh-CN" w:bidi="ar-SA"/>
    </w:rPr>
  </w:style>
  <w:style w:type="character" w:customStyle="1" w:styleId="701">
    <w:name w:val="c7 style3"/>
    <w:qFormat/>
    <w:uiPriority w:val="0"/>
  </w:style>
  <w:style w:type="character" w:customStyle="1" w:styleId="702">
    <w:name w:val="正文文本 3 Char1"/>
    <w:semiHidden/>
    <w:qFormat/>
    <w:uiPriority w:val="99"/>
    <w:rPr>
      <w:rFonts w:ascii="Times New Roman" w:hAnsi="Times New Roman" w:eastAsia="宋体" w:cs="Times New Roman"/>
      <w:sz w:val="16"/>
      <w:szCs w:val="16"/>
    </w:rPr>
  </w:style>
  <w:style w:type="character" w:customStyle="1" w:styleId="703">
    <w:name w:val="tw4winInternal"/>
    <w:qFormat/>
    <w:uiPriority w:val="0"/>
    <w:rPr>
      <w:rFonts w:ascii="Courier New" w:hAnsi="Courier New" w:cs="Courier New"/>
      <w:color w:val="FF0000"/>
      <w:lang w:val="en-US" w:eastAsia="zh-CN"/>
    </w:rPr>
  </w:style>
  <w:style w:type="character" w:customStyle="1" w:styleId="704">
    <w:name w:val="Char Char10"/>
    <w:semiHidden/>
    <w:qFormat/>
    <w:uiPriority w:val="0"/>
    <w:rPr>
      <w:rFonts w:ascii="宋体" w:hAnsi="宋体"/>
      <w:kern w:val="2"/>
      <w:sz w:val="21"/>
      <w:szCs w:val="24"/>
      <w:lang w:val="en-US" w:eastAsia="zh-CN"/>
    </w:rPr>
  </w:style>
  <w:style w:type="character" w:customStyle="1" w:styleId="705">
    <w:name w:val="shadow11"/>
    <w:qFormat/>
    <w:uiPriority w:val="0"/>
    <w:rPr>
      <w:color w:val="000000"/>
      <w:sz w:val="21"/>
    </w:rPr>
  </w:style>
  <w:style w:type="character" w:customStyle="1" w:styleId="706">
    <w:name w:val="正文非缩进 Char3"/>
    <w:qFormat/>
    <w:uiPriority w:val="0"/>
    <w:rPr>
      <w:rFonts w:ascii="宋体" w:eastAsia="宋体"/>
      <w:snapToGrid w:val="0"/>
      <w:color w:val="000000"/>
      <w:kern w:val="28"/>
      <w:sz w:val="28"/>
      <w:lang w:val="en-US" w:eastAsia="zh-CN" w:bidi="ar-SA"/>
    </w:rPr>
  </w:style>
  <w:style w:type="character" w:customStyle="1" w:styleId="707">
    <w:name w:val="Char Char"/>
    <w:qFormat/>
    <w:uiPriority w:val="0"/>
    <w:rPr>
      <w:rFonts w:ascii="宋体" w:hAnsi="Courier New" w:eastAsia="宋体"/>
      <w:kern w:val="2"/>
      <w:sz w:val="21"/>
      <w:lang w:val="en-US" w:eastAsia="zh-CN" w:bidi="ar-SA"/>
    </w:rPr>
  </w:style>
  <w:style w:type="character" w:customStyle="1" w:styleId="708">
    <w:name w:val="签名 Char1"/>
    <w:qFormat/>
    <w:uiPriority w:val="0"/>
    <w:rPr>
      <w:rFonts w:ascii="Times New Roman" w:hAnsi="Times New Roman" w:eastAsia="宋体" w:cs="Times New Roman"/>
      <w:szCs w:val="24"/>
    </w:rPr>
  </w:style>
  <w:style w:type="character" w:customStyle="1" w:styleId="709">
    <w:name w:val="日期 Char"/>
    <w:link w:val="36"/>
    <w:qFormat/>
    <w:uiPriority w:val="0"/>
    <w:rPr>
      <w:rFonts w:ascii="宋体"/>
      <w:kern w:val="2"/>
      <w:sz w:val="24"/>
      <w:szCs w:val="21"/>
      <w:lang w:val="zh-CN"/>
    </w:rPr>
  </w:style>
  <w:style w:type="character" w:customStyle="1" w:styleId="710">
    <w:name w:val="标题 9 Char"/>
    <w:link w:val="13"/>
    <w:qFormat/>
    <w:uiPriority w:val="0"/>
    <w:rPr>
      <w:rFonts w:ascii="Arial" w:hAnsi="Arial" w:eastAsia="黑体"/>
      <w:kern w:val="2"/>
      <w:sz w:val="21"/>
      <w:szCs w:val="21"/>
    </w:rPr>
  </w:style>
  <w:style w:type="character" w:customStyle="1" w:styleId="711">
    <w:name w:val="Char Char18"/>
    <w:qFormat/>
    <w:uiPriority w:val="6"/>
    <w:rPr>
      <w:rFonts w:ascii="宋体" w:hAnsi="宋体"/>
      <w:sz w:val="28"/>
    </w:rPr>
  </w:style>
  <w:style w:type="character" w:customStyle="1" w:styleId="712">
    <w:name w:val="批注文字 Char"/>
    <w:qFormat/>
    <w:uiPriority w:val="99"/>
    <w:rPr>
      <w:kern w:val="2"/>
      <w:sz w:val="21"/>
      <w:szCs w:val="24"/>
    </w:rPr>
  </w:style>
  <w:style w:type="character" w:customStyle="1" w:styleId="713">
    <w:name w:val="Char Char22"/>
    <w:qFormat/>
    <w:uiPriority w:val="6"/>
    <w:rPr>
      <w:rFonts w:ascii="宋体" w:hAnsi="宋体"/>
      <w:kern w:val="1"/>
      <w:sz w:val="24"/>
      <w:szCs w:val="24"/>
    </w:rPr>
  </w:style>
  <w:style w:type="character" w:customStyle="1" w:styleId="714">
    <w:name w:val="pt141"/>
    <w:qFormat/>
    <w:uiPriority w:val="0"/>
    <w:rPr>
      <w:color w:val="330066"/>
      <w:sz w:val="22"/>
      <w:szCs w:val="22"/>
    </w:rPr>
  </w:style>
  <w:style w:type="character" w:customStyle="1" w:styleId="715">
    <w:name w:val="正文文本缩进 2 Char1"/>
    <w:semiHidden/>
    <w:qFormat/>
    <w:uiPriority w:val="99"/>
    <w:rPr>
      <w:rFonts w:ascii="Times New Roman" w:hAnsi="Times New Roman" w:eastAsia="宋体" w:cs="Times New Roman"/>
      <w:szCs w:val="24"/>
    </w:rPr>
  </w:style>
  <w:style w:type="character" w:customStyle="1" w:styleId="716">
    <w:name w:val="批注框文本 Char"/>
    <w:link w:val="38"/>
    <w:qFormat/>
    <w:uiPriority w:val="0"/>
    <w:rPr>
      <w:kern w:val="2"/>
      <w:sz w:val="18"/>
      <w:szCs w:val="18"/>
    </w:rPr>
  </w:style>
  <w:style w:type="character" w:customStyle="1" w:styleId="717">
    <w:name w:val="Char Char611"/>
    <w:qFormat/>
    <w:uiPriority w:val="0"/>
    <w:rPr>
      <w:rFonts w:eastAsia="宋体"/>
      <w:kern w:val="2"/>
      <w:sz w:val="21"/>
      <w:szCs w:val="24"/>
      <w:lang w:val="en-US" w:eastAsia="zh-CN" w:bidi="ar-SA"/>
    </w:rPr>
  </w:style>
  <w:style w:type="character" w:customStyle="1" w:styleId="718">
    <w:name w:val="highlight1"/>
    <w:qFormat/>
    <w:uiPriority w:val="0"/>
    <w:rPr>
      <w:rFonts w:ascii="仿宋_GB2312" w:eastAsia="微软雅黑"/>
      <w:b/>
      <w:kern w:val="2"/>
      <w:sz w:val="23"/>
      <w:szCs w:val="23"/>
      <w:lang w:val="en-US" w:eastAsia="zh-CN" w:bidi="ar-SA"/>
    </w:rPr>
  </w:style>
  <w:style w:type="character" w:customStyle="1" w:styleId="719">
    <w:name w:val="my正文 Char"/>
    <w:link w:val="91"/>
    <w:qFormat/>
    <w:locked/>
    <w:uiPriority w:val="0"/>
    <w:rPr>
      <w:rFonts w:ascii="Tahoma" w:hAnsi="Tahoma"/>
      <w:sz w:val="24"/>
      <w:szCs w:val="24"/>
    </w:rPr>
  </w:style>
  <w:style w:type="character" w:customStyle="1" w:styleId="720">
    <w:name w:val="正文缩进 Char2"/>
    <w:link w:val="5"/>
    <w:qFormat/>
    <w:uiPriority w:val="0"/>
    <w:rPr>
      <w:rFonts w:ascii="宋体" w:eastAsia="宋体"/>
      <w:snapToGrid w:val="0"/>
      <w:color w:val="000000"/>
      <w:kern w:val="28"/>
      <w:sz w:val="28"/>
      <w:lang w:val="en-US" w:eastAsia="zh-CN" w:bidi="ar-SA"/>
    </w:rPr>
  </w:style>
  <w:style w:type="character" w:customStyle="1" w:styleId="721">
    <w:name w:val="Used by Word for text of Help footnotes Char Char1"/>
    <w:qFormat/>
    <w:uiPriority w:val="0"/>
    <w:rPr>
      <w:color w:val="0000FF"/>
      <w:sz w:val="21"/>
    </w:rPr>
  </w:style>
  <w:style w:type="character" w:customStyle="1" w:styleId="722">
    <w:name w:val="页眉 Char"/>
    <w:qFormat/>
    <w:uiPriority w:val="0"/>
    <w:rPr>
      <w:rFonts w:eastAsia="仿宋_GB2312"/>
      <w:kern w:val="2"/>
      <w:sz w:val="18"/>
      <w:lang w:val="en-US" w:eastAsia="zh-CN"/>
    </w:rPr>
  </w:style>
  <w:style w:type="character" w:customStyle="1" w:styleId="723">
    <w:name w:val="FA正文 Char Char"/>
    <w:qFormat/>
    <w:uiPriority w:val="0"/>
    <w:rPr>
      <w:rFonts w:hAnsi="宋体"/>
      <w:kern w:val="2"/>
      <w:sz w:val="24"/>
      <w:lang w:bidi="ar-SA"/>
    </w:rPr>
  </w:style>
  <w:style w:type="character" w:customStyle="1" w:styleId="724">
    <w:name w:val="纯文本 字符"/>
    <w:qFormat/>
    <w:uiPriority w:val="0"/>
    <w:rPr>
      <w:rFonts w:ascii="宋体" w:hAnsi="Courier New" w:eastAsia="宋体" w:cs="Arial"/>
      <w:snapToGrid w:val="0"/>
      <w:kern w:val="2"/>
      <w:sz w:val="21"/>
      <w:szCs w:val="21"/>
      <w:lang w:val="en-US" w:eastAsia="zh-CN" w:bidi="ar-SA"/>
    </w:rPr>
  </w:style>
  <w:style w:type="character" w:customStyle="1" w:styleId="725">
    <w:name w:val="3级 Char"/>
    <w:link w:val="92"/>
    <w:qFormat/>
    <w:uiPriority w:val="0"/>
    <w:rPr>
      <w:rFonts w:ascii="宋体" w:hAnsi="宋体"/>
      <w:b/>
      <w:bCs/>
      <w:sz w:val="28"/>
    </w:rPr>
  </w:style>
  <w:style w:type="character" w:customStyle="1" w:styleId="726">
    <w:name w:val="myp11"/>
    <w:qFormat/>
    <w:uiPriority w:val="0"/>
    <w:rPr>
      <w:rFonts w:ascii="仿宋_GB2312" w:eastAsia="微软雅黑"/>
      <w:b/>
      <w:kern w:val="2"/>
      <w:sz w:val="32"/>
      <w:szCs w:val="32"/>
      <w:lang w:val="en-US" w:eastAsia="zh-CN" w:bidi="ar-SA"/>
    </w:rPr>
  </w:style>
  <w:style w:type="character" w:customStyle="1" w:styleId="727">
    <w:name w:val="文档结构图 Char1"/>
    <w:link w:val="20"/>
    <w:qFormat/>
    <w:uiPriority w:val="0"/>
    <w:rPr>
      <w:kern w:val="2"/>
      <w:sz w:val="21"/>
      <w:szCs w:val="24"/>
      <w:shd w:val="clear" w:color="auto" w:fill="000080"/>
    </w:rPr>
  </w:style>
  <w:style w:type="character" w:customStyle="1" w:styleId="728">
    <w:name w:val="H6 Char"/>
    <w:qFormat/>
    <w:uiPriority w:val="0"/>
    <w:rPr>
      <w:rFonts w:ascii="Arial" w:hAnsi="Arial" w:eastAsia="黑体"/>
      <w:b/>
      <w:bCs/>
      <w:kern w:val="2"/>
      <w:sz w:val="24"/>
      <w:szCs w:val="24"/>
    </w:rPr>
  </w:style>
  <w:style w:type="character" w:customStyle="1" w:styleId="729">
    <w:name w:val="Char Char91"/>
    <w:qFormat/>
    <w:uiPriority w:val="0"/>
    <w:rPr>
      <w:rFonts w:eastAsia="宋体"/>
      <w:kern w:val="2"/>
      <w:sz w:val="18"/>
      <w:szCs w:val="18"/>
      <w:lang w:val="en-US" w:eastAsia="zh-CN" w:bidi="ar-SA"/>
    </w:rPr>
  </w:style>
  <w:style w:type="character" w:customStyle="1" w:styleId="730">
    <w:name w:val="副标题 Char1"/>
    <w:qFormat/>
    <w:uiPriority w:val="0"/>
    <w:rPr>
      <w:rFonts w:ascii="Cambria" w:hAnsi="Cambria" w:eastAsia="宋体" w:cs="Times New Roman"/>
      <w:b/>
      <w:bCs/>
      <w:snapToGrid w:val="0"/>
      <w:kern w:val="28"/>
      <w:sz w:val="32"/>
      <w:szCs w:val="32"/>
    </w:rPr>
  </w:style>
  <w:style w:type="character" w:customStyle="1" w:styleId="731">
    <w:name w:val="font61"/>
    <w:qFormat/>
    <w:uiPriority w:val="0"/>
    <w:rPr>
      <w:rFonts w:hint="eastAsia" w:ascii="仿宋" w:hAnsi="仿宋" w:eastAsia="仿宋" w:cs="仿宋"/>
      <w:color w:val="000000"/>
      <w:sz w:val="20"/>
      <w:szCs w:val="20"/>
      <w:u w:val="none"/>
    </w:rPr>
  </w:style>
  <w:style w:type="character" w:customStyle="1" w:styleId="732">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733">
    <w:name w:val="Char Char211"/>
    <w:qFormat/>
    <w:uiPriority w:val="0"/>
    <w:rPr>
      <w:rFonts w:eastAsia="宋体"/>
      <w:b/>
      <w:bCs/>
      <w:kern w:val="2"/>
      <w:sz w:val="21"/>
      <w:szCs w:val="24"/>
      <w:lang w:val="en-US" w:eastAsia="zh-CN" w:bidi="ar-SA"/>
    </w:rPr>
  </w:style>
  <w:style w:type="character" w:customStyle="1" w:styleId="734">
    <w:name w:val="标题 2 Char"/>
    <w:qFormat/>
    <w:uiPriority w:val="0"/>
    <w:rPr>
      <w:rFonts w:ascii="Arial" w:hAnsi="Arial" w:eastAsia="黑体"/>
      <w:b/>
      <w:kern w:val="2"/>
      <w:sz w:val="32"/>
      <w:lang w:val="en-US" w:eastAsia="zh-CN"/>
    </w:rPr>
  </w:style>
  <w:style w:type="character" w:customStyle="1" w:styleId="735">
    <w:name w:val="maywed421"/>
    <w:qFormat/>
    <w:uiPriority w:val="0"/>
    <w:rPr>
      <w:color w:val="366FB6"/>
      <w:u w:val="none"/>
    </w:rPr>
  </w:style>
  <w:style w:type="character" w:customStyle="1" w:styleId="736">
    <w:name w:val="正文文本缩进 Char"/>
    <w:qFormat/>
    <w:uiPriority w:val="0"/>
    <w:rPr>
      <w:rFonts w:ascii="宋体" w:hAnsi="宋体"/>
      <w:kern w:val="2"/>
      <w:sz w:val="24"/>
      <w:szCs w:val="24"/>
    </w:rPr>
  </w:style>
  <w:style w:type="character" w:customStyle="1" w:styleId="737">
    <w:name w:val="Char Char102"/>
    <w:semiHidden/>
    <w:qFormat/>
    <w:uiPriority w:val="0"/>
    <w:rPr>
      <w:rFonts w:ascii="宋体" w:hAnsi="宋体"/>
      <w:kern w:val="2"/>
      <w:sz w:val="21"/>
      <w:szCs w:val="24"/>
      <w:lang w:val="en-US" w:eastAsia="zh-CN"/>
    </w:rPr>
  </w:style>
  <w:style w:type="character" w:customStyle="1" w:styleId="738">
    <w:name w:val="页眉 Char1"/>
    <w:qFormat/>
    <w:uiPriority w:val="0"/>
    <w:rPr>
      <w:rFonts w:eastAsia="宋体"/>
      <w:kern w:val="2"/>
      <w:sz w:val="18"/>
      <w:szCs w:val="18"/>
      <w:lang w:val="en-US" w:eastAsia="zh-CN" w:bidi="ar-SA"/>
    </w:rPr>
  </w:style>
  <w:style w:type="character" w:customStyle="1" w:styleId="739">
    <w:name w:val="md"/>
    <w:basedOn w:val="69"/>
    <w:qFormat/>
    <w:uiPriority w:val="0"/>
    <w:rPr>
      <w:rFonts w:ascii="Arial" w:hAnsi="Arial" w:eastAsia="黑体" w:cs="Arial"/>
      <w:snapToGrid w:val="0"/>
      <w:kern w:val="0"/>
      <w:szCs w:val="21"/>
    </w:rPr>
  </w:style>
  <w:style w:type="character" w:customStyle="1" w:styleId="740">
    <w:name w:val="big1"/>
    <w:qFormat/>
    <w:uiPriority w:val="0"/>
    <w:rPr>
      <w:rFonts w:hint="eastAsia" w:ascii="宋体" w:hAnsi="宋体" w:eastAsia="宋体"/>
      <w:color w:val="333333"/>
      <w:sz w:val="22"/>
      <w:szCs w:val="22"/>
    </w:rPr>
  </w:style>
  <w:style w:type="character" w:customStyle="1" w:styleId="741">
    <w:name w:val="Char Char311"/>
    <w:qFormat/>
    <w:uiPriority w:val="0"/>
    <w:rPr>
      <w:rFonts w:eastAsia="宋体"/>
      <w:kern w:val="2"/>
      <w:sz w:val="21"/>
      <w:szCs w:val="24"/>
      <w:lang w:val="en-US" w:eastAsia="zh-CN" w:bidi="ar-SA"/>
    </w:rPr>
  </w:style>
  <w:style w:type="character" w:customStyle="1" w:styleId="742">
    <w:name w:val="Char Char81"/>
    <w:qFormat/>
    <w:uiPriority w:val="6"/>
    <w:rPr>
      <w:rFonts w:eastAsia="宋体"/>
      <w:b/>
      <w:sz w:val="24"/>
      <w:lang w:eastAsia="zh-CN"/>
    </w:rPr>
  </w:style>
  <w:style w:type="character" w:customStyle="1" w:styleId="743">
    <w:name w:val="样式3 Char"/>
    <w:basedOn w:val="698"/>
    <w:qFormat/>
    <w:uiPriority w:val="0"/>
    <w:rPr>
      <w:rFonts w:ascii="仿宋_GB2312" w:hAnsi="仿宋" w:eastAsia="仿宋_GB2312" w:cs="仿宋_GB2312"/>
      <w:sz w:val="32"/>
      <w:szCs w:val="30"/>
      <w:lang w:val="zh-CN"/>
    </w:rPr>
  </w:style>
  <w:style w:type="character" w:customStyle="1" w:styleId="744">
    <w:name w:val="HTML 地址 Char"/>
    <w:link w:val="30"/>
    <w:qFormat/>
    <w:uiPriority w:val="0"/>
    <w:rPr>
      <w:rFonts w:ascii="宋体" w:hAnsi="宋体"/>
      <w:i/>
      <w:iCs/>
      <w:sz w:val="24"/>
      <w:szCs w:val="24"/>
    </w:rPr>
  </w:style>
  <w:style w:type="character" w:customStyle="1" w:styleId="745">
    <w:name w:val="正文首行缩进 2 Char1"/>
    <w:qFormat/>
    <w:uiPriority w:val="0"/>
    <w:rPr>
      <w:rFonts w:ascii="Times New Roman" w:hAnsi="Times New Roman" w:eastAsia="宋体" w:cs="Times New Roman"/>
      <w:kern w:val="2"/>
      <w:sz w:val="24"/>
      <w:szCs w:val="24"/>
    </w:rPr>
  </w:style>
  <w:style w:type="character" w:customStyle="1" w:styleId="746">
    <w:name w:val="副标题 Char2"/>
    <w:qFormat/>
    <w:uiPriority w:val="0"/>
    <w:rPr>
      <w:rFonts w:ascii="Cambria" w:hAnsi="Cambria" w:eastAsia="宋体" w:cs="Times New Roman"/>
      <w:b/>
      <w:bCs/>
      <w:snapToGrid w:val="0"/>
      <w:kern w:val="28"/>
      <w:sz w:val="32"/>
      <w:szCs w:val="32"/>
    </w:rPr>
  </w:style>
  <w:style w:type="character" w:customStyle="1" w:styleId="747">
    <w:name w:val="标题4-dyf Char"/>
    <w:link w:val="94"/>
    <w:qFormat/>
    <w:uiPriority w:val="0"/>
    <w:rPr>
      <w:rFonts w:ascii="Cambria" w:hAnsi="Cambria"/>
      <w:b/>
      <w:bCs/>
      <w:color w:val="000000"/>
      <w:kern w:val="2"/>
      <w:sz w:val="21"/>
      <w:szCs w:val="21"/>
    </w:rPr>
  </w:style>
  <w:style w:type="character" w:customStyle="1" w:styleId="748">
    <w:name w:val="dectext1"/>
    <w:qFormat/>
    <w:uiPriority w:val="0"/>
    <w:rPr>
      <w:rFonts w:ascii="宋体" w:hAnsi="宋体" w:eastAsia="宋体"/>
      <w:color w:val="333333"/>
      <w:sz w:val="21"/>
      <w:szCs w:val="21"/>
      <w:u w:val="none"/>
    </w:rPr>
  </w:style>
  <w:style w:type="character" w:customStyle="1" w:styleId="749">
    <w:name w:val="冯 Char"/>
    <w:link w:val="95"/>
    <w:qFormat/>
    <w:uiPriority w:val="0"/>
    <w:rPr>
      <w:rFonts w:ascii="宋体" w:hAnsi="宋体"/>
      <w:color w:val="000000"/>
      <w:sz w:val="24"/>
      <w:szCs w:val="24"/>
    </w:rPr>
  </w:style>
  <w:style w:type="character" w:customStyle="1" w:styleId="750">
    <w:name w:val="Header Char"/>
    <w:qFormat/>
    <w:locked/>
    <w:uiPriority w:val="0"/>
    <w:rPr>
      <w:rFonts w:eastAsia="宋体"/>
      <w:kern w:val="2"/>
      <w:sz w:val="18"/>
      <w:szCs w:val="18"/>
      <w:lang w:val="en-US" w:eastAsia="zh-CN" w:bidi="ar-SA"/>
    </w:rPr>
  </w:style>
  <w:style w:type="character" w:customStyle="1" w:styleId="751">
    <w:name w:val="Char Char12"/>
    <w:qFormat/>
    <w:uiPriority w:val="0"/>
    <w:rPr>
      <w:rFonts w:ascii="仿宋_GB2312" w:eastAsia="仿宋_GB2312"/>
      <w:b/>
      <w:bCs/>
      <w:kern w:val="2"/>
      <w:sz w:val="24"/>
      <w:szCs w:val="24"/>
      <w:lang w:val="zh-CN" w:eastAsia="zh-CN" w:bidi="ar-SA"/>
    </w:rPr>
  </w:style>
  <w:style w:type="character" w:customStyle="1" w:styleId="752">
    <w:name w:val="题注 Char"/>
    <w:link w:val="18"/>
    <w:qFormat/>
    <w:uiPriority w:val="0"/>
    <w:rPr>
      <w:b/>
      <w:kern w:val="2"/>
      <w:sz w:val="28"/>
    </w:rPr>
  </w:style>
  <w:style w:type="character" w:customStyle="1" w:styleId="753">
    <w:name w:val="普通文字 Char3"/>
    <w:qFormat/>
    <w:uiPriority w:val="0"/>
    <w:rPr>
      <w:rFonts w:ascii="宋体" w:hAnsi="Courier New" w:eastAsia="宋体"/>
      <w:kern w:val="2"/>
      <w:sz w:val="21"/>
      <w:lang w:val="en-US" w:eastAsia="zh-CN" w:bidi="ar-SA"/>
    </w:rPr>
  </w:style>
  <w:style w:type="character" w:customStyle="1" w:styleId="754">
    <w:name w:val="公文正文 Char"/>
    <w:qFormat/>
    <w:uiPriority w:val="0"/>
    <w:rPr>
      <w:rFonts w:ascii="仿宋_GB2312" w:eastAsia="仿宋_GB2312"/>
      <w:kern w:val="2"/>
      <w:sz w:val="24"/>
      <w:szCs w:val="24"/>
      <w:lang w:val="en-US" w:eastAsia="zh-CN" w:bidi="ar-SA"/>
    </w:rPr>
  </w:style>
  <w:style w:type="character" w:customStyle="1" w:styleId="755">
    <w:name w:val="正文首行缩进 Char Char Char Char Char"/>
    <w:qFormat/>
    <w:uiPriority w:val="0"/>
    <w:rPr>
      <w:rFonts w:ascii="宋体"/>
      <w:kern w:val="2"/>
      <w:sz w:val="24"/>
      <w:lang w:val="zh-CN"/>
    </w:rPr>
  </w:style>
  <w:style w:type="character" w:customStyle="1" w:styleId="756">
    <w:name w:val="PI Char"/>
    <w:qFormat/>
    <w:uiPriority w:val="0"/>
    <w:rPr>
      <w:rFonts w:ascii="宋体" w:hAnsi="宋体" w:eastAsia="宋体"/>
      <w:kern w:val="2"/>
      <w:sz w:val="24"/>
      <w:szCs w:val="24"/>
      <w:lang w:val="en-US" w:eastAsia="zh-CN" w:bidi="ar-SA"/>
    </w:rPr>
  </w:style>
  <w:style w:type="character" w:customStyle="1" w:styleId="757">
    <w:name w:val="Default Char"/>
    <w:link w:val="96"/>
    <w:qFormat/>
    <w:uiPriority w:val="0"/>
    <w:rPr>
      <w:rFonts w:ascii="仿宋_GB2312" w:eastAsia="仿宋_GB2312" w:cs="仿宋_GB2312"/>
      <w:color w:val="000000"/>
      <w:sz w:val="24"/>
      <w:szCs w:val="24"/>
      <w:lang w:val="en-US" w:eastAsia="zh-CN" w:bidi="ar-SA"/>
    </w:rPr>
  </w:style>
  <w:style w:type="character" w:customStyle="1" w:styleId="758">
    <w:name w:val="style91"/>
    <w:qFormat/>
    <w:uiPriority w:val="0"/>
    <w:rPr>
      <w:color w:val="333333"/>
    </w:rPr>
  </w:style>
  <w:style w:type="character" w:customStyle="1" w:styleId="759">
    <w:name w:val="列出段落 Char2"/>
    <w:qFormat/>
    <w:uiPriority w:val="34"/>
    <w:rPr>
      <w:rFonts w:ascii="Calibri" w:hAnsi="Calibri"/>
      <w:kern w:val="2"/>
      <w:sz w:val="28"/>
    </w:rPr>
  </w:style>
  <w:style w:type="character" w:customStyle="1" w:styleId="760">
    <w:name w:val="mdeck"/>
    <w:qFormat/>
    <w:uiPriority w:val="0"/>
    <w:rPr>
      <w:rFonts w:ascii="仿宋_GB2312" w:eastAsia="微软雅黑"/>
      <w:b/>
      <w:kern w:val="2"/>
      <w:sz w:val="32"/>
      <w:szCs w:val="32"/>
      <w:lang w:val="en-US" w:eastAsia="zh-CN" w:bidi="ar-SA"/>
    </w:rPr>
  </w:style>
  <w:style w:type="character" w:customStyle="1" w:styleId="761">
    <w:name w:val="unnamed11"/>
    <w:qFormat/>
    <w:uiPriority w:val="0"/>
    <w:rPr>
      <w:sz w:val="20"/>
      <w:szCs w:val="20"/>
    </w:rPr>
  </w:style>
  <w:style w:type="character" w:customStyle="1" w:styleId="762">
    <w:name w:val="正文文本 Char2"/>
    <w:semiHidden/>
    <w:qFormat/>
    <w:uiPriority w:val="99"/>
    <w:rPr>
      <w:rFonts w:ascii="Times New Roman" w:hAnsi="Times New Roman" w:eastAsia="宋体" w:cs="Times New Roman"/>
      <w:snapToGrid w:val="0"/>
      <w:kern w:val="0"/>
      <w:szCs w:val="24"/>
    </w:rPr>
  </w:style>
  <w:style w:type="character" w:customStyle="1" w:styleId="763">
    <w:name w:val="标书正文格式 Char"/>
    <w:qFormat/>
    <w:uiPriority w:val="0"/>
    <w:rPr>
      <w:rFonts w:eastAsia="楷体_GB2312"/>
      <w:kern w:val="2"/>
      <w:sz w:val="24"/>
      <w:szCs w:val="24"/>
      <w:lang w:bidi="ar-SA"/>
    </w:rPr>
  </w:style>
  <w:style w:type="character" w:customStyle="1" w:styleId="764">
    <w:name w:val="Char Char11"/>
    <w:qFormat/>
    <w:locked/>
    <w:uiPriority w:val="0"/>
    <w:rPr>
      <w:rFonts w:ascii="宋体" w:hAnsi="宋体" w:eastAsia="宋体"/>
      <w:b/>
      <w:kern w:val="2"/>
      <w:sz w:val="24"/>
      <w:szCs w:val="24"/>
      <w:lang w:val="en-US" w:eastAsia="zh-CN" w:bidi="ar-SA"/>
    </w:rPr>
  </w:style>
  <w:style w:type="character" w:customStyle="1" w:styleId="765">
    <w:name w:val="ca-131"/>
    <w:qFormat/>
    <w:uiPriority w:val="0"/>
    <w:rPr>
      <w:rFonts w:hint="eastAsia" w:ascii="仿宋_GB2312" w:eastAsia="仿宋_GB2312"/>
      <w:b/>
      <w:bCs/>
      <w:color w:val="000000"/>
      <w:spacing w:val="-20"/>
      <w:sz w:val="24"/>
      <w:szCs w:val="24"/>
    </w:rPr>
  </w:style>
  <w:style w:type="character" w:customStyle="1" w:styleId="766">
    <w:name w:val="tw4winMark"/>
    <w:qFormat/>
    <w:uiPriority w:val="0"/>
    <w:rPr>
      <w:rFonts w:ascii="Courier New" w:hAnsi="Courier New" w:cs="Courier New"/>
      <w:vanish/>
      <w:color w:val="800080"/>
      <w:sz w:val="24"/>
      <w:szCs w:val="24"/>
      <w:vertAlign w:val="subscript"/>
    </w:rPr>
  </w:style>
  <w:style w:type="character" w:customStyle="1" w:styleId="767">
    <w:name w:val="正文样式 Char"/>
    <w:link w:val="97"/>
    <w:qFormat/>
    <w:uiPriority w:val="0"/>
    <w:rPr>
      <w:rFonts w:ascii="Calibri" w:hAnsi="Calibri"/>
      <w:sz w:val="24"/>
      <w:szCs w:val="24"/>
    </w:rPr>
  </w:style>
  <w:style w:type="character" w:customStyle="1" w:styleId="768">
    <w:name w:val="表正文 Char3"/>
    <w:qFormat/>
    <w:uiPriority w:val="0"/>
    <w:rPr>
      <w:rFonts w:eastAsia="宋体"/>
    </w:rPr>
  </w:style>
  <w:style w:type="character" w:customStyle="1" w:styleId="769">
    <w:name w:val="H5 Char"/>
    <w:qFormat/>
    <w:uiPriority w:val="0"/>
    <w:rPr>
      <w:b/>
      <w:bCs/>
      <w:kern w:val="2"/>
      <w:sz w:val="28"/>
      <w:szCs w:val="28"/>
    </w:rPr>
  </w:style>
  <w:style w:type="character" w:customStyle="1" w:styleId="770">
    <w:name w:val="Char Char3"/>
    <w:qFormat/>
    <w:uiPriority w:val="0"/>
    <w:rPr>
      <w:rFonts w:eastAsia="宋体"/>
      <w:kern w:val="2"/>
      <w:sz w:val="21"/>
      <w:szCs w:val="24"/>
      <w:lang w:val="en-US" w:eastAsia="zh-CN" w:bidi="ar-SA"/>
    </w:rPr>
  </w:style>
  <w:style w:type="character" w:customStyle="1" w:styleId="771">
    <w:name w:val="正文 编号 Char"/>
    <w:qFormat/>
    <w:uiPriority w:val="0"/>
    <w:rPr>
      <w:rFonts w:ascii="仿宋_GB2312" w:hAnsi="仿宋_GB2312" w:eastAsia="仿宋_GB2312"/>
      <w:kern w:val="2"/>
      <w:sz w:val="24"/>
      <w:lang w:bidi="ar-SA"/>
    </w:rPr>
  </w:style>
  <w:style w:type="character" w:customStyle="1" w:styleId="772">
    <w:name w:val="question-title2"/>
    <w:qFormat/>
    <w:uiPriority w:val="6"/>
    <w:rPr>
      <w:rFonts w:ascii="Arial" w:hAnsi="Arial" w:eastAsia="黑体" w:cs="Arial"/>
      <w:snapToGrid w:val="0"/>
      <w:kern w:val="0"/>
      <w:szCs w:val="21"/>
    </w:rPr>
  </w:style>
  <w:style w:type="character" w:customStyle="1" w:styleId="773">
    <w:name w:val="gf正文1 Char Char"/>
    <w:link w:val="98"/>
    <w:qFormat/>
    <w:uiPriority w:val="0"/>
    <w:rPr>
      <w:rFonts w:ascii="宋体" w:hAnsi="宋体" w:cs="宋体"/>
      <w:kern w:val="2"/>
      <w:sz w:val="24"/>
      <w:szCs w:val="24"/>
    </w:rPr>
  </w:style>
  <w:style w:type="character" w:customStyle="1" w:styleId="774">
    <w:name w:val="Char Char15"/>
    <w:qFormat/>
    <w:uiPriority w:val="6"/>
    <w:rPr>
      <w:rFonts w:ascii="宋体" w:hAnsi="宋体"/>
      <w:kern w:val="1"/>
      <w:sz w:val="21"/>
    </w:rPr>
  </w:style>
  <w:style w:type="character" w:customStyle="1" w:styleId="775">
    <w:name w:val="正文缩进 Char3"/>
    <w:qFormat/>
    <w:uiPriority w:val="0"/>
    <w:rPr>
      <w:rFonts w:ascii="宋体" w:eastAsia="宋体"/>
      <w:snapToGrid w:val="0"/>
      <w:color w:val="000000"/>
      <w:kern w:val="28"/>
      <w:sz w:val="28"/>
      <w:lang w:val="en-US" w:eastAsia="zh-CN" w:bidi="ar-SA"/>
    </w:rPr>
  </w:style>
  <w:style w:type="character" w:customStyle="1" w:styleId="776">
    <w:name w:val="列出段落 Char1"/>
    <w:link w:val="99"/>
    <w:qFormat/>
    <w:uiPriority w:val="0"/>
    <w:rPr>
      <w:rFonts w:ascii="Calibri" w:hAnsi="Calibri"/>
      <w:sz w:val="24"/>
      <w:lang w:eastAsia="en-US"/>
    </w:rPr>
  </w:style>
  <w:style w:type="character" w:customStyle="1" w:styleId="777">
    <w:name w:val="Char Char8"/>
    <w:qFormat/>
    <w:uiPriority w:val="0"/>
    <w:rPr>
      <w:rFonts w:eastAsia="宋体"/>
      <w:b/>
      <w:sz w:val="24"/>
      <w:lang w:eastAsia="zh-CN"/>
    </w:rPr>
  </w:style>
  <w:style w:type="character" w:customStyle="1" w:styleId="778">
    <w:name w:val="Normal Indent Char Char"/>
    <w:qFormat/>
    <w:uiPriority w:val="0"/>
    <w:rPr>
      <w:rFonts w:eastAsia="宋体"/>
      <w:kern w:val="2"/>
      <w:sz w:val="21"/>
      <w:lang w:val="en-US" w:eastAsia="zh-CN" w:bidi="ar-SA"/>
    </w:rPr>
  </w:style>
  <w:style w:type="character" w:customStyle="1" w:styleId="779">
    <w:name w:val="列表段落 字符"/>
    <w:qFormat/>
    <w:uiPriority w:val="99"/>
  </w:style>
  <w:style w:type="character" w:customStyle="1" w:styleId="780">
    <w:name w:val="Ò³Ã¼ Char Char1"/>
    <w:qFormat/>
    <w:uiPriority w:val="0"/>
    <w:rPr>
      <w:rFonts w:eastAsia="宋体"/>
      <w:kern w:val="2"/>
      <w:sz w:val="18"/>
      <w:szCs w:val="18"/>
      <w:lang w:val="en-US" w:eastAsia="zh-CN" w:bidi="ar-SA"/>
    </w:rPr>
  </w:style>
  <w:style w:type="character" w:customStyle="1" w:styleId="781">
    <w:name w:val="方案正文 Char"/>
    <w:qFormat/>
    <w:uiPriority w:val="0"/>
    <w:rPr>
      <w:rFonts w:ascii="仿宋_GB2312" w:eastAsia="仿宋_GB2312"/>
      <w:b/>
      <w:color w:val="000000"/>
      <w:kern w:val="2"/>
      <w:sz w:val="24"/>
      <w:lang w:val="en-US" w:eastAsia="zh-CN" w:bidi="ar-SA"/>
    </w:rPr>
  </w:style>
  <w:style w:type="character" w:customStyle="1" w:styleId="782">
    <w:name w:val="Char Char30"/>
    <w:qFormat/>
    <w:uiPriority w:val="6"/>
    <w:rPr>
      <w:rFonts w:ascii="Arial" w:hAnsi="Arial" w:eastAsia="黑体"/>
      <w:kern w:val="1"/>
      <w:sz w:val="21"/>
      <w:szCs w:val="21"/>
    </w:rPr>
  </w:style>
  <w:style w:type="character" w:customStyle="1" w:styleId="783">
    <w:name w:val="正文文本缩进 Char3"/>
    <w:link w:val="6"/>
    <w:qFormat/>
    <w:uiPriority w:val="0"/>
    <w:rPr>
      <w:rFonts w:ascii="宋体" w:hAnsi="宋体"/>
      <w:kern w:val="2"/>
      <w:sz w:val="24"/>
      <w:szCs w:val="24"/>
    </w:rPr>
  </w:style>
  <w:style w:type="character" w:customStyle="1" w:styleId="784">
    <w:name w:val="font01"/>
    <w:qFormat/>
    <w:uiPriority w:val="0"/>
    <w:rPr>
      <w:rFonts w:hint="eastAsia" w:ascii="微软雅黑" w:hAnsi="微软雅黑" w:eastAsia="微软雅黑" w:cs="微软雅黑"/>
      <w:color w:val="000000"/>
      <w:sz w:val="20"/>
      <w:szCs w:val="20"/>
      <w:u w:val="none"/>
    </w:rPr>
  </w:style>
  <w:style w:type="character" w:customStyle="1" w:styleId="785">
    <w:name w:val="Char Char20"/>
    <w:qFormat/>
    <w:uiPriority w:val="6"/>
    <w:rPr>
      <w:kern w:val="1"/>
      <w:sz w:val="24"/>
    </w:rPr>
  </w:style>
  <w:style w:type="character" w:customStyle="1" w:styleId="786">
    <w:name w:val="tw4winExternal"/>
    <w:qFormat/>
    <w:uiPriority w:val="0"/>
    <w:rPr>
      <w:rFonts w:ascii="Courier New" w:hAnsi="Courier New" w:cs="Courier New"/>
      <w:color w:val="808080"/>
      <w:lang w:val="en-US" w:eastAsia="zh-CN"/>
    </w:rPr>
  </w:style>
  <w:style w:type="character" w:customStyle="1" w:styleId="787">
    <w:name w:val="标题 4 Char1"/>
    <w:qFormat/>
    <w:uiPriority w:val="9"/>
    <w:rPr>
      <w:rFonts w:ascii="Cambria" w:hAnsi="Cambria" w:eastAsia="宋体" w:cs="Times New Roman"/>
      <w:b/>
      <w:bCs/>
      <w:kern w:val="2"/>
      <w:sz w:val="28"/>
      <w:szCs w:val="28"/>
    </w:rPr>
  </w:style>
  <w:style w:type="character" w:customStyle="1" w:styleId="788">
    <w:name w:val="批注文字 Char2"/>
    <w:qFormat/>
    <w:uiPriority w:val="99"/>
    <w:rPr>
      <w:rFonts w:ascii="Times New Roman" w:hAnsi="Times New Roman" w:eastAsia="宋体" w:cs="Times New Roman"/>
      <w:snapToGrid w:val="0"/>
      <w:kern w:val="0"/>
      <w:szCs w:val="24"/>
    </w:rPr>
  </w:style>
  <w:style w:type="character" w:customStyle="1" w:styleId="789">
    <w:name w:val="正文文本 2 Char"/>
    <w:qFormat/>
    <w:uiPriority w:val="0"/>
    <w:rPr>
      <w:rFonts w:eastAsia="宋体"/>
      <w:kern w:val="2"/>
      <w:sz w:val="21"/>
      <w:szCs w:val="24"/>
      <w:lang w:val="en-US" w:eastAsia="zh-CN" w:bidi="ar-SA"/>
    </w:rPr>
  </w:style>
  <w:style w:type="character" w:customStyle="1" w:styleId="790">
    <w:name w:val="Ò³Ã¼ Char Char"/>
    <w:qFormat/>
    <w:uiPriority w:val="0"/>
    <w:rPr>
      <w:rFonts w:eastAsia="宋体"/>
      <w:kern w:val="2"/>
      <w:sz w:val="18"/>
      <w:lang w:val="en-US" w:eastAsia="zh-CN" w:bidi="ar-SA"/>
    </w:rPr>
  </w:style>
  <w:style w:type="character" w:customStyle="1" w:styleId="791">
    <w:name w:val="message1"/>
    <w:qFormat/>
    <w:uiPriority w:val="0"/>
    <w:rPr>
      <w:rFonts w:hint="default" w:ascii="Tahoma" w:hAnsi="Tahoma" w:cs="Tahoma"/>
      <w:sz w:val="18"/>
      <w:szCs w:val="18"/>
    </w:rPr>
  </w:style>
  <w:style w:type="character" w:customStyle="1" w:styleId="792">
    <w:name w:val="Char Char23"/>
    <w:qFormat/>
    <w:uiPriority w:val="6"/>
    <w:rPr>
      <w:color w:val="0000FF"/>
      <w:sz w:val="21"/>
    </w:rPr>
  </w:style>
  <w:style w:type="character" w:customStyle="1" w:styleId="793">
    <w:name w:val="批注框文本 字符"/>
    <w:qFormat/>
    <w:uiPriority w:val="0"/>
    <w:rPr>
      <w:rFonts w:ascii="Arial" w:hAnsi="Arial" w:eastAsia="黑体" w:cs="Arial"/>
      <w:snapToGrid w:val="0"/>
      <w:kern w:val="0"/>
      <w:sz w:val="18"/>
      <w:szCs w:val="18"/>
    </w:rPr>
  </w:style>
  <w:style w:type="character" w:customStyle="1" w:styleId="794">
    <w:name w:val="纯文本 Char2"/>
    <w:semiHidden/>
    <w:qFormat/>
    <w:uiPriority w:val="99"/>
    <w:rPr>
      <w:rFonts w:ascii="宋体" w:hAnsi="Courier New" w:eastAsia="宋体" w:cs="Courier New"/>
    </w:rPr>
  </w:style>
  <w:style w:type="character" w:customStyle="1" w:styleId="795">
    <w:name w:val="Char Char25"/>
    <w:qFormat/>
    <w:uiPriority w:val="6"/>
    <w:rPr>
      <w:rFonts w:ascii="宋体" w:hAnsi="宋体"/>
      <w:kern w:val="1"/>
      <w:sz w:val="24"/>
      <w:lang w:val="zh-CN"/>
    </w:rPr>
  </w:style>
  <w:style w:type="character" w:customStyle="1" w:styleId="796">
    <w:name w:val="Char Char411"/>
    <w:qFormat/>
    <w:uiPriority w:val="0"/>
    <w:rPr>
      <w:rFonts w:eastAsia="宋体"/>
      <w:b/>
      <w:sz w:val="24"/>
      <w:lang w:eastAsia="zh-CN" w:bidi="ar-SA"/>
    </w:rPr>
  </w:style>
  <w:style w:type="character" w:customStyle="1" w:styleId="797">
    <w:name w:val="Heading 7 Char"/>
    <w:qFormat/>
    <w:locked/>
    <w:uiPriority w:val="0"/>
    <w:rPr>
      <w:rFonts w:ascii="宋体" w:hAnsi="宋体" w:eastAsia="宋体"/>
      <w:b/>
      <w:bCs/>
      <w:kern w:val="2"/>
      <w:sz w:val="24"/>
      <w:szCs w:val="24"/>
      <w:lang w:val="en-US" w:eastAsia="zh-CN" w:bidi="ar-SA"/>
    </w:rPr>
  </w:style>
  <w:style w:type="character" w:customStyle="1" w:styleId="798">
    <w:name w:val="此正文 Char"/>
    <w:link w:val="101"/>
    <w:qFormat/>
    <w:uiPriority w:val="0"/>
    <w:rPr>
      <w:kern w:val="2"/>
      <w:sz w:val="24"/>
      <w:szCs w:val="24"/>
    </w:rPr>
  </w:style>
  <w:style w:type="character" w:customStyle="1" w:styleId="799">
    <w:name w:val="Char Char2"/>
    <w:qFormat/>
    <w:uiPriority w:val="0"/>
    <w:rPr>
      <w:rFonts w:eastAsia="宋体"/>
      <w:b/>
      <w:bCs/>
      <w:kern w:val="2"/>
      <w:sz w:val="21"/>
      <w:szCs w:val="24"/>
      <w:lang w:val="en-US" w:eastAsia="zh-CN" w:bidi="ar-SA"/>
    </w:rPr>
  </w:style>
  <w:style w:type="character" w:customStyle="1" w:styleId="800">
    <w:name w:val="标题 1 Char"/>
    <w:link w:val="3"/>
    <w:qFormat/>
    <w:uiPriority w:val="9"/>
    <w:rPr>
      <w:b/>
      <w:bCs/>
      <w:kern w:val="44"/>
      <w:sz w:val="44"/>
      <w:szCs w:val="44"/>
    </w:rPr>
  </w:style>
  <w:style w:type="character" w:customStyle="1" w:styleId="801">
    <w:name w:val="Footer-Even Char1"/>
    <w:qFormat/>
    <w:uiPriority w:val="0"/>
    <w:rPr>
      <w:rFonts w:eastAsia="宋体"/>
      <w:kern w:val="2"/>
      <w:sz w:val="18"/>
      <w:szCs w:val="18"/>
      <w:lang w:val="en-US" w:eastAsia="zh-CN" w:bidi="ar-SA"/>
    </w:rPr>
  </w:style>
  <w:style w:type="character" w:customStyle="1" w:styleId="802">
    <w:name w:val="Char Char29"/>
    <w:qFormat/>
    <w:uiPriority w:val="6"/>
    <w:rPr>
      <w:rFonts w:ascii="Arial" w:hAnsi="Arial" w:eastAsia="微软雅黑"/>
      <w:b/>
      <w:kern w:val="1"/>
      <w:sz w:val="44"/>
      <w:szCs w:val="32"/>
      <w:lang w:val="en-US" w:eastAsia="zh-CN" w:bidi="ar-SA"/>
    </w:rPr>
  </w:style>
  <w:style w:type="character" w:customStyle="1" w:styleId="803">
    <w:name w:val="标题 Char2"/>
    <w:link w:val="58"/>
    <w:qFormat/>
    <w:uiPriority w:val="10"/>
    <w:rPr>
      <w:b/>
      <w:sz w:val="24"/>
    </w:rPr>
  </w:style>
  <w:style w:type="character" w:customStyle="1" w:styleId="804">
    <w:name w:val="font81"/>
    <w:qFormat/>
    <w:uiPriority w:val="0"/>
    <w:rPr>
      <w:rFonts w:ascii="微软雅黑" w:hAnsi="微软雅黑" w:eastAsia="微软雅黑" w:cs="微软雅黑"/>
      <w:color w:val="000000"/>
      <w:sz w:val="20"/>
      <w:szCs w:val="20"/>
      <w:u w:val="none"/>
    </w:rPr>
  </w:style>
  <w:style w:type="character" w:customStyle="1" w:styleId="805">
    <w:name w:val="Char Char312"/>
    <w:qFormat/>
    <w:uiPriority w:val="0"/>
    <w:rPr>
      <w:rFonts w:ascii="Times New Roman" w:hAnsi="Times New Roman" w:eastAsia="宋体" w:cs="Times New Roman"/>
      <w:b/>
      <w:kern w:val="2"/>
      <w:sz w:val="32"/>
      <w:szCs w:val="24"/>
      <w:lang w:val="en-US" w:eastAsia="zh-CN" w:bidi="ar-SA"/>
    </w:rPr>
  </w:style>
  <w:style w:type="character" w:customStyle="1" w:styleId="806">
    <w:name w:val="t21"/>
    <w:qFormat/>
    <w:uiPriority w:val="0"/>
    <w:rPr>
      <w:rFonts w:ascii="仿宋_GB2312" w:eastAsia="微软雅黑"/>
      <w:b/>
      <w:kern w:val="2"/>
      <w:sz w:val="23"/>
      <w:szCs w:val="23"/>
      <w:lang w:val="en-US" w:eastAsia="zh-CN" w:bidi="ar-SA"/>
    </w:rPr>
  </w:style>
  <w:style w:type="character" w:customStyle="1" w:styleId="807">
    <w:name w:val="样式8 Char"/>
    <w:qFormat/>
    <w:uiPriority w:val="0"/>
    <w:rPr>
      <w:rFonts w:ascii="仿宋_GB2312" w:hAnsi="宋体" w:eastAsia="仿宋_GB2312"/>
      <w:b/>
      <w:bCs/>
      <w:kern w:val="2"/>
      <w:sz w:val="24"/>
      <w:szCs w:val="24"/>
    </w:rPr>
  </w:style>
  <w:style w:type="character" w:customStyle="1" w:styleId="808">
    <w:name w:val="表格 Char Char"/>
    <w:qFormat/>
    <w:uiPriority w:val="0"/>
    <w:rPr>
      <w:rFonts w:ascii="宋体" w:hAnsi="宋体" w:eastAsia="宋体"/>
      <w:lang w:bidi="ar-SA"/>
    </w:rPr>
  </w:style>
  <w:style w:type="character" w:customStyle="1" w:styleId="809">
    <w:name w:val="正文文本 字符1"/>
    <w:qFormat/>
    <w:uiPriority w:val="0"/>
    <w:rPr>
      <w:rFonts w:ascii="Calibri" w:hAnsi="Calibri" w:eastAsia="黑体" w:cs="Arial"/>
      <w:snapToGrid w:val="0"/>
      <w:kern w:val="2"/>
      <w:sz w:val="28"/>
      <w:szCs w:val="21"/>
    </w:rPr>
  </w:style>
  <w:style w:type="character" w:customStyle="1" w:styleId="810">
    <w:name w:val="标题 5 Char"/>
    <w:link w:val="9"/>
    <w:qFormat/>
    <w:uiPriority w:val="9"/>
    <w:rPr>
      <w:b/>
      <w:bCs/>
      <w:kern w:val="2"/>
      <w:sz w:val="28"/>
      <w:szCs w:val="28"/>
    </w:rPr>
  </w:style>
  <w:style w:type="character" w:customStyle="1" w:styleId="811">
    <w:name w:val="标题 6 Char1"/>
    <w:qFormat/>
    <w:uiPriority w:val="0"/>
    <w:rPr>
      <w:rFonts w:ascii="Arial" w:hAnsi="Arial" w:eastAsia="黑体" w:cs="Times New Roman"/>
      <w:b/>
      <w:sz w:val="24"/>
      <w:szCs w:val="20"/>
      <w:lang w:bidi="ar-SA"/>
    </w:rPr>
  </w:style>
  <w:style w:type="character" w:customStyle="1" w:styleId="812">
    <w:name w:val="带编号样式 Char"/>
    <w:qFormat/>
    <w:uiPriority w:val="0"/>
    <w:rPr>
      <w:rFonts w:ascii="仿宋_GB2312" w:eastAsia="仿宋_GB2312"/>
      <w:color w:val="000000"/>
      <w:sz w:val="24"/>
      <w:lang w:bidi="ar-SA"/>
    </w:rPr>
  </w:style>
  <w:style w:type="character" w:customStyle="1" w:styleId="813">
    <w:name w:val="unnamed31"/>
    <w:qFormat/>
    <w:uiPriority w:val="0"/>
    <w:rPr>
      <w:rFonts w:ascii="Tahoma" w:hAnsi="Tahoma" w:eastAsia="宋体"/>
      <w:b/>
      <w:kern w:val="2"/>
      <w:sz w:val="24"/>
      <w:szCs w:val="32"/>
      <w:u w:val="none"/>
      <w:lang w:val="en-US" w:eastAsia="zh-CN" w:bidi="ar-SA"/>
    </w:rPr>
  </w:style>
  <w:style w:type="character" w:customStyle="1" w:styleId="814">
    <w:name w:val="正文首行缩进 Char Char Char Char Char Char1"/>
    <w:qFormat/>
    <w:uiPriority w:val="0"/>
    <w:rPr>
      <w:rFonts w:ascii="宋体" w:eastAsia="宋体"/>
      <w:kern w:val="2"/>
      <w:sz w:val="24"/>
      <w:szCs w:val="24"/>
      <w:lang w:val="zh-CN" w:bidi="ar-SA"/>
    </w:rPr>
  </w:style>
  <w:style w:type="character" w:customStyle="1" w:styleId="815">
    <w:name w:val="称呼 Char"/>
    <w:link w:val="22"/>
    <w:qFormat/>
    <w:uiPriority w:val="0"/>
    <w:rPr>
      <w:rFonts w:ascii="仿宋_GB2312" w:eastAsia="仿宋_GB2312"/>
      <w:kern w:val="2"/>
      <w:sz w:val="28"/>
    </w:rPr>
  </w:style>
  <w:style w:type="character" w:customStyle="1" w:styleId="816">
    <w:name w:val="文本正文 Char Char"/>
    <w:qFormat/>
    <w:locked/>
    <w:uiPriority w:val="0"/>
    <w:rPr>
      <w:sz w:val="24"/>
      <w:lang w:bidi="ar-SA"/>
    </w:rPr>
  </w:style>
  <w:style w:type="character" w:customStyle="1" w:styleId="817">
    <w:name w:val="正文缩进 字符"/>
    <w:qFormat/>
    <w:uiPriority w:val="0"/>
    <w:rPr>
      <w:rFonts w:ascii="宋体" w:eastAsia="宋体"/>
      <w:snapToGrid w:val="0"/>
      <w:color w:val="000000"/>
      <w:kern w:val="28"/>
      <w:sz w:val="28"/>
      <w:lang w:val="en-US" w:eastAsia="zh-CN" w:bidi="ar-SA"/>
    </w:rPr>
  </w:style>
  <w:style w:type="character" w:customStyle="1" w:styleId="818">
    <w:name w:val="HTML 预设格式 Char"/>
    <w:link w:val="56"/>
    <w:qFormat/>
    <w:uiPriority w:val="0"/>
    <w:rPr>
      <w:rFonts w:ascii="黑体" w:hAnsi="Courier New" w:eastAsia="黑体"/>
    </w:rPr>
  </w:style>
  <w:style w:type="character" w:customStyle="1" w:styleId="819">
    <w:name w:val="正文文本 2 Char1"/>
    <w:link w:val="55"/>
    <w:qFormat/>
    <w:uiPriority w:val="0"/>
    <w:rPr>
      <w:kern w:val="2"/>
      <w:sz w:val="21"/>
      <w:szCs w:val="24"/>
    </w:rPr>
  </w:style>
  <w:style w:type="character" w:customStyle="1" w:styleId="820">
    <w:name w:val="样式 样式 标题 4h4H4Fab-4T5Ref Heading 1rh1Heading sqlsect 1.2.3.... +... Char"/>
    <w:link w:val="102"/>
    <w:qFormat/>
    <w:uiPriority w:val="0"/>
    <w:rPr>
      <w:rFonts w:ascii="微软雅黑" w:hAnsi="微软雅黑" w:eastAsia="微软雅黑"/>
      <w:b/>
      <w:bCs/>
      <w:kern w:val="2"/>
      <w:sz w:val="24"/>
      <w:szCs w:val="28"/>
    </w:rPr>
  </w:style>
  <w:style w:type="character" w:customStyle="1" w:styleId="821">
    <w:name w:val="正文非缩进 Char"/>
    <w:qFormat/>
    <w:uiPriority w:val="0"/>
    <w:rPr>
      <w:rFonts w:ascii="宋体" w:eastAsia="宋体"/>
      <w:snapToGrid w:val="0"/>
      <w:color w:val="000000"/>
      <w:kern w:val="28"/>
      <w:sz w:val="28"/>
      <w:lang w:val="en-US" w:eastAsia="zh-CN" w:bidi="ar-SA"/>
    </w:rPr>
  </w:style>
  <w:style w:type="character" w:customStyle="1" w:styleId="822">
    <w:name w:val="标题 7 Char"/>
    <w:link w:val="11"/>
    <w:qFormat/>
    <w:uiPriority w:val="0"/>
    <w:rPr>
      <w:b/>
      <w:bCs/>
      <w:kern w:val="2"/>
      <w:sz w:val="24"/>
      <w:szCs w:val="24"/>
    </w:rPr>
  </w:style>
  <w:style w:type="character" w:customStyle="1" w:styleId="823">
    <w:name w:val="正文文本缩进 2 Char"/>
    <w:link w:val="2"/>
    <w:qFormat/>
    <w:uiPriority w:val="0"/>
    <w:rPr>
      <w:rFonts w:ascii="宋体"/>
      <w:sz w:val="28"/>
    </w:rPr>
  </w:style>
  <w:style w:type="character" w:customStyle="1" w:styleId="824">
    <w:name w:val="Char Char5"/>
    <w:qFormat/>
    <w:uiPriority w:val="0"/>
    <w:rPr>
      <w:rFonts w:ascii="宋体" w:hAnsi="Courier New" w:eastAsia="宋体"/>
      <w:kern w:val="2"/>
      <w:sz w:val="21"/>
      <w:lang w:val="en-US" w:eastAsia="zh-CN"/>
    </w:rPr>
  </w:style>
  <w:style w:type="character" w:customStyle="1" w:styleId="825">
    <w:name w:val="脚注文本 Char"/>
    <w:link w:val="49"/>
    <w:qFormat/>
    <w:uiPriority w:val="0"/>
    <w:rPr>
      <w:color w:val="0000FF"/>
      <w:sz w:val="21"/>
    </w:rPr>
  </w:style>
  <w:style w:type="character" w:customStyle="1" w:styleId="826">
    <w:name w:val="称呼 Char1"/>
    <w:qFormat/>
    <w:uiPriority w:val="0"/>
    <w:rPr>
      <w:rFonts w:ascii="Times New Roman" w:hAnsi="Times New Roman" w:eastAsia="宋体" w:cs="Times New Roman"/>
      <w:szCs w:val="24"/>
    </w:rPr>
  </w:style>
  <w:style w:type="character" w:customStyle="1" w:styleId="827">
    <w:name w:val="正文1 Char"/>
    <w:qFormat/>
    <w:uiPriority w:val="0"/>
    <w:rPr>
      <w:rFonts w:ascii="宋体" w:eastAsia="宋体"/>
      <w:snapToGrid w:val="0"/>
      <w:color w:val="000000"/>
      <w:kern w:val="28"/>
      <w:sz w:val="28"/>
      <w:lang w:val="en-US" w:eastAsia="zh-CN" w:bidi="ar-SA"/>
    </w:rPr>
  </w:style>
  <w:style w:type="character" w:customStyle="1" w:styleId="828">
    <w:name w:val="正文缩进 Char1"/>
    <w:qFormat/>
    <w:uiPriority w:val="0"/>
    <w:rPr>
      <w:rFonts w:ascii="宋体" w:eastAsia="宋体"/>
      <w:snapToGrid w:val="0"/>
      <w:color w:val="000000"/>
      <w:kern w:val="28"/>
      <w:sz w:val="28"/>
      <w:lang w:val="en-US" w:eastAsia="zh-CN" w:bidi="ar-SA"/>
    </w:rPr>
  </w:style>
  <w:style w:type="character" w:customStyle="1" w:styleId="829">
    <w:name w:val="font21"/>
    <w:qFormat/>
    <w:uiPriority w:val="0"/>
    <w:rPr>
      <w:rFonts w:hint="eastAsia" w:ascii="宋体" w:hAnsi="宋体" w:eastAsia="宋体"/>
      <w:kern w:val="2"/>
      <w:sz w:val="28"/>
      <w:szCs w:val="28"/>
      <w:lang w:val="en-US" w:eastAsia="zh-CN" w:bidi="ar-SA"/>
    </w:rPr>
  </w:style>
  <w:style w:type="character" w:customStyle="1" w:styleId="830">
    <w:name w:val="Char Char26"/>
    <w:qFormat/>
    <w:uiPriority w:val="6"/>
    <w:rPr>
      <w:kern w:val="1"/>
      <w:sz w:val="21"/>
      <w:szCs w:val="24"/>
    </w:rPr>
  </w:style>
  <w:style w:type="character" w:customStyle="1" w:styleId="831">
    <w:name w:val="Item List Char"/>
    <w:link w:val="104"/>
    <w:qFormat/>
    <w:uiPriority w:val="0"/>
    <w:rPr>
      <w:rFonts w:ascii="Arial"/>
      <w:bCs/>
      <w:sz w:val="21"/>
      <w:szCs w:val="21"/>
      <w:lang w:val="en-US" w:eastAsia="zh-CN" w:bidi="ar-SA"/>
    </w:rPr>
  </w:style>
  <w:style w:type="character" w:customStyle="1" w:styleId="832">
    <w:name w:val="批注框文本 Char1"/>
    <w:qFormat/>
    <w:uiPriority w:val="0"/>
    <w:rPr>
      <w:rFonts w:ascii="Times New Roman" w:hAnsi="Times New Roman" w:eastAsia="宋体" w:cs="Times New Roman"/>
      <w:sz w:val="18"/>
      <w:szCs w:val="18"/>
    </w:rPr>
  </w:style>
  <w:style w:type="character" w:customStyle="1" w:styleId="833">
    <w:name w:val="纯文本 Char1"/>
    <w:link w:val="105"/>
    <w:qFormat/>
    <w:uiPriority w:val="0"/>
    <w:rPr>
      <w:rFonts w:ascii="宋体" w:hAnsi="Courier New"/>
    </w:rPr>
  </w:style>
  <w:style w:type="character" w:customStyle="1" w:styleId="834">
    <w:name w:val="正文首行缩进 Char"/>
    <w:link w:val="60"/>
    <w:qFormat/>
    <w:uiPriority w:val="0"/>
    <w:rPr>
      <w:rFonts w:ascii="宋体"/>
      <w:kern w:val="2"/>
      <w:sz w:val="24"/>
      <w:lang w:val="zh-CN"/>
    </w:rPr>
  </w:style>
  <w:style w:type="character" w:customStyle="1" w:styleId="835">
    <w:name w:val="h3 Char"/>
    <w:qFormat/>
    <w:uiPriority w:val="0"/>
    <w:rPr>
      <w:rFonts w:eastAsia="宋体"/>
      <w:b/>
      <w:kern w:val="2"/>
      <w:sz w:val="32"/>
      <w:lang w:val="en-US" w:eastAsia="zh-CN" w:bidi="ar-SA"/>
    </w:rPr>
  </w:style>
  <w:style w:type="character" w:customStyle="1" w:styleId="836">
    <w:name w:val="dandyren_title1"/>
    <w:qFormat/>
    <w:uiPriority w:val="0"/>
    <w:rPr>
      <w:b/>
      <w:bCs/>
      <w:color w:val="FF6633"/>
      <w:sz w:val="18"/>
      <w:szCs w:val="18"/>
    </w:rPr>
  </w:style>
  <w:style w:type="character" w:customStyle="1" w:styleId="837">
    <w:name w:val="Char Char31"/>
    <w:qFormat/>
    <w:uiPriority w:val="6"/>
    <w:rPr>
      <w:rFonts w:ascii="Arial" w:hAnsi="Arial" w:eastAsia="黑体"/>
      <w:kern w:val="1"/>
      <w:sz w:val="24"/>
      <w:szCs w:val="24"/>
    </w:rPr>
  </w:style>
  <w:style w:type="character" w:customStyle="1" w:styleId="838">
    <w:name w:val="h Char1"/>
    <w:qFormat/>
    <w:uiPriority w:val="0"/>
    <w:rPr>
      <w:sz w:val="18"/>
      <w:szCs w:val="18"/>
    </w:rPr>
  </w:style>
  <w:style w:type="character" w:customStyle="1" w:styleId="839">
    <w:name w:val="solutionfonts"/>
    <w:qFormat/>
    <w:uiPriority w:val="0"/>
  </w:style>
  <w:style w:type="character" w:customStyle="1" w:styleId="840">
    <w:name w:val="标题 4 Char2"/>
    <w:link w:val="8"/>
    <w:qFormat/>
    <w:uiPriority w:val="9"/>
    <w:rPr>
      <w:rFonts w:ascii="Arial" w:hAnsi="Arial" w:eastAsia="黑体"/>
      <w:b/>
      <w:bCs/>
      <w:kern w:val="2"/>
      <w:sz w:val="28"/>
      <w:szCs w:val="28"/>
      <w:lang w:val="zh-CN"/>
    </w:rPr>
  </w:style>
  <w:style w:type="character" w:customStyle="1" w:styleId="841">
    <w:name w:val="首行缩进 Char"/>
    <w:qFormat/>
    <w:uiPriority w:val="0"/>
    <w:rPr>
      <w:rFonts w:ascii="宋体" w:eastAsia="宋体"/>
      <w:kern w:val="2"/>
      <w:sz w:val="24"/>
      <w:lang w:val="en-US" w:eastAsia="zh-CN" w:bidi="ar-SA"/>
    </w:rPr>
  </w:style>
  <w:style w:type="character" w:customStyle="1" w:styleId="842">
    <w:name w:val="Char Char52"/>
    <w:qFormat/>
    <w:uiPriority w:val="0"/>
    <w:rPr>
      <w:rFonts w:ascii="宋体" w:hAnsi="Courier New" w:eastAsia="宋体"/>
      <w:kern w:val="2"/>
      <w:sz w:val="21"/>
      <w:lang w:val="en-US" w:eastAsia="zh-CN"/>
    </w:rPr>
  </w:style>
  <w:style w:type="character" w:customStyle="1" w:styleId="843">
    <w:name w:val="正文文本 3 Char"/>
    <w:link w:val="23"/>
    <w:qFormat/>
    <w:uiPriority w:val="0"/>
    <w:rPr>
      <w:kern w:val="2"/>
      <w:sz w:val="21"/>
    </w:rPr>
  </w:style>
  <w:style w:type="character" w:customStyle="1" w:styleId="844">
    <w:name w:val="font31"/>
    <w:qFormat/>
    <w:uiPriority w:val="0"/>
    <w:rPr>
      <w:rFonts w:hint="eastAsia" w:ascii="仿宋" w:hAnsi="仿宋" w:eastAsia="仿宋" w:cs="仿宋"/>
      <w:color w:val="000000"/>
      <w:sz w:val="20"/>
      <w:szCs w:val="20"/>
      <w:u w:val="none"/>
    </w:rPr>
  </w:style>
  <w:style w:type="character" w:customStyle="1" w:styleId="845">
    <w:name w:val="正文说明 Char"/>
    <w:link w:val="106"/>
    <w:qFormat/>
    <w:uiPriority w:val="0"/>
    <w:rPr>
      <w:sz w:val="24"/>
      <w:szCs w:val="24"/>
    </w:rPr>
  </w:style>
  <w:style w:type="character" w:customStyle="1" w:styleId="846">
    <w:name w:val="脚注文本 Char1"/>
    <w:qFormat/>
    <w:uiPriority w:val="0"/>
    <w:rPr>
      <w:rFonts w:ascii="Times New Roman" w:hAnsi="Times New Roman" w:eastAsia="宋体" w:cs="Times New Roman"/>
      <w:sz w:val="18"/>
      <w:szCs w:val="18"/>
    </w:rPr>
  </w:style>
  <w:style w:type="character" w:customStyle="1" w:styleId="847">
    <w:name w:val="Char Char1211"/>
    <w:qFormat/>
    <w:uiPriority w:val="0"/>
    <w:rPr>
      <w:rFonts w:ascii="仿宋_GB2312" w:eastAsia="仿宋_GB2312"/>
      <w:b/>
      <w:bCs/>
      <w:kern w:val="2"/>
      <w:sz w:val="24"/>
      <w:szCs w:val="24"/>
      <w:lang w:val="zh-CN" w:eastAsia="zh-CN" w:bidi="ar-SA"/>
    </w:rPr>
  </w:style>
  <w:style w:type="character" w:customStyle="1" w:styleId="848">
    <w:name w:val="标题 Char"/>
    <w:qFormat/>
    <w:uiPriority w:val="0"/>
    <w:rPr>
      <w:rFonts w:eastAsia="宋体"/>
      <w:b/>
      <w:sz w:val="24"/>
      <w:lang w:eastAsia="zh-CN" w:bidi="ar-SA"/>
    </w:rPr>
  </w:style>
  <w:style w:type="character" w:customStyle="1" w:styleId="849">
    <w:name w:val="Char Char35"/>
    <w:qFormat/>
    <w:uiPriority w:val="6"/>
    <w:rPr>
      <w:rFonts w:ascii="Arial" w:hAnsi="Arial" w:eastAsia="黑体"/>
      <w:b/>
      <w:kern w:val="1"/>
      <w:sz w:val="28"/>
      <w:szCs w:val="28"/>
      <w:lang w:val="zh-CN"/>
    </w:rPr>
  </w:style>
  <w:style w:type="character" w:customStyle="1" w:styleId="850">
    <w:name w:val="纯文本 Char Char Char"/>
    <w:qFormat/>
    <w:uiPriority w:val="0"/>
    <w:rPr>
      <w:rFonts w:ascii="宋体" w:hAnsi="Courier New" w:eastAsia="宋体"/>
      <w:kern w:val="2"/>
      <w:sz w:val="21"/>
      <w:lang w:val="en-US" w:eastAsia="zh-CN" w:bidi="ar-SA"/>
    </w:rPr>
  </w:style>
  <w:style w:type="character" w:customStyle="1" w:styleId="851">
    <w:name w:val="Table Text Char"/>
    <w:link w:val="107"/>
    <w:qFormat/>
    <w:uiPriority w:val="0"/>
    <w:rPr>
      <w:sz w:val="24"/>
      <w:szCs w:val="24"/>
    </w:rPr>
  </w:style>
  <w:style w:type="character" w:customStyle="1" w:styleId="852">
    <w:name w:val="正文1 Char1"/>
    <w:qFormat/>
    <w:uiPriority w:val="0"/>
    <w:rPr>
      <w:rFonts w:ascii="仿宋_GB2312" w:hAnsi="Courier New" w:eastAsia="仿宋_GB2312"/>
      <w:kern w:val="28"/>
      <w:sz w:val="24"/>
      <w:szCs w:val="24"/>
      <w:lang w:val="en-US" w:eastAsia="zh-CN"/>
    </w:rPr>
  </w:style>
  <w:style w:type="character" w:customStyle="1" w:styleId="853">
    <w:name w:val="页脚 Char1"/>
    <w:qFormat/>
    <w:uiPriority w:val="0"/>
    <w:rPr>
      <w:rFonts w:eastAsia="宋体"/>
      <w:kern w:val="2"/>
      <w:sz w:val="18"/>
      <w:szCs w:val="18"/>
      <w:lang w:val="en-US" w:eastAsia="zh-CN" w:bidi="ar-SA"/>
    </w:rPr>
  </w:style>
  <w:style w:type="character" w:customStyle="1" w:styleId="854">
    <w:name w:val="Bold"/>
    <w:qFormat/>
    <w:uiPriority w:val="0"/>
    <w:rPr>
      <w:rFonts w:ascii="Arial" w:hAnsi="Arial" w:eastAsia="黑体" w:cs="Times New Roman"/>
      <w:b/>
      <w:kern w:val="2"/>
      <w:sz w:val="32"/>
      <w:szCs w:val="32"/>
      <w:lang w:val="en-US" w:eastAsia="zh-CN" w:bidi="ar-SA"/>
    </w:rPr>
  </w:style>
  <w:style w:type="character" w:customStyle="1" w:styleId="855">
    <w:name w:val="批注文字 Char1"/>
    <w:link w:val="21"/>
    <w:qFormat/>
    <w:uiPriority w:val="99"/>
    <w:rPr>
      <w:kern w:val="2"/>
      <w:sz w:val="21"/>
      <w:szCs w:val="24"/>
    </w:rPr>
  </w:style>
  <w:style w:type="character" w:customStyle="1" w:styleId="856">
    <w:name w:val="签名 Char"/>
    <w:link w:val="41"/>
    <w:qFormat/>
    <w:uiPriority w:val="0"/>
    <w:rPr>
      <w:rFonts w:eastAsia="仿宋_GB2312"/>
      <w:sz w:val="24"/>
    </w:rPr>
  </w:style>
  <w:style w:type="character" w:customStyle="1" w:styleId="857">
    <w:name w:val="hui3"/>
    <w:qFormat/>
    <w:uiPriority w:val="0"/>
    <w:rPr>
      <w:color w:val="333333"/>
    </w:rPr>
  </w:style>
  <w:style w:type="character" w:customStyle="1" w:styleId="858">
    <w:name w:val="Char Char17"/>
    <w:qFormat/>
    <w:uiPriority w:val="6"/>
    <w:rPr>
      <w:rFonts w:eastAsia="仿宋_GB2312"/>
      <w:sz w:val="24"/>
    </w:rPr>
  </w:style>
  <w:style w:type="character" w:customStyle="1" w:styleId="859">
    <w:name w:val="标题 4 字符"/>
    <w:qFormat/>
    <w:uiPriority w:val="9"/>
    <w:rPr>
      <w:rFonts w:ascii="等线 Light" w:hAnsi="等线 Light" w:eastAsia="等线 Light" w:cs="Times New Roman"/>
      <w:b/>
      <w:bCs/>
      <w:snapToGrid w:val="0"/>
      <w:kern w:val="0"/>
      <w:sz w:val="28"/>
      <w:szCs w:val="28"/>
    </w:rPr>
  </w:style>
  <w:style w:type="character" w:customStyle="1" w:styleId="860">
    <w:name w:val="Char Char37"/>
    <w:qFormat/>
    <w:uiPriority w:val="6"/>
    <w:rPr>
      <w:b/>
      <w:kern w:val="1"/>
      <w:sz w:val="44"/>
      <w:szCs w:val="44"/>
    </w:rPr>
  </w:style>
  <w:style w:type="character" w:customStyle="1" w:styleId="861">
    <w:name w:val="列出段落 Char"/>
    <w:qFormat/>
    <w:uiPriority w:val="0"/>
    <w:rPr>
      <w:rFonts w:eastAsia="楷体_GB2312" w:cs="Lucida Sans"/>
      <w:kern w:val="2"/>
      <w:sz w:val="24"/>
      <w:szCs w:val="24"/>
      <w:lang w:val="en-US" w:eastAsia="zh-CN" w:bidi="ar-SA"/>
    </w:rPr>
  </w:style>
  <w:style w:type="character" w:customStyle="1" w:styleId="862">
    <w:name w:val="正文文本缩进 3 Char1"/>
    <w:semiHidden/>
    <w:qFormat/>
    <w:uiPriority w:val="99"/>
    <w:rPr>
      <w:rFonts w:ascii="Times New Roman" w:hAnsi="Times New Roman" w:eastAsia="宋体" w:cs="Times New Roman"/>
      <w:sz w:val="16"/>
      <w:szCs w:val="16"/>
    </w:rPr>
  </w:style>
  <w:style w:type="character" w:customStyle="1" w:styleId="863">
    <w:name w:val="公文正文 Char Char"/>
    <w:link w:val="108"/>
    <w:qFormat/>
    <w:uiPriority w:val="0"/>
    <w:rPr>
      <w:rFonts w:ascii="仿宋_GB2312" w:eastAsia="仿宋_GB2312"/>
      <w:kern w:val="2"/>
      <w:sz w:val="24"/>
      <w:szCs w:val="24"/>
    </w:rPr>
  </w:style>
  <w:style w:type="character" w:customStyle="1" w:styleId="864">
    <w:name w:val="Table Text Char1"/>
    <w:qFormat/>
    <w:uiPriority w:val="0"/>
    <w:rPr>
      <w:rFonts w:eastAsia="宋体"/>
      <w:sz w:val="24"/>
      <w:szCs w:val="24"/>
      <w:lang w:val="en-US" w:eastAsia="zh-CN" w:bidi="ar-SA"/>
    </w:rPr>
  </w:style>
  <w:style w:type="character" w:customStyle="1" w:styleId="865">
    <w:name w:val="标题 1 Char Char"/>
    <w:qFormat/>
    <w:uiPriority w:val="0"/>
    <w:rPr>
      <w:rFonts w:hint="eastAsia" w:ascii="宋体" w:hAnsi="宋体" w:eastAsia="宋体"/>
      <w:b/>
      <w:spacing w:val="-2"/>
      <w:sz w:val="24"/>
      <w:lang w:val="en-US" w:eastAsia="zh-CN" w:bidi="ar-SA"/>
    </w:rPr>
  </w:style>
  <w:style w:type="character" w:customStyle="1" w:styleId="866">
    <w:name w:val="正文（缩进2汉字） Char"/>
    <w:link w:val="109"/>
    <w:qFormat/>
    <w:uiPriority w:val="0"/>
    <w:rPr>
      <w:rFonts w:ascii="宋体"/>
    </w:rPr>
  </w:style>
  <w:style w:type="character" w:customStyle="1" w:styleId="867">
    <w:name w:val="标题 8 Char"/>
    <w:link w:val="12"/>
    <w:qFormat/>
    <w:uiPriority w:val="0"/>
    <w:rPr>
      <w:rFonts w:ascii="Arial" w:hAnsi="Arial" w:eastAsia="黑体"/>
      <w:kern w:val="2"/>
      <w:sz w:val="24"/>
      <w:szCs w:val="24"/>
    </w:rPr>
  </w:style>
  <w:style w:type="character" w:customStyle="1" w:styleId="868">
    <w:name w:val="标书表格字体格式 Char"/>
    <w:qFormat/>
    <w:uiPriority w:val="0"/>
    <w:rPr>
      <w:kern w:val="2"/>
      <w:sz w:val="21"/>
      <w:szCs w:val="24"/>
      <w:lang w:bidi="ar-SA"/>
    </w:rPr>
  </w:style>
  <w:style w:type="character" w:customStyle="1" w:styleId="869">
    <w:name w:val="tw4winError"/>
    <w:qFormat/>
    <w:uiPriority w:val="0"/>
    <w:rPr>
      <w:rFonts w:ascii="Courier New" w:hAnsi="Courier New" w:cs="Courier New"/>
      <w:color w:val="00FF00"/>
      <w:sz w:val="40"/>
      <w:szCs w:val="40"/>
    </w:rPr>
  </w:style>
  <w:style w:type="character" w:customStyle="1" w:styleId="870">
    <w:name w:val="Body Text(ch) Char Char"/>
    <w:qFormat/>
    <w:uiPriority w:val="0"/>
    <w:rPr>
      <w:rFonts w:ascii="宋体"/>
      <w:kern w:val="2"/>
      <w:sz w:val="24"/>
      <w:szCs w:val="21"/>
      <w:lang w:val="zh-CN"/>
    </w:rPr>
  </w:style>
  <w:style w:type="character" w:customStyle="1" w:styleId="871">
    <w:name w:val="正文首行缩进两字 Char"/>
    <w:qFormat/>
    <w:uiPriority w:val="0"/>
    <w:rPr>
      <w:sz w:val="24"/>
      <w:szCs w:val="24"/>
      <w:lang w:val="en-US" w:eastAsia="zh-CN" w:bidi="ar-SA"/>
    </w:rPr>
  </w:style>
  <w:style w:type="character" w:customStyle="1" w:styleId="872">
    <w:name w:val="正文文本 Char"/>
    <w:qFormat/>
    <w:uiPriority w:val="0"/>
    <w:rPr>
      <w:rFonts w:eastAsia="宋体"/>
      <w:kern w:val="2"/>
      <w:sz w:val="24"/>
      <w:szCs w:val="24"/>
      <w:lang w:val="en-US" w:eastAsia="zh-CN" w:bidi="ar-SA"/>
    </w:rPr>
  </w:style>
  <w:style w:type="character" w:customStyle="1" w:styleId="873">
    <w:name w:val="文档结构图 字符1"/>
    <w:qFormat/>
    <w:uiPriority w:val="0"/>
    <w:rPr>
      <w:rFonts w:ascii="宋体" w:hAnsi="Calibri" w:eastAsia="黑体" w:cs="Arial"/>
      <w:snapToGrid w:val="0"/>
      <w:kern w:val="2"/>
      <w:sz w:val="18"/>
      <w:szCs w:val="18"/>
    </w:rPr>
  </w:style>
  <w:style w:type="character" w:customStyle="1" w:styleId="874">
    <w:name w:val="content"/>
    <w:qFormat/>
    <w:uiPriority w:val="0"/>
  </w:style>
  <w:style w:type="character" w:customStyle="1" w:styleId="875">
    <w:name w:val="tw4winPopup"/>
    <w:qFormat/>
    <w:uiPriority w:val="0"/>
    <w:rPr>
      <w:rFonts w:ascii="Courier New" w:hAnsi="Courier New" w:cs="Courier New"/>
      <w:color w:val="008000"/>
      <w:lang w:val="en-US" w:eastAsia="zh-CN"/>
    </w:rPr>
  </w:style>
  <w:style w:type="character" w:customStyle="1" w:styleId="876">
    <w:name w:val="param-name"/>
    <w:qFormat/>
    <w:uiPriority w:val="99"/>
    <w:rPr>
      <w:rFonts w:ascii="Arial" w:hAnsi="Arial" w:eastAsia="黑体" w:cs="Arial"/>
      <w:snapToGrid w:val="0"/>
      <w:kern w:val="0"/>
      <w:szCs w:val="21"/>
    </w:rPr>
  </w:style>
  <w:style w:type="character" w:customStyle="1" w:styleId="877">
    <w:name w:val="标准正文格式 Char"/>
    <w:qFormat/>
    <w:uiPriority w:val="0"/>
    <w:rPr>
      <w:rFonts w:ascii="宋体" w:eastAsia="仿宋_GB2312" w:cs="宋体"/>
      <w:color w:val="000000"/>
      <w:sz w:val="24"/>
      <w:lang w:val="en-US" w:eastAsia="zh-CN" w:bidi="ar-SA"/>
    </w:rPr>
  </w:style>
  <w:style w:type="character" w:customStyle="1" w:styleId="878">
    <w:name w:val="Char Char212"/>
    <w:qFormat/>
    <w:uiPriority w:val="0"/>
    <w:rPr>
      <w:rFonts w:eastAsia="宋体"/>
      <w:b/>
      <w:bCs/>
      <w:kern w:val="2"/>
      <w:sz w:val="21"/>
      <w:szCs w:val="24"/>
      <w:lang w:val="en-US" w:eastAsia="zh-CN" w:bidi="ar-SA"/>
    </w:rPr>
  </w:style>
  <w:style w:type="character" w:customStyle="1" w:styleId="879">
    <w:name w:val="文档结构图 Char"/>
    <w:qFormat/>
    <w:uiPriority w:val="0"/>
    <w:rPr>
      <w:rFonts w:eastAsia="宋体"/>
      <w:kern w:val="2"/>
      <w:sz w:val="21"/>
      <w:szCs w:val="24"/>
      <w:lang w:val="en-US" w:eastAsia="zh-CN" w:bidi="ar-SA"/>
    </w:rPr>
  </w:style>
  <w:style w:type="character" w:customStyle="1" w:styleId="880">
    <w:name w:val="zbggmain style9"/>
    <w:qFormat/>
    <w:uiPriority w:val="0"/>
  </w:style>
  <w:style w:type="character" w:customStyle="1" w:styleId="881">
    <w:name w:val="Char Char16"/>
    <w:qFormat/>
    <w:uiPriority w:val="6"/>
    <w:rPr>
      <w:kern w:val="1"/>
      <w:sz w:val="18"/>
      <w:szCs w:val="18"/>
    </w:rPr>
  </w:style>
  <w:style w:type="character" w:customStyle="1" w:styleId="882">
    <w:name w:val="font51"/>
    <w:qFormat/>
    <w:uiPriority w:val="0"/>
    <w:rPr>
      <w:rFonts w:hint="eastAsia" w:ascii="仿宋" w:hAnsi="仿宋" w:eastAsia="仿宋" w:cs="仿宋"/>
      <w:color w:val="000000"/>
      <w:sz w:val="20"/>
      <w:szCs w:val="20"/>
      <w:u w:val="none"/>
    </w:rPr>
  </w:style>
  <w:style w:type="character" w:customStyle="1" w:styleId="883">
    <w:name w:val="Char Char82"/>
    <w:qFormat/>
    <w:uiPriority w:val="0"/>
    <w:rPr>
      <w:rFonts w:eastAsia="宋体"/>
      <w:b/>
      <w:sz w:val="24"/>
      <w:lang w:eastAsia="zh-CN"/>
    </w:rPr>
  </w:style>
  <w:style w:type="character" w:customStyle="1" w:styleId="884">
    <w:name w:val="正文文本缩进 3 Char"/>
    <w:link w:val="52"/>
    <w:qFormat/>
    <w:uiPriority w:val="0"/>
    <w:rPr>
      <w:kern w:val="2"/>
      <w:sz w:val="24"/>
    </w:rPr>
  </w:style>
  <w:style w:type="character" w:customStyle="1" w:styleId="885">
    <w:name w:val="日期 Char1"/>
    <w:semiHidden/>
    <w:qFormat/>
    <w:uiPriority w:val="99"/>
    <w:rPr>
      <w:rFonts w:ascii="Times New Roman" w:hAnsi="Times New Roman" w:eastAsia="宋体" w:cs="Times New Roman"/>
      <w:szCs w:val="24"/>
    </w:rPr>
  </w:style>
  <w:style w:type="character" w:customStyle="1" w:styleId="886">
    <w:name w:val="页眉 字符"/>
    <w:qFormat/>
    <w:uiPriority w:val="99"/>
    <w:rPr>
      <w:kern w:val="2"/>
      <w:sz w:val="18"/>
      <w:szCs w:val="18"/>
    </w:rPr>
  </w:style>
  <w:style w:type="character" w:customStyle="1" w:styleId="887">
    <w:name w:val="Char Char33"/>
    <w:qFormat/>
    <w:uiPriority w:val="6"/>
    <w:rPr>
      <w:rFonts w:ascii="Arial" w:hAnsi="Arial" w:eastAsia="黑体"/>
      <w:b/>
      <w:kern w:val="1"/>
      <w:sz w:val="24"/>
      <w:szCs w:val="24"/>
    </w:rPr>
  </w:style>
  <w:style w:type="character" w:customStyle="1" w:styleId="888">
    <w:name w:val="b11_01b Char"/>
    <w:link w:val="110"/>
    <w:qFormat/>
    <w:uiPriority w:val="0"/>
    <w:rPr>
      <w:rFonts w:ascii="Verdana" w:hAnsi="Verdana"/>
      <w:b/>
      <w:bCs/>
      <w:color w:val="4A82CA"/>
      <w:sz w:val="17"/>
      <w:szCs w:val="17"/>
    </w:rPr>
  </w:style>
  <w:style w:type="character" w:customStyle="1" w:styleId="889">
    <w:name w:val="Char Char121"/>
    <w:qFormat/>
    <w:uiPriority w:val="6"/>
    <w:rPr>
      <w:rFonts w:ascii="仿宋_GB2312" w:eastAsia="仿宋_GB2312"/>
      <w:b/>
      <w:bCs/>
      <w:kern w:val="2"/>
      <w:sz w:val="24"/>
      <w:szCs w:val="24"/>
      <w:lang w:val="zh-CN" w:eastAsia="zh-CN" w:bidi="ar-SA"/>
    </w:rPr>
  </w:style>
  <w:style w:type="character" w:customStyle="1" w:styleId="890">
    <w:name w:val="Footer-Even Char"/>
    <w:qFormat/>
    <w:uiPriority w:val="0"/>
    <w:rPr>
      <w:rFonts w:eastAsia="宋体"/>
      <w:kern w:val="2"/>
      <w:sz w:val="18"/>
      <w:lang w:val="en-US" w:eastAsia="zh-CN" w:bidi="ar-SA"/>
    </w:rPr>
  </w:style>
  <w:style w:type="character" w:customStyle="1" w:styleId="891">
    <w:name w:val="页脚 Char2"/>
    <w:link w:val="39"/>
    <w:qFormat/>
    <w:locked/>
    <w:uiPriority w:val="99"/>
    <w:rPr>
      <w:kern w:val="2"/>
      <w:sz w:val="18"/>
      <w:szCs w:val="18"/>
    </w:rPr>
  </w:style>
  <w:style w:type="character" w:customStyle="1" w:styleId="892">
    <w:name w:val="Char Char36"/>
    <w:qFormat/>
    <w:uiPriority w:val="6"/>
    <w:rPr>
      <w:rFonts w:ascii="仿宋_GB2312" w:hAnsi="仿宋_GB2312" w:eastAsia="仿宋_GB2312" w:cs="Arial"/>
      <w:b/>
      <w:kern w:val="1"/>
      <w:sz w:val="32"/>
      <w:szCs w:val="32"/>
      <w:lang w:val="zh-CN" w:eastAsia="zh-CN" w:bidi="ar-SA"/>
    </w:rPr>
  </w:style>
  <w:style w:type="character" w:customStyle="1" w:styleId="893">
    <w:name w:val="Char Char61"/>
    <w:qFormat/>
    <w:uiPriority w:val="6"/>
    <w:rPr>
      <w:rFonts w:eastAsia="宋体"/>
      <w:kern w:val="2"/>
      <w:sz w:val="21"/>
      <w:szCs w:val="24"/>
      <w:lang w:val="en-US" w:eastAsia="zh-CN" w:bidi="ar-SA"/>
    </w:rPr>
  </w:style>
  <w:style w:type="character" w:customStyle="1" w:styleId="894">
    <w:name w:val="正文文字缩进 2 Char Char"/>
    <w:qFormat/>
    <w:uiPriority w:val="0"/>
    <w:rPr>
      <w:rFonts w:ascii="宋体"/>
      <w:sz w:val="28"/>
    </w:rPr>
  </w:style>
  <w:style w:type="character" w:customStyle="1" w:styleId="895">
    <w:name w:val="f141"/>
    <w:qFormat/>
    <w:uiPriority w:val="0"/>
    <w:rPr>
      <w:rFonts w:ascii="Tahoma" w:hAnsi="Tahoma" w:eastAsia="宋体"/>
      <w:b/>
      <w:kern w:val="2"/>
      <w:sz w:val="21"/>
      <w:szCs w:val="21"/>
      <w:lang w:val="en-US" w:eastAsia="zh-CN" w:bidi="ar-SA"/>
    </w:rPr>
  </w:style>
  <w:style w:type="character" w:customStyle="1" w:styleId="896">
    <w:name w:val="段落 Char Char"/>
    <w:link w:val="111"/>
    <w:qFormat/>
    <w:uiPriority w:val="0"/>
    <w:rPr>
      <w:rFonts w:ascii="宋体" w:hAnsi="宋体"/>
      <w:sz w:val="24"/>
    </w:rPr>
  </w:style>
  <w:style w:type="character" w:customStyle="1" w:styleId="897">
    <w:name w:val="标题 3 Char2"/>
    <w:qFormat/>
    <w:uiPriority w:val="0"/>
    <w:rPr>
      <w:rFonts w:eastAsia="宋体"/>
      <w:b/>
      <w:bCs/>
      <w:kern w:val="2"/>
      <w:sz w:val="32"/>
      <w:szCs w:val="32"/>
      <w:lang w:val="en-US" w:eastAsia="zh-CN" w:bidi="ar-SA"/>
    </w:rPr>
  </w:style>
  <w:style w:type="character" w:customStyle="1" w:styleId="898">
    <w:name w:val="apple-converted-space"/>
    <w:qFormat/>
    <w:uiPriority w:val="0"/>
  </w:style>
  <w:style w:type="character" w:customStyle="1" w:styleId="899">
    <w:name w:val="页眉 Char2"/>
    <w:link w:val="40"/>
    <w:qFormat/>
    <w:uiPriority w:val="99"/>
    <w:rPr>
      <w:kern w:val="2"/>
      <w:sz w:val="18"/>
      <w:szCs w:val="18"/>
    </w:rPr>
  </w:style>
  <w:style w:type="character" w:customStyle="1" w:styleId="900">
    <w:name w:val="Char Char9"/>
    <w:qFormat/>
    <w:uiPriority w:val="0"/>
    <w:rPr>
      <w:rFonts w:eastAsia="宋体"/>
      <w:kern w:val="2"/>
      <w:sz w:val="18"/>
      <w:szCs w:val="18"/>
      <w:lang w:val="en-US" w:eastAsia="zh-CN" w:bidi="ar-SA"/>
    </w:rPr>
  </w:style>
  <w:style w:type="character" w:customStyle="1" w:styleId="901">
    <w:name w:val="Char Char41"/>
    <w:qFormat/>
    <w:uiPriority w:val="0"/>
    <w:rPr>
      <w:rFonts w:eastAsia="宋体"/>
      <w:b/>
      <w:sz w:val="24"/>
      <w:lang w:eastAsia="zh-CN" w:bidi="ar-SA"/>
    </w:rPr>
  </w:style>
  <w:style w:type="character" w:customStyle="1" w:styleId="902">
    <w:name w:val="large1"/>
    <w:qFormat/>
    <w:uiPriority w:val="0"/>
    <w:rPr>
      <w:rFonts w:hint="eastAsia" w:ascii="宋体" w:hAnsi="宋体" w:eastAsia="宋体"/>
      <w:sz w:val="21"/>
      <w:szCs w:val="21"/>
    </w:rPr>
  </w:style>
  <w:style w:type="character" w:customStyle="1" w:styleId="903">
    <w:name w:val="正文段 Char"/>
    <w:link w:val="112"/>
    <w:qFormat/>
    <w:uiPriority w:val="0"/>
    <w:rPr>
      <w:sz w:val="24"/>
    </w:rPr>
  </w:style>
  <w:style w:type="character" w:customStyle="1" w:styleId="904">
    <w:name w:val="Char Char13"/>
    <w:qFormat/>
    <w:uiPriority w:val="6"/>
    <w:rPr>
      <w:rFonts w:ascii="宋体" w:hAnsi="宋体"/>
      <w:kern w:val="1"/>
      <w:sz w:val="21"/>
      <w:szCs w:val="24"/>
    </w:rPr>
  </w:style>
  <w:style w:type="character" w:customStyle="1" w:styleId="905">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906">
    <w:name w:val="冯广丽 Char"/>
    <w:link w:val="113"/>
    <w:qFormat/>
    <w:uiPriority w:val="0"/>
    <w:rPr>
      <w:rFonts w:ascii="宋体" w:hAnsi="宋体"/>
      <w:kern w:val="2"/>
      <w:sz w:val="24"/>
      <w:szCs w:val="22"/>
    </w:rPr>
  </w:style>
  <w:style w:type="character" w:customStyle="1" w:styleId="907">
    <w:name w:val="批注文字 字符"/>
    <w:qFormat/>
    <w:uiPriority w:val="0"/>
    <w:rPr>
      <w:rFonts w:ascii="Arial" w:hAnsi="Arial" w:eastAsia="黑体" w:cs="Arial"/>
      <w:snapToGrid w:val="0"/>
      <w:kern w:val="0"/>
      <w:szCs w:val="21"/>
    </w:rPr>
  </w:style>
  <w:style w:type="character" w:customStyle="1" w:styleId="908">
    <w:name w:val="Char Char161"/>
    <w:qFormat/>
    <w:uiPriority w:val="0"/>
    <w:rPr>
      <w:rFonts w:eastAsia="宋体"/>
      <w:b/>
      <w:kern w:val="2"/>
      <w:sz w:val="32"/>
      <w:lang w:val="en-US" w:eastAsia="zh-CN"/>
    </w:rPr>
  </w:style>
  <w:style w:type="character" w:customStyle="1" w:styleId="909">
    <w:name w:val="javascript"/>
    <w:qFormat/>
    <w:uiPriority w:val="0"/>
  </w:style>
  <w:style w:type="character" w:customStyle="1" w:styleId="910">
    <w:name w:val="图名 Char"/>
    <w:qFormat/>
    <w:uiPriority w:val="0"/>
    <w:rPr>
      <w:rFonts w:ascii="Arial" w:hAnsi="Arial" w:eastAsia="黑体"/>
      <w:kern w:val="2"/>
      <w:sz w:val="24"/>
      <w:szCs w:val="24"/>
      <w:lang w:val="en-US" w:eastAsia="zh-CN" w:bidi="ar-SA"/>
    </w:rPr>
  </w:style>
  <w:style w:type="character" w:customStyle="1" w:styleId="911">
    <w:name w:val="Used by Word for text of Help footnotes Char Char"/>
    <w:qFormat/>
    <w:uiPriority w:val="0"/>
    <w:rPr>
      <w:rFonts w:ascii="Times New Roman" w:hAnsi="Times New Roman" w:eastAsia="宋体" w:cs="Times New Roman"/>
      <w:sz w:val="20"/>
      <w:szCs w:val="20"/>
    </w:rPr>
  </w:style>
  <w:style w:type="character" w:customStyle="1" w:styleId="912">
    <w:name w:val="编号，小四 Char"/>
    <w:link w:val="114"/>
    <w:qFormat/>
    <w:uiPriority w:val="0"/>
    <w:rPr>
      <w:rFonts w:ascii="Arial" w:hAnsi="Arial"/>
      <w:sz w:val="24"/>
    </w:rPr>
  </w:style>
  <w:style w:type="character" w:customStyle="1" w:styleId="913">
    <w:name w:val="Font Style82"/>
    <w:qFormat/>
    <w:uiPriority w:val="99"/>
    <w:rPr>
      <w:rFonts w:ascii="宋体" w:eastAsia="宋体" w:cs="宋体"/>
      <w:color w:val="000000"/>
      <w:sz w:val="14"/>
      <w:szCs w:val="14"/>
    </w:rPr>
  </w:style>
  <w:style w:type="character" w:customStyle="1" w:styleId="914">
    <w:name w:val="标题 2 Char Char"/>
    <w:qFormat/>
    <w:uiPriority w:val="0"/>
    <w:rPr>
      <w:rFonts w:ascii="楷体_GB2312" w:hAnsi="Arial" w:eastAsia="楷体_GB2312"/>
      <w:b/>
      <w:bCs/>
      <w:kern w:val="2"/>
      <w:sz w:val="24"/>
      <w:szCs w:val="32"/>
      <w:lang w:val="en-US" w:eastAsia="zh-CN" w:bidi="ar-SA"/>
    </w:rPr>
  </w:style>
  <w:style w:type="character" w:customStyle="1" w:styleId="915">
    <w:name w:val="未用 Char"/>
    <w:qFormat/>
    <w:uiPriority w:val="0"/>
    <w:rPr>
      <w:rFonts w:ascii="Arial" w:hAnsi="Arial" w:eastAsia="黑体"/>
      <w:kern w:val="2"/>
      <w:sz w:val="21"/>
      <w:szCs w:val="21"/>
      <w:lang w:val="en-US" w:eastAsia="zh-CN" w:bidi="ar-SA"/>
    </w:rPr>
  </w:style>
  <w:style w:type="character" w:customStyle="1" w:styleId="916">
    <w:name w:val="myp1111"/>
    <w:qFormat/>
    <w:uiPriority w:val="0"/>
    <w:rPr>
      <w:rFonts w:hint="default" w:ascii="ˎ̥" w:hAnsi="ˎ̥"/>
      <w:color w:val="000000"/>
      <w:sz w:val="20"/>
      <w:szCs w:val="20"/>
      <w:u w:val="none"/>
    </w:rPr>
  </w:style>
  <w:style w:type="character" w:customStyle="1" w:styleId="917">
    <w:name w:val="样式 标题 4h4H4Fab-4T5Ref Heading 1rh1Heading sqlsect 1.2.3.... Char"/>
    <w:link w:val="103"/>
    <w:qFormat/>
    <w:uiPriority w:val="0"/>
    <w:rPr>
      <w:rFonts w:ascii="微软雅黑" w:hAnsi="微软雅黑" w:eastAsia="微软雅黑"/>
      <w:b/>
      <w:bCs/>
      <w:kern w:val="2"/>
      <w:sz w:val="24"/>
      <w:szCs w:val="28"/>
    </w:rPr>
  </w:style>
  <w:style w:type="character" w:customStyle="1" w:styleId="918">
    <w:name w:val="h Char Char"/>
    <w:qFormat/>
    <w:uiPriority w:val="0"/>
    <w:rPr>
      <w:rFonts w:eastAsia="宋体"/>
      <w:kern w:val="2"/>
      <w:sz w:val="18"/>
      <w:lang w:val="en-US" w:eastAsia="zh-CN" w:bidi="ar-SA"/>
    </w:rPr>
  </w:style>
  <w:style w:type="character" w:customStyle="1" w:styleId="919">
    <w:name w:val="仿宋正文 Char"/>
    <w:link w:val="115"/>
    <w:qFormat/>
    <w:uiPriority w:val="0"/>
    <w:rPr>
      <w:rFonts w:ascii="仿宋_GB2312" w:eastAsia="仿宋_GB2312"/>
      <w:kern w:val="2"/>
      <w:sz w:val="24"/>
      <w:lang w:val="en-US" w:eastAsia="zh-CN" w:bidi="ar-SA"/>
    </w:rPr>
  </w:style>
  <w:style w:type="character" w:customStyle="1" w:styleId="920">
    <w:name w:val="正文首行缩进 Char Char Char Char Char Char"/>
    <w:qFormat/>
    <w:uiPriority w:val="0"/>
    <w:rPr>
      <w:rFonts w:ascii="宋体" w:eastAsia="宋体"/>
      <w:kern w:val="2"/>
      <w:sz w:val="24"/>
      <w:lang w:val="zh-CN" w:bidi="ar-SA"/>
    </w:rPr>
  </w:style>
  <w:style w:type="character" w:customStyle="1" w:styleId="921">
    <w:name w:val="样式 宋体"/>
    <w:qFormat/>
    <w:uiPriority w:val="0"/>
    <w:rPr>
      <w:rFonts w:ascii="宋体" w:hAnsi="宋体"/>
      <w:sz w:val="24"/>
    </w:rPr>
  </w:style>
  <w:style w:type="character" w:customStyle="1" w:styleId="922">
    <w:name w:val="tw4winJump"/>
    <w:qFormat/>
    <w:uiPriority w:val="0"/>
    <w:rPr>
      <w:rFonts w:ascii="Courier New" w:hAnsi="Courier New" w:cs="Courier New"/>
      <w:color w:val="008080"/>
      <w:lang w:val="en-US" w:eastAsia="zh-CN"/>
    </w:rPr>
  </w:style>
  <w:style w:type="character" w:customStyle="1" w:styleId="923">
    <w:name w:val="标题 1 字符"/>
    <w:qFormat/>
    <w:uiPriority w:val="9"/>
    <w:rPr>
      <w:rFonts w:ascii="Arial" w:hAnsi="Arial" w:eastAsia="黑体" w:cs="Arial"/>
      <w:b/>
      <w:bCs/>
      <w:snapToGrid w:val="0"/>
      <w:kern w:val="44"/>
      <w:sz w:val="44"/>
      <w:szCs w:val="44"/>
    </w:rPr>
  </w:style>
  <w:style w:type="character" w:customStyle="1" w:styleId="924">
    <w:name w:val="style36"/>
    <w:basedOn w:val="69"/>
    <w:qFormat/>
    <w:uiPriority w:val="0"/>
    <w:rPr>
      <w:rFonts w:ascii="Arial" w:hAnsi="Arial" w:eastAsia="黑体" w:cs="Arial"/>
      <w:snapToGrid w:val="0"/>
      <w:kern w:val="0"/>
      <w:szCs w:val="21"/>
    </w:rPr>
  </w:style>
  <w:style w:type="character" w:customStyle="1" w:styleId="925">
    <w:name w:val="pt9"/>
    <w:qFormat/>
    <w:uiPriority w:val="0"/>
    <w:rPr>
      <w:rFonts w:ascii="仿宋_GB2312" w:eastAsia="微软雅黑"/>
      <w:b/>
      <w:kern w:val="2"/>
      <w:sz w:val="32"/>
      <w:szCs w:val="32"/>
      <w:lang w:val="en-US" w:eastAsia="zh-CN" w:bidi="ar-SA"/>
    </w:rPr>
  </w:style>
  <w:style w:type="character" w:customStyle="1" w:styleId="926">
    <w:name w:val="DO_NOT_TRANSLATE"/>
    <w:qFormat/>
    <w:uiPriority w:val="0"/>
    <w:rPr>
      <w:rFonts w:ascii="Courier New" w:hAnsi="Courier New" w:cs="Courier New"/>
      <w:color w:val="800000"/>
      <w:lang w:val="en-US" w:eastAsia="zh-CN"/>
    </w:rPr>
  </w:style>
  <w:style w:type="character" w:customStyle="1" w:styleId="927">
    <w:name w:val="标书1 Char1"/>
    <w:qFormat/>
    <w:uiPriority w:val="0"/>
    <w:rPr>
      <w:rFonts w:eastAsia="宋体"/>
      <w:b/>
      <w:bCs/>
      <w:kern w:val="44"/>
      <w:sz w:val="44"/>
      <w:szCs w:val="44"/>
      <w:lang w:val="en-US" w:eastAsia="zh-CN" w:bidi="ar-SA"/>
    </w:rPr>
  </w:style>
  <w:style w:type="character" w:customStyle="1" w:styleId="928">
    <w:name w:val="页脚 字符"/>
    <w:qFormat/>
    <w:uiPriority w:val="99"/>
    <w:rPr>
      <w:kern w:val="2"/>
      <w:sz w:val="18"/>
      <w:szCs w:val="18"/>
    </w:rPr>
  </w:style>
  <w:style w:type="character" w:customStyle="1" w:styleId="929">
    <w:name w:val="正文2 Char"/>
    <w:qFormat/>
    <w:uiPriority w:val="0"/>
    <w:rPr>
      <w:rFonts w:eastAsia="宋体"/>
      <w:kern w:val="2"/>
      <w:sz w:val="24"/>
      <w:lang w:val="en-US" w:eastAsia="zh-CN" w:bidi="ar-SA"/>
    </w:rPr>
  </w:style>
  <w:style w:type="character" w:customStyle="1" w:styleId="930">
    <w:name w:val="Char Char21"/>
    <w:qFormat/>
    <w:uiPriority w:val="6"/>
    <w:rPr>
      <w:rFonts w:ascii="宋体" w:hAnsi="宋体"/>
      <w:kern w:val="1"/>
      <w:sz w:val="24"/>
      <w:szCs w:val="21"/>
      <w:lang w:val="zh-CN"/>
    </w:rPr>
  </w:style>
  <w:style w:type="character" w:customStyle="1" w:styleId="931">
    <w:name w:val="样式 正文缩进 + 首行缩进:  2 字符 Char Char"/>
    <w:link w:val="116"/>
    <w:qFormat/>
    <w:uiPriority w:val="0"/>
    <w:rPr>
      <w:rFonts w:cs="宋体"/>
      <w:kern w:val="2"/>
      <w:sz w:val="24"/>
    </w:rPr>
  </w:style>
  <w:style w:type="character" w:customStyle="1" w:styleId="932">
    <w:name w:val="正文文本 Char1"/>
    <w:link w:val="25"/>
    <w:qFormat/>
    <w:uiPriority w:val="0"/>
    <w:rPr>
      <w:rFonts w:ascii="宋体" w:hAnsi="Arial" w:eastAsia="宋体" w:cs="Arial"/>
      <w:snapToGrid w:val="0"/>
      <w:kern w:val="2"/>
      <w:sz w:val="24"/>
      <w:szCs w:val="21"/>
      <w:lang w:val="zh-CN" w:eastAsia="zh-CN" w:bidi="ar-SA"/>
    </w:rPr>
  </w:style>
  <w:style w:type="character" w:customStyle="1" w:styleId="933">
    <w:name w:val="gray6"/>
    <w:basedOn w:val="69"/>
    <w:qFormat/>
    <w:uiPriority w:val="0"/>
    <w:rPr>
      <w:rFonts w:ascii="Arial" w:hAnsi="Arial" w:eastAsia="黑体" w:cs="Arial"/>
      <w:snapToGrid w:val="0"/>
      <w:kern w:val="0"/>
      <w:szCs w:val="21"/>
    </w:rPr>
  </w:style>
  <w:style w:type="character" w:customStyle="1" w:styleId="934">
    <w:name w:val="hui"/>
    <w:basedOn w:val="69"/>
    <w:qFormat/>
    <w:uiPriority w:val="0"/>
    <w:rPr>
      <w:rFonts w:ascii="Arial" w:hAnsi="Arial" w:eastAsia="黑体" w:cs="Arial"/>
      <w:snapToGrid w:val="0"/>
      <w:kern w:val="0"/>
      <w:szCs w:val="21"/>
    </w:rPr>
  </w:style>
  <w:style w:type="character" w:customStyle="1" w:styleId="935">
    <w:name w:val="哈哈正文 Char Char"/>
    <w:qFormat/>
    <w:uiPriority w:val="0"/>
    <w:rPr>
      <w:rFonts w:ascii="宋体" w:hAnsi="宋体" w:eastAsia="宋体" w:cs="宋体"/>
      <w:kern w:val="2"/>
      <w:sz w:val="24"/>
      <w:lang w:val="en-US" w:eastAsia="zh-CN" w:bidi="ar-SA"/>
    </w:rPr>
  </w:style>
  <w:style w:type="character" w:customStyle="1" w:styleId="936">
    <w:name w:val="交叉引用"/>
    <w:qFormat/>
    <w:uiPriority w:val="1"/>
    <w:rPr>
      <w:rFonts w:ascii="Arial" w:hAnsi="Arial" w:eastAsia="黑体"/>
      <w:snapToGrid w:val="0"/>
      <w:color w:val="0000FF"/>
      <w:kern w:val="0"/>
      <w:sz w:val="20"/>
      <w:szCs w:val="21"/>
      <w:u w:val="single"/>
      <w:lang w:val="en-US" w:eastAsia="zh-CN"/>
    </w:rPr>
  </w:style>
  <w:style w:type="character" w:customStyle="1" w:styleId="937">
    <w:name w:val="正文缩进 字符1"/>
    <w:qFormat/>
    <w:uiPriority w:val="0"/>
    <w:rPr>
      <w:rFonts w:ascii="宋体" w:eastAsia="宋体"/>
      <w:snapToGrid w:val="0"/>
      <w:color w:val="000000"/>
      <w:kern w:val="28"/>
      <w:sz w:val="28"/>
      <w:lang w:val="en-US" w:eastAsia="zh-CN" w:bidi="ar-SA"/>
    </w:rPr>
  </w:style>
  <w:style w:type="character" w:customStyle="1" w:styleId="938">
    <w:name w:val="页脚 字符1"/>
    <w:qFormat/>
    <w:locked/>
    <w:uiPriority w:val="99"/>
    <w:rPr>
      <w:kern w:val="2"/>
      <w:sz w:val="18"/>
      <w:szCs w:val="18"/>
    </w:rPr>
  </w:style>
  <w:style w:type="character" w:customStyle="1" w:styleId="939">
    <w:name w:val="页眉 字符1"/>
    <w:qFormat/>
    <w:uiPriority w:val="99"/>
    <w:rPr>
      <w:kern w:val="2"/>
      <w:sz w:val="18"/>
      <w:szCs w:val="18"/>
    </w:rPr>
  </w:style>
  <w:style w:type="character" w:customStyle="1" w:styleId="940">
    <w:name w:val="尾注文本 Char"/>
    <w:link w:val="37"/>
    <w:qFormat/>
    <w:uiPriority w:val="0"/>
    <w:rPr>
      <w:kern w:val="2"/>
      <w:sz w:val="21"/>
      <w:szCs w:val="24"/>
      <w:lang w:val="zh-CN"/>
    </w:rPr>
  </w:style>
  <w:style w:type="character" w:customStyle="1" w:styleId="941">
    <w:name w:val="无间隔 Char"/>
    <w:link w:val="166"/>
    <w:qFormat/>
    <w:uiPriority w:val="99"/>
    <w:rPr>
      <w:kern w:val="2"/>
      <w:sz w:val="21"/>
      <w:szCs w:val="22"/>
    </w:rPr>
  </w:style>
  <w:style w:type="character" w:customStyle="1" w:styleId="942">
    <w:name w:val="标准文本 Char Char"/>
    <w:link w:val="605"/>
    <w:qFormat/>
    <w:uiPriority w:val="0"/>
    <w:rPr>
      <w:rFonts w:cs="宋体"/>
      <w:kern w:val="2"/>
      <w:sz w:val="24"/>
    </w:rPr>
  </w:style>
  <w:style w:type="character" w:customStyle="1" w:styleId="943">
    <w:name w:val="Char Char213"/>
    <w:qFormat/>
    <w:uiPriority w:val="0"/>
    <w:rPr>
      <w:rFonts w:eastAsia="Century Gothic"/>
      <w:b/>
      <w:bCs/>
      <w:kern w:val="44"/>
      <w:sz w:val="32"/>
      <w:szCs w:val="44"/>
      <w:lang w:val="en-US" w:eastAsia="zh-CN" w:bidi="ar-SA"/>
    </w:rPr>
  </w:style>
  <w:style w:type="character" w:customStyle="1" w:styleId="944">
    <w:name w:val="apple-style-span"/>
    <w:qFormat/>
    <w:uiPriority w:val="0"/>
    <w:rPr>
      <w:rFonts w:ascii="Arial" w:hAnsi="Arial" w:eastAsia="黑体" w:cs="Arial"/>
      <w:snapToGrid w:val="0"/>
      <w:kern w:val="0"/>
      <w:szCs w:val="21"/>
    </w:rPr>
  </w:style>
  <w:style w:type="character" w:customStyle="1" w:styleId="945">
    <w:name w:val="15"/>
    <w:qFormat/>
    <w:uiPriority w:val="0"/>
    <w:rPr>
      <w:rFonts w:hint="default" w:ascii="Calibri" w:hAnsi="Calibri"/>
      <w:color w:val="0000FF"/>
      <w:u w:val="single"/>
    </w:rPr>
  </w:style>
  <w:style w:type="character" w:customStyle="1" w:styleId="946">
    <w:name w:val="16"/>
    <w:basedOn w:val="69"/>
    <w:qFormat/>
    <w:uiPriority w:val="0"/>
    <w:rPr>
      <w:rFonts w:hint="eastAsia" w:ascii="宋体" w:hAnsi="宋体" w:eastAsia="宋体"/>
      <w:color w:val="000000"/>
      <w:sz w:val="20"/>
      <w:szCs w:val="20"/>
    </w:rPr>
  </w:style>
  <w:style w:type="character" w:customStyle="1" w:styleId="947">
    <w:name w:val="edui-unclickable"/>
    <w:qFormat/>
    <w:uiPriority w:val="0"/>
    <w:rPr>
      <w:color w:val="808080"/>
    </w:rPr>
  </w:style>
  <w:style w:type="character" w:customStyle="1" w:styleId="948">
    <w:name w:val="tpc_content1"/>
    <w:qFormat/>
    <w:uiPriority w:val="0"/>
    <w:rPr>
      <w:sz w:val="20"/>
      <w:szCs w:val="20"/>
    </w:rPr>
  </w:style>
  <w:style w:type="character" w:customStyle="1" w:styleId="949">
    <w:name w:val="正文文本缩进 字符"/>
    <w:qFormat/>
    <w:uiPriority w:val="0"/>
    <w:rPr>
      <w:rFonts w:ascii="Century Gothic" w:hAnsi="Century Gothic" w:eastAsia="Century Gothic"/>
      <w:kern w:val="2"/>
      <w:sz w:val="24"/>
      <w:lang w:val="en-US" w:eastAsia="zh-CN" w:bidi="ar-SA"/>
    </w:rPr>
  </w:style>
  <w:style w:type="character" w:customStyle="1" w:styleId="950">
    <w:name w:val="正文文本 2 字符"/>
    <w:qFormat/>
    <w:uiPriority w:val="0"/>
    <w:rPr>
      <w:rFonts w:ascii="Arial" w:hAnsi="Arial" w:eastAsia="宋体"/>
      <w:kern w:val="2"/>
      <w:sz w:val="24"/>
      <w:szCs w:val="24"/>
      <w:lang w:val="en-US" w:eastAsia="zh-CN" w:bidi="ar-SA"/>
    </w:rPr>
  </w:style>
  <w:style w:type="character" w:customStyle="1" w:styleId="951">
    <w:name w:val="edui-clickable2"/>
    <w:qFormat/>
    <w:uiPriority w:val="0"/>
    <w:rPr>
      <w:color w:val="0000FF"/>
      <w:u w:val="single"/>
    </w:rPr>
  </w:style>
  <w:style w:type="character" w:customStyle="1" w:styleId="952">
    <w:name w:val="style1"/>
    <w:qFormat/>
    <w:uiPriority w:val="0"/>
    <w:rPr>
      <w:rFonts w:ascii="Arial" w:hAnsi="Arial" w:eastAsia="黑体" w:cs="Arial"/>
      <w:snapToGrid w:val="0"/>
      <w:kern w:val="0"/>
      <w:szCs w:val="21"/>
    </w:rPr>
  </w:style>
  <w:style w:type="character" w:customStyle="1" w:styleId="953">
    <w:name w:val="zbggtop11 style5"/>
    <w:qFormat/>
    <w:uiPriority w:val="0"/>
    <w:rPr>
      <w:rFonts w:ascii="Arial" w:hAnsi="Arial" w:eastAsia="黑体" w:cs="Arial"/>
      <w:snapToGrid w:val="0"/>
      <w:kern w:val="0"/>
      <w:szCs w:val="21"/>
    </w:rPr>
  </w:style>
  <w:style w:type="character" w:customStyle="1" w:styleId="954">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55">
    <w:name w:val="bulletintext1"/>
    <w:qFormat/>
    <w:uiPriority w:val="0"/>
    <w:rPr>
      <w:color w:val="000000"/>
      <w:sz w:val="18"/>
    </w:rPr>
  </w:style>
  <w:style w:type="character" w:customStyle="1" w:styleId="956">
    <w:name w:val="ksfind_class_select1"/>
    <w:basedOn w:val="69"/>
    <w:qFormat/>
    <w:uiPriority w:val="0"/>
    <w:rPr>
      <w:color w:val="000000"/>
      <w:shd w:val="clear" w:color="auto" w:fill="EFD200"/>
    </w:rPr>
  </w:style>
  <w:style w:type="character" w:customStyle="1" w:styleId="957">
    <w:name w:val="font71"/>
    <w:qFormat/>
    <w:uiPriority w:val="0"/>
    <w:rPr>
      <w:rFonts w:hint="eastAsia" w:ascii="宋体" w:hAnsi="宋体" w:eastAsia="宋体" w:cs="宋体"/>
      <w:color w:val="000000"/>
      <w:sz w:val="22"/>
      <w:szCs w:val="22"/>
      <w:u w:val="none"/>
    </w:rPr>
  </w:style>
  <w:style w:type="character" w:customStyle="1" w:styleId="958">
    <w:name w:val="font91"/>
    <w:qFormat/>
    <w:uiPriority w:val="0"/>
    <w:rPr>
      <w:rFonts w:hint="eastAsia" w:ascii="仿宋" w:hAnsi="仿宋" w:eastAsia="仿宋" w:cs="仿宋"/>
      <w:color w:val="000000"/>
      <w:sz w:val="22"/>
      <w:szCs w:val="22"/>
      <w:u w:val="none"/>
    </w:rPr>
  </w:style>
  <w:style w:type="table" w:customStyle="1" w:styleId="959">
    <w:name w:val="网格型2"/>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60">
    <w:name w:val="网格型1"/>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61">
    <w:name w:val="网格型6"/>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62">
    <w:name w:val="网格型3"/>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63">
    <w:name w:val="网格型4"/>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64">
    <w:name w:val="网格型5"/>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65">
    <w:name w:val="Table Normal"/>
    <w:unhideWhenUsed/>
    <w:qFormat/>
    <w:uiPriority w:val="0"/>
    <w:rPr>
      <w:rFonts w:ascii="Arial" w:hAnsi="Arial" w:eastAsia="宋体" w:cs="Arial"/>
      <w:kern w:val="0"/>
      <w:sz w:val="20"/>
      <w:szCs w:val="20"/>
    </w:rPr>
    <w:tblPr>
      <w:tblCellMar>
        <w:top w:w="0" w:type="dxa"/>
        <w:left w:w="0" w:type="dxa"/>
        <w:bottom w:w="0" w:type="dxa"/>
        <w:right w:w="0" w:type="dxa"/>
      </w:tblCellMar>
    </w:tblPr>
  </w:style>
</w:styles>
</file>

<file path=word/_rels/document.xml.rels><?xml version="1.0" encoding="UTF-8" standalone="yes"?><Relationships xmlns="http://schemas.openxmlformats.org/package/2006/relationships"><Relationship Id="rId1" Target="styles.xml" Type="http://schemas.openxmlformats.org/officeDocument/2006/relationships/styles"/><Relationship Id="rId10" Target="footer4.xml" Type="http://schemas.openxmlformats.org/officeDocument/2006/relationships/footer"/><Relationship Id="rId11" Target="footer5.xml" Type="http://schemas.openxmlformats.org/officeDocument/2006/relationships/footer"/><Relationship Id="rId12" Target="header5.xml" Type="http://schemas.openxmlformats.org/officeDocument/2006/relationships/header"/><Relationship Id="rId13" Target="header6.xml" Type="http://schemas.openxmlformats.org/officeDocument/2006/relationships/header"/><Relationship Id="rId14" Target="footer6.xml" Type="http://schemas.openxmlformats.org/officeDocument/2006/relationships/footer"/><Relationship Id="rId15" Target="footer7.xml" Type="http://schemas.openxmlformats.org/officeDocument/2006/relationships/footer"/><Relationship Id="rId16" Target="header7.xml" Type="http://schemas.openxmlformats.org/officeDocument/2006/relationships/header"/><Relationship Id="rId17" Target="header8.xml" Type="http://schemas.openxmlformats.org/officeDocument/2006/relationships/header"/><Relationship Id="rId18" Target="footer8.xml" Type="http://schemas.openxmlformats.org/officeDocument/2006/relationships/footer"/><Relationship Id="rId19" Target="footer9.xml" Type="http://schemas.openxmlformats.org/officeDocument/2006/relationships/footer"/><Relationship Id="rId2" Target="settings.xml" Type="http://schemas.openxmlformats.org/officeDocument/2006/relationships/settings"/><Relationship Id="rId20" Target="header9.xml" Type="http://schemas.openxmlformats.org/officeDocument/2006/relationships/header"/><Relationship Id="rId21" Target="header10.xml" Type="http://schemas.openxmlformats.org/officeDocument/2006/relationships/header"/><Relationship Id="rId22" Target="footer10.xml" Type="http://schemas.openxmlformats.org/officeDocument/2006/relationships/footer"/><Relationship Id="rId23" Target="footer11.xml" Type="http://schemas.openxmlformats.org/officeDocument/2006/relationships/footer"/><Relationship Id="rId24" Target="footer12.xml" Type="http://schemas.openxmlformats.org/officeDocument/2006/relationships/footer"/><Relationship Id="rId25" Target="theme/theme1.xml" Type="http://schemas.openxmlformats.org/officeDocument/2006/relationships/theme"/><Relationship Id="rId26" Target="media/image1.jpeg" Type="http://schemas.openxmlformats.org/officeDocument/2006/relationships/image"/><Relationship Id="rId27" Target="media/image2.png" Type="http://schemas.openxmlformats.org/officeDocument/2006/relationships/image"/><Relationship Id="rId28" Target="media/image3.png" Type="http://schemas.openxmlformats.org/officeDocument/2006/relationships/image"/><Relationship Id="rId29" Target="media/image4.png" Type="http://schemas.openxmlformats.org/officeDocument/2006/relationships/image"/><Relationship Id="rId3" Target="header1.xml" Type="http://schemas.openxmlformats.org/officeDocument/2006/relationships/header"/><Relationship Id="rId30" Target="media/image5.png" Type="http://schemas.openxmlformats.org/officeDocument/2006/relationships/image"/><Relationship Id="rId31" Target="media/image6.png" Type="http://schemas.openxmlformats.org/officeDocument/2006/relationships/image"/><Relationship Id="rId32" Target="media/image7.png" Type="http://schemas.openxmlformats.org/officeDocument/2006/relationships/image"/><Relationship Id="rId33" Target="media/image8.png" Type="http://schemas.openxmlformats.org/officeDocument/2006/relationships/image"/><Relationship Id="rId34" Target="media/image9.png" Type="http://schemas.openxmlformats.org/officeDocument/2006/relationships/image"/><Relationship Id="rId35" Target="media/image10.png" Type="http://schemas.openxmlformats.org/officeDocument/2006/relationships/image"/><Relationship Id="rId36" Target="media/image11.jpeg" Type="http://schemas.openxmlformats.org/officeDocument/2006/relationships/image"/><Relationship Id="rId37" Target="media/image12.png" Type="http://schemas.openxmlformats.org/officeDocument/2006/relationships/image"/><Relationship Id="rId38" Target="media/image13.jpeg" Type="http://schemas.openxmlformats.org/officeDocument/2006/relationships/image"/><Relationship Id="rId39" Target="media/image14.jpeg" Type="http://schemas.openxmlformats.org/officeDocument/2006/relationships/image"/><Relationship Id="rId4" Target="header2.xml" Type="http://schemas.openxmlformats.org/officeDocument/2006/relationships/header"/><Relationship Id="rId40" Target="media/image15.png" Type="http://schemas.openxmlformats.org/officeDocument/2006/relationships/image"/><Relationship Id="rId41" Target="media/image16.png" Type="http://schemas.openxmlformats.org/officeDocument/2006/relationships/image"/><Relationship Id="rId42" Target="media/image17.png" Type="http://schemas.openxmlformats.org/officeDocument/2006/relationships/image"/><Relationship Id="rId43" Target="media/image18.png" Type="http://schemas.openxmlformats.org/officeDocument/2006/relationships/image"/><Relationship Id="rId44" Target="media/image19.png" Type="http://schemas.openxmlformats.org/officeDocument/2006/relationships/image"/><Relationship Id="rId45" Target="../customXml/item1.xml" Type="http://schemas.openxmlformats.org/officeDocument/2006/relationships/customXml"/><Relationship Id="rId46" Target="numbering.xml" Type="http://schemas.openxmlformats.org/officeDocument/2006/relationships/numbering"/><Relationship Id="rId47" Target="fontTable.xml" Type="http://schemas.openxmlformats.org/officeDocument/2006/relationships/fontTable"/><Relationship Id="rId5" Target="footer1.xml" Type="http://schemas.openxmlformats.org/officeDocument/2006/relationships/footer"/><Relationship Id="rId6" Target="footer2.xml" Type="http://schemas.openxmlformats.org/officeDocument/2006/relationships/footer"/><Relationship Id="rId7" Target="footer3.xml" Type="http://schemas.openxmlformats.org/officeDocument/2006/relationships/footer"/><Relationship Id="rId8" Target="header3.xml" Type="http://schemas.openxmlformats.org/officeDocument/2006/relationships/header"/><Relationship Id="rId9" Target="header4.xml" Type="http://schemas.openxmlformats.org/officeDocument/2006/relationships/header"/></Relationships>
</file>

<file path=word/_rels/footer1.xml.rels><?xml version="1.0" encoding="UTF-8" standalone="yes"?><Relationships xmlns="http://schemas.openxmlformats.org/package/2006/relationships"><Relationship Id="rId1" Target="media/image1.jpeg" Type="http://schemas.openxmlformats.org/officeDocument/2006/relationships/image"/></Relationships>
</file>

<file path=word/_rels/footer10.xml.rels><?xml version="1.0" encoding="UTF-8" standalone="yes"?><Relationships xmlns="http://schemas.openxmlformats.org/package/2006/relationships"><Relationship Id="rId1" Target="media/image1.jpeg" Type="http://schemas.openxmlformats.org/officeDocument/2006/relationships/image"/></Relationships>
</file>

<file path=word/_rels/footer12.xml.rels><?xml version="1.0" encoding="UTF-8" standalone="yes"?><Relationships xmlns="http://schemas.openxmlformats.org/package/2006/relationships"><Relationship Id="rId1" Target="media/image1.jpeg" Type="http://schemas.openxmlformats.org/officeDocument/2006/relationships/image"/></Relationships>
</file>

<file path=word/_rels/footer4.xml.rels><?xml version="1.0" encoding="UTF-8" standalone="yes"?><Relationships xmlns="http://schemas.openxmlformats.org/package/2006/relationships"><Relationship Id="rId1" Target="media/image1.jpeg" Type="http://schemas.openxmlformats.org/officeDocument/2006/relationships/image"/></Relationships>
</file>

<file path=word/_rels/footer5.xml.rels><?xml version="1.0" encoding="UTF-8" standalone="yes"?><Relationships xmlns="http://schemas.openxmlformats.org/package/2006/relationships"><Relationship Id="rId1" Target="media/image1.jpeg" Type="http://schemas.openxmlformats.org/officeDocument/2006/relationships/image"/></Relationships>
</file>

<file path=word/_rels/footer6.xml.rels><?xml version="1.0" encoding="UTF-8" standalone="yes"?><Relationships xmlns="http://schemas.openxmlformats.org/package/2006/relationships"><Relationship Id="rId1" Target="media/image1.jpeg" Type="http://schemas.openxmlformats.org/officeDocument/2006/relationships/image"/></Relationships>
</file>

<file path=word/_rels/footer7.xml.rels><?xml version="1.0" encoding="UTF-8" standalone="yes"?><Relationships xmlns="http://schemas.openxmlformats.org/package/2006/relationships"><Relationship Id="rId1" Target="media/image1.jpeg" Type="http://schemas.openxmlformats.org/officeDocument/2006/relationships/image"/></Relationships>
</file>

<file path=word/_rels/footer8.xml.rels><?xml version="1.0" encoding="UTF-8" standalone="yes"?><Relationships xmlns="http://schemas.openxmlformats.org/package/2006/relationships"><Relationship Id="rId1" Target="media/image1.jpeg" Type="http://schemas.openxmlformats.org/officeDocument/2006/relationships/image"/></Relationships>
</file>

<file path=word/_rels/footer9.xml.rels><?xml version="1.0" encoding="UTF-8" standalone="yes"?><Relationships xmlns="http://schemas.openxmlformats.org/package/2006/relationships"><Relationship Id="rId1" Target="media/image1.jpeg" Type="http://schemas.openxmlformats.org/officeDocument/2006/relationships/image"/></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122</Pages>
  <Words>53079</Words>
  <Characters>56088</Characters>
  <Lines>281</Lines>
  <Paragraphs>79</Paragraphs>
  <TotalTime>6</TotalTime>
  <ScaleCrop>false</ScaleCrop>
  <LinksUpToDate>false</LinksUpToDate>
  <CharactersWithSpaces>62022</CharactersWithSpaces>
  <Application>WPS Office_12.1.0.15120_F1E327BC-269C-435d-A152-05C5408002CA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2021-07-30T00:22:00Z</dcterms:created>
  <dc:creator>玥</dc:creator>
  <cp:lastModifiedBy>杨杨</cp:lastModifiedBy>
  <cp:lastPrinted>2021-12-27T03:06:00Z</cp:lastPrinted>
  <dcterms:modified xsi:type="dcterms:W3CDTF">2023-08-23T04:34:50Z</dcterms:modified>
  <dc:title>杭州市市民卡扩大发卡工程</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2052-12.1.0.15120</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CE2A0919BBA94EDC95D5B4303040A040_13</vt:lpwstr>
  </property>
</Properties>
</file>