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仿宋_GB2312"/>
          <w:b/>
          <w:sz w:val="48"/>
          <w:szCs w:val="48"/>
        </w:rPr>
      </w:pP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良渚街道地铁站周边综合环境整治服务采购项目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仿宋_GB2312"/>
          <w:b/>
          <w:sz w:val="32"/>
          <w:szCs w:val="32"/>
        </w:rPr>
      </w:pPr>
      <w:r>
        <w:rPr>
          <w:rFonts w:hint="eastAsia" w:ascii="仿宋" w:hAnsi="仿宋" w:eastAsia="仿宋" w:cs="宋体"/>
          <w:b/>
          <w:sz w:val="44"/>
          <w:szCs w:val="44"/>
        </w:rPr>
        <w:t xml:space="preserve"> （电子招投标）</w:t>
      </w:r>
    </w:p>
    <w:p>
      <w:pPr>
        <w:snapToGrid w:val="0"/>
        <w:spacing w:line="360" w:lineRule="auto"/>
        <w:jc w:val="center"/>
        <w:rPr>
          <w:rFonts w:hint="eastAsia" w:ascii="仿宋" w:hAnsi="仿宋" w:eastAsia="仿宋" w:cs="仿宋_GB2312"/>
          <w:sz w:val="28"/>
          <w:szCs w:val="20"/>
          <w:lang w:eastAsia="zh-CN"/>
        </w:rPr>
      </w:pPr>
      <w:r>
        <w:rPr>
          <w:rFonts w:hint="eastAsia" w:ascii="仿宋" w:hAnsi="仿宋" w:eastAsia="仿宋" w:cs="仿宋_GB2312"/>
          <w:b/>
          <w:sz w:val="32"/>
          <w:szCs w:val="32"/>
        </w:rPr>
        <w:t>编号: DXSZFCG2024-00</w:t>
      </w:r>
      <w:r>
        <w:rPr>
          <w:rFonts w:hint="eastAsia" w:ascii="仿宋" w:hAnsi="仿宋" w:eastAsia="仿宋" w:cs="仿宋_GB2312"/>
          <w:b/>
          <w:sz w:val="32"/>
          <w:szCs w:val="32"/>
          <w:lang w:val="en-US" w:eastAsia="zh-CN"/>
        </w:rPr>
        <w:t>3</w:t>
      </w:r>
    </w:p>
    <w:p>
      <w:pPr>
        <w:pStyle w:val="25"/>
        <w:rPr>
          <w:rFonts w:ascii="仿宋" w:hAnsi="仿宋" w:eastAsia="仿宋"/>
        </w:rPr>
      </w:pPr>
    </w:p>
    <w:p>
      <w:pPr>
        <w:adjustRightInd/>
        <w:spacing w:line="360" w:lineRule="auto"/>
        <w:jc w:val="center"/>
        <w:rPr>
          <w:rFonts w:ascii="仿宋" w:hAnsi="仿宋" w:eastAsia="仿宋" w:cs="宋体"/>
          <w:sz w:val="28"/>
          <w:szCs w:val="20"/>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pStyle w:val="25"/>
        <w:rPr>
          <w:rFonts w:ascii="仿宋" w:hAnsi="仿宋" w:eastAsia="仿宋"/>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采购人：杭州市余杭区人民政府良渚街道办事处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 xml:space="preserve">招标服务机构：余杭区良渚街道小额公共资源交易中心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五</w:t>
      </w:r>
      <w:r>
        <w:rPr>
          <w:rFonts w:hint="eastAsia" w:ascii="仿宋" w:hAnsi="仿宋" w:eastAsia="仿宋" w:cs="仿宋_GB2312"/>
          <w:bCs/>
          <w:sz w:val="32"/>
          <w:szCs w:val="32"/>
        </w:rPr>
        <w:t>月</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rPr>
        <w:t>良渚街道地铁站周边综合环境整治服务采购项目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snapToGrid/>
          <w:kern w:val="2"/>
          <w:sz w:val="24"/>
          <w:szCs w:val="24"/>
        </w:rPr>
        <w:t>https://www.zcygov.cn/）获取（下载）招标文件，并于</w:t>
      </w:r>
      <w:r>
        <w:rPr>
          <w:rStyle w:val="76"/>
          <w:rFonts w:hint="eastAsia" w:ascii="仿宋" w:hAnsi="仿宋" w:eastAsia="仿宋" w:cs="宋体"/>
          <w:snapToGrid/>
          <w:color w:val="FF0000"/>
          <w:kern w:val="2"/>
          <w:sz w:val="24"/>
          <w:szCs w:val="24"/>
        </w:rPr>
        <w:t>2024年</w:t>
      </w:r>
      <w:r>
        <w:rPr>
          <w:rStyle w:val="76"/>
          <w:rFonts w:hint="eastAsia" w:ascii="仿宋" w:hAnsi="仿宋" w:eastAsia="仿宋" w:cs="宋体"/>
          <w:snapToGrid/>
          <w:color w:val="FF0000"/>
          <w:kern w:val="2"/>
          <w:sz w:val="24"/>
          <w:szCs w:val="24"/>
          <w:lang w:val="en-US" w:eastAsia="zh-CN"/>
        </w:rPr>
        <w:t>6</w:t>
      </w:r>
      <w:r>
        <w:rPr>
          <w:rStyle w:val="76"/>
          <w:rFonts w:hint="eastAsia" w:ascii="仿宋" w:hAnsi="仿宋" w:eastAsia="仿宋" w:cs="宋体"/>
          <w:snapToGrid/>
          <w:color w:val="FF0000"/>
          <w:kern w:val="2"/>
          <w:sz w:val="24"/>
          <w:szCs w:val="24"/>
        </w:rPr>
        <w:t>月</w:t>
      </w:r>
      <w:r>
        <w:rPr>
          <w:rStyle w:val="76"/>
          <w:rFonts w:hint="eastAsia" w:ascii="仿宋" w:hAnsi="仿宋" w:eastAsia="仿宋" w:cs="宋体"/>
          <w:snapToGrid/>
          <w:color w:val="FF0000"/>
          <w:kern w:val="2"/>
          <w:sz w:val="24"/>
          <w:szCs w:val="24"/>
          <w:lang w:val="en-US" w:eastAsia="zh-CN"/>
        </w:rPr>
        <w:t>14</w:t>
      </w:r>
      <w:r>
        <w:rPr>
          <w:rStyle w:val="76"/>
          <w:rFonts w:hint="eastAsia" w:ascii="仿宋" w:hAnsi="仿宋" w:eastAsia="仿宋" w:cs="宋体"/>
          <w:snapToGrid/>
          <w:color w:val="FF0000"/>
          <w:kern w:val="2"/>
          <w:sz w:val="24"/>
          <w:szCs w:val="24"/>
        </w:rPr>
        <w:t>日9点30分</w:t>
      </w:r>
      <w:r>
        <w:rPr>
          <w:rStyle w:val="76"/>
          <w:rFonts w:hint="eastAsia" w:ascii="仿宋" w:hAnsi="仿宋" w:eastAsia="仿宋" w:cs="宋体"/>
          <w:bCs/>
          <w:snapToGrid/>
          <w:color w:val="FF0000"/>
          <w:kern w:val="2"/>
          <w:sz w:val="24"/>
          <w:szCs w:val="24"/>
        </w:rPr>
        <w:t>00秒</w:t>
      </w:r>
      <w:r>
        <w:rPr>
          <w:rStyle w:val="76"/>
          <w:rFonts w:hint="eastAsia" w:ascii="仿宋" w:hAnsi="仿宋" w:eastAsia="仿宋" w:cs="宋体"/>
          <w:bCs/>
          <w:snapToGrid/>
          <w:color w:val="FF0000"/>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ascii="仿宋" w:hAnsi="仿宋" w:eastAsia="仿宋" w:cs="宋体"/>
          <w:sz w:val="24"/>
        </w:rPr>
      </w:pPr>
      <w:r>
        <w:rPr>
          <w:rFonts w:hint="eastAsia" w:ascii="仿宋" w:hAnsi="仿宋" w:eastAsia="仿宋" w:cs="宋体"/>
          <w:b/>
          <w:sz w:val="24"/>
        </w:rPr>
        <w:t xml:space="preserve">项目编号：DXSZFCG2024-003 </w:t>
      </w:r>
    </w:p>
    <w:p>
      <w:pPr>
        <w:spacing w:line="360" w:lineRule="auto"/>
        <w:rPr>
          <w:rFonts w:ascii="仿宋" w:hAnsi="仿宋" w:eastAsia="仿宋" w:cs="宋体"/>
          <w:sz w:val="24"/>
        </w:rPr>
      </w:pPr>
      <w:r>
        <w:rPr>
          <w:rFonts w:hint="eastAsia" w:ascii="仿宋" w:hAnsi="仿宋" w:eastAsia="仿宋" w:cs="宋体"/>
          <w:b/>
          <w:sz w:val="24"/>
        </w:rPr>
        <w:t>项目名称：</w:t>
      </w:r>
      <w:r>
        <w:rPr>
          <w:rFonts w:hint="eastAsia" w:ascii="仿宋" w:hAnsi="仿宋" w:eastAsia="仿宋" w:cs="宋体"/>
          <w:b/>
          <w:bCs/>
          <w:sz w:val="24"/>
        </w:rPr>
        <w:t>良渚街道地铁站周边综合环境整治服务采购项目</w:t>
      </w:r>
    </w:p>
    <w:p>
      <w:pPr>
        <w:spacing w:line="360" w:lineRule="auto"/>
        <w:rPr>
          <w:rFonts w:ascii="仿宋" w:hAnsi="仿宋" w:eastAsia="仿宋" w:cs="宋体"/>
          <w:sz w:val="24"/>
        </w:rPr>
      </w:pPr>
      <w:r>
        <w:rPr>
          <w:rFonts w:hint="eastAsia" w:ascii="仿宋" w:hAnsi="仿宋" w:eastAsia="仿宋" w:cs="宋体"/>
          <w:b/>
          <w:sz w:val="24"/>
        </w:rPr>
        <w:t>预算金额（元）：12390000</w:t>
      </w:r>
    </w:p>
    <w:p>
      <w:pPr>
        <w:spacing w:line="360" w:lineRule="auto"/>
        <w:rPr>
          <w:rFonts w:ascii="仿宋" w:hAnsi="仿宋" w:eastAsia="仿宋" w:cs="宋体"/>
          <w:sz w:val="24"/>
        </w:rPr>
      </w:pPr>
      <w:r>
        <w:rPr>
          <w:rFonts w:hint="eastAsia" w:ascii="仿宋" w:hAnsi="仿宋" w:eastAsia="仿宋" w:cs="宋体"/>
          <w:b/>
          <w:sz w:val="24"/>
        </w:rPr>
        <w:t>最高限价（元）：12390000</w:t>
      </w:r>
    </w:p>
    <w:p>
      <w:pPr>
        <w:pStyle w:val="7"/>
        <w:spacing w:line="360" w:lineRule="auto"/>
        <w:ind w:firstLine="480"/>
        <w:rPr>
          <w:rFonts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rPr>
        <w:t>良渚街道地铁站周边综合环境整治服务采购项目</w:t>
      </w:r>
      <w:r>
        <w:rPr>
          <w:rFonts w:hint="eastAsia" w:ascii="仿宋" w:hAnsi="仿宋" w:eastAsia="仿宋" w:cs="宋体"/>
          <w:bCs/>
          <w:snapToGrid/>
          <w:color w:val="auto"/>
          <w:kern w:val="2"/>
          <w:sz w:val="24"/>
          <w:szCs w:val="24"/>
        </w:rPr>
        <w:t>主要内容：</w:t>
      </w:r>
      <w:r>
        <w:rPr>
          <w:rFonts w:hint="eastAsia" w:ascii="仿宋" w:hAnsi="仿宋" w:eastAsia="仿宋"/>
          <w:snapToGrid/>
          <w:color w:val="auto"/>
          <w:kern w:val="2"/>
          <w:sz w:val="24"/>
          <w:szCs w:val="24"/>
        </w:rPr>
        <w:t>具体以招标文件第三部分采购需求为准，供应商可点击本公告下方“浏览采购文件”查看采购需求。</w:t>
      </w:r>
    </w:p>
    <w:p>
      <w:pPr>
        <w:pStyle w:val="955"/>
      </w:pPr>
      <w:r>
        <w:rPr>
          <w:rFonts w:hint="eastAsia"/>
        </w:rPr>
        <w:t>合同履约期限：详见招标文件第三部分采购需求</w:t>
      </w:r>
    </w:p>
    <w:p>
      <w:pPr>
        <w:pStyle w:val="7"/>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sdtPr>
        <w:sdtEndPr>
          <w:rPr>
            <w:rFonts w:ascii="仿宋" w:hAnsi="仿宋" w:eastAsia="仿宋" w:cs="宋体"/>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sdt>
        <w:sdtPr>
          <w:rPr>
            <w:rFonts w:hint="eastAsia" w:ascii="仿宋" w:hAnsi="仿宋" w:eastAsia="仿宋" w:cs="宋体"/>
            <w:color w:val="0000FF"/>
            <w:kern w:val="0"/>
            <w:sz w:val="24"/>
          </w:rPr>
          <w:id w:val="1928616923"/>
        </w:sdtPr>
        <w:sdtEndPr>
          <w:rPr>
            <w:rFonts w:hint="eastAsia" w:ascii="仿宋" w:hAnsi="仿宋" w:eastAsia="仿宋" w:cs="宋体"/>
            <w:color w:val="auto"/>
            <w:kern w:val="0"/>
            <w:sz w:val="24"/>
          </w:rPr>
        </w:sdtEndPr>
        <w:sdtContent>
          <w:sdt>
            <w:sdtPr>
              <w:rPr>
                <w:rFonts w:ascii="仿宋" w:hAnsi="仿宋" w:eastAsia="仿宋" w:cs="宋体"/>
                <w:kern w:val="0"/>
                <w:sz w:val="24"/>
              </w:rPr>
              <w:id w:val="459792313"/>
            </w:sdtPr>
            <w:sdtEndPr>
              <w:rPr>
                <w:rFonts w:ascii="仿宋" w:hAnsi="仿宋" w:eastAsia="仿宋" w:cs="宋体"/>
                <w:kern w:val="0"/>
                <w:sz w:val="24"/>
              </w:rPr>
            </w:sdtEndPr>
            <w:sdtContent>
              <w:r>
                <w:rPr>
                  <w:rFonts w:ascii="仿宋" w:hAnsi="仿宋" w:eastAsia="仿宋" w:cs="宋体"/>
                  <w:kern w:val="0"/>
                  <w:sz w:val="24"/>
                </w:rPr>
                <w:sym w:font="Wingdings" w:char="00A8"/>
              </w:r>
            </w:sdtContent>
          </w:sdt>
        </w:sdtContent>
      </w:sdt>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sdt>
        <w:sdtPr>
          <w:rPr>
            <w:rFonts w:ascii="仿宋" w:hAnsi="仿宋" w:eastAsia="仿宋" w:cs="宋体"/>
            <w:kern w:val="0"/>
            <w:sz w:val="24"/>
          </w:rPr>
          <w:id w:val="-931583718"/>
        </w:sdtPr>
        <w:sdtEndPr>
          <w:rPr>
            <w:rFonts w:ascii="仿宋" w:hAnsi="仿宋" w:eastAsia="仿宋" w:cs="宋体"/>
            <w:kern w:val="0"/>
            <w:sz w:val="24"/>
          </w:rPr>
        </w:sdtEndPr>
        <w:sdtContent>
          <w:r>
            <w:rPr>
              <w:rFonts w:ascii="仿宋" w:hAnsi="仿宋" w:eastAsia="仿宋" w:cs="宋体"/>
              <w:kern w:val="0"/>
              <w:sz w:val="24"/>
            </w:rPr>
            <w:sym w:font="Wingdings" w:char="00FE"/>
          </w:r>
        </w:sdtContent>
      </w:sdt>
      <w:sdt>
        <w:sdtPr>
          <w:rPr>
            <w:rFonts w:hint="eastAsia" w:ascii="仿宋" w:hAnsi="仿宋" w:eastAsia="仿宋" w:cs="宋体"/>
            <w:kern w:val="0"/>
            <w:sz w:val="24"/>
          </w:rPr>
          <w:id w:val="-1024704304"/>
        </w:sdtPr>
        <w:sdtEndPr>
          <w:rPr>
            <w:rFonts w:hint="eastAsia" w:ascii="仿宋" w:hAnsi="仿宋" w:eastAsia="仿宋" w:cs="宋体"/>
            <w:kern w:val="0"/>
            <w:sz w:val="24"/>
          </w:rPr>
        </w:sdtEndPr>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333685401"/>
        </w:sdtPr>
        <w:sdtEndPr>
          <w:rPr>
            <w:rFonts w:hint="eastAsia" w:ascii="仿宋" w:hAnsi="仿宋" w:eastAsia="仿宋" w:cs="宋体"/>
            <w:kern w:val="0"/>
            <w:sz w:val="24"/>
          </w:rPr>
        </w:sdtEndPr>
        <w:sdtContent>
          <w:sdt>
            <w:sdtPr>
              <w:rPr>
                <w:rFonts w:ascii="仿宋" w:hAnsi="仿宋" w:eastAsia="仿宋" w:cs="宋体"/>
                <w:kern w:val="0"/>
                <w:sz w:val="24"/>
              </w:rPr>
              <w:id w:val="384755121"/>
            </w:sdtPr>
            <w:sdtEndPr>
              <w:rPr>
                <w:rFonts w:ascii="仿宋" w:hAnsi="仿宋" w:eastAsia="仿宋" w:cs="宋体"/>
                <w:kern w:val="0"/>
                <w:sz w:val="24"/>
              </w:rPr>
            </w:sdtEndPr>
            <w:sdtContent>
              <w:r>
                <w:rPr>
                  <w:rFonts w:ascii="仿宋" w:hAnsi="仿宋" w:eastAsia="仿宋" w:cs="宋体"/>
                  <w:kern w:val="0"/>
                  <w:sz w:val="24"/>
                </w:rPr>
                <w:sym w:font="Wingdings" w:char="00FE"/>
              </w:r>
            </w:sdtContent>
          </w:sdt>
        </w:sdtContent>
      </w:sdt>
      <w:sdt>
        <w:sdtPr>
          <w:rPr>
            <w:rFonts w:hint="eastAsia" w:ascii="仿宋" w:hAnsi="仿宋" w:eastAsia="仿宋" w:cs="宋体"/>
            <w:kern w:val="0"/>
            <w:sz w:val="24"/>
          </w:rPr>
          <w:id w:val="461393624"/>
        </w:sdtPr>
        <w:sdtEndPr>
          <w:rPr>
            <w:rFonts w:hint="eastAsia" w:ascii="仿宋" w:hAnsi="仿宋" w:eastAsia="仿宋" w:cs="宋体"/>
            <w:kern w:val="0"/>
            <w:sz w:val="24"/>
          </w:rPr>
        </w:sdtEndPr>
        <w:sdtContent/>
      </w:sdt>
      <w:r>
        <w:rPr>
          <w:rFonts w:hint="eastAsia" w:ascii="仿宋" w:hAnsi="仿宋" w:eastAsia="仿宋" w:cs="宋体"/>
          <w:sz w:val="24"/>
        </w:rPr>
        <w:t>服务全部由符合政策要求的中小企业承接，提供中小企业声明函；</w:t>
      </w:r>
    </w:p>
    <w:p>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809208081"/>
        </w:sdtPr>
        <w:sdtEndPr>
          <w:rPr>
            <w:rFonts w:hint="eastAsia" w:ascii="仿宋" w:hAnsi="仿宋" w:eastAsia="仿宋" w:cs="宋体"/>
            <w:kern w:val="0"/>
            <w:sz w:val="24"/>
          </w:rPr>
        </w:sdtEndPr>
        <w:sdtContent>
          <w:sdt>
            <w:sdtPr>
              <w:rPr>
                <w:rFonts w:ascii="仿宋" w:hAnsi="仿宋" w:eastAsia="仿宋" w:cs="宋体"/>
                <w:kern w:val="0"/>
                <w:sz w:val="24"/>
              </w:rPr>
              <w:id w:val="463780921"/>
            </w:sdtPr>
            <w:sdtEndPr>
              <w:rPr>
                <w:rFonts w:ascii="仿宋" w:hAnsi="仿宋" w:eastAsia="仿宋" w:cs="宋体"/>
                <w:kern w:val="0"/>
                <w:sz w:val="24"/>
              </w:rPr>
            </w:sdtEndPr>
            <w:sdtContent>
              <w:r>
                <w:rPr>
                  <w:rFonts w:ascii="仿宋" w:hAnsi="仿宋" w:eastAsia="仿宋" w:cs="宋体"/>
                  <w:kern w:val="0"/>
                  <w:sz w:val="24"/>
                </w:rPr>
                <w:sym w:font="Wingdings" w:char="00A8"/>
              </w:r>
            </w:sdtContent>
          </w:sdt>
        </w:sdtContent>
      </w:sdt>
      <w:sdt>
        <w:sdtPr>
          <w:rPr>
            <w:rFonts w:hint="eastAsia" w:ascii="仿宋" w:hAnsi="仿宋" w:eastAsia="仿宋" w:cs="宋体"/>
            <w:kern w:val="0"/>
            <w:sz w:val="24"/>
          </w:rPr>
          <w:id w:val="-2141025358"/>
        </w:sdtPr>
        <w:sdtEndPr>
          <w:rPr>
            <w:rFonts w:hint="eastAsia" w:ascii="仿宋" w:hAnsi="仿宋" w:eastAsia="仿宋" w:cs="宋体"/>
            <w:kern w:val="0"/>
            <w:sz w:val="24"/>
          </w:rPr>
        </w:sdtEndPr>
        <w:sdtContent>
          <w:sdt>
            <w:sdtPr>
              <w:rPr>
                <w:rFonts w:hint="eastAsia" w:ascii="仿宋" w:hAnsi="仿宋" w:eastAsia="仿宋" w:cs="宋体"/>
                <w:kern w:val="0"/>
                <w:sz w:val="24"/>
              </w:rPr>
              <w:id w:val="459792300"/>
              <w:showingPlcHdr/>
            </w:sdtPr>
            <w:sdtEndPr>
              <w:rPr>
                <w:rFonts w:hint="eastAsia" w:ascii="仿宋" w:hAnsi="仿宋" w:eastAsia="仿宋" w:cs="宋体"/>
                <w:kern w:val="0"/>
                <w:sz w:val="24"/>
              </w:rPr>
            </w:sdtEndPr>
            <w:sdtContent/>
          </w:sdt>
        </w:sdtContent>
      </w:sdt>
      <w:r>
        <w:rPr>
          <w:rFonts w:hint="eastAsia" w:ascii="仿宋" w:hAnsi="仿宋" w:eastAsia="仿宋" w:cs="宋体"/>
          <w:sz w:val="24"/>
        </w:rPr>
        <w:t xml:space="preserve">服务全部由符合政策要求的小微企业承接，提供中小企业声明函。 </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sdt>
        <w:sdtPr>
          <w:rPr>
            <w:rFonts w:hint="eastAsia" w:ascii="仿宋" w:hAnsi="仿宋" w:eastAsia="仿宋" w:cs="宋体"/>
            <w:color w:val="0000FF"/>
            <w:sz w:val="24"/>
          </w:rPr>
          <w:id w:val="-1985607795"/>
        </w:sdtPr>
        <w:sdtEndPr>
          <w:rPr>
            <w:rFonts w:hint="eastAsia" w:ascii="仿宋" w:hAnsi="仿宋" w:eastAsia="仿宋" w:cs="宋体"/>
            <w:color w:val="auto"/>
            <w:sz w:val="24"/>
          </w:rPr>
        </w:sdtEndPr>
        <w:sdtContent>
          <w:sdt>
            <w:sdtPr>
              <w:rPr>
                <w:rFonts w:hint="eastAsia" w:ascii="仿宋" w:hAnsi="仿宋" w:eastAsia="仿宋" w:cs="宋体"/>
                <w:color w:val="0000FF"/>
                <w:sz w:val="24"/>
              </w:rPr>
              <w:id w:val="459792298"/>
            </w:sdtPr>
            <w:sdtEndPr>
              <w:rPr>
                <w:rFonts w:hint="eastAsia" w:ascii="仿宋" w:hAnsi="仿宋" w:eastAsia="仿宋" w:cs="宋体"/>
                <w:color w:val="auto"/>
                <w:sz w:val="24"/>
              </w:rPr>
            </w:sdtEndPr>
            <w:sdtContent>
              <w:sdt>
                <w:sdtPr>
                  <w:rPr>
                    <w:rFonts w:hint="eastAsia" w:ascii="仿宋" w:hAnsi="仿宋" w:eastAsia="仿宋" w:cs="宋体"/>
                    <w:color w:val="0000FF"/>
                    <w:kern w:val="0"/>
                    <w:sz w:val="24"/>
                  </w:rPr>
                  <w:id w:val="531642916"/>
                </w:sdtPr>
                <w:sdtEndPr>
                  <w:rPr>
                    <w:rFonts w:hint="eastAsia" w:ascii="仿宋" w:hAnsi="仿宋" w:eastAsia="仿宋" w:cs="宋体"/>
                    <w:color w:val="auto"/>
                    <w:kern w:val="0"/>
                    <w:sz w:val="24"/>
                  </w:rPr>
                </w:sdtEndPr>
                <w:sdtContent>
                  <w:r>
                    <w:rPr>
                      <w:rFonts w:ascii="Segoe UI Symbol" w:hAnsi="Segoe UI Symbol" w:eastAsia="仿宋" w:cs="Segoe UI Symbol"/>
                      <w:kern w:val="0"/>
                      <w:sz w:val="24"/>
                    </w:rPr>
                    <w:t>☐</w:t>
                  </w:r>
                </w:sdtContent>
              </w:sdt>
            </w:sdtContent>
          </w:sdt>
        </w:sdtContent>
      </w:sdt>
      <w:r>
        <w:rPr>
          <w:rFonts w:hint="eastAsia" w:ascii="仿宋" w:hAnsi="仿宋" w:eastAsia="仿宋" w:cs="宋体"/>
          <w:sz w:val="24"/>
        </w:rPr>
        <w:t>要求以联合体形式参加，提供联合协议和中小企业声明函，联合协议中中小企业合同金额应当达到%，小微企业合同金额应当达到%;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sdt>
            <w:sdtPr>
              <w:rPr>
                <w:rFonts w:hint="eastAsia" w:ascii="仿宋" w:hAnsi="仿宋" w:eastAsia="仿宋" w:cs="宋体"/>
                <w:kern w:val="0"/>
                <w:sz w:val="24"/>
              </w:rPr>
              <w:id w:val="459792302"/>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sdtContent>
      </w:sdt>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numPr>
          <w:ilvl w:val="0"/>
          <w:numId w:val="1"/>
        </w:numPr>
        <w:snapToGrid w:val="0"/>
        <w:spacing w:line="360" w:lineRule="auto"/>
        <w:ind w:firstLine="480" w:firstLineChars="200"/>
        <w:rPr>
          <w:rFonts w:ascii="仿宋" w:hAnsi="仿宋" w:eastAsia="仿宋" w:cs="宋体"/>
          <w:sz w:val="24"/>
        </w:rPr>
      </w:pPr>
      <w:r>
        <w:rPr>
          <w:rFonts w:hint="eastAsia" w:ascii="仿宋" w:hAnsi="仿宋" w:eastAsia="仿宋" w:cs="宋体"/>
          <w:sz w:val="24"/>
        </w:rPr>
        <w:t>本项目的特定资格要求： 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color w:val="FF0000"/>
          <w:sz w:val="24"/>
          <w:u w:val="single"/>
        </w:rPr>
        <w:t>2024年</w:t>
      </w:r>
      <w:r>
        <w:rPr>
          <w:rFonts w:hint="eastAsia" w:ascii="仿宋" w:hAnsi="仿宋" w:eastAsia="仿宋" w:cs="宋体"/>
          <w:color w:val="FF0000"/>
          <w:sz w:val="24"/>
          <w:u w:val="single"/>
          <w:lang w:val="en-US" w:eastAsia="zh-CN"/>
        </w:rPr>
        <w:t>6</w:t>
      </w:r>
      <w:r>
        <w:rPr>
          <w:rFonts w:hint="eastAsia" w:ascii="仿宋" w:hAnsi="仿宋" w:eastAsia="仿宋" w:cs="宋体"/>
          <w:color w:val="FF0000"/>
          <w:sz w:val="24"/>
          <w:u w:val="single"/>
        </w:rPr>
        <w:t xml:space="preserve"> 月</w:t>
      </w:r>
      <w:r>
        <w:rPr>
          <w:rFonts w:hint="eastAsia" w:ascii="仿宋" w:hAnsi="仿宋" w:eastAsia="仿宋" w:cs="宋体"/>
          <w:color w:val="FF0000"/>
          <w:sz w:val="24"/>
          <w:u w:val="single"/>
          <w:lang w:val="en-US" w:eastAsia="zh-CN"/>
        </w:rPr>
        <w:t>14</w:t>
      </w:r>
      <w:r>
        <w:rPr>
          <w:rFonts w:hint="eastAsia" w:ascii="仿宋" w:hAnsi="仿宋" w:eastAsia="仿宋" w:cs="宋体"/>
          <w:color w:val="FF0000"/>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color w:val="FF0000"/>
          <w:sz w:val="24"/>
          <w:u w:val="single"/>
        </w:rPr>
        <w:t xml:space="preserve"> 2024年</w:t>
      </w:r>
      <w:r>
        <w:rPr>
          <w:rFonts w:hint="eastAsia" w:ascii="仿宋" w:hAnsi="仿宋" w:eastAsia="仿宋" w:cs="宋体"/>
          <w:color w:val="FF0000"/>
          <w:sz w:val="24"/>
          <w:u w:val="single"/>
          <w:lang w:val="en-US" w:eastAsia="zh-CN"/>
        </w:rPr>
        <w:t>6</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14</w:t>
      </w:r>
      <w:r>
        <w:rPr>
          <w:rFonts w:hint="eastAsia" w:ascii="仿宋" w:hAnsi="仿宋" w:eastAsia="仿宋" w:cs="宋体"/>
          <w:color w:val="FF0000"/>
          <w:sz w:val="24"/>
          <w:u w:val="single"/>
        </w:rPr>
        <w:t>日9点30分00秒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FF0000"/>
          <w:sz w:val="24"/>
          <w:u w:val="single"/>
        </w:rPr>
        <w:t>2024年</w:t>
      </w:r>
      <w:r>
        <w:rPr>
          <w:rFonts w:hint="eastAsia" w:ascii="仿宋" w:hAnsi="仿宋" w:eastAsia="仿宋" w:cs="宋体"/>
          <w:color w:val="FF0000"/>
          <w:sz w:val="24"/>
          <w:u w:val="single"/>
          <w:lang w:val="en-US" w:eastAsia="zh-CN"/>
        </w:rPr>
        <w:t>6</w:t>
      </w:r>
      <w:r>
        <w:rPr>
          <w:rFonts w:hint="eastAsia" w:ascii="仿宋" w:hAnsi="仿宋" w:eastAsia="仿宋" w:cs="宋体"/>
          <w:color w:val="FF0000"/>
          <w:sz w:val="24"/>
          <w:u w:val="single"/>
        </w:rPr>
        <w:t>月</w:t>
      </w:r>
      <w:r>
        <w:rPr>
          <w:rFonts w:hint="eastAsia" w:ascii="仿宋" w:hAnsi="仿宋" w:eastAsia="仿宋" w:cs="宋体"/>
          <w:color w:val="FF0000"/>
          <w:sz w:val="24"/>
          <w:u w:val="single"/>
          <w:lang w:val="en-US" w:eastAsia="zh-CN"/>
        </w:rPr>
        <w:t>14</w:t>
      </w:r>
      <w:r>
        <w:rPr>
          <w:rFonts w:hint="eastAsia" w:ascii="仿宋" w:hAnsi="仿宋" w:eastAsia="仿宋" w:cs="宋体"/>
          <w:color w:val="FF0000"/>
          <w:sz w:val="24"/>
          <w:u w:val="single"/>
        </w:rPr>
        <w:t>日9点30分00秒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名    称：（采购人）杭州市余杭区人民政府良渚街道办事处 </w:t>
      </w:r>
    </w:p>
    <w:p>
      <w:pPr>
        <w:spacing w:line="360" w:lineRule="auto"/>
        <w:rPr>
          <w:rFonts w:ascii="仿宋" w:hAnsi="仿宋" w:eastAsia="仿宋" w:cs="宋体"/>
          <w:sz w:val="24"/>
        </w:rPr>
      </w:pPr>
      <w:r>
        <w:rPr>
          <w:rFonts w:hint="eastAsia" w:ascii="仿宋" w:hAnsi="仿宋" w:eastAsia="仿宋" w:cs="宋体"/>
          <w:sz w:val="24"/>
        </w:rPr>
        <w:t xml:space="preserve">    地    址： </w:t>
      </w:r>
      <w:r>
        <w:rPr>
          <w:rFonts w:hint="eastAsia" w:ascii="仿宋" w:hAnsi="仿宋" w:eastAsia="仿宋" w:cs="仿宋"/>
          <w:sz w:val="24"/>
        </w:rPr>
        <w:t>良渚街道莫干山路2666号</w:t>
      </w:r>
    </w:p>
    <w:p>
      <w:pPr>
        <w:spacing w:line="360" w:lineRule="auto"/>
        <w:ind w:firstLine="480" w:firstLineChars="200"/>
        <w:rPr>
          <w:rFonts w:ascii="仿宋" w:hAnsi="仿宋" w:eastAsia="仿宋" w:cs="宋体"/>
          <w:sz w:val="24"/>
        </w:rPr>
      </w:pPr>
      <w:r>
        <w:rPr>
          <w:rFonts w:hint="eastAsia" w:ascii="仿宋" w:hAnsi="仿宋" w:eastAsia="仿宋" w:cs="宋体"/>
          <w:sz w:val="24"/>
        </w:rPr>
        <w:t>传    真： /</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项目联系人（询问）： 叶苏奇 </w:t>
      </w:r>
      <w:r>
        <w:rPr>
          <w:rFonts w:hint="eastAsia" w:ascii="仿宋" w:hAnsi="仿宋" w:eastAsia="仿宋" w:cs="仿宋"/>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项目联系方式（询问）：137 5713 2282 </w:t>
      </w:r>
      <w:r>
        <w:rPr>
          <w:rFonts w:hint="eastAsia" w:ascii="仿宋" w:hAnsi="仿宋" w:eastAsia="仿宋" w:cs="仿宋"/>
          <w:sz w:val="24"/>
        </w:rPr>
        <w:t xml:space="preserve"> </w:t>
      </w:r>
    </w:p>
    <w:p>
      <w:pPr>
        <w:spacing w:line="360" w:lineRule="auto"/>
        <w:rPr>
          <w:rFonts w:ascii="仿宋" w:hAnsi="仿宋" w:eastAsia="仿宋" w:cs="宋体"/>
          <w:sz w:val="24"/>
        </w:rPr>
      </w:pPr>
      <w:r>
        <w:rPr>
          <w:rFonts w:hint="eastAsia" w:ascii="仿宋" w:hAnsi="仿宋" w:eastAsia="仿宋" w:cs="宋体"/>
          <w:sz w:val="24"/>
        </w:rPr>
        <w:t xml:space="preserve">    质疑联系人：郑依    </w:t>
      </w:r>
    </w:p>
    <w:p>
      <w:pPr>
        <w:spacing w:line="360" w:lineRule="auto"/>
        <w:ind w:firstLine="480" w:firstLineChars="200"/>
        <w:rPr>
          <w:rFonts w:ascii="仿宋" w:hAnsi="仿宋" w:eastAsia="仿宋"/>
          <w:color w:val="FF0000"/>
          <w:sz w:val="24"/>
        </w:rPr>
      </w:pPr>
      <w:r>
        <w:rPr>
          <w:rFonts w:hint="eastAsia" w:ascii="仿宋" w:hAnsi="仿宋" w:eastAsia="仿宋" w:cs="宋体"/>
          <w:sz w:val="24"/>
        </w:rPr>
        <w:t>质疑联系方式：0571-88771392</w:t>
      </w:r>
    </w:p>
    <w:p>
      <w:pPr>
        <w:spacing w:line="360" w:lineRule="auto"/>
        <w:rPr>
          <w:rFonts w:ascii="仿宋" w:hAnsi="仿宋" w:eastAsia="仿宋" w:cs="宋体"/>
          <w:sz w:val="24"/>
        </w:rPr>
      </w:pPr>
      <w:r>
        <w:rPr>
          <w:rFonts w:hint="eastAsia" w:ascii="仿宋" w:hAnsi="仿宋" w:eastAsia="仿宋" w:cs="宋体"/>
          <w:sz w:val="24"/>
        </w:rPr>
        <w:t xml:space="preserve">    2.同级政府采购监督管理部门            </w:t>
      </w:r>
    </w:p>
    <w:p>
      <w:pPr>
        <w:spacing w:line="360" w:lineRule="auto"/>
        <w:ind w:firstLine="480" w:firstLineChars="200"/>
        <w:rPr>
          <w:rFonts w:ascii="仿宋" w:hAnsi="仿宋" w:eastAsia="仿宋"/>
          <w:sz w:val="24"/>
        </w:rPr>
      </w:pPr>
      <w:r>
        <w:rPr>
          <w:rFonts w:ascii="仿宋" w:hAnsi="仿宋" w:eastAsia="仿宋"/>
          <w:sz w:val="24"/>
        </w:rPr>
        <w:t>名    称：</w:t>
      </w:r>
      <w:r>
        <w:rPr>
          <w:rFonts w:hint="eastAsia" w:ascii="仿宋" w:hAnsi="仿宋" w:eastAsia="仿宋"/>
          <w:sz w:val="24"/>
        </w:rPr>
        <w:t xml:space="preserve">杭州市余杭区财政局、浙江省政府采购行政裁决服务中心（杭州） </w:t>
      </w:r>
    </w:p>
    <w:p>
      <w:pPr>
        <w:spacing w:line="360" w:lineRule="auto"/>
        <w:ind w:firstLine="480" w:firstLineChars="200"/>
        <w:rPr>
          <w:rFonts w:ascii="仿宋" w:hAnsi="仿宋" w:eastAsia="仿宋"/>
          <w:sz w:val="24"/>
        </w:rPr>
      </w:pPr>
      <w:r>
        <w:rPr>
          <w:rFonts w:ascii="仿宋" w:hAnsi="仿宋" w:eastAsia="仿宋"/>
          <w:sz w:val="24"/>
        </w:rPr>
        <w:t>地    址：</w:t>
      </w:r>
      <w:r>
        <w:rPr>
          <w:rFonts w:hint="eastAsia" w:ascii="仿宋" w:hAnsi="仿宋" w:eastAsia="仿宋"/>
          <w:sz w:val="24"/>
        </w:rPr>
        <w:t>杭州市上城区四季青街道新业路市民之家G03办公室（快递仅限ems或顺丰）</w:t>
      </w:r>
    </w:p>
    <w:p>
      <w:pPr>
        <w:spacing w:line="360" w:lineRule="auto"/>
        <w:ind w:firstLine="480" w:firstLineChars="200"/>
        <w:rPr>
          <w:rFonts w:ascii="仿宋" w:hAnsi="仿宋" w:eastAsia="仿宋"/>
          <w:sz w:val="24"/>
        </w:rPr>
      </w:pPr>
      <w:r>
        <w:rPr>
          <w:rFonts w:ascii="仿宋" w:hAnsi="仿宋" w:eastAsia="仿宋"/>
          <w:sz w:val="24"/>
        </w:rPr>
        <w:t>传    真：</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联系人 ：</w:t>
      </w:r>
      <w:r>
        <w:rPr>
          <w:rFonts w:hint="eastAsia" w:ascii="仿宋" w:hAnsi="仿宋" w:eastAsia="仿宋"/>
          <w:sz w:val="24"/>
        </w:rPr>
        <w:t>朱女士、王女士</w:t>
      </w:r>
      <w:r>
        <w:rPr>
          <w:rFonts w:ascii="仿宋" w:hAnsi="仿宋" w:eastAsia="仿宋"/>
          <w:sz w:val="24"/>
        </w:rPr>
        <w:t xml:space="preserve">   </w:t>
      </w:r>
    </w:p>
    <w:p>
      <w:pPr>
        <w:spacing w:line="360" w:lineRule="auto"/>
        <w:ind w:firstLine="360" w:firstLineChars="150"/>
        <w:rPr>
          <w:rFonts w:ascii="仿宋" w:hAnsi="仿宋" w:eastAsia="仿宋" w:cs="宋体"/>
          <w:sz w:val="24"/>
        </w:rPr>
      </w:pPr>
      <w:r>
        <w:rPr>
          <w:rFonts w:ascii="仿宋" w:hAnsi="仿宋" w:eastAsia="仿宋"/>
          <w:sz w:val="24"/>
        </w:rPr>
        <w:t>监督投诉电话：</w:t>
      </w:r>
      <w:r>
        <w:rPr>
          <w:rFonts w:hint="eastAsia" w:ascii="仿宋" w:hAnsi="仿宋" w:eastAsia="仿宋"/>
          <w:sz w:val="24"/>
        </w:rPr>
        <w:t>0571-85252453</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w:t>
            </w:r>
          </w:p>
        </w:tc>
        <w:tc>
          <w:tcPr>
            <w:tcW w:w="1843" w:type="dxa"/>
            <w:vAlign w:val="center"/>
          </w:tcPr>
          <w:p>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vAlign w:val="center"/>
          </w:tcPr>
          <w:p>
            <w:pPr>
              <w:numPr>
                <w:ilvl w:val="0"/>
                <w:numId w:val="2"/>
              </w:numPr>
              <w:snapToGrid w:val="0"/>
              <w:spacing w:line="360" w:lineRule="auto"/>
              <w:rPr>
                <w:rFonts w:ascii="仿宋" w:hAnsi="仿宋" w:eastAsia="仿宋" w:cs="宋体"/>
                <w:b/>
                <w:kern w:val="0"/>
                <w:sz w:val="24"/>
              </w:rPr>
            </w:pPr>
            <w:r>
              <w:rPr>
                <w:rFonts w:hint="eastAsia" w:ascii="仿宋" w:hAnsi="仿宋" w:eastAsia="仿宋" w:cs="宋体"/>
                <w:b/>
                <w:kern w:val="0"/>
                <w:sz w:val="24"/>
              </w:rPr>
              <w:t>标的：良渚街道地铁站周边综合环境整治服务采购项目，属于行业：租赁和商务服务业。</w:t>
            </w:r>
          </w:p>
          <w:p>
            <w:pPr>
              <w:numPr>
                <w:ilvl w:val="0"/>
                <w:numId w:val="2"/>
              </w:numPr>
              <w:snapToGrid w:val="0"/>
              <w:spacing w:line="360" w:lineRule="auto"/>
              <w:rPr>
                <w:rFonts w:ascii="仿宋" w:hAnsi="仿宋" w:eastAsia="仿宋" w:cs="宋体"/>
                <w:b/>
              </w:rPr>
            </w:pPr>
            <w:r>
              <w:rPr>
                <w:rFonts w:hint="eastAsia" w:ascii="仿宋" w:hAnsi="仿宋" w:eastAsia="仿宋" w:cs="宋体"/>
                <w:b/>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9"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3</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vAlign w:val="center"/>
          </w:tcPr>
          <w:p>
            <w:pPr>
              <w:spacing w:line="360" w:lineRule="auto"/>
              <w:rPr>
                <w:rFonts w:ascii="仿宋" w:hAnsi="仿宋" w:eastAsia="仿宋" w:cs="宋体"/>
                <w:b/>
                <w:kern w:val="0"/>
                <w:sz w:val="24"/>
              </w:rPr>
            </w:pPr>
            <w:sdt>
              <w:sdtPr>
                <w:rPr>
                  <w:rFonts w:hint="eastAsia" w:ascii="仿宋" w:hAnsi="仿宋" w:eastAsia="仿宋" w:cs="宋体"/>
                  <w:b/>
                  <w:kern w:val="0"/>
                  <w:sz w:val="24"/>
                </w:rPr>
                <w:id w:val="-1828425707"/>
              </w:sdtPr>
              <w:sdtEndPr>
                <w:rPr>
                  <w:rFonts w:hint="eastAsia" w:ascii="仿宋" w:hAnsi="仿宋" w:eastAsia="仿宋" w:cs="宋体"/>
                  <w:b/>
                  <w:kern w:val="0"/>
                  <w:sz w:val="24"/>
                </w:rPr>
              </w:sdtEndPr>
              <w:sdtContent>
                <w:r>
                  <w:rPr>
                    <w:rFonts w:hint="eastAsia" w:ascii="仿宋" w:hAnsi="仿宋" w:eastAsia="仿宋" w:cs="宋体"/>
                    <w:b/>
                    <w:kern w:val="0"/>
                    <w:sz w:val="24"/>
                  </w:rPr>
                  <w:sym w:font="Wingdings" w:char="F0FE"/>
                </w:r>
              </w:sdtContent>
            </w:sdt>
            <w:r>
              <w:rPr>
                <w:rFonts w:hint="eastAsia" w:ascii="仿宋" w:hAnsi="仿宋" w:eastAsia="仿宋" w:cs="宋体"/>
                <w:b/>
                <w:kern w:val="0"/>
                <w:sz w:val="24"/>
              </w:rPr>
              <w:t>本项目不允许采购进口产品。</w:t>
            </w:r>
          </w:p>
          <w:p>
            <w:pPr>
              <w:spacing w:line="360" w:lineRule="auto"/>
              <w:rPr>
                <w:rFonts w:ascii="仿宋" w:hAnsi="仿宋" w:eastAsia="仿宋" w:cs="宋体"/>
                <w:b/>
              </w:rPr>
            </w:pPr>
            <w:sdt>
              <w:sdtPr>
                <w:rPr>
                  <w:rFonts w:hint="eastAsia" w:ascii="仿宋" w:hAnsi="仿宋" w:eastAsia="仿宋" w:cs="宋体"/>
                  <w:b/>
                  <w:kern w:val="0"/>
                  <w:sz w:val="24"/>
                </w:rPr>
                <w:id w:val="-52852824"/>
              </w:sdtPr>
              <w:sdtEndPr>
                <w:rPr>
                  <w:rFonts w:hint="eastAsia" w:ascii="仿宋" w:hAnsi="仿宋" w:eastAsia="仿宋" w:cs="宋体"/>
                  <w:b/>
                  <w:kern w:val="0"/>
                  <w:sz w:val="24"/>
                </w:rPr>
              </w:sdtEndPr>
              <w:sdtContent>
                <w:r>
                  <w:rPr>
                    <w:rFonts w:ascii="Segoe UI Symbol" w:hAnsi="Segoe UI Symbol" w:eastAsia="仿宋" w:cs="Segoe UI Symbol"/>
                    <w:b/>
                    <w:kern w:val="0"/>
                    <w:sz w:val="24"/>
                  </w:rPr>
                  <w:t>☐</w:t>
                </w:r>
              </w:sdtContent>
            </w:sdt>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1" w:hRule="atLeast"/>
          <w:tblHeader/>
        </w:trPr>
        <w:tc>
          <w:tcPr>
            <w:tcW w:w="629"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4</w:t>
            </w:r>
          </w:p>
        </w:tc>
        <w:tc>
          <w:tcPr>
            <w:tcW w:w="1843" w:type="dxa"/>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vAlign w:val="center"/>
          </w:tcPr>
          <w:p>
            <w:pPr>
              <w:spacing w:line="360" w:lineRule="auto"/>
              <w:rPr>
                <w:rFonts w:ascii="仿宋" w:hAnsi="仿宋" w:eastAsia="仿宋" w:cs="宋体"/>
                <w:b/>
                <w:sz w:val="24"/>
              </w:rPr>
            </w:pPr>
            <w:r>
              <w:rPr>
                <w:rFonts w:ascii="Segoe UI Symbol" w:hAnsi="Segoe UI Symbol" w:eastAsia="仿宋" w:cs="Segoe UI Symbo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5</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212966419"/>
              </w:sdtPr>
              <w:sdtEndPr>
                <w:rPr>
                  <w:rFonts w:hint="eastAsia" w:ascii="仿宋" w:hAnsi="仿宋" w:eastAsia="仿宋" w:cs="宋体"/>
                  <w:b/>
                  <w:kern w:val="0"/>
                  <w:sz w:val="24"/>
                </w:rPr>
              </w:sdtEndPr>
              <w:sdtContent>
                <w:r>
                  <w:rPr>
                    <w:rFonts w:ascii="仿宋" w:hAnsi="仿宋" w:eastAsia="仿宋" w:cs="Arial"/>
                    <w:b/>
                    <w:kern w:val="0"/>
                    <w:sz w:val="24"/>
                  </w:rPr>
                  <w:sym w:font="Wingdings" w:char="F0FE"/>
                </w:r>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sz w:val="24"/>
                <w:szCs w:val="20"/>
              </w:rPr>
            </w:pPr>
            <w:sdt>
              <w:sdtPr>
                <w:rPr>
                  <w:rFonts w:hint="eastAsia" w:ascii="仿宋" w:hAnsi="仿宋" w:eastAsia="仿宋" w:cs="宋体"/>
                  <w:b/>
                  <w:kern w:val="0"/>
                  <w:sz w:val="24"/>
                </w:rPr>
                <w:id w:val="-999802974"/>
              </w:sdtPr>
              <w:sdtEndPr>
                <w:rPr>
                  <w:rFonts w:hint="eastAsia" w:ascii="仿宋" w:hAnsi="仿宋" w:eastAsia="仿宋" w:cs="宋体"/>
                  <w:b/>
                  <w:kern w:val="0"/>
                  <w:sz w:val="24"/>
                </w:rPr>
              </w:sdtEndPr>
              <w:sdtContent>
                <w:r>
                  <w:rPr>
                    <w:rFonts w:ascii="Segoe UI Symbol" w:hAnsi="Segoe UI Symbol" w:eastAsia="仿宋" w:cs="Segoe UI Symbol"/>
                    <w:b/>
                    <w:kern w:val="0"/>
                    <w:sz w:val="24"/>
                  </w:rPr>
                  <w:t>☐</w:t>
                </w:r>
              </w:sdtContent>
            </w:sdt>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6</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639946486"/>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09"/>
                  </w:sdtPr>
                  <w:sdtEndPr>
                    <w:rPr>
                      <w:rFonts w:hint="eastAsia" w:ascii="仿宋" w:hAnsi="仿宋" w:eastAsia="仿宋" w:cs="宋体"/>
                      <w:b/>
                      <w:kern w:val="0"/>
                      <w:sz w:val="24"/>
                    </w:rPr>
                  </w:sdtEndPr>
                  <w:sdtContent>
                    <w:r>
                      <w:rPr>
                        <w:rFonts w:ascii="仿宋" w:hAnsi="仿宋" w:eastAsia="仿宋" w:cs="Arial"/>
                        <w:b/>
                        <w:kern w:val="0"/>
                        <w:sz w:val="24"/>
                      </w:rPr>
                      <w:sym w:font="Wingdings" w:char="F0FE"/>
                    </w:r>
                  </w:sdtContent>
                </w:sdt>
              </w:sdtContent>
            </w:sdt>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 w:hAnsi="仿宋" w:eastAsia="仿宋"/>
                <w:b/>
                <w:kern w:val="0"/>
                <w:sz w:val="24"/>
              </w:rPr>
            </w:pPr>
            <w:r>
              <w:rPr>
                <w:rFonts w:ascii="Segoe UI Symbol" w:hAnsi="Segoe UI Symbol" w:eastAsia="仿宋" w:cs="Segoe UI Symbol"/>
                <w:b/>
                <w:kern w:val="0"/>
                <w:sz w:val="24"/>
              </w:rPr>
              <w:t>☐</w:t>
            </w:r>
            <w:r>
              <w:rPr>
                <w:rFonts w:ascii="仿宋" w:hAnsi="仿宋" w:eastAsia="仿宋"/>
                <w:b/>
                <w:kern w:val="0"/>
                <w:sz w:val="24"/>
              </w:rPr>
              <w:t>B</w:t>
            </w:r>
            <w:r>
              <w:rPr>
                <w:rFonts w:hint="eastAsia" w:ascii="仿宋" w:hAnsi="仿宋" w:eastAsia="仿宋"/>
                <w:b/>
                <w:kern w:val="0"/>
                <w:sz w:val="24"/>
              </w:rPr>
              <w:t>要求提供，</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Segoe UI Symbol" w:hAnsi="Segoe UI Symbol" w:eastAsia="仿宋" w:cs="Segoe UI Symbo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pPr>
              <w:spacing w:line="360" w:lineRule="auto"/>
              <w:rPr>
                <w:rFonts w:ascii="仿宋" w:hAnsi="仿宋" w:eastAsia="仿宋"/>
                <w:b/>
                <w:sz w:val="24"/>
              </w:rPr>
            </w:pPr>
            <w:r>
              <w:rPr>
                <w:rFonts w:ascii="仿宋" w:hAnsi="仿宋" w:eastAsia="仿宋"/>
                <w:b/>
                <w:sz w:val="24"/>
              </w:rPr>
              <w:t xml:space="preserve"> (</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pPr>
              <w:spacing w:line="360" w:lineRule="auto"/>
              <w:rPr>
                <w:rFonts w:ascii="仿宋" w:hAnsi="仿宋" w:eastAsia="仿宋" w:cs="宋体"/>
                <w:b/>
                <w:sz w:val="24"/>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pPr>
              <w:snapToGrid w:val="0"/>
              <w:spacing w:line="360" w:lineRule="auto"/>
              <w:jc w:val="center"/>
              <w:rPr>
                <w:rFonts w:ascii="仿宋" w:hAnsi="仿宋" w:eastAsia="仿宋" w:cs="宋体"/>
                <w:b/>
                <w:bCs/>
                <w:sz w:val="24"/>
              </w:rPr>
            </w:pPr>
            <w:r>
              <w:rPr>
                <w:rFonts w:hint="eastAsia" w:ascii="仿宋" w:hAnsi="仿宋" w:eastAsia="仿宋" w:cs="宋体"/>
                <w:b/>
                <w:sz w:val="24"/>
              </w:rPr>
              <w:t>方案讲解演示</w:t>
            </w:r>
          </w:p>
        </w:tc>
        <w:tc>
          <w:tcPr>
            <w:tcW w:w="6095" w:type="dxa"/>
            <w:vAlign w:val="center"/>
          </w:tcPr>
          <w:p>
            <w:pPr>
              <w:spacing w:line="360" w:lineRule="auto"/>
              <w:rPr>
                <w:rFonts w:ascii="仿宋" w:hAnsi="仿宋" w:eastAsia="仿宋" w:cs="宋体"/>
                <w:b/>
                <w:sz w:val="24"/>
              </w:rPr>
            </w:pPr>
            <w:sdt>
              <w:sdtPr>
                <w:rPr>
                  <w:rFonts w:hint="eastAsia" w:ascii="仿宋" w:hAnsi="仿宋" w:eastAsia="仿宋" w:cs="宋体"/>
                  <w:b/>
                  <w:kern w:val="0"/>
                  <w:sz w:val="24"/>
                </w:rPr>
                <w:id w:val="-185934854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459792311"/>
                  </w:sdtPr>
                  <w:sdtEndPr>
                    <w:rPr>
                      <w:rFonts w:hint="eastAsia" w:ascii="仿宋" w:hAnsi="仿宋" w:eastAsia="仿宋" w:cs="宋体"/>
                      <w:b/>
                      <w:kern w:val="0"/>
                      <w:sz w:val="24"/>
                    </w:rPr>
                  </w:sdtEndPr>
                  <w:sdtContent>
                    <w:r>
                      <w:rPr>
                        <w:rFonts w:ascii="仿宋" w:hAnsi="仿宋" w:eastAsia="仿宋" w:cs="Arial"/>
                        <w:b/>
                        <w:kern w:val="0"/>
                        <w:sz w:val="24"/>
                      </w:rPr>
                      <w:sym w:font="Wingdings" w:char="00A8"/>
                    </w:r>
                  </w:sdtContent>
                </w:sdt>
              </w:sdtContent>
            </w:sdt>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sdt>
              <w:sdtPr>
                <w:rPr>
                  <w:rFonts w:hint="eastAsia" w:ascii="仿宋" w:hAnsi="仿宋" w:eastAsia="仿宋" w:cs="宋体"/>
                  <w:b/>
                  <w:kern w:val="0"/>
                  <w:sz w:val="24"/>
                </w:rPr>
                <w:id w:val="1174071719"/>
              </w:sdtPr>
              <w:sdtEndPr>
                <w:rPr>
                  <w:rFonts w:hint="eastAsia" w:ascii="仿宋" w:hAnsi="仿宋" w:eastAsia="仿宋" w:cs="宋体"/>
                  <w:b/>
                  <w:kern w:val="0"/>
                  <w:sz w:val="24"/>
                </w:rPr>
              </w:sdtEndPr>
              <w:sdtContent>
                <w:sdt>
                  <w:sdtPr>
                    <w:rPr>
                      <w:rFonts w:hint="eastAsia" w:ascii="仿宋" w:hAnsi="仿宋" w:eastAsia="仿宋" w:cs="宋体"/>
                      <w:b/>
                      <w:kern w:val="0"/>
                      <w:sz w:val="24"/>
                    </w:rPr>
                    <w:id w:val="-1297296864"/>
                  </w:sdtPr>
                  <w:sdtEndPr>
                    <w:rPr>
                      <w:rFonts w:hint="eastAsia" w:ascii="仿宋" w:hAnsi="仿宋" w:eastAsia="仿宋" w:cs="宋体"/>
                      <w:b/>
                      <w:kern w:val="0"/>
                      <w:sz w:val="24"/>
                    </w:rPr>
                  </w:sdtEndPr>
                  <w:sdtContent>
                    <w:r>
                      <w:rPr>
                        <w:rFonts w:ascii="仿宋" w:hAnsi="仿宋" w:eastAsia="仿宋" w:cs="Arial"/>
                        <w:b/>
                        <w:kern w:val="0"/>
                        <w:sz w:val="24"/>
                      </w:rPr>
                      <w:sym w:font="Wingdings" w:char="00FE"/>
                    </w:r>
                  </w:sdtContent>
                </w:sdt>
              </w:sdtContent>
            </w:sdt>
            <w:r>
              <w:rPr>
                <w:rFonts w:hint="eastAsia" w:ascii="仿宋" w:hAnsi="仿宋" w:eastAsia="仿宋" w:cs="宋体"/>
                <w:b/>
                <w:kern w:val="0"/>
                <w:sz w:val="24"/>
              </w:rPr>
              <w:t>B组织。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（1）方案讲解演示方式：</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演示视频以电子形式递交，可与备份文件同步在投标截止前递交/邮寄至杭州市余杭区良渚街道办事处9号楼；联系电话：郑依，联系电话：0571-88771392</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8</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spacing w:line="360" w:lineRule="auto"/>
              <w:rPr>
                <w:rFonts w:ascii="仿宋" w:hAnsi="仿宋" w:eastAsia="仿宋" w:cs="宋体"/>
                <w:b/>
                <w:snapToGrid w:val="0"/>
                <w:kern w:val="0"/>
                <w:szCs w:val="21"/>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z w:val="24"/>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vAlign w:val="center"/>
          </w:tcPr>
          <w:p>
            <w:pPr>
              <w:snapToGrid w:val="0"/>
              <w:spacing w:line="360" w:lineRule="auto"/>
              <w:rPr>
                <w:rFonts w:ascii="仿宋" w:hAnsi="仿宋" w:eastAsia="仿宋" w:cs="宋体"/>
                <w:b/>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2" w:hRule="atLeast"/>
          <w:tblHeader/>
        </w:trPr>
        <w:tc>
          <w:tcPr>
            <w:tcW w:w="629" w:type="dxa"/>
          </w:tcPr>
          <w:p>
            <w:pPr>
              <w:snapToGrid w:val="0"/>
              <w:spacing w:line="360" w:lineRule="auto"/>
              <w:jc w:val="center"/>
              <w:rPr>
                <w:rFonts w:ascii="仿宋" w:hAnsi="仿宋" w:eastAsia="仿宋" w:cs="宋体"/>
                <w:b/>
                <w:sz w:val="24"/>
              </w:rPr>
            </w:pPr>
          </w:p>
          <w:p>
            <w:pPr>
              <w:snapToGrid w:val="0"/>
              <w:spacing w:line="360" w:lineRule="auto"/>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vAlign w:val="center"/>
          </w:tcPr>
          <w:p>
            <w:pPr>
              <w:spacing w:line="360" w:lineRule="auto"/>
              <w:ind w:firstLine="482" w:firstLineChars="200"/>
              <w:rPr>
                <w:rFonts w:ascii="仿宋" w:hAnsi="仿宋" w:eastAsia="仿宋" w:cs="宋体"/>
                <w:b/>
                <w:sz w:val="24"/>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12</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vAlign w:val="center"/>
          </w:tcPr>
          <w:p>
            <w:pPr>
              <w:pStyle w:val="34"/>
              <w:spacing w:line="360" w:lineRule="auto"/>
              <w:rPr>
                <w:rFonts w:ascii="仿宋" w:hAnsi="仿宋" w:eastAsia="仿宋" w:cs="宋体"/>
                <w:b/>
                <w:kern w:val="28"/>
                <w:sz w:val="24"/>
              </w:rPr>
            </w:pPr>
            <w:r>
              <w:rPr>
                <w:rFonts w:hint="eastAsia" w:ascii="仿宋" w:hAnsi="仿宋" w:eastAsia="仿宋" w:cs="宋体"/>
                <w:b/>
                <w:kern w:val="28"/>
                <w:sz w:val="24"/>
                <w:szCs w:val="24"/>
              </w:rPr>
              <w:t>备份投标文件送达地点：杭州市余杭区良渚街道办事处9号楼；备份投标文件签收人员联系电话：郑依，联系电话：0571-88771392 。采购人、采购机构不强制或变相强制投标人提交备份投标文件。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pPr>
              <w:snapToGrid w:val="0"/>
              <w:spacing w:line="360" w:lineRule="auto"/>
              <w:jc w:val="center"/>
              <w:rPr>
                <w:rFonts w:ascii="仿宋" w:hAnsi="仿宋" w:eastAsia="仿宋" w:cs="宋体"/>
                <w:b/>
                <w:sz w:val="24"/>
              </w:rPr>
            </w:pPr>
            <w:r>
              <w:rPr>
                <w:rFonts w:hint="eastAsia" w:ascii="仿宋" w:hAnsi="仿宋" w:eastAsia="仿宋" w:cs="宋体"/>
                <w:b/>
                <w:sz w:val="24"/>
              </w:rPr>
              <w:t>13</w:t>
            </w:r>
          </w:p>
        </w:tc>
        <w:tc>
          <w:tcPr>
            <w:tcW w:w="1843" w:type="dxa"/>
            <w:vMerge w:val="restart"/>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vAlign w:val="center"/>
          </w:tcPr>
          <w:p>
            <w:pPr>
              <w:spacing w:line="360" w:lineRule="auto"/>
              <w:rPr>
                <w:rFonts w:ascii="仿宋" w:hAnsi="仿宋" w:eastAsia="仿宋" w:cs="宋体"/>
                <w:b/>
                <w:snapToGrid w:val="0"/>
                <w:kern w:val="28"/>
                <w:sz w:val="24"/>
              </w:rPr>
            </w:pPr>
            <w:r>
              <w:rPr>
                <w:rFonts w:hint="eastAsia" w:ascii="仿宋" w:hAnsi="仿宋" w:eastAsia="仿宋" w:cs="宋体"/>
                <w:b/>
                <w:snapToGrid w:val="0"/>
                <w:kern w:val="28"/>
                <w:sz w:val="24"/>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1816336663"/>
              </w:sdtPr>
              <w:sdtEndPr>
                <w:rPr>
                  <w:rFonts w:hint="eastAsia" w:ascii="仿宋" w:hAnsi="仿宋" w:eastAsia="仿宋" w:cs="Arial"/>
                  <w:b/>
                  <w:kern w:val="0"/>
                  <w:sz w:val="24"/>
                </w:rPr>
              </w:sdtEndPr>
              <w:sdtContent>
                <w:r>
                  <w:rPr>
                    <w:rFonts w:ascii="Segoe UI Symbol" w:hAnsi="Segoe UI Symbol" w:eastAsia="仿宋" w:cs="Segoe UI Symbol"/>
                    <w:b/>
                    <w:kern w:val="0"/>
                    <w:sz w:val="24"/>
                  </w:rPr>
                  <w:t>☐</w:t>
                </w:r>
              </w:sdtContent>
            </w:sdt>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b/>
                <w:snapToGrid w:val="0"/>
                <w:kern w:val="28"/>
                <w:sz w:val="24"/>
              </w:rPr>
            </w:pPr>
            <w:sdt>
              <w:sdtPr>
                <w:rPr>
                  <w:rFonts w:hint="eastAsia" w:ascii="仿宋" w:hAnsi="仿宋" w:eastAsia="仿宋" w:cs="Arial"/>
                  <w:b/>
                  <w:kern w:val="0"/>
                  <w:sz w:val="24"/>
                </w:rPr>
                <w:id w:val="-232311894"/>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仿宋" w:hAnsi="仿宋" w:eastAsia="仿宋" w:cs="宋体"/>
                <w:b/>
                <w:sz w:val="24"/>
              </w:rPr>
            </w:pPr>
          </w:p>
        </w:tc>
        <w:tc>
          <w:tcPr>
            <w:tcW w:w="1843" w:type="dxa"/>
            <w:vMerge w:val="continue"/>
            <w:vAlign w:val="center"/>
          </w:tcPr>
          <w:p>
            <w:pPr>
              <w:snapToGrid w:val="0"/>
              <w:spacing w:line="360" w:lineRule="auto"/>
              <w:jc w:val="center"/>
              <w:rPr>
                <w:rFonts w:ascii="仿宋" w:hAnsi="仿宋" w:eastAsia="仿宋" w:cs="宋体"/>
                <w:b/>
                <w:sz w:val="24"/>
              </w:rPr>
            </w:pPr>
          </w:p>
        </w:tc>
        <w:tc>
          <w:tcPr>
            <w:tcW w:w="6095" w:type="dxa"/>
            <w:vAlign w:val="center"/>
          </w:tcPr>
          <w:p>
            <w:pPr>
              <w:spacing w:line="360" w:lineRule="auto"/>
              <w:rPr>
                <w:rFonts w:ascii="仿宋" w:hAnsi="仿宋" w:eastAsia="仿宋"/>
                <w:sz w:val="24"/>
              </w:rPr>
            </w:pPr>
            <w:r>
              <w:rPr>
                <w:rFonts w:hint="eastAsia" w:ascii="仿宋" w:hAnsi="仿宋" w:eastAsia="仿宋"/>
                <w:sz w:val="24"/>
              </w:rPr>
              <w:t>▲供应商以联合体形式投标的：在按招标文件要求提供联合协议，联合体投标的联合体各方承担连带责任。</w:t>
            </w:r>
          </w:p>
          <w:p>
            <w:pPr>
              <w:spacing w:line="360" w:lineRule="auto"/>
              <w:rPr>
                <w:rFonts w:ascii="仿宋" w:hAnsi="仿宋" w:eastAsia="仿宋"/>
                <w:sz w:val="24"/>
              </w:rPr>
            </w:pPr>
            <w:r>
              <w:rPr>
                <w:rFonts w:hint="eastAsia" w:ascii="仿宋" w:hAnsi="仿宋" w:eastAsia="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sz w:val="24"/>
              </w:rPr>
            </w:pPr>
            <w:r>
              <w:rPr>
                <w:rFonts w:hint="eastAsia" w:ascii="仿宋" w:hAnsi="仿宋" w:eastAsia="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Arial"/>
                <w:b/>
                <w:kern w:val="0"/>
                <w:sz w:val="24"/>
              </w:rPr>
            </w:pPr>
            <w:r>
              <w:rPr>
                <w:rFonts w:hint="eastAsia" w:ascii="仿宋" w:hAnsi="仿宋" w:eastAsia="仿宋"/>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14</w:t>
            </w:r>
          </w:p>
        </w:tc>
        <w:tc>
          <w:tcPr>
            <w:tcW w:w="1843" w:type="dxa"/>
            <w:vAlign w:val="center"/>
          </w:tcPr>
          <w:p>
            <w:pPr>
              <w:snapToGrid w:val="0"/>
              <w:spacing w:line="360" w:lineRule="auto"/>
              <w:jc w:val="center"/>
              <w:rPr>
                <w:rFonts w:ascii="仿宋" w:hAnsi="仿宋" w:eastAsia="仿宋" w:cs="宋体"/>
                <w:b/>
                <w:sz w:val="24"/>
              </w:rPr>
            </w:pPr>
            <w:r>
              <w:rPr>
                <w:rFonts w:ascii="仿宋" w:hAnsi="仿宋" w:eastAsia="仿宋" w:cs="宋体"/>
                <w:b/>
                <w:sz w:val="24"/>
              </w:rPr>
              <w:t>代理服务费</w:t>
            </w:r>
          </w:p>
        </w:tc>
        <w:tc>
          <w:tcPr>
            <w:tcW w:w="6095" w:type="dxa"/>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采购代理服务费：本项目的采购代理费由中标人支付。</w:t>
            </w:r>
          </w:p>
          <w:p>
            <w:pPr>
              <w:spacing w:line="360" w:lineRule="auto"/>
              <w:rPr>
                <w:rFonts w:ascii="仿宋" w:hAnsi="仿宋" w:eastAsia="仿宋" w:cs="Arial"/>
                <w:b/>
                <w:kern w:val="0"/>
                <w:sz w:val="24"/>
              </w:rPr>
            </w:pPr>
            <w:r>
              <w:rPr>
                <w:rFonts w:hint="eastAsia" w:ascii="仿宋" w:hAnsi="仿宋" w:eastAsia="仿宋"/>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15</w:t>
            </w:r>
          </w:p>
        </w:tc>
        <w:tc>
          <w:tcPr>
            <w:tcW w:w="1843" w:type="dxa"/>
            <w:vAlign w:val="center"/>
          </w:tcPr>
          <w:p>
            <w:pPr>
              <w:snapToGrid w:val="0"/>
              <w:spacing w:line="360" w:lineRule="auto"/>
              <w:jc w:val="center"/>
              <w:rPr>
                <w:rFonts w:ascii="仿宋" w:hAnsi="仿宋" w:eastAsia="仿宋" w:cs="宋体"/>
                <w:b/>
                <w:sz w:val="24"/>
              </w:rPr>
            </w:pPr>
            <w:r>
              <w:rPr>
                <w:rFonts w:hint="eastAsia" w:ascii="仿宋" w:hAnsi="仿宋" w:eastAsia="仿宋"/>
                <w:b/>
                <w:snapToGrid w:val="0"/>
                <w:kern w:val="28"/>
                <w:sz w:val="24"/>
              </w:rPr>
              <w:t>纸质投标文件</w:t>
            </w:r>
          </w:p>
        </w:tc>
        <w:tc>
          <w:tcPr>
            <w:tcW w:w="6095" w:type="dxa"/>
            <w:vAlign w:val="center"/>
          </w:tcPr>
          <w:p>
            <w:pPr>
              <w:spacing w:line="360" w:lineRule="auto"/>
              <w:rPr>
                <w:rFonts w:ascii="仿宋" w:hAnsi="仿宋" w:eastAsia="仿宋"/>
                <w:snapToGrid w:val="0"/>
                <w:kern w:val="28"/>
                <w:sz w:val="24"/>
                <w:highlight w:val="green"/>
              </w:rPr>
            </w:pPr>
            <w:r>
              <w:rPr>
                <w:rFonts w:hint="eastAsia" w:ascii="仿宋" w:hAnsi="仿宋" w:eastAsia="仿宋"/>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pPr>
              <w:snapToGrid w:val="0"/>
              <w:spacing w:line="360" w:lineRule="auto"/>
              <w:jc w:val="center"/>
              <w:rPr>
                <w:rFonts w:ascii="仿宋" w:hAnsi="仿宋" w:eastAsia="仿宋" w:cs="宋体"/>
                <w:b/>
                <w:sz w:val="24"/>
              </w:rPr>
            </w:pPr>
            <w:r>
              <w:rPr>
                <w:rFonts w:hint="eastAsia" w:ascii="仿宋" w:hAnsi="仿宋" w:eastAsia="仿宋" w:cs="宋体"/>
                <w:b/>
                <w:sz w:val="24"/>
              </w:rPr>
              <w:t>16</w:t>
            </w:r>
          </w:p>
        </w:tc>
        <w:tc>
          <w:tcPr>
            <w:tcW w:w="1843" w:type="dxa"/>
            <w:vAlign w:val="center"/>
          </w:tcPr>
          <w:p>
            <w:pPr>
              <w:snapToGrid w:val="0"/>
              <w:spacing w:line="360" w:lineRule="auto"/>
              <w:jc w:val="center"/>
              <w:rPr>
                <w:rFonts w:ascii="仿宋" w:hAnsi="仿宋" w:eastAsia="仿宋"/>
                <w:b/>
                <w:snapToGrid w:val="0"/>
                <w:kern w:val="28"/>
                <w:sz w:val="24"/>
              </w:rPr>
            </w:pPr>
            <w:r>
              <w:rPr>
                <w:rFonts w:hint="eastAsia" w:ascii="仿宋" w:hAnsi="仿宋" w:eastAsia="仿宋"/>
                <w:b/>
                <w:snapToGrid w:val="0"/>
                <w:kern w:val="28"/>
                <w:sz w:val="24"/>
              </w:rPr>
              <w:t>其他约定</w:t>
            </w:r>
          </w:p>
        </w:tc>
        <w:tc>
          <w:tcPr>
            <w:tcW w:w="6095" w:type="dxa"/>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无</w:t>
            </w:r>
          </w:p>
        </w:tc>
      </w:tr>
      <w:bookmarkEnd w:id="10"/>
    </w:tbl>
    <w:p>
      <w:pPr>
        <w:pStyle w:val="90"/>
      </w:pPr>
      <w:bookmarkStart w:id="11" w:name="_Toc164416483"/>
      <w:bookmarkStart w:id="12" w:name="第三部分"/>
    </w:p>
    <w:p>
      <w:pPr>
        <w:pStyle w:val="90"/>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pStyle w:val="90"/>
        <w:ind w:firstLine="480"/>
      </w:pPr>
      <w:r>
        <w:rPr>
          <w:rFonts w:hint="eastAsia"/>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pStyle w:val="90"/>
        <w:ind w:firstLine="480" w:firstLineChars="200"/>
        <w:rPr>
          <w:rFonts w:ascii="仿宋" w:hAnsi="仿宋" w:cs="宋体"/>
        </w:rPr>
      </w:pPr>
      <w:r>
        <w:rPr>
          <w:rFonts w:hint="eastAsia"/>
        </w:rPr>
        <w:t>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“采购机构”系指招标公告中载明的本项目的采购机构。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sdt>
            <w:sdtPr>
              <w:rPr>
                <w:rFonts w:hint="eastAsia" w:ascii="仿宋" w:hAnsi="仿宋" w:eastAsia="仿宋" w:cs="Arial"/>
                <w:b/>
                <w:kern w:val="0"/>
                <w:sz w:val="24"/>
              </w:rPr>
              <w:id w:val="459792370"/>
            </w:sdtPr>
            <w:sdtEndPr>
              <w:rPr>
                <w:rFonts w:hint="eastAsia" w:ascii="仿宋" w:hAnsi="仿宋" w:eastAsia="仿宋" w:cs="Arial"/>
                <w:b/>
                <w:kern w:val="0"/>
                <w:sz w:val="24"/>
              </w:rPr>
            </w:sdtEndPr>
            <w:sdtContent>
              <w:r>
                <w:rPr>
                  <w:rFonts w:hint="eastAsia" w:ascii="仿宋" w:hAnsi="仿宋" w:eastAsia="仿宋" w:cs="Arial"/>
                  <w:b/>
                  <w:kern w:val="0"/>
                  <w:sz w:val="24"/>
                </w:rPr>
                <w:sym w:font="Wingdings" w:char="F0FE"/>
              </w:r>
            </w:sdtContent>
          </w:sdt>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136"/>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36"/>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6.1已获取招标文件的潜在投标人，若有问题需要澄清，应于投标截止时间前，以书面形式向采购机构提出。</w:t>
      </w:r>
    </w:p>
    <w:p>
      <w:pPr>
        <w:pStyle w:val="136"/>
        <w:snapToGrid w:val="0"/>
        <w:spacing w:before="0"/>
        <w:ind w:firstLine="480"/>
        <w:rPr>
          <w:rFonts w:ascii="仿宋" w:hAnsi="仿宋" w:eastAsia="仿宋" w:cs="宋体"/>
        </w:rPr>
      </w:pPr>
      <w:r>
        <w:rPr>
          <w:rFonts w:hint="eastAsia" w:ascii="仿宋" w:hAnsi="仿宋" w:eastAsia="仿宋"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7"/>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w:t>
      </w:r>
      <w:r>
        <w:rPr>
          <w:rFonts w:hint="eastAsia" w:ascii="仿宋" w:hAnsi="仿宋" w:eastAsia="仿宋" w:cs="宋体"/>
          <w:b/>
          <w:bCs/>
          <w:snapToGrid w:val="0"/>
          <w:kern w:val="28"/>
          <w:sz w:val="24"/>
          <w:szCs w:val="20"/>
        </w:rPr>
        <w:t>（如果有)</w:t>
      </w:r>
      <w:r>
        <w:rPr>
          <w:rFonts w:hint="eastAsia" w:ascii="仿宋" w:hAnsi="仿宋" w:eastAsia="仿宋" w:cs="宋体"/>
          <w:snapToGrid w:val="0"/>
          <w:kern w:val="28"/>
          <w:sz w:val="24"/>
          <w:szCs w:val="20"/>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b/>
          <w:bCs/>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b/>
          <w:bCs/>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b/>
          <w:bCs/>
          <w:snapToGrid w:val="0"/>
          <w:kern w:val="28"/>
          <w:sz w:val="24"/>
          <w:szCs w:val="20"/>
        </w:rPr>
      </w:pPr>
      <w:r>
        <w:rPr>
          <w:rFonts w:hint="eastAsia" w:ascii="仿宋" w:hAnsi="仿宋" w:eastAsia="仿宋" w:cs="宋体"/>
          <w:snapToGrid w:val="0"/>
          <w:kern w:val="28"/>
          <w:sz w:val="24"/>
          <w:szCs w:val="20"/>
        </w:rPr>
        <w:t>11.3.2中小企业声明函</w:t>
      </w:r>
      <w:r>
        <w:rPr>
          <w:rFonts w:hint="eastAsia" w:ascii="仿宋" w:hAnsi="仿宋" w:eastAsia="仿宋" w:cs="宋体"/>
          <w:b/>
          <w:bCs/>
          <w:snapToGrid w:val="0"/>
          <w:kern w:val="28"/>
          <w:sz w:val="24"/>
          <w:szCs w:val="20"/>
        </w:rPr>
        <w:t>（如果有)。</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36"/>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36"/>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36"/>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36"/>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仿宋" w:hAnsi="仿宋" w:eastAsia="仿宋" w:cs="宋体"/>
          <w:szCs w:val="24"/>
        </w:rPr>
      </w:pPr>
      <w:r>
        <w:rPr>
          <w:rFonts w:hint="eastAsia" w:ascii="仿宋" w:hAnsi="仿宋" w:eastAsia="仿宋"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36"/>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36"/>
        <w:spacing w:before="0"/>
        <w:ind w:firstLine="480"/>
        <w:rPr>
          <w:rFonts w:ascii="仿宋" w:hAnsi="仿宋" w:eastAsia="仿宋" w:cs="宋体"/>
        </w:rPr>
      </w:pPr>
      <w:r>
        <w:rPr>
          <w:rFonts w:hint="eastAsia" w:ascii="仿宋" w:hAnsi="仿宋" w:eastAsia="仿宋"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6"/>
        <w:spacing w:before="0"/>
        <w:ind w:firstLine="643"/>
        <w:rPr>
          <w:rFonts w:ascii="仿宋" w:hAnsi="仿宋" w:eastAsia="仿宋" w:cs="宋体"/>
          <w:b/>
          <w:sz w:val="32"/>
        </w:rPr>
      </w:pPr>
    </w:p>
    <w:p>
      <w:pPr>
        <w:pStyle w:val="136"/>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62"/>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562"/>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18.2开标时，电子交易平台按开标时间自动提取所有投标文件。采购机构依托电子交易平台发起开始解密指令，投标人按照平台提示和招标文件的规定在半小时内完成在线解密。</w:t>
      </w:r>
    </w:p>
    <w:p>
      <w:pPr>
        <w:pStyle w:val="562"/>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19.1开标后，采购人或采购机构将依法对投标人的资格进行审查。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采购人或采购机构依据法律法规和招标文件的规定，对投标人的资格进行审查。</w:t>
      </w:r>
    </w:p>
    <w:p>
      <w:pPr>
        <w:pStyle w:val="136"/>
        <w:spacing w:before="0"/>
        <w:ind w:firstLine="480"/>
        <w:rPr>
          <w:rFonts w:ascii="仿宋" w:hAnsi="仿宋" w:eastAsia="仿宋" w:cs="宋体"/>
        </w:rPr>
      </w:pPr>
      <w:r>
        <w:rPr>
          <w:rFonts w:hint="eastAsia" w:ascii="仿宋" w:hAnsi="仿宋" w:eastAsia="仿宋" w:cs="宋体"/>
          <w:kern w:val="0"/>
          <w:szCs w:val="24"/>
        </w:rPr>
        <w:t>19.3投标人未按照招标文件要求提供与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3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4对未通过资格审查的投标人，采购人或采购机构告知其未通过的原因。</w:t>
      </w:r>
    </w:p>
    <w:p>
      <w:pPr>
        <w:pStyle w:val="13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5合格投标人不足3家的，不再评标。</w:t>
      </w:r>
    </w:p>
    <w:p>
      <w:pPr>
        <w:pStyle w:val="136"/>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36"/>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36"/>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136"/>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36"/>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sz w:val="24"/>
        </w:rPr>
        <w:t>资格审查情况、评审专家抽取规则、符合性审查情况、</w:t>
      </w:r>
      <w:bookmarkEnd w:id="14"/>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36"/>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90"/>
      </w:pPr>
      <w:r>
        <w:rPr>
          <w:rFonts w:hint="eastAsia"/>
          <w:snapToGrid w:val="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32"/>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136"/>
        <w:snapToGrid w:val="0"/>
        <w:spacing w:before="0"/>
        <w:ind w:firstLine="0" w:firstLineChars="0"/>
        <w:rPr>
          <w:rFonts w:ascii="仿宋" w:hAnsi="仿宋" w:eastAsia="仿宋" w:cs="宋体"/>
        </w:rPr>
      </w:pPr>
      <w:r>
        <w:rPr>
          <w:rFonts w:hint="eastAsia" w:ascii="仿宋" w:hAnsi="仿宋" w:eastAsia="仿宋" w:cs="宋体"/>
        </w:rPr>
        <w:t>2</w:t>
      </w:r>
      <w:r>
        <w:rPr>
          <w:rFonts w:hint="eastAsia" w:ascii="仿宋" w:hAnsi="仿宋" w:eastAsia="仿宋" w:cs="宋体"/>
          <w:b/>
          <w:szCs w:val="24"/>
        </w:rPr>
        <w:t>7. 电子交易活动的中止。</w:t>
      </w:r>
      <w:r>
        <w:rPr>
          <w:rFonts w:hint="eastAsia" w:ascii="仿宋" w:hAnsi="仿宋" w:eastAsia="仿宋" w:cs="宋体"/>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ascii="仿宋" w:hAnsi="仿宋" w:eastAsia="仿宋" w:cs="宋体"/>
        </w:rPr>
      </w:pPr>
      <w:r>
        <w:rPr>
          <w:rFonts w:hint="eastAsia" w:ascii="仿宋" w:hAnsi="仿宋" w:eastAsia="仿宋" w:cs="宋体"/>
        </w:rPr>
        <w:t xml:space="preserve">27.1电子交易平台发生故障而无法登录访问的； </w:t>
      </w:r>
    </w:p>
    <w:p>
      <w:pPr>
        <w:pStyle w:val="136"/>
        <w:snapToGrid w:val="0"/>
        <w:spacing w:before="0"/>
        <w:ind w:firstLine="480"/>
        <w:rPr>
          <w:rFonts w:ascii="仿宋" w:hAnsi="仿宋" w:eastAsia="仿宋" w:cs="宋体"/>
        </w:rPr>
      </w:pPr>
      <w:r>
        <w:rPr>
          <w:rFonts w:hint="eastAsia" w:ascii="仿宋" w:hAnsi="仿宋" w:eastAsia="仿宋" w:cs="宋体"/>
        </w:rPr>
        <w:t>27.2电子交易平台应用或数据库出现错误，不能进行正常操作的；</w:t>
      </w:r>
    </w:p>
    <w:p>
      <w:pPr>
        <w:pStyle w:val="136"/>
        <w:snapToGrid w:val="0"/>
        <w:spacing w:before="0"/>
        <w:ind w:firstLine="480"/>
        <w:rPr>
          <w:rFonts w:ascii="仿宋" w:hAnsi="仿宋" w:eastAsia="仿宋" w:cs="宋体"/>
        </w:rPr>
      </w:pPr>
      <w:r>
        <w:rPr>
          <w:rFonts w:hint="eastAsia" w:ascii="仿宋" w:hAnsi="仿宋" w:eastAsia="仿宋" w:cs="宋体"/>
        </w:rPr>
        <w:t>27.3电子交易平台发现严重安全漏洞，有潜在泄密危险的；</w:t>
      </w:r>
    </w:p>
    <w:p>
      <w:pPr>
        <w:pStyle w:val="136"/>
        <w:snapToGrid w:val="0"/>
        <w:spacing w:before="0"/>
        <w:ind w:firstLine="480"/>
        <w:rPr>
          <w:rFonts w:ascii="仿宋" w:hAnsi="仿宋" w:eastAsia="仿宋" w:cs="宋体"/>
        </w:rPr>
      </w:pPr>
      <w:r>
        <w:rPr>
          <w:rFonts w:hint="eastAsia" w:ascii="仿宋" w:hAnsi="仿宋" w:eastAsia="仿宋" w:cs="宋体"/>
        </w:rPr>
        <w:t xml:space="preserve">27.4病毒发作导致不能进行正常操作的； </w:t>
      </w:r>
    </w:p>
    <w:p>
      <w:pPr>
        <w:pStyle w:val="136"/>
        <w:snapToGrid w:val="0"/>
        <w:spacing w:before="0"/>
        <w:ind w:firstLine="480"/>
        <w:rPr>
          <w:rFonts w:ascii="仿宋" w:hAnsi="仿宋" w:eastAsia="仿宋" w:cs="宋体"/>
        </w:rPr>
      </w:pPr>
      <w:r>
        <w:rPr>
          <w:rFonts w:hint="eastAsia" w:ascii="仿宋" w:hAnsi="仿宋" w:eastAsia="仿宋" w:cs="宋体"/>
        </w:rPr>
        <w:t>27.5其他无法保证电子交易的公平、公正和安全的情况。</w:t>
      </w:r>
    </w:p>
    <w:p>
      <w:pPr>
        <w:pStyle w:val="136"/>
        <w:snapToGrid w:val="0"/>
        <w:spacing w:before="0"/>
        <w:ind w:firstLine="0" w:firstLineChars="0"/>
        <w:rPr>
          <w:rFonts w:ascii="仿宋" w:hAnsi="仿宋" w:eastAsia="仿宋" w:cs="宋体"/>
        </w:rPr>
      </w:pPr>
      <w:r>
        <w:rPr>
          <w:rFonts w:hint="eastAsia" w:ascii="仿宋" w:hAnsi="仿宋" w:eastAsia="仿宋"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
        <w:spacing w:line="360" w:lineRule="auto"/>
        <w:ind w:firstLine="0" w:firstLineChars="0"/>
        <w:rPr>
          <w:rFonts w:ascii="仿宋" w:hAnsi="仿宋" w:eastAsia="仿宋" w:cs="宋体"/>
          <w:b/>
        </w:rPr>
      </w:pPr>
      <w:r>
        <w:rPr>
          <w:rFonts w:hint="eastAsia" w:ascii="仿宋" w:hAnsi="仿宋" w:eastAsia="仿宋" w:cs="宋体"/>
          <w:b/>
        </w:rPr>
        <w:t>29.验收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68403820"/>
      <w:bookmarkEnd w:id="17"/>
      <w:bookmarkStart w:id="18" w:name="_Hlt75236101"/>
      <w:bookmarkEnd w:id="18"/>
      <w:bookmarkStart w:id="19" w:name="_Hlt74730295"/>
      <w:bookmarkEnd w:id="19"/>
      <w:bookmarkStart w:id="20" w:name="_Hlt68072990"/>
      <w:bookmarkEnd w:id="20"/>
      <w:bookmarkStart w:id="21" w:name="_Hlt74729768"/>
      <w:bookmarkEnd w:id="21"/>
      <w:bookmarkStart w:id="22" w:name="_Hlt68057669"/>
      <w:bookmarkEnd w:id="22"/>
      <w:bookmarkStart w:id="23" w:name="_Hlt68073093"/>
      <w:bookmarkEnd w:id="23"/>
      <w:bookmarkStart w:id="24" w:name="_Hlt74707468"/>
      <w:bookmarkEnd w:id="24"/>
      <w:bookmarkStart w:id="25" w:name="_Hlt68072998"/>
      <w:bookmarkEnd w:id="25"/>
      <w:bookmarkStart w:id="26" w:name="_Hlt75236290"/>
      <w:bookmarkEnd w:id="26"/>
    </w:p>
    <w:bookmarkEnd w:id="11"/>
    <w:bookmarkEnd w:id="12"/>
    <w:p>
      <w:pPr>
        <w:pStyle w:val="678"/>
        <w:spacing w:before="24" w:after="24"/>
        <w:rPr>
          <w:rFonts w:ascii="仿宋" w:hAnsi="仿宋" w:eastAsia="仿宋"/>
        </w:rPr>
      </w:pPr>
      <w:bookmarkStart w:id="27" w:name="第四部分"/>
      <w:r>
        <w:rPr>
          <w:rFonts w:hint="eastAsia" w:ascii="仿宋" w:hAnsi="仿宋" w:eastAsia="仿宋"/>
        </w:rPr>
        <w:t>第三部分 采购需求</w:t>
      </w:r>
    </w:p>
    <w:p>
      <w:pPr>
        <w:spacing w:line="600" w:lineRule="exact"/>
        <w:jc w:val="left"/>
        <w:rPr>
          <w:rFonts w:ascii="仿宋_GB2312" w:hAnsi="仿宋" w:eastAsia="仿宋_GB2312" w:cs="仿宋_GB2312"/>
          <w:b/>
          <w:bCs/>
          <w:sz w:val="24"/>
          <w:szCs w:val="20"/>
        </w:rPr>
      </w:pPr>
      <w:r>
        <w:rPr>
          <w:rFonts w:hint="eastAsia" w:ascii="仿宋_GB2312" w:hAnsi="仿宋" w:eastAsia="仿宋_GB2312" w:cs="仿宋_GB2312"/>
          <w:b/>
          <w:bCs/>
          <w:sz w:val="24"/>
          <w:szCs w:val="20"/>
        </w:rPr>
        <w:t>一、采购内容：</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sz w:val="24"/>
          <w:szCs w:val="20"/>
        </w:rPr>
        <w:t>本项目为“交钥匙”项目，良渚街道地铁站周边综合环境整治服务采购项目，人数</w:t>
      </w:r>
      <w:r>
        <w:rPr>
          <w:rFonts w:hint="eastAsia" w:ascii="仿宋_GB2312" w:hAnsi="仿宋" w:eastAsia="仿宋_GB2312" w:cs="仿宋_GB2312"/>
          <w:color w:val="auto"/>
          <w:sz w:val="24"/>
          <w:szCs w:val="20"/>
          <w:highlight w:val="none"/>
        </w:rPr>
        <w:t>118人，包括提供符合采购人要求的合格的城管辅助服务工作。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管理费中需包括意外伤害保险费。</w:t>
      </w:r>
    </w:p>
    <w:p>
      <w:pPr>
        <w:spacing w:line="600" w:lineRule="exact"/>
        <w:jc w:val="left"/>
        <w:rPr>
          <w:rFonts w:ascii="仿宋_GB2312" w:hAnsi="仿宋" w:eastAsia="仿宋_GB2312" w:cs="仿宋_GB2312"/>
          <w:b/>
          <w:bCs/>
          <w:color w:val="auto"/>
          <w:sz w:val="24"/>
          <w:szCs w:val="20"/>
          <w:highlight w:val="none"/>
        </w:rPr>
      </w:pPr>
      <w:r>
        <w:rPr>
          <w:rFonts w:hint="eastAsia" w:ascii="仿宋_GB2312" w:hAnsi="仿宋" w:eastAsia="仿宋_GB2312" w:cs="仿宋_GB2312"/>
          <w:b/>
          <w:bCs/>
          <w:color w:val="auto"/>
          <w:sz w:val="24"/>
          <w:szCs w:val="20"/>
          <w:highlight w:val="none"/>
        </w:rPr>
        <w:t>二、具体服务内容、要求等：</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600" w:lineRule="exact"/>
              <w:jc w:val="center"/>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项 目</w:t>
            </w:r>
          </w:p>
        </w:tc>
        <w:tc>
          <w:tcPr>
            <w:tcW w:w="7823" w:type="dxa"/>
            <w:vAlign w:val="center"/>
          </w:tcPr>
          <w:p>
            <w:pPr>
              <w:spacing w:line="600" w:lineRule="exact"/>
              <w:jc w:val="center"/>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保安队员素质要求</w:t>
            </w:r>
          </w:p>
        </w:tc>
        <w:tc>
          <w:tcPr>
            <w:tcW w:w="7823" w:type="dxa"/>
            <w:vAlign w:val="center"/>
          </w:tcPr>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1、服务人员组成要求人员具有初中及以上学历，具备保安员上岗资格证；</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2、服务人员要求40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3、要求服务人员能辅助处理和应对采购人公共秩序维护工作，能正确使用各类消防器械和设备，能够熟悉、掌握各类城市管理案件和各类灾害事故的应急预案；</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4、文明执勤，训练有素，言语规范，认真负责；配备必备的安全护卫器械、通讯器材等设备由招标单位负责。</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6、人员按街道时间要求上下班，服从街道工作安排，包括值班、会议、加班等。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vAlign w:val="center"/>
          </w:tcPr>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项目总负责人要求</w:t>
            </w:r>
          </w:p>
        </w:tc>
        <w:tc>
          <w:tcPr>
            <w:tcW w:w="7823" w:type="dxa"/>
            <w:vAlign w:val="center"/>
          </w:tcPr>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具有专科学历和管理经验、具有保安管理经验（保安员职业资格等级证书）。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服务要求：</w:t>
            </w:r>
          </w:p>
        </w:tc>
        <w:tc>
          <w:tcPr>
            <w:tcW w:w="7823" w:type="dxa"/>
            <w:vAlign w:val="center"/>
          </w:tcPr>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1、地铁口各类流动摊点管理：出店经营；占道设摊；沿街吊挂、晾晒；擅自占用、挖掘城市道路；</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2、地铁口洁化绿化类管理：沿街商铺乱倒垃圾、污水，倾倒、堆放建筑（装修）垃圾；沿街商铺、小区物业在城市道路上放置垃圾桶（箱）；          3、地铁口停车管理：人行道违法停车（含小区外部消防通道）；在城市绿地内停放机动车；不按规定地点停放非机动车；</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4、各类流动摊点管理：出店经营；占道设摊；沿街吊挂、晾晒；擅自占用、挖掘城市道路；</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5、地铁口户外广告管理：牛皮癣；在公共场所派发印刷品广告；擅自设置临时性广告（笃牌、墙面张贴、横幅、直幅、气球、气拱门等）；走字屏、电子显示屏管理；</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6、地铁口街面犬类管理；</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7、地铁口.工地施工和渣土管理：建筑（装修）垃圾偷倒管理；</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8、接受采购人所交办的其他工作任务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装备要求</w:t>
            </w:r>
          </w:p>
        </w:tc>
        <w:tc>
          <w:tcPr>
            <w:tcW w:w="7823" w:type="dxa"/>
            <w:vAlign w:val="center"/>
          </w:tcPr>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中标人完成本项目服务所需的工具、两轮电动车32辆、四轮电动车16辆、40台对讲机、40台4G记录仪、服装、等含（巡防制服）装备及使用费用，均由中标人负责，且须符合相关技术规程、规范要求。</w:t>
            </w:r>
          </w:p>
        </w:tc>
      </w:tr>
    </w:tbl>
    <w:p>
      <w:pPr>
        <w:spacing w:line="600" w:lineRule="exact"/>
        <w:jc w:val="left"/>
        <w:rPr>
          <w:rFonts w:ascii="仿宋_GB2312" w:hAnsi="仿宋" w:eastAsia="仿宋_GB2312" w:cs="仿宋_GB2312"/>
          <w:color w:val="auto"/>
          <w:sz w:val="24"/>
          <w:szCs w:val="20"/>
          <w:highlight w:val="none"/>
        </w:rPr>
      </w:pP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pStyle w:val="2"/>
        <w:ind w:firstLine="0" w:firstLineChars="0"/>
        <w:rPr>
          <w:rFonts w:cs="宋体"/>
          <w:b/>
          <w:color w:val="auto"/>
          <w:highlight w:val="none"/>
        </w:rPr>
      </w:pPr>
      <w:r>
        <w:rPr>
          <w:rFonts w:hint="eastAsia" w:cs="宋体"/>
          <w:b/>
          <w:color w:val="auto"/>
          <w:highlight w:val="none"/>
        </w:rPr>
        <w:t>三、</w:t>
      </w:r>
      <w:r>
        <w:rPr>
          <w:rFonts w:cs="宋体"/>
          <w:b/>
          <w:color w:val="auto"/>
          <w:highlight w:val="none"/>
        </w:rPr>
        <w:t>服务</w:t>
      </w:r>
      <w:r>
        <w:rPr>
          <w:rFonts w:hint="eastAsia"/>
          <w:b/>
          <w:bCs/>
          <w:color w:val="auto"/>
          <w:highlight w:val="none"/>
        </w:rPr>
        <w:t>站点及岗位数</w:t>
      </w:r>
      <w:r>
        <w:rPr>
          <w:rFonts w:cs="宋体"/>
          <w:b/>
          <w:color w:val="auto"/>
          <w:highlight w:val="none"/>
        </w:rPr>
        <w:t>：</w:t>
      </w:r>
    </w:p>
    <w:tbl>
      <w:tblPr>
        <w:tblStyle w:val="6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976"/>
        <w:gridCol w:w="1592"/>
        <w:gridCol w:w="1640"/>
        <w:gridCol w:w="178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30"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序号</w:t>
            </w:r>
          </w:p>
        </w:tc>
        <w:tc>
          <w:tcPr>
            <w:tcW w:w="1976"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站点名称</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站口</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岗位数</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时长</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1</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szCs w:val="21"/>
                <w:highlight w:val="none"/>
              </w:rPr>
            </w:pPr>
            <w:r>
              <w:rPr>
                <w:rFonts w:hint="eastAsia" w:ascii="仿宋" w:hAnsi="仿宋" w:eastAsia="仿宋" w:cs="仿宋"/>
                <w:color w:val="auto"/>
                <w:sz w:val="32"/>
                <w:szCs w:val="32"/>
                <w:highlight w:val="none"/>
              </w:rPr>
              <w:t>杜甫站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ascii="宋体" w:hAnsi="宋体" w:cs="宋体"/>
                <w:color w:val="auto"/>
                <w:szCs w:val="21"/>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78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每个站台早晚两班，工作时间为早上5:00-晚上11:00</w:t>
            </w: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ascii="宋体" w:hAnsi="宋体" w:cs="宋体"/>
                <w:color w:val="auto"/>
                <w:szCs w:val="21"/>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2</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szCs w:val="21"/>
                <w:highlight w:val="none"/>
              </w:rPr>
            </w:pPr>
            <w:r>
              <w:rPr>
                <w:rFonts w:hint="eastAsia" w:ascii="仿宋" w:hAnsi="仿宋" w:eastAsia="仿宋" w:cs="仿宋"/>
                <w:color w:val="auto"/>
                <w:sz w:val="32"/>
                <w:szCs w:val="32"/>
                <w:highlight w:val="none"/>
              </w:rPr>
              <w:t>良渚站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ascii="宋体" w:hAnsi="宋体" w:cs="宋体"/>
                <w:color w:val="auto"/>
                <w:szCs w:val="21"/>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cs="宋体"/>
                <w:color w:val="auto"/>
                <w:szCs w:val="21"/>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ascii="宋体" w:hAnsi="宋体" w:cs="宋体"/>
                <w:color w:val="auto"/>
                <w:szCs w:val="21"/>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cs="宋体"/>
                <w:color w:val="auto"/>
                <w:szCs w:val="21"/>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szCs w:val="21"/>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szCs w:val="21"/>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szCs w:val="21"/>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3</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金家渡</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szCs w:val="21"/>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szCs w:val="21"/>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E</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E</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restart"/>
            <w:tcBorders>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4</w:t>
            </w:r>
          </w:p>
        </w:tc>
        <w:tc>
          <w:tcPr>
            <w:tcW w:w="1976" w:type="dxa"/>
            <w:vMerge w:val="restart"/>
            <w:tcBorders>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白洋站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ascii="宋体" w:hAnsi="宋体" w:cs="宋体"/>
                <w:color w:val="auto"/>
                <w:szCs w:val="21"/>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ascii="宋体" w:hAnsi="宋体" w:cs="宋体"/>
                <w:color w:val="auto"/>
                <w:szCs w:val="21"/>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5</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储运路站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E</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F</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6</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杭行路站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E</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F</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J</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7</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勾阳路站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E</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8</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祥园路站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9</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金德路站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D</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宋体" w:cs="宋体"/>
                <w:color w:val="auto"/>
                <w:highlight w:val="none"/>
              </w:rPr>
              <w:t>10</w:t>
            </w:r>
          </w:p>
        </w:tc>
        <w:tc>
          <w:tcPr>
            <w:tcW w:w="1976"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r>
              <w:rPr>
                <w:rFonts w:hint="eastAsia" w:ascii="仿宋" w:hAnsi="仿宋" w:eastAsia="仿宋" w:cs="仿宋"/>
                <w:color w:val="auto"/>
                <w:sz w:val="32"/>
                <w:szCs w:val="32"/>
                <w:highlight w:val="none"/>
              </w:rPr>
              <w:t>逸盛路站</w:t>
            </w: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A</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restart"/>
            <w:tcBorders>
              <w:top w:val="single" w:color="auto" w:sz="4" w:space="0"/>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B</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C</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right w:val="single" w:color="auto" w:sz="4" w:space="0"/>
            </w:tcBorders>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0"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976"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机动</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781" w:type="dxa"/>
            <w:vMerge w:val="continue"/>
            <w:tcBorders>
              <w:left w:val="single" w:color="auto" w:sz="4" w:space="0"/>
              <w:right w:val="single" w:color="auto" w:sz="4" w:space="0"/>
            </w:tcBorders>
          </w:tcPr>
          <w:p>
            <w:pPr>
              <w:jc w:val="center"/>
              <w:rPr>
                <w:rFonts w:ascii="宋体" w:hAnsi="宋体" w:cs="宋体"/>
                <w:color w:val="auto"/>
                <w:highlight w:val="none"/>
              </w:rPr>
            </w:pPr>
          </w:p>
        </w:tc>
        <w:tc>
          <w:tcPr>
            <w:tcW w:w="1379" w:type="dxa"/>
            <w:vMerge w:val="continue"/>
            <w:tcBorders>
              <w:left w:val="single" w:color="auto" w:sz="4" w:space="0"/>
              <w:bottom w:val="single" w:color="auto" w:sz="4" w:space="0"/>
              <w:right w:val="single" w:color="auto" w:sz="4" w:space="0"/>
            </w:tcBorders>
            <w:vAlign w:val="center"/>
          </w:tcPr>
          <w:p>
            <w:pPr>
              <w:jc w:val="center"/>
              <w:rPr>
                <w:rFonts w:ascii="宋体" w:cs="宋体"/>
                <w:color w:val="auto"/>
                <w:highlight w:val="none"/>
              </w:rPr>
            </w:pPr>
          </w:p>
        </w:tc>
      </w:tr>
    </w:tbl>
    <w:p>
      <w:pPr>
        <w:adjustRightInd/>
        <w:spacing w:line="600" w:lineRule="exact"/>
        <w:rPr>
          <w:color w:val="auto"/>
          <w:highlight w:val="none"/>
        </w:rPr>
      </w:pPr>
      <w:r>
        <w:rPr>
          <w:rFonts w:hint="eastAsia" w:ascii="宋体" w:hAnsi="宋体" w:cs="宋体"/>
          <w:b/>
          <w:color w:val="auto"/>
          <w:sz w:val="24"/>
          <w:highlight w:val="none"/>
        </w:rPr>
        <w:t>注：投标人按站点报价，59岗*2=118人，中标价不作调整。</w:t>
      </w:r>
    </w:p>
    <w:p>
      <w:pPr>
        <w:spacing w:line="600" w:lineRule="exact"/>
        <w:jc w:val="left"/>
        <w:rPr>
          <w:rFonts w:ascii="仿宋_GB2312" w:hAnsi="仿宋" w:eastAsia="仿宋_GB2312" w:cs="仿宋_GB2312"/>
          <w:b/>
          <w:bCs/>
          <w:color w:val="auto"/>
          <w:sz w:val="24"/>
          <w:szCs w:val="20"/>
          <w:highlight w:val="none"/>
        </w:rPr>
      </w:pPr>
      <w:r>
        <w:rPr>
          <w:rFonts w:hint="eastAsia" w:ascii="仿宋_GB2312" w:hAnsi="仿宋" w:eastAsia="仿宋_GB2312" w:cs="仿宋_GB2312"/>
          <w:b/>
          <w:bCs/>
          <w:color w:val="auto"/>
          <w:sz w:val="24"/>
          <w:szCs w:val="20"/>
          <w:highlight w:val="none"/>
        </w:rPr>
        <w:t>●四、服务期限：</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合同签订之日起一年；</w:t>
      </w:r>
    </w:p>
    <w:p>
      <w:pPr>
        <w:spacing w:line="600" w:lineRule="exact"/>
        <w:jc w:val="left"/>
        <w:rPr>
          <w:rFonts w:ascii="仿宋_GB2312" w:hAnsi="仿宋" w:eastAsia="仿宋_GB2312" w:cs="仿宋_GB2312"/>
          <w:b/>
          <w:bCs/>
          <w:color w:val="auto"/>
          <w:sz w:val="24"/>
          <w:szCs w:val="20"/>
          <w:highlight w:val="none"/>
        </w:rPr>
      </w:pPr>
      <w:r>
        <w:rPr>
          <w:rFonts w:hint="eastAsia" w:ascii="仿宋_GB2312" w:hAnsi="仿宋" w:eastAsia="仿宋_GB2312" w:cs="仿宋_GB2312"/>
          <w:b/>
          <w:bCs/>
          <w:color w:val="auto"/>
          <w:sz w:val="24"/>
          <w:szCs w:val="20"/>
          <w:highlight w:val="none"/>
        </w:rPr>
        <w:t>五、考核要求及制度：</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1、考核要求：服务人员持证上岗，政治素质好、工作积极、热爱保安工作。服务人员的年龄不得超过35周岁（退伍军人可放宽至40岁），原则上为男性队员。</w:t>
      </w:r>
    </w:p>
    <w:p>
      <w:pPr>
        <w:spacing w:line="600" w:lineRule="exact"/>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2、考核办法</w:t>
      </w:r>
    </w:p>
    <w:p>
      <w:pPr>
        <w:widowControl/>
        <w:ind w:firstLine="3520" w:firstLineChars="1100"/>
        <w:rPr>
          <w:rFonts w:ascii="宋体" w:hAnsi="宋体" w:cs="宋体"/>
          <w:bCs/>
          <w:color w:val="auto"/>
          <w:sz w:val="32"/>
          <w:szCs w:val="32"/>
          <w:highlight w:val="none"/>
        </w:rPr>
      </w:pPr>
    </w:p>
    <w:p>
      <w:pPr>
        <w:widowControl/>
        <w:ind w:firstLine="3520" w:firstLineChars="1100"/>
        <w:rPr>
          <w:rFonts w:ascii="宋体" w:hAnsi="宋体" w:cs="宋体"/>
          <w:bCs/>
          <w:color w:val="auto"/>
          <w:sz w:val="24"/>
          <w:highlight w:val="none"/>
        </w:rPr>
      </w:pPr>
      <w:r>
        <w:rPr>
          <w:rFonts w:hint="eastAsia" w:ascii="宋体" w:hAnsi="宋体" w:cs="宋体"/>
          <w:bCs/>
          <w:color w:val="auto"/>
          <w:sz w:val="32"/>
          <w:szCs w:val="32"/>
          <w:highlight w:val="none"/>
        </w:rPr>
        <w:t xml:space="preserve">服务人员考核办法  </w:t>
      </w:r>
      <w:r>
        <w:rPr>
          <w:rFonts w:hint="eastAsia" w:ascii="宋体" w:hAnsi="宋体" w:cs="宋体"/>
          <w:bCs/>
          <w:color w:val="auto"/>
          <w:sz w:val="24"/>
          <w:highlight w:val="none"/>
        </w:rPr>
        <w:t xml:space="preserve">     年     月</w:t>
      </w:r>
    </w:p>
    <w:tbl>
      <w:tblPr>
        <w:tblStyle w:val="62"/>
        <w:tblW w:w="8859" w:type="dxa"/>
        <w:tblInd w:w="93" w:type="dxa"/>
        <w:tblLayout w:type="fixed"/>
        <w:tblCellMar>
          <w:top w:w="0" w:type="dxa"/>
          <w:left w:w="108" w:type="dxa"/>
          <w:bottom w:w="0" w:type="dxa"/>
          <w:right w:w="108" w:type="dxa"/>
        </w:tblCellMar>
      </w:tblPr>
      <w:tblGrid>
        <w:gridCol w:w="793"/>
        <w:gridCol w:w="6542"/>
        <w:gridCol w:w="1524"/>
      </w:tblGrid>
      <w:tr>
        <w:tblPrEx>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类别</w:t>
            </w: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考核内容</w:t>
            </w:r>
          </w:p>
        </w:tc>
        <w:tc>
          <w:tcPr>
            <w:tcW w:w="1524" w:type="dxa"/>
            <w:tcBorders>
              <w:top w:val="single" w:color="000000" w:sz="4" w:space="0"/>
              <w:left w:val="single" w:color="000000" w:sz="4" w:space="0"/>
              <w:bottom w:val="single" w:color="000000" w:sz="4" w:space="0"/>
              <w:right w:val="single" w:color="000000" w:sz="4" w:space="0"/>
            </w:tcBorders>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考核扣分值</w:t>
            </w:r>
          </w:p>
        </w:tc>
      </w:tr>
      <w:tr>
        <w:tblPrEx>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考勤</w:t>
            </w: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内务</w:t>
            </w:r>
          </w:p>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管理</w:t>
            </w: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规章</w:t>
            </w:r>
          </w:p>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制度</w:t>
            </w: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纪律</w:t>
            </w: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其他</w:t>
            </w: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tcPr>
          <w:p>
            <w:pPr>
              <w:spacing w:line="600" w:lineRule="exact"/>
              <w:ind w:firstLine="480" w:firstLineChars="200"/>
              <w:jc w:val="left"/>
              <w:rPr>
                <w:rFonts w:ascii="仿宋_GB2312" w:hAnsi="仿宋" w:eastAsia="仿宋_GB2312" w:cs="Arial"/>
                <w:color w:val="auto"/>
                <w:kern w:val="0"/>
                <w:sz w:val="24"/>
                <w:highlight w:val="none"/>
              </w:rPr>
            </w:pPr>
          </w:p>
        </w:tc>
        <w:tc>
          <w:tcPr>
            <w:tcW w:w="6542"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总得分</w:t>
            </w:r>
          </w:p>
        </w:tc>
        <w:tc>
          <w:tcPr>
            <w:tcW w:w="6542"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sz w:val="24"/>
                <w:highlight w:val="none"/>
              </w:rPr>
            </w:pPr>
          </w:p>
        </w:tc>
      </w:tr>
    </w:tbl>
    <w:p>
      <w:pPr>
        <w:spacing w:line="600" w:lineRule="exact"/>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考核人：                                         审核人：</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 xml:space="preserve">注：每月进行考核，考核采用百分扣减方式，即每月考核分为100分，按考核项对应分值进行扣分（如本期考核项被扣除5分，即本期得分为95分），每月考核一次，并按以下原则评定考核等级并拨付款项： </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1、考核分高于90分（含）视为优秀，拨付当月全额服务费。</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2、考核分高于75分（含）但低于90分（不含）视为良好，扣除当月服务费15%。</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3、考核分高于60分（含）但低于75分（不含）视为合格，扣除当月服务费25%。</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4、考核分低于60分（不含）视为不合格，扣除当月服务费100%。</w:t>
      </w:r>
    </w:p>
    <w:p>
      <w:pPr>
        <w:spacing w:line="600" w:lineRule="exact"/>
        <w:jc w:val="left"/>
        <w:rPr>
          <w:rFonts w:ascii="仿宋_GB2312" w:hAnsi="仿宋" w:eastAsia="仿宋_GB2312" w:cs="仿宋_GB2312"/>
          <w:b/>
          <w:bCs/>
          <w:color w:val="auto"/>
          <w:sz w:val="24"/>
          <w:szCs w:val="20"/>
          <w:highlight w:val="none"/>
        </w:rPr>
      </w:pPr>
      <w:r>
        <w:rPr>
          <w:rFonts w:hint="eastAsia" w:ascii="仿宋_GB2312" w:hAnsi="仿宋" w:eastAsia="仿宋_GB2312" w:cs="仿宋_GB2312"/>
          <w:b/>
          <w:bCs/>
          <w:color w:val="auto"/>
          <w:sz w:val="24"/>
          <w:szCs w:val="20"/>
          <w:highlight w:val="none"/>
        </w:rPr>
        <w:t>●六、费用支付：</w:t>
      </w:r>
    </w:p>
    <w:p>
      <w:pPr>
        <w:spacing w:line="600" w:lineRule="exact"/>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合同签订后，支付年度合同金额的50%为预付款，合同期满一年后，服务费按照季度为周期进行结算，每季度根据月度考核支付合同金额12.5%（如有扣款，相应扣除）。等项目结束后经验收合格支付剩余款项（如有扣款，相应扣除）。考核验收方案由采购单位提供，如有扣款事项，相应扣除。</w:t>
      </w:r>
    </w:p>
    <w:p>
      <w:pPr>
        <w:spacing w:line="600" w:lineRule="exact"/>
        <w:jc w:val="left"/>
        <w:rPr>
          <w:rFonts w:ascii="仿宋_GB2312" w:hAnsi="仿宋" w:eastAsia="仿宋_GB2312" w:cs="仿宋_GB2312"/>
          <w:b/>
          <w:bCs/>
          <w:color w:val="auto"/>
          <w:sz w:val="24"/>
          <w:szCs w:val="20"/>
          <w:highlight w:val="none"/>
        </w:rPr>
      </w:pPr>
      <w:r>
        <w:rPr>
          <w:rFonts w:hint="eastAsia" w:ascii="仿宋_GB2312" w:hAnsi="仿宋" w:eastAsia="仿宋_GB2312" w:cs="仿宋_GB2312"/>
          <w:b/>
          <w:bCs/>
          <w:color w:val="auto"/>
          <w:sz w:val="24"/>
          <w:szCs w:val="20"/>
          <w:highlight w:val="none"/>
        </w:rPr>
        <w:t>●七、其他要求：</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2、乙方在公司运营中发生的劳资纠纷、工伤纠纷、人身意外伤亡等事件，由乙方自行承担，如因此造成甲方被第三方索赔，甲方有权向乙方进行追偿。</w:t>
      </w:r>
    </w:p>
    <w:p>
      <w:pPr>
        <w:pStyle w:val="90"/>
        <w:rPr>
          <w:color w:val="auto"/>
          <w:highlight w:val="none"/>
        </w:rPr>
      </w:pPr>
    </w:p>
    <w:p>
      <w:pPr>
        <w:pStyle w:val="90"/>
        <w:rPr>
          <w:color w:val="auto"/>
          <w:highlight w:val="none"/>
        </w:rPr>
      </w:pPr>
    </w:p>
    <w:p>
      <w:pPr>
        <w:pStyle w:val="90"/>
        <w:rPr>
          <w:color w:val="auto"/>
          <w:highlight w:val="none"/>
        </w:rPr>
      </w:pPr>
    </w:p>
    <w:p>
      <w:pPr>
        <w:pStyle w:val="90"/>
        <w:rPr>
          <w:color w:val="auto"/>
          <w:highlight w:val="none"/>
        </w:rPr>
      </w:pPr>
    </w:p>
    <w:p>
      <w:pPr>
        <w:pStyle w:val="90"/>
        <w:rPr>
          <w:color w:val="auto"/>
          <w:highlight w:val="none"/>
        </w:rPr>
      </w:pPr>
    </w:p>
    <w:p>
      <w:pPr>
        <w:pStyle w:val="90"/>
        <w:rPr>
          <w:color w:val="auto"/>
          <w:highlight w:val="none"/>
        </w:rPr>
      </w:pPr>
    </w:p>
    <w:p>
      <w:pPr>
        <w:pStyle w:val="90"/>
        <w:rPr>
          <w:color w:val="auto"/>
          <w:highlight w:val="none"/>
        </w:rPr>
      </w:pPr>
    </w:p>
    <w:p>
      <w:pPr>
        <w:widowControl/>
        <w:adjustRightInd/>
        <w:jc w:val="left"/>
        <w:rPr>
          <w:rFonts w:ascii="仿宋" w:hAnsi="仿宋" w:eastAsia="仿宋"/>
          <w:b/>
          <w:color w:val="auto"/>
          <w:sz w:val="44"/>
          <w:szCs w:val="22"/>
          <w:highlight w:val="none"/>
        </w:rPr>
      </w:pPr>
      <w:r>
        <w:rPr>
          <w:rFonts w:ascii="仿宋" w:hAnsi="仿宋" w:eastAsia="仿宋"/>
          <w:color w:val="auto"/>
          <w:highlight w:val="none"/>
        </w:rPr>
        <w:br w:type="page"/>
      </w:r>
    </w:p>
    <w:p>
      <w:pPr>
        <w:pStyle w:val="678"/>
        <w:spacing w:before="24" w:after="24"/>
        <w:rPr>
          <w:rFonts w:ascii="仿宋" w:hAnsi="仿宋" w:eastAsia="仿宋"/>
          <w:color w:val="auto"/>
          <w:highlight w:val="none"/>
        </w:rPr>
      </w:pPr>
      <w:r>
        <w:rPr>
          <w:rFonts w:hint="eastAsia" w:ascii="仿宋" w:hAnsi="仿宋" w:eastAsia="仿宋"/>
          <w:color w:val="auto"/>
          <w:highlight w:val="none"/>
        </w:rPr>
        <w:t>第四部分</w:t>
      </w:r>
      <w:bookmarkStart w:id="28" w:name="_Toc184313279"/>
      <w:bookmarkEnd w:id="28"/>
      <w:bookmarkStart w:id="29" w:name="_Toc184313301"/>
      <w:bookmarkEnd w:id="29"/>
      <w:bookmarkStart w:id="30" w:name="_Toc184313266"/>
      <w:bookmarkEnd w:id="30"/>
      <w:bookmarkStart w:id="31" w:name="_Toc184310334"/>
      <w:bookmarkEnd w:id="31"/>
      <w:bookmarkStart w:id="32" w:name="_Toc184312122"/>
      <w:bookmarkEnd w:id="32"/>
      <w:bookmarkStart w:id="33" w:name="_Toc184314424"/>
      <w:bookmarkEnd w:id="33"/>
      <w:bookmarkStart w:id="34" w:name="_Toc184312075"/>
      <w:bookmarkEnd w:id="34"/>
      <w:bookmarkStart w:id="35" w:name="_Toc184308054"/>
      <w:bookmarkEnd w:id="35"/>
      <w:bookmarkStart w:id="36" w:name="_Toc184313289"/>
      <w:bookmarkEnd w:id="36"/>
      <w:bookmarkStart w:id="37" w:name="_Toc184308098"/>
      <w:bookmarkEnd w:id="37"/>
      <w:bookmarkStart w:id="38" w:name="_Toc184313251"/>
      <w:bookmarkEnd w:id="38"/>
      <w:bookmarkStart w:id="39" w:name="_Toc184314423"/>
      <w:bookmarkEnd w:id="39"/>
      <w:bookmarkStart w:id="40" w:name="_Toc184312132"/>
      <w:bookmarkEnd w:id="40"/>
      <w:bookmarkStart w:id="41" w:name="_Toc184313274"/>
      <w:bookmarkEnd w:id="41"/>
      <w:bookmarkStart w:id="42" w:name="_Toc184313295"/>
      <w:bookmarkEnd w:id="42"/>
      <w:bookmarkStart w:id="43" w:name="_Toc184308089"/>
      <w:bookmarkEnd w:id="43"/>
      <w:bookmarkStart w:id="44" w:name="_Toc184314450"/>
      <w:bookmarkEnd w:id="44"/>
      <w:bookmarkStart w:id="45" w:name="_Toc184312072"/>
      <w:bookmarkEnd w:id="45"/>
      <w:bookmarkStart w:id="46" w:name="_Toc184313271"/>
      <w:bookmarkEnd w:id="46"/>
      <w:bookmarkStart w:id="47" w:name="_Toc184314435"/>
      <w:bookmarkEnd w:id="47"/>
      <w:bookmarkStart w:id="48" w:name="_Toc184308055"/>
      <w:bookmarkEnd w:id="48"/>
      <w:bookmarkStart w:id="49" w:name="_Toc184308064"/>
      <w:bookmarkEnd w:id="49"/>
      <w:bookmarkStart w:id="50" w:name="_Toc184314416"/>
      <w:bookmarkEnd w:id="50"/>
      <w:bookmarkStart w:id="51" w:name="_Toc184310280"/>
      <w:bookmarkEnd w:id="51"/>
      <w:bookmarkStart w:id="52" w:name="_Toc184308038"/>
      <w:bookmarkEnd w:id="52"/>
      <w:bookmarkStart w:id="53" w:name="_Toc184310338"/>
      <w:bookmarkEnd w:id="53"/>
      <w:bookmarkStart w:id="54" w:name="_Toc184314482"/>
      <w:bookmarkEnd w:id="54"/>
      <w:bookmarkStart w:id="55" w:name="_Toc184314441"/>
      <w:bookmarkEnd w:id="55"/>
      <w:bookmarkStart w:id="56" w:name="_Toc184312117"/>
      <w:bookmarkEnd w:id="56"/>
      <w:bookmarkStart w:id="57" w:name="_Toc184313275"/>
      <w:bookmarkEnd w:id="57"/>
      <w:bookmarkStart w:id="58" w:name="_Toc184310311"/>
      <w:bookmarkEnd w:id="58"/>
      <w:bookmarkStart w:id="59" w:name="_Toc184314434"/>
      <w:bookmarkEnd w:id="59"/>
      <w:bookmarkStart w:id="60" w:name="_Toc184308042"/>
      <w:bookmarkEnd w:id="60"/>
      <w:bookmarkStart w:id="61" w:name="_Toc184310281"/>
      <w:bookmarkEnd w:id="61"/>
      <w:bookmarkStart w:id="62" w:name="_Toc184310292"/>
      <w:bookmarkEnd w:id="62"/>
      <w:bookmarkStart w:id="63" w:name="_Toc184310326"/>
      <w:bookmarkEnd w:id="63"/>
      <w:bookmarkStart w:id="64" w:name="_Toc184313265"/>
      <w:bookmarkEnd w:id="64"/>
      <w:bookmarkStart w:id="65" w:name="_Toc184308070"/>
      <w:bookmarkEnd w:id="65"/>
      <w:bookmarkStart w:id="66" w:name="_Toc184308052"/>
      <w:bookmarkEnd w:id="66"/>
      <w:bookmarkStart w:id="67" w:name="_Toc184310323"/>
      <w:bookmarkEnd w:id="67"/>
      <w:bookmarkStart w:id="68" w:name="_Toc184313257"/>
      <w:bookmarkEnd w:id="68"/>
      <w:bookmarkStart w:id="69" w:name="_Toc184313258"/>
      <w:bookmarkEnd w:id="69"/>
      <w:bookmarkStart w:id="70" w:name="_Toc184310329"/>
      <w:bookmarkEnd w:id="70"/>
      <w:bookmarkStart w:id="71" w:name="_Toc184313291"/>
      <w:bookmarkEnd w:id="71"/>
      <w:bookmarkStart w:id="72" w:name="_Toc184313239"/>
      <w:bookmarkEnd w:id="72"/>
      <w:bookmarkStart w:id="73" w:name="_Toc184314410"/>
      <w:bookmarkEnd w:id="73"/>
      <w:bookmarkStart w:id="74" w:name="_Toc184308102"/>
      <w:bookmarkEnd w:id="74"/>
      <w:bookmarkStart w:id="75" w:name="_Toc184308107"/>
      <w:bookmarkEnd w:id="75"/>
      <w:bookmarkStart w:id="76" w:name="_Toc184314455"/>
      <w:bookmarkEnd w:id="76"/>
      <w:bookmarkStart w:id="77" w:name="_Toc184314451"/>
      <w:bookmarkEnd w:id="77"/>
      <w:bookmarkStart w:id="78" w:name="_Toc184312115"/>
      <w:bookmarkEnd w:id="78"/>
      <w:bookmarkStart w:id="79" w:name="_Toc184308063"/>
      <w:bookmarkEnd w:id="79"/>
      <w:bookmarkStart w:id="80" w:name="_Toc184312131"/>
      <w:bookmarkEnd w:id="80"/>
      <w:bookmarkStart w:id="81" w:name="_Toc184313286"/>
      <w:bookmarkEnd w:id="81"/>
      <w:bookmarkStart w:id="82" w:name="_Toc184314468"/>
      <w:bookmarkEnd w:id="82"/>
      <w:bookmarkStart w:id="83" w:name="_Toc184313278"/>
      <w:bookmarkEnd w:id="83"/>
      <w:bookmarkStart w:id="84" w:name="_Toc184312076"/>
      <w:bookmarkEnd w:id="84"/>
      <w:bookmarkStart w:id="85" w:name="_Toc184310283"/>
      <w:bookmarkEnd w:id="85"/>
      <w:bookmarkStart w:id="86" w:name="_Toc184310336"/>
      <w:bookmarkEnd w:id="86"/>
      <w:bookmarkStart w:id="87" w:name="_Toc184310305"/>
      <w:bookmarkEnd w:id="87"/>
      <w:bookmarkStart w:id="88" w:name="_Toc184313284"/>
      <w:bookmarkEnd w:id="88"/>
      <w:bookmarkStart w:id="89" w:name="_Toc184308041"/>
      <w:bookmarkEnd w:id="89"/>
      <w:bookmarkStart w:id="90" w:name="_Toc184308059"/>
      <w:bookmarkEnd w:id="90"/>
      <w:bookmarkStart w:id="91" w:name="_Toc184312138"/>
      <w:bookmarkEnd w:id="91"/>
      <w:bookmarkStart w:id="92" w:name="_Toc184308062"/>
      <w:bookmarkEnd w:id="92"/>
      <w:bookmarkStart w:id="93" w:name="_Toc184310324"/>
      <w:bookmarkEnd w:id="93"/>
      <w:bookmarkStart w:id="94" w:name="_Toc184313254"/>
      <w:bookmarkEnd w:id="94"/>
      <w:bookmarkStart w:id="95" w:name="_Toc184308053"/>
      <w:bookmarkEnd w:id="95"/>
      <w:bookmarkStart w:id="96" w:name="_Toc184308090"/>
      <w:bookmarkEnd w:id="96"/>
      <w:bookmarkStart w:id="97" w:name="_Toc184313272"/>
      <w:bookmarkEnd w:id="97"/>
      <w:bookmarkStart w:id="98" w:name="_Toc184314428"/>
      <w:bookmarkEnd w:id="98"/>
      <w:bookmarkStart w:id="99" w:name="_Toc184310293"/>
      <w:bookmarkEnd w:id="99"/>
      <w:bookmarkStart w:id="100" w:name="_Toc184313310"/>
      <w:bookmarkEnd w:id="100"/>
      <w:bookmarkStart w:id="101" w:name="_Toc184314475"/>
      <w:bookmarkEnd w:id="101"/>
      <w:bookmarkStart w:id="102" w:name="_Toc184314417"/>
      <w:bookmarkEnd w:id="102"/>
      <w:bookmarkStart w:id="103" w:name="_Toc184314473"/>
      <w:bookmarkEnd w:id="103"/>
      <w:bookmarkStart w:id="104" w:name="_Toc184314421"/>
      <w:bookmarkEnd w:id="104"/>
      <w:bookmarkStart w:id="105" w:name="_Toc184312127"/>
      <w:bookmarkEnd w:id="105"/>
      <w:bookmarkStart w:id="106" w:name="_Toc184308104"/>
      <w:bookmarkEnd w:id="106"/>
      <w:bookmarkStart w:id="107" w:name="_Toc184312091"/>
      <w:bookmarkEnd w:id="107"/>
      <w:bookmarkStart w:id="108" w:name="_Toc184312082"/>
      <w:bookmarkEnd w:id="108"/>
      <w:bookmarkStart w:id="109" w:name="_Toc184312134"/>
      <w:bookmarkEnd w:id="109"/>
      <w:bookmarkStart w:id="110" w:name="_Toc184313256"/>
      <w:bookmarkEnd w:id="110"/>
      <w:bookmarkStart w:id="111" w:name="_Toc184312097"/>
      <w:bookmarkEnd w:id="111"/>
      <w:bookmarkStart w:id="112" w:name="_Toc184308056"/>
      <w:bookmarkEnd w:id="112"/>
      <w:bookmarkStart w:id="113" w:name="_Toc184313299"/>
      <w:bookmarkEnd w:id="113"/>
      <w:bookmarkStart w:id="114" w:name="_Toc184313296"/>
      <w:bookmarkEnd w:id="114"/>
      <w:bookmarkStart w:id="115" w:name="_Toc184313238"/>
      <w:bookmarkEnd w:id="115"/>
      <w:bookmarkStart w:id="116" w:name="_Toc184314462"/>
      <w:bookmarkEnd w:id="116"/>
      <w:bookmarkStart w:id="117" w:name="_Toc184308093"/>
      <w:bookmarkEnd w:id="117"/>
      <w:bookmarkStart w:id="118" w:name="_Toc184310328"/>
      <w:bookmarkEnd w:id="118"/>
      <w:bookmarkStart w:id="119" w:name="_Toc184308043"/>
      <w:bookmarkEnd w:id="119"/>
      <w:bookmarkStart w:id="120" w:name="_Toc184314472"/>
      <w:bookmarkEnd w:id="120"/>
      <w:bookmarkStart w:id="121" w:name="_Toc184310309"/>
      <w:bookmarkEnd w:id="121"/>
      <w:bookmarkStart w:id="122" w:name="_Toc184310295"/>
      <w:bookmarkEnd w:id="122"/>
      <w:bookmarkStart w:id="123" w:name="_Toc184312105"/>
      <w:bookmarkEnd w:id="123"/>
      <w:bookmarkStart w:id="124" w:name="_Toc184310327"/>
      <w:bookmarkEnd w:id="124"/>
      <w:bookmarkStart w:id="125" w:name="_Toc184314440"/>
      <w:bookmarkEnd w:id="125"/>
      <w:bookmarkStart w:id="126" w:name="_Toc184310273"/>
      <w:bookmarkEnd w:id="126"/>
      <w:bookmarkStart w:id="127" w:name="_Toc184310284"/>
      <w:bookmarkEnd w:id="127"/>
      <w:bookmarkStart w:id="128" w:name="_Toc184312121"/>
      <w:bookmarkEnd w:id="128"/>
      <w:bookmarkStart w:id="129" w:name="_Toc184313300"/>
      <w:bookmarkEnd w:id="129"/>
      <w:bookmarkStart w:id="130" w:name="_Toc184314460"/>
      <w:bookmarkEnd w:id="130"/>
      <w:bookmarkStart w:id="131" w:name="_Toc184310325"/>
      <w:bookmarkEnd w:id="131"/>
      <w:bookmarkStart w:id="132" w:name="_Toc184310331"/>
      <w:bookmarkEnd w:id="132"/>
      <w:bookmarkStart w:id="133" w:name="_Toc184310339"/>
      <w:bookmarkEnd w:id="133"/>
      <w:bookmarkStart w:id="134" w:name="_Toc184310307"/>
      <w:bookmarkEnd w:id="134"/>
      <w:bookmarkStart w:id="135" w:name="_Toc184312074"/>
      <w:bookmarkEnd w:id="135"/>
      <w:bookmarkStart w:id="136" w:name="_Toc184313304"/>
      <w:bookmarkEnd w:id="136"/>
      <w:bookmarkStart w:id="137" w:name="_Toc184312124"/>
      <w:bookmarkEnd w:id="137"/>
      <w:bookmarkStart w:id="138" w:name="_Toc184314477"/>
      <w:bookmarkEnd w:id="138"/>
      <w:bookmarkStart w:id="139" w:name="_Toc184308100"/>
      <w:bookmarkEnd w:id="139"/>
      <w:bookmarkStart w:id="140" w:name="_Toc184310294"/>
      <w:bookmarkEnd w:id="140"/>
      <w:bookmarkStart w:id="141" w:name="_Toc184308080"/>
      <w:bookmarkEnd w:id="141"/>
      <w:bookmarkStart w:id="142" w:name="_Toc184312089"/>
      <w:bookmarkEnd w:id="142"/>
      <w:bookmarkStart w:id="143" w:name="_Toc184312107"/>
      <w:bookmarkEnd w:id="143"/>
      <w:bookmarkStart w:id="144" w:name="_Toc184312088"/>
      <w:bookmarkEnd w:id="144"/>
      <w:bookmarkStart w:id="145" w:name="_Toc184308068"/>
      <w:bookmarkEnd w:id="145"/>
      <w:bookmarkStart w:id="146" w:name="_Toc184308078"/>
      <w:bookmarkEnd w:id="146"/>
      <w:bookmarkStart w:id="147" w:name="_Toc184314418"/>
      <w:bookmarkEnd w:id="147"/>
      <w:bookmarkStart w:id="148" w:name="_Toc184310308"/>
      <w:bookmarkEnd w:id="148"/>
      <w:bookmarkStart w:id="149" w:name="_Toc184313261"/>
      <w:bookmarkEnd w:id="149"/>
      <w:bookmarkStart w:id="150" w:name="_Toc184310298"/>
      <w:bookmarkEnd w:id="150"/>
      <w:bookmarkStart w:id="151" w:name="_Toc184308083"/>
      <w:bookmarkEnd w:id="151"/>
      <w:bookmarkStart w:id="152" w:name="_Toc184312067"/>
      <w:bookmarkEnd w:id="152"/>
      <w:bookmarkStart w:id="153" w:name="_Toc184310317"/>
      <w:bookmarkEnd w:id="153"/>
      <w:bookmarkStart w:id="154" w:name="_Toc184308037"/>
      <w:bookmarkEnd w:id="154"/>
      <w:bookmarkStart w:id="155" w:name="_Toc184314415"/>
      <w:bookmarkEnd w:id="155"/>
      <w:bookmarkStart w:id="156" w:name="_Toc184312111"/>
      <w:bookmarkEnd w:id="156"/>
      <w:bookmarkStart w:id="157" w:name="_Toc184314457"/>
      <w:bookmarkEnd w:id="157"/>
      <w:bookmarkStart w:id="158" w:name="_Toc184314438"/>
      <w:bookmarkEnd w:id="158"/>
      <w:bookmarkStart w:id="159" w:name="_Toc184312129"/>
      <w:bookmarkEnd w:id="159"/>
      <w:bookmarkStart w:id="160" w:name="_Toc184313273"/>
      <w:bookmarkEnd w:id="160"/>
      <w:bookmarkStart w:id="161" w:name="_Toc184314471"/>
      <w:bookmarkEnd w:id="161"/>
      <w:bookmarkStart w:id="162" w:name="_Toc184312081"/>
      <w:bookmarkEnd w:id="162"/>
      <w:bookmarkStart w:id="163" w:name="_Toc184310278"/>
      <w:bookmarkEnd w:id="163"/>
      <w:bookmarkStart w:id="164" w:name="_Toc184312078"/>
      <w:bookmarkEnd w:id="164"/>
      <w:bookmarkStart w:id="165" w:name="_Toc184313297"/>
      <w:bookmarkEnd w:id="165"/>
      <w:bookmarkStart w:id="166" w:name="_Toc184308057"/>
      <w:bookmarkEnd w:id="166"/>
      <w:bookmarkStart w:id="167" w:name="_Toc184312085"/>
      <w:bookmarkEnd w:id="167"/>
      <w:bookmarkStart w:id="168" w:name="_Toc184312090"/>
      <w:bookmarkEnd w:id="168"/>
      <w:bookmarkStart w:id="169" w:name="_Toc184314461"/>
      <w:bookmarkEnd w:id="169"/>
      <w:bookmarkStart w:id="170" w:name="_Toc184314479"/>
      <w:bookmarkEnd w:id="170"/>
      <w:bookmarkStart w:id="171" w:name="_Toc184314413"/>
      <w:bookmarkEnd w:id="171"/>
      <w:bookmarkStart w:id="172" w:name="_Toc184308091"/>
      <w:bookmarkEnd w:id="172"/>
      <w:bookmarkStart w:id="173" w:name="_Toc184310304"/>
      <w:bookmarkEnd w:id="173"/>
      <w:bookmarkStart w:id="174" w:name="_Toc184308051"/>
      <w:bookmarkEnd w:id="174"/>
      <w:bookmarkStart w:id="175" w:name="_Toc184308088"/>
      <w:bookmarkEnd w:id="175"/>
      <w:bookmarkStart w:id="176" w:name="_Toc184314426"/>
      <w:bookmarkEnd w:id="176"/>
      <w:bookmarkStart w:id="177" w:name="_Toc184308045"/>
      <w:bookmarkEnd w:id="177"/>
      <w:bookmarkStart w:id="178" w:name="_Toc184310332"/>
      <w:bookmarkEnd w:id="178"/>
      <w:bookmarkStart w:id="179" w:name="_Toc184313281"/>
      <w:bookmarkEnd w:id="179"/>
      <w:bookmarkStart w:id="180" w:name="_Toc184314436"/>
      <w:bookmarkEnd w:id="180"/>
      <w:bookmarkStart w:id="181" w:name="_Toc184313309"/>
      <w:bookmarkEnd w:id="181"/>
      <w:bookmarkStart w:id="182" w:name="_Toc184310291"/>
      <w:bookmarkEnd w:id="182"/>
      <w:bookmarkStart w:id="183" w:name="_Toc184312084"/>
      <w:bookmarkEnd w:id="183"/>
      <w:bookmarkStart w:id="184" w:name="_Toc184310296"/>
      <w:bookmarkEnd w:id="184"/>
      <w:bookmarkStart w:id="185" w:name="_Toc184313259"/>
      <w:bookmarkEnd w:id="185"/>
      <w:bookmarkStart w:id="186" w:name="_Toc184314452"/>
      <w:bookmarkEnd w:id="186"/>
      <w:bookmarkStart w:id="187" w:name="_Toc184312119"/>
      <w:bookmarkEnd w:id="187"/>
      <w:bookmarkStart w:id="188" w:name="_Toc184308050"/>
      <w:bookmarkEnd w:id="188"/>
      <w:bookmarkStart w:id="189" w:name="_Toc184310282"/>
      <w:bookmarkEnd w:id="189"/>
      <w:bookmarkStart w:id="190" w:name="_Toc184310310"/>
      <w:bookmarkEnd w:id="190"/>
      <w:bookmarkStart w:id="191" w:name="_Toc184312070"/>
      <w:bookmarkEnd w:id="191"/>
      <w:bookmarkStart w:id="192" w:name="_Toc184313307"/>
      <w:bookmarkEnd w:id="192"/>
      <w:bookmarkStart w:id="193" w:name="_Toc184312086"/>
      <w:bookmarkEnd w:id="193"/>
      <w:bookmarkStart w:id="194" w:name="_Toc184313253"/>
      <w:bookmarkEnd w:id="194"/>
      <w:bookmarkStart w:id="195" w:name="_Toc184310279"/>
      <w:bookmarkEnd w:id="195"/>
      <w:bookmarkStart w:id="196" w:name="_Toc184308058"/>
      <w:bookmarkEnd w:id="196"/>
      <w:bookmarkStart w:id="197" w:name="_Toc184312079"/>
      <w:bookmarkEnd w:id="197"/>
      <w:bookmarkStart w:id="198" w:name="_Toc184313298"/>
      <w:bookmarkEnd w:id="198"/>
      <w:bookmarkStart w:id="199" w:name="_Toc184314456"/>
      <w:bookmarkEnd w:id="199"/>
      <w:bookmarkStart w:id="200" w:name="_Toc184313255"/>
      <w:bookmarkEnd w:id="200"/>
      <w:bookmarkStart w:id="201" w:name="_Toc184308082"/>
      <w:bookmarkEnd w:id="201"/>
      <w:bookmarkStart w:id="202" w:name="_Toc184313252"/>
      <w:bookmarkEnd w:id="202"/>
      <w:bookmarkStart w:id="203" w:name="_Toc184312083"/>
      <w:bookmarkEnd w:id="203"/>
      <w:bookmarkStart w:id="204" w:name="_Toc184308085"/>
      <w:bookmarkEnd w:id="204"/>
      <w:bookmarkStart w:id="205" w:name="_Toc184308047"/>
      <w:bookmarkEnd w:id="205"/>
      <w:bookmarkStart w:id="206" w:name="_Toc184308066"/>
      <w:bookmarkEnd w:id="206"/>
      <w:bookmarkStart w:id="207" w:name="_Toc184314439"/>
      <w:bookmarkEnd w:id="207"/>
      <w:bookmarkStart w:id="208" w:name="_Toc184308084"/>
      <w:bookmarkEnd w:id="208"/>
      <w:bookmarkStart w:id="209" w:name="_Toc184310335"/>
      <w:bookmarkEnd w:id="209"/>
      <w:bookmarkStart w:id="210" w:name="_Toc184308106"/>
      <w:bookmarkEnd w:id="210"/>
      <w:bookmarkStart w:id="211" w:name="_Toc184313242"/>
      <w:bookmarkEnd w:id="211"/>
      <w:bookmarkStart w:id="212" w:name="_Toc184308076"/>
      <w:bookmarkEnd w:id="212"/>
      <w:bookmarkStart w:id="213" w:name="_Toc184313270"/>
      <w:bookmarkEnd w:id="213"/>
      <w:bookmarkStart w:id="214" w:name="_Toc184314430"/>
      <w:bookmarkEnd w:id="214"/>
      <w:bookmarkStart w:id="215" w:name="_Toc184313243"/>
      <w:bookmarkEnd w:id="215"/>
      <w:bookmarkStart w:id="216" w:name="_Toc184308103"/>
      <w:bookmarkEnd w:id="216"/>
      <w:bookmarkStart w:id="217" w:name="_Toc184308073"/>
      <w:bookmarkEnd w:id="217"/>
      <w:bookmarkStart w:id="218" w:name="_Toc184310272"/>
      <w:bookmarkEnd w:id="218"/>
      <w:bookmarkStart w:id="219" w:name="_Toc184313276"/>
      <w:bookmarkEnd w:id="219"/>
      <w:bookmarkStart w:id="220" w:name="_Toc184310344"/>
      <w:bookmarkEnd w:id="220"/>
      <w:bookmarkStart w:id="221" w:name="_Toc184308060"/>
      <w:bookmarkEnd w:id="221"/>
      <w:bookmarkStart w:id="222" w:name="_Toc184313308"/>
      <w:bookmarkEnd w:id="222"/>
      <w:bookmarkStart w:id="223" w:name="_Toc184312139"/>
      <w:bookmarkEnd w:id="223"/>
      <w:bookmarkStart w:id="224" w:name="_Toc184310288"/>
      <w:bookmarkEnd w:id="224"/>
      <w:bookmarkStart w:id="225" w:name="_Toc184310313"/>
      <w:bookmarkEnd w:id="225"/>
      <w:bookmarkStart w:id="226" w:name="_Toc184312108"/>
      <w:bookmarkEnd w:id="226"/>
      <w:bookmarkStart w:id="227" w:name="_Toc184312103"/>
      <w:bookmarkEnd w:id="227"/>
      <w:bookmarkStart w:id="228" w:name="_Toc184310322"/>
      <w:bookmarkEnd w:id="228"/>
      <w:bookmarkStart w:id="229" w:name="_Toc184314463"/>
      <w:bookmarkEnd w:id="229"/>
      <w:bookmarkStart w:id="230" w:name="_Toc184312102"/>
      <w:bookmarkEnd w:id="230"/>
      <w:bookmarkStart w:id="231" w:name="_Toc184308067"/>
      <w:bookmarkEnd w:id="231"/>
      <w:bookmarkStart w:id="232" w:name="_Toc184312096"/>
      <w:bookmarkEnd w:id="232"/>
      <w:bookmarkStart w:id="233" w:name="_Toc184314420"/>
      <w:bookmarkEnd w:id="233"/>
      <w:bookmarkStart w:id="234" w:name="_Toc184310319"/>
      <w:bookmarkEnd w:id="234"/>
      <w:bookmarkStart w:id="235" w:name="_Toc184314478"/>
      <w:bookmarkEnd w:id="235"/>
      <w:bookmarkStart w:id="236" w:name="_Toc184314454"/>
      <w:bookmarkEnd w:id="236"/>
      <w:bookmarkStart w:id="237" w:name="_Toc184314466"/>
      <w:bookmarkEnd w:id="237"/>
      <w:bookmarkStart w:id="238" w:name="_Toc184312120"/>
      <w:bookmarkEnd w:id="238"/>
      <w:bookmarkStart w:id="239" w:name="_Toc184312135"/>
      <w:bookmarkEnd w:id="239"/>
      <w:bookmarkStart w:id="240" w:name="_Toc184310302"/>
      <w:bookmarkEnd w:id="240"/>
      <w:bookmarkStart w:id="241" w:name="_Toc184314447"/>
      <w:bookmarkEnd w:id="241"/>
      <w:bookmarkStart w:id="242" w:name="_Toc184314437"/>
      <w:bookmarkEnd w:id="242"/>
      <w:bookmarkStart w:id="243" w:name="_Toc184314446"/>
      <w:bookmarkEnd w:id="243"/>
      <w:bookmarkStart w:id="244" w:name="_Toc184308087"/>
      <w:bookmarkEnd w:id="244"/>
      <w:bookmarkStart w:id="245" w:name="_Toc184310297"/>
      <w:bookmarkEnd w:id="245"/>
      <w:bookmarkStart w:id="246" w:name="_Toc184313269"/>
      <w:bookmarkEnd w:id="246"/>
      <w:bookmarkStart w:id="247" w:name="_Toc184312123"/>
      <w:bookmarkEnd w:id="247"/>
      <w:bookmarkStart w:id="248" w:name="_Toc184312099"/>
      <w:bookmarkEnd w:id="248"/>
      <w:bookmarkStart w:id="249" w:name="_Toc184310318"/>
      <w:bookmarkEnd w:id="249"/>
      <w:bookmarkStart w:id="250" w:name="_Toc184312112"/>
      <w:bookmarkEnd w:id="250"/>
      <w:bookmarkStart w:id="251" w:name="_Toc184312109"/>
      <w:bookmarkEnd w:id="251"/>
      <w:bookmarkStart w:id="252" w:name="_Toc184308040"/>
      <w:bookmarkEnd w:id="252"/>
      <w:bookmarkStart w:id="253" w:name="_Toc184308072"/>
      <w:bookmarkEnd w:id="253"/>
      <w:bookmarkStart w:id="254" w:name="_Toc184313248"/>
      <w:bookmarkEnd w:id="254"/>
      <w:bookmarkStart w:id="255" w:name="_Toc184310275"/>
      <w:bookmarkEnd w:id="255"/>
      <w:bookmarkStart w:id="256" w:name="_Toc184310290"/>
      <w:bookmarkEnd w:id="256"/>
      <w:bookmarkStart w:id="257" w:name="_Toc184312093"/>
      <w:bookmarkEnd w:id="257"/>
      <w:bookmarkStart w:id="258" w:name="_Toc184314465"/>
      <w:bookmarkEnd w:id="258"/>
      <w:bookmarkStart w:id="259" w:name="_Toc184310277"/>
      <w:bookmarkEnd w:id="259"/>
      <w:bookmarkStart w:id="260" w:name="_Toc184313280"/>
      <w:bookmarkEnd w:id="260"/>
      <w:bookmarkStart w:id="261" w:name="_Toc184312106"/>
      <w:bookmarkEnd w:id="261"/>
      <w:bookmarkStart w:id="262" w:name="_Toc184308069"/>
      <w:bookmarkEnd w:id="262"/>
      <w:bookmarkStart w:id="263" w:name="_Toc184313285"/>
      <w:bookmarkEnd w:id="263"/>
      <w:bookmarkStart w:id="264" w:name="_Toc184312136"/>
      <w:bookmarkEnd w:id="264"/>
      <w:bookmarkStart w:id="265" w:name="_Toc184314469"/>
      <w:bookmarkEnd w:id="265"/>
      <w:bookmarkStart w:id="266" w:name="_Toc184314453"/>
      <w:bookmarkEnd w:id="266"/>
      <w:bookmarkStart w:id="267" w:name="_Toc184308092"/>
      <w:bookmarkEnd w:id="267"/>
      <w:bookmarkStart w:id="268" w:name="_Toc184310340"/>
      <w:bookmarkEnd w:id="268"/>
      <w:bookmarkStart w:id="269" w:name="_Toc184310330"/>
      <w:bookmarkEnd w:id="269"/>
      <w:bookmarkStart w:id="270" w:name="_Toc184310276"/>
      <w:bookmarkEnd w:id="270"/>
      <w:bookmarkStart w:id="271" w:name="_Toc184314459"/>
      <w:bookmarkEnd w:id="271"/>
      <w:bookmarkStart w:id="272" w:name="_Toc184308039"/>
      <w:bookmarkEnd w:id="272"/>
      <w:bookmarkStart w:id="273" w:name="_Toc184308075"/>
      <w:bookmarkEnd w:id="273"/>
      <w:bookmarkStart w:id="274" w:name="_Toc184310301"/>
      <w:bookmarkEnd w:id="274"/>
      <w:bookmarkStart w:id="275" w:name="_Toc184313246"/>
      <w:bookmarkEnd w:id="275"/>
      <w:bookmarkStart w:id="276" w:name="_Toc184313260"/>
      <w:bookmarkEnd w:id="276"/>
      <w:bookmarkStart w:id="277" w:name="_Toc184313290"/>
      <w:bookmarkEnd w:id="277"/>
      <w:bookmarkStart w:id="278" w:name="_Toc184312069"/>
      <w:bookmarkEnd w:id="278"/>
      <w:bookmarkStart w:id="279" w:name="_Toc184312080"/>
      <w:bookmarkEnd w:id="279"/>
      <w:bookmarkStart w:id="280" w:name="_Toc184308071"/>
      <w:bookmarkEnd w:id="280"/>
      <w:bookmarkStart w:id="281" w:name="_Toc184314449"/>
      <w:bookmarkEnd w:id="281"/>
      <w:bookmarkStart w:id="282" w:name="_Toc184312128"/>
      <w:bookmarkEnd w:id="282"/>
      <w:bookmarkStart w:id="283" w:name="_Toc184312116"/>
      <w:bookmarkEnd w:id="283"/>
      <w:bookmarkStart w:id="284" w:name="_Toc184312101"/>
      <w:bookmarkEnd w:id="284"/>
      <w:bookmarkStart w:id="285" w:name="_Toc184313294"/>
      <w:bookmarkEnd w:id="285"/>
      <w:bookmarkStart w:id="286" w:name="_Toc184312071"/>
      <w:bookmarkEnd w:id="286"/>
      <w:bookmarkStart w:id="287" w:name="_Toc184310315"/>
      <w:bookmarkEnd w:id="287"/>
      <w:bookmarkStart w:id="288" w:name="_Toc184314474"/>
      <w:bookmarkEnd w:id="288"/>
      <w:bookmarkStart w:id="289" w:name="_Toc184313288"/>
      <w:bookmarkEnd w:id="289"/>
      <w:bookmarkStart w:id="290" w:name="_Toc184312077"/>
      <w:bookmarkEnd w:id="290"/>
      <w:bookmarkStart w:id="291" w:name="_Toc184314412"/>
      <w:bookmarkEnd w:id="291"/>
      <w:bookmarkStart w:id="292" w:name="_Toc184308101"/>
      <w:bookmarkEnd w:id="292"/>
      <w:bookmarkStart w:id="293" w:name="_Toc184313247"/>
      <w:bookmarkEnd w:id="293"/>
      <w:bookmarkStart w:id="294" w:name="_Toc184312113"/>
      <w:bookmarkEnd w:id="294"/>
      <w:bookmarkStart w:id="295" w:name="_Toc184308099"/>
      <w:bookmarkEnd w:id="295"/>
      <w:bookmarkStart w:id="296" w:name="_Toc184313250"/>
      <w:bookmarkEnd w:id="296"/>
      <w:bookmarkStart w:id="297" w:name="_Toc184308094"/>
      <w:bookmarkEnd w:id="297"/>
      <w:bookmarkStart w:id="298" w:name="_Toc184313262"/>
      <w:bookmarkEnd w:id="298"/>
      <w:bookmarkStart w:id="299" w:name="_Toc184308049"/>
      <w:bookmarkEnd w:id="299"/>
      <w:bookmarkStart w:id="300" w:name="_Toc184308086"/>
      <w:bookmarkEnd w:id="300"/>
      <w:bookmarkStart w:id="301" w:name="_Toc184313282"/>
      <w:bookmarkEnd w:id="301"/>
      <w:bookmarkStart w:id="302" w:name="_Toc184314458"/>
      <w:bookmarkEnd w:id="302"/>
      <w:bookmarkStart w:id="303" w:name="_Toc184313277"/>
      <w:bookmarkEnd w:id="303"/>
      <w:bookmarkStart w:id="304" w:name="_Toc184308095"/>
      <w:bookmarkEnd w:id="304"/>
      <w:bookmarkStart w:id="305" w:name="_Toc184310312"/>
      <w:bookmarkEnd w:id="305"/>
      <w:bookmarkStart w:id="306" w:name="_Toc184310342"/>
      <w:bookmarkEnd w:id="306"/>
      <w:bookmarkStart w:id="307" w:name="_Toc184313263"/>
      <w:bookmarkEnd w:id="307"/>
      <w:bookmarkStart w:id="308" w:name="_Toc184313241"/>
      <w:bookmarkEnd w:id="308"/>
      <w:bookmarkStart w:id="309" w:name="_Toc184312095"/>
      <w:bookmarkEnd w:id="309"/>
      <w:bookmarkStart w:id="310" w:name="_Toc184314425"/>
      <w:bookmarkEnd w:id="310"/>
      <w:bookmarkStart w:id="311" w:name="_Toc184308036"/>
      <w:bookmarkEnd w:id="311"/>
      <w:bookmarkStart w:id="312" w:name="_Toc184310333"/>
      <w:bookmarkEnd w:id="312"/>
      <w:bookmarkStart w:id="313" w:name="_Toc184310320"/>
      <w:bookmarkEnd w:id="313"/>
      <w:bookmarkStart w:id="314" w:name="_Toc184310337"/>
      <w:bookmarkEnd w:id="314"/>
      <w:bookmarkStart w:id="315" w:name="_Toc184308097"/>
      <w:bookmarkEnd w:id="315"/>
      <w:bookmarkStart w:id="316" w:name="_Toc184314433"/>
      <w:bookmarkEnd w:id="316"/>
      <w:bookmarkStart w:id="317" w:name="_Toc184310287"/>
      <w:bookmarkEnd w:id="317"/>
      <w:bookmarkStart w:id="318" w:name="_Toc184313293"/>
      <w:bookmarkEnd w:id="318"/>
      <w:bookmarkStart w:id="319" w:name="_Toc184314431"/>
      <w:bookmarkEnd w:id="319"/>
      <w:bookmarkStart w:id="320" w:name="_Toc184312100"/>
      <w:bookmarkEnd w:id="320"/>
      <w:bookmarkStart w:id="321" w:name="_Toc184308061"/>
      <w:bookmarkEnd w:id="321"/>
      <w:bookmarkStart w:id="322" w:name="_Toc184312110"/>
      <w:bookmarkEnd w:id="322"/>
      <w:bookmarkStart w:id="323" w:name="_Toc184308046"/>
      <w:bookmarkEnd w:id="323"/>
      <w:bookmarkStart w:id="324" w:name="_Toc184313267"/>
      <w:bookmarkEnd w:id="324"/>
      <w:bookmarkStart w:id="325" w:name="_Toc184312094"/>
      <w:bookmarkEnd w:id="325"/>
      <w:bookmarkStart w:id="326" w:name="_Toc184314476"/>
      <w:bookmarkEnd w:id="326"/>
      <w:bookmarkStart w:id="327" w:name="_Toc184310316"/>
      <w:bookmarkEnd w:id="327"/>
      <w:bookmarkStart w:id="328" w:name="_Toc184314427"/>
      <w:bookmarkEnd w:id="328"/>
      <w:bookmarkStart w:id="329" w:name="_Toc184308081"/>
      <w:bookmarkEnd w:id="329"/>
      <w:bookmarkStart w:id="330" w:name="_Toc184308108"/>
      <w:bookmarkEnd w:id="330"/>
      <w:bookmarkStart w:id="331" w:name="_Toc184310299"/>
      <w:bookmarkEnd w:id="331"/>
      <w:bookmarkStart w:id="332" w:name="_Toc184312126"/>
      <w:bookmarkEnd w:id="332"/>
      <w:bookmarkStart w:id="333" w:name="_Toc184310306"/>
      <w:bookmarkEnd w:id="333"/>
      <w:bookmarkStart w:id="334" w:name="_Toc184312104"/>
      <w:bookmarkEnd w:id="334"/>
      <w:bookmarkStart w:id="335" w:name="_Toc184314445"/>
      <w:bookmarkEnd w:id="335"/>
      <w:bookmarkStart w:id="336" w:name="_Toc184310289"/>
      <w:bookmarkEnd w:id="336"/>
      <w:bookmarkStart w:id="337" w:name="_Toc184313303"/>
      <w:bookmarkEnd w:id="337"/>
      <w:bookmarkStart w:id="338" w:name="_Toc184312137"/>
      <w:bookmarkEnd w:id="338"/>
      <w:bookmarkStart w:id="339" w:name="_Toc184314470"/>
      <w:bookmarkEnd w:id="339"/>
      <w:bookmarkStart w:id="340" w:name="_Toc184310341"/>
      <w:bookmarkEnd w:id="340"/>
      <w:bookmarkStart w:id="341" w:name="_Toc184313245"/>
      <w:bookmarkEnd w:id="341"/>
      <w:bookmarkStart w:id="342" w:name="_Toc184314444"/>
      <w:bookmarkEnd w:id="342"/>
      <w:bookmarkStart w:id="343" w:name="_Toc184310343"/>
      <w:bookmarkEnd w:id="343"/>
      <w:bookmarkStart w:id="344" w:name="_Toc184308077"/>
      <w:bookmarkEnd w:id="344"/>
      <w:bookmarkStart w:id="345" w:name="_Toc184314411"/>
      <w:bookmarkEnd w:id="345"/>
      <w:bookmarkStart w:id="346" w:name="_Toc184313306"/>
      <w:bookmarkEnd w:id="346"/>
      <w:bookmarkStart w:id="347" w:name="_Toc184313249"/>
      <w:bookmarkEnd w:id="347"/>
      <w:bookmarkStart w:id="348" w:name="_Toc184312130"/>
      <w:bookmarkEnd w:id="348"/>
      <w:bookmarkStart w:id="349" w:name="_Toc184314422"/>
      <w:bookmarkEnd w:id="349"/>
      <w:bookmarkStart w:id="350" w:name="_Toc184314432"/>
      <w:bookmarkEnd w:id="350"/>
      <w:bookmarkStart w:id="351" w:name="_Toc184314419"/>
      <w:bookmarkEnd w:id="351"/>
      <w:bookmarkStart w:id="352" w:name="_Toc184308048"/>
      <w:bookmarkEnd w:id="352"/>
      <w:bookmarkStart w:id="353" w:name="_Toc184310274"/>
      <w:bookmarkEnd w:id="353"/>
      <w:bookmarkStart w:id="354" w:name="_Toc184310314"/>
      <w:bookmarkEnd w:id="354"/>
      <w:bookmarkStart w:id="355" w:name="_Toc184313264"/>
      <w:bookmarkEnd w:id="355"/>
      <w:bookmarkStart w:id="356" w:name="_Toc184308096"/>
      <w:bookmarkEnd w:id="356"/>
      <w:bookmarkStart w:id="357" w:name="_Toc184314480"/>
      <w:bookmarkEnd w:id="357"/>
      <w:bookmarkStart w:id="358" w:name="_Toc184313244"/>
      <w:bookmarkEnd w:id="358"/>
      <w:bookmarkStart w:id="359" w:name="_Toc184312133"/>
      <w:bookmarkEnd w:id="359"/>
      <w:bookmarkStart w:id="360" w:name="_Toc184314429"/>
      <w:bookmarkEnd w:id="360"/>
      <w:bookmarkStart w:id="361" w:name="_Toc184314467"/>
      <w:bookmarkEnd w:id="361"/>
      <w:bookmarkStart w:id="362" w:name="_Toc184313292"/>
      <w:bookmarkEnd w:id="362"/>
      <w:bookmarkStart w:id="363" w:name="_Toc184310285"/>
      <w:bookmarkEnd w:id="363"/>
      <w:bookmarkStart w:id="364" w:name="_Toc184312068"/>
      <w:bookmarkEnd w:id="364"/>
      <w:bookmarkStart w:id="365" w:name="_Toc184314448"/>
      <w:bookmarkEnd w:id="365"/>
      <w:bookmarkStart w:id="366" w:name="_Toc184310300"/>
      <w:bookmarkEnd w:id="366"/>
      <w:bookmarkStart w:id="367" w:name="_Toc184312092"/>
      <w:bookmarkEnd w:id="367"/>
      <w:bookmarkStart w:id="368" w:name="_Toc184310321"/>
      <w:bookmarkEnd w:id="368"/>
      <w:bookmarkStart w:id="369" w:name="_Toc184310286"/>
      <w:bookmarkEnd w:id="369"/>
      <w:bookmarkStart w:id="370" w:name="_Toc184308079"/>
      <w:bookmarkEnd w:id="370"/>
      <w:bookmarkStart w:id="371" w:name="_Toc184312073"/>
      <w:bookmarkEnd w:id="371"/>
      <w:bookmarkStart w:id="372" w:name="_Toc184314481"/>
      <w:bookmarkEnd w:id="372"/>
      <w:bookmarkStart w:id="373" w:name="_Toc184314464"/>
      <w:bookmarkEnd w:id="373"/>
      <w:bookmarkStart w:id="374" w:name="_Toc184314442"/>
      <w:bookmarkEnd w:id="374"/>
      <w:bookmarkStart w:id="375" w:name="_Toc184313283"/>
      <w:bookmarkEnd w:id="375"/>
      <w:bookmarkStart w:id="376" w:name="_Toc184312114"/>
      <w:bookmarkEnd w:id="376"/>
      <w:bookmarkStart w:id="377" w:name="_Toc184308074"/>
      <w:bookmarkEnd w:id="377"/>
      <w:bookmarkStart w:id="378" w:name="_Toc184313305"/>
      <w:bookmarkEnd w:id="378"/>
      <w:bookmarkStart w:id="379" w:name="_Toc184310303"/>
      <w:bookmarkEnd w:id="379"/>
      <w:bookmarkStart w:id="380" w:name="_Toc184312087"/>
      <w:bookmarkEnd w:id="380"/>
      <w:bookmarkStart w:id="381" w:name="_Toc184313240"/>
      <w:bookmarkEnd w:id="381"/>
      <w:bookmarkStart w:id="382" w:name="_Toc184308044"/>
      <w:bookmarkEnd w:id="382"/>
      <w:bookmarkStart w:id="383" w:name="_Toc184312098"/>
      <w:bookmarkEnd w:id="383"/>
      <w:bookmarkStart w:id="384" w:name="_Toc184314414"/>
      <w:bookmarkEnd w:id="384"/>
      <w:bookmarkStart w:id="385" w:name="_Toc184313302"/>
      <w:bookmarkEnd w:id="385"/>
      <w:bookmarkStart w:id="386" w:name="_Toc184313287"/>
      <w:bookmarkEnd w:id="386"/>
      <w:bookmarkStart w:id="387" w:name="_Toc184308065"/>
      <w:bookmarkEnd w:id="387"/>
      <w:bookmarkStart w:id="388" w:name="_Toc184314443"/>
      <w:bookmarkEnd w:id="388"/>
      <w:bookmarkStart w:id="389" w:name="_Toc184312125"/>
      <w:bookmarkEnd w:id="389"/>
      <w:bookmarkStart w:id="390" w:name="_Toc184313268"/>
      <w:bookmarkEnd w:id="390"/>
      <w:bookmarkStart w:id="391" w:name="_Toc184308105"/>
      <w:bookmarkEnd w:id="391"/>
      <w:bookmarkStart w:id="392" w:name="_Toc184312118"/>
      <w:bookmarkEnd w:id="392"/>
      <w:r>
        <w:rPr>
          <w:rFonts w:hint="eastAsia" w:ascii="仿宋" w:hAnsi="仿宋" w:eastAsia="仿宋"/>
          <w:color w:val="auto"/>
          <w:highlight w:val="none"/>
        </w:rPr>
        <w:t xml:space="preserve"> 评标办法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136"/>
        <w:spacing w:before="0"/>
        <w:ind w:firstLine="602" w:firstLineChars="250"/>
        <w:rPr>
          <w:rFonts w:ascii="仿宋" w:hAnsi="仿宋" w:eastAsia="仿宋" w:cs="仿宋"/>
          <w:color w:val="auto"/>
          <w:szCs w:val="24"/>
          <w:highlight w:val="none"/>
        </w:rPr>
      </w:pPr>
      <w:r>
        <w:rPr>
          <w:rFonts w:hint="eastAsia" w:ascii="仿宋" w:hAnsi="仿宋" w:eastAsia="仿宋" w:cs="仿宋"/>
          <w:b/>
          <w:color w:val="auto"/>
          <w:szCs w:val="24"/>
          <w:highlight w:val="none"/>
        </w:rPr>
        <w:t>1、本次评标采用综合评分法，总分为100分。</w:t>
      </w:r>
      <w:r>
        <w:rPr>
          <w:rFonts w:hint="eastAsia" w:ascii="仿宋" w:hAnsi="仿宋" w:eastAsia="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136"/>
        <w:spacing w:before="0"/>
        <w:ind w:firstLine="600" w:firstLineChars="250"/>
        <w:rPr>
          <w:rFonts w:ascii="仿宋" w:hAnsi="仿宋" w:eastAsia="仿宋" w:cs="仿宋"/>
          <w:bCs/>
          <w:color w:val="auto"/>
          <w:szCs w:val="24"/>
          <w:highlight w:val="none"/>
        </w:rPr>
      </w:pPr>
      <w:r>
        <w:rPr>
          <w:rFonts w:hint="eastAsia" w:ascii="仿宋" w:hAnsi="仿宋" w:eastAsia="仿宋" w:cs="仿宋"/>
          <w:bCs/>
          <w:color w:val="auto"/>
          <w:szCs w:val="24"/>
          <w:highlight w:val="none"/>
        </w:rPr>
        <w:t>各投标人的综合得分为：投标价格得分+技术商务得分之和，总和为100分，其中：投标价格得分30分，商务技术得分70分。</w:t>
      </w:r>
    </w:p>
    <w:p>
      <w:pPr>
        <w:pStyle w:val="2"/>
        <w:tabs>
          <w:tab w:val="left" w:pos="1890"/>
        </w:tabs>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2、商务、技术评标细则（70分）</w:t>
      </w:r>
    </w:p>
    <w:p>
      <w:pPr>
        <w:pStyle w:val="2"/>
        <w:tabs>
          <w:tab w:val="left" w:pos="1890"/>
        </w:tabs>
        <w:snapToGrid w:val="0"/>
        <w:spacing w:line="360" w:lineRule="auto"/>
        <w:ind w:firstLine="482"/>
        <w:rPr>
          <w:rFonts w:ascii="仿宋" w:hAnsi="仿宋" w:eastAsia="仿宋" w:cs="宋体"/>
          <w:b/>
          <w:bCs/>
          <w:color w:val="auto"/>
          <w:highlight w:val="none"/>
        </w:rPr>
      </w:pPr>
      <w:r>
        <w:rPr>
          <w:rFonts w:hint="eastAsia" w:ascii="仿宋" w:hAnsi="仿宋" w:eastAsia="仿宋" w:cs="宋体"/>
          <w:b/>
          <w:bCs/>
          <w:color w:val="auto"/>
          <w:highlight w:val="none"/>
        </w:rPr>
        <w:t>商务技术分（70分）：</w:t>
      </w:r>
    </w:p>
    <w:p>
      <w:pPr>
        <w:widowControl/>
        <w:adjustRightInd/>
        <w:jc w:val="left"/>
        <w:rPr>
          <w:rFonts w:ascii="仿宋" w:hAnsi="仿宋" w:eastAsia="仿宋" w:cs="宋体"/>
          <w:b/>
          <w:bCs/>
          <w:color w:val="auto"/>
          <w:szCs w:val="21"/>
          <w:highlight w:val="none"/>
        </w:rPr>
      </w:pP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79"/>
        <w:gridCol w:w="705"/>
        <w:gridCol w:w="96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77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965" w:type="dxa"/>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1559" w:type="dxa"/>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4779" w:type="dxa"/>
          </w:tcPr>
          <w:p>
            <w:pPr>
              <w:adjustRightInd/>
              <w:snapToGrid w:val="0"/>
              <w:spacing w:line="360" w:lineRule="auto"/>
              <w:jc w:val="left"/>
              <w:rPr>
                <w:rFonts w:ascii="仿宋" w:hAnsi="仿宋" w:eastAsia="仿宋" w:cs="仿宋_GB2312"/>
                <w:color w:val="auto"/>
                <w:sz w:val="24"/>
                <w:highlight w:val="none"/>
              </w:rPr>
            </w:pPr>
            <w:r>
              <w:rPr>
                <w:rFonts w:hint="eastAsia" w:ascii="仿宋_GB2312" w:hAnsi="仿宋" w:eastAsia="仿宋_GB2312" w:cs="Arial"/>
                <w:color w:val="auto"/>
                <w:kern w:val="0"/>
                <w:sz w:val="24"/>
                <w:highlight w:val="none"/>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color w:val="auto"/>
                <w:sz w:val="24"/>
                <w:highlight w:val="none"/>
              </w:rPr>
              <w:t>等进行评议（2分）：</w:t>
            </w:r>
            <w:r>
              <w:rPr>
                <w:rFonts w:hint="eastAsia" w:ascii="仿宋" w:hAnsi="仿宋" w:eastAsia="仿宋" w:cs="仿宋_GB2312"/>
                <w:b/>
                <w:bCs/>
                <w:color w:val="auto"/>
                <w:sz w:val="24"/>
                <w:highlight w:val="none"/>
              </w:rPr>
              <w:t>方案符合要求，内容完整、可行的得2分；方案符合要求，内容完整，但有所欠缺的得1分；方案符合要求，但内容不完整的得0.5分，没有不得分。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4779" w:type="dxa"/>
          </w:tcPr>
          <w:p>
            <w:pPr>
              <w:adjustRightInd/>
              <w:snapToGrid w:val="0"/>
              <w:spacing w:line="360" w:lineRule="auto"/>
              <w:jc w:val="left"/>
              <w:rPr>
                <w:rFonts w:ascii="仿宋" w:hAnsi="仿宋" w:eastAsia="仿宋" w:cs="仿宋_GB2312"/>
                <w:color w:val="auto"/>
                <w:sz w:val="24"/>
                <w:highlight w:val="none"/>
              </w:rPr>
            </w:pPr>
            <w:r>
              <w:rPr>
                <w:rFonts w:hint="eastAsia" w:ascii="仿宋_GB2312" w:hAnsi="仿宋" w:eastAsia="仿宋_GB2312" w:cs="Arial"/>
                <w:color w:val="auto"/>
                <w:kern w:val="0"/>
                <w:sz w:val="24"/>
                <w:highlight w:val="none"/>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color w:val="auto"/>
                <w:sz w:val="24"/>
                <w:highlight w:val="none"/>
              </w:rPr>
              <w:t>等进行评议（2分）：</w:t>
            </w:r>
            <w:r>
              <w:rPr>
                <w:rFonts w:hint="eastAsia" w:ascii="仿宋_GB2312" w:hAnsi="仿宋" w:eastAsia="仿宋_GB2312" w:cs="Arial"/>
                <w:b/>
                <w:bCs/>
                <w:color w:val="auto"/>
                <w:kern w:val="0"/>
                <w:sz w:val="24"/>
                <w:highlight w:val="none"/>
              </w:rPr>
              <w:t>组织架构、管理机制</w:t>
            </w:r>
            <w:r>
              <w:rPr>
                <w:rFonts w:hint="eastAsia" w:ascii="仿宋" w:hAnsi="仿宋" w:eastAsia="仿宋" w:cs="仿宋_GB2312"/>
                <w:b/>
                <w:bCs/>
                <w:color w:val="auto"/>
                <w:sz w:val="24"/>
                <w:highlight w:val="none"/>
              </w:rPr>
              <w:t>符合要求，内容完整、可行的得2分；</w:t>
            </w:r>
            <w:r>
              <w:rPr>
                <w:rFonts w:hint="eastAsia" w:ascii="仿宋_GB2312" w:hAnsi="仿宋" w:eastAsia="仿宋_GB2312" w:cs="Arial"/>
                <w:b/>
                <w:bCs/>
                <w:color w:val="auto"/>
                <w:kern w:val="0"/>
                <w:sz w:val="24"/>
                <w:highlight w:val="none"/>
              </w:rPr>
              <w:t>组织架构、管理机制</w:t>
            </w:r>
            <w:r>
              <w:rPr>
                <w:rFonts w:hint="eastAsia" w:ascii="仿宋" w:hAnsi="仿宋" w:eastAsia="仿宋" w:cs="仿宋_GB2312"/>
                <w:b/>
                <w:bCs/>
                <w:color w:val="auto"/>
                <w:sz w:val="24"/>
                <w:highlight w:val="none"/>
              </w:rPr>
              <w:t>符合要求，内容完整，但有所欠缺的得1分；</w:t>
            </w:r>
            <w:r>
              <w:rPr>
                <w:rFonts w:hint="eastAsia" w:ascii="仿宋_GB2312" w:hAnsi="仿宋" w:eastAsia="仿宋_GB2312" w:cs="Arial"/>
                <w:b/>
                <w:bCs/>
                <w:color w:val="auto"/>
                <w:kern w:val="0"/>
                <w:sz w:val="24"/>
                <w:highlight w:val="none"/>
              </w:rPr>
              <w:t>组织架构、管理机制</w:t>
            </w:r>
            <w:r>
              <w:rPr>
                <w:rFonts w:hint="eastAsia" w:ascii="仿宋" w:hAnsi="仿宋" w:eastAsia="仿宋" w:cs="仿宋_GB2312"/>
                <w:b/>
                <w:bCs/>
                <w:color w:val="auto"/>
                <w:sz w:val="24"/>
                <w:highlight w:val="none"/>
              </w:rPr>
              <w:t>不完整，内容不完整的得0.5分，没有不得分。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4779" w:type="dxa"/>
          </w:tcPr>
          <w:p>
            <w:pPr>
              <w:adjustRightInd/>
              <w:snapToGrid w:val="0"/>
              <w:spacing w:line="360" w:lineRule="auto"/>
              <w:jc w:val="left"/>
              <w:rPr>
                <w:rFonts w:ascii="仿宋" w:hAnsi="仿宋" w:eastAsia="仿宋" w:cs="仿宋_GB2312"/>
                <w:color w:val="auto"/>
                <w:sz w:val="24"/>
                <w:highlight w:val="none"/>
              </w:rPr>
            </w:pPr>
            <w:r>
              <w:rPr>
                <w:rFonts w:hint="eastAsia" w:ascii="仿宋_GB2312" w:hAnsi="仿宋" w:eastAsia="仿宋_GB2312" w:cs="Arial"/>
                <w:color w:val="auto"/>
                <w:kern w:val="0"/>
                <w:sz w:val="24"/>
                <w:highlight w:val="none"/>
              </w:rPr>
              <w:t>针对本项目的管理机构设置：根据机构设置情况的完善程度等内容</w:t>
            </w:r>
            <w:r>
              <w:rPr>
                <w:rFonts w:hint="eastAsia" w:ascii="仿宋" w:hAnsi="仿宋" w:eastAsia="仿宋" w:cs="仿宋_GB2312"/>
                <w:color w:val="auto"/>
                <w:sz w:val="24"/>
                <w:highlight w:val="none"/>
              </w:rPr>
              <w:t>进行评议（2分）：</w:t>
            </w:r>
            <w:r>
              <w:rPr>
                <w:rFonts w:hint="eastAsia" w:ascii="仿宋_GB2312" w:hAnsi="仿宋" w:eastAsia="仿宋_GB2312" w:cs="Arial"/>
                <w:b/>
                <w:bCs/>
                <w:color w:val="auto"/>
                <w:kern w:val="0"/>
                <w:sz w:val="24"/>
                <w:highlight w:val="none"/>
              </w:rPr>
              <w:t>机构设置情况</w:t>
            </w:r>
            <w:r>
              <w:rPr>
                <w:rFonts w:hint="eastAsia" w:ascii="仿宋" w:hAnsi="仿宋" w:eastAsia="仿宋" w:cs="仿宋_GB2312"/>
                <w:b/>
                <w:bCs/>
                <w:color w:val="auto"/>
                <w:sz w:val="24"/>
                <w:highlight w:val="none"/>
              </w:rPr>
              <w:t>符合要求，内容完整的得2分；</w:t>
            </w:r>
            <w:r>
              <w:rPr>
                <w:rFonts w:hint="eastAsia" w:ascii="仿宋_GB2312" w:hAnsi="仿宋" w:eastAsia="仿宋_GB2312" w:cs="Arial"/>
                <w:b/>
                <w:bCs/>
                <w:color w:val="auto"/>
                <w:kern w:val="0"/>
                <w:sz w:val="24"/>
                <w:highlight w:val="none"/>
              </w:rPr>
              <w:t>机构设置情况</w:t>
            </w:r>
            <w:r>
              <w:rPr>
                <w:rFonts w:hint="eastAsia" w:ascii="仿宋" w:hAnsi="仿宋" w:eastAsia="仿宋" w:cs="仿宋_GB2312"/>
                <w:b/>
                <w:bCs/>
                <w:color w:val="auto"/>
                <w:sz w:val="24"/>
                <w:highlight w:val="none"/>
              </w:rPr>
              <w:t>符合要求，内容有所欠缺的得1分；</w:t>
            </w:r>
            <w:r>
              <w:rPr>
                <w:rFonts w:hint="eastAsia" w:ascii="仿宋_GB2312" w:hAnsi="仿宋" w:eastAsia="仿宋_GB2312" w:cs="Arial"/>
                <w:b/>
                <w:bCs/>
                <w:color w:val="auto"/>
                <w:kern w:val="0"/>
                <w:sz w:val="24"/>
                <w:highlight w:val="none"/>
              </w:rPr>
              <w:t>机构设置</w:t>
            </w:r>
            <w:r>
              <w:rPr>
                <w:rFonts w:hint="eastAsia" w:ascii="仿宋" w:hAnsi="仿宋" w:eastAsia="仿宋" w:cs="仿宋_GB2312"/>
                <w:b/>
                <w:bCs/>
                <w:color w:val="auto"/>
                <w:sz w:val="24"/>
                <w:highlight w:val="none"/>
              </w:rPr>
              <w:t>有所欠缺，内容不完整的得0.5分，没有不得分。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4779" w:type="dxa"/>
            <w:vAlign w:val="center"/>
          </w:tcPr>
          <w:p>
            <w:pPr>
              <w:adjustRightInd/>
              <w:spacing w:line="360" w:lineRule="auto"/>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项目组人员情况：</w:t>
            </w:r>
          </w:p>
          <w:p>
            <w:pPr>
              <w:adjustRightInd/>
              <w:spacing w:line="360" w:lineRule="auto"/>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一、项目负责人：</w:t>
            </w:r>
          </w:p>
          <w:p>
            <w:pPr>
              <w:adjustRightInd/>
              <w:spacing w:line="360" w:lineRule="auto"/>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1）具有国家职业资格壹级保安员证书的得2分；国家职业资格贰级保安员证书得1分；</w:t>
            </w:r>
          </w:p>
          <w:p>
            <w:pPr>
              <w:adjustRightInd/>
              <w:spacing w:line="360" w:lineRule="auto"/>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2）具有大学专科及以上学历的得1分；</w:t>
            </w:r>
          </w:p>
          <w:p>
            <w:pPr>
              <w:adjustRightInd/>
              <w:spacing w:line="360" w:lineRule="auto"/>
              <w:ind w:firstLine="480" w:firstLineChars="200"/>
              <w:jc w:val="left"/>
              <w:rPr>
                <w:rFonts w:eastAsia="仿宋_GB2312"/>
                <w:color w:val="auto"/>
                <w:highlight w:val="none"/>
              </w:rPr>
            </w:pPr>
            <w:r>
              <w:rPr>
                <w:rFonts w:hint="eastAsia" w:ascii="仿宋_GB2312" w:hAnsi="仿宋" w:eastAsia="仿宋_GB2312" w:cs="Arial"/>
                <w:color w:val="auto"/>
                <w:kern w:val="0"/>
                <w:sz w:val="24"/>
                <w:highlight w:val="none"/>
              </w:rPr>
              <w:t>3）是退伍军人的得1分；</w:t>
            </w:r>
          </w:p>
          <w:p>
            <w:pPr>
              <w:adjustRightInd/>
              <w:spacing w:line="360" w:lineRule="auto"/>
              <w:ind w:firstLine="482" w:firstLineChars="200"/>
              <w:jc w:val="left"/>
              <w:rPr>
                <w:rFonts w:ascii="仿宋" w:hAnsi="仿宋" w:eastAsia="仿宋" w:cs="仿宋_GB2312"/>
                <w:color w:val="auto"/>
                <w:sz w:val="24"/>
                <w:highlight w:val="none"/>
              </w:rPr>
            </w:pPr>
            <w:r>
              <w:rPr>
                <w:rFonts w:hint="eastAsia" w:ascii="仿宋_GB2312" w:hAnsi="仿宋" w:eastAsia="仿宋_GB2312" w:cs="Arial"/>
                <w:b/>
                <w:bCs/>
                <w:color w:val="auto"/>
                <w:kern w:val="0"/>
                <w:sz w:val="24"/>
                <w:highlight w:val="none"/>
              </w:rPr>
              <w:t>投标文件中提供负责人工作经验证明加盖投标人公章、同时提供证书扫描件加盖投标人公章及近1个月社保证明扫描件加盖投标人公章；（0-4分）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889"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779" w:type="dxa"/>
            <w:vAlign w:val="center"/>
          </w:tcPr>
          <w:p>
            <w:pPr>
              <w:adjustRightInd/>
              <w:spacing w:line="360" w:lineRule="auto"/>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二、投入人员配置情况：</w:t>
            </w:r>
          </w:p>
          <w:p>
            <w:pPr>
              <w:adjustRightInd/>
              <w:spacing w:line="360" w:lineRule="auto"/>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1）具有国家职业资格贰级保安员及以上证书的得1分，最多得2分；具有国家职业资格叁级保安员及以上证书的得0.5分，最多得1分；</w:t>
            </w:r>
          </w:p>
          <w:p>
            <w:pPr>
              <w:adjustRightInd/>
              <w:spacing w:line="360" w:lineRule="auto"/>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2）具有大学专科及以上学历的得0.5分，最多得1分；</w:t>
            </w:r>
          </w:p>
          <w:p>
            <w:pPr>
              <w:adjustRightInd/>
              <w:spacing w:line="360" w:lineRule="auto"/>
              <w:ind w:firstLine="482" w:firstLineChars="200"/>
              <w:jc w:val="left"/>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投标文件中同时提供证书扫描件加盖投标人公章及近1个月有效社保缴纳证明扫描件加盖投标人公章；（0-3分）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ascii="仿宋" w:hAnsi="仿宋" w:eastAsia="仿宋" w:cs="仿宋_GB2312"/>
                <w:color w:val="auto"/>
                <w:sz w:val="24"/>
                <w:highlight w:val="none"/>
              </w:rPr>
            </w:pPr>
          </w:p>
        </w:tc>
        <w:tc>
          <w:tcPr>
            <w:tcW w:w="4779" w:type="dxa"/>
            <w:vAlign w:val="center"/>
          </w:tcPr>
          <w:p>
            <w:pPr>
              <w:numPr>
                <w:ilvl w:val="0"/>
                <w:numId w:val="3"/>
              </w:numPr>
              <w:adjustRightInd/>
              <w:spacing w:line="360" w:lineRule="auto"/>
              <w:ind w:firstLine="480" w:firstLineChars="200"/>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拟投入人员配置情况：拟投入人员要求</w:t>
            </w:r>
            <w:r>
              <w:rPr>
                <w:rFonts w:hint="eastAsia" w:ascii="仿宋_GB2312" w:hAnsi="仿宋" w:eastAsia="仿宋_GB2312" w:cs="Arial"/>
                <w:b/>
                <w:bCs/>
                <w:color w:val="auto"/>
                <w:kern w:val="0"/>
                <w:sz w:val="24"/>
                <w:highlight w:val="none"/>
              </w:rPr>
              <w:t>40周岁</w:t>
            </w:r>
            <w:r>
              <w:rPr>
                <w:rFonts w:hint="eastAsia" w:ascii="仿宋_GB2312" w:hAnsi="仿宋" w:eastAsia="仿宋_GB2312" w:cs="Arial"/>
                <w:color w:val="auto"/>
                <w:kern w:val="0"/>
                <w:sz w:val="24"/>
                <w:highlight w:val="none"/>
              </w:rPr>
              <w:t>及以下具有保安员证的满足118人（含118人）</w:t>
            </w:r>
            <w:r>
              <w:rPr>
                <w:rFonts w:hint="eastAsia" w:ascii="仿宋_GB2312" w:hAnsi="仿宋" w:eastAsia="仿宋_GB2312" w:cs="Arial"/>
                <w:b/>
                <w:bCs/>
                <w:color w:val="auto"/>
                <w:kern w:val="0"/>
                <w:sz w:val="24"/>
                <w:highlight w:val="none"/>
              </w:rPr>
              <w:t>（按照项目总人数40%配比)</w:t>
            </w:r>
            <w:r>
              <w:rPr>
                <w:rFonts w:hint="eastAsia" w:ascii="仿宋_GB2312" w:hAnsi="仿宋" w:eastAsia="仿宋_GB2312" w:cs="Arial"/>
                <w:color w:val="auto"/>
                <w:kern w:val="0"/>
                <w:sz w:val="24"/>
                <w:highlight w:val="none"/>
              </w:rPr>
              <w:t>得基本分2分，每增加一人加0.5分，最多加</w:t>
            </w:r>
            <w:r>
              <w:rPr>
                <w:rFonts w:hint="eastAsia" w:ascii="仿宋_GB2312" w:hAnsi="仿宋" w:eastAsia="仿宋_GB2312" w:cs="Arial"/>
                <w:color w:val="auto"/>
                <w:kern w:val="0"/>
                <w:sz w:val="24"/>
                <w:highlight w:val="none"/>
                <w:lang w:val="en-US" w:eastAsia="zh-CN"/>
              </w:rPr>
              <w:t>9</w:t>
            </w:r>
            <w:r>
              <w:rPr>
                <w:rFonts w:hint="eastAsia" w:ascii="仿宋_GB2312" w:hAnsi="仿宋" w:eastAsia="仿宋_GB2312" w:cs="Arial"/>
                <w:color w:val="auto"/>
                <w:kern w:val="0"/>
                <w:sz w:val="24"/>
                <w:highlight w:val="none"/>
              </w:rPr>
              <w:t>分</w:t>
            </w:r>
            <w:r>
              <w:rPr>
                <w:rFonts w:hint="eastAsia" w:ascii="仿宋_GB2312" w:hAnsi="仿宋" w:eastAsia="仿宋_GB2312" w:cs="Arial"/>
                <w:b/>
                <w:bCs/>
                <w:color w:val="auto"/>
                <w:kern w:val="0"/>
                <w:sz w:val="24"/>
                <w:highlight w:val="none"/>
              </w:rPr>
              <w:t>；</w:t>
            </w:r>
            <w:r>
              <w:rPr>
                <w:rFonts w:hint="eastAsia" w:ascii="仿宋_GB2312" w:hAnsi="仿宋" w:eastAsia="仿宋_GB2312" w:cs="Arial"/>
                <w:color w:val="auto"/>
                <w:kern w:val="0"/>
                <w:sz w:val="24"/>
                <w:highlight w:val="none"/>
              </w:rPr>
              <w:t>其中具有警官转业证书或军官转业证书或退伍证书的人员占总人数比例10%及以上加2分，比例每增加5%加1分，最多加11分；</w:t>
            </w:r>
          </w:p>
          <w:p>
            <w:pPr>
              <w:adjustRightInd/>
              <w:spacing w:line="360" w:lineRule="auto"/>
              <w:jc w:val="left"/>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投标文件中同时提供证书扫描件加盖投标人公章及近1个月有效社保缴纳证明扫描件加盖投标人公章；（0-20分）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4779" w:type="dxa"/>
          </w:tcPr>
          <w:p>
            <w:pPr>
              <w:adjustRightInd/>
              <w:spacing w:line="360" w:lineRule="auto"/>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管理组织实施方案：</w:t>
            </w:r>
          </w:p>
          <w:p>
            <w:pPr>
              <w:numPr>
                <w:ilvl w:val="0"/>
                <w:numId w:val="4"/>
              </w:numPr>
              <w:adjustRightInd/>
              <w:spacing w:line="360" w:lineRule="auto"/>
              <w:jc w:val="left"/>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管理的制度、规范和标准等内容</w:t>
            </w:r>
            <w:r>
              <w:rPr>
                <w:rFonts w:hint="eastAsia" w:ascii="仿宋" w:hAnsi="仿宋" w:eastAsia="仿宋" w:cs="仿宋_GB2312"/>
                <w:color w:val="auto"/>
                <w:sz w:val="24"/>
                <w:highlight w:val="none"/>
              </w:rPr>
              <w:t>等进行评议（2分）：</w:t>
            </w:r>
            <w:r>
              <w:rPr>
                <w:rFonts w:hint="eastAsia" w:ascii="仿宋" w:hAnsi="仿宋" w:eastAsia="仿宋" w:cs="仿宋_GB2312"/>
                <w:b/>
                <w:bCs/>
                <w:color w:val="auto"/>
                <w:sz w:val="24"/>
                <w:highlight w:val="none"/>
              </w:rPr>
              <w:t>管理制度、规范和标准</w:t>
            </w:r>
            <w:r>
              <w:rPr>
                <w:rFonts w:hint="eastAsia" w:ascii="仿宋_GB2312" w:hAnsi="仿宋" w:eastAsia="仿宋_GB2312" w:cs="Arial"/>
                <w:b/>
                <w:bCs/>
                <w:color w:val="auto"/>
                <w:kern w:val="0"/>
                <w:sz w:val="24"/>
                <w:highlight w:val="none"/>
              </w:rPr>
              <w:t>情况</w:t>
            </w:r>
            <w:r>
              <w:rPr>
                <w:rFonts w:hint="eastAsia" w:ascii="仿宋" w:hAnsi="仿宋" w:eastAsia="仿宋" w:cs="仿宋_GB2312"/>
                <w:b/>
                <w:bCs/>
                <w:color w:val="auto"/>
                <w:sz w:val="24"/>
                <w:highlight w:val="none"/>
              </w:rPr>
              <w:t>符合要求，内容完整、可行的得2分；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符合要求，内容完整，但有所欠缺的得1分；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符合要求，但内容不完整的得0.5分，没有不得分。</w:t>
            </w:r>
          </w:p>
          <w:p>
            <w:pPr>
              <w:numPr>
                <w:ilvl w:val="0"/>
                <w:numId w:val="4"/>
              </w:numPr>
              <w:adjustRightInd/>
              <w:spacing w:line="360" w:lineRule="auto"/>
              <w:jc w:val="left"/>
              <w:rPr>
                <w:color w:val="auto"/>
                <w:highlight w:val="none"/>
              </w:rPr>
            </w:pPr>
            <w:r>
              <w:rPr>
                <w:rFonts w:hint="eastAsia" w:ascii="仿宋_GB2312" w:hAnsi="仿宋" w:eastAsia="仿宋_GB2312" w:cs="Arial"/>
                <w:color w:val="auto"/>
                <w:kern w:val="0"/>
                <w:sz w:val="24"/>
                <w:highlight w:val="none"/>
              </w:rPr>
              <w:t>门岗、巡逻管理服务等具体实施方案内容</w:t>
            </w:r>
            <w:r>
              <w:rPr>
                <w:rFonts w:hint="eastAsia" w:ascii="仿宋" w:hAnsi="仿宋" w:eastAsia="仿宋" w:cs="仿宋_GB2312"/>
                <w:color w:val="auto"/>
                <w:sz w:val="24"/>
                <w:highlight w:val="none"/>
              </w:rPr>
              <w:t>等进行评议（2分）：</w:t>
            </w:r>
            <w:r>
              <w:rPr>
                <w:rFonts w:hint="eastAsia" w:ascii="仿宋_GB2312" w:hAnsi="仿宋" w:eastAsia="仿宋_GB2312" w:cs="Arial"/>
                <w:b/>
                <w:bCs/>
                <w:color w:val="auto"/>
                <w:kern w:val="0"/>
                <w:sz w:val="24"/>
                <w:highlight w:val="none"/>
              </w:rPr>
              <w:t>门岗、巡逻施方案情况</w:t>
            </w:r>
            <w:r>
              <w:rPr>
                <w:rFonts w:hint="eastAsia" w:ascii="仿宋" w:hAnsi="仿宋" w:eastAsia="仿宋" w:cs="仿宋_GB2312"/>
                <w:b/>
                <w:bCs/>
                <w:color w:val="auto"/>
                <w:sz w:val="24"/>
                <w:highlight w:val="none"/>
              </w:rPr>
              <w:t>符合要求，内容完整、可行的得2分；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符合要求，内容完整，但有所欠缺的得1分；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符合要求，但内容不完整的得0.5分，没有不得分。</w:t>
            </w:r>
          </w:p>
          <w:p>
            <w:pPr>
              <w:adjustRightInd/>
              <w:snapToGrid w:val="0"/>
              <w:spacing w:line="360" w:lineRule="auto"/>
              <w:jc w:val="left"/>
              <w:rPr>
                <w:rFonts w:ascii="仿宋" w:hAnsi="仿宋" w:eastAsia="仿宋" w:cs="仿宋_GB2312"/>
                <w:color w:val="auto"/>
                <w:sz w:val="24"/>
                <w:highlight w:val="none"/>
              </w:rPr>
            </w:pPr>
            <w:r>
              <w:rPr>
                <w:rFonts w:hint="eastAsia" w:ascii="仿宋_GB2312" w:hAnsi="仿宋" w:eastAsia="仿宋_GB2312" w:cs="Arial"/>
                <w:color w:val="auto"/>
                <w:kern w:val="0"/>
                <w:sz w:val="24"/>
                <w:highlight w:val="none"/>
              </w:rPr>
              <w:t>3）稳定员工队伍的措施等内容</w:t>
            </w:r>
            <w:r>
              <w:rPr>
                <w:rFonts w:hint="eastAsia" w:ascii="仿宋" w:hAnsi="仿宋" w:eastAsia="仿宋" w:cs="仿宋_GB2312"/>
                <w:color w:val="auto"/>
                <w:sz w:val="24"/>
                <w:highlight w:val="none"/>
              </w:rPr>
              <w:t>等进行评议（2分）：</w:t>
            </w:r>
            <w:r>
              <w:rPr>
                <w:rFonts w:hint="eastAsia" w:ascii="仿宋" w:hAnsi="仿宋" w:eastAsia="仿宋" w:cs="仿宋_GB2312"/>
                <w:b/>
                <w:bCs/>
                <w:color w:val="auto"/>
                <w:sz w:val="24"/>
                <w:highlight w:val="none"/>
              </w:rPr>
              <w:t>稳定员工队伍措施</w:t>
            </w:r>
            <w:r>
              <w:rPr>
                <w:rFonts w:hint="eastAsia" w:ascii="仿宋_GB2312" w:hAnsi="仿宋" w:eastAsia="仿宋_GB2312" w:cs="Arial"/>
                <w:b/>
                <w:bCs/>
                <w:color w:val="auto"/>
                <w:kern w:val="0"/>
                <w:sz w:val="24"/>
                <w:highlight w:val="none"/>
              </w:rPr>
              <w:t>方案情况</w:t>
            </w:r>
            <w:r>
              <w:rPr>
                <w:rFonts w:hint="eastAsia" w:ascii="仿宋" w:hAnsi="仿宋" w:eastAsia="仿宋" w:cs="仿宋_GB2312"/>
                <w:b/>
                <w:bCs/>
                <w:color w:val="auto"/>
                <w:sz w:val="24"/>
                <w:highlight w:val="none"/>
              </w:rPr>
              <w:t>符合要求，内容完整、可行的得1分；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符合要求，内容完整，但有所欠缺的得1分；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符合要求，但内容不完整的得0.5分，没有不得分。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4779" w:type="dxa"/>
          </w:tcPr>
          <w:p>
            <w:pPr>
              <w:adjustRightInd/>
              <w:snapToGrid w:val="0"/>
              <w:spacing w:line="360" w:lineRule="auto"/>
              <w:jc w:val="left"/>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视频演示评议(10分):</w:t>
            </w:r>
          </w:p>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1）必须提供5分钟视频，根据采购需要通过短视频应答；</w:t>
            </w:r>
          </w:p>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2）视频内演示项目负责人及管理团队（承诺为项目投入人员） 人，安保人员不少于</w:t>
            </w:r>
            <w:r>
              <w:rPr>
                <w:rFonts w:hint="eastAsia" w:ascii="仿宋_GB2312" w:hAnsi="仿宋" w:eastAsia="仿宋_GB2312" w:cs="仿宋_GB2312"/>
                <w:color w:val="auto"/>
                <w:sz w:val="24"/>
                <w:szCs w:val="20"/>
                <w:highlight w:val="none"/>
              </w:rPr>
              <w:t>118</w:t>
            </w:r>
            <w:r>
              <w:rPr>
                <w:rFonts w:hint="eastAsia" w:ascii="仿宋" w:hAnsi="仿宋" w:eastAsia="仿宋" w:cs="仿宋_GB2312"/>
                <w:color w:val="auto"/>
                <w:sz w:val="24"/>
                <w:highlight w:val="none"/>
              </w:rPr>
              <w:t>人，提供得4分，少提供一人扣0.5分；（演示安保人员必须参与后续工作，若演示安保人员在后续工作需要调整、调离等需经街道同意，违反则扣除合同金额1%。）为方便人员数量展示，建议人员列队为3个方队，每方队成4排、每排10人。</w:t>
            </w:r>
          </w:p>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3）视频内演示中提供采购需求装备、设施、车辆等，提供得2分，少提供1项扣1分，扣完为止或不提供不得分；</w:t>
            </w:r>
          </w:p>
          <w:p>
            <w:pPr>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4）视频内企业服务宗旨、服务能力展示，好得2分，良好得1分，差得0分；</w:t>
            </w:r>
          </w:p>
          <w:p>
            <w:pPr>
              <w:adjustRightInd/>
              <w:snapToGrid w:val="0"/>
              <w:spacing w:line="360" w:lineRule="auto"/>
              <w:jc w:val="left"/>
              <w:rPr>
                <w:rFonts w:ascii="仿宋_GB2312" w:hAnsi="仿宋" w:eastAsia="仿宋_GB2312" w:cs="Arial"/>
                <w:b/>
                <w:bCs/>
                <w:color w:val="auto"/>
                <w:kern w:val="0"/>
                <w:sz w:val="24"/>
                <w:highlight w:val="none"/>
              </w:rPr>
            </w:pPr>
            <w:r>
              <w:rPr>
                <w:rFonts w:hint="eastAsia" w:ascii="仿宋" w:hAnsi="仿宋" w:eastAsia="仿宋" w:cs="仿宋_GB2312"/>
                <w:color w:val="auto"/>
                <w:sz w:val="24"/>
                <w:highlight w:val="none"/>
              </w:rPr>
              <w:t>5）视频内人员仪容仪表、精神面貌、语言表达等，好2分，良好得1分，差得0分；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4779" w:type="dxa"/>
          </w:tcPr>
          <w:p>
            <w:pPr>
              <w:adjustRightInd/>
              <w:snapToGrid w:val="0"/>
              <w:spacing w:line="360" w:lineRule="auto"/>
              <w:jc w:val="left"/>
              <w:rPr>
                <w:rFonts w:ascii="仿宋" w:hAnsi="仿宋" w:eastAsia="仿宋" w:cs="仿宋"/>
                <w:color w:val="auto"/>
                <w:sz w:val="24"/>
                <w:highlight w:val="none"/>
              </w:rPr>
            </w:pPr>
            <w:r>
              <w:rPr>
                <w:rFonts w:hint="eastAsia" w:ascii="仿宋_GB2312" w:hAnsi="仿宋" w:eastAsia="仿宋_GB2312" w:cs="Arial"/>
                <w:color w:val="auto"/>
                <w:kern w:val="0"/>
                <w:sz w:val="24"/>
                <w:highlight w:val="none"/>
              </w:rPr>
              <w:t>应急预案：提供处理突发事件的应急预案</w:t>
            </w:r>
            <w:r>
              <w:rPr>
                <w:rFonts w:hint="eastAsia" w:ascii="仿宋" w:hAnsi="仿宋" w:eastAsia="仿宋" w:cs="仿宋_GB2312"/>
                <w:color w:val="auto"/>
                <w:sz w:val="24"/>
                <w:highlight w:val="none"/>
              </w:rPr>
              <w:t>进行评议（3分）：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符合要求，内容完整、可行的得3分；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符合要求，内容完整，但有所欠缺的得2分；</w:t>
            </w:r>
            <w:r>
              <w:rPr>
                <w:rFonts w:hint="eastAsia" w:ascii="仿宋_GB2312" w:hAnsi="仿宋" w:eastAsia="仿宋_GB2312" w:cs="Arial"/>
                <w:b/>
                <w:bCs/>
                <w:color w:val="auto"/>
                <w:kern w:val="0"/>
                <w:sz w:val="24"/>
                <w:highlight w:val="none"/>
              </w:rPr>
              <w:t>方案</w:t>
            </w:r>
            <w:r>
              <w:rPr>
                <w:rFonts w:hint="eastAsia" w:ascii="仿宋" w:hAnsi="仿宋" w:eastAsia="仿宋" w:cs="仿宋_GB2312"/>
                <w:b/>
                <w:bCs/>
                <w:color w:val="auto"/>
                <w:sz w:val="24"/>
                <w:highlight w:val="none"/>
              </w:rPr>
              <w:t>符合要求，但内容不完整的得1分，没有不得分。</w:t>
            </w:r>
          </w:p>
        </w:tc>
        <w:tc>
          <w:tcPr>
            <w:tcW w:w="70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965" w:type="dxa"/>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c>
          <w:tcPr>
            <w:tcW w:w="1559" w:type="dxa"/>
            <w:vAlign w:val="center"/>
          </w:tcPr>
          <w:p>
            <w:pPr>
              <w:snapToGrid w:val="0"/>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w:t>
            </w:r>
          </w:p>
        </w:tc>
        <w:tc>
          <w:tcPr>
            <w:tcW w:w="4779" w:type="dxa"/>
          </w:tcPr>
          <w:p>
            <w:pPr>
              <w:adjustRightInd/>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针对本项目的合理化、优化建议：投标人针对本项目提出合理化、优化建议</w:t>
            </w:r>
            <w:r>
              <w:rPr>
                <w:rFonts w:hint="eastAsia" w:ascii="仿宋" w:hAnsi="仿宋" w:eastAsia="仿宋" w:cs="仿宋_GB2312"/>
                <w:color w:val="000000" w:themeColor="text1"/>
                <w:sz w:val="24"/>
                <w14:textFill>
                  <w14:solidFill>
                    <w14:schemeClr w14:val="tx1"/>
                  </w14:solidFill>
                </w14:textFill>
              </w:rPr>
              <w:t>进行评议（2分）：</w:t>
            </w:r>
            <w:r>
              <w:rPr>
                <w:rFonts w:hint="eastAsia" w:ascii="仿宋_GB2312" w:hAnsi="仿宋" w:eastAsia="仿宋_GB2312" w:cs="Arial"/>
                <w:b/>
                <w:bCs/>
                <w:color w:val="000000" w:themeColor="text1"/>
                <w:kern w:val="0"/>
                <w:sz w:val="24"/>
                <w14:textFill>
                  <w14:solidFill>
                    <w14:schemeClr w14:val="tx1"/>
                  </w14:solidFill>
                </w14:textFill>
              </w:rPr>
              <w:t>合理化、优化建议</w:t>
            </w:r>
            <w:r>
              <w:rPr>
                <w:rFonts w:hint="eastAsia" w:ascii="仿宋" w:hAnsi="仿宋" w:eastAsia="仿宋" w:cs="仿宋_GB2312"/>
                <w:b/>
                <w:bCs/>
                <w:color w:val="000000" w:themeColor="text1"/>
                <w:sz w:val="24"/>
                <w14:textFill>
                  <w14:solidFill>
                    <w14:schemeClr w14:val="tx1"/>
                  </w14:solidFill>
                </w14:textFill>
              </w:rPr>
              <w:t>符合要求，内容完整、可行的得2分；</w:t>
            </w:r>
            <w:r>
              <w:rPr>
                <w:rFonts w:hint="eastAsia" w:ascii="仿宋_GB2312" w:hAnsi="仿宋" w:eastAsia="仿宋_GB2312" w:cs="Arial"/>
                <w:b/>
                <w:bCs/>
                <w:color w:val="000000" w:themeColor="text1"/>
                <w:kern w:val="0"/>
                <w:sz w:val="24"/>
                <w14:textFill>
                  <w14:solidFill>
                    <w14:schemeClr w14:val="tx1"/>
                  </w14:solidFill>
                </w14:textFill>
              </w:rPr>
              <w:t>合理化、优化建议</w:t>
            </w:r>
            <w:r>
              <w:rPr>
                <w:rFonts w:hint="eastAsia" w:ascii="仿宋" w:hAnsi="仿宋" w:eastAsia="仿宋" w:cs="仿宋_GB2312"/>
                <w:b/>
                <w:bCs/>
                <w:color w:val="000000" w:themeColor="text1"/>
                <w:sz w:val="24"/>
                <w14:textFill>
                  <w14:solidFill>
                    <w14:schemeClr w14:val="tx1"/>
                  </w14:solidFill>
                </w14:textFill>
              </w:rPr>
              <w:t>符合要求，内容完整，但有所欠缺的得1分；</w:t>
            </w:r>
            <w:r>
              <w:rPr>
                <w:rFonts w:hint="eastAsia" w:ascii="仿宋_GB2312" w:hAnsi="仿宋" w:eastAsia="仿宋_GB2312" w:cs="Arial"/>
                <w:b/>
                <w:bCs/>
                <w:color w:val="000000" w:themeColor="text1"/>
                <w:kern w:val="0"/>
                <w:sz w:val="24"/>
                <w14:textFill>
                  <w14:solidFill>
                    <w14:schemeClr w14:val="tx1"/>
                  </w14:solidFill>
                </w14:textFill>
              </w:rPr>
              <w:t>合理化、优化建议</w:t>
            </w:r>
            <w:r>
              <w:rPr>
                <w:rFonts w:hint="eastAsia" w:ascii="仿宋" w:hAnsi="仿宋" w:eastAsia="仿宋" w:cs="仿宋_GB2312"/>
                <w:b/>
                <w:bCs/>
                <w:color w:val="000000" w:themeColor="text1"/>
                <w:sz w:val="24"/>
                <w14:textFill>
                  <w14:solidFill>
                    <w14:schemeClr w14:val="tx1"/>
                  </w14:solidFill>
                </w14:textFill>
              </w:rPr>
              <w:t>符合要求，但内容不完整的得0.5分，没有不得分。</w:t>
            </w:r>
          </w:p>
        </w:tc>
        <w:tc>
          <w:tcPr>
            <w:tcW w:w="70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96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9</w:t>
            </w:r>
          </w:p>
        </w:tc>
        <w:tc>
          <w:tcPr>
            <w:tcW w:w="4779" w:type="dxa"/>
          </w:tcPr>
          <w:p>
            <w:pPr>
              <w:adjustRightInd/>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服务承诺：包括服务内容及标准承诺、创建工作承诺等</w:t>
            </w:r>
            <w:r>
              <w:rPr>
                <w:rFonts w:hint="eastAsia" w:ascii="仿宋" w:hAnsi="仿宋" w:eastAsia="仿宋" w:cs="仿宋_GB2312"/>
                <w:color w:val="000000" w:themeColor="text1"/>
                <w:sz w:val="24"/>
                <w14:textFill>
                  <w14:solidFill>
                    <w14:schemeClr w14:val="tx1"/>
                  </w14:solidFill>
                </w14:textFill>
              </w:rPr>
              <w:t>进行评议（2分）：</w:t>
            </w:r>
            <w:r>
              <w:rPr>
                <w:rFonts w:hint="eastAsia" w:ascii="仿宋_GB2312" w:hAnsi="仿宋" w:eastAsia="仿宋_GB2312" w:cs="Arial"/>
                <w:b/>
                <w:bCs/>
                <w:color w:val="000000" w:themeColor="text1"/>
                <w:kern w:val="0"/>
                <w:sz w:val="24"/>
                <w14:textFill>
                  <w14:solidFill>
                    <w14:schemeClr w14:val="tx1"/>
                  </w14:solidFill>
                </w14:textFill>
              </w:rPr>
              <w:t>服务内容及标准承诺、创建工作承诺</w:t>
            </w:r>
            <w:r>
              <w:rPr>
                <w:rFonts w:hint="eastAsia" w:ascii="仿宋" w:hAnsi="仿宋" w:eastAsia="仿宋" w:cs="仿宋_GB2312"/>
                <w:b/>
                <w:bCs/>
                <w:color w:val="000000" w:themeColor="text1"/>
                <w:sz w:val="24"/>
                <w14:textFill>
                  <w14:solidFill>
                    <w14:schemeClr w14:val="tx1"/>
                  </w14:solidFill>
                </w14:textFill>
              </w:rPr>
              <w:t>符合要求，内容完整、可行的得2分；</w:t>
            </w:r>
            <w:r>
              <w:rPr>
                <w:rFonts w:hint="eastAsia" w:ascii="仿宋_GB2312" w:hAnsi="仿宋" w:eastAsia="仿宋_GB2312" w:cs="Arial"/>
                <w:b/>
                <w:bCs/>
                <w:color w:val="000000" w:themeColor="text1"/>
                <w:kern w:val="0"/>
                <w:sz w:val="24"/>
                <w14:textFill>
                  <w14:solidFill>
                    <w14:schemeClr w14:val="tx1"/>
                  </w14:solidFill>
                </w14:textFill>
              </w:rPr>
              <w:t>服务内容及标准承诺、创建工作承诺</w:t>
            </w:r>
            <w:r>
              <w:rPr>
                <w:rFonts w:hint="eastAsia" w:ascii="仿宋" w:hAnsi="仿宋" w:eastAsia="仿宋" w:cs="仿宋_GB2312"/>
                <w:b/>
                <w:bCs/>
                <w:color w:val="000000" w:themeColor="text1"/>
                <w:sz w:val="24"/>
                <w14:textFill>
                  <w14:solidFill>
                    <w14:schemeClr w14:val="tx1"/>
                  </w14:solidFill>
                </w14:textFill>
              </w:rPr>
              <w:t>符合要求，内容完整，但有所欠缺的得1分；</w:t>
            </w:r>
            <w:r>
              <w:rPr>
                <w:rFonts w:hint="eastAsia" w:ascii="仿宋_GB2312" w:hAnsi="仿宋" w:eastAsia="仿宋_GB2312" w:cs="Arial"/>
                <w:b/>
                <w:bCs/>
                <w:color w:val="000000" w:themeColor="text1"/>
                <w:kern w:val="0"/>
                <w:sz w:val="24"/>
                <w14:textFill>
                  <w14:solidFill>
                    <w14:schemeClr w14:val="tx1"/>
                  </w14:solidFill>
                </w14:textFill>
              </w:rPr>
              <w:t>服务内容及标准承诺、创建工作承诺</w:t>
            </w:r>
            <w:r>
              <w:rPr>
                <w:rFonts w:hint="eastAsia" w:ascii="仿宋" w:hAnsi="仿宋" w:eastAsia="仿宋" w:cs="仿宋_GB2312"/>
                <w:b/>
                <w:bCs/>
                <w:color w:val="000000" w:themeColor="text1"/>
                <w:sz w:val="24"/>
                <w14:textFill>
                  <w14:solidFill>
                    <w14:schemeClr w14:val="tx1"/>
                  </w14:solidFill>
                </w14:textFill>
              </w:rPr>
              <w:t>符合要求，但内容不完整的得0.5分，没有不得分。</w:t>
            </w:r>
          </w:p>
        </w:tc>
        <w:tc>
          <w:tcPr>
            <w:tcW w:w="70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96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10</w:t>
            </w:r>
          </w:p>
        </w:tc>
        <w:tc>
          <w:tcPr>
            <w:tcW w:w="4779" w:type="dxa"/>
          </w:tcPr>
          <w:p>
            <w:pPr>
              <w:adjustRightInd/>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投标人拟投入使用的服装、设备、工器具的储备情况进行综合评议:</w:t>
            </w:r>
          </w:p>
          <w:p>
            <w:pPr>
              <w:numPr>
                <w:ilvl w:val="0"/>
                <w:numId w:val="5"/>
              </w:numPr>
              <w:adjustRightInd/>
              <w:snapToGrid w:val="0"/>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对保安人员的各季节服装配备情况等</w:t>
            </w:r>
            <w:r>
              <w:rPr>
                <w:rFonts w:hint="eastAsia" w:ascii="仿宋" w:hAnsi="仿宋" w:eastAsia="仿宋" w:cs="仿宋_GB2312"/>
                <w:color w:val="000000" w:themeColor="text1"/>
                <w:sz w:val="24"/>
                <w14:textFill>
                  <w14:solidFill>
                    <w14:schemeClr w14:val="tx1"/>
                  </w14:solidFill>
                </w14:textFill>
              </w:rPr>
              <w:t>进行评议（2分）：对服装配备完整的得2分，服装配备完整但有欠缺的得1分，基本符合要求但不完整的得0.5分，不符合要求不得分；</w:t>
            </w:r>
          </w:p>
          <w:p>
            <w:pPr>
              <w:adjustRightInd/>
              <w:snapToGrid w:val="0"/>
              <w:spacing w:line="360" w:lineRule="auto"/>
              <w:jc w:val="left"/>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2）对保安人员的通讯器材、保安装备配置情况等</w:t>
            </w:r>
            <w:r>
              <w:rPr>
                <w:rFonts w:hint="eastAsia" w:ascii="仿宋" w:hAnsi="仿宋" w:eastAsia="仿宋" w:cs="仿宋_GB2312"/>
                <w:color w:val="000000" w:themeColor="text1"/>
                <w:sz w:val="24"/>
                <w14:textFill>
                  <w14:solidFill>
                    <w14:schemeClr w14:val="tx1"/>
                  </w14:solidFill>
                </w14:textFill>
              </w:rPr>
              <w:t>进行评议（2分）：配置完整的得2分，配置完整但有欠缺的得1分，配置基本符合要求但不完整的得0.5分，配置不符合要求不得分；</w:t>
            </w:r>
          </w:p>
          <w:p>
            <w:pPr>
              <w:adjustRightInd/>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3）4G记录仪（具有轨迹跟踪功能）等配置情况进行评议（</w:t>
            </w:r>
            <w:r>
              <w:rPr>
                <w:rFonts w:hint="eastAsia" w:ascii="仿宋" w:hAnsi="仿宋" w:eastAsia="仿宋" w:cs="仿宋_GB2312"/>
                <w:color w:val="000000" w:themeColor="text1"/>
                <w:sz w:val="24"/>
                <w14:textFill>
                  <w14:solidFill>
                    <w14:schemeClr w14:val="tx1"/>
                  </w14:solidFill>
                </w14:textFill>
              </w:rPr>
              <w:t>1分）：配置齐全的得1分，配置符合要求但有所欠缺得0.5分，配置不符要求不得分；</w:t>
            </w:r>
          </w:p>
        </w:tc>
        <w:tc>
          <w:tcPr>
            <w:tcW w:w="70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96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w:t>
            </w:r>
          </w:p>
        </w:tc>
        <w:tc>
          <w:tcPr>
            <w:tcW w:w="4779" w:type="dxa"/>
          </w:tcPr>
          <w:p>
            <w:pPr>
              <w:adjustRightInd/>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投标人具有应急服务支持能力：</w:t>
            </w:r>
          </w:p>
          <w:p>
            <w:pPr>
              <w:adjustRightInd/>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1）在特殊安保需要时，能迅速派出周边驻点足够数量的有经验的增援人员，</w:t>
            </w:r>
            <w:r>
              <w:rPr>
                <w:rFonts w:hint="eastAsia" w:ascii="仿宋_GB2312" w:hAnsi="仿宋" w:eastAsia="仿宋_GB2312" w:cs="Arial"/>
                <w:b/>
                <w:bCs/>
                <w:color w:val="000000" w:themeColor="text1"/>
                <w:kern w:val="0"/>
                <w:sz w:val="24"/>
                <w14:textFill>
                  <w14:solidFill>
                    <w14:schemeClr w14:val="tx1"/>
                  </w14:solidFill>
                </w14:textFill>
              </w:rPr>
              <w:t>提供承诺书（格式自拟）没有不得分。</w:t>
            </w:r>
            <w:r>
              <w:rPr>
                <w:rFonts w:hint="eastAsia" w:ascii="仿宋_GB2312" w:hAnsi="仿宋" w:eastAsia="仿宋_GB2312" w:cs="Arial"/>
                <w:color w:val="000000" w:themeColor="text1"/>
                <w:kern w:val="0"/>
                <w:sz w:val="24"/>
                <w14:textFill>
                  <w14:solidFill>
                    <w14:schemeClr w14:val="tx1"/>
                  </w14:solidFill>
                </w14:textFill>
              </w:rPr>
              <w:t>（0-1分）</w:t>
            </w:r>
          </w:p>
          <w:p>
            <w:pPr>
              <w:adjustRightInd/>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2）投标人自有应急专用机动车辆，响应人对运输能力进行承诺。</w:t>
            </w:r>
            <w:r>
              <w:rPr>
                <w:rFonts w:hint="eastAsia" w:ascii="仿宋_GB2312" w:hAnsi="仿宋" w:eastAsia="仿宋_GB2312" w:cs="Arial"/>
                <w:b/>
                <w:bCs/>
                <w:color w:val="000000" w:themeColor="text1"/>
                <w:kern w:val="0"/>
                <w:sz w:val="24"/>
                <w14:textFill>
                  <w14:solidFill>
                    <w14:schemeClr w14:val="tx1"/>
                  </w14:solidFill>
                </w14:textFill>
              </w:rPr>
              <w:t>提供承诺书（格式自拟）没有不得分。</w:t>
            </w:r>
            <w:r>
              <w:rPr>
                <w:rFonts w:hint="eastAsia" w:ascii="仿宋_GB2312" w:hAnsi="仿宋" w:eastAsia="仿宋_GB2312" w:cs="Arial"/>
                <w:color w:val="000000" w:themeColor="text1"/>
                <w:kern w:val="0"/>
                <w:sz w:val="24"/>
                <w14:textFill>
                  <w14:solidFill>
                    <w14:schemeClr w14:val="tx1"/>
                  </w14:solidFill>
                </w14:textFill>
              </w:rPr>
              <w:t>（0-1分）</w:t>
            </w:r>
          </w:p>
        </w:tc>
        <w:tc>
          <w:tcPr>
            <w:tcW w:w="70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96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主观分</w:t>
            </w:r>
          </w:p>
        </w:tc>
        <w:tc>
          <w:tcPr>
            <w:tcW w:w="155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12</w:t>
            </w:r>
          </w:p>
        </w:tc>
        <w:tc>
          <w:tcPr>
            <w:tcW w:w="4779" w:type="dxa"/>
          </w:tcPr>
          <w:p>
            <w:pPr>
              <w:adjustRightInd/>
              <w:snapToGrid w:val="0"/>
              <w:spacing w:line="360" w:lineRule="auto"/>
              <w:jc w:val="left"/>
              <w:rPr>
                <w:rFonts w:ascii="仿宋_GB2312" w:hAnsi="仿宋" w:eastAsia="仿宋_GB2312" w:cs="Arial"/>
                <w:kern w:val="0"/>
                <w:sz w:val="24"/>
              </w:rPr>
            </w:pPr>
            <w:r>
              <w:rPr>
                <w:rFonts w:hint="eastAsia" w:ascii="仿宋_GB2312" w:hAnsi="仿宋" w:eastAsia="仿宋_GB2312" w:cs="Arial"/>
                <w:kern w:val="0"/>
                <w:sz w:val="24"/>
              </w:rPr>
              <w:t>企业证书：</w:t>
            </w:r>
          </w:p>
          <w:p>
            <w:pPr>
              <w:numPr>
                <w:ilvl w:val="0"/>
                <w:numId w:val="6"/>
              </w:numPr>
              <w:adjustRightInd/>
              <w:snapToGrid w:val="0"/>
              <w:spacing w:line="360" w:lineRule="auto"/>
              <w:jc w:val="left"/>
              <w:rPr>
                <w:rFonts w:ascii="仿宋_GB2312" w:hAnsi="仿宋" w:eastAsia="仿宋_GB2312" w:cs="Arial"/>
                <w:kern w:val="0"/>
                <w:sz w:val="24"/>
              </w:rPr>
            </w:pPr>
            <w:r>
              <w:rPr>
                <w:rFonts w:hint="eastAsia" w:ascii="仿宋_GB2312" w:hAnsi="仿宋" w:eastAsia="仿宋_GB2312" w:cs="Arial"/>
                <w:kern w:val="0"/>
                <w:sz w:val="24"/>
              </w:rPr>
              <w:t>投标人具有职业健康安全管理体系认证证书，具有质量管理体系认证证书，具有环境管理体系认证证书，一个得1分，最高得3分。</w:t>
            </w:r>
          </w:p>
          <w:p>
            <w:pPr>
              <w:numPr>
                <w:ilvl w:val="0"/>
                <w:numId w:val="6"/>
              </w:numPr>
              <w:adjustRightInd/>
              <w:snapToGrid w:val="0"/>
              <w:spacing w:line="360" w:lineRule="auto"/>
              <w:jc w:val="left"/>
              <w:rPr>
                <w:rFonts w:ascii="仿宋_GB2312" w:hAnsi="仿宋" w:eastAsia="仿宋_GB2312" w:cs="Arial"/>
                <w:kern w:val="0"/>
                <w:sz w:val="24"/>
              </w:rPr>
            </w:pPr>
            <w:r>
              <w:rPr>
                <w:rFonts w:hint="eastAsia" w:ascii="仿宋_GB2312" w:hAnsi="仿宋" w:eastAsia="仿宋_GB2312" w:cs="Arial"/>
                <w:kern w:val="0"/>
                <w:sz w:val="24"/>
              </w:rPr>
              <w:t>具有省公安厅颁发的保安服务许可证的得1分。</w:t>
            </w:r>
          </w:p>
          <w:p>
            <w:pPr>
              <w:adjustRightInd/>
              <w:snapToGrid w:val="0"/>
              <w:spacing w:line="360" w:lineRule="auto"/>
              <w:jc w:val="left"/>
              <w:rPr>
                <w:rFonts w:ascii="仿宋_GB2312" w:hAnsi="仿宋" w:eastAsia="仿宋_GB2312" w:cs="Arial"/>
                <w:b/>
                <w:bCs/>
                <w:kern w:val="0"/>
                <w:sz w:val="24"/>
              </w:rPr>
            </w:pPr>
            <w:r>
              <w:rPr>
                <w:rFonts w:hint="eastAsia" w:ascii="仿宋_GB2312" w:hAnsi="仿宋" w:eastAsia="仿宋_GB2312" w:cs="Arial"/>
                <w:b/>
                <w:bCs/>
                <w:kern w:val="0"/>
                <w:sz w:val="24"/>
              </w:rPr>
              <w:t>注：没有不得分,证书必须在有效期内</w:t>
            </w:r>
          </w:p>
        </w:tc>
        <w:tc>
          <w:tcPr>
            <w:tcW w:w="70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w:t>
            </w:r>
          </w:p>
        </w:tc>
        <w:tc>
          <w:tcPr>
            <w:tcW w:w="96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w:t>
            </w:r>
          </w:p>
        </w:tc>
        <w:tc>
          <w:tcPr>
            <w:tcW w:w="4779" w:type="dxa"/>
          </w:tcPr>
          <w:p>
            <w:pPr>
              <w:adjustRightInd/>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类似项目实施业绩一览表：投标人近五年以来（时间以合同签订时间为准）以完成的类似项目，每提供一个业绩得1分，最多得3分；</w:t>
            </w:r>
          </w:p>
          <w:p>
            <w:pPr>
              <w:adjustRightInd/>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投标文件中提供合同扫描件并加盖投标人公章</w:t>
            </w:r>
            <w:r>
              <w:rPr>
                <w:rFonts w:hint="eastAsia" w:ascii="仿宋_GB2312" w:hAnsi="仿宋" w:eastAsia="仿宋_GB2312" w:cs="Arial"/>
                <w:color w:val="000000" w:themeColor="text1"/>
                <w:kern w:val="0"/>
                <w:sz w:val="24"/>
                <w14:textFill>
                  <w14:solidFill>
                    <w14:schemeClr w14:val="tx1"/>
                  </w14:solidFill>
                </w14:textFill>
              </w:rPr>
              <w:t>。</w:t>
            </w:r>
          </w:p>
        </w:tc>
        <w:tc>
          <w:tcPr>
            <w:tcW w:w="70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w:t>
            </w:r>
          </w:p>
        </w:tc>
        <w:tc>
          <w:tcPr>
            <w:tcW w:w="965"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客观分</w:t>
            </w:r>
          </w:p>
        </w:tc>
        <w:tc>
          <w:tcPr>
            <w:tcW w:w="155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14</w:t>
            </w:r>
          </w:p>
        </w:tc>
        <w:tc>
          <w:tcPr>
            <w:tcW w:w="4779" w:type="dxa"/>
          </w:tcPr>
          <w:p>
            <w:pPr>
              <w:spacing w:line="360" w:lineRule="auto"/>
              <w:jc w:val="left"/>
              <w:rPr>
                <w:rFonts w:ascii="仿宋" w:hAnsi="仿宋" w:eastAsia="仿宋" w:cs="宋体"/>
                <w:color w:val="000000" w:themeColor="text1"/>
                <w:sz w:val="24"/>
                <w:szCs w:val="22"/>
                <w14:textFill>
                  <w14:solidFill>
                    <w14:schemeClr w14:val="tx1"/>
                  </w14:solidFill>
                </w14:textFill>
              </w:rPr>
            </w:pPr>
            <w:r>
              <w:rPr>
                <w:rFonts w:hint="eastAsia" w:ascii="仿宋" w:hAnsi="仿宋" w:eastAsia="仿宋" w:cs="宋体"/>
                <w:color w:val="000000" w:themeColor="text1"/>
                <w:sz w:val="24"/>
                <w:szCs w:val="22"/>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pPr>
              <w:spacing w:line="360" w:lineRule="auto"/>
              <w:jc w:val="left"/>
              <w:rPr>
                <w:rFonts w:ascii="仿宋" w:hAnsi="仿宋" w:eastAsia="仿宋" w:cs="宋体"/>
                <w:color w:val="000000" w:themeColor="text1"/>
                <w:sz w:val="24"/>
                <w:szCs w:val="22"/>
                <w14:textFill>
                  <w14:solidFill>
                    <w14:schemeClr w14:val="tx1"/>
                  </w14:solidFill>
                </w14:textFill>
              </w:rPr>
            </w:pPr>
            <w:r>
              <w:rPr>
                <w:rFonts w:hint="eastAsia" w:ascii="仿宋" w:hAnsi="仿宋" w:eastAsia="仿宋" w:cs="宋体"/>
                <w:color w:val="000000" w:themeColor="text1"/>
                <w:sz w:val="24"/>
                <w:szCs w:val="22"/>
                <w14:textFill>
                  <w14:solidFill>
                    <w14:schemeClr w14:val="tx1"/>
                  </w14:solidFill>
                </w14:textFill>
              </w:rPr>
              <w:t>评标过程中，不得去掉报价中的最高报价和最低报价。</w:t>
            </w:r>
          </w:p>
          <w:p>
            <w:pPr>
              <w:adjustRightInd/>
              <w:spacing w:line="360" w:lineRule="auto"/>
              <w:jc w:val="left"/>
              <w:rPr>
                <w:rFonts w:ascii="仿宋" w:hAnsi="仿宋" w:eastAsia="仿宋" w:cs="宋体"/>
                <w:color w:val="000000" w:themeColor="text1"/>
                <w:sz w:val="24"/>
                <w:szCs w:val="22"/>
                <w14:textFill>
                  <w14:solidFill>
                    <w14:schemeClr w14:val="tx1"/>
                  </w14:solidFill>
                </w14:textFill>
              </w:rPr>
            </w:pPr>
            <w:r>
              <w:rPr>
                <w:rFonts w:hint="eastAsia" w:ascii="仿宋" w:hAnsi="仿宋" w:eastAsia="仿宋" w:cs="宋体"/>
                <w:color w:val="000000" w:themeColor="text1"/>
                <w:sz w:val="24"/>
                <w:szCs w:val="22"/>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p>
            <w:pPr>
              <w:pStyle w:val="2"/>
              <w:ind w:firstLine="0" w:firstLineChars="0"/>
              <w:rPr>
                <w:rFonts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当技术分低于技术总分的60%时，为无效标。</w:t>
            </w:r>
          </w:p>
        </w:tc>
        <w:tc>
          <w:tcPr>
            <w:tcW w:w="705" w:type="dxa"/>
            <w:vAlign w:val="center"/>
          </w:tcPr>
          <w:p>
            <w:pPr>
              <w:spacing w:line="360" w:lineRule="auto"/>
              <w:jc w:val="center"/>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30</w:t>
            </w:r>
          </w:p>
        </w:tc>
        <w:tc>
          <w:tcPr>
            <w:tcW w:w="965" w:type="dxa"/>
            <w:vAlign w:val="center"/>
          </w:tcPr>
          <w:p>
            <w:pPr>
              <w:spacing w:line="360" w:lineRule="auto"/>
              <w:jc w:val="center"/>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报价分</w:t>
            </w:r>
          </w:p>
        </w:tc>
        <w:tc>
          <w:tcPr>
            <w:tcW w:w="1559" w:type="dxa"/>
            <w:vAlign w:val="center"/>
          </w:tcPr>
          <w:p>
            <w:pPr>
              <w:spacing w:line="360" w:lineRule="auto"/>
              <w:jc w:val="center"/>
              <w:outlineLvl w:val="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w:t>
            </w:r>
          </w:p>
        </w:tc>
      </w:tr>
    </w:tbl>
    <w:p>
      <w:pPr>
        <w:widowControl/>
        <w:adjustRightInd/>
        <w:jc w:val="left"/>
        <w:rPr>
          <w:rFonts w:ascii="仿宋" w:hAnsi="仿宋" w:eastAsia="仿宋" w:cs="宋体"/>
          <w:b/>
          <w:bCs/>
          <w:szCs w:val="21"/>
        </w:rPr>
      </w:pPr>
      <w:r>
        <w:rPr>
          <w:rFonts w:ascii="仿宋" w:hAnsi="仿宋" w:eastAsia="仿宋" w:cs="宋体"/>
          <w:b/>
          <w:bCs/>
          <w:szCs w:val="21"/>
        </w:rPr>
        <w:br w:type="page"/>
      </w:r>
    </w:p>
    <w:p>
      <w:pPr>
        <w:pStyle w:val="7"/>
        <w:rPr>
          <w:rFonts w:ascii="仿宋" w:hAnsi="仿宋" w:eastAsia="仿宋"/>
        </w:rPr>
      </w:pPr>
    </w:p>
    <w:p>
      <w:pPr>
        <w:snapToGrid w:val="0"/>
        <w:spacing w:line="360" w:lineRule="auto"/>
        <w:rPr>
          <w:rFonts w:ascii="仿宋" w:hAnsi="仿宋" w:eastAsia="仿宋" w:cs="宋体"/>
          <w:b/>
          <w:sz w:val="24"/>
        </w:rPr>
      </w:pPr>
      <w:r>
        <w:rPr>
          <w:rFonts w:ascii="Calibri" w:hAnsi="Calibri" w:eastAsia="仿宋" w:cs="Calibri"/>
          <w:sz w:val="20"/>
          <w:szCs w:val="20"/>
          <w:shd w:val="clear" w:color="auto" w:fill="FFFFFF"/>
        </w:rPr>
        <w:t> </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ascii="Calibri" w:hAnsi="Calibri" w:eastAsia="仿宋" w:cs="Calibri"/>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pPr>
        <w:pStyle w:val="13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13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90"/>
        <w:rPr>
          <w:b/>
          <w:bCs/>
        </w:rPr>
      </w:pPr>
      <w:r>
        <w:rPr>
          <w:rFonts w:hint="eastAsia"/>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ascii="仿宋" w:hAnsi="仿宋" w:eastAsia="仿宋" w:cs="宋体"/>
        </w:rPr>
      </w:pPr>
    </w:p>
    <w:bookmarkEnd w:id="27"/>
    <w:p>
      <w:pPr>
        <w:pStyle w:val="90"/>
      </w:pPr>
      <w:bookmarkStart w:id="393" w:name="_Toc86217003"/>
      <w:bookmarkStart w:id="394" w:name="第五部分"/>
    </w:p>
    <w:p>
      <w:pPr>
        <w:pStyle w:val="90"/>
      </w:pPr>
    </w:p>
    <w:p>
      <w:pPr>
        <w:pStyle w:val="90"/>
      </w:pPr>
    </w:p>
    <w:p>
      <w:pPr>
        <w:widowControl/>
        <w:adjustRightInd/>
        <w:jc w:val="left"/>
        <w:rPr>
          <w:rFonts w:ascii="仿宋" w:hAnsi="仿宋" w:eastAsia="仿宋" w:cs="宋体"/>
          <w:b/>
          <w:sz w:val="36"/>
          <w:szCs w:val="36"/>
        </w:rPr>
      </w:pPr>
      <w:r>
        <w:rPr>
          <w:rFonts w:ascii="仿宋" w:hAnsi="仿宋" w:eastAsia="仿宋" w:cs="宋体"/>
          <w:b/>
          <w:sz w:val="36"/>
          <w:szCs w:val="36"/>
        </w:rPr>
        <w:br w:type="page"/>
      </w: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80"/>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90"/>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604"/>
        <w:spacing w:before="120"/>
        <w:rPr>
          <w:rFonts w:ascii="仿宋" w:hAnsi="仿宋" w:eastAsia="仿宋" w:cs="宋体"/>
          <w:szCs w:val="24"/>
        </w:rPr>
      </w:pPr>
    </w:p>
    <w:p>
      <w:pPr>
        <w:pStyle w:val="604"/>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pStyle w:val="955"/>
      </w:pPr>
      <w:bookmarkStart w:id="395" w:name="_Toc20421"/>
      <w:bookmarkStart w:id="396" w:name="_Toc15367"/>
      <w:bookmarkStart w:id="397" w:name="_Toc28855"/>
      <w:bookmarkStart w:id="398" w:name="_Toc22967"/>
      <w:bookmarkStart w:id="399" w:name="_Toc19273"/>
      <w:r>
        <w:t xml:space="preserve">1.1 </w:t>
      </w:r>
      <w:r>
        <w:rPr>
          <w:rFonts w:hint="eastAsia"/>
        </w:rPr>
        <w:t>合同组成部分</w:t>
      </w:r>
      <w:bookmarkEnd w:id="395"/>
      <w:bookmarkEnd w:id="396"/>
      <w:bookmarkEnd w:id="397"/>
      <w:bookmarkEnd w:id="398"/>
      <w:bookmarkEnd w:id="399"/>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pStyle w:val="955"/>
      </w:pPr>
      <w:bookmarkStart w:id="400" w:name="_Toc22185"/>
      <w:bookmarkStart w:id="401" w:name="_Toc6773"/>
      <w:bookmarkStart w:id="402" w:name="_Toc6311"/>
      <w:bookmarkStart w:id="403" w:name="_Toc2918"/>
      <w:bookmarkStart w:id="404" w:name="_Toc18585"/>
      <w:r>
        <w:t xml:space="preserve">1.2 </w:t>
      </w:r>
      <w:r>
        <w:rPr>
          <w:rFonts w:hint="eastAsia"/>
        </w:rPr>
        <w:t>标的</w:t>
      </w:r>
      <w:bookmarkEnd w:id="400"/>
      <w:bookmarkEnd w:id="401"/>
      <w:bookmarkEnd w:id="402"/>
      <w:bookmarkEnd w:id="403"/>
      <w:bookmarkEnd w:id="404"/>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pStyle w:val="955"/>
      </w:pPr>
      <w:bookmarkStart w:id="405" w:name="_Toc1386"/>
      <w:bookmarkStart w:id="406" w:name="_Toc4929"/>
      <w:bookmarkStart w:id="407" w:name="_Toc5635"/>
      <w:bookmarkStart w:id="408" w:name="_Toc21124"/>
      <w:bookmarkStart w:id="409" w:name="_Toc13918"/>
      <w:r>
        <w:t>1.3 价款</w:t>
      </w:r>
      <w:bookmarkEnd w:id="405"/>
      <w:bookmarkEnd w:id="406"/>
      <w:bookmarkEnd w:id="407"/>
      <w:bookmarkEnd w:id="408"/>
      <w:bookmarkEnd w:id="409"/>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325"/>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ascii="仿宋" w:hAnsi="仿宋" w:eastAsia="仿宋"/>
                <w:sz w:val="24"/>
                <w:szCs w:val="24"/>
              </w:rPr>
            </w:pPr>
          </w:p>
        </w:tc>
        <w:tc>
          <w:tcPr>
            <w:tcW w:w="3402" w:type="dxa"/>
            <w:vAlign w:val="center"/>
          </w:tcPr>
          <w:p>
            <w:pPr>
              <w:pStyle w:val="325"/>
              <w:spacing w:line="360" w:lineRule="auto"/>
              <w:ind w:firstLine="200"/>
              <w:jc w:val="center"/>
              <w:rPr>
                <w:rFonts w:ascii="仿宋" w:hAnsi="仿宋" w:eastAsia="仿宋"/>
                <w:sz w:val="24"/>
                <w:szCs w:val="24"/>
              </w:rPr>
            </w:pPr>
          </w:p>
        </w:tc>
        <w:tc>
          <w:tcPr>
            <w:tcW w:w="2552" w:type="dxa"/>
            <w:vAlign w:val="center"/>
          </w:tcPr>
          <w:p>
            <w:pPr>
              <w:pStyle w:val="32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325"/>
              <w:spacing w:line="360" w:lineRule="auto"/>
              <w:ind w:firstLine="200"/>
              <w:jc w:val="center"/>
              <w:rPr>
                <w:rFonts w:ascii="仿宋" w:hAnsi="仿宋" w:eastAsia="仿宋"/>
                <w:sz w:val="24"/>
                <w:szCs w:val="24"/>
              </w:rPr>
            </w:pPr>
          </w:p>
        </w:tc>
      </w:tr>
    </w:tbl>
    <w:p>
      <w:pPr>
        <w:pStyle w:val="955"/>
      </w:pPr>
      <w:bookmarkStart w:id="410" w:name="_Toc30506"/>
      <w:bookmarkStart w:id="411" w:name="_Toc3654"/>
      <w:bookmarkStart w:id="412" w:name="_Toc26916"/>
      <w:bookmarkStart w:id="413" w:name="_Toc14993"/>
      <w:bookmarkStart w:id="414" w:name="_Toc30158"/>
      <w:r>
        <w:t>1.4 付款方式和发票开具方式</w:t>
      </w:r>
      <w:bookmarkEnd w:id="410"/>
      <w:bookmarkEnd w:id="411"/>
      <w:bookmarkEnd w:id="412"/>
      <w:bookmarkEnd w:id="413"/>
      <w:bookmarkEnd w:id="414"/>
    </w:p>
    <w:p>
      <w:pPr>
        <w:pStyle w:val="96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pStyle w:val="955"/>
      </w:pPr>
      <w:r>
        <w:t>1.4.4资金支付的方式、时间和条件详见</w:t>
      </w:r>
      <w:r>
        <w:rPr>
          <w:rFonts w:hint="eastAsia"/>
          <w:i/>
          <w:u w:val="single"/>
        </w:rPr>
        <w:t>合同专用条款</w:t>
      </w:r>
      <w:r>
        <w:rPr>
          <w:rFonts w:hint="eastAsia"/>
        </w:rPr>
        <w:t>。</w:t>
      </w:r>
    </w:p>
    <w:p>
      <w:pPr>
        <w:pStyle w:val="955"/>
      </w:pPr>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955"/>
      </w:pPr>
      <w:bookmarkStart w:id="415" w:name="_Toc4760"/>
      <w:bookmarkStart w:id="416" w:name="_Toc3625"/>
      <w:bookmarkStart w:id="417" w:name="_Toc31421"/>
      <w:bookmarkStart w:id="418" w:name="_Toc8772"/>
      <w:bookmarkStart w:id="419" w:name="_Toc11108"/>
      <w:r>
        <w:t>1.5 履行期限</w:t>
      </w:r>
      <w:r>
        <w:rPr>
          <w:rFonts w:hint="eastAsia"/>
        </w:rPr>
        <w:t>、地点和方式</w:t>
      </w:r>
      <w:bookmarkEnd w:id="415"/>
      <w:bookmarkEnd w:id="416"/>
      <w:bookmarkEnd w:id="417"/>
      <w:bookmarkEnd w:id="418"/>
      <w:bookmarkEnd w:id="419"/>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pStyle w:val="955"/>
        <w:rPr>
          <w:u w:val="single"/>
        </w:rPr>
      </w:pPr>
      <w:bookmarkStart w:id="420" w:name="_Toc3079"/>
      <w:bookmarkStart w:id="421" w:name="_Toc24662"/>
      <w:bookmarkStart w:id="422" w:name="_Toc5698"/>
      <w:bookmarkStart w:id="423" w:name="_Toc8586"/>
      <w:bookmarkStart w:id="424" w:name="_Toc2375"/>
      <w:r>
        <w:t xml:space="preserve">1.6 </w:t>
      </w:r>
      <w:r>
        <w:rPr>
          <w:rFonts w:hint="eastAsia"/>
        </w:rPr>
        <w:t>违约责任</w:t>
      </w:r>
      <w:bookmarkEnd w:id="420"/>
      <w:bookmarkEnd w:id="421"/>
      <w:bookmarkEnd w:id="422"/>
      <w:bookmarkEnd w:id="423"/>
      <w:bookmarkEnd w:id="424"/>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pStyle w:val="955"/>
      </w:pPr>
      <w:bookmarkStart w:id="425" w:name="_Toc32454"/>
      <w:bookmarkStart w:id="426" w:name="_Toc9497"/>
      <w:bookmarkStart w:id="427" w:name="_Toc18683"/>
      <w:bookmarkStart w:id="428" w:name="_Toc26807"/>
      <w:bookmarkStart w:id="429" w:name="_Toc30329"/>
      <w:r>
        <w:t xml:space="preserve">1.7 </w:t>
      </w:r>
      <w:r>
        <w:rPr>
          <w:rFonts w:hint="eastAsia"/>
        </w:rPr>
        <w:t>合同</w:t>
      </w:r>
      <w:r>
        <w:t>争议的解决</w:t>
      </w:r>
      <w:bookmarkEnd w:id="425"/>
      <w:bookmarkEnd w:id="426"/>
      <w:bookmarkEnd w:id="427"/>
      <w:bookmarkEnd w:id="428"/>
      <w:bookmarkEnd w:id="429"/>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pStyle w:val="955"/>
      </w:pPr>
      <w:bookmarkStart w:id="430" w:name="_Toc26227"/>
      <w:bookmarkStart w:id="431" w:name="_Toc15827"/>
      <w:bookmarkStart w:id="432" w:name="_Toc12273"/>
      <w:bookmarkStart w:id="433" w:name="_Toc23784"/>
      <w:bookmarkStart w:id="434" w:name="_Toc16417"/>
      <w:r>
        <w:t>1.8 合同生效</w:t>
      </w:r>
      <w:bookmarkEnd w:id="430"/>
      <w:bookmarkEnd w:id="431"/>
      <w:bookmarkEnd w:id="432"/>
      <w:bookmarkEnd w:id="433"/>
      <w:bookmarkEnd w:id="434"/>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80"/>
        <w:ind w:firstLine="482"/>
        <w:jc w:val="center"/>
        <w:rPr>
          <w:rFonts w:ascii="仿宋" w:hAnsi="仿宋" w:eastAsia="仿宋"/>
          <w:b/>
          <w:szCs w:val="24"/>
        </w:rPr>
      </w:pPr>
      <w:r>
        <w:rPr>
          <w:rFonts w:hint="eastAsia" w:ascii="仿宋" w:hAnsi="仿宋" w:eastAsia="仿宋"/>
          <w:b/>
          <w:szCs w:val="24"/>
        </w:rPr>
        <w:t>第二部分合同一般条款</w:t>
      </w:r>
    </w:p>
    <w:p>
      <w:pPr>
        <w:pStyle w:val="955"/>
      </w:pPr>
      <w:bookmarkStart w:id="435" w:name="_Toc19680"/>
      <w:bookmarkStart w:id="436" w:name="_Toc14021"/>
      <w:bookmarkStart w:id="437" w:name="_Toc31297"/>
      <w:bookmarkStart w:id="438" w:name="_Toc5228"/>
      <w:bookmarkStart w:id="439" w:name="_Toc25079"/>
      <w:r>
        <w:t>2.1 定义</w:t>
      </w:r>
      <w:bookmarkEnd w:id="435"/>
      <w:bookmarkEnd w:id="436"/>
      <w:bookmarkEnd w:id="437"/>
      <w:bookmarkEnd w:id="438"/>
      <w:bookmarkEnd w:id="439"/>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pStyle w:val="955"/>
      </w:pPr>
      <w:bookmarkStart w:id="440" w:name="_Toc3769"/>
      <w:bookmarkStart w:id="441" w:name="_Toc16752"/>
      <w:bookmarkStart w:id="442" w:name="_Toc23289"/>
      <w:bookmarkStart w:id="443" w:name="_Toc31402"/>
      <w:bookmarkStart w:id="444" w:name="_Toc19539"/>
      <w:r>
        <w:t>2.2 技术规范</w:t>
      </w:r>
      <w:bookmarkEnd w:id="440"/>
      <w:bookmarkEnd w:id="441"/>
      <w:bookmarkEnd w:id="442"/>
      <w:bookmarkEnd w:id="443"/>
      <w:bookmarkEnd w:id="444"/>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pStyle w:val="955"/>
      </w:pPr>
      <w:bookmarkStart w:id="445" w:name="_Toc4133"/>
      <w:bookmarkStart w:id="446" w:name="_Toc27945"/>
      <w:bookmarkStart w:id="447" w:name="_Toc12412"/>
      <w:bookmarkStart w:id="448" w:name="_Toc9161"/>
      <w:bookmarkStart w:id="449" w:name="_Toc13673"/>
      <w:r>
        <w:t>2.3 知识产权</w:t>
      </w:r>
      <w:bookmarkEnd w:id="445"/>
      <w:bookmarkEnd w:id="446"/>
      <w:bookmarkEnd w:id="447"/>
      <w:bookmarkEnd w:id="448"/>
      <w:bookmarkEnd w:id="449"/>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pStyle w:val="955"/>
      </w:pPr>
      <w:bookmarkStart w:id="450" w:name="_Toc15447"/>
      <w:bookmarkStart w:id="451" w:name="_Toc31233"/>
      <w:bookmarkStart w:id="452" w:name="_Toc32670"/>
      <w:bookmarkStart w:id="453" w:name="_Toc26555"/>
      <w:bookmarkStart w:id="454" w:name="_Toc22011"/>
      <w:r>
        <w:t>2.5 结算方式和付款条件</w:t>
      </w:r>
      <w:bookmarkEnd w:id="450"/>
      <w:bookmarkEnd w:id="451"/>
      <w:bookmarkEnd w:id="452"/>
      <w:bookmarkEnd w:id="453"/>
      <w:bookmarkEnd w:id="454"/>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pStyle w:val="955"/>
      </w:pPr>
      <w:bookmarkStart w:id="455" w:name="_Toc18990"/>
      <w:bookmarkStart w:id="456" w:name="_Toc13154"/>
      <w:bookmarkStart w:id="457" w:name="_Toc30507"/>
      <w:bookmarkStart w:id="458" w:name="_Toc13467"/>
      <w:bookmarkStart w:id="459" w:name="_Toc16163"/>
      <w:r>
        <w:t>2.6 技术资料和保密义务</w:t>
      </w:r>
      <w:bookmarkEnd w:id="455"/>
      <w:bookmarkEnd w:id="456"/>
      <w:bookmarkEnd w:id="457"/>
      <w:bookmarkEnd w:id="458"/>
      <w:bookmarkEnd w:id="459"/>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pStyle w:val="955"/>
      </w:pPr>
      <w:bookmarkStart w:id="460" w:name="_Toc19069"/>
      <w:r>
        <w:t xml:space="preserve">2.7 </w:t>
      </w:r>
      <w:r>
        <w:rPr>
          <w:rFonts w:hint="eastAsia"/>
        </w:rPr>
        <w:t>质量保证</w:t>
      </w:r>
      <w:bookmarkEnd w:id="460"/>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pStyle w:val="955"/>
      </w:pPr>
      <w:bookmarkStart w:id="461" w:name="_Toc22267"/>
      <w:r>
        <w:t xml:space="preserve">2.8 </w:t>
      </w:r>
      <w:r>
        <w:rPr>
          <w:rFonts w:hint="eastAsia"/>
        </w:rPr>
        <w:t>延迟履行</w:t>
      </w:r>
      <w:bookmarkEnd w:id="461"/>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pStyle w:val="955"/>
      </w:pPr>
      <w:bookmarkStart w:id="462" w:name="_Toc10611"/>
      <w:r>
        <w:t xml:space="preserve">2.9 </w:t>
      </w:r>
      <w:r>
        <w:rPr>
          <w:rFonts w:hint="eastAsia"/>
        </w:rPr>
        <w:t>合同变更</w:t>
      </w:r>
      <w:bookmarkEnd w:id="462"/>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pStyle w:val="955"/>
      </w:pPr>
      <w:bookmarkStart w:id="463" w:name="_Toc42"/>
      <w:bookmarkStart w:id="464" w:name="_Toc10663"/>
      <w:bookmarkStart w:id="465" w:name="_Toc26689"/>
      <w:bookmarkStart w:id="466" w:name="_Toc21830"/>
      <w:bookmarkStart w:id="467" w:name="_Toc23368"/>
      <w:r>
        <w:t>2.10 合同转让和分包</w:t>
      </w:r>
      <w:bookmarkEnd w:id="463"/>
      <w:bookmarkEnd w:id="464"/>
      <w:bookmarkEnd w:id="465"/>
      <w:bookmarkEnd w:id="466"/>
      <w:bookmarkEnd w:id="467"/>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pStyle w:val="955"/>
      </w:pPr>
      <w:bookmarkStart w:id="468" w:name="_Toc14371"/>
      <w:bookmarkStart w:id="469" w:name="_Toc25571"/>
      <w:bookmarkStart w:id="470" w:name="_Toc4720"/>
      <w:bookmarkStart w:id="471" w:name="_Toc26633"/>
      <w:bookmarkStart w:id="472" w:name="_Toc32494"/>
      <w:r>
        <w:t>2.11 不可抗力</w:t>
      </w:r>
      <w:bookmarkEnd w:id="468"/>
      <w:bookmarkEnd w:id="469"/>
      <w:bookmarkEnd w:id="470"/>
      <w:bookmarkEnd w:id="471"/>
      <w:bookmarkEnd w:id="472"/>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pStyle w:val="955"/>
      </w:pPr>
      <w:bookmarkStart w:id="473" w:name="_Toc24465"/>
      <w:bookmarkStart w:id="474" w:name="_Toc14115"/>
      <w:bookmarkStart w:id="475" w:name="_Toc23854"/>
      <w:bookmarkStart w:id="476" w:name="_Toc3638"/>
      <w:bookmarkStart w:id="477" w:name="_Toc25783"/>
      <w:r>
        <w:t>2.12 税费</w:t>
      </w:r>
      <w:bookmarkEnd w:id="473"/>
      <w:bookmarkEnd w:id="474"/>
      <w:bookmarkEnd w:id="475"/>
      <w:bookmarkEnd w:id="476"/>
      <w:bookmarkEnd w:id="477"/>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pStyle w:val="955"/>
      </w:pPr>
      <w:bookmarkStart w:id="478" w:name="_Toc25525"/>
      <w:bookmarkStart w:id="479" w:name="_Toc30105"/>
      <w:bookmarkStart w:id="480" w:name="_Toc26883"/>
      <w:bookmarkStart w:id="481" w:name="_Toc7315"/>
      <w:bookmarkStart w:id="482" w:name="_Toc14814"/>
      <w:r>
        <w:t>2.13 乙方破产</w:t>
      </w:r>
      <w:bookmarkEnd w:id="478"/>
      <w:bookmarkEnd w:id="479"/>
      <w:bookmarkEnd w:id="480"/>
      <w:bookmarkEnd w:id="481"/>
      <w:bookmarkEnd w:id="482"/>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pStyle w:val="955"/>
      </w:pPr>
      <w:bookmarkStart w:id="483" w:name="_Toc1123"/>
      <w:bookmarkStart w:id="484" w:name="_Toc2016"/>
      <w:bookmarkStart w:id="485" w:name="_Toc23323"/>
      <w:r>
        <w:t>2.14 合同中止、终止</w:t>
      </w:r>
      <w:bookmarkEnd w:id="483"/>
      <w:bookmarkEnd w:id="484"/>
      <w:bookmarkEnd w:id="485"/>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pStyle w:val="955"/>
      </w:pPr>
      <w:bookmarkStart w:id="486" w:name="_Toc1969"/>
      <w:bookmarkStart w:id="487" w:name="_Toc17363"/>
      <w:bookmarkStart w:id="488" w:name="_Toc14525"/>
      <w:r>
        <w:t>2.15 检验和验收</w:t>
      </w:r>
      <w:bookmarkEnd w:id="486"/>
      <w:bookmarkEnd w:id="487"/>
      <w:bookmarkEnd w:id="488"/>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pStyle w:val="955"/>
      </w:pPr>
      <w:bookmarkStart w:id="489" w:name="_Toc12666"/>
      <w:bookmarkStart w:id="490" w:name="_Toc31892"/>
      <w:bookmarkStart w:id="491" w:name="_Toc25198"/>
      <w:bookmarkStart w:id="492" w:name="_Toc2308"/>
      <w:bookmarkStart w:id="493" w:name="_Toc9808"/>
      <w:r>
        <w:t>2.16 通知和送达</w:t>
      </w:r>
      <w:bookmarkEnd w:id="489"/>
      <w:bookmarkEnd w:id="490"/>
      <w:bookmarkEnd w:id="491"/>
      <w:bookmarkEnd w:id="492"/>
      <w:bookmarkEnd w:id="493"/>
    </w:p>
    <w:p>
      <w:pPr>
        <w:spacing w:line="360" w:lineRule="auto"/>
        <w:ind w:firstLine="480" w:firstLineChars="200"/>
        <w:rPr>
          <w:rFonts w:ascii="仿宋" w:hAnsi="仿宋" w:eastAsia="仿宋"/>
          <w:sz w:val="24"/>
        </w:rPr>
      </w:pPr>
      <w:bookmarkStart w:id="494" w:name="_Toc27674"/>
      <w:bookmarkStart w:id="495"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4"/>
      <w:bookmarkEnd w:id="495"/>
    </w:p>
    <w:p>
      <w:pPr>
        <w:pStyle w:val="955"/>
      </w:pPr>
      <w:bookmarkStart w:id="496" w:name="_Toc20808"/>
      <w:bookmarkStart w:id="497" w:name="_Toc27644"/>
      <w:bookmarkStart w:id="498" w:name="_Toc5063"/>
      <w:bookmarkStart w:id="499" w:name="_Toc28906"/>
      <w:bookmarkStart w:id="500" w:name="_Toc12254"/>
      <w:r>
        <w:t xml:space="preserve">2.17 </w:t>
      </w:r>
      <w:r>
        <w:rPr>
          <w:rFonts w:hint="eastAsia"/>
        </w:rPr>
        <w:t>合同使用的文字和</w:t>
      </w:r>
      <w:r>
        <w:t>适用的法律</w:t>
      </w:r>
      <w:bookmarkEnd w:id="496"/>
      <w:bookmarkEnd w:id="497"/>
      <w:bookmarkEnd w:id="498"/>
      <w:bookmarkEnd w:id="499"/>
      <w:bookmarkEnd w:id="500"/>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pStyle w:val="955"/>
      </w:pPr>
      <w:bookmarkStart w:id="501" w:name="_Toc1492"/>
      <w:bookmarkStart w:id="502" w:name="_Toc30096"/>
      <w:bookmarkStart w:id="503" w:name="_Toc27127"/>
      <w:bookmarkStart w:id="504" w:name="_Toc22266"/>
      <w:bookmarkStart w:id="505" w:name="_Toc27403"/>
      <w:r>
        <w:t>2.18 履约保证金</w:t>
      </w:r>
      <w:bookmarkEnd w:id="501"/>
      <w:bookmarkEnd w:id="502"/>
      <w:bookmarkEnd w:id="503"/>
      <w:bookmarkEnd w:id="504"/>
      <w:bookmarkEnd w:id="505"/>
    </w:p>
    <w:p>
      <w:pPr>
        <w:pStyle w:val="963"/>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ascii="Calibri" w:hAnsi="Calibri" w:eastAsia="仿宋" w:cs="Calibri"/>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pStyle w:val="955"/>
      </w:pPr>
      <w:r>
        <w:rPr>
          <w:rFonts w:hint="eastAsia"/>
        </w:rPr>
        <w:br w:type="page"/>
      </w:r>
      <w:bookmarkStart w:id="506" w:name="_Toc331685784"/>
      <w:bookmarkEnd w:id="506"/>
      <w:r>
        <w:rPr>
          <w:rFonts w:hint="eastAsia"/>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534" w:type="pct"/>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453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534" w:type="pct"/>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534" w:type="pct"/>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4534" w:type="pct"/>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宋体"/>
                <w:sz w:val="24"/>
              </w:rPr>
            </w:pPr>
            <w:r>
              <w:rPr>
                <w:rFonts w:hint="eastAsia" w:ascii="仿宋" w:hAnsi="仿宋" w:eastAsia="仿宋" w:cs="宋体"/>
                <w:sz w:val="24"/>
              </w:rPr>
              <w:t>2.20</w:t>
            </w:r>
          </w:p>
        </w:tc>
        <w:tc>
          <w:tcPr>
            <w:tcW w:w="4534" w:type="pct"/>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pStyle w:val="955"/>
      </w:pPr>
    </w:p>
    <w:p>
      <w:pPr>
        <w:spacing w:line="360" w:lineRule="auto"/>
        <w:ind w:right="-420" w:rightChars="-200"/>
        <w:rPr>
          <w:rFonts w:ascii="仿宋" w:hAnsi="仿宋" w:eastAsia="仿宋"/>
          <w:sz w:val="24"/>
        </w:rPr>
      </w:pPr>
    </w:p>
    <w:p>
      <w:pPr>
        <w:spacing w:line="360" w:lineRule="auto"/>
        <w:ind w:left="-420" w:leftChars="-200" w:right="-420" w:rightChars="-200" w:firstLine="480" w:firstLineChars="200"/>
        <w:rPr>
          <w:rFonts w:ascii="仿宋" w:hAnsi="仿宋" w:eastAsia="仿宋" w:cs="宋体"/>
          <w:sz w:val="24"/>
        </w:rPr>
      </w:pPr>
    </w:p>
    <w:p>
      <w:pPr>
        <w:widowControl/>
        <w:adjustRightInd/>
        <w:spacing w:line="360" w:lineRule="auto"/>
        <w:jc w:val="left"/>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3"/>
      <w:bookmarkEnd w:id="394"/>
      <w:r>
        <w:rPr>
          <w:rFonts w:hint="eastAsia" w:ascii="仿宋" w:hAnsi="仿宋" w:eastAsia="仿宋" w:cs="宋体"/>
          <w:b/>
          <w:sz w:val="36"/>
          <w:szCs w:val="20"/>
        </w:rPr>
        <w:t>应提交的有关格式范例</w:t>
      </w:r>
    </w:p>
    <w:p>
      <w:pPr>
        <w:pStyle w:val="955"/>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pStyle w:val="86"/>
      </w:pPr>
      <w:r>
        <w:rPr>
          <w:rFonts w:hint="eastAsia"/>
        </w:rPr>
        <w:t>目录</w:t>
      </w:r>
    </w:p>
    <w:p>
      <w:pPr>
        <w:pStyle w:val="955"/>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pPr>
        <w:spacing w:line="360" w:lineRule="auto"/>
        <w:ind w:firstLine="482" w:firstLineChars="200"/>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pStyle w:val="955"/>
      </w:pPr>
    </w:p>
    <w:p>
      <w:pPr>
        <w:pStyle w:val="86"/>
      </w:pPr>
      <w:r>
        <w:rPr>
          <w:rFonts w:hint="eastAsia"/>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7" w:name="_Hlk101257010"/>
      <w:r>
        <w:rPr>
          <w:rFonts w:hint="eastAsia" w:ascii="仿宋" w:hAnsi="仿宋" w:eastAsia="仿宋" w:cs="宋体"/>
          <w:b/>
          <w:bCs/>
          <w:sz w:val="24"/>
        </w:rPr>
        <w:t>（如果有)</w:t>
      </w:r>
      <w:bookmarkEnd w:id="507"/>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w:t>
      </w:r>
      <w:r>
        <w:rPr>
          <w:rFonts w:hint="eastAsia" w:ascii="仿宋" w:hAnsi="仿宋" w:eastAsia="仿宋" w:cs="宋体"/>
          <w:b/>
          <w:bCs/>
          <w:sz w:val="24"/>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54"/>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54"/>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p>
            <w:pPr>
              <w:spacing w:line="360" w:lineRule="auto"/>
              <w:jc w:val="center"/>
              <w:rPr>
                <w:rFonts w:ascii="仿宋" w:hAnsi="仿宋" w:eastAsia="仿宋" w:cs="宋体"/>
                <w:b/>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p>
            <w:pPr>
              <w:spacing w:line="360" w:lineRule="auto"/>
              <w:jc w:val="center"/>
              <w:rPr>
                <w:rFonts w:ascii="仿宋" w:hAnsi="仿宋" w:eastAsia="仿宋" w:cs="宋体"/>
                <w:b/>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spacing w:line="360" w:lineRule="auto"/>
              <w:jc w:val="center"/>
              <w:rPr>
                <w:rFonts w:ascii="仿宋" w:hAnsi="仿宋" w:eastAsia="仿宋" w:cs="宋体"/>
                <w:b/>
                <w:kern w:val="0"/>
                <w:sz w:val="32"/>
                <w:szCs w:val="32"/>
              </w:rPr>
            </w:pPr>
          </w:p>
        </w:tc>
        <w:tc>
          <w:tcPr>
            <w:tcW w:w="3546" w:type="dxa"/>
          </w:tcPr>
          <w:p>
            <w:pPr>
              <w:spacing w:line="360" w:lineRule="auto"/>
              <w:jc w:val="center"/>
              <w:rPr>
                <w:rFonts w:ascii="仿宋" w:hAnsi="仿宋" w:eastAsia="仿宋" w:cs="宋体"/>
                <w:b/>
                <w:kern w:val="0"/>
                <w:sz w:val="32"/>
                <w:szCs w:val="32"/>
              </w:rPr>
            </w:pPr>
          </w:p>
        </w:tc>
        <w:tc>
          <w:tcPr>
            <w:tcW w:w="1276" w:type="dxa"/>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pStyle w:val="86"/>
      </w:pPr>
      <w:r>
        <w:rPr>
          <w:rFonts w:hint="eastAsia"/>
        </w:rPr>
        <w:t>目录</w:t>
      </w:r>
    </w:p>
    <w:p>
      <w:pPr>
        <w:pStyle w:val="86"/>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59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351"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43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p>
            <w:pPr>
              <w:spacing w:line="360" w:lineRule="auto"/>
              <w:jc w:val="center"/>
              <w:rPr>
                <w:rFonts w:ascii="仿宋" w:hAnsi="仿宋" w:eastAsia="仿宋" w:cs="宋体"/>
                <w:b/>
                <w:sz w:val="24"/>
              </w:rPr>
            </w:pPr>
          </w:p>
        </w:tc>
        <w:tc>
          <w:tcPr>
            <w:tcW w:w="1351"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p>
            <w:pPr>
              <w:spacing w:line="360" w:lineRule="auto"/>
              <w:jc w:val="center"/>
              <w:rPr>
                <w:rFonts w:ascii="仿宋" w:hAnsi="仿宋" w:eastAsia="仿宋" w:cs="宋体"/>
                <w:b/>
                <w:sz w:val="24"/>
              </w:rPr>
            </w:pPr>
          </w:p>
        </w:tc>
        <w:tc>
          <w:tcPr>
            <w:tcW w:w="126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68"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1267"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591"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591"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591" w:type="dxa"/>
            <w:vAlign w:val="center"/>
          </w:tcPr>
          <w:p>
            <w:pPr>
              <w:snapToGrid w:val="0"/>
              <w:spacing w:line="360" w:lineRule="auto"/>
              <w:jc w:val="center"/>
              <w:rPr>
                <w:rFonts w:ascii="仿宋" w:hAnsi="仿宋" w:eastAsia="仿宋" w:cs="宋体"/>
                <w:color w:val="0000FF"/>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rPr>
            </w:pPr>
          </w:p>
        </w:tc>
        <w:tc>
          <w:tcPr>
            <w:tcW w:w="591"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437" w:type="dxa"/>
            <w:vAlign w:val="center"/>
          </w:tcPr>
          <w:p>
            <w:pPr>
              <w:snapToGrid w:val="0"/>
              <w:spacing w:line="360" w:lineRule="auto"/>
              <w:jc w:val="center"/>
              <w:rPr>
                <w:rFonts w:ascii="仿宋" w:hAnsi="仿宋" w:eastAsia="仿宋" w:cs="宋体"/>
                <w:sz w:val="24"/>
              </w:rPr>
            </w:pPr>
          </w:p>
        </w:tc>
        <w:tc>
          <w:tcPr>
            <w:tcW w:w="1351" w:type="dxa"/>
            <w:vAlign w:val="center"/>
          </w:tcPr>
          <w:p>
            <w:pPr>
              <w:snapToGrid w:val="0"/>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c>
          <w:tcPr>
            <w:tcW w:w="1268" w:type="dxa"/>
          </w:tcPr>
          <w:p>
            <w:pPr>
              <w:spacing w:line="360" w:lineRule="auto"/>
              <w:jc w:val="center"/>
              <w:rPr>
                <w:rFonts w:ascii="仿宋" w:hAnsi="仿宋" w:eastAsia="仿宋" w:cs="宋体"/>
                <w:sz w:val="24"/>
              </w:rPr>
            </w:pPr>
          </w:p>
        </w:tc>
        <w:tc>
          <w:tcPr>
            <w:tcW w:w="1267"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5153" w:type="dxa"/>
            <w:gridSpan w:val="4"/>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5153" w:type="dxa"/>
            <w:gridSpan w:val="4"/>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2" w:firstLineChars="200"/>
        <w:jc w:val="left"/>
        <w:rPr>
          <w:rFonts w:ascii="仿宋" w:hAnsi="仿宋" w:eastAsia="仿宋" w:cs="宋体"/>
          <w:b/>
          <w:bCs/>
          <w:kern w:val="0"/>
          <w:sz w:val="24"/>
          <w:lang w:val="zh-CN"/>
        </w:rPr>
      </w:pPr>
      <w:r>
        <w:rPr>
          <w:rFonts w:hint="eastAsia" w:ascii="仿宋" w:hAnsi="仿宋" w:eastAsia="仿宋" w:cs="宋体"/>
          <w:b/>
          <w:bCs/>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ascii="仿宋" w:hAnsi="仿宋" w:eastAsia="仿宋" w:cs="宋体"/>
          <w:b/>
          <w:bCs/>
          <w:kern w:val="0"/>
          <w:sz w:val="24"/>
          <w:lang w:val="zh-CN"/>
        </w:rPr>
      </w:pPr>
      <w:r>
        <w:rPr>
          <w:rFonts w:ascii="仿宋" w:hAnsi="仿宋" w:eastAsia="仿宋" w:cs="宋体"/>
          <w:b/>
          <w:bCs/>
          <w:kern w:val="0"/>
          <w:sz w:val="24"/>
          <w:szCs w:val="22"/>
          <w:lang w:val="zh-CN"/>
        </w:rPr>
        <w:t>4</w:t>
      </w:r>
      <w:r>
        <w:rPr>
          <w:rFonts w:hint="eastAsia" w:ascii="仿宋" w:hAnsi="仿宋" w:eastAsia="仿宋" w:cs="宋体"/>
          <w:b/>
          <w:bCs/>
          <w:kern w:val="0"/>
          <w:sz w:val="24"/>
          <w:szCs w:val="22"/>
          <w:lang w:val="zh-CN"/>
        </w:rPr>
        <w:t>、</w:t>
      </w:r>
      <w:r>
        <w:rPr>
          <w:rFonts w:hint="eastAsia" w:ascii="仿宋" w:hAnsi="仿宋" w:eastAsia="仿宋" w:cs="宋体"/>
          <w:b/>
          <w:bCs/>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8"/>
        <w:keepNext w:val="0"/>
        <w:pageBreakBefore w:val="0"/>
        <w:tabs>
          <w:tab w:val="clear" w:pos="720"/>
        </w:tabs>
        <w:snapToGrid w:val="0"/>
        <w:spacing w:before="120" w:after="120"/>
        <w:ind w:firstLine="643"/>
        <w:jc w:val="right"/>
        <w:outlineLvl w:val="9"/>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698"/>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698"/>
        <w:keepNext w:val="0"/>
        <w:pageBreakBefore w:val="0"/>
        <w:tabs>
          <w:tab w:val="clear" w:pos="720"/>
        </w:tabs>
        <w:snapToGrid w:val="0"/>
        <w:spacing w:before="120" w:after="120"/>
        <w:ind w:firstLine="643"/>
        <w:outlineLvl w:val="9"/>
        <w:rPr>
          <w:rFonts w:ascii="仿宋" w:hAnsi="仿宋" w:eastAsia="仿宋" w:cs="宋体"/>
          <w:b w:val="0"/>
          <w:sz w:val="32"/>
          <w:szCs w:val="32"/>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spacing w:line="360" w:lineRule="auto"/>
        <w:ind w:right="420" w:firstLine="3614" w:firstLineChars="1000"/>
        <w:rPr>
          <w:rFonts w:ascii="仿宋" w:hAnsi="仿宋" w:eastAsia="仿宋"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08" w:name="OLE_LINK14"/>
      <w:bookmarkStart w:id="509" w:name="OLE_LINK13"/>
      <w:r>
        <w:rPr>
          <w:rFonts w:hint="eastAsia" w:ascii="仿宋" w:hAnsi="仿宋" w:eastAsia="仿宋" w:cs="宋体"/>
          <w:b/>
          <w:spacing w:val="6"/>
          <w:sz w:val="32"/>
          <w:szCs w:val="32"/>
        </w:rPr>
        <w:t>残疾人福利性单位声明函</w:t>
      </w:r>
    </w:p>
    <w:bookmarkEnd w:id="508"/>
    <w:bookmarkEnd w:id="509"/>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0"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0"/>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1"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1"/>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2"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2"/>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cs="宋体"/>
          <w:kern w:val="0"/>
          <w:sz w:val="24"/>
        </w:rPr>
        <w:t xml:space="preserve"> </w:t>
      </w:r>
      <w:r>
        <w:rPr>
          <w:rFonts w:ascii="仿宋" w:hAnsi="仿宋" w:eastAsia="仿宋"/>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pStyle w:val="90"/>
        <w:rPr>
          <w:highlight w:val="cyan"/>
        </w:rPr>
      </w:pP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sz w:val="24"/>
        </w:rPr>
        <w:t xml:space="preserve"> </w:t>
      </w: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61"/>
        <w:ind w:firstLine="0"/>
        <w:rPr>
          <w:rFonts w:ascii="仿宋" w:hAnsi="仿宋" w:eastAsia="仿宋" w:cs="宋体"/>
          <w:b/>
          <w:szCs w:val="21"/>
          <w:lang w:val="en-US"/>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61"/>
        <w:ind w:firstLine="0"/>
        <w:rPr>
          <w:rFonts w:ascii="仿宋" w:hAnsi="仿宋" w:eastAsia="仿宋" w:cs="宋体"/>
          <w:b/>
          <w:szCs w:val="21"/>
        </w:rPr>
      </w:pPr>
    </w:p>
    <w:p>
      <w:pPr>
        <w:pStyle w:val="90"/>
      </w:pPr>
    </w:p>
    <w:p>
      <w:pPr>
        <w:pStyle w:val="90"/>
      </w:pPr>
    </w:p>
    <w:p>
      <w:pPr>
        <w:pStyle w:val="90"/>
      </w:pPr>
    </w:p>
    <w:p>
      <w:pPr>
        <w:pStyle w:val="90"/>
      </w:pPr>
    </w:p>
    <w:p>
      <w:pPr>
        <w:pStyle w:val="61"/>
        <w:ind w:firstLine="0"/>
        <w:rPr>
          <w:rFonts w:ascii="仿宋" w:hAnsi="仿宋" w:eastAsia="仿宋" w:cs="宋体"/>
          <w:b/>
          <w:sz w:val="36"/>
          <w:lang w:val="en-US"/>
        </w:rPr>
      </w:pPr>
    </w:p>
    <w:p>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968"/>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pPr>
        <w:pStyle w:val="968"/>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pPr>
        <w:pStyle w:val="717"/>
        <w:ind w:firstLine="480"/>
        <w:rPr>
          <w:rFonts w:ascii="仿宋" w:hAnsi="仿宋" w:eastAsia="仿宋"/>
        </w:rPr>
      </w:pPr>
    </w:p>
    <w:p>
      <w:pPr>
        <w:pStyle w:val="717"/>
        <w:ind w:firstLine="480"/>
        <w:rPr>
          <w:rFonts w:ascii="仿宋" w:hAnsi="仿宋" w:eastAsia="仿宋"/>
        </w:rPr>
      </w:pPr>
    </w:p>
    <w:p>
      <w:pPr>
        <w:widowControl/>
        <w:adjustRightInd/>
        <w:jc w:val="left"/>
        <w:rPr>
          <w:rFonts w:ascii="仿宋" w:hAnsi="仿宋" w:eastAsia="仿宋" w:cs="宋体"/>
          <w:b/>
          <w:sz w:val="36"/>
          <w:szCs w:val="20"/>
        </w:rPr>
      </w:pPr>
      <w:r>
        <w:rPr>
          <w:rFonts w:ascii="仿宋" w:hAnsi="仿宋" w:eastAsia="仿宋" w:cs="宋体"/>
          <w:b/>
          <w:sz w:val="36"/>
        </w:rPr>
        <w:br w:type="page"/>
      </w:r>
    </w:p>
    <w:p>
      <w:pPr>
        <w:pStyle w:val="61"/>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955"/>
      </w:pPr>
      <w:r>
        <w:t>政府采购活动现场确认声明书</w:t>
      </w:r>
    </w:p>
    <w:p>
      <w:pPr>
        <w:spacing w:line="360" w:lineRule="auto"/>
        <w:rPr>
          <w:rFonts w:ascii="仿宋" w:hAnsi="仿宋" w:eastAsia="仿宋"/>
          <w:szCs w:val="21"/>
        </w:rPr>
      </w:pPr>
      <w:r>
        <w:rPr>
          <w:rFonts w:hint="eastAsia" w:ascii="仿宋" w:hAnsi="仿宋" w:eastAsia="仿宋"/>
          <w:szCs w:val="21"/>
        </w:rPr>
        <w:t xml:space="preserve">余杭区良渚街道小额公共资源交易中心 </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注：在供应商完成本项目在线解密，并知道参加本项目采购活动的其他所有供应商名称后进行签署，签署完毕后将扫描件发送至采购代理机构。投标文件中无需提供此声明书。</w:t>
      </w:r>
    </w:p>
    <w:p>
      <w:pPr>
        <w:pStyle w:val="717"/>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3" w:name="_Toc91899912"/>
    <w:bookmarkStart w:id="514" w:name="_Toc164085800"/>
    <w:bookmarkStart w:id="515" w:name="_Toc36110187"/>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6CC2"/>
    <w:multiLevelType w:val="singleLevel"/>
    <w:tmpl w:val="AA006CC2"/>
    <w:lvl w:ilvl="0" w:tentative="0">
      <w:start w:val="1"/>
      <w:numFmt w:val="decimal"/>
      <w:suff w:val="nothing"/>
      <w:lvlText w:val="（%1）"/>
      <w:lvlJc w:val="left"/>
    </w:lvl>
  </w:abstractNum>
  <w:abstractNum w:abstractNumId="1">
    <w:nsid w:val="B0CBDCE3"/>
    <w:multiLevelType w:val="singleLevel"/>
    <w:tmpl w:val="B0CBDCE3"/>
    <w:lvl w:ilvl="0" w:tentative="0">
      <w:start w:val="4"/>
      <w:numFmt w:val="decimal"/>
      <w:lvlText w:val="%1."/>
      <w:lvlJc w:val="left"/>
      <w:pPr>
        <w:tabs>
          <w:tab w:val="left" w:pos="312"/>
        </w:tabs>
      </w:pPr>
    </w:lvl>
  </w:abstractNum>
  <w:abstractNum w:abstractNumId="2">
    <w:nsid w:val="09BE1580"/>
    <w:multiLevelType w:val="singleLevel"/>
    <w:tmpl w:val="09BE1580"/>
    <w:lvl w:ilvl="0" w:tentative="0">
      <w:start w:val="1"/>
      <w:numFmt w:val="decimal"/>
      <w:suff w:val="nothing"/>
      <w:lvlText w:val="%1）"/>
      <w:lvlJc w:val="left"/>
      <w:rPr>
        <w:rFonts w:hint="default"/>
        <w:b w:val="0"/>
        <w:bCs w:val="0"/>
      </w:rPr>
    </w:lvl>
  </w:abstractNum>
  <w:abstractNum w:abstractNumId="3">
    <w:nsid w:val="327CC8DB"/>
    <w:multiLevelType w:val="singleLevel"/>
    <w:tmpl w:val="327CC8DB"/>
    <w:lvl w:ilvl="0" w:tentative="0">
      <w:start w:val="1"/>
      <w:numFmt w:val="decimal"/>
      <w:suff w:val="nothing"/>
      <w:lvlText w:val="%1）"/>
      <w:lvlJc w:val="left"/>
    </w:lvl>
  </w:abstractNum>
  <w:abstractNum w:abstractNumId="4">
    <w:nsid w:val="64B4E1BA"/>
    <w:multiLevelType w:val="singleLevel"/>
    <w:tmpl w:val="64B4E1BA"/>
    <w:lvl w:ilvl="0" w:tentative="0">
      <w:start w:val="1"/>
      <w:numFmt w:val="decimal"/>
      <w:suff w:val="nothing"/>
      <w:lvlText w:val="%1）"/>
      <w:lvlJc w:val="left"/>
    </w:lvl>
  </w:abstractNum>
  <w:abstractNum w:abstractNumId="5">
    <w:nsid w:val="64B4E51A"/>
    <w:multiLevelType w:val="singleLevel"/>
    <w:tmpl w:val="64B4E51A"/>
    <w:lvl w:ilvl="0" w:tentative="0">
      <w:start w:val="2"/>
      <w:numFmt w:val="decimal"/>
      <w:suff w:val="nothing"/>
      <w:lvlText w:val="%1）"/>
      <w:lvlJc w:val="left"/>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076D"/>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2F57"/>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FD4"/>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79D"/>
    <w:rsid w:val="000B1D51"/>
    <w:rsid w:val="000B268D"/>
    <w:rsid w:val="000B291B"/>
    <w:rsid w:val="000B2A6C"/>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1F"/>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3FC5"/>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A2C"/>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777"/>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D85"/>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BA7"/>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327"/>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481"/>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5FE7"/>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040"/>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5EC"/>
    <w:rsid w:val="00301B32"/>
    <w:rsid w:val="003025FE"/>
    <w:rsid w:val="00302A27"/>
    <w:rsid w:val="00303AB6"/>
    <w:rsid w:val="00303AE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1F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52"/>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25"/>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B94"/>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7CF"/>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18B"/>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7B3"/>
    <w:rsid w:val="00471963"/>
    <w:rsid w:val="004724B8"/>
    <w:rsid w:val="004728FB"/>
    <w:rsid w:val="004729AD"/>
    <w:rsid w:val="00472CA7"/>
    <w:rsid w:val="00472CEC"/>
    <w:rsid w:val="00473308"/>
    <w:rsid w:val="0047377C"/>
    <w:rsid w:val="0047471E"/>
    <w:rsid w:val="004749DA"/>
    <w:rsid w:val="00474DEF"/>
    <w:rsid w:val="0047546D"/>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90B"/>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10B"/>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7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D04"/>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4F5D"/>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09"/>
    <w:rsid w:val="006753AC"/>
    <w:rsid w:val="00675430"/>
    <w:rsid w:val="006755F0"/>
    <w:rsid w:val="00675749"/>
    <w:rsid w:val="006759FE"/>
    <w:rsid w:val="00675BA5"/>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AF9"/>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627"/>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8B1"/>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57"/>
    <w:rsid w:val="00731EDE"/>
    <w:rsid w:val="0073245C"/>
    <w:rsid w:val="00732493"/>
    <w:rsid w:val="00732FE9"/>
    <w:rsid w:val="00733772"/>
    <w:rsid w:val="00733A43"/>
    <w:rsid w:val="00733AE4"/>
    <w:rsid w:val="00733D5F"/>
    <w:rsid w:val="00734932"/>
    <w:rsid w:val="007358E9"/>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29D"/>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4B6"/>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1CE"/>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9A6"/>
    <w:rsid w:val="008465B4"/>
    <w:rsid w:val="00846D25"/>
    <w:rsid w:val="00850013"/>
    <w:rsid w:val="008500DD"/>
    <w:rsid w:val="00850A0A"/>
    <w:rsid w:val="00850A94"/>
    <w:rsid w:val="0085114D"/>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74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D45"/>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251"/>
    <w:rsid w:val="008B034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1FD9"/>
    <w:rsid w:val="008C2059"/>
    <w:rsid w:val="008C21D0"/>
    <w:rsid w:val="008C2DBC"/>
    <w:rsid w:val="008C3A4E"/>
    <w:rsid w:val="008C5371"/>
    <w:rsid w:val="008C623D"/>
    <w:rsid w:val="008C65F4"/>
    <w:rsid w:val="008C6683"/>
    <w:rsid w:val="008C6E0C"/>
    <w:rsid w:val="008C6FB6"/>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E73"/>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E92"/>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71B"/>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A40"/>
    <w:rsid w:val="009D6B9A"/>
    <w:rsid w:val="009D6D30"/>
    <w:rsid w:val="009D7523"/>
    <w:rsid w:val="009D76B5"/>
    <w:rsid w:val="009D7AF1"/>
    <w:rsid w:val="009D7BC7"/>
    <w:rsid w:val="009D7FAC"/>
    <w:rsid w:val="009E0109"/>
    <w:rsid w:val="009E0342"/>
    <w:rsid w:val="009E098B"/>
    <w:rsid w:val="009E09AB"/>
    <w:rsid w:val="009E0D4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38"/>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1C0"/>
    <w:rsid w:val="00A855EE"/>
    <w:rsid w:val="00A8597A"/>
    <w:rsid w:val="00A85B87"/>
    <w:rsid w:val="00A85F83"/>
    <w:rsid w:val="00A86019"/>
    <w:rsid w:val="00A86455"/>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A64"/>
    <w:rsid w:val="00AB7B06"/>
    <w:rsid w:val="00AB7EAA"/>
    <w:rsid w:val="00AC0432"/>
    <w:rsid w:val="00AC0770"/>
    <w:rsid w:val="00AC1683"/>
    <w:rsid w:val="00AC1D82"/>
    <w:rsid w:val="00AC2D5F"/>
    <w:rsid w:val="00AC4094"/>
    <w:rsid w:val="00AC42B6"/>
    <w:rsid w:val="00AC4AB7"/>
    <w:rsid w:val="00AC51E0"/>
    <w:rsid w:val="00AC6D24"/>
    <w:rsid w:val="00AC6E18"/>
    <w:rsid w:val="00AC7B0A"/>
    <w:rsid w:val="00AC7F64"/>
    <w:rsid w:val="00AD1065"/>
    <w:rsid w:val="00AD159E"/>
    <w:rsid w:val="00AD2AB1"/>
    <w:rsid w:val="00AD3132"/>
    <w:rsid w:val="00AD3DA6"/>
    <w:rsid w:val="00AD3F3C"/>
    <w:rsid w:val="00AD447E"/>
    <w:rsid w:val="00AD4B2F"/>
    <w:rsid w:val="00AD5F0A"/>
    <w:rsid w:val="00AD6A5B"/>
    <w:rsid w:val="00AD6B4F"/>
    <w:rsid w:val="00AD6C0C"/>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E7993"/>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12D"/>
    <w:rsid w:val="00AF7389"/>
    <w:rsid w:val="00AF79DF"/>
    <w:rsid w:val="00AF7C37"/>
    <w:rsid w:val="00B00378"/>
    <w:rsid w:val="00B00D91"/>
    <w:rsid w:val="00B00E84"/>
    <w:rsid w:val="00B01DD9"/>
    <w:rsid w:val="00B01F0E"/>
    <w:rsid w:val="00B038F1"/>
    <w:rsid w:val="00B03BAE"/>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984"/>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20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5CB"/>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02B"/>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B2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DED"/>
    <w:rsid w:val="00C20051"/>
    <w:rsid w:val="00C2021B"/>
    <w:rsid w:val="00C2095E"/>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1DC"/>
    <w:rsid w:val="00C512D1"/>
    <w:rsid w:val="00C51856"/>
    <w:rsid w:val="00C51B04"/>
    <w:rsid w:val="00C51DB5"/>
    <w:rsid w:val="00C5249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0DF"/>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9AB"/>
    <w:rsid w:val="00CC2D03"/>
    <w:rsid w:val="00CC2EB0"/>
    <w:rsid w:val="00CC4701"/>
    <w:rsid w:val="00CC56B4"/>
    <w:rsid w:val="00CC596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188"/>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340"/>
    <w:rsid w:val="00CE59F6"/>
    <w:rsid w:val="00CE66CD"/>
    <w:rsid w:val="00CE6BA9"/>
    <w:rsid w:val="00CE71C3"/>
    <w:rsid w:val="00CE727A"/>
    <w:rsid w:val="00CF029C"/>
    <w:rsid w:val="00CF0530"/>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939"/>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3E1"/>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FAE"/>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AE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3"/>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F4E"/>
    <w:rsid w:val="00E90074"/>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3F4"/>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C08"/>
    <w:rsid w:val="00F2420C"/>
    <w:rsid w:val="00F24C28"/>
    <w:rsid w:val="00F254C4"/>
    <w:rsid w:val="00F25641"/>
    <w:rsid w:val="00F256D8"/>
    <w:rsid w:val="00F25824"/>
    <w:rsid w:val="00F25E8C"/>
    <w:rsid w:val="00F26065"/>
    <w:rsid w:val="00F266E3"/>
    <w:rsid w:val="00F2689C"/>
    <w:rsid w:val="00F272DD"/>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6F4"/>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2D47"/>
    <w:rsid w:val="00FD3445"/>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8641C"/>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637C0"/>
    <w:rsid w:val="03DD35E4"/>
    <w:rsid w:val="04076900"/>
    <w:rsid w:val="041A5A3B"/>
    <w:rsid w:val="042311BA"/>
    <w:rsid w:val="042B157A"/>
    <w:rsid w:val="048F763B"/>
    <w:rsid w:val="049F330E"/>
    <w:rsid w:val="04AA775C"/>
    <w:rsid w:val="04AF1889"/>
    <w:rsid w:val="04F66F48"/>
    <w:rsid w:val="05057764"/>
    <w:rsid w:val="05251E14"/>
    <w:rsid w:val="05A16594"/>
    <w:rsid w:val="05A7762D"/>
    <w:rsid w:val="060E5941"/>
    <w:rsid w:val="06110FAF"/>
    <w:rsid w:val="06493CA7"/>
    <w:rsid w:val="065A6178"/>
    <w:rsid w:val="066F1CF3"/>
    <w:rsid w:val="06930BB8"/>
    <w:rsid w:val="07245D42"/>
    <w:rsid w:val="07264C62"/>
    <w:rsid w:val="0779354C"/>
    <w:rsid w:val="08061376"/>
    <w:rsid w:val="08123F24"/>
    <w:rsid w:val="08452D77"/>
    <w:rsid w:val="08485B98"/>
    <w:rsid w:val="086401F8"/>
    <w:rsid w:val="08751CAA"/>
    <w:rsid w:val="087E4C40"/>
    <w:rsid w:val="08A871D0"/>
    <w:rsid w:val="08D66AD6"/>
    <w:rsid w:val="08DA33A3"/>
    <w:rsid w:val="08E80F13"/>
    <w:rsid w:val="09335624"/>
    <w:rsid w:val="0944690F"/>
    <w:rsid w:val="09473C75"/>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F3EA8"/>
    <w:rsid w:val="0B30404E"/>
    <w:rsid w:val="0B3C7C36"/>
    <w:rsid w:val="0B4C6C14"/>
    <w:rsid w:val="0B547599"/>
    <w:rsid w:val="0B631A88"/>
    <w:rsid w:val="0B683D45"/>
    <w:rsid w:val="0B7F3F11"/>
    <w:rsid w:val="0B884417"/>
    <w:rsid w:val="0BAE161E"/>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6E5F"/>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D7D11"/>
    <w:rsid w:val="0F3800D5"/>
    <w:rsid w:val="0F4958DC"/>
    <w:rsid w:val="0F515DF7"/>
    <w:rsid w:val="0F596BA8"/>
    <w:rsid w:val="0F6248D2"/>
    <w:rsid w:val="0F693536"/>
    <w:rsid w:val="0F7B0511"/>
    <w:rsid w:val="0F7B76D9"/>
    <w:rsid w:val="0F816ACD"/>
    <w:rsid w:val="0F9832DB"/>
    <w:rsid w:val="0FBF3FD2"/>
    <w:rsid w:val="0FBF7FF3"/>
    <w:rsid w:val="101271B8"/>
    <w:rsid w:val="105C0433"/>
    <w:rsid w:val="10646583"/>
    <w:rsid w:val="107D4B15"/>
    <w:rsid w:val="108A3C80"/>
    <w:rsid w:val="10C26171"/>
    <w:rsid w:val="10F33360"/>
    <w:rsid w:val="10FC16EA"/>
    <w:rsid w:val="110F1D40"/>
    <w:rsid w:val="11266F33"/>
    <w:rsid w:val="118963A1"/>
    <w:rsid w:val="119671B8"/>
    <w:rsid w:val="11C6522A"/>
    <w:rsid w:val="11E104CC"/>
    <w:rsid w:val="11E20309"/>
    <w:rsid w:val="11F70371"/>
    <w:rsid w:val="12255233"/>
    <w:rsid w:val="12530213"/>
    <w:rsid w:val="127723A9"/>
    <w:rsid w:val="12862074"/>
    <w:rsid w:val="12883966"/>
    <w:rsid w:val="129E45B4"/>
    <w:rsid w:val="12D81596"/>
    <w:rsid w:val="13072A44"/>
    <w:rsid w:val="135F4BE2"/>
    <w:rsid w:val="139B1A0A"/>
    <w:rsid w:val="139D25C7"/>
    <w:rsid w:val="13BF3CE4"/>
    <w:rsid w:val="14007D1B"/>
    <w:rsid w:val="141008D8"/>
    <w:rsid w:val="14125FE6"/>
    <w:rsid w:val="146D271E"/>
    <w:rsid w:val="14982588"/>
    <w:rsid w:val="149A5AD9"/>
    <w:rsid w:val="14A7619D"/>
    <w:rsid w:val="14BE083D"/>
    <w:rsid w:val="150536C3"/>
    <w:rsid w:val="150C1963"/>
    <w:rsid w:val="151447A0"/>
    <w:rsid w:val="154A6454"/>
    <w:rsid w:val="15762120"/>
    <w:rsid w:val="16A8729C"/>
    <w:rsid w:val="16B33777"/>
    <w:rsid w:val="16BC70A7"/>
    <w:rsid w:val="16C6339E"/>
    <w:rsid w:val="16DD5E52"/>
    <w:rsid w:val="172F2D79"/>
    <w:rsid w:val="17557BEF"/>
    <w:rsid w:val="17D349C1"/>
    <w:rsid w:val="17D86923"/>
    <w:rsid w:val="17ED09EA"/>
    <w:rsid w:val="18106DB8"/>
    <w:rsid w:val="1830729E"/>
    <w:rsid w:val="183C74C7"/>
    <w:rsid w:val="18694035"/>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952B5B"/>
    <w:rsid w:val="1BA209CF"/>
    <w:rsid w:val="1BB4777D"/>
    <w:rsid w:val="1BD75AB8"/>
    <w:rsid w:val="1C0459C2"/>
    <w:rsid w:val="1C1B3B4A"/>
    <w:rsid w:val="1C88086E"/>
    <w:rsid w:val="1D266CE1"/>
    <w:rsid w:val="1D3963AF"/>
    <w:rsid w:val="1D6A673C"/>
    <w:rsid w:val="1D9247AE"/>
    <w:rsid w:val="1DB567EC"/>
    <w:rsid w:val="1DD62D6D"/>
    <w:rsid w:val="1DF51A98"/>
    <w:rsid w:val="1DF51CE6"/>
    <w:rsid w:val="1E3D060F"/>
    <w:rsid w:val="1E3F205F"/>
    <w:rsid w:val="1E3F7D2E"/>
    <w:rsid w:val="1E4134E4"/>
    <w:rsid w:val="1E5062B3"/>
    <w:rsid w:val="1E523514"/>
    <w:rsid w:val="1E714A66"/>
    <w:rsid w:val="1E802593"/>
    <w:rsid w:val="1E8B6156"/>
    <w:rsid w:val="1EA703CC"/>
    <w:rsid w:val="1EB7330C"/>
    <w:rsid w:val="1F0A0FF3"/>
    <w:rsid w:val="1F1A12B6"/>
    <w:rsid w:val="1F5771FF"/>
    <w:rsid w:val="1F721A21"/>
    <w:rsid w:val="1F78261A"/>
    <w:rsid w:val="1F9A0F77"/>
    <w:rsid w:val="1FE868A9"/>
    <w:rsid w:val="20034907"/>
    <w:rsid w:val="20173E4B"/>
    <w:rsid w:val="204E48BC"/>
    <w:rsid w:val="208921B3"/>
    <w:rsid w:val="20973DEB"/>
    <w:rsid w:val="20B26522"/>
    <w:rsid w:val="20B44310"/>
    <w:rsid w:val="211116EB"/>
    <w:rsid w:val="216133FC"/>
    <w:rsid w:val="21C301BB"/>
    <w:rsid w:val="21D56769"/>
    <w:rsid w:val="21E52EF3"/>
    <w:rsid w:val="21FB5D7B"/>
    <w:rsid w:val="22015E94"/>
    <w:rsid w:val="220B1C3D"/>
    <w:rsid w:val="221D1D20"/>
    <w:rsid w:val="22205764"/>
    <w:rsid w:val="22334A87"/>
    <w:rsid w:val="22546DF3"/>
    <w:rsid w:val="229604B7"/>
    <w:rsid w:val="22BE6801"/>
    <w:rsid w:val="22D95913"/>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85BB6"/>
    <w:rsid w:val="2551032A"/>
    <w:rsid w:val="258B00E2"/>
    <w:rsid w:val="25A917A6"/>
    <w:rsid w:val="25BE27CC"/>
    <w:rsid w:val="25F74A5C"/>
    <w:rsid w:val="260C212C"/>
    <w:rsid w:val="2628662C"/>
    <w:rsid w:val="262D45DE"/>
    <w:rsid w:val="263D69A2"/>
    <w:rsid w:val="2661629E"/>
    <w:rsid w:val="26871DC8"/>
    <w:rsid w:val="26A53EF9"/>
    <w:rsid w:val="26A94201"/>
    <w:rsid w:val="26AC274F"/>
    <w:rsid w:val="26B40B71"/>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601E1"/>
    <w:rsid w:val="29806583"/>
    <w:rsid w:val="298B3C4C"/>
    <w:rsid w:val="29F26D24"/>
    <w:rsid w:val="2A15033F"/>
    <w:rsid w:val="2A1662C1"/>
    <w:rsid w:val="2A1C7367"/>
    <w:rsid w:val="2A2815FA"/>
    <w:rsid w:val="2A6D6092"/>
    <w:rsid w:val="2A7D76B4"/>
    <w:rsid w:val="2AA22DB6"/>
    <w:rsid w:val="2B437463"/>
    <w:rsid w:val="2B606BD1"/>
    <w:rsid w:val="2B7807EE"/>
    <w:rsid w:val="2BA50BF7"/>
    <w:rsid w:val="2BBF00EC"/>
    <w:rsid w:val="2BC37CFD"/>
    <w:rsid w:val="2BD5237F"/>
    <w:rsid w:val="2BE536CE"/>
    <w:rsid w:val="2BE758D9"/>
    <w:rsid w:val="2C09049E"/>
    <w:rsid w:val="2C0A653C"/>
    <w:rsid w:val="2C191F85"/>
    <w:rsid w:val="2CE675AA"/>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77B64"/>
    <w:rsid w:val="32311C01"/>
    <w:rsid w:val="32517576"/>
    <w:rsid w:val="32BE5C2C"/>
    <w:rsid w:val="32FB6478"/>
    <w:rsid w:val="32FC23B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41D4"/>
    <w:rsid w:val="354D7158"/>
    <w:rsid w:val="358D5588"/>
    <w:rsid w:val="363A3B40"/>
    <w:rsid w:val="365302AE"/>
    <w:rsid w:val="36607A0A"/>
    <w:rsid w:val="366A2FF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257BA"/>
    <w:rsid w:val="39636459"/>
    <w:rsid w:val="396B7F6C"/>
    <w:rsid w:val="399A334C"/>
    <w:rsid w:val="39B417A9"/>
    <w:rsid w:val="39FC5695"/>
    <w:rsid w:val="3A006D8E"/>
    <w:rsid w:val="3A3651E5"/>
    <w:rsid w:val="3A744481"/>
    <w:rsid w:val="3A8C7BEF"/>
    <w:rsid w:val="3A906246"/>
    <w:rsid w:val="3B2349B7"/>
    <w:rsid w:val="3B467E8E"/>
    <w:rsid w:val="3B616CFF"/>
    <w:rsid w:val="3B6259F6"/>
    <w:rsid w:val="3B976654"/>
    <w:rsid w:val="3BA9449E"/>
    <w:rsid w:val="3BBA273E"/>
    <w:rsid w:val="3BC01EFC"/>
    <w:rsid w:val="3BCA786A"/>
    <w:rsid w:val="3BD31E2F"/>
    <w:rsid w:val="3BF15831"/>
    <w:rsid w:val="3C105946"/>
    <w:rsid w:val="3C471448"/>
    <w:rsid w:val="3C5F759A"/>
    <w:rsid w:val="3C6C525A"/>
    <w:rsid w:val="3CC567A3"/>
    <w:rsid w:val="3CCE23CB"/>
    <w:rsid w:val="3CD17D17"/>
    <w:rsid w:val="3D3C7F39"/>
    <w:rsid w:val="3D440F09"/>
    <w:rsid w:val="3D4504A0"/>
    <w:rsid w:val="3D8734BB"/>
    <w:rsid w:val="3D9A11D4"/>
    <w:rsid w:val="3DA16D89"/>
    <w:rsid w:val="3DA364BE"/>
    <w:rsid w:val="3DE041CB"/>
    <w:rsid w:val="3E0D48F6"/>
    <w:rsid w:val="3E1868B4"/>
    <w:rsid w:val="3E2A0839"/>
    <w:rsid w:val="3E377251"/>
    <w:rsid w:val="3E42664B"/>
    <w:rsid w:val="3E5A7334"/>
    <w:rsid w:val="3E7B5D6B"/>
    <w:rsid w:val="3E8409D1"/>
    <w:rsid w:val="3E843E66"/>
    <w:rsid w:val="3E8F51FE"/>
    <w:rsid w:val="3E926F87"/>
    <w:rsid w:val="3E9A59DE"/>
    <w:rsid w:val="3EAF4836"/>
    <w:rsid w:val="3EC33DFA"/>
    <w:rsid w:val="3ED752DE"/>
    <w:rsid w:val="3F060E16"/>
    <w:rsid w:val="3F1D1096"/>
    <w:rsid w:val="3F2F0234"/>
    <w:rsid w:val="3F566811"/>
    <w:rsid w:val="3F6363FE"/>
    <w:rsid w:val="3F756B8F"/>
    <w:rsid w:val="3F95482B"/>
    <w:rsid w:val="3FDB16A1"/>
    <w:rsid w:val="3FEA7156"/>
    <w:rsid w:val="4019356B"/>
    <w:rsid w:val="40592157"/>
    <w:rsid w:val="40692574"/>
    <w:rsid w:val="406E1CAE"/>
    <w:rsid w:val="40A0133A"/>
    <w:rsid w:val="40C31A53"/>
    <w:rsid w:val="40FF545D"/>
    <w:rsid w:val="410067C8"/>
    <w:rsid w:val="418F0D2A"/>
    <w:rsid w:val="41BE41F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C2DA1"/>
    <w:rsid w:val="440E76B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C6EC0"/>
    <w:rsid w:val="469F45FA"/>
    <w:rsid w:val="46C4686E"/>
    <w:rsid w:val="474B4129"/>
    <w:rsid w:val="477B778F"/>
    <w:rsid w:val="478203EC"/>
    <w:rsid w:val="47B025FA"/>
    <w:rsid w:val="4809698F"/>
    <w:rsid w:val="4811697D"/>
    <w:rsid w:val="482E7EA7"/>
    <w:rsid w:val="487A3E25"/>
    <w:rsid w:val="488B5503"/>
    <w:rsid w:val="48937E21"/>
    <w:rsid w:val="489A0361"/>
    <w:rsid w:val="48B94FF3"/>
    <w:rsid w:val="48CE7F6E"/>
    <w:rsid w:val="48E37AAB"/>
    <w:rsid w:val="48FD4B4C"/>
    <w:rsid w:val="4907292A"/>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A7CCA"/>
    <w:rsid w:val="4D2A3B31"/>
    <w:rsid w:val="4D312C52"/>
    <w:rsid w:val="4D905305"/>
    <w:rsid w:val="4D964A72"/>
    <w:rsid w:val="4D9B5401"/>
    <w:rsid w:val="4D9C1254"/>
    <w:rsid w:val="4E793892"/>
    <w:rsid w:val="4E7E71EB"/>
    <w:rsid w:val="4E800872"/>
    <w:rsid w:val="4EC569ED"/>
    <w:rsid w:val="4ED50EA1"/>
    <w:rsid w:val="4EE87B9B"/>
    <w:rsid w:val="4EEC050C"/>
    <w:rsid w:val="4F104EC3"/>
    <w:rsid w:val="4F47354A"/>
    <w:rsid w:val="4F911C54"/>
    <w:rsid w:val="4FE625E0"/>
    <w:rsid w:val="5021480F"/>
    <w:rsid w:val="50962ECB"/>
    <w:rsid w:val="50A42E38"/>
    <w:rsid w:val="50A4577F"/>
    <w:rsid w:val="50AC4665"/>
    <w:rsid w:val="50B73D1F"/>
    <w:rsid w:val="50BD5BC9"/>
    <w:rsid w:val="50C11EEE"/>
    <w:rsid w:val="50E97CFC"/>
    <w:rsid w:val="50FA4028"/>
    <w:rsid w:val="510D65B7"/>
    <w:rsid w:val="511157AB"/>
    <w:rsid w:val="512247A5"/>
    <w:rsid w:val="5142540C"/>
    <w:rsid w:val="518832C8"/>
    <w:rsid w:val="519D3C50"/>
    <w:rsid w:val="51A0432A"/>
    <w:rsid w:val="51A86090"/>
    <w:rsid w:val="51B7396D"/>
    <w:rsid w:val="522E4CC3"/>
    <w:rsid w:val="5244713B"/>
    <w:rsid w:val="52615633"/>
    <w:rsid w:val="526F4DE4"/>
    <w:rsid w:val="528F6508"/>
    <w:rsid w:val="52977FD4"/>
    <w:rsid w:val="52A25790"/>
    <w:rsid w:val="52A96B6F"/>
    <w:rsid w:val="52B45975"/>
    <w:rsid w:val="52B96A43"/>
    <w:rsid w:val="52D94AA4"/>
    <w:rsid w:val="52EA3A62"/>
    <w:rsid w:val="52EA7BC9"/>
    <w:rsid w:val="52F50BB8"/>
    <w:rsid w:val="53097272"/>
    <w:rsid w:val="53544462"/>
    <w:rsid w:val="5397158E"/>
    <w:rsid w:val="54013861"/>
    <w:rsid w:val="54335C96"/>
    <w:rsid w:val="54487265"/>
    <w:rsid w:val="544D6070"/>
    <w:rsid w:val="54605E1E"/>
    <w:rsid w:val="54AA6F8B"/>
    <w:rsid w:val="54B3506A"/>
    <w:rsid w:val="54CA0D16"/>
    <w:rsid w:val="54CB1E8E"/>
    <w:rsid w:val="54DD4057"/>
    <w:rsid w:val="54E7490F"/>
    <w:rsid w:val="550764A4"/>
    <w:rsid w:val="550B2BF6"/>
    <w:rsid w:val="55214EB5"/>
    <w:rsid w:val="55364EFD"/>
    <w:rsid w:val="555D4828"/>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C169D"/>
    <w:rsid w:val="5AD63A24"/>
    <w:rsid w:val="5B2E1A1D"/>
    <w:rsid w:val="5B843A1C"/>
    <w:rsid w:val="5B873E3F"/>
    <w:rsid w:val="5C02690E"/>
    <w:rsid w:val="5C196DA7"/>
    <w:rsid w:val="5C270EC2"/>
    <w:rsid w:val="5C2A048C"/>
    <w:rsid w:val="5C80234E"/>
    <w:rsid w:val="5C8A680C"/>
    <w:rsid w:val="5D0C4701"/>
    <w:rsid w:val="5D0F0395"/>
    <w:rsid w:val="5D1C654D"/>
    <w:rsid w:val="5D221076"/>
    <w:rsid w:val="5D397964"/>
    <w:rsid w:val="5D5A391C"/>
    <w:rsid w:val="5D5F10C0"/>
    <w:rsid w:val="5D891B7B"/>
    <w:rsid w:val="5DAD38EE"/>
    <w:rsid w:val="5DCC5982"/>
    <w:rsid w:val="5E006862"/>
    <w:rsid w:val="5E0207B9"/>
    <w:rsid w:val="5E1834A1"/>
    <w:rsid w:val="5E261785"/>
    <w:rsid w:val="5E2A2EEB"/>
    <w:rsid w:val="5E4A7017"/>
    <w:rsid w:val="5E552BBA"/>
    <w:rsid w:val="5E611C10"/>
    <w:rsid w:val="5E7A0F3F"/>
    <w:rsid w:val="5ECC1028"/>
    <w:rsid w:val="5EF11002"/>
    <w:rsid w:val="5EFC7377"/>
    <w:rsid w:val="5F06174D"/>
    <w:rsid w:val="5F3A3602"/>
    <w:rsid w:val="5F45733B"/>
    <w:rsid w:val="5F6277C6"/>
    <w:rsid w:val="5F6D0B1D"/>
    <w:rsid w:val="5F8D0B82"/>
    <w:rsid w:val="5FC26D6A"/>
    <w:rsid w:val="5FC63665"/>
    <w:rsid w:val="5FCC5339"/>
    <w:rsid w:val="5FE34A5B"/>
    <w:rsid w:val="5FFE1E36"/>
    <w:rsid w:val="60232584"/>
    <w:rsid w:val="607330CE"/>
    <w:rsid w:val="60757548"/>
    <w:rsid w:val="607E323F"/>
    <w:rsid w:val="60825176"/>
    <w:rsid w:val="609F2AC4"/>
    <w:rsid w:val="60A76A75"/>
    <w:rsid w:val="60FA2EE8"/>
    <w:rsid w:val="61054A27"/>
    <w:rsid w:val="610A52BC"/>
    <w:rsid w:val="611D2366"/>
    <w:rsid w:val="612419F7"/>
    <w:rsid w:val="61421856"/>
    <w:rsid w:val="615227C4"/>
    <w:rsid w:val="61654E3F"/>
    <w:rsid w:val="6182292A"/>
    <w:rsid w:val="619F7F92"/>
    <w:rsid w:val="61F94C26"/>
    <w:rsid w:val="62000E56"/>
    <w:rsid w:val="624F3E49"/>
    <w:rsid w:val="625B23FB"/>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8C371F"/>
    <w:rsid w:val="64C158BF"/>
    <w:rsid w:val="64CE2EAA"/>
    <w:rsid w:val="65305C69"/>
    <w:rsid w:val="653C3090"/>
    <w:rsid w:val="65854376"/>
    <w:rsid w:val="658767BE"/>
    <w:rsid w:val="65892531"/>
    <w:rsid w:val="65E22FB0"/>
    <w:rsid w:val="65EE2590"/>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F3A3F"/>
    <w:rsid w:val="69CC2BFF"/>
    <w:rsid w:val="69FD55B8"/>
    <w:rsid w:val="6A0B1C62"/>
    <w:rsid w:val="6A2406C8"/>
    <w:rsid w:val="6A582B8E"/>
    <w:rsid w:val="6A7B31F5"/>
    <w:rsid w:val="6ADE0BD1"/>
    <w:rsid w:val="6AE43862"/>
    <w:rsid w:val="6AE96859"/>
    <w:rsid w:val="6B147746"/>
    <w:rsid w:val="6B24787C"/>
    <w:rsid w:val="6B3A1470"/>
    <w:rsid w:val="6B573233"/>
    <w:rsid w:val="6B5B6274"/>
    <w:rsid w:val="6B935D53"/>
    <w:rsid w:val="6BD0013A"/>
    <w:rsid w:val="6C196F71"/>
    <w:rsid w:val="6C226FCB"/>
    <w:rsid w:val="6C31226F"/>
    <w:rsid w:val="6C552F0B"/>
    <w:rsid w:val="6C5D58A2"/>
    <w:rsid w:val="6C8C67B7"/>
    <w:rsid w:val="6C9432B9"/>
    <w:rsid w:val="6C9D744C"/>
    <w:rsid w:val="6CDA26BC"/>
    <w:rsid w:val="6D167928"/>
    <w:rsid w:val="6D26299B"/>
    <w:rsid w:val="6D4772EC"/>
    <w:rsid w:val="6D8234D9"/>
    <w:rsid w:val="6D8343C6"/>
    <w:rsid w:val="6D9078AF"/>
    <w:rsid w:val="6DAA3FEF"/>
    <w:rsid w:val="6DC0172B"/>
    <w:rsid w:val="6DCB690C"/>
    <w:rsid w:val="6DD41A5B"/>
    <w:rsid w:val="6DF43C2E"/>
    <w:rsid w:val="6DF51CA3"/>
    <w:rsid w:val="6E101020"/>
    <w:rsid w:val="6E8335BD"/>
    <w:rsid w:val="6E8E12EF"/>
    <w:rsid w:val="6E972936"/>
    <w:rsid w:val="6ED446C5"/>
    <w:rsid w:val="6F2A7D94"/>
    <w:rsid w:val="6F8331F1"/>
    <w:rsid w:val="6FAE1A09"/>
    <w:rsid w:val="6FD75BF8"/>
    <w:rsid w:val="70390CA2"/>
    <w:rsid w:val="707723D0"/>
    <w:rsid w:val="70F5661B"/>
    <w:rsid w:val="71360107"/>
    <w:rsid w:val="713B688E"/>
    <w:rsid w:val="71A768D5"/>
    <w:rsid w:val="71D43752"/>
    <w:rsid w:val="71F1796A"/>
    <w:rsid w:val="72154626"/>
    <w:rsid w:val="72262B5D"/>
    <w:rsid w:val="72283FF7"/>
    <w:rsid w:val="722E7212"/>
    <w:rsid w:val="723A0474"/>
    <w:rsid w:val="723B74D0"/>
    <w:rsid w:val="725923E4"/>
    <w:rsid w:val="72864BF7"/>
    <w:rsid w:val="729023FC"/>
    <w:rsid w:val="72B856E1"/>
    <w:rsid w:val="734343DB"/>
    <w:rsid w:val="73650EDC"/>
    <w:rsid w:val="73C0646E"/>
    <w:rsid w:val="742222F5"/>
    <w:rsid w:val="74476126"/>
    <w:rsid w:val="74706664"/>
    <w:rsid w:val="747F3682"/>
    <w:rsid w:val="749B5080"/>
    <w:rsid w:val="749C4185"/>
    <w:rsid w:val="75067759"/>
    <w:rsid w:val="752E6DCD"/>
    <w:rsid w:val="7551380D"/>
    <w:rsid w:val="75600BE5"/>
    <w:rsid w:val="75626A64"/>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F706B"/>
    <w:rsid w:val="79F850CE"/>
    <w:rsid w:val="79FD443C"/>
    <w:rsid w:val="7A0779E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1FA4"/>
    <w:rsid w:val="7DB57A34"/>
    <w:rsid w:val="7DE60973"/>
    <w:rsid w:val="7DED4385"/>
    <w:rsid w:val="7DEF0916"/>
    <w:rsid w:val="7E1A0641"/>
    <w:rsid w:val="7E1E5218"/>
    <w:rsid w:val="7E9A4E1F"/>
    <w:rsid w:val="7EA7723A"/>
    <w:rsid w:val="7ECD70F0"/>
    <w:rsid w:val="7EF56FBB"/>
    <w:rsid w:val="7F0768EB"/>
    <w:rsid w:val="7F143BEC"/>
    <w:rsid w:val="7F6933BC"/>
    <w:rsid w:val="7F715AF2"/>
    <w:rsid w:val="7F886E69"/>
    <w:rsid w:val="7FC42BE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270"/>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126"/>
    <w:autoRedefine/>
    <w:qFormat/>
    <w:uiPriority w:val="0"/>
    <w:pPr>
      <w:adjustRightInd/>
      <w:spacing w:after="120" w:line="240" w:lineRule="auto"/>
      <w:ind w:left="420" w:leftChars="200" w:firstLine="210"/>
    </w:pPr>
    <w:rPr>
      <w:sz w:val="21"/>
    </w:rPr>
  </w:style>
  <w:style w:type="paragraph" w:styleId="7">
    <w:name w:val="Normal Indent"/>
    <w:basedOn w:val="1"/>
    <w:next w:val="2"/>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7"/>
    <w:autoRedefine/>
    <w:qFormat/>
    <w:uiPriority w:val="0"/>
    <w:pPr>
      <w:shd w:val="clear" w:color="auto" w:fill="000080"/>
    </w:p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Subtitle"/>
    <w:basedOn w:val="1"/>
    <w:next w:val="1"/>
    <w:link w:val="138"/>
    <w:autoRedefine/>
    <w:qFormat/>
    <w:uiPriority w:val="0"/>
    <w:pPr>
      <w:snapToGrid w:val="0"/>
      <w:spacing w:before="240" w:after="480"/>
      <w:jc w:val="center"/>
    </w:pPr>
    <w:rPr>
      <w:rFonts w:ascii="Arial" w:hAnsi="Arial" w:eastAsia="隶书"/>
      <w:b/>
      <w:bCs/>
      <w:kern w:val="28"/>
      <w:sz w:val="44"/>
      <w:szCs w:val="32"/>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5"/>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0"/>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7"/>
    <w:autoRedefine/>
    <w:qFormat/>
    <w:uiPriority w:val="0"/>
    <w:pPr>
      <w:spacing w:after="120" w:line="480" w:lineRule="auto"/>
    </w:pPr>
  </w:style>
  <w:style w:type="paragraph" w:styleId="57">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1"/>
    <w:autoRedefine/>
    <w:qFormat/>
    <w:uiPriority w:val="0"/>
    <w:rPr>
      <w:b/>
      <w:bCs/>
    </w:rPr>
  </w:style>
  <w:style w:type="paragraph" w:styleId="61">
    <w:name w:val="Body Text First Indent"/>
    <w:basedOn w:val="25"/>
    <w:next w:val="51"/>
    <w:link w:val="326"/>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1"/>
    <w:basedOn w:val="80"/>
    <w:autoRedefine/>
    <w:qFormat/>
    <w:uiPriority w:val="99"/>
    <w:pPr>
      <w:tabs>
        <w:tab w:val="right" w:leader="dot" w:pos="8268"/>
      </w:tabs>
      <w:spacing w:line="200" w:lineRule="atLeast"/>
      <w:ind w:firstLine="420"/>
    </w:pPr>
    <w:rPr>
      <w:rFonts w:ascii="宋体"/>
      <w:spacing w:val="-4"/>
      <w:sz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1">
    <w:name w:val="正文1"/>
    <w:basedOn w:val="33"/>
    <w:next w:val="82"/>
    <w:autoRedefine/>
    <w:qFormat/>
    <w:uiPriority w:val="0"/>
    <w:pPr>
      <w:ind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3">
    <w:name w:val="正文文本首行缩进 2111"/>
    <w:basedOn w:val="80"/>
    <w:autoRedefine/>
    <w:qFormat/>
    <w:uiPriority w:val="99"/>
    <w:pPr>
      <w:spacing w:line="200" w:lineRule="atLeast"/>
      <w:ind w:firstLine="420"/>
    </w:pPr>
    <w:rPr>
      <w:rFonts w:ascii="宋体"/>
      <w:spacing w:val="-4"/>
      <w:sz w:val="18"/>
    </w:rPr>
  </w:style>
  <w:style w:type="paragraph" w:customStyle="1" w:styleId="84">
    <w:name w:val="Normal Indent1"/>
    <w:basedOn w:val="1"/>
    <w:autoRedefine/>
    <w:qFormat/>
    <w:uiPriority w:val="0"/>
    <w:pPr>
      <w:ind w:firstLine="420" w:firstLineChars="200"/>
    </w:pPr>
  </w:style>
  <w:style w:type="paragraph" w:customStyle="1" w:styleId="85">
    <w:name w:val="正文文本首行缩进 211"/>
    <w:basedOn w:val="2"/>
    <w:autoRedefine/>
    <w:qFormat/>
    <w:uiPriority w:val="99"/>
    <w:pPr>
      <w:spacing w:line="200" w:lineRule="atLeast"/>
      <w:ind w:firstLine="420"/>
    </w:pPr>
    <w:rPr>
      <w:rFonts w:hAnsi="Courier New"/>
      <w:spacing w:val="-4"/>
      <w:sz w:val="18"/>
    </w:rPr>
  </w:style>
  <w:style w:type="paragraph" w:customStyle="1" w:styleId="86">
    <w:name w:val="[Normal]"/>
    <w:autoRedefine/>
    <w:qFormat/>
    <w:uiPriority w:val="0"/>
    <w:pPr>
      <w:spacing w:line="360" w:lineRule="auto"/>
      <w:jc w:val="center"/>
    </w:pPr>
    <w:rPr>
      <w:rFonts w:ascii="宋体" w:hAnsi="宋体" w:eastAsia="仿宋" w:cs="Times New Roman"/>
      <w:b/>
      <w:sz w:val="36"/>
      <w:szCs w:val="22"/>
      <w:lang w:val="zh-CN"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eastAsia="仿宋"/>
      <w:sz w:val="24"/>
    </w:rPr>
  </w:style>
  <w:style w:type="paragraph" w:customStyle="1" w:styleId="90">
    <w:name w:val="*正文"/>
    <w:basedOn w:val="1"/>
    <w:link w:val="89"/>
    <w:autoRedefine/>
    <w:qFormat/>
    <w:uiPriority w:val="0"/>
    <w:pPr>
      <w:snapToGrid w:val="0"/>
      <w:spacing w:line="360" w:lineRule="auto"/>
    </w:pPr>
    <w:rPr>
      <w:rFonts w:ascii="宋体" w:hAnsi="宋体" w:eastAsia="仿宋"/>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3"/>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69"/>
    <w:autoRedefine/>
    <w:qFormat/>
    <w:uiPriority w:val="0"/>
    <w:rPr>
      <w:rFonts w:ascii="Arial" w:hAnsi="Arial" w:eastAsia="黑体" w:cs="Arial"/>
      <w:snapToGrid w:val="0"/>
      <w:kern w:val="0"/>
      <w:szCs w:val="21"/>
    </w:rPr>
  </w:style>
  <w:style w:type="character" w:customStyle="1" w:styleId="130">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26"/>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10"/>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5"/>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7"/>
    <w:autoRedefine/>
    <w:qFormat/>
    <w:uiPriority w:val="0"/>
    <w:rPr>
      <w:rFonts w:ascii="宋体"/>
      <w:kern w:val="2"/>
      <w:sz w:val="24"/>
      <w:szCs w:val="21"/>
      <w:lang w:val="zh-CN"/>
    </w:rPr>
  </w:style>
  <w:style w:type="character" w:customStyle="1" w:styleId="187">
    <w:name w:val="标题 9 字符"/>
    <w:link w:val="13"/>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20"/>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69"/>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8"/>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8"/>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4"/>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59"/>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9"/>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7"/>
    <w:autoRedefine/>
    <w:qFormat/>
    <w:uiPriority w:val="0"/>
    <w:rPr>
      <w:rFonts w:ascii="黑体" w:hAnsi="Courier New" w:eastAsia="黑体"/>
    </w:rPr>
  </w:style>
  <w:style w:type="character" w:customStyle="1" w:styleId="307">
    <w:name w:val="正文文本 2 字符1"/>
    <w:link w:val="56"/>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1"/>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0"/>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69"/>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61"/>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8"/>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3"/>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69"/>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7"/>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69"/>
    <w:autoRedefine/>
    <w:qFormat/>
    <w:uiPriority w:val="0"/>
    <w:rPr>
      <w:rFonts w:ascii="Arial" w:hAnsi="Arial" w:eastAsia="黑体" w:cs="Arial"/>
      <w:snapToGrid w:val="0"/>
      <w:kern w:val="0"/>
      <w:szCs w:val="21"/>
    </w:rPr>
  </w:style>
  <w:style w:type="character" w:customStyle="1" w:styleId="437">
    <w:name w:val="hui"/>
    <w:basedOn w:val="69"/>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6"/>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9"/>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6"/>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4"/>
    <w:autoRedefine/>
    <w:qFormat/>
    <w:uiPriority w:val="0"/>
    <w:pPr>
      <w:tabs>
        <w:tab w:val="left" w:pos="840"/>
      </w:tabs>
      <w:adjustRightInd/>
      <w:ind w:left="840" w:hanging="420"/>
    </w:pPr>
  </w:style>
  <w:style w:type="paragraph" w:customStyle="1" w:styleId="63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Lines="0" w:afterLines="0"/>
      <w:ind w:left="1680"/>
      <w:outlineLvl w:val="2"/>
    </w:pPr>
  </w:style>
  <w:style w:type="paragraph" w:customStyle="1" w:styleId="663">
    <w:name w:val="章标题"/>
    <w:next w:val="64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5"/>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9"/>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9"/>
    <w:autoRedefine/>
    <w:qFormat/>
    <w:uiPriority w:val="0"/>
    <w:rPr>
      <w:kern w:val="2"/>
      <w:sz w:val="21"/>
      <w:szCs w:val="24"/>
      <w:lang w:val="zh-CN"/>
    </w:rPr>
  </w:style>
  <w:style w:type="character" w:customStyle="1" w:styleId="936">
    <w:name w:val="无间隔 字符"/>
    <w:link w:val="488"/>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3"/>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line="360" w:lineRule="auto"/>
      <w:jc w:val="both"/>
    </w:pPr>
    <w:rPr>
      <w:rFonts w:ascii="Times New Roman" w:hAnsi="Times New Roman" w:eastAsia="仿宋" w:cs="Times New Roman"/>
      <w:b/>
      <w:sz w:val="24"/>
      <w:lang w:val="en-US" w:eastAsia="zh-CN"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969">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0">
    <w:name w:val="列出段落6"/>
    <w:basedOn w:val="1"/>
    <w:autoRedefine/>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40223</Words>
  <Characters>42628</Characters>
  <Lines>334</Lines>
  <Paragraphs>94</Paragraphs>
  <TotalTime>19</TotalTime>
  <ScaleCrop>false</ScaleCrop>
  <LinksUpToDate>false</LinksUpToDate>
  <CharactersWithSpaces>44677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2021-12-27T03:06:00Z</cp:lastPrinted>
  <dcterms:modified xsi:type="dcterms:W3CDTF">2024-05-24T08:58:51Z</dcterms:modified>
  <dc:title>杭州市市民卡扩大发卡工程</dc:title>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B7610898A95C45F1B56951369BAEAEC7_13</vt:lpwstr>
  </property>
</Properties>
</file>