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10.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五常街道办事处公务执勤车辆租赁服务</w:t>
      </w: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HZYHZFCG-2023-010</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杭州市余杭区人民政府五常街道办事处</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二十七</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707423"/>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五常街道办事处公务执勤车辆租赁服务采购项目</w:t>
      </w:r>
      <w:r>
        <w:rPr>
          <w:rFonts w:hint="eastAsia" w:ascii="宋体" w:hAnsi="宋体" w:cs="宋体"/>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0"/>
          <w:rFonts w:hint="eastAsia" w:ascii="宋体" w:hAnsi="宋体" w:eastAsia="宋体" w:cs="宋体"/>
          <w:color w:val="auto"/>
          <w:kern w:val="2"/>
          <w:sz w:val="24"/>
          <w:szCs w:val="24"/>
          <w:highlight w:val="none"/>
        </w:rPr>
        <w:t>https://www.zcygov.cn/）获取（下载）招标文件，并于</w:t>
      </w:r>
      <w:r>
        <w:rPr>
          <w:rStyle w:val="70"/>
          <w:rFonts w:hint="eastAsia" w:ascii="宋体" w:hAnsi="宋体" w:eastAsia="宋体" w:cs="宋体"/>
          <w:b/>
          <w:bCs/>
          <w:color w:val="auto"/>
          <w:kern w:val="2"/>
          <w:sz w:val="24"/>
          <w:szCs w:val="24"/>
          <w:highlight w:val="none"/>
          <w:u w:val="single" w:color="auto"/>
        </w:rPr>
        <w:t>202</w:t>
      </w:r>
      <w:r>
        <w:rPr>
          <w:rStyle w:val="70"/>
          <w:rFonts w:hint="eastAsia" w:ascii="宋体" w:hAnsi="宋体" w:cs="宋体"/>
          <w:b/>
          <w:bCs/>
          <w:color w:val="auto"/>
          <w:kern w:val="2"/>
          <w:sz w:val="24"/>
          <w:szCs w:val="24"/>
          <w:highlight w:val="none"/>
          <w:u w:val="single" w:color="auto"/>
          <w:lang w:val="en-US" w:eastAsia="zh-CN"/>
        </w:rPr>
        <w:t>3</w:t>
      </w:r>
      <w:r>
        <w:rPr>
          <w:rStyle w:val="70"/>
          <w:rFonts w:hint="eastAsia" w:ascii="宋体" w:hAnsi="宋体" w:eastAsia="宋体" w:cs="宋体"/>
          <w:b/>
          <w:bCs/>
          <w:color w:val="auto"/>
          <w:kern w:val="2"/>
          <w:sz w:val="24"/>
          <w:szCs w:val="24"/>
          <w:highlight w:val="none"/>
          <w:u w:val="single" w:color="auto"/>
        </w:rPr>
        <w:t>年</w:t>
      </w:r>
      <w:r>
        <w:rPr>
          <w:rStyle w:val="70"/>
          <w:rFonts w:hint="eastAsia" w:ascii="宋体" w:hAnsi="宋体" w:cs="宋体"/>
          <w:b/>
          <w:bCs/>
          <w:color w:val="auto"/>
          <w:kern w:val="2"/>
          <w:sz w:val="24"/>
          <w:szCs w:val="24"/>
          <w:highlight w:val="none"/>
          <w:u w:val="single" w:color="auto"/>
          <w:lang w:val="en-US" w:eastAsia="zh-CN"/>
        </w:rPr>
        <w:t>5月19日14</w:t>
      </w:r>
      <w:r>
        <w:rPr>
          <w:rStyle w:val="70"/>
          <w:rFonts w:hint="eastAsia" w:ascii="宋体" w:hAnsi="宋体" w:eastAsia="宋体" w:cs="宋体"/>
          <w:b/>
          <w:bCs/>
          <w:color w:val="auto"/>
          <w:kern w:val="2"/>
          <w:sz w:val="24"/>
          <w:szCs w:val="24"/>
          <w:highlight w:val="none"/>
          <w:u w:val="single" w:color="auto"/>
        </w:rPr>
        <w:t>点</w:t>
      </w:r>
      <w:r>
        <w:rPr>
          <w:rStyle w:val="70"/>
          <w:rFonts w:hint="eastAsia" w:ascii="宋体" w:hAnsi="宋体" w:cs="宋体"/>
          <w:b/>
          <w:bCs/>
          <w:color w:val="auto"/>
          <w:kern w:val="2"/>
          <w:sz w:val="24"/>
          <w:szCs w:val="24"/>
          <w:highlight w:val="none"/>
          <w:u w:val="single" w:color="auto"/>
          <w:lang w:val="en-US" w:eastAsia="zh-CN"/>
        </w:rPr>
        <w:t>00</w:t>
      </w:r>
      <w:r>
        <w:rPr>
          <w:rStyle w:val="70"/>
          <w:rFonts w:hint="eastAsia" w:ascii="宋体" w:hAnsi="宋体" w:eastAsia="宋体" w:cs="宋体"/>
          <w:b/>
          <w:bCs/>
          <w:color w:val="auto"/>
          <w:kern w:val="2"/>
          <w:sz w:val="24"/>
          <w:szCs w:val="24"/>
          <w:highlight w:val="none"/>
          <w:u w:val="single" w:color="auto"/>
        </w:rPr>
        <w:t>分00秒</w:t>
      </w:r>
      <w:r>
        <w:rPr>
          <w:rStyle w:val="70"/>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HZYHZFCG-2023-010</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项目名称：</w:t>
      </w:r>
      <w:r>
        <w:rPr>
          <w:rFonts w:hint="eastAsia" w:ascii="宋体" w:hAnsi="宋体" w:cs="宋体"/>
          <w:color w:val="auto"/>
          <w:sz w:val="24"/>
          <w:highlight w:val="none"/>
          <w:lang w:eastAsia="zh-CN"/>
        </w:rPr>
        <w:t>五常街道办事处公务执勤车辆租赁服务采购项目</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预算金额（元）：</w:t>
      </w:r>
      <w:r>
        <w:rPr>
          <w:rFonts w:hint="eastAsia" w:ascii="宋体" w:hAnsi="宋体" w:cs="宋体"/>
          <w:b/>
          <w:color w:val="auto"/>
          <w:sz w:val="24"/>
          <w:highlight w:val="none"/>
          <w:lang w:val="en-US" w:eastAsia="zh-CN"/>
        </w:rPr>
        <w:t>3000000</w:t>
      </w:r>
    </w:p>
    <w:p>
      <w:pPr>
        <w:wordWrap/>
        <w:adjustRightInd w:val="0"/>
        <w:spacing w:line="360" w:lineRule="auto"/>
        <w:ind w:left="0" w:leftChars="0" w:right="0" w:firstLine="482" w:firstLineChars="200"/>
        <w:jc w:val="both"/>
        <w:textAlignment w:val="auto"/>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3000000</w:t>
      </w:r>
    </w:p>
    <w:p>
      <w:pPr>
        <w:pStyle w:val="5"/>
        <w:wordWrap/>
        <w:adjustRightInd w:val="0"/>
        <w:spacing w:line="360" w:lineRule="auto"/>
        <w:ind w:left="0" w:leftChars="0" w:right="0" w:firstLine="482" w:firstLineChars="200"/>
        <w:jc w:val="both"/>
        <w:textAlignment w:val="auto"/>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eastAsia="zh-CN"/>
        </w:rPr>
        <w:t>五常街道办事处公务执勤车辆租赁服务采购项目</w:t>
      </w:r>
      <w:r>
        <w:rPr>
          <w:rFonts w:hint="eastAsia" w:hAnsi="宋体" w:cs="宋体"/>
          <w:bCs/>
          <w:color w:val="auto"/>
          <w:kern w:val="2"/>
          <w:sz w:val="24"/>
          <w:szCs w:val="24"/>
          <w:highlight w:val="none"/>
        </w:rPr>
        <w:t>主要内容：</w:t>
      </w:r>
      <w:r>
        <w:rPr>
          <w:rFonts w:hint="eastAsia" w:ascii="宋体" w:hAnsi="宋体" w:eastAsia="宋体" w:cs="宋体"/>
          <w:color w:val="auto"/>
          <w:sz w:val="24"/>
          <w:szCs w:val="22"/>
          <w:highlight w:val="none"/>
        </w:rPr>
        <w:t>为保障</w:t>
      </w:r>
      <w:r>
        <w:rPr>
          <w:rFonts w:hint="eastAsia" w:ascii="宋体" w:hAnsi="宋体" w:eastAsia="宋体" w:cs="宋体"/>
          <w:color w:val="auto"/>
          <w:sz w:val="24"/>
          <w:szCs w:val="22"/>
          <w:highlight w:val="none"/>
          <w:lang w:val="en-US" w:eastAsia="zh-CN"/>
        </w:rPr>
        <w:t>五常街道</w:t>
      </w:r>
      <w:r>
        <w:rPr>
          <w:rFonts w:hint="eastAsia" w:ascii="宋体" w:hAnsi="宋体" w:eastAsia="宋体" w:cs="宋体"/>
          <w:color w:val="auto"/>
          <w:sz w:val="24"/>
          <w:szCs w:val="22"/>
          <w:highlight w:val="none"/>
        </w:rPr>
        <w:t>辖区内综合治理执勤公务用车需要，街道拟向经主管部门备案的汽车租赁企业租赁</w:t>
      </w:r>
      <w:r>
        <w:rPr>
          <w:rFonts w:hint="eastAsia" w:ascii="宋体" w:hAnsi="宋体" w:cs="宋体"/>
          <w:color w:val="auto"/>
          <w:sz w:val="24"/>
          <w:szCs w:val="22"/>
          <w:highlight w:val="none"/>
          <w:lang w:val="en-US" w:eastAsia="zh-CN"/>
        </w:rPr>
        <w:t>39</w:t>
      </w:r>
      <w:r>
        <w:rPr>
          <w:rFonts w:hint="eastAsia" w:ascii="宋体" w:hAnsi="宋体" w:eastAsia="宋体" w:cs="宋体"/>
          <w:color w:val="auto"/>
          <w:sz w:val="24"/>
          <w:szCs w:val="22"/>
          <w:highlight w:val="none"/>
        </w:rPr>
        <w:t>辆公务执勤车，主要用于</w:t>
      </w:r>
      <w:r>
        <w:rPr>
          <w:rFonts w:hint="eastAsia" w:ascii="宋体" w:hAnsi="宋体" w:eastAsia="宋体" w:cs="宋体"/>
          <w:color w:val="auto"/>
          <w:sz w:val="24"/>
          <w:szCs w:val="22"/>
          <w:highlight w:val="none"/>
          <w:lang w:val="en-US" w:eastAsia="zh-CN"/>
        </w:rPr>
        <w:t>五常街道</w:t>
      </w:r>
      <w:r>
        <w:rPr>
          <w:rFonts w:hint="eastAsia" w:ascii="宋体" w:hAnsi="宋体" w:eastAsia="宋体" w:cs="宋体"/>
          <w:color w:val="auto"/>
          <w:sz w:val="24"/>
          <w:szCs w:val="22"/>
          <w:highlight w:val="none"/>
        </w:rPr>
        <w:t>范围以内的日常巡逻、执法及应急保障。</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wordWrap/>
        <w:adjustRightInd w:val="0"/>
        <w:spacing w:before="0" w:line="360" w:lineRule="auto"/>
        <w:ind w:left="0" w:leftChars="0" w:right="0" w:firstLine="482" w:firstLineChars="200"/>
        <w:jc w:val="both"/>
        <w:textAlignment w:val="auto"/>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b/>
          <w:color w:val="auto"/>
          <w:highlight w:val="none"/>
          <w:lang w:val="en-US" w:eastAsia="zh-CN"/>
        </w:rPr>
        <w:t>服务期为2年，合同一年一签。</w:t>
      </w:r>
      <w:r>
        <w:rPr>
          <w:rFonts w:ascii="宋体" w:hAnsi="宋体" w:cs="宋体"/>
          <w:color w:val="auto"/>
          <w:highlight w:val="none"/>
        </w:rPr>
        <w:t xml:space="preserve"> </w:t>
      </w:r>
    </w:p>
    <w:p>
      <w:pPr>
        <w:pStyle w:val="5"/>
        <w:wordWrap/>
        <w:adjustRightInd w:val="0"/>
        <w:spacing w:line="360" w:lineRule="auto"/>
        <w:ind w:left="0" w:leftChars="0" w:right="0" w:firstLine="482" w:firstLineChars="200"/>
        <w:jc w:val="both"/>
        <w:textAlignment w:val="auto"/>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00A8"/>
      </w:r>
      <w:r>
        <w:rPr>
          <w:rFonts w:hint="eastAsia" w:ascii="宋体" w:hAnsi="宋体" w:cs="宋体"/>
          <w:color w:val="auto"/>
          <w:sz w:val="24"/>
          <w:highlight w:val="none"/>
        </w:rPr>
        <w:t>无</w:t>
      </w:r>
    </w:p>
    <w:p>
      <w:pPr>
        <w:widowControl/>
        <w:wordWrap/>
        <w:adjustRightInd w:val="0"/>
        <w:snapToGrid/>
        <w:spacing w:line="360" w:lineRule="auto"/>
        <w:ind w:left="0" w:leftChars="0" w:right="0" w:firstLine="480" w:firstLineChars="200"/>
        <w:jc w:val="left"/>
        <w:textAlignment w:val="auto"/>
        <w:outlineLvl w:val="9"/>
        <w:rPr>
          <w:rFonts w:ascii="宋体" w:hAnsi="宋体" w:cs="宋体"/>
          <w:color w:val="auto"/>
          <w:sz w:val="24"/>
          <w:highlight w:val="none"/>
        </w:rPr>
      </w:pPr>
      <w:r>
        <w:rPr>
          <w:rFonts w:hint="eastAsia" w:ascii="宋体" w:hAnsi="宋体" w:cs="宋体"/>
          <w:color w:val="auto"/>
          <w:kern w:val="0"/>
          <w:sz w:val="24"/>
          <w:highlight w:val="none"/>
        </w:rPr>
        <w:sym w:font="Wingdings" w:char="00FE"/>
      </w:r>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具有行业主管部门核发的《汽车租赁经营备案证》或行业主管部门出具的汽车租赁备案信息证明</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lang w:eastAsia="zh-CN"/>
        </w:rPr>
        <w:t>《</w:t>
      </w:r>
      <w:r>
        <w:rPr>
          <w:rFonts w:hint="eastAsia" w:ascii="宋体" w:hAnsi="宋体" w:eastAsia="宋体" w:cs="宋体"/>
          <w:color w:val="auto"/>
          <w:kern w:val="0"/>
          <w:sz w:val="24"/>
          <w:szCs w:val="24"/>
          <w:highlight w:val="none"/>
          <w:u w:val="single"/>
          <w:lang w:val="en-US" w:eastAsia="zh-CN"/>
        </w:rPr>
        <w:t>浙江省道路运输条例</w:t>
      </w:r>
      <w:r>
        <w:rPr>
          <w:rFonts w:hint="eastAsia" w:ascii="宋体" w:hAnsi="宋体" w:cs="宋体"/>
          <w:color w:val="auto"/>
          <w:sz w:val="24"/>
          <w:highlight w:val="none"/>
          <w:u w:val="single" w:color="auto"/>
          <w:lang w:eastAsia="zh-CN"/>
        </w:rPr>
        <w:t>》</w:t>
      </w:r>
      <w:r>
        <w:rPr>
          <w:rFonts w:ascii="Helvetica" w:hAnsi="Helvetica" w:eastAsia="Helvetica" w:cs="Helvetica"/>
          <w:i w:val="0"/>
          <w:caps w:val="0"/>
          <w:color w:val="auto"/>
          <w:spacing w:val="8"/>
          <w:sz w:val="24"/>
          <w:szCs w:val="24"/>
          <w:highlight w:val="none"/>
          <w:u w:val="single" w:color="auto"/>
          <w:shd w:val="clear" w:color="auto" w:fill="FFFFFF"/>
        </w:rPr>
        <w:t>第三章</w:t>
      </w:r>
      <w:r>
        <w:rPr>
          <w:rFonts w:hint="eastAsia" w:ascii="宋体" w:hAnsi="宋体" w:eastAsia="宋体" w:cs="宋体"/>
          <w:color w:val="auto"/>
          <w:kern w:val="0"/>
          <w:sz w:val="24"/>
          <w:szCs w:val="24"/>
          <w:highlight w:val="none"/>
          <w:u w:val="single"/>
          <w:lang w:val="en-US" w:eastAsia="zh-CN"/>
        </w:rPr>
        <w:t>第四节五十七条</w:t>
      </w:r>
      <w:r>
        <w:rPr>
          <w:rFonts w:hint="eastAsia" w:ascii="宋体" w:hAnsi="宋体" w:cs="宋体"/>
          <w:color w:val="auto"/>
          <w:sz w:val="24"/>
          <w:highlight w:val="none"/>
        </w:rPr>
        <w:t>。</w:t>
      </w:r>
    </w:p>
    <w:p>
      <w:pPr>
        <w:widowControl w:val="0"/>
        <w:numPr>
          <w:numId w:val="0"/>
        </w:numPr>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5月19日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5月19日14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3</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5月19日14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1.采购人信息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杭州市余杭区人民政府五常街道办事处</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lang w:val="en-US" w:eastAsia="zh-CN"/>
        </w:rPr>
        <w:t>杭州市余杭区西坝路59号</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eastAsia="zh-CN"/>
        </w:rPr>
        <w:t>徐杰</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cs="宋体"/>
          <w:color w:val="auto"/>
          <w:sz w:val="24"/>
          <w:highlight w:val="none"/>
          <w:lang w:val="en-US" w:eastAsia="zh-CN"/>
        </w:rPr>
        <w:t>0571-88730239</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eastAsia="zh-CN"/>
        </w:rPr>
        <w:t>张剑</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0571-88733113</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2.采购代理机构信息</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杭州市公共资源交易中心余杭分中心</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地    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lang w:eastAsia="zh-CN"/>
        </w:rPr>
        <w:t>电子邮箱</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hzyhzfcg@126.com</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传    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lang w:val="en-US" w:eastAsia="zh-CN"/>
        </w:rPr>
        <w:t>邵华民</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lang w:val="en-US" w:eastAsia="zh-CN"/>
        </w:rPr>
        <w:t>0571-89395454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eastAsia="宋体" w:cs="宋体"/>
          <w:color w:val="auto"/>
          <w:sz w:val="24"/>
          <w:highlight w:val="none"/>
        </w:rPr>
        <w:t>高乐怡</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3.同级政府采购监督管理部门</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名    称：</w:t>
      </w:r>
      <w:r>
        <w:rPr>
          <w:rFonts w:hint="eastAsia" w:ascii="宋体" w:hAnsi="宋体" w:eastAsia="宋体" w:cs="宋体"/>
          <w:color w:val="auto"/>
          <w:sz w:val="24"/>
          <w:highlight w:val="none"/>
        </w:rPr>
        <w:t>杭州市余杭区财政局</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rPr>
        <w:t>地    址：</w:t>
      </w:r>
      <w:r>
        <w:rPr>
          <w:rFonts w:hint="eastAsia" w:ascii="宋体" w:hAnsi="宋体" w:eastAsia="宋体" w:cs="宋体"/>
          <w:color w:val="auto"/>
          <w:sz w:val="24"/>
          <w:highlight w:val="none"/>
        </w:rPr>
        <w:t>杭州市余杭区文一西路1500号8号楼</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 xml:space="preserve">传    真： </w:t>
      </w:r>
      <w:r>
        <w:rPr>
          <w:rFonts w:hint="eastAsia" w:ascii="宋体" w:hAnsi="宋体" w:eastAsia="宋体" w:cs="宋体"/>
          <w:color w:val="auto"/>
          <w:sz w:val="24"/>
          <w:highlight w:val="none"/>
        </w:rPr>
        <w:t>0571-88728858</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联</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系</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人 ：</w:t>
      </w:r>
      <w:r>
        <w:rPr>
          <w:rFonts w:hint="eastAsia" w:ascii="宋体" w:hAnsi="宋体" w:eastAsia="宋体" w:cs="宋体"/>
          <w:color w:val="auto"/>
          <w:sz w:val="24"/>
          <w:highlight w:val="none"/>
        </w:rPr>
        <w:t>杜国强</w:t>
      </w:r>
    </w:p>
    <w:p>
      <w:pPr>
        <w:widowControl w:val="0"/>
        <w:wordWrap/>
        <w:adjustRightInd w:val="0"/>
        <w:snapToGrid/>
        <w:spacing w:line="360" w:lineRule="auto"/>
        <w:ind w:left="0" w:leftChars="0" w:right="0" w:firstLine="480" w:firstLineChars="200"/>
        <w:jc w:val="both"/>
        <w:textAlignment w:val="auto"/>
        <w:outlineLvl w:val="9"/>
        <w:rPr>
          <w:rFonts w:hint="eastAsia" w:ascii="宋体" w:hAnsi="宋体" w:cs="宋体"/>
          <w:color w:val="auto"/>
          <w:sz w:val="24"/>
          <w:highlight w:val="none"/>
          <w:lang w:val="en-US" w:eastAsia="zh-CN"/>
        </w:rPr>
      </w:pPr>
      <w:r>
        <w:rPr>
          <w:rFonts w:hint="eastAsia" w:ascii="宋体" w:hAnsi="宋体" w:cs="宋体"/>
          <w:color w:val="auto"/>
          <w:sz w:val="24"/>
          <w:highlight w:val="none"/>
        </w:rPr>
        <w:t>监督投诉电话：</w:t>
      </w:r>
      <w:r>
        <w:rPr>
          <w:rFonts w:hint="eastAsia" w:ascii="宋体" w:hAnsi="宋体" w:eastAsia="宋体" w:cs="宋体"/>
          <w:color w:val="auto"/>
          <w:sz w:val="24"/>
          <w:highlight w:val="none"/>
        </w:rPr>
        <w:t>0571-88728858</w:t>
      </w:r>
      <w:r>
        <w:rPr>
          <w:rFonts w:hint="eastAsia" w:ascii="宋体" w:hAnsi="宋体" w:cs="宋体"/>
          <w:color w:val="auto"/>
          <w:sz w:val="24"/>
          <w:highlight w:val="none"/>
        </w:rPr>
        <w:t xml:space="preserve">  </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widowControl w:val="0"/>
        <w:wordWrap/>
        <w:adjustRightInd w:val="0"/>
        <w:snapToGrid/>
        <w:spacing w:line="360" w:lineRule="auto"/>
        <w:ind w:left="0" w:leftChars="0" w:right="0" w:firstLine="480" w:firstLineChars="200"/>
        <w:jc w:val="both"/>
        <w:textAlignment w:val="auto"/>
        <w:outlineLvl w:val="9"/>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7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numPr>
                <w:numId w:val="0"/>
              </w:numPr>
              <w:tabs>
                <w:tab w:val="left" w:pos="432"/>
              </w:tabs>
              <w:wordWrap/>
              <w:snapToGrid/>
              <w:spacing w:line="240" w:lineRule="auto"/>
              <w:ind w:left="0" w:leftChars="0" w:right="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rPr>
              <w:t>标的：</w:t>
            </w:r>
            <w:r>
              <w:rPr>
                <w:rFonts w:hint="eastAsia" w:ascii="宋体" w:hAnsi="宋体" w:eastAsia="宋体" w:cs="宋体"/>
                <w:b w:val="0"/>
                <w:bCs w:val="0"/>
                <w:color w:val="auto"/>
                <w:sz w:val="24"/>
                <w:szCs w:val="24"/>
                <w:highlight w:val="none"/>
                <w:u w:val="single"/>
                <w:lang w:eastAsia="zh-CN"/>
              </w:rPr>
              <w:t>新能源汽车租赁服务</w:t>
            </w:r>
            <w:r>
              <w:rPr>
                <w:rFonts w:hint="eastAsia" w:ascii="宋体" w:hAnsi="宋体" w:eastAsia="宋体" w:cs="宋体"/>
                <w:b w:val="0"/>
                <w:bCs w:val="0"/>
                <w:color w:val="auto"/>
                <w:sz w:val="24"/>
                <w:szCs w:val="24"/>
                <w:highlight w:val="none"/>
              </w:rPr>
              <w:t>，属于</w:t>
            </w:r>
            <w:r>
              <w:rPr>
                <w:rFonts w:hint="eastAsia" w:ascii="宋体" w:hAnsi="宋体" w:eastAsia="宋体" w:cs="宋体"/>
                <w:b w:val="0"/>
                <w:bCs w:val="0"/>
                <w:color w:val="auto"/>
                <w:sz w:val="24"/>
                <w:szCs w:val="24"/>
                <w:highlight w:val="none"/>
                <w:u w:val="single" w:color="auto"/>
              </w:rPr>
              <w:t>租赁和商务服务业</w:t>
            </w:r>
            <w:r>
              <w:rPr>
                <w:rFonts w:hint="eastAsia" w:ascii="宋体" w:hAnsi="宋体" w:eastAsia="宋体" w:cs="宋体"/>
                <w:b w:val="0"/>
                <w:bCs w:val="0"/>
                <w:color w:val="auto"/>
                <w:sz w:val="24"/>
                <w:szCs w:val="24"/>
                <w:highlight w:val="none"/>
              </w:rPr>
              <w:t>行业</w:t>
            </w:r>
            <w:r>
              <w:rPr>
                <w:rFonts w:hint="eastAsia" w:ascii="宋体" w:hAnsi="宋体" w:eastAsia="宋体" w:cs="宋体"/>
                <w:b w:val="0"/>
                <w:bCs w:val="0"/>
                <w:color w:val="auto"/>
                <w:sz w:val="24"/>
                <w:szCs w:val="24"/>
                <w:highlight w:val="none"/>
                <w:lang w:val="en-US" w:eastAsia="zh-CN"/>
              </w:rPr>
              <w:t>；</w:t>
            </w:r>
          </w:p>
          <w:p>
            <w:pPr>
              <w:widowControl w:val="0"/>
              <w:numPr>
                <w:numId w:val="0"/>
              </w:numPr>
              <w:tabs>
                <w:tab w:val="left" w:pos="432"/>
              </w:tabs>
              <w:wordWrap/>
              <w:snapToGrid/>
              <w:spacing w:line="240" w:lineRule="auto"/>
              <w:ind w:left="0" w:leftChars="0" w:right="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2、标的：</w:t>
            </w:r>
            <w:r>
              <w:rPr>
                <w:rFonts w:hint="eastAsia" w:ascii="宋体" w:hAnsi="宋体" w:eastAsia="宋体" w:cs="宋体"/>
                <w:b w:val="0"/>
                <w:bCs w:val="0"/>
                <w:color w:val="auto"/>
                <w:sz w:val="24"/>
                <w:szCs w:val="24"/>
                <w:highlight w:val="none"/>
                <w:u w:val="single"/>
                <w:lang w:val="en-US" w:eastAsia="zh-CN"/>
              </w:rPr>
              <w:t>自动档皮卡油车租赁服务</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属于</w:t>
            </w:r>
            <w:r>
              <w:rPr>
                <w:rFonts w:hint="eastAsia" w:ascii="宋体" w:hAnsi="宋体" w:eastAsia="宋体" w:cs="宋体"/>
                <w:b w:val="0"/>
                <w:bCs w:val="0"/>
                <w:color w:val="auto"/>
                <w:sz w:val="24"/>
                <w:szCs w:val="24"/>
                <w:highlight w:val="none"/>
                <w:u w:val="single" w:color="auto"/>
              </w:rPr>
              <w:t>租赁和商务服务业</w:t>
            </w:r>
            <w:r>
              <w:rPr>
                <w:rFonts w:hint="eastAsia" w:ascii="宋体" w:hAnsi="宋体" w:eastAsia="宋体" w:cs="宋体"/>
                <w:b w:val="0"/>
                <w:bCs w:val="0"/>
                <w:color w:val="auto"/>
                <w:sz w:val="24"/>
                <w:szCs w:val="24"/>
                <w:highlight w:val="none"/>
              </w:rPr>
              <w:t>行业</w:t>
            </w:r>
            <w:r>
              <w:rPr>
                <w:rFonts w:hint="eastAsia" w:ascii="宋体" w:hAnsi="宋体" w:eastAsia="宋体" w:cs="宋体"/>
                <w:b w:val="0"/>
                <w:bCs w:val="0"/>
                <w:color w:val="auto"/>
                <w:sz w:val="24"/>
                <w:szCs w:val="24"/>
                <w:highlight w:val="none"/>
                <w:lang w:val="en-US" w:eastAsia="zh-CN"/>
              </w:rPr>
              <w:t>；</w:t>
            </w:r>
          </w:p>
          <w:p>
            <w:pPr>
              <w:widowControl w:val="0"/>
              <w:wordWrap/>
              <w:snapToGrid/>
              <w:spacing w:line="240" w:lineRule="auto"/>
              <w:ind w:left="0" w:leftChars="0" w:right="0"/>
              <w:textAlignment w:val="auto"/>
              <w:outlineLvl w:val="9"/>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3、标的：</w:t>
            </w:r>
            <w:r>
              <w:rPr>
                <w:rFonts w:hint="eastAsia" w:ascii="宋体" w:hAnsi="宋体" w:eastAsia="宋体" w:cs="宋体"/>
                <w:b w:val="0"/>
                <w:bCs w:val="0"/>
                <w:color w:val="auto"/>
                <w:sz w:val="24"/>
                <w:szCs w:val="24"/>
                <w:highlight w:val="none"/>
                <w:u w:val="single"/>
                <w:lang w:val="en-US" w:eastAsia="zh-CN"/>
              </w:rPr>
              <w:t>五座三厢自动挡轿车油车租赁服务</w:t>
            </w:r>
            <w:r>
              <w:rPr>
                <w:rFonts w:hint="eastAsia" w:ascii="宋体" w:hAnsi="宋体" w:eastAsia="宋体" w:cs="宋体"/>
                <w:b w:val="0"/>
                <w:bCs w:val="0"/>
                <w:color w:val="auto"/>
                <w:sz w:val="24"/>
                <w:szCs w:val="24"/>
                <w:highlight w:val="none"/>
                <w:lang w:val="en-US" w:eastAsia="zh-CN"/>
              </w:rPr>
              <w:t>，</w:t>
            </w:r>
            <w:r>
              <w:rPr>
                <w:rFonts w:hint="eastAsia" w:ascii="宋体" w:hAnsi="宋体" w:eastAsia="宋体" w:cs="宋体"/>
                <w:b w:val="0"/>
                <w:bCs w:val="0"/>
                <w:color w:val="auto"/>
                <w:sz w:val="24"/>
                <w:szCs w:val="24"/>
                <w:highlight w:val="none"/>
              </w:rPr>
              <w:t>属于</w:t>
            </w:r>
            <w:r>
              <w:rPr>
                <w:rFonts w:hint="eastAsia" w:ascii="宋体" w:hAnsi="宋体" w:eastAsia="宋体" w:cs="宋体"/>
                <w:b w:val="0"/>
                <w:bCs w:val="0"/>
                <w:color w:val="auto"/>
                <w:sz w:val="24"/>
                <w:szCs w:val="24"/>
                <w:highlight w:val="none"/>
                <w:u w:val="single" w:color="auto"/>
              </w:rPr>
              <w:t>租赁和商务服务业</w:t>
            </w:r>
            <w:r>
              <w:rPr>
                <w:rFonts w:hint="eastAsia" w:ascii="宋体" w:hAnsi="宋体" w:eastAsia="宋体" w:cs="宋体"/>
                <w:b w:val="0"/>
                <w:bCs w:val="0"/>
                <w:color w:val="auto"/>
                <w:sz w:val="24"/>
                <w:szCs w:val="24"/>
                <w:highlight w:val="none"/>
              </w:rPr>
              <w:t>行业</w:t>
            </w:r>
            <w:r>
              <w:rPr>
                <w:rFonts w:hint="eastAsia" w:ascii="宋体" w:hAnsi="宋体" w:eastAsia="宋体" w:cs="宋体"/>
                <w:b w:val="0"/>
                <w:bCs w:val="0"/>
                <w:color w:val="auto"/>
                <w:sz w:val="24"/>
                <w:szCs w:val="24"/>
                <w:highlight w:val="none"/>
                <w:lang w:val="en-US" w:eastAsia="zh-CN"/>
              </w:rPr>
              <w:t>；</w:t>
            </w:r>
          </w:p>
          <w:p>
            <w:pPr>
              <w:widowControl w:val="0"/>
              <w:tabs>
                <w:tab w:val="left" w:pos="432"/>
              </w:tabs>
              <w:wordWrap/>
              <w:snapToGrid/>
              <w:spacing w:line="240" w:lineRule="auto"/>
              <w:ind w:left="0" w:leftChars="0" w:right="0"/>
              <w:textAlignment w:val="auto"/>
              <w:outlineLvl w:val="9"/>
              <w:rPr>
                <w:rFonts w:hint="eastAsia" w:ascii="宋体" w:hAnsi="宋体" w:eastAsia="宋体" w:cs="宋体"/>
                <w:b w:val="0"/>
                <w:bCs w:val="0"/>
                <w:color w:val="auto"/>
                <w:sz w:val="24"/>
                <w:szCs w:val="24"/>
                <w:highlight w:val="none"/>
                <w:u w:val="single" w:color="auto"/>
              </w:rPr>
            </w:pPr>
            <w:r>
              <w:rPr>
                <w:rFonts w:hint="eastAsia" w:ascii="宋体" w:hAnsi="宋体" w:eastAsia="宋体" w:cs="宋体"/>
                <w:b w:val="0"/>
                <w:bCs w:val="0"/>
                <w:color w:val="auto"/>
                <w:sz w:val="24"/>
                <w:szCs w:val="24"/>
                <w:highlight w:val="none"/>
                <w:lang w:val="en-US" w:eastAsia="zh-CN"/>
              </w:rPr>
              <w:t>4、标的：</w:t>
            </w:r>
            <w:r>
              <w:rPr>
                <w:rFonts w:hint="eastAsia" w:ascii="宋体" w:hAnsi="宋体" w:eastAsia="宋体" w:cs="宋体"/>
                <w:b w:val="0"/>
                <w:bCs w:val="0"/>
                <w:color w:val="auto"/>
                <w:sz w:val="24"/>
                <w:szCs w:val="24"/>
                <w:highlight w:val="none"/>
                <w:u w:val="single"/>
                <w:lang w:val="en-US" w:eastAsia="zh-CN"/>
              </w:rPr>
              <w:t>五门七座自动档商务油车租赁服务</w:t>
            </w:r>
            <w:r>
              <w:rPr>
                <w:rFonts w:hint="eastAsia" w:ascii="宋体" w:hAnsi="宋体" w:eastAsia="宋体" w:cs="宋体"/>
                <w:b w:val="0"/>
                <w:bCs w:val="0"/>
                <w:color w:val="auto"/>
                <w:sz w:val="24"/>
                <w:szCs w:val="24"/>
                <w:highlight w:val="none"/>
                <w:u w:val="none"/>
                <w:lang w:val="en-US" w:eastAsia="zh-CN"/>
              </w:rPr>
              <w:t>，</w:t>
            </w:r>
            <w:r>
              <w:rPr>
                <w:rFonts w:hint="eastAsia" w:ascii="宋体" w:hAnsi="宋体" w:eastAsia="宋体" w:cs="宋体"/>
                <w:b w:val="0"/>
                <w:bCs w:val="0"/>
                <w:color w:val="auto"/>
                <w:sz w:val="24"/>
                <w:szCs w:val="24"/>
                <w:highlight w:val="none"/>
              </w:rPr>
              <w:t>属于</w:t>
            </w:r>
            <w:r>
              <w:rPr>
                <w:rFonts w:hint="eastAsia" w:ascii="宋体" w:hAnsi="宋体" w:eastAsia="宋体" w:cs="宋体"/>
                <w:b w:val="0"/>
                <w:bCs w:val="0"/>
                <w:color w:val="auto"/>
                <w:sz w:val="24"/>
                <w:szCs w:val="24"/>
                <w:highlight w:val="none"/>
                <w:u w:val="single" w:color="auto"/>
              </w:rPr>
              <w:t>租赁</w:t>
            </w:r>
          </w:p>
          <w:p>
            <w:pPr>
              <w:widowControl w:val="0"/>
              <w:tabs>
                <w:tab w:val="left" w:pos="432"/>
              </w:tabs>
              <w:wordWrap/>
              <w:spacing w:line="240" w:lineRule="auto"/>
              <w:ind w:left="0" w:leftChars="0" w:right="0"/>
              <w:textAlignment w:val="auto"/>
              <w:outlineLvl w:val="9"/>
              <w:rPr>
                <w:rFonts w:ascii="宋体" w:hAnsi="宋体" w:eastAsia="宋体" w:cs="宋体"/>
                <w:color w:val="auto"/>
                <w:highlight w:val="none"/>
                <w:lang w:val="en-US"/>
              </w:rPr>
            </w:pPr>
            <w:r>
              <w:rPr>
                <w:rFonts w:hint="eastAsia" w:ascii="宋体" w:hAnsi="宋体" w:eastAsia="宋体" w:cs="宋体"/>
                <w:b w:val="0"/>
                <w:bCs w:val="0"/>
                <w:color w:val="auto"/>
                <w:sz w:val="24"/>
                <w:szCs w:val="24"/>
                <w:highlight w:val="none"/>
                <w:u w:val="single" w:color="auto"/>
              </w:rPr>
              <w:t>和商务服务业</w:t>
            </w:r>
            <w:r>
              <w:rPr>
                <w:rFonts w:hint="eastAsia" w:ascii="宋体" w:hAnsi="宋体" w:eastAsia="宋体" w:cs="宋体"/>
                <w:b w:val="0"/>
                <w:bCs w:val="0"/>
                <w:color w:val="auto"/>
                <w:sz w:val="24"/>
                <w:szCs w:val="24"/>
                <w:highlight w:val="none"/>
                <w:lang w:val="en-US" w:eastAsia="zh-CN"/>
              </w:rPr>
              <w:t>行</w:t>
            </w:r>
            <w:r>
              <w:rPr>
                <w:rFonts w:hint="eastAsia" w:ascii="宋体" w:hAnsi="宋体" w:eastAsia="宋体" w:cs="宋体"/>
                <w:b w:val="0"/>
                <w:bCs w:val="0"/>
                <w:color w:val="auto"/>
                <w:sz w:val="24"/>
                <w:szCs w:val="24"/>
                <w:highlight w:val="none"/>
              </w:rPr>
              <w:t>业</w:t>
            </w:r>
            <w:r>
              <w:rPr>
                <w:rFonts w:hint="eastAsia" w:ascii="宋体" w:hAnsi="宋体" w:eastAsia="宋体" w:cs="宋体"/>
                <w:b w:val="0"/>
                <w:bCs w:val="0"/>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ascii="宋体" w:hAnsi="宋体" w:cs="宋体"/>
                <w:color w:val="auto"/>
                <w:kern w:val="0"/>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p>
            <w:pPr>
              <w:widowControl w:val="0"/>
              <w:wordWrap/>
              <w:spacing w:line="240" w:lineRule="auto"/>
              <w:ind w:left="0" w:leftChars="0" w:right="0"/>
              <w:textAlignment w:val="auto"/>
              <w:outlineLvl w:val="9"/>
              <w:rPr>
                <w:rFonts w:ascii="宋体" w:hAnsi="宋体" w:cs="宋体"/>
                <w:color w:val="auto"/>
                <w:highlight w:val="none"/>
              </w:rPr>
            </w:pPr>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hint="eastAsia"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eastAsia="宋体" w:cs="宋体"/>
                <w:color w:val="auto"/>
                <w:sz w:val="24"/>
                <w:highlight w:val="none"/>
                <w:u w:val="single"/>
              </w:rPr>
              <w:t>维修及保养服务、车辆喷涂服务、车辆保险</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widowControl w:val="0"/>
              <w:wordWrap/>
              <w:spacing w:line="240" w:lineRule="auto"/>
              <w:ind w:left="0" w:leftChars="0" w:right="0"/>
              <w:textAlignment w:val="auto"/>
              <w:outlineLvl w:val="9"/>
              <w:rPr>
                <w:rFonts w:ascii="宋体" w:hAnsi="宋体" w:cs="宋体"/>
                <w:color w:val="auto"/>
                <w:sz w:val="24"/>
                <w:highlight w:val="none"/>
              </w:rPr>
            </w:pPr>
            <w:r>
              <w:rPr>
                <w:rFonts w:hint="eastAsia" w:ascii="MS Gothic" w:hAnsi="MS Gothic" w:cs="宋体"/>
                <w:color w:val="auto"/>
                <w:kern w:val="0"/>
                <w:sz w:val="24"/>
                <w:highlight w:val="none"/>
              </w:rPr>
              <w:t>☐</w:t>
            </w:r>
            <w:r>
              <w:rPr>
                <w:rFonts w:hint="eastAsia" w:ascii="宋体" w:hAnsi="宋体" w:cs="宋体"/>
                <w:color w:val="auto"/>
                <w:kern w:val="0"/>
                <w:sz w:val="24"/>
                <w:highlight w:val="none"/>
              </w:rPr>
              <w:t>B</w:t>
            </w:r>
            <w:r>
              <w:rPr>
                <w:rFonts w:hint="eastAsia" w:ascii="宋体" w:hAnsi="宋体" w:cs="宋体"/>
                <w:color w:val="auto"/>
                <w:sz w:val="24"/>
                <w:highlight w:val="none"/>
              </w:rPr>
              <w:t>不同意分包。</w:t>
            </w:r>
          </w:p>
          <w:p>
            <w:pPr>
              <w:widowControl w:val="0"/>
              <w:wordWrap/>
              <w:spacing w:line="240" w:lineRule="auto"/>
              <w:ind w:left="0" w:leftChars="0" w:right="0"/>
              <w:textAlignment w:val="auto"/>
              <w:outlineLvl w:val="9"/>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ascii="宋体" w:hAnsi="宋体" w:cs="宋体"/>
                <w:color w:val="auto"/>
                <w:sz w:val="24"/>
                <w:szCs w:val="20"/>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79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ascii="宋体" w:hAnsi="宋体" w:cs="宋体"/>
                <w:b/>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88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val="0"/>
              <w:spacing w:line="240" w:lineRule="auto"/>
              <w:ind w:left="0" w:leftChars="0" w:right="0"/>
              <w:textAlignment w:val="auto"/>
              <w:outlineLvl w:val="9"/>
              <w:rPr>
                <w:rFonts w:ascii="宋体" w:hAnsi="宋体" w:cs="宋体"/>
                <w:b/>
                <w:color w:val="auto"/>
                <w:kern w:val="0"/>
                <w:sz w:val="24"/>
                <w:highlight w:val="none"/>
                <w:lang w:val="zh-CN"/>
              </w:rPr>
            </w:pPr>
            <w:r>
              <w:rPr>
                <w:rFonts w:ascii="Wingdings" w:hAnsi="Wingdings" w:cs="宋体"/>
                <w:color w:val="auto"/>
                <w:kern w:val="0"/>
                <w:sz w:val="24"/>
                <w:highlight w:val="none"/>
              </w:rPr>
              <w:t></w:t>
            </w:r>
            <w:r>
              <w:rPr>
                <w:rFonts w:hint="eastAsia" w:ascii="宋体" w:hAnsi="宋体" w:cs="宋体"/>
                <w:color w:val="auto"/>
                <w:kern w:val="0"/>
                <w:sz w:val="24"/>
                <w:highlight w:val="none"/>
              </w:rPr>
              <w:t>A</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widowControl w:val="0"/>
              <w:wordWrap/>
              <w:spacing w:line="240" w:lineRule="auto"/>
              <w:ind w:left="0" w:leftChars="0" w:right="0"/>
              <w:textAlignment w:val="auto"/>
              <w:outlineLvl w:val="9"/>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widowControl w:val="0"/>
              <w:wordWrap/>
              <w:spacing w:line="240" w:lineRule="auto"/>
              <w:ind w:left="0" w:leftChars="0" w:right="0"/>
              <w:textAlignment w:val="auto"/>
              <w:outlineLvl w:val="9"/>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19"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val="0"/>
              <w:spacing w:line="240" w:lineRule="auto"/>
              <w:ind w:left="0" w:leftChars="0" w:right="0"/>
              <w:textAlignment w:val="auto"/>
              <w:outlineLvl w:val="9"/>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val="0"/>
              <w:spacing w:line="240" w:lineRule="auto"/>
              <w:ind w:left="0" w:leftChars="0" w:right="0"/>
              <w:jc w:val="left"/>
              <w:textAlignment w:val="auto"/>
              <w:outlineLvl w:val="9"/>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eastAsia="宋体" w:cs="宋体"/>
                <w:color w:val="auto"/>
                <w:sz w:val="24"/>
                <w:highlight w:val="none"/>
              </w:rPr>
              <w:t>投标单位报价应包含车辆</w:t>
            </w:r>
            <w:r>
              <w:rPr>
                <w:rFonts w:hint="eastAsia" w:ascii="宋体" w:hAnsi="宋体" w:eastAsia="宋体" w:cs="宋体"/>
                <w:color w:val="auto"/>
                <w:sz w:val="24"/>
                <w:highlight w:val="none"/>
                <w:lang w:val="en-US" w:eastAsia="zh-CN"/>
              </w:rPr>
              <w:t>二年</w:t>
            </w:r>
            <w:r>
              <w:rPr>
                <w:rFonts w:hint="eastAsia" w:ascii="宋体" w:hAnsi="宋体" w:eastAsia="宋体" w:cs="宋体"/>
                <w:color w:val="auto"/>
                <w:sz w:val="24"/>
                <w:highlight w:val="none"/>
              </w:rPr>
              <w:t>的全部费用，包括租赁费用、GPS安装与使用服务费用、车辆喷涂车贴费用、轮胎修补及更换费用、保险费用（覆盖全部险种，包括交强险、第三者责任保险（≥150万）、车上人员险</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道路救援险、不计免赔险</w:t>
            </w:r>
            <w:r>
              <w:rPr>
                <w:rFonts w:hint="eastAsia" w:ascii="宋体" w:hAnsi="宋体" w:eastAsia="宋体" w:cs="宋体"/>
                <w:color w:val="auto"/>
                <w:sz w:val="24"/>
                <w:highlight w:val="none"/>
              </w:rPr>
              <w:t>）、维修及保养费用、年审费用、车辆折旧费、管理费、</w:t>
            </w:r>
            <w:r>
              <w:rPr>
                <w:rFonts w:hint="eastAsia" w:ascii="宋体" w:hAnsi="宋体" w:cs="宋体"/>
                <w:color w:val="auto"/>
                <w:sz w:val="24"/>
                <w:highlight w:val="none"/>
                <w:lang w:val="en-US" w:eastAsia="zh-CN"/>
              </w:rPr>
              <w:t>数字管理平台使用费、应急处置等</w:t>
            </w:r>
            <w:r>
              <w:rPr>
                <w:rFonts w:hint="eastAsia" w:ascii="宋体" w:hAnsi="宋体" w:eastAsia="宋体" w:cs="宋体"/>
                <w:color w:val="auto"/>
                <w:sz w:val="24"/>
                <w:highlight w:val="none"/>
              </w:rPr>
              <w:t>一切费用</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含税费）均计入报价</w:t>
            </w:r>
            <w:r>
              <w:rPr>
                <w:rFonts w:hint="eastAsia" w:ascii="宋体" w:hAnsi="宋体" w:eastAsia="宋体" w:cs="宋体"/>
                <w:snapToGrid w:val="0"/>
                <w:color w:val="auto"/>
                <w:kern w:val="0"/>
                <w:sz w:val="24"/>
                <w:szCs w:val="24"/>
                <w:highlight w:val="none"/>
                <w:lang w:val="en-US" w:eastAsia="zh-CN"/>
              </w:rPr>
              <w:t>。</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widowControl w:val="0"/>
              <w:wordWrap/>
              <w:snapToGrid w:val="0"/>
              <w:spacing w:line="240" w:lineRule="auto"/>
              <w:ind w:left="0" w:leftChars="0" w:right="0"/>
              <w:jc w:val="left"/>
              <w:textAlignment w:val="auto"/>
              <w:outlineLvl w:val="9"/>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widowControl w:val="0"/>
              <w:wordWrap/>
              <w:snapToGrid w:val="0"/>
              <w:spacing w:line="240" w:lineRule="auto"/>
              <w:ind w:left="0" w:leftChars="0" w:right="0" w:firstLine="241" w:firstLineChars="100"/>
              <w:jc w:val="left"/>
              <w:textAlignment w:val="auto"/>
              <w:outlineLvl w:val="9"/>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widowControl w:val="0"/>
              <w:wordWrap/>
              <w:snapToGrid w:val="0"/>
              <w:spacing w:line="240" w:lineRule="auto"/>
              <w:ind w:left="0" w:leftChars="0" w:right="0" w:firstLine="241" w:firstLineChars="100"/>
              <w:jc w:val="left"/>
              <w:textAlignment w:val="auto"/>
              <w:outlineLvl w:val="9"/>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widowControl w:val="0"/>
              <w:wordWrap/>
              <w:spacing w:line="240" w:lineRule="auto"/>
              <w:ind w:left="0" w:leftChars="0" w:right="0" w:firstLine="241" w:firstLineChars="100"/>
              <w:textAlignment w:val="auto"/>
              <w:outlineLvl w:val="9"/>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widowControl w:val="0"/>
              <w:wordWrap/>
              <w:spacing w:line="240" w:lineRule="auto"/>
              <w:ind w:left="0" w:leftChars="0" w:right="0" w:firstLine="241" w:firstLineChars="100"/>
              <w:textAlignment w:val="auto"/>
              <w:outlineLvl w:val="9"/>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firstLine="240" w:firstLineChars="100"/>
              <w:textAlignment w:val="auto"/>
              <w:outlineLvl w:val="9"/>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212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widowControl w:val="0"/>
              <w:wordWrap/>
              <w:spacing w:line="240" w:lineRule="auto"/>
              <w:ind w:left="0" w:leftChars="0" w:right="0" w:firstLine="480" w:firstLineChars="200"/>
              <w:textAlignment w:val="auto"/>
              <w:outlineLvl w:val="9"/>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napToGrid w:val="0"/>
              <w:spacing w:line="240" w:lineRule="auto"/>
              <w:ind w:left="0" w:leftChars="0" w:right="0" w:firstLine="480" w:firstLineChars="200"/>
              <w:textAlignment w:val="auto"/>
              <w:outlineLvl w:val="9"/>
              <w:rPr>
                <w:rFonts w:hAnsi="宋体" w:cs="宋体"/>
                <w:color w:val="auto"/>
                <w:kern w:val="28"/>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2</w:t>
            </w:r>
            <w:r>
              <w:rPr>
                <w:rFonts w:hint="eastAsia" w:ascii="宋体" w:hAnsi="宋体" w:eastAsia="宋体" w:cs="宋体"/>
                <w:b/>
                <w:color w:val="auto"/>
                <w:kern w:val="0"/>
                <w:sz w:val="24"/>
                <w:highlight w:val="none"/>
                <w:u w:val="single"/>
              </w:rPr>
              <w:t xml:space="preserve">  </w:t>
            </w:r>
            <w:r>
              <w:rPr>
                <w:rFonts w:hint="eastAsia" w:ascii="宋体" w:hAnsi="宋体" w:eastAsia="宋体" w:cs="宋体"/>
                <w:b/>
                <w:color w:val="auto"/>
                <w:kern w:val="0"/>
                <w:sz w:val="24"/>
                <w:highlight w:val="none"/>
              </w:rPr>
              <w:t xml:space="preserve"> 号开标室</w:t>
            </w:r>
            <w:r>
              <w:rPr>
                <w:rFonts w:hint="eastAsia" w:ascii="宋体" w:hAnsi="宋体" w:eastAsia="宋体" w:cs="宋体"/>
                <w:b w:val="0"/>
                <w:bCs w:val="0"/>
                <w:color w:val="auto"/>
                <w:sz w:val="24"/>
                <w:szCs w:val="24"/>
                <w:highlight w:val="none"/>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eastAsia="宋体" w:cs="宋体"/>
                <w:color w:val="auto"/>
                <w:sz w:val="24"/>
                <w:szCs w:val="24"/>
                <w:highlight w:val="none"/>
              </w:rPr>
              <w:t>)</w:t>
            </w:r>
            <w:r>
              <w:rPr>
                <w:rFonts w:hint="eastAsia" w:ascii="宋体" w:hAnsi="宋体" w:eastAsia="宋体" w:cs="宋体"/>
                <w:color w:val="auto"/>
                <w:kern w:val="0"/>
                <w:sz w:val="24"/>
                <w:highlight w:val="none"/>
              </w:rPr>
              <w:t>，逾期送达或未密封将被拒收。</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widowControl w:val="0"/>
              <w:wordWrap/>
              <w:spacing w:line="240" w:lineRule="auto"/>
              <w:ind w:left="0" w:leftChars="0" w:right="0"/>
              <w:textAlignment w:val="auto"/>
              <w:outlineLvl w:val="9"/>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bookmarkStart w:id="519" w:name="_GoBack"/>
            <w:bookmarkEnd w:id="51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spacing w:line="240" w:lineRule="auto"/>
              <w:ind w:left="0" w:leftChars="0" w:right="0"/>
              <w:textAlignment w:val="auto"/>
              <w:outlineLvl w:val="9"/>
              <w:rPr>
                <w:rFonts w:hint="eastAsia" w:ascii="宋体" w:hAnsi="宋体" w:eastAsia="宋体" w:cs="Arial"/>
                <w:color w:val="auto"/>
                <w:kern w:val="0"/>
                <w:sz w:val="24"/>
                <w:highlight w:val="none"/>
              </w:rPr>
            </w:pPr>
            <w:r>
              <w:rPr>
                <w:rFonts w:hint="eastAsia" w:ascii="宋体" w:hAnsi="宋体" w:eastAsia="宋体" w:cs="Arial"/>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是</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评标办分法明确具体的扣除比例，未明确的，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4"/>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4"/>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4"/>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16"/>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4"/>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4"/>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4"/>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4"/>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4"/>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6"/>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将在资格审查时通过“信用中国”网站(www.creditchina.gov.cn)、中国政府采购网(www.ccgp.gov.cn)渠道查询投标人接受资格时的信用记录。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6"/>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6"/>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6"/>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6"/>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5" w:type="first"/>
          <w:footerReference r:id="rId8" w:type="first"/>
          <w:headerReference r:id="rId4" w:type="default"/>
          <w:footerReference r:id="rId6" w:type="default"/>
          <w:footerReference r:id="rId7" w:type="even"/>
          <w:pgSz w:w="11906" w:h="16838"/>
          <w:pgMar w:top="680" w:right="1418" w:bottom="468" w:left="1418" w:header="851" w:footer="992" w:gutter="0"/>
          <w:cols w:space="720" w:num="1"/>
          <w:titlePg/>
          <w:docGrid w:linePitch="312" w:charSpace="0"/>
        </w:sectPr>
      </w:pPr>
      <w:bookmarkStart w:id="15" w:name="_Hlt68403820"/>
      <w:bookmarkEnd w:id="15"/>
      <w:bookmarkStart w:id="16" w:name="_Hlt74730295"/>
      <w:bookmarkEnd w:id="16"/>
      <w:bookmarkStart w:id="17" w:name="_Hlt75236290"/>
      <w:bookmarkEnd w:id="17"/>
      <w:bookmarkStart w:id="18" w:name="_Hlt68073093"/>
      <w:bookmarkEnd w:id="18"/>
      <w:bookmarkStart w:id="19" w:name="_Hlt68057669"/>
      <w:bookmarkEnd w:id="19"/>
      <w:bookmarkStart w:id="20" w:name="_Hlt74729768"/>
      <w:bookmarkEnd w:id="20"/>
      <w:bookmarkStart w:id="21" w:name="_Hlt74707468"/>
      <w:bookmarkEnd w:id="21"/>
      <w:bookmarkStart w:id="22" w:name="_Hlt75236011"/>
      <w:bookmarkEnd w:id="22"/>
      <w:bookmarkStart w:id="23" w:name="_Hlt74714665"/>
      <w:bookmarkEnd w:id="23"/>
      <w:bookmarkStart w:id="24" w:name="_Hlt68072990"/>
      <w:bookmarkEnd w:id="24"/>
      <w:bookmarkStart w:id="25" w:name="_Hlt68072998"/>
      <w:bookmarkEnd w:id="25"/>
      <w:bookmarkStart w:id="26" w:name="_Hlt75236101"/>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cs="宋体"/>
          <w:b/>
          <w:bCs/>
          <w:color w:val="auto"/>
          <w:sz w:val="24"/>
          <w:highlight w:val="none"/>
          <w:lang w:eastAsia="zh-CN"/>
        </w:rPr>
        <w:t>一、</w:t>
      </w:r>
      <w:r>
        <w:rPr>
          <w:rFonts w:hint="eastAsia" w:ascii="宋体" w:hAnsi="宋体" w:eastAsia="宋体" w:cs="宋体"/>
          <w:b/>
          <w:bCs/>
          <w:color w:val="auto"/>
          <w:sz w:val="24"/>
          <w:highlight w:val="none"/>
        </w:rPr>
        <w:t>项目介绍</w:t>
      </w:r>
    </w:p>
    <w:p>
      <w:pPr>
        <w:snapToGrid w:val="0"/>
        <w:spacing w:line="360" w:lineRule="auto"/>
        <w:ind w:firstLine="480" w:firstLineChars="200"/>
        <w:rPr>
          <w:rFonts w:hint="eastAsia" w:eastAsia="宋体"/>
          <w:color w:val="auto"/>
          <w:highlight w:val="none"/>
          <w:lang w:eastAsia="zh-CN"/>
        </w:rPr>
      </w:pPr>
      <w:r>
        <w:rPr>
          <w:rFonts w:hint="eastAsia" w:ascii="宋体" w:hAnsi="宋体" w:eastAsia="宋体" w:cs="宋体"/>
          <w:color w:val="auto"/>
          <w:sz w:val="24"/>
          <w:szCs w:val="22"/>
          <w:highlight w:val="none"/>
        </w:rPr>
        <w:t>为保障</w:t>
      </w:r>
      <w:r>
        <w:rPr>
          <w:rFonts w:hint="eastAsia" w:ascii="宋体" w:hAnsi="宋体" w:eastAsia="宋体" w:cs="宋体"/>
          <w:color w:val="auto"/>
          <w:sz w:val="24"/>
          <w:szCs w:val="22"/>
          <w:highlight w:val="none"/>
          <w:lang w:val="en-US" w:eastAsia="zh-CN"/>
        </w:rPr>
        <w:t>五常街道</w:t>
      </w:r>
      <w:r>
        <w:rPr>
          <w:rFonts w:hint="eastAsia" w:ascii="宋体" w:hAnsi="宋体" w:eastAsia="宋体" w:cs="宋体"/>
          <w:color w:val="auto"/>
          <w:sz w:val="24"/>
          <w:szCs w:val="22"/>
          <w:highlight w:val="none"/>
        </w:rPr>
        <w:t>辖区内综合治理执勤公务用车需要，街道拟向经主管部门备案的汽车租赁企业租赁</w:t>
      </w:r>
      <w:r>
        <w:rPr>
          <w:rFonts w:hint="eastAsia" w:ascii="宋体" w:hAnsi="宋体" w:cs="宋体"/>
          <w:color w:val="auto"/>
          <w:sz w:val="24"/>
          <w:szCs w:val="22"/>
          <w:highlight w:val="none"/>
          <w:lang w:val="en-US" w:eastAsia="zh-CN"/>
        </w:rPr>
        <w:t>39</w:t>
      </w:r>
      <w:r>
        <w:rPr>
          <w:rFonts w:hint="eastAsia" w:ascii="宋体" w:hAnsi="宋体" w:eastAsia="宋体" w:cs="宋体"/>
          <w:color w:val="auto"/>
          <w:sz w:val="24"/>
          <w:szCs w:val="22"/>
          <w:highlight w:val="none"/>
        </w:rPr>
        <w:t>辆公务执勤车，主要用于</w:t>
      </w:r>
      <w:r>
        <w:rPr>
          <w:rFonts w:hint="eastAsia" w:ascii="宋体" w:hAnsi="宋体" w:eastAsia="宋体" w:cs="宋体"/>
          <w:color w:val="auto"/>
          <w:sz w:val="24"/>
          <w:szCs w:val="22"/>
          <w:highlight w:val="none"/>
          <w:lang w:val="en-US" w:eastAsia="zh-CN"/>
        </w:rPr>
        <w:t>五常街道</w:t>
      </w:r>
      <w:r>
        <w:rPr>
          <w:rFonts w:hint="eastAsia" w:ascii="宋体" w:hAnsi="宋体" w:eastAsia="宋体" w:cs="宋体"/>
          <w:color w:val="auto"/>
          <w:sz w:val="24"/>
          <w:szCs w:val="22"/>
          <w:highlight w:val="none"/>
        </w:rPr>
        <w:t>范围以内的日常巡逻、执法及应急保障。</w:t>
      </w:r>
      <w:r>
        <w:rPr>
          <w:rFonts w:hint="eastAsia" w:ascii="宋体" w:hAnsi="宋体" w:cs="宋体"/>
          <w:b/>
          <w:bCs/>
          <w:color w:val="auto"/>
          <w:sz w:val="24"/>
          <w:szCs w:val="22"/>
          <w:highlight w:val="none"/>
          <w:lang w:eastAsia="zh-CN"/>
        </w:rPr>
        <w:t>租赁车辆使用区域只限于余杭区</w:t>
      </w:r>
      <w:r>
        <w:rPr>
          <w:rFonts w:hint="eastAsia" w:ascii="宋体" w:hAnsi="宋体" w:cs="宋体"/>
          <w:b/>
          <w:bCs/>
          <w:color w:val="auto"/>
          <w:sz w:val="24"/>
          <w:szCs w:val="22"/>
          <w:highlight w:val="none"/>
          <w:lang w:val="en-US" w:eastAsia="zh-CN"/>
        </w:rPr>
        <w:t>五常街道</w:t>
      </w:r>
      <w:r>
        <w:rPr>
          <w:rFonts w:hint="eastAsia" w:ascii="宋体" w:hAnsi="宋体" w:cs="宋体"/>
          <w:b/>
          <w:bCs/>
          <w:color w:val="auto"/>
          <w:sz w:val="24"/>
          <w:szCs w:val="22"/>
          <w:highlight w:val="none"/>
          <w:lang w:eastAsia="zh-CN"/>
        </w:rPr>
        <w:t>范围以内，每辆车年均行驶约</w:t>
      </w:r>
      <w:r>
        <w:rPr>
          <w:rFonts w:hint="eastAsia" w:ascii="宋体" w:hAnsi="宋体" w:cs="宋体"/>
          <w:b/>
          <w:bCs/>
          <w:color w:val="auto"/>
          <w:sz w:val="24"/>
          <w:szCs w:val="22"/>
          <w:highlight w:val="none"/>
          <w:lang w:val="en-US" w:eastAsia="zh-CN"/>
        </w:rPr>
        <w:t>2.5万公里</w:t>
      </w:r>
      <w:r>
        <w:rPr>
          <w:rFonts w:hint="eastAsia" w:ascii="宋体" w:hAnsi="宋体" w:cs="宋体"/>
          <w:color w:val="auto"/>
          <w:sz w:val="24"/>
          <w:szCs w:val="22"/>
          <w:highlight w:val="none"/>
        </w:rPr>
        <w:t>。</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cs="宋体"/>
          <w:b/>
          <w:bCs/>
          <w:color w:val="auto"/>
          <w:sz w:val="24"/>
          <w:highlight w:val="none"/>
          <w:lang w:eastAsia="zh-CN"/>
        </w:rPr>
        <w:t>二</w:t>
      </w:r>
      <w:r>
        <w:rPr>
          <w:rFonts w:hint="eastAsia" w:ascii="宋体" w:hAnsi="宋体" w:eastAsia="宋体" w:cs="宋体"/>
          <w:b/>
          <w:bCs/>
          <w:color w:val="auto"/>
          <w:sz w:val="24"/>
          <w:highlight w:val="none"/>
        </w:rPr>
        <w:t>、服务总体内容及要求</w:t>
      </w:r>
    </w:p>
    <w:p>
      <w:pPr>
        <w:spacing w:line="360" w:lineRule="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（一）车辆基本要求</w:t>
      </w:r>
    </w:p>
    <w:tbl>
      <w:tblPr>
        <w:tblStyle w:val="73"/>
        <w:tblW w:w="94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1011"/>
        <w:gridCol w:w="7003"/>
        <w:gridCol w:w="463"/>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87" w:type="dxa"/>
            <w:vAlign w:val="center"/>
          </w:tcPr>
          <w:p>
            <w:pPr>
              <w:widowControl/>
              <w:jc w:val="center"/>
              <w:textAlignment w:val="center"/>
              <w:rPr>
                <w:rFonts w:hint="eastAsia" w:ascii="黑体" w:hAnsi="黑体" w:eastAsia="黑体" w:cs="黑体"/>
                <w:b w:val="0"/>
                <w:bCs w:val="0"/>
                <w:color w:val="auto"/>
                <w:sz w:val="24"/>
                <w:szCs w:val="24"/>
                <w:highlight w:val="none"/>
              </w:rPr>
            </w:pPr>
            <w:r>
              <w:rPr>
                <w:rFonts w:hint="eastAsia" w:ascii="黑体" w:hAnsi="黑体" w:eastAsia="黑体" w:cs="黑体"/>
                <w:b w:val="0"/>
                <w:bCs w:val="0"/>
                <w:color w:val="auto"/>
                <w:kern w:val="0"/>
                <w:sz w:val="24"/>
                <w:szCs w:val="24"/>
                <w:highlight w:val="none"/>
              </w:rPr>
              <w:t>序号</w:t>
            </w:r>
          </w:p>
        </w:tc>
        <w:tc>
          <w:tcPr>
            <w:tcW w:w="1011" w:type="dxa"/>
            <w:vAlign w:val="center"/>
          </w:tcPr>
          <w:p>
            <w:pPr>
              <w:widowControl/>
              <w:jc w:val="center"/>
              <w:textAlignment w:val="center"/>
              <w:rPr>
                <w:rFonts w:hint="eastAsia" w:ascii="黑体" w:hAnsi="黑体" w:eastAsia="黑体" w:cs="黑体"/>
                <w:b w:val="0"/>
                <w:bCs w:val="0"/>
                <w:color w:val="auto"/>
                <w:kern w:val="0"/>
                <w:sz w:val="24"/>
                <w:szCs w:val="24"/>
                <w:highlight w:val="none"/>
              </w:rPr>
            </w:pPr>
            <w:r>
              <w:rPr>
                <w:rFonts w:hint="eastAsia" w:ascii="黑体" w:hAnsi="黑体" w:eastAsia="黑体" w:cs="黑体"/>
                <w:b w:val="0"/>
                <w:bCs w:val="0"/>
                <w:color w:val="auto"/>
                <w:kern w:val="0"/>
                <w:sz w:val="24"/>
                <w:szCs w:val="24"/>
                <w:highlight w:val="none"/>
              </w:rPr>
              <w:t>标的</w:t>
            </w:r>
          </w:p>
          <w:p>
            <w:pPr>
              <w:widowControl/>
              <w:jc w:val="center"/>
              <w:textAlignment w:val="center"/>
              <w:rPr>
                <w:rFonts w:hint="eastAsia" w:ascii="黑体" w:hAnsi="黑体" w:eastAsia="黑体" w:cs="黑体"/>
                <w:b w:val="0"/>
                <w:bCs w:val="0"/>
                <w:color w:val="auto"/>
                <w:sz w:val="24"/>
                <w:szCs w:val="24"/>
                <w:highlight w:val="none"/>
              </w:rPr>
            </w:pPr>
            <w:r>
              <w:rPr>
                <w:rFonts w:hint="eastAsia" w:ascii="黑体" w:hAnsi="黑体" w:eastAsia="黑体" w:cs="黑体"/>
                <w:b w:val="0"/>
                <w:bCs w:val="0"/>
                <w:color w:val="auto"/>
                <w:kern w:val="0"/>
                <w:sz w:val="24"/>
                <w:szCs w:val="24"/>
                <w:highlight w:val="none"/>
              </w:rPr>
              <w:t>名称</w:t>
            </w:r>
          </w:p>
        </w:tc>
        <w:tc>
          <w:tcPr>
            <w:tcW w:w="7003" w:type="dxa"/>
            <w:vAlign w:val="center"/>
          </w:tcPr>
          <w:p>
            <w:pPr>
              <w:widowControl/>
              <w:jc w:val="center"/>
              <w:textAlignment w:val="center"/>
              <w:rPr>
                <w:rFonts w:hint="eastAsia" w:ascii="黑体" w:hAnsi="黑体" w:eastAsia="黑体" w:cs="黑体"/>
                <w:b w:val="0"/>
                <w:bCs w:val="0"/>
                <w:color w:val="auto"/>
                <w:sz w:val="24"/>
                <w:szCs w:val="24"/>
                <w:highlight w:val="none"/>
                <w:lang w:eastAsia="zh-CN"/>
              </w:rPr>
            </w:pPr>
            <w:r>
              <w:rPr>
                <w:rFonts w:hint="eastAsia" w:ascii="黑体" w:hAnsi="黑体" w:eastAsia="黑体" w:cs="黑体"/>
                <w:b w:val="0"/>
                <w:bCs w:val="0"/>
                <w:color w:val="auto"/>
                <w:sz w:val="24"/>
                <w:szCs w:val="24"/>
                <w:highlight w:val="none"/>
                <w:lang w:val="en-US" w:eastAsia="zh-CN"/>
              </w:rPr>
              <w:t>技术参数</w:t>
            </w:r>
          </w:p>
        </w:tc>
        <w:tc>
          <w:tcPr>
            <w:tcW w:w="463" w:type="dxa"/>
            <w:vAlign w:val="center"/>
          </w:tcPr>
          <w:p>
            <w:pPr>
              <w:widowControl/>
              <w:jc w:val="center"/>
              <w:textAlignment w:val="center"/>
              <w:rPr>
                <w:rFonts w:hint="eastAsia" w:ascii="黑体" w:hAnsi="黑体" w:eastAsia="黑体" w:cs="黑体"/>
                <w:b w:val="0"/>
                <w:bCs w:val="0"/>
                <w:color w:val="auto"/>
                <w:kern w:val="2"/>
                <w:sz w:val="24"/>
                <w:szCs w:val="24"/>
                <w:highlight w:val="none"/>
                <w:lang w:val="en-US" w:eastAsia="zh-CN" w:bidi="ar-SA"/>
              </w:rPr>
            </w:pPr>
            <w:r>
              <w:rPr>
                <w:rFonts w:hint="eastAsia" w:ascii="黑体" w:hAnsi="黑体" w:eastAsia="黑体" w:cs="黑体"/>
                <w:b w:val="0"/>
                <w:bCs w:val="0"/>
                <w:color w:val="auto"/>
                <w:kern w:val="0"/>
                <w:sz w:val="24"/>
                <w:szCs w:val="24"/>
                <w:highlight w:val="none"/>
              </w:rPr>
              <w:t>数量</w:t>
            </w:r>
          </w:p>
        </w:tc>
        <w:tc>
          <w:tcPr>
            <w:tcW w:w="437" w:type="dxa"/>
            <w:vAlign w:val="center"/>
          </w:tcPr>
          <w:p>
            <w:pPr>
              <w:widowControl/>
              <w:jc w:val="center"/>
              <w:textAlignment w:val="center"/>
              <w:rPr>
                <w:rFonts w:hint="eastAsia" w:ascii="黑体" w:hAnsi="黑体" w:eastAsia="黑体" w:cs="黑体"/>
                <w:b w:val="0"/>
                <w:bCs w:val="0"/>
                <w:color w:val="auto"/>
                <w:kern w:val="2"/>
                <w:sz w:val="24"/>
                <w:szCs w:val="24"/>
                <w:highlight w:val="none"/>
                <w:lang w:val="en-US" w:eastAsia="zh-CN" w:bidi="ar-SA"/>
              </w:rPr>
            </w:pPr>
            <w:r>
              <w:rPr>
                <w:rFonts w:hint="eastAsia" w:ascii="黑体" w:hAnsi="黑体" w:eastAsia="黑体" w:cs="黑体"/>
                <w:b w:val="0"/>
                <w:bCs w:val="0"/>
                <w:color w:val="auto"/>
                <w:kern w:val="0"/>
                <w:sz w:val="24"/>
                <w:szCs w:val="24"/>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7" w:hRule="atLeast"/>
          <w:jc w:val="center"/>
        </w:trPr>
        <w:tc>
          <w:tcPr>
            <w:tcW w:w="487" w:type="dxa"/>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p>
        </w:tc>
        <w:tc>
          <w:tcPr>
            <w:tcW w:w="1011" w:type="dxa"/>
            <w:vAlign w:val="center"/>
          </w:tcPr>
          <w:p>
            <w:pPr>
              <w:widowControl/>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新能源汽车租赁服务</w:t>
            </w:r>
          </w:p>
        </w:tc>
        <w:tc>
          <w:tcPr>
            <w:tcW w:w="7003" w:type="dxa"/>
            <w:vAlign w:val="center"/>
          </w:tcPr>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▲1.1车型：纯电动5座3厢轿车；</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1.2轴距(mm)≥2650；</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●1.3车辆使用期限≤4.5年（按行驶证登记日期开始至投标截止日间计算，投标文件中需提供行驶证复印件或扫描件或新车购置记录或购置承诺）；</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●1.4行驶公里数≤6万公里（按行驶证登记日期开始至投标截止日间计算，需提供里程表图片且拍摄的图片有日期显示或新车购置记录或购置承诺）；</w:t>
            </w:r>
          </w:p>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●1.5工况续航里程≥400km（需提供投标型号车辆官网续航里程截图或说明书等印证材料）；</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1.6车身颜色：白色；</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1.7制动器类型：前制动通风盘式，后制动盘式；</w:t>
            </w:r>
          </w:p>
          <w:p>
            <w:pPr>
              <w:numPr>
                <w:numId w:val="0"/>
              </w:numPr>
              <w:wordWrap/>
              <w:adjustRightInd w:val="0"/>
              <w:spacing w:line="360" w:lineRule="auto"/>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w:t>
            </w:r>
            <w:r>
              <w:rPr>
                <w:rFonts w:hint="eastAsia" w:cs="Times New Roman"/>
                <w:b w:val="0"/>
                <w:bCs w:val="0"/>
                <w:color w:val="auto"/>
                <w:kern w:val="2"/>
                <w:sz w:val="24"/>
                <w:szCs w:val="24"/>
                <w:highlight w:val="none"/>
                <w:lang w:val="en-US" w:eastAsia="zh-CN" w:bidi="ar-SA"/>
              </w:rPr>
              <w:t>1.8</w:t>
            </w:r>
            <w:r>
              <w:rPr>
                <w:rFonts w:hint="eastAsia" w:ascii="Times New Roman" w:hAnsi="Times New Roman" w:eastAsia="宋体" w:cs="Times New Roman"/>
                <w:b w:val="0"/>
                <w:bCs w:val="0"/>
                <w:color w:val="auto"/>
                <w:kern w:val="2"/>
                <w:sz w:val="24"/>
                <w:szCs w:val="24"/>
                <w:highlight w:val="none"/>
                <w:lang w:val="en-US" w:eastAsia="zh-CN" w:bidi="ar-SA"/>
              </w:rPr>
              <w:t>车辆公路运输属性：非营运车辆；</w:t>
            </w:r>
          </w:p>
          <w:p>
            <w:pPr>
              <w:numPr>
                <w:numId w:val="0"/>
              </w:numPr>
              <w:wordWrap/>
              <w:adjustRightInd w:val="0"/>
              <w:spacing w:line="360" w:lineRule="auto"/>
              <w:textAlignment w:val="auto"/>
              <w:rPr>
                <w:rFonts w:hint="eastAsia"/>
                <w:color w:val="auto"/>
                <w:sz w:val="24"/>
                <w:szCs w:val="24"/>
                <w:highlight w:val="none"/>
              </w:rPr>
            </w:pPr>
            <w:r>
              <w:rPr>
                <w:rFonts w:hint="eastAsia" w:cs="Times New Roman"/>
                <w:b w:val="0"/>
                <w:bCs w:val="0"/>
                <w:color w:val="auto"/>
                <w:kern w:val="2"/>
                <w:sz w:val="24"/>
                <w:szCs w:val="24"/>
                <w:highlight w:val="none"/>
                <w:lang w:val="en-US" w:eastAsia="zh-CN" w:bidi="ar-SA"/>
              </w:rPr>
              <w:t>1.9</w:t>
            </w:r>
            <w:r>
              <w:rPr>
                <w:rFonts w:hint="eastAsia"/>
                <w:color w:val="auto"/>
                <w:sz w:val="24"/>
                <w:szCs w:val="24"/>
                <w:highlight w:val="none"/>
              </w:rPr>
              <w:t>车钥匙：2个/每辆</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1.10</w:t>
            </w:r>
            <w:r>
              <w:rPr>
                <w:rFonts w:hint="eastAsia"/>
                <w:color w:val="auto"/>
                <w:sz w:val="24"/>
                <w:szCs w:val="24"/>
                <w:highlight w:val="none"/>
              </w:rPr>
              <w:t>车辆质保：10万公里</w:t>
            </w:r>
            <w:r>
              <w:rPr>
                <w:rFonts w:hint="eastAsia"/>
                <w:color w:val="auto"/>
                <w:sz w:val="24"/>
                <w:szCs w:val="24"/>
                <w:highlight w:val="none"/>
                <w:lang w:val="en-US" w:eastAsia="zh-CN"/>
              </w:rPr>
              <w:t>或6年</w:t>
            </w:r>
          </w:p>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1.11每辆配有安装GPS定位设备</w:t>
            </w:r>
          </w:p>
          <w:p>
            <w:pPr>
              <w:numPr>
                <w:numId w:val="0"/>
              </w:numPr>
              <w:wordWrap/>
              <w:adjustRightInd w:val="0"/>
              <w:spacing w:line="360" w:lineRule="auto"/>
              <w:textAlignment w:val="auto"/>
              <w:rPr>
                <w:rFonts w:hint="default" w:ascii="宋体" w:hAnsi="宋体" w:eastAsia="宋体" w:cs="宋体"/>
                <w:color w:val="auto"/>
                <w:sz w:val="24"/>
                <w:szCs w:val="24"/>
                <w:highlight w:val="none"/>
                <w:lang w:val="en-US" w:eastAsia="zh-CN"/>
              </w:rPr>
            </w:pPr>
            <w:r>
              <w:rPr>
                <w:rFonts w:hint="eastAsia"/>
                <w:color w:val="auto"/>
                <w:sz w:val="24"/>
                <w:szCs w:val="24"/>
                <w:highlight w:val="none"/>
                <w:lang w:val="en-US" w:eastAsia="zh-CN"/>
              </w:rPr>
              <w:t>●1.12喷涂、车贴：均需喷涂“五常街道公务用车、监督电话XXXX”字样，喷涂规格为30cm*15cm。</w:t>
            </w:r>
          </w:p>
        </w:tc>
        <w:tc>
          <w:tcPr>
            <w:tcW w:w="463" w:type="dxa"/>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34</w:t>
            </w:r>
          </w:p>
        </w:tc>
        <w:tc>
          <w:tcPr>
            <w:tcW w:w="437" w:type="dxa"/>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5" w:hRule="atLeast"/>
          <w:jc w:val="center"/>
        </w:trPr>
        <w:tc>
          <w:tcPr>
            <w:tcW w:w="487" w:type="dxa"/>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2</w:t>
            </w:r>
          </w:p>
        </w:tc>
        <w:tc>
          <w:tcPr>
            <w:tcW w:w="1011" w:type="dxa"/>
            <w:vAlign w:val="center"/>
          </w:tcPr>
          <w:p>
            <w:pPr>
              <w:widowControl/>
              <w:jc w:val="left"/>
              <w:textAlignment w:val="center"/>
              <w:rPr>
                <w:rFonts w:hint="eastAsia" w:ascii="宋体" w:hAnsi="宋体" w:eastAsia="宋体" w:cs="宋体"/>
                <w:color w:val="auto"/>
                <w:sz w:val="24"/>
                <w:szCs w:val="24"/>
                <w:highlight w:val="none"/>
                <w:lang w:val="en-US" w:eastAsia="zh-CN"/>
              </w:rPr>
            </w:pPr>
            <w:r>
              <w:rPr>
                <w:rFonts w:hint="eastAsia"/>
                <w:color w:val="auto"/>
                <w:sz w:val="24"/>
                <w:szCs w:val="24"/>
                <w:highlight w:val="none"/>
                <w:lang w:val="en-US" w:eastAsia="zh-CN"/>
              </w:rPr>
              <w:t>自动档皮卡油车</w:t>
            </w:r>
            <w:r>
              <w:rPr>
                <w:rFonts w:hint="eastAsia" w:ascii="宋体" w:hAnsi="宋体" w:eastAsia="宋体" w:cs="宋体"/>
                <w:color w:val="auto"/>
                <w:sz w:val="24"/>
                <w:szCs w:val="24"/>
                <w:highlight w:val="none"/>
                <w:lang w:eastAsia="zh-CN"/>
              </w:rPr>
              <w:t>租赁服务</w:t>
            </w:r>
          </w:p>
        </w:tc>
        <w:tc>
          <w:tcPr>
            <w:tcW w:w="7003" w:type="dxa"/>
            <w:vAlign w:val="center"/>
          </w:tcPr>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▲2.1车型：自动档皮卡油车；</w:t>
            </w:r>
          </w:p>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2.2轴距（mm）≥3085；</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2.3货箱尺寸≥1475*1475*500；</w:t>
            </w:r>
          </w:p>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2.4排量：2.0T；</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●2.5使用年限≤4年（按行驶证登记日期开始至投标截止日间计算，投标文件中需提供行驶证复印件或扫描或新车购置记录或购置承诺）；</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●2.6行驶公里数≤5万公里（按行驶证登记日期开始至投标截止日间计算，需提供里程表图片且拍摄的图片有日期显示或新车购置记录或购置承诺）；</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2.7制动器类型：前制动通风盘式；</w:t>
            </w:r>
          </w:p>
          <w:p>
            <w:pPr>
              <w:numPr>
                <w:numId w:val="0"/>
              </w:numPr>
              <w:wordWrap/>
              <w:adjustRightInd w:val="0"/>
              <w:spacing w:line="360" w:lineRule="auto"/>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w:t>
            </w:r>
            <w:r>
              <w:rPr>
                <w:rFonts w:hint="eastAsia" w:cs="Times New Roman"/>
                <w:b w:val="0"/>
                <w:bCs w:val="0"/>
                <w:color w:val="auto"/>
                <w:kern w:val="2"/>
                <w:sz w:val="24"/>
                <w:szCs w:val="24"/>
                <w:highlight w:val="none"/>
                <w:lang w:val="en-US" w:eastAsia="zh-CN" w:bidi="ar-SA"/>
              </w:rPr>
              <w:t>2.8</w:t>
            </w:r>
            <w:r>
              <w:rPr>
                <w:rFonts w:hint="eastAsia" w:ascii="Times New Roman" w:hAnsi="Times New Roman" w:eastAsia="宋体" w:cs="Times New Roman"/>
                <w:b w:val="0"/>
                <w:bCs w:val="0"/>
                <w:color w:val="auto"/>
                <w:kern w:val="2"/>
                <w:sz w:val="24"/>
                <w:szCs w:val="24"/>
                <w:highlight w:val="none"/>
                <w:lang w:val="en-US" w:eastAsia="zh-CN" w:bidi="ar-SA"/>
              </w:rPr>
              <w:t>车辆公路运输属性：非营运车辆；</w:t>
            </w:r>
          </w:p>
          <w:p>
            <w:pPr>
              <w:numPr>
                <w:numId w:val="0"/>
              </w:numPr>
              <w:wordWrap/>
              <w:adjustRightInd w:val="0"/>
              <w:spacing w:line="360" w:lineRule="auto"/>
              <w:textAlignment w:val="auto"/>
              <w:rPr>
                <w:rFonts w:hint="eastAsia"/>
                <w:color w:val="auto"/>
                <w:sz w:val="24"/>
                <w:szCs w:val="24"/>
                <w:highlight w:val="none"/>
              </w:rPr>
            </w:pPr>
            <w:r>
              <w:rPr>
                <w:rFonts w:hint="eastAsia" w:cs="Times New Roman"/>
                <w:b w:val="0"/>
                <w:bCs w:val="0"/>
                <w:color w:val="auto"/>
                <w:kern w:val="2"/>
                <w:sz w:val="24"/>
                <w:szCs w:val="24"/>
                <w:highlight w:val="none"/>
                <w:lang w:val="en-US" w:eastAsia="zh-CN" w:bidi="ar-SA"/>
              </w:rPr>
              <w:t>2.9</w:t>
            </w:r>
            <w:r>
              <w:rPr>
                <w:rFonts w:hint="eastAsia"/>
                <w:color w:val="auto"/>
                <w:sz w:val="24"/>
                <w:szCs w:val="24"/>
                <w:highlight w:val="none"/>
              </w:rPr>
              <w:t>车钥匙：2个/每辆</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2.10</w:t>
            </w:r>
            <w:r>
              <w:rPr>
                <w:rFonts w:hint="eastAsia"/>
                <w:color w:val="auto"/>
                <w:sz w:val="24"/>
                <w:szCs w:val="24"/>
                <w:highlight w:val="none"/>
              </w:rPr>
              <w:t>车辆质保：10万公里</w:t>
            </w:r>
            <w:r>
              <w:rPr>
                <w:rFonts w:hint="eastAsia"/>
                <w:color w:val="auto"/>
                <w:sz w:val="24"/>
                <w:szCs w:val="24"/>
                <w:highlight w:val="none"/>
                <w:lang w:val="en-US" w:eastAsia="zh-CN"/>
              </w:rPr>
              <w:t>或6年</w:t>
            </w:r>
          </w:p>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2.11每辆配有安装GPS定位设备</w:t>
            </w:r>
          </w:p>
          <w:p>
            <w:pPr>
              <w:numPr>
                <w:numId w:val="0"/>
              </w:numPr>
              <w:wordWrap/>
              <w:adjustRightInd w:val="0"/>
              <w:spacing w:line="360" w:lineRule="auto"/>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color w:val="auto"/>
                <w:sz w:val="24"/>
                <w:szCs w:val="24"/>
                <w:highlight w:val="none"/>
                <w:lang w:val="en-US" w:eastAsia="zh-CN"/>
              </w:rPr>
              <w:t>●2.12喷涂、车贴：均需喷涂“五常街道公务用车、监督电话XXXX”字样，喷涂规格为30cm*15cm。</w:t>
            </w:r>
          </w:p>
        </w:tc>
        <w:tc>
          <w:tcPr>
            <w:tcW w:w="463" w:type="dxa"/>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p>
        </w:tc>
        <w:tc>
          <w:tcPr>
            <w:tcW w:w="437" w:type="dxa"/>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87" w:type="dxa"/>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3</w:t>
            </w:r>
          </w:p>
        </w:tc>
        <w:tc>
          <w:tcPr>
            <w:tcW w:w="1011" w:type="dxa"/>
            <w:vAlign w:val="center"/>
          </w:tcPr>
          <w:p>
            <w:pPr>
              <w:widowControl/>
              <w:jc w:val="left"/>
              <w:textAlignment w:val="center"/>
              <w:rPr>
                <w:rFonts w:hint="default" w:ascii="宋体" w:hAnsi="宋体" w:eastAsia="宋体" w:cs="宋体"/>
                <w:color w:val="auto"/>
                <w:sz w:val="24"/>
                <w:szCs w:val="24"/>
                <w:highlight w:val="none"/>
                <w:lang w:val="en-US" w:eastAsia="zh-CN"/>
              </w:rPr>
            </w:pPr>
            <w:r>
              <w:rPr>
                <w:rFonts w:hint="eastAsia"/>
                <w:color w:val="auto"/>
                <w:sz w:val="24"/>
                <w:szCs w:val="24"/>
                <w:highlight w:val="none"/>
                <w:lang w:val="en-US" w:eastAsia="zh-CN"/>
              </w:rPr>
              <w:t>五座三厢自动挡轿车油车</w:t>
            </w:r>
            <w:r>
              <w:rPr>
                <w:rFonts w:hint="eastAsia" w:ascii="宋体" w:hAnsi="宋体" w:eastAsia="宋体" w:cs="宋体"/>
                <w:color w:val="auto"/>
                <w:sz w:val="24"/>
                <w:szCs w:val="24"/>
                <w:highlight w:val="none"/>
                <w:lang w:eastAsia="zh-CN"/>
              </w:rPr>
              <w:t>租赁服务</w:t>
            </w:r>
          </w:p>
        </w:tc>
        <w:tc>
          <w:tcPr>
            <w:tcW w:w="7003" w:type="dxa"/>
            <w:vAlign w:val="center"/>
          </w:tcPr>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▲3.1车型：五座三厢自动挡轿车；</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3.2轴距(mm)≥2830；</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3.3制动器类型：前制动通风盘式；</w:t>
            </w:r>
          </w:p>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3.4车辆级别：中型车；</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●3.5车辆使用期限≤4年（按行驶证登记日期开始至投标截止日间计算，投标文件中需提供行驶证复印件或扫描或新车购置记录或购置承诺）；</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●3.6行驶公里数≤5万公里（按行驶证登记日期开始至投标截止日间计算，需提供里程表图片且拍摄的图片有日期显示或新车购置记录或购置承诺）；</w:t>
            </w:r>
          </w:p>
          <w:p>
            <w:pPr>
              <w:numPr>
                <w:numId w:val="0"/>
              </w:numPr>
              <w:wordWrap/>
              <w:adjustRightInd w:val="0"/>
              <w:spacing w:line="360" w:lineRule="auto"/>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w:t>
            </w:r>
            <w:r>
              <w:rPr>
                <w:rFonts w:hint="eastAsia" w:cs="Times New Roman"/>
                <w:b w:val="0"/>
                <w:bCs w:val="0"/>
                <w:color w:val="auto"/>
                <w:kern w:val="2"/>
                <w:sz w:val="24"/>
                <w:szCs w:val="24"/>
                <w:highlight w:val="none"/>
                <w:lang w:val="en-US" w:eastAsia="zh-CN" w:bidi="ar-SA"/>
              </w:rPr>
              <w:t>3.7</w:t>
            </w:r>
            <w:r>
              <w:rPr>
                <w:rFonts w:hint="eastAsia" w:ascii="Times New Roman" w:hAnsi="Times New Roman" w:eastAsia="宋体" w:cs="Times New Roman"/>
                <w:b w:val="0"/>
                <w:bCs w:val="0"/>
                <w:color w:val="auto"/>
                <w:kern w:val="2"/>
                <w:sz w:val="24"/>
                <w:szCs w:val="24"/>
                <w:highlight w:val="none"/>
                <w:lang w:val="en-US" w:eastAsia="zh-CN" w:bidi="ar-SA"/>
              </w:rPr>
              <w:t>车辆公路运输属性：非营运车辆；</w:t>
            </w:r>
          </w:p>
          <w:p>
            <w:pPr>
              <w:numPr>
                <w:numId w:val="0"/>
              </w:numPr>
              <w:wordWrap/>
              <w:adjustRightInd w:val="0"/>
              <w:spacing w:line="360" w:lineRule="auto"/>
              <w:textAlignment w:val="auto"/>
              <w:rPr>
                <w:rFonts w:hint="eastAsia"/>
                <w:color w:val="auto"/>
                <w:sz w:val="24"/>
                <w:szCs w:val="24"/>
                <w:highlight w:val="none"/>
              </w:rPr>
            </w:pPr>
            <w:r>
              <w:rPr>
                <w:rFonts w:hint="eastAsia" w:cs="Times New Roman"/>
                <w:b w:val="0"/>
                <w:bCs w:val="0"/>
                <w:color w:val="auto"/>
                <w:kern w:val="2"/>
                <w:sz w:val="24"/>
                <w:szCs w:val="24"/>
                <w:highlight w:val="none"/>
                <w:lang w:val="en-US" w:eastAsia="zh-CN" w:bidi="ar-SA"/>
              </w:rPr>
              <w:t>3.8</w:t>
            </w:r>
            <w:r>
              <w:rPr>
                <w:rFonts w:hint="eastAsia"/>
                <w:color w:val="auto"/>
                <w:sz w:val="24"/>
                <w:szCs w:val="24"/>
                <w:highlight w:val="none"/>
              </w:rPr>
              <w:t>车钥匙：2个/每辆</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3.9</w:t>
            </w:r>
            <w:r>
              <w:rPr>
                <w:rFonts w:hint="eastAsia"/>
                <w:color w:val="auto"/>
                <w:sz w:val="24"/>
                <w:szCs w:val="24"/>
                <w:highlight w:val="none"/>
              </w:rPr>
              <w:t>车辆质保：10万公里</w:t>
            </w:r>
            <w:r>
              <w:rPr>
                <w:rFonts w:hint="eastAsia"/>
                <w:color w:val="auto"/>
                <w:sz w:val="24"/>
                <w:szCs w:val="24"/>
                <w:highlight w:val="none"/>
                <w:lang w:val="en-US" w:eastAsia="zh-CN"/>
              </w:rPr>
              <w:t>或6年</w:t>
            </w:r>
          </w:p>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3.10每辆配有安装GPS定位设备</w:t>
            </w:r>
          </w:p>
          <w:p>
            <w:pPr>
              <w:numPr>
                <w:numId w:val="0"/>
              </w:numPr>
              <w:wordWrap/>
              <w:adjustRightInd w:val="0"/>
              <w:spacing w:line="360" w:lineRule="auto"/>
              <w:textAlignment w:val="auto"/>
              <w:rPr>
                <w:rFonts w:hint="eastAsia" w:ascii="宋体" w:hAnsi="宋体" w:eastAsia="宋体" w:cs="宋体"/>
                <w:color w:val="auto"/>
                <w:sz w:val="24"/>
                <w:szCs w:val="24"/>
                <w:highlight w:val="none"/>
                <w:lang w:val="en-US" w:eastAsia="zh-CN"/>
              </w:rPr>
            </w:pPr>
            <w:r>
              <w:rPr>
                <w:rFonts w:hint="eastAsia"/>
                <w:color w:val="auto"/>
                <w:sz w:val="24"/>
                <w:szCs w:val="24"/>
                <w:highlight w:val="none"/>
                <w:lang w:val="en-US" w:eastAsia="zh-CN"/>
              </w:rPr>
              <w:t>●3.11喷涂、车贴：均需喷涂“五常街道公务用车、监督电话XXXX”字样，喷涂规格为30cm*15cm。</w:t>
            </w:r>
          </w:p>
        </w:tc>
        <w:tc>
          <w:tcPr>
            <w:tcW w:w="463" w:type="dxa"/>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w:t>
            </w:r>
          </w:p>
        </w:tc>
        <w:tc>
          <w:tcPr>
            <w:tcW w:w="437" w:type="dxa"/>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6" w:hRule="atLeast"/>
          <w:jc w:val="center"/>
        </w:trPr>
        <w:tc>
          <w:tcPr>
            <w:tcW w:w="487" w:type="dxa"/>
            <w:vAlign w:val="center"/>
          </w:tcPr>
          <w:p>
            <w:pPr>
              <w:widowControl/>
              <w:jc w:val="center"/>
              <w:textAlignment w:val="center"/>
              <w:rPr>
                <w:rFonts w:hint="default" w:ascii="宋体" w:hAnsi="宋体" w:eastAsia="宋体" w:cs="宋体"/>
                <w:color w:val="auto"/>
                <w:kern w:val="0"/>
                <w:sz w:val="24"/>
                <w:szCs w:val="24"/>
                <w:highlight w:val="none"/>
                <w:lang w:val="en-US" w:eastAsia="zh-CN"/>
              </w:rPr>
            </w:pPr>
            <w:r>
              <w:rPr>
                <w:rFonts w:hint="eastAsia" w:ascii="宋体" w:hAnsi="宋体" w:cs="宋体"/>
                <w:color w:val="auto"/>
                <w:kern w:val="0"/>
                <w:sz w:val="24"/>
                <w:szCs w:val="24"/>
                <w:highlight w:val="none"/>
                <w:lang w:val="en-US" w:eastAsia="zh-CN"/>
              </w:rPr>
              <w:t>4</w:t>
            </w:r>
          </w:p>
        </w:tc>
        <w:tc>
          <w:tcPr>
            <w:tcW w:w="1011" w:type="dxa"/>
            <w:vAlign w:val="center"/>
          </w:tcPr>
          <w:p>
            <w:pPr>
              <w:widowControl/>
              <w:jc w:val="left"/>
              <w:textAlignment w:val="center"/>
              <w:rPr>
                <w:rFonts w:hint="eastAsia" w:ascii="宋体" w:hAnsi="宋体" w:eastAsia="宋体" w:cs="宋体"/>
                <w:color w:val="auto"/>
                <w:sz w:val="24"/>
                <w:szCs w:val="24"/>
                <w:highlight w:val="none"/>
                <w:lang w:val="en-US" w:eastAsia="zh-CN"/>
              </w:rPr>
            </w:pPr>
            <w:r>
              <w:rPr>
                <w:rFonts w:hint="eastAsia"/>
                <w:color w:val="auto"/>
                <w:sz w:val="24"/>
                <w:szCs w:val="24"/>
                <w:highlight w:val="none"/>
                <w:lang w:val="en-US" w:eastAsia="zh-CN"/>
              </w:rPr>
              <w:t>五门七座自动档商务油车</w:t>
            </w:r>
            <w:r>
              <w:rPr>
                <w:rFonts w:hint="eastAsia" w:ascii="宋体" w:hAnsi="宋体" w:eastAsia="宋体" w:cs="宋体"/>
                <w:color w:val="auto"/>
                <w:sz w:val="24"/>
                <w:szCs w:val="24"/>
                <w:highlight w:val="none"/>
                <w:lang w:eastAsia="zh-CN"/>
              </w:rPr>
              <w:t>租赁服务</w:t>
            </w:r>
          </w:p>
        </w:tc>
        <w:tc>
          <w:tcPr>
            <w:tcW w:w="7003" w:type="dxa"/>
            <w:vAlign w:val="center"/>
          </w:tcPr>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▲4.1 车型：五门七座自动档商务车</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4.2轴距(mm)≥2810；</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4.3制动器类型：前制动通风盘式；</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●4.4车辆使用期限≤4年（按行驶证登记日期开始至投标截止日间计算，投标文件中需提供行驶证复印件或扫描或新车购置记录或购置承诺）；</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●4.5公里数≤5万公里（按行驶证登记日期开始至投标截止日间计算，需提供里程表图片且拍摄的图片有日期显示或新车购置记录或购置承诺）；</w:t>
            </w:r>
          </w:p>
          <w:p>
            <w:pPr>
              <w:numPr>
                <w:numId w:val="0"/>
              </w:numPr>
              <w:wordWrap/>
              <w:adjustRightInd w:val="0"/>
              <w:spacing w:line="360" w:lineRule="auto"/>
              <w:textAlignment w:val="auto"/>
              <w:rPr>
                <w:rFonts w:hint="eastAsia"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●4.6车辆公路运输属性：非营运车辆；</w:t>
            </w:r>
          </w:p>
          <w:p>
            <w:pPr>
              <w:numPr>
                <w:numId w:val="0"/>
              </w:numPr>
              <w:wordWrap/>
              <w:adjustRightInd w:val="0"/>
              <w:spacing w:line="360" w:lineRule="auto"/>
              <w:textAlignment w:val="auto"/>
              <w:rPr>
                <w:rFonts w:hint="eastAsia"/>
                <w:color w:val="auto"/>
                <w:sz w:val="24"/>
                <w:szCs w:val="24"/>
                <w:highlight w:val="none"/>
              </w:rPr>
            </w:pPr>
            <w:r>
              <w:rPr>
                <w:rFonts w:hint="eastAsia" w:cs="Times New Roman"/>
                <w:b w:val="0"/>
                <w:bCs w:val="0"/>
                <w:color w:val="auto"/>
                <w:kern w:val="2"/>
                <w:sz w:val="24"/>
                <w:szCs w:val="24"/>
                <w:highlight w:val="none"/>
                <w:lang w:val="en-US" w:eastAsia="zh-CN" w:bidi="ar-SA"/>
              </w:rPr>
              <w:t>4.7</w:t>
            </w:r>
            <w:r>
              <w:rPr>
                <w:rFonts w:hint="eastAsia"/>
                <w:color w:val="auto"/>
                <w:sz w:val="24"/>
                <w:szCs w:val="24"/>
                <w:highlight w:val="none"/>
              </w:rPr>
              <w:t>车钥匙：2个/每辆</w:t>
            </w:r>
          </w:p>
          <w:p>
            <w:pPr>
              <w:numPr>
                <w:numId w:val="0"/>
              </w:numPr>
              <w:wordWrap/>
              <w:adjustRightInd w:val="0"/>
              <w:spacing w:line="360" w:lineRule="auto"/>
              <w:textAlignment w:val="auto"/>
              <w:rPr>
                <w:rFonts w:hint="eastAsia"/>
                <w:color w:val="auto"/>
                <w:sz w:val="24"/>
                <w:szCs w:val="24"/>
                <w:highlight w:val="none"/>
                <w:lang w:val="en-US" w:eastAsia="zh-CN"/>
              </w:rPr>
            </w:pPr>
            <w:r>
              <w:rPr>
                <w:rFonts w:hint="eastAsia"/>
                <w:color w:val="auto"/>
                <w:sz w:val="24"/>
                <w:szCs w:val="24"/>
                <w:highlight w:val="none"/>
                <w:lang w:val="en-US" w:eastAsia="zh-CN"/>
              </w:rPr>
              <w:t>4.8</w:t>
            </w:r>
            <w:r>
              <w:rPr>
                <w:rFonts w:hint="eastAsia"/>
                <w:color w:val="auto"/>
                <w:sz w:val="24"/>
                <w:szCs w:val="24"/>
                <w:highlight w:val="none"/>
              </w:rPr>
              <w:t>车辆质保：10万公里</w:t>
            </w:r>
            <w:r>
              <w:rPr>
                <w:rFonts w:hint="eastAsia"/>
                <w:color w:val="auto"/>
                <w:sz w:val="24"/>
                <w:szCs w:val="24"/>
                <w:highlight w:val="none"/>
                <w:lang w:val="en-US" w:eastAsia="zh-CN"/>
              </w:rPr>
              <w:t>或6年</w:t>
            </w:r>
          </w:p>
          <w:p>
            <w:pPr>
              <w:numPr>
                <w:numId w:val="0"/>
              </w:numPr>
              <w:wordWrap/>
              <w:adjustRightInd w:val="0"/>
              <w:spacing w:line="360" w:lineRule="auto"/>
              <w:textAlignment w:val="auto"/>
              <w:rPr>
                <w:rFonts w:hint="default"/>
                <w:color w:val="auto"/>
                <w:sz w:val="24"/>
                <w:szCs w:val="24"/>
                <w:highlight w:val="none"/>
                <w:lang w:val="en-US" w:eastAsia="zh-CN"/>
              </w:rPr>
            </w:pPr>
            <w:r>
              <w:rPr>
                <w:rFonts w:hint="eastAsia"/>
                <w:color w:val="auto"/>
                <w:sz w:val="24"/>
                <w:szCs w:val="24"/>
                <w:highlight w:val="none"/>
                <w:lang w:val="en-US" w:eastAsia="zh-CN"/>
              </w:rPr>
              <w:t>4.9每辆配有安装GPS定位设备</w:t>
            </w:r>
          </w:p>
          <w:p>
            <w:pPr>
              <w:numPr>
                <w:numId w:val="0"/>
              </w:numPr>
              <w:wordWrap/>
              <w:adjustRightInd w:val="0"/>
              <w:spacing w:line="360" w:lineRule="auto"/>
              <w:textAlignment w:val="auto"/>
              <w:rPr>
                <w:rFonts w:hint="eastAsia"/>
                <w:color w:val="auto"/>
                <w:highlight w:val="none"/>
                <w:lang w:val="en-US" w:eastAsia="zh-CN"/>
              </w:rPr>
            </w:pPr>
            <w:r>
              <w:rPr>
                <w:rFonts w:hint="eastAsia"/>
                <w:color w:val="auto"/>
                <w:sz w:val="24"/>
                <w:szCs w:val="24"/>
                <w:highlight w:val="none"/>
                <w:lang w:val="en-US" w:eastAsia="zh-CN"/>
              </w:rPr>
              <w:t>●4.10喷涂、车贴：均需喷涂“五常街道公务用车、监督电话XXXX”字样，喷涂规格为30cm*15cm。</w:t>
            </w:r>
          </w:p>
        </w:tc>
        <w:tc>
          <w:tcPr>
            <w:tcW w:w="463" w:type="dxa"/>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p>
        </w:tc>
        <w:tc>
          <w:tcPr>
            <w:tcW w:w="437" w:type="dxa"/>
            <w:vAlign w:val="center"/>
          </w:tcPr>
          <w:p>
            <w:pPr>
              <w:widowControl/>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辆</w:t>
            </w:r>
          </w:p>
        </w:tc>
      </w:tr>
    </w:tbl>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cs="宋体"/>
          <w:color w:val="auto"/>
          <w:kern w:val="0"/>
          <w:sz w:val="24"/>
          <w:highlight w:val="none"/>
          <w:lang w:val="zh-CN"/>
        </w:rPr>
        <w:t>注：本招标服务内容中的服务车型作为最低标准，中标供应商可选择优于本项目技术要求的车型车辆。</w:t>
      </w:r>
    </w:p>
    <w:p>
      <w:pPr>
        <w:spacing w:line="360" w:lineRule="auto"/>
        <w:jc w:val="left"/>
        <w:rPr>
          <w:rFonts w:hint="eastAsia" w:ascii="宋体" w:hAnsi="宋体" w:cs="宋体"/>
          <w:color w:val="auto"/>
          <w:kern w:val="0"/>
          <w:sz w:val="24"/>
          <w:highlight w:val="none"/>
          <w:lang w:val="zh-CN"/>
        </w:rPr>
        <w:sectPr>
          <w:pgSz w:w="11907" w:h="16840"/>
          <w:pgMar w:top="1474" w:right="1556" w:bottom="1211" w:left="1414" w:header="851" w:footer="851" w:gutter="0"/>
          <w:cols w:space="720" w:num="1"/>
        </w:sectPr>
      </w:pPr>
    </w:p>
    <w:p>
      <w:pPr>
        <w:spacing w:line="360" w:lineRule="auto"/>
        <w:jc w:val="both"/>
        <w:rPr>
          <w:rFonts w:hint="eastAsia" w:ascii="宋体" w:hAnsi="宋体" w:cs="宋体"/>
          <w:b/>
          <w:bCs/>
          <w:color w:val="auto"/>
          <w:sz w:val="24"/>
          <w:highlight w:val="none"/>
          <w:lang w:val="en-US" w:eastAsia="zh-CN"/>
        </w:rPr>
      </w:pPr>
      <w:r>
        <w:rPr>
          <w:rFonts w:hint="eastAsia" w:ascii="仿宋" w:hAnsi="仿宋" w:eastAsia="仿宋" w:cs="华文仿宋"/>
          <w:b/>
          <w:color w:val="auto"/>
          <w:szCs w:val="21"/>
          <w:highlight w:val="none"/>
          <w:lang w:val="en-US" w:eastAsia="zh-CN"/>
        </w:rPr>
        <w:t xml:space="preserve"> </w:t>
      </w:r>
      <w:r>
        <w:rPr>
          <w:rFonts w:hint="eastAsia" w:ascii="宋体" w:hAnsi="宋体" w:cs="宋体"/>
          <w:b/>
          <w:bCs/>
          <w:color w:val="auto"/>
          <w:sz w:val="24"/>
          <w:highlight w:val="none"/>
          <w:lang w:val="en-US" w:eastAsia="zh-CN"/>
        </w:rPr>
        <w:t>（二）服务要求</w:t>
      </w:r>
    </w:p>
    <w:p>
      <w:pPr>
        <w:numPr>
          <w:numId w:val="0"/>
        </w:numPr>
        <w:wordWrap/>
        <w:adjustRightInd w:val="0"/>
        <w:snapToGrid w:val="0"/>
        <w:spacing w:line="360" w:lineRule="auto"/>
        <w:ind w:leftChars="200" w:right="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1、</w:t>
      </w:r>
      <w:r>
        <w:rPr>
          <w:rFonts w:hint="eastAsia" w:ascii="宋体" w:hAnsi="宋体" w:eastAsia="宋体" w:cs="宋体"/>
          <w:snapToGrid w:val="0"/>
          <w:color w:val="auto"/>
          <w:kern w:val="0"/>
          <w:sz w:val="24"/>
          <w:szCs w:val="24"/>
          <w:highlight w:val="none"/>
          <w:lang w:val="en-US" w:eastAsia="zh-CN"/>
        </w:rPr>
        <w:t>租期期限：</w:t>
      </w:r>
      <w:r>
        <w:rPr>
          <w:rFonts w:hint="eastAsia" w:ascii="宋体" w:hAnsi="宋体" w:cs="宋体"/>
          <w:snapToGrid w:val="0"/>
          <w:color w:val="auto"/>
          <w:kern w:val="0"/>
          <w:sz w:val="24"/>
          <w:szCs w:val="24"/>
          <w:highlight w:val="none"/>
          <w:lang w:val="en-US" w:eastAsia="zh-CN"/>
        </w:rPr>
        <w:t>2</w:t>
      </w:r>
      <w:r>
        <w:rPr>
          <w:rFonts w:hint="eastAsia" w:ascii="宋体" w:hAnsi="宋体" w:eastAsia="宋体" w:cs="宋体"/>
          <w:snapToGrid w:val="0"/>
          <w:color w:val="auto"/>
          <w:kern w:val="0"/>
          <w:sz w:val="24"/>
          <w:szCs w:val="24"/>
          <w:highlight w:val="none"/>
          <w:lang w:val="en-US" w:eastAsia="zh-CN"/>
        </w:rPr>
        <w:t>年</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租赁期限内若发生政策变化，采购人有权终止租赁合</w:t>
      </w:r>
    </w:p>
    <w:p>
      <w:pPr>
        <w:numPr>
          <w:numId w:val="0"/>
        </w:numPr>
        <w:wordWrap/>
        <w:adjustRightInd w:val="0"/>
        <w:snapToGrid w:val="0"/>
        <w:spacing w:line="360" w:lineRule="auto"/>
        <w:ind w:right="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同，租赁费结算至合同终止之日。</w:t>
      </w:r>
    </w:p>
    <w:p>
      <w:pPr>
        <w:numPr>
          <w:numId w:val="0"/>
        </w:numPr>
        <w:wordWrap/>
        <w:adjustRightInd w:val="0"/>
        <w:snapToGrid w:val="0"/>
        <w:spacing w:line="360" w:lineRule="auto"/>
        <w:ind w:right="0" w:firstLine="480" w:firstLineChars="200"/>
        <w:jc w:val="lef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2、每年每车辆保险包含交强险、第三者责任险不低于150万元、车损险、车上人员险、不计免赔险、道路救援等附加险。费用全部包含在投标报价中，不另行支付。</w:t>
      </w:r>
    </w:p>
    <w:p>
      <w:pPr>
        <w:numPr>
          <w:numId w:val="0"/>
        </w:numPr>
        <w:wordWrap/>
        <w:adjustRightInd w:val="0"/>
        <w:snapToGrid w:val="0"/>
        <w:spacing w:line="360" w:lineRule="auto"/>
        <w:ind w:left="0" w:leftChars="0" w:right="0" w:firstLine="480" w:firstLineChars="200"/>
        <w:jc w:val="left"/>
        <w:textAlignment w:val="auto"/>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rPr>
        <w:t>3、车辆数字化管理要求：出租方提供的所有出租车辆必须须符合国家标准和行业标准，出租方需配备数字化管理平台，功能包括：</w:t>
      </w:r>
      <w:r>
        <w:rPr>
          <w:rFonts w:hint="default" w:ascii="宋体" w:hAnsi="宋体" w:eastAsia="宋体" w:cs="宋体"/>
          <w:color w:val="auto"/>
          <w:sz w:val="24"/>
          <w:szCs w:val="24"/>
          <w:highlight w:val="none"/>
          <w:lang w:val="en-US" w:eastAsia="zh-CN"/>
        </w:rPr>
        <w:t>车辆GPS定位功能，并建有车辆离线围栏（车辆超出使用区域范围报警系统）</w:t>
      </w:r>
      <w:r>
        <w:rPr>
          <w:rFonts w:hint="eastAsia" w:ascii="宋体" w:hAnsi="宋体" w:cs="宋体"/>
          <w:color w:val="auto"/>
          <w:sz w:val="24"/>
          <w:szCs w:val="24"/>
          <w:highlight w:val="none"/>
          <w:lang w:val="en-US" w:eastAsia="zh-CN"/>
        </w:rPr>
        <w:t>功能、</w:t>
      </w:r>
      <w:r>
        <w:rPr>
          <w:rFonts w:hint="default" w:ascii="宋体" w:hAnsi="宋体" w:eastAsia="宋体" w:cs="宋体"/>
          <w:color w:val="auto"/>
          <w:sz w:val="24"/>
          <w:szCs w:val="24"/>
          <w:highlight w:val="none"/>
          <w:lang w:val="en-US" w:eastAsia="zh-CN"/>
        </w:rPr>
        <w:t>用车预约报备功能</w:t>
      </w:r>
      <w:r>
        <w:rPr>
          <w:rFonts w:hint="eastAsia" w:ascii="宋体" w:hAnsi="宋体" w:cs="宋体"/>
          <w:color w:val="auto"/>
          <w:sz w:val="24"/>
          <w:szCs w:val="24"/>
          <w:highlight w:val="none"/>
          <w:lang w:val="en-US" w:eastAsia="zh-CN"/>
        </w:rPr>
        <w:t>、</w:t>
      </w:r>
      <w:r>
        <w:rPr>
          <w:rFonts w:hint="default" w:ascii="宋体" w:hAnsi="宋体" w:eastAsia="宋体" w:cs="宋体"/>
          <w:color w:val="auto"/>
          <w:sz w:val="24"/>
          <w:szCs w:val="24"/>
          <w:highlight w:val="none"/>
          <w:lang w:val="en-US" w:eastAsia="zh-CN"/>
        </w:rPr>
        <w:t>充电时间</w:t>
      </w:r>
      <w:r>
        <w:rPr>
          <w:rFonts w:hint="eastAsia" w:ascii="宋体" w:hAnsi="宋体" w:cs="宋体"/>
          <w:color w:val="auto"/>
          <w:sz w:val="24"/>
          <w:szCs w:val="24"/>
          <w:highlight w:val="none"/>
          <w:lang w:val="en-US" w:eastAsia="zh-CN"/>
        </w:rPr>
        <w:t>及</w:t>
      </w:r>
      <w:r>
        <w:rPr>
          <w:rFonts w:hint="default" w:ascii="宋体" w:hAnsi="宋体" w:eastAsia="宋体" w:cs="宋体"/>
          <w:color w:val="auto"/>
          <w:sz w:val="24"/>
          <w:szCs w:val="24"/>
          <w:highlight w:val="none"/>
          <w:lang w:val="en-US" w:eastAsia="zh-CN"/>
        </w:rPr>
        <w:t>充电量管理</w:t>
      </w:r>
      <w:r>
        <w:rPr>
          <w:rFonts w:hint="eastAsia" w:ascii="宋体" w:hAnsi="宋体" w:cs="宋体"/>
          <w:color w:val="auto"/>
          <w:sz w:val="24"/>
          <w:szCs w:val="24"/>
          <w:highlight w:val="none"/>
          <w:lang w:val="en-US" w:eastAsia="zh-CN"/>
        </w:rPr>
        <w:t>监测、</w:t>
      </w:r>
      <w:r>
        <w:rPr>
          <w:rFonts w:hint="default" w:ascii="宋体" w:hAnsi="宋体" w:eastAsia="宋体" w:cs="宋体"/>
          <w:color w:val="auto"/>
          <w:sz w:val="24"/>
          <w:szCs w:val="24"/>
          <w:highlight w:val="none"/>
          <w:lang w:val="en-US" w:eastAsia="zh-CN"/>
        </w:rPr>
        <w:t>实时查看用车车辆情况日报表</w:t>
      </w:r>
      <w:r>
        <w:rPr>
          <w:rFonts w:hint="eastAsia" w:ascii="宋体" w:hAnsi="宋体" w:cs="宋体"/>
          <w:color w:val="auto"/>
          <w:sz w:val="24"/>
          <w:szCs w:val="24"/>
          <w:highlight w:val="none"/>
          <w:lang w:val="en-US" w:eastAsia="zh-CN"/>
        </w:rPr>
        <w:t>功能</w:t>
      </w:r>
      <w:r>
        <w:rPr>
          <w:rFonts w:hint="default"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系统供</w:t>
      </w:r>
      <w:r>
        <w:rPr>
          <w:rFonts w:hint="default" w:ascii="宋体" w:hAnsi="宋体" w:eastAsia="宋体" w:cs="宋体"/>
          <w:color w:val="auto"/>
          <w:sz w:val="24"/>
          <w:szCs w:val="24"/>
          <w:highlight w:val="none"/>
          <w:lang w:val="en-US" w:eastAsia="zh-CN"/>
        </w:rPr>
        <w:t>采购方</w:t>
      </w:r>
      <w:r>
        <w:rPr>
          <w:rFonts w:hint="eastAsia" w:ascii="宋体" w:hAnsi="宋体" w:cs="宋体"/>
          <w:color w:val="auto"/>
          <w:sz w:val="24"/>
          <w:szCs w:val="24"/>
          <w:highlight w:val="none"/>
          <w:lang w:val="en-US" w:eastAsia="zh-CN"/>
        </w:rPr>
        <w:t>使用</w:t>
      </w:r>
      <w:r>
        <w:rPr>
          <w:rFonts w:hint="eastAsia" w:ascii="宋体" w:hAnsi="宋体" w:eastAsia="宋体" w:cs="宋体"/>
          <w:color w:val="auto"/>
          <w:sz w:val="24"/>
          <w:szCs w:val="24"/>
          <w:highlight w:val="none"/>
          <w:lang w:val="en-US" w:eastAsia="zh-CN"/>
        </w:rPr>
        <w:t>，采购人</w:t>
      </w:r>
      <w:r>
        <w:rPr>
          <w:rFonts w:hint="eastAsia" w:ascii="宋体" w:hAnsi="宋体" w:cs="宋体"/>
          <w:color w:val="auto"/>
          <w:sz w:val="24"/>
          <w:szCs w:val="24"/>
          <w:highlight w:val="none"/>
          <w:lang w:val="en-US" w:eastAsia="zh-CN"/>
        </w:rPr>
        <w:t>享有</w:t>
      </w:r>
      <w:r>
        <w:rPr>
          <w:rFonts w:hint="eastAsia" w:ascii="宋体" w:hAnsi="宋体" w:eastAsia="宋体" w:cs="宋体"/>
          <w:color w:val="auto"/>
          <w:sz w:val="24"/>
          <w:szCs w:val="24"/>
          <w:highlight w:val="none"/>
          <w:lang w:val="en-US" w:eastAsia="zh-CN"/>
        </w:rPr>
        <w:t>管理权限（供应商和厂商不得泄露信息，否则</w:t>
      </w:r>
      <w:r>
        <w:rPr>
          <w:rFonts w:hint="eastAsia" w:ascii="宋体" w:hAnsi="宋体" w:cs="宋体"/>
          <w:color w:val="auto"/>
          <w:sz w:val="24"/>
          <w:szCs w:val="24"/>
          <w:highlight w:val="none"/>
          <w:lang w:val="en-US" w:eastAsia="zh-CN"/>
        </w:rPr>
        <w:t>依法追究相关责任</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napToGrid w:val="0"/>
          <w:color w:val="auto"/>
          <w:kern w:val="0"/>
          <w:sz w:val="24"/>
          <w:szCs w:val="24"/>
          <w:highlight w:val="none"/>
          <w:lang w:val="en-US" w:eastAsia="zh-CN" w:bidi="ar-SA"/>
        </w:rPr>
        <w:t>。</w:t>
      </w:r>
    </w:p>
    <w:p>
      <w:pPr>
        <w:numPr>
          <w:numId w:val="0"/>
        </w:numPr>
        <w:wordWrap/>
        <w:adjustRightInd w:val="0"/>
        <w:snapToGrid w:val="0"/>
        <w:spacing w:line="360" w:lineRule="auto"/>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4</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租赁期内，出租方负责车辆的年检、维修和保养，</w:t>
      </w:r>
      <w:r>
        <w:rPr>
          <w:rFonts w:hint="eastAsia" w:ascii="宋体" w:hAnsi="宋体" w:cs="宋体"/>
          <w:snapToGrid w:val="0"/>
          <w:color w:val="auto"/>
          <w:kern w:val="0"/>
          <w:sz w:val="24"/>
          <w:szCs w:val="24"/>
          <w:highlight w:val="none"/>
          <w:lang w:val="en-US" w:eastAsia="zh-CN"/>
        </w:rPr>
        <w:t>全程提供上门取车服务，</w:t>
      </w:r>
      <w:r>
        <w:rPr>
          <w:rFonts w:hint="eastAsia" w:ascii="宋体" w:hAnsi="宋体" w:eastAsia="宋体" w:cs="宋体"/>
          <w:snapToGrid w:val="0"/>
          <w:color w:val="auto"/>
          <w:kern w:val="0"/>
          <w:sz w:val="24"/>
          <w:szCs w:val="24"/>
          <w:highlight w:val="none"/>
          <w:lang w:val="en-US" w:eastAsia="zh-CN"/>
        </w:rPr>
        <w:t>并承担相应费用。</w:t>
      </w:r>
    </w:p>
    <w:p>
      <w:pPr>
        <w:numPr>
          <w:numId w:val="0"/>
        </w:numPr>
        <w:wordWrap/>
        <w:adjustRightInd w:val="0"/>
        <w:snapToGrid w:val="0"/>
        <w:spacing w:line="360" w:lineRule="auto"/>
        <w:ind w:left="0" w:leftChars="0" w:right="0" w:firstLine="480" w:firstLineChars="200"/>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5</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租赁期限内车辆的正常保养、修理与损坏零部件更换</w:t>
      </w:r>
      <w:r>
        <w:rPr>
          <w:rFonts w:hint="eastAsia" w:ascii="宋体" w:hAnsi="宋体" w:cs="宋体"/>
          <w:snapToGrid w:val="0"/>
          <w:color w:val="auto"/>
          <w:kern w:val="0"/>
          <w:sz w:val="24"/>
          <w:szCs w:val="24"/>
          <w:highlight w:val="none"/>
          <w:lang w:val="en-US" w:eastAsia="zh-CN"/>
        </w:rPr>
        <w:t>由出租方承担，全程由出租方工作人员提供服务</w:t>
      </w:r>
      <w:r>
        <w:rPr>
          <w:rFonts w:hint="eastAsia" w:ascii="宋体" w:hAnsi="宋体" w:eastAsia="宋体" w:cs="宋体"/>
          <w:snapToGrid w:val="0"/>
          <w:color w:val="auto"/>
          <w:kern w:val="0"/>
          <w:sz w:val="24"/>
          <w:szCs w:val="24"/>
          <w:highlight w:val="none"/>
          <w:lang w:val="en-US" w:eastAsia="zh-CN"/>
        </w:rPr>
        <w:t>。车辆每行驶5000公里</w:t>
      </w:r>
      <w:r>
        <w:rPr>
          <w:rFonts w:hint="eastAsia" w:ascii="宋体" w:hAnsi="宋体" w:cs="宋体"/>
          <w:snapToGrid w:val="0"/>
          <w:color w:val="auto"/>
          <w:kern w:val="0"/>
          <w:sz w:val="24"/>
          <w:szCs w:val="24"/>
          <w:highlight w:val="none"/>
          <w:lang w:val="en-US" w:eastAsia="zh-CN"/>
        </w:rPr>
        <w:t>或每半年</w:t>
      </w:r>
      <w:r>
        <w:rPr>
          <w:rFonts w:hint="eastAsia" w:ascii="宋体" w:hAnsi="宋体" w:eastAsia="宋体" w:cs="宋体"/>
          <w:snapToGrid w:val="0"/>
          <w:color w:val="auto"/>
          <w:kern w:val="0"/>
          <w:sz w:val="24"/>
          <w:szCs w:val="24"/>
          <w:highlight w:val="none"/>
          <w:lang w:val="en-US" w:eastAsia="zh-CN"/>
        </w:rPr>
        <w:t>保养维修一次，轮胎每</w:t>
      </w:r>
      <w:r>
        <w:rPr>
          <w:rFonts w:hint="eastAsia" w:ascii="宋体" w:hAnsi="宋体" w:cs="宋体"/>
          <w:snapToGrid w:val="0"/>
          <w:color w:val="auto"/>
          <w:kern w:val="0"/>
          <w:sz w:val="24"/>
          <w:szCs w:val="24"/>
          <w:highlight w:val="none"/>
          <w:lang w:val="en-US" w:eastAsia="zh-CN"/>
        </w:rPr>
        <w:t>4年或行驶4万</w:t>
      </w:r>
      <w:r>
        <w:rPr>
          <w:rFonts w:hint="eastAsia" w:ascii="宋体" w:hAnsi="宋体" w:eastAsia="宋体" w:cs="宋体"/>
          <w:snapToGrid w:val="0"/>
          <w:color w:val="auto"/>
          <w:kern w:val="0"/>
          <w:sz w:val="24"/>
          <w:szCs w:val="24"/>
          <w:highlight w:val="none"/>
          <w:lang w:val="en-US" w:eastAsia="zh-CN"/>
        </w:rPr>
        <w:t>公里更换一次，并承担全部维修费用。</w:t>
      </w:r>
      <w:r>
        <w:rPr>
          <w:rFonts w:hint="eastAsia" w:ascii="宋体" w:hAnsi="宋体" w:cs="宋体"/>
          <w:snapToGrid w:val="0"/>
          <w:color w:val="auto"/>
          <w:kern w:val="0"/>
          <w:sz w:val="24"/>
          <w:szCs w:val="24"/>
          <w:highlight w:val="none"/>
          <w:lang w:val="en-US" w:eastAsia="zh-CN"/>
        </w:rPr>
        <w:t>需满足：</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1</w:t>
      </w:r>
      <w:r>
        <w:rPr>
          <w:rFonts w:hint="default" w:ascii="宋体" w:hAnsi="宋体" w:eastAsia="宋体" w:cs="宋体"/>
          <w:snapToGrid w:val="0"/>
          <w:color w:val="auto"/>
          <w:kern w:val="0"/>
          <w:sz w:val="24"/>
          <w:szCs w:val="24"/>
          <w:highlight w:val="none"/>
          <w:lang w:val="en-US" w:eastAsia="zh-CN"/>
        </w:rPr>
        <w:t>）提供本市范围内维修保养服务的自有（含合作）网点；（2）车辆本身原因导致无法</w:t>
      </w:r>
      <w:r>
        <w:rPr>
          <w:rFonts w:hint="eastAsia" w:ascii="宋体" w:hAnsi="宋体" w:cs="宋体"/>
          <w:snapToGrid w:val="0"/>
          <w:color w:val="auto"/>
          <w:kern w:val="0"/>
          <w:sz w:val="24"/>
          <w:szCs w:val="24"/>
          <w:highlight w:val="none"/>
          <w:lang w:val="en-US" w:eastAsia="zh-CN"/>
        </w:rPr>
        <w:t>使用</w:t>
      </w:r>
      <w:r>
        <w:rPr>
          <w:rFonts w:hint="default" w:ascii="宋体" w:hAnsi="宋体" w:eastAsia="宋体" w:cs="宋体"/>
          <w:snapToGrid w:val="0"/>
          <w:color w:val="auto"/>
          <w:kern w:val="0"/>
          <w:sz w:val="24"/>
          <w:szCs w:val="24"/>
          <w:highlight w:val="none"/>
          <w:lang w:val="en-US" w:eastAsia="zh-CN"/>
        </w:rPr>
        <w:t>，提供备用车。</w:t>
      </w:r>
    </w:p>
    <w:p>
      <w:pPr>
        <w:numPr>
          <w:numId w:val="0"/>
        </w:numPr>
        <w:wordWrap/>
        <w:adjustRightInd w:val="0"/>
        <w:snapToGrid w:val="0"/>
        <w:spacing w:line="360" w:lineRule="auto"/>
        <w:ind w:left="0" w:leftChars="0" w:right="0" w:firstLine="480" w:firstLineChars="200"/>
        <w:jc w:val="left"/>
        <w:textAlignment w:val="auto"/>
        <w:rPr>
          <w:rFonts w:hint="default"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6、</w:t>
      </w:r>
      <w:r>
        <w:rPr>
          <w:rFonts w:hint="eastAsia" w:ascii="宋体" w:hAnsi="宋体" w:eastAsia="宋体" w:cs="宋体"/>
          <w:snapToGrid w:val="0"/>
          <w:color w:val="auto"/>
          <w:kern w:val="0"/>
          <w:sz w:val="24"/>
          <w:szCs w:val="24"/>
          <w:highlight w:val="none"/>
          <w:lang w:val="en-US" w:eastAsia="zh-CN"/>
        </w:rPr>
        <w:t>租赁期内采购人承租的车辆发生保险事故，在保险索赔时采购人应协助出租方向保险公司提交保险单、事故证明、事故调解结案书、损失清单和各种有关费用的单据、如实填写机动车辆险出险报告单。如发生</w:t>
      </w:r>
      <w:r>
        <w:rPr>
          <w:rFonts w:hint="default" w:ascii="宋体" w:hAnsi="宋体" w:eastAsia="宋体" w:cs="宋体"/>
          <w:snapToGrid w:val="0"/>
          <w:color w:val="auto"/>
          <w:kern w:val="0"/>
          <w:sz w:val="24"/>
          <w:szCs w:val="24"/>
          <w:highlight w:val="none"/>
          <w:lang w:val="en-US" w:eastAsia="zh-CN"/>
        </w:rPr>
        <w:t>有责事故，安排人员上门一对一协助事故处理，并提供备用车</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采购人有义务协助出租方处理交通事故</w:t>
      </w:r>
      <w:r>
        <w:rPr>
          <w:rFonts w:hint="default" w:ascii="宋体" w:hAnsi="宋体" w:eastAsia="宋体" w:cs="宋体"/>
          <w:snapToGrid w:val="0"/>
          <w:color w:val="auto"/>
          <w:kern w:val="0"/>
          <w:sz w:val="24"/>
          <w:szCs w:val="24"/>
          <w:highlight w:val="none"/>
          <w:lang w:val="en-US" w:eastAsia="zh-CN"/>
        </w:rPr>
        <w:t>。</w:t>
      </w:r>
    </w:p>
    <w:p>
      <w:pPr>
        <w:numPr>
          <w:numId w:val="0"/>
        </w:numPr>
        <w:wordWrap/>
        <w:adjustRightInd w:val="0"/>
        <w:snapToGrid w:val="0"/>
        <w:spacing w:line="360" w:lineRule="auto"/>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7、</w:t>
      </w:r>
      <w:r>
        <w:rPr>
          <w:rFonts w:hint="default" w:ascii="宋体" w:hAnsi="宋体" w:eastAsia="宋体" w:cs="宋体"/>
          <w:snapToGrid w:val="0"/>
          <w:color w:val="auto"/>
          <w:kern w:val="0"/>
          <w:sz w:val="24"/>
          <w:szCs w:val="24"/>
          <w:highlight w:val="none"/>
          <w:lang w:val="en-US" w:eastAsia="zh-CN"/>
        </w:rPr>
        <w:t>车辆突发应急故障处理：对故障车辆上门检查，并给出解决方案</w:t>
      </w:r>
      <w:r>
        <w:rPr>
          <w:rFonts w:hint="eastAsia" w:ascii="宋体" w:hAnsi="宋体" w:eastAsia="宋体" w:cs="宋体"/>
          <w:snapToGrid w:val="0"/>
          <w:color w:val="auto"/>
          <w:kern w:val="0"/>
          <w:sz w:val="24"/>
          <w:szCs w:val="24"/>
          <w:highlight w:val="none"/>
          <w:lang w:val="en-US" w:eastAsia="zh-CN"/>
        </w:rPr>
        <w:t>；提供7*24小时技术咨询和故障远程支撑服务，车辆发生故障接到报修电话30分钟内响应，</w:t>
      </w:r>
      <w:r>
        <w:rPr>
          <w:rFonts w:hint="default" w:ascii="宋体" w:hAnsi="宋体" w:eastAsia="宋体" w:cs="宋体"/>
          <w:snapToGrid w:val="0"/>
          <w:color w:val="auto"/>
          <w:kern w:val="0"/>
          <w:sz w:val="24"/>
          <w:szCs w:val="24"/>
          <w:highlight w:val="none"/>
          <w:lang w:val="en-US" w:eastAsia="zh-CN"/>
        </w:rPr>
        <w:t>对车辆故障响应2小时内到达现场，小故障当天处理，大故障</w:t>
      </w:r>
      <w:r>
        <w:rPr>
          <w:rFonts w:hint="eastAsia" w:ascii="宋体" w:hAnsi="宋体" w:eastAsia="宋体" w:cs="宋体"/>
          <w:snapToGrid w:val="0"/>
          <w:color w:val="auto"/>
          <w:kern w:val="0"/>
          <w:sz w:val="24"/>
          <w:szCs w:val="24"/>
          <w:highlight w:val="none"/>
          <w:lang w:val="en-US" w:eastAsia="zh-CN"/>
        </w:rPr>
        <w:t>导致车辆2天内无法正常使用的，出租方应及时为采购人提供同种、同质</w:t>
      </w:r>
      <w:r>
        <w:rPr>
          <w:rFonts w:hint="default" w:ascii="宋体" w:hAnsi="宋体" w:eastAsia="宋体" w:cs="宋体"/>
          <w:snapToGrid w:val="0"/>
          <w:color w:val="auto"/>
          <w:kern w:val="0"/>
          <w:sz w:val="24"/>
          <w:szCs w:val="24"/>
          <w:highlight w:val="none"/>
          <w:lang w:val="en-US" w:eastAsia="zh-CN"/>
        </w:rPr>
        <w:t>备用车</w:t>
      </w:r>
      <w:r>
        <w:rPr>
          <w:rFonts w:hint="eastAsia" w:ascii="宋体" w:hAnsi="宋体" w:eastAsia="宋体" w:cs="宋体"/>
          <w:snapToGrid w:val="0"/>
          <w:color w:val="auto"/>
          <w:kern w:val="0"/>
          <w:sz w:val="24"/>
          <w:szCs w:val="24"/>
          <w:highlight w:val="none"/>
          <w:lang w:val="en-US" w:eastAsia="zh-CN"/>
        </w:rPr>
        <w:t>供采购人正常使用，否则采购人有权扣除此期间租金。</w:t>
      </w:r>
      <w:r>
        <w:rPr>
          <w:rFonts w:hint="eastAsia" w:ascii="宋体" w:hAnsi="宋体" w:eastAsia="宋体" w:cs="宋体"/>
          <w:b w:val="0"/>
          <w:bCs w:val="0"/>
          <w:color w:val="auto"/>
          <w:sz w:val="24"/>
          <w:szCs w:val="24"/>
          <w:highlight w:val="none"/>
          <w:lang w:val="en-US" w:eastAsia="zh-CN"/>
        </w:rPr>
        <w:t>提供服务期间道路救援服务</w:t>
      </w:r>
      <w:r>
        <w:rPr>
          <w:rFonts w:hint="eastAsia" w:ascii="宋体" w:hAnsi="宋体" w:eastAsia="宋体" w:cs="宋体"/>
          <w:color w:val="auto"/>
          <w:sz w:val="24"/>
          <w:szCs w:val="24"/>
          <w:highlight w:val="none"/>
          <w:lang w:eastAsia="zh-CN"/>
        </w:rPr>
        <w:t>（补换胎、拖车、脱困、紧急代驾等）</w:t>
      </w:r>
      <w:r>
        <w:rPr>
          <w:rFonts w:hint="eastAsia" w:ascii="宋体" w:hAnsi="宋体" w:cs="宋体"/>
          <w:color w:val="auto"/>
          <w:sz w:val="24"/>
          <w:szCs w:val="24"/>
          <w:highlight w:val="none"/>
          <w:lang w:eastAsia="zh-CN"/>
        </w:rPr>
        <w:t>。</w:t>
      </w:r>
    </w:p>
    <w:p>
      <w:pPr>
        <w:numPr>
          <w:numId w:val="0"/>
        </w:numPr>
        <w:wordWrap/>
        <w:adjustRightInd w:val="0"/>
        <w:snapToGrid w:val="0"/>
        <w:spacing w:line="360" w:lineRule="auto"/>
        <w:ind w:left="0" w:leftChars="0" w:right="0" w:firstLine="480" w:firstLineChars="20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8、</w:t>
      </w:r>
      <w:r>
        <w:rPr>
          <w:rFonts w:hint="eastAsia" w:ascii="宋体" w:hAnsi="宋体" w:eastAsia="宋体" w:cs="宋体"/>
          <w:snapToGrid w:val="0"/>
          <w:color w:val="auto"/>
          <w:kern w:val="0"/>
          <w:sz w:val="24"/>
          <w:szCs w:val="24"/>
          <w:highlight w:val="none"/>
          <w:lang w:val="en-US" w:eastAsia="zh-CN"/>
        </w:rPr>
        <w:t>租赁期内采购人承租的车辆全车丢失，采购人应协助出租方办理保险索赔事宜。</w:t>
      </w:r>
    </w:p>
    <w:p>
      <w:pPr>
        <w:widowControl w:val="0"/>
        <w:numPr>
          <w:numId w:val="0"/>
        </w:numPr>
        <w:wordWrap/>
        <w:adjustRightInd w:val="0"/>
        <w:snapToGrid w:val="0"/>
        <w:spacing w:line="360" w:lineRule="auto"/>
        <w:ind w:left="0" w:leftChars="0" w:right="0" w:firstLine="0" w:firstLineChars="0"/>
        <w:jc w:val="left"/>
        <w:textAlignment w:val="auto"/>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 xml:space="preserve">    9、</w:t>
      </w:r>
      <w:r>
        <w:rPr>
          <w:rFonts w:hint="eastAsia" w:ascii="宋体" w:hAnsi="宋体" w:eastAsia="宋体" w:cs="宋体"/>
          <w:snapToGrid w:val="0"/>
          <w:color w:val="auto"/>
          <w:kern w:val="0"/>
          <w:sz w:val="24"/>
          <w:szCs w:val="24"/>
          <w:highlight w:val="none"/>
          <w:lang w:val="en-US" w:eastAsia="zh-CN"/>
        </w:rPr>
        <w:t>租赁期内采购人有义务协助出租方补办遗失的承租车辆牌照和有关证件，如因采购方保管不善导致遗失，由采购方承担使用期间遗失补办的相关费用。</w:t>
      </w:r>
    </w:p>
    <w:p>
      <w:pPr>
        <w:widowControl w:val="0"/>
        <w:wordWrap/>
        <w:adjustRightInd w:val="0"/>
        <w:spacing w:line="360" w:lineRule="auto"/>
        <w:ind w:left="0" w:leftChars="0" w:right="0" w:firstLine="480" w:firstLineChars="200"/>
        <w:jc w:val="both"/>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10、</w:t>
      </w:r>
      <w:r>
        <w:rPr>
          <w:rFonts w:hint="eastAsia" w:ascii="宋体" w:hAnsi="宋体" w:eastAsia="宋体" w:cs="宋体"/>
          <w:snapToGrid w:val="0"/>
          <w:color w:val="auto"/>
          <w:kern w:val="0"/>
          <w:sz w:val="24"/>
          <w:szCs w:val="24"/>
          <w:highlight w:val="none"/>
          <w:lang w:val="en-US" w:eastAsia="zh-CN"/>
        </w:rPr>
        <w:t>出租方管理团队及车辆管理方案：至少包括</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1</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本项目的管理人员的组织架构；</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2</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人员配置方案（至少包括项目负责人、技术负责人、车辆专</w:t>
      </w:r>
      <w:r>
        <w:rPr>
          <w:rFonts w:hint="eastAsia" w:ascii="宋体" w:hAnsi="宋体" w:cs="宋体"/>
          <w:snapToGrid w:val="0"/>
          <w:color w:val="auto"/>
          <w:kern w:val="0"/>
          <w:sz w:val="24"/>
          <w:szCs w:val="24"/>
          <w:highlight w:val="none"/>
          <w:lang w:val="en-US" w:eastAsia="zh-CN"/>
        </w:rPr>
        <w:t>管</w:t>
      </w:r>
      <w:r>
        <w:rPr>
          <w:rFonts w:hint="eastAsia" w:ascii="宋体" w:hAnsi="宋体" w:eastAsia="宋体" w:cs="宋体"/>
          <w:snapToGrid w:val="0"/>
          <w:color w:val="auto"/>
          <w:kern w:val="0"/>
          <w:sz w:val="24"/>
          <w:szCs w:val="24"/>
          <w:highlight w:val="none"/>
          <w:lang w:val="en-US" w:eastAsia="zh-CN"/>
        </w:rPr>
        <w:t>员、事故处理联络员、商务专员等）；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3</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岗位职责方案（明确岗位负责人、技术负责人、车辆专</w:t>
      </w:r>
      <w:r>
        <w:rPr>
          <w:rFonts w:hint="eastAsia" w:ascii="宋体" w:hAnsi="宋体" w:cs="宋体"/>
          <w:snapToGrid w:val="0"/>
          <w:color w:val="auto"/>
          <w:kern w:val="0"/>
          <w:sz w:val="24"/>
          <w:szCs w:val="24"/>
          <w:highlight w:val="none"/>
          <w:lang w:val="en-US" w:eastAsia="zh-CN"/>
        </w:rPr>
        <w:t>管</w:t>
      </w:r>
      <w:r>
        <w:rPr>
          <w:rFonts w:hint="eastAsia" w:ascii="宋体" w:hAnsi="宋体" w:eastAsia="宋体" w:cs="宋体"/>
          <w:snapToGrid w:val="0"/>
          <w:color w:val="auto"/>
          <w:kern w:val="0"/>
          <w:sz w:val="24"/>
          <w:szCs w:val="24"/>
          <w:highlight w:val="none"/>
          <w:lang w:val="en-US" w:eastAsia="zh-CN"/>
        </w:rPr>
        <w:t>员、事故处理联络员、商务专员等责任）</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4</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车辆巡检制度的实施方案</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巡检频次、人员安排、巡检内容、巡检反馈留档情况等）；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5</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车辆信息建档管理方案（车辆基本信息、人员安排、证件登记、保养情况、车辆技术性能等）；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6</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车辆服务投诉方案（人员安排、受理场所、反馈时间、处理方案）；</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7</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月度管报制订方案（车辆运行、维修、保养、故障统计记录等）；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8</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安全管理方案（安全员配置、安全管理措施、突发应急能力等）；</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9</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车辆使用培训教育方案</w:t>
      </w:r>
      <w:r>
        <w:rPr>
          <w:rFonts w:hint="default" w:ascii="宋体" w:hAnsi="宋体" w:eastAsia="宋体" w:cs="宋体"/>
          <w:snapToGrid w:val="0"/>
          <w:color w:val="auto"/>
          <w:kern w:val="0"/>
          <w:sz w:val="24"/>
          <w:szCs w:val="24"/>
          <w:highlight w:val="none"/>
          <w:lang w:val="en-US" w:eastAsia="zh-CN"/>
        </w:rPr>
        <w:t>新</w:t>
      </w:r>
      <w:r>
        <w:rPr>
          <w:rFonts w:hint="eastAsia" w:ascii="宋体" w:hAnsi="宋体" w:cs="宋体"/>
          <w:snapToGrid w:val="0"/>
          <w:color w:val="auto"/>
          <w:kern w:val="0"/>
          <w:sz w:val="24"/>
          <w:szCs w:val="24"/>
          <w:highlight w:val="none"/>
          <w:lang w:val="en-US" w:eastAsia="zh-CN"/>
        </w:rPr>
        <w:t>（</w:t>
      </w:r>
      <w:r>
        <w:rPr>
          <w:rFonts w:hint="default" w:ascii="宋体" w:hAnsi="宋体" w:eastAsia="宋体" w:cs="宋体"/>
          <w:snapToGrid w:val="0"/>
          <w:color w:val="auto"/>
          <w:kern w:val="0"/>
          <w:sz w:val="24"/>
          <w:szCs w:val="24"/>
          <w:highlight w:val="none"/>
          <w:lang w:val="en-US" w:eastAsia="zh-CN"/>
        </w:rPr>
        <w:t>能源汽车使用须知</w:t>
      </w:r>
      <w:r>
        <w:rPr>
          <w:rFonts w:hint="eastAsia" w:ascii="宋体" w:hAnsi="宋体" w:eastAsia="宋体" w:cs="宋体"/>
          <w:snapToGrid w:val="0"/>
          <w:color w:val="auto"/>
          <w:kern w:val="0"/>
          <w:sz w:val="24"/>
          <w:szCs w:val="24"/>
          <w:highlight w:val="none"/>
          <w:lang w:val="en-US" w:eastAsia="zh-CN"/>
        </w:rPr>
        <w:t>、充电安全操作、常见故障排除、行车安全教育等）。</w:t>
      </w:r>
    </w:p>
    <w:p>
      <w:pPr>
        <w:widowControl w:val="0"/>
        <w:wordWrap/>
        <w:adjustRightInd w:val="0"/>
        <w:spacing w:line="360" w:lineRule="auto"/>
        <w:ind w:left="0" w:leftChars="0" w:right="0" w:firstLine="480" w:firstLineChars="200"/>
        <w:jc w:val="both"/>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color w:val="auto"/>
          <w:sz w:val="24"/>
          <w:szCs w:val="24"/>
          <w:highlight w:val="none"/>
          <w:lang w:val="en-US" w:eastAsia="zh-CN"/>
        </w:rPr>
        <w:t>11、车辆无违章、违法及法律纠纷。</w:t>
      </w:r>
    </w:p>
    <w:p>
      <w:pPr>
        <w:widowControl w:val="0"/>
        <w:numPr>
          <w:numId w:val="0"/>
        </w:numPr>
        <w:wordWrap/>
        <w:adjustRightInd w:val="0"/>
        <w:snapToGrid w:val="0"/>
        <w:spacing w:line="360" w:lineRule="auto"/>
        <w:ind w:left="0" w:leftChars="0" w:right="0" w:firstLine="480" w:firstLineChars="200"/>
        <w:jc w:val="both"/>
        <w:textAlignment w:val="auto"/>
        <w:outlineLvl w:val="9"/>
        <w:rPr>
          <w:rFonts w:hint="default"/>
          <w:color w:val="auto"/>
          <w:highlight w:val="none"/>
          <w:lang w:val="en-US" w:eastAsia="zh-CN"/>
        </w:rPr>
      </w:pPr>
      <w:r>
        <w:rPr>
          <w:rFonts w:hint="eastAsia" w:ascii="宋体" w:hAnsi="宋体" w:cs="宋体"/>
          <w:snapToGrid w:val="0"/>
          <w:color w:val="auto"/>
          <w:kern w:val="0"/>
          <w:sz w:val="24"/>
          <w:szCs w:val="24"/>
          <w:highlight w:val="none"/>
          <w:lang w:val="en-US" w:eastAsia="zh-CN"/>
        </w:rPr>
        <w:t>12、</w:t>
      </w:r>
      <w:r>
        <w:rPr>
          <w:rFonts w:hint="default" w:ascii="宋体" w:hAnsi="宋体" w:eastAsia="宋体" w:cs="宋体"/>
          <w:snapToGrid w:val="0"/>
          <w:color w:val="auto"/>
          <w:kern w:val="0"/>
          <w:sz w:val="24"/>
          <w:szCs w:val="24"/>
          <w:highlight w:val="none"/>
          <w:lang w:val="en-US" w:eastAsia="zh-CN"/>
        </w:rPr>
        <w:t>保障项目正常运营</w:t>
      </w:r>
      <w:r>
        <w:rPr>
          <w:rFonts w:hint="eastAsia" w:ascii="宋体" w:hAnsi="宋体" w:eastAsia="宋体" w:cs="宋体"/>
          <w:snapToGrid w:val="0"/>
          <w:color w:val="auto"/>
          <w:kern w:val="0"/>
          <w:sz w:val="24"/>
          <w:szCs w:val="24"/>
          <w:highlight w:val="none"/>
          <w:lang w:val="en-US" w:eastAsia="zh-CN"/>
        </w:rPr>
        <w:t>措施</w:t>
      </w:r>
      <w:r>
        <w:rPr>
          <w:rFonts w:hint="default" w:ascii="宋体" w:hAnsi="宋体" w:eastAsia="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每半年</w:t>
      </w:r>
      <w:r>
        <w:rPr>
          <w:rFonts w:hint="default" w:ascii="宋体" w:hAnsi="宋体" w:eastAsia="宋体" w:cs="宋体"/>
          <w:snapToGrid w:val="0"/>
          <w:color w:val="auto"/>
          <w:kern w:val="0"/>
          <w:sz w:val="24"/>
          <w:szCs w:val="24"/>
          <w:highlight w:val="none"/>
          <w:lang w:val="en-US" w:eastAsia="zh-CN"/>
        </w:rPr>
        <w:t>向</w:t>
      </w:r>
      <w:r>
        <w:rPr>
          <w:rFonts w:hint="eastAsia" w:ascii="宋体" w:hAnsi="宋体" w:eastAsia="宋体" w:cs="宋体"/>
          <w:snapToGrid w:val="0"/>
          <w:color w:val="auto"/>
          <w:kern w:val="0"/>
          <w:sz w:val="24"/>
          <w:szCs w:val="24"/>
          <w:highlight w:val="none"/>
          <w:lang w:val="en-US" w:eastAsia="zh-CN"/>
        </w:rPr>
        <w:t>采购方</w:t>
      </w:r>
      <w:r>
        <w:rPr>
          <w:rFonts w:hint="default" w:ascii="宋体" w:hAnsi="宋体" w:eastAsia="宋体" w:cs="宋体"/>
          <w:snapToGrid w:val="0"/>
          <w:color w:val="auto"/>
          <w:kern w:val="0"/>
          <w:sz w:val="24"/>
          <w:szCs w:val="24"/>
          <w:highlight w:val="none"/>
          <w:lang w:val="en-US" w:eastAsia="zh-CN"/>
        </w:rPr>
        <w:t>提供维保记录、未处理违章记录、事故记录等，</w:t>
      </w:r>
      <w:r>
        <w:rPr>
          <w:rFonts w:hint="eastAsia" w:ascii="宋体" w:hAnsi="宋体" w:cs="宋体"/>
          <w:snapToGrid w:val="0"/>
          <w:color w:val="auto"/>
          <w:kern w:val="0"/>
          <w:sz w:val="24"/>
          <w:szCs w:val="24"/>
          <w:highlight w:val="none"/>
          <w:lang w:val="en-US" w:eastAsia="zh-CN"/>
        </w:rPr>
        <w:t>保持</w:t>
      </w:r>
      <w:r>
        <w:rPr>
          <w:rFonts w:hint="eastAsia" w:ascii="宋体" w:hAnsi="宋体" w:eastAsia="宋体" w:cs="宋体"/>
          <w:snapToGrid w:val="0"/>
          <w:color w:val="auto"/>
          <w:kern w:val="0"/>
          <w:sz w:val="24"/>
          <w:szCs w:val="24"/>
          <w:highlight w:val="none"/>
          <w:lang w:val="en-US" w:eastAsia="zh-CN"/>
        </w:rPr>
        <w:t>车辆性能及状况</w:t>
      </w:r>
      <w:r>
        <w:rPr>
          <w:rFonts w:hint="eastAsia" w:ascii="宋体" w:hAnsi="宋体" w:cs="宋体"/>
          <w:snapToGrid w:val="0"/>
          <w:color w:val="auto"/>
          <w:kern w:val="0"/>
          <w:sz w:val="24"/>
          <w:szCs w:val="24"/>
          <w:highlight w:val="none"/>
          <w:lang w:val="en-US" w:eastAsia="zh-CN"/>
        </w:rPr>
        <w:t>完好。</w:t>
      </w:r>
    </w:p>
    <w:p>
      <w:pPr>
        <w:wordWrap/>
        <w:adjustRightInd w:val="0"/>
        <w:spacing w:line="360" w:lineRule="auto"/>
        <w:ind w:left="0" w:leftChars="0" w:right="0" w:firstLine="482" w:firstLineChars="200"/>
        <w:textAlignment w:val="auto"/>
        <w:outlineLvl w:val="9"/>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三、交货期</w:t>
      </w:r>
    </w:p>
    <w:p>
      <w:pPr>
        <w:wordWrap/>
        <w:adjustRightInd w:val="0"/>
        <w:spacing w:line="360" w:lineRule="auto"/>
        <w:ind w:left="0" w:leftChars="0" w:right="0" w:firstLine="480" w:firstLineChars="200"/>
        <w:textAlignment w:val="auto"/>
        <w:outlineLvl w:val="9"/>
        <w:rPr>
          <w:rFonts w:hint="default" w:ascii="宋体" w:hAnsi="宋体" w:cs="宋体"/>
          <w:b/>
          <w:bCs/>
          <w:color w:val="auto"/>
          <w:sz w:val="24"/>
          <w:highlight w:val="none"/>
          <w:lang w:val="en-US" w:eastAsia="zh-CN"/>
        </w:rPr>
      </w:pPr>
      <w:r>
        <w:rPr>
          <w:rFonts w:hint="eastAsia" w:ascii="宋体" w:hAnsi="宋体" w:eastAsia="宋体" w:cs="宋体"/>
          <w:snapToGrid w:val="0"/>
          <w:color w:val="auto"/>
          <w:kern w:val="0"/>
          <w:sz w:val="24"/>
          <w:szCs w:val="24"/>
          <w:highlight w:val="none"/>
          <w:lang w:val="en-US" w:eastAsia="zh-CN"/>
        </w:rPr>
        <w:t>在合同签订后</w:t>
      </w:r>
      <w:r>
        <w:rPr>
          <w:rFonts w:hint="eastAsia" w:ascii="宋体" w:hAnsi="宋体" w:eastAsia="宋体" w:cs="宋体"/>
          <w:snapToGrid w:val="0"/>
          <w:color w:val="auto"/>
          <w:kern w:val="0"/>
          <w:sz w:val="24"/>
          <w:szCs w:val="24"/>
          <w:highlight w:val="none"/>
          <w:u w:val="single"/>
          <w:lang w:val="en-US" w:eastAsia="zh-CN"/>
        </w:rPr>
        <w:t xml:space="preserve"> </w:t>
      </w:r>
      <w:r>
        <w:rPr>
          <w:rFonts w:hint="eastAsia" w:ascii="宋体" w:hAnsi="宋体" w:cs="宋体"/>
          <w:snapToGrid w:val="0"/>
          <w:color w:val="auto"/>
          <w:kern w:val="0"/>
          <w:sz w:val="24"/>
          <w:szCs w:val="24"/>
          <w:highlight w:val="none"/>
          <w:u w:val="single"/>
          <w:lang w:val="en-US" w:eastAsia="zh-CN"/>
        </w:rPr>
        <w:t>10</w:t>
      </w:r>
      <w:r>
        <w:rPr>
          <w:rFonts w:hint="eastAsia" w:ascii="宋体" w:hAnsi="宋体" w:eastAsia="宋体" w:cs="宋体"/>
          <w:snapToGrid w:val="0"/>
          <w:color w:val="auto"/>
          <w:kern w:val="0"/>
          <w:sz w:val="24"/>
          <w:szCs w:val="24"/>
          <w:highlight w:val="none"/>
          <w:lang w:val="en-US" w:eastAsia="zh-CN"/>
        </w:rPr>
        <w:t>个</w:t>
      </w:r>
      <w:r>
        <w:rPr>
          <w:rFonts w:hint="eastAsia" w:ascii="宋体" w:hAnsi="宋体" w:cs="宋体"/>
          <w:snapToGrid w:val="0"/>
          <w:color w:val="auto"/>
          <w:kern w:val="0"/>
          <w:sz w:val="24"/>
          <w:szCs w:val="24"/>
          <w:highlight w:val="none"/>
          <w:lang w:val="en-US" w:eastAsia="zh-CN"/>
        </w:rPr>
        <w:t>工作日</w:t>
      </w:r>
      <w:r>
        <w:rPr>
          <w:rFonts w:hint="eastAsia" w:ascii="宋体" w:hAnsi="宋体" w:eastAsia="宋体" w:cs="宋体"/>
          <w:snapToGrid w:val="0"/>
          <w:color w:val="auto"/>
          <w:kern w:val="0"/>
          <w:sz w:val="24"/>
          <w:szCs w:val="24"/>
          <w:highlight w:val="none"/>
          <w:lang w:val="en-US" w:eastAsia="zh-CN"/>
        </w:rPr>
        <w:t>内交付所有车辆。</w:t>
      </w:r>
    </w:p>
    <w:p>
      <w:pPr>
        <w:wordWrap/>
        <w:adjustRightInd w:val="0"/>
        <w:snapToGrid w:val="0"/>
        <w:spacing w:line="360" w:lineRule="auto"/>
        <w:ind w:left="0" w:leftChars="0" w:right="0" w:firstLine="482" w:firstLineChars="20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cs="宋体"/>
          <w:b/>
          <w:bCs/>
          <w:color w:val="auto"/>
          <w:sz w:val="24"/>
          <w:highlight w:val="none"/>
          <w:lang w:eastAsia="zh-CN"/>
        </w:rPr>
        <w:t>四</w:t>
      </w:r>
      <w:r>
        <w:rPr>
          <w:rFonts w:hint="eastAsia" w:ascii="宋体" w:hAnsi="宋体" w:eastAsia="宋体" w:cs="宋体"/>
          <w:b/>
          <w:bCs/>
          <w:color w:val="auto"/>
          <w:sz w:val="24"/>
          <w:highlight w:val="none"/>
          <w:lang w:eastAsia="zh-CN"/>
        </w:rPr>
        <w:t>、</w:t>
      </w:r>
      <w:r>
        <w:rPr>
          <w:rFonts w:hint="eastAsia" w:ascii="宋体" w:hAnsi="宋体" w:eastAsia="宋体" w:cs="宋体"/>
          <w:b/>
          <w:bCs/>
          <w:snapToGrid w:val="0"/>
          <w:color w:val="auto"/>
          <w:kern w:val="0"/>
          <w:sz w:val="24"/>
          <w:szCs w:val="24"/>
          <w:highlight w:val="none"/>
        </w:rPr>
        <w:t>付款与结算</w:t>
      </w:r>
    </w:p>
    <w:p>
      <w:pPr>
        <w:numPr>
          <w:numId w:val="0"/>
        </w:numPr>
        <w:wordWrap/>
        <w:adjustRightInd w:val="0"/>
        <w:snapToGrid w:val="0"/>
        <w:spacing w:line="360" w:lineRule="auto"/>
        <w:ind w:left="0" w:leftChars="0" w:right="0" w:firstLine="480" w:firstLineChars="200"/>
        <w:jc w:val="left"/>
        <w:textAlignment w:val="auto"/>
        <w:outlineLvl w:val="9"/>
        <w:rPr>
          <w:rFonts w:hint="eastAsia" w:ascii="宋体" w:hAnsi="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1、</w:t>
      </w:r>
      <w:r>
        <w:rPr>
          <w:rFonts w:hint="eastAsia" w:ascii="宋体" w:hAnsi="宋体" w:eastAsia="宋体" w:cs="宋体"/>
          <w:snapToGrid w:val="0"/>
          <w:color w:val="auto"/>
          <w:kern w:val="0"/>
          <w:sz w:val="24"/>
          <w:szCs w:val="24"/>
          <w:highlight w:val="none"/>
        </w:rPr>
        <w:t>付款方式</w:t>
      </w:r>
      <w:r>
        <w:rPr>
          <w:rFonts w:hint="eastAsia" w:ascii="宋体" w:hAnsi="宋体" w:eastAsia="宋体" w:cs="宋体"/>
          <w:snapToGrid w:val="0"/>
          <w:color w:val="auto"/>
          <w:kern w:val="0"/>
          <w:sz w:val="24"/>
          <w:szCs w:val="24"/>
          <w:highlight w:val="none"/>
          <w:lang w:eastAsia="zh-CN"/>
        </w:rPr>
        <w:t>：</w:t>
      </w:r>
      <w:r>
        <w:rPr>
          <w:rFonts w:hint="eastAsia" w:ascii="宋体" w:hAnsi="宋体" w:eastAsia="宋体" w:cs="宋体"/>
          <w:snapToGrid w:val="0"/>
          <w:color w:val="auto"/>
          <w:kern w:val="0"/>
          <w:sz w:val="24"/>
          <w:szCs w:val="24"/>
          <w:highlight w:val="none"/>
        </w:rPr>
        <w:t>签订合同后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第一年合同总价50%的预付款（以中标价格的一半为一年期合同金额）</w:t>
      </w:r>
      <w:r>
        <w:rPr>
          <w:rFonts w:hint="eastAsia" w:ascii="宋体" w:hAnsi="宋体" w:eastAsia="宋体" w:cs="宋体"/>
          <w:snapToGrid w:val="0"/>
          <w:color w:val="auto"/>
          <w:kern w:val="0"/>
          <w:sz w:val="24"/>
          <w:szCs w:val="24"/>
          <w:highlight w:val="none"/>
          <w:lang w:val="en-US" w:eastAsia="zh-CN"/>
        </w:rPr>
        <w:t>，</w:t>
      </w:r>
      <w:r>
        <w:rPr>
          <w:rFonts w:hint="eastAsia" w:ascii="宋体" w:hAnsi="宋体" w:cs="宋体"/>
          <w:snapToGrid w:val="0"/>
          <w:color w:val="auto"/>
          <w:kern w:val="0"/>
          <w:sz w:val="24"/>
          <w:szCs w:val="24"/>
          <w:highlight w:val="none"/>
          <w:lang w:val="en-US" w:eastAsia="zh-CN"/>
        </w:rPr>
        <w:t>车辆全部到齐验收通过后支付合同总价20%，服务期满8个月后于7个工作日内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合同总价3</w:t>
      </w:r>
      <w:r>
        <w:rPr>
          <w:rFonts w:hint="eastAsia" w:ascii="宋体" w:hAnsi="宋体" w:eastAsia="宋体" w:cs="宋体"/>
          <w:snapToGrid w:val="0"/>
          <w:color w:val="auto"/>
          <w:kern w:val="0"/>
          <w:sz w:val="24"/>
          <w:szCs w:val="24"/>
          <w:highlight w:val="none"/>
          <w:lang w:val="en-US" w:eastAsia="zh-CN"/>
        </w:rPr>
        <w:t>0%费用</w:t>
      </w:r>
      <w:r>
        <w:rPr>
          <w:rFonts w:hint="eastAsia" w:ascii="宋体" w:hAnsi="宋体" w:cs="宋体"/>
          <w:snapToGrid w:val="0"/>
          <w:color w:val="auto"/>
          <w:kern w:val="0"/>
          <w:sz w:val="24"/>
          <w:szCs w:val="24"/>
          <w:highlight w:val="none"/>
          <w:lang w:val="en-US" w:eastAsia="zh-CN"/>
        </w:rPr>
        <w:t>；第二年合同签订后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第二年合同总价50%的预付款，剩余费用分两次支付，第6个月支付合同总价的25%，第10个月支付合同总价的25%。</w:t>
      </w:r>
    </w:p>
    <w:p>
      <w:pPr>
        <w:numPr>
          <w:numId w:val="0"/>
        </w:numPr>
        <w:wordWrap/>
        <w:adjustRightInd w:val="0"/>
        <w:snapToGrid w:val="0"/>
        <w:spacing w:line="360" w:lineRule="auto"/>
        <w:ind w:left="0" w:leftChars="0" w:right="0" w:firstLine="480" w:firstLineChars="200"/>
        <w:jc w:val="left"/>
        <w:textAlignment w:val="auto"/>
        <w:outlineLvl w:val="9"/>
        <w:rPr>
          <w:rFonts w:hint="eastAsia" w:ascii="宋体" w:hAnsi="宋体" w:eastAsia="宋体" w:cs="宋体"/>
          <w:color w:val="auto"/>
          <w:sz w:val="24"/>
          <w:highlight w:val="none"/>
          <w:lang w:val="en-US" w:eastAsia="zh-CN"/>
        </w:rPr>
      </w:pPr>
      <w:r>
        <w:rPr>
          <w:rFonts w:hint="eastAsia" w:ascii="宋体" w:hAnsi="宋体" w:cs="宋体"/>
          <w:snapToGrid w:val="0"/>
          <w:color w:val="auto"/>
          <w:kern w:val="0"/>
          <w:sz w:val="24"/>
          <w:szCs w:val="24"/>
          <w:highlight w:val="none"/>
          <w:lang w:val="en-US" w:eastAsia="zh-CN"/>
        </w:rPr>
        <w:t>2、</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每次付款前，</w:t>
      </w:r>
      <w:r>
        <w:rPr>
          <w:rFonts w:hint="eastAsia" w:ascii="宋体" w:hAnsi="宋体" w:cs="宋体"/>
          <w:snapToGrid w:val="0"/>
          <w:color w:val="auto"/>
          <w:kern w:val="0"/>
          <w:sz w:val="24"/>
          <w:szCs w:val="24"/>
          <w:highlight w:val="none"/>
          <w:lang w:eastAsia="zh-CN"/>
        </w:rPr>
        <w:t>出租方</w:t>
      </w:r>
      <w:r>
        <w:rPr>
          <w:rFonts w:hint="eastAsia" w:ascii="宋体" w:hAnsi="宋体" w:eastAsia="宋体" w:cs="宋体"/>
          <w:snapToGrid w:val="0"/>
          <w:color w:val="auto"/>
          <w:kern w:val="0"/>
          <w:sz w:val="24"/>
          <w:szCs w:val="24"/>
          <w:highlight w:val="none"/>
        </w:rPr>
        <w:t>需向</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提供与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所付金额相等的正规发票。</w:t>
      </w:r>
    </w:p>
    <w:p>
      <w:pPr>
        <w:widowControl/>
        <w:numPr>
          <w:numId w:val="0"/>
        </w:numPr>
        <w:shd w:val="clear" w:color="auto" w:fill="auto"/>
        <w:wordWrap/>
        <w:adjustRightInd w:val="0"/>
        <w:snapToGrid w:val="0"/>
        <w:spacing w:line="360" w:lineRule="auto"/>
        <w:ind w:left="0" w:leftChars="0" w:right="0" w:firstLine="482" w:firstLineChars="200"/>
        <w:jc w:val="left"/>
        <w:textAlignment w:val="auto"/>
        <w:outlineLvl w:val="9"/>
        <w:rPr>
          <w:rFonts w:hint="eastAsia" w:ascii="宋体" w:hAnsi="宋体" w:eastAsia="宋体" w:cs="宋体"/>
          <w:snapToGrid w:val="0"/>
          <w:color w:val="auto"/>
          <w:kern w:val="0"/>
          <w:sz w:val="24"/>
          <w:szCs w:val="24"/>
          <w:highlight w:val="none"/>
        </w:rPr>
      </w:pPr>
      <w:r>
        <w:rPr>
          <w:rFonts w:hint="eastAsia" w:ascii="宋体" w:hAnsi="宋体" w:eastAsia="宋体" w:cs="宋体"/>
          <w:b/>
          <w:bCs/>
          <w:color w:val="auto"/>
          <w:sz w:val="24"/>
          <w:highlight w:val="none"/>
          <w:lang w:eastAsia="zh-CN"/>
        </w:rPr>
        <w:t>五</w:t>
      </w:r>
      <w:r>
        <w:rPr>
          <w:rFonts w:hint="eastAsia" w:ascii="宋体" w:hAnsi="宋体" w:eastAsia="宋体" w:cs="宋体"/>
          <w:b/>
          <w:bCs/>
          <w:color w:val="auto"/>
          <w:sz w:val="24"/>
          <w:highlight w:val="none"/>
        </w:rPr>
        <w:t>、</w:t>
      </w:r>
      <w:r>
        <w:rPr>
          <w:rFonts w:hint="eastAsia" w:ascii="宋体" w:hAnsi="宋体" w:cs="宋体"/>
          <w:b/>
          <w:bCs/>
          <w:snapToGrid w:val="0"/>
          <w:color w:val="auto"/>
          <w:kern w:val="0"/>
          <w:sz w:val="24"/>
          <w:szCs w:val="24"/>
          <w:highlight w:val="none"/>
          <w:lang w:val="en-US" w:eastAsia="zh-CN"/>
        </w:rPr>
        <w:t>验收标准</w:t>
      </w:r>
      <w:r>
        <w:rPr>
          <w:rFonts w:hint="eastAsia" w:ascii="宋体" w:hAnsi="宋体" w:eastAsia="宋体" w:cs="宋体"/>
          <w:snapToGrid w:val="0"/>
          <w:color w:val="auto"/>
          <w:kern w:val="0"/>
          <w:sz w:val="24"/>
          <w:szCs w:val="24"/>
          <w:highlight w:val="none"/>
        </w:rPr>
        <w:t xml:space="preserve"> </w:t>
      </w:r>
    </w:p>
    <w:p>
      <w:pPr>
        <w:numPr>
          <w:numId w:val="0"/>
        </w:numPr>
        <w:wordWrap/>
        <w:adjustRightInd w:val="0"/>
        <w:snapToGrid w:val="0"/>
        <w:spacing w:line="360" w:lineRule="auto"/>
        <w:ind w:left="0" w:leftChars="0" w:right="0" w:firstLine="480" w:firstLineChars="200"/>
        <w:jc w:val="left"/>
        <w:textAlignment w:val="auto"/>
        <w:outlineLvl w:val="9"/>
        <w:rPr>
          <w:rFonts w:hint="eastAsia" w:ascii="宋体" w:hAnsi="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1、提供租赁车辆数量；</w:t>
      </w:r>
    </w:p>
    <w:p>
      <w:pPr>
        <w:numPr>
          <w:numId w:val="0"/>
        </w:numPr>
        <w:wordWrap/>
        <w:adjustRightInd w:val="0"/>
        <w:snapToGrid w:val="0"/>
        <w:spacing w:line="360" w:lineRule="auto"/>
        <w:ind w:left="0" w:leftChars="0" w:right="0" w:firstLine="480" w:firstLineChars="200"/>
        <w:jc w:val="left"/>
        <w:textAlignment w:val="auto"/>
        <w:outlineLvl w:val="9"/>
        <w:rPr>
          <w:rFonts w:hint="eastAsia" w:ascii="宋体" w:hAnsi="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2、车辆性能是否完好，车辆外观是否整洁，无损毁掉漆及买保险记录、</w:t>
      </w:r>
      <w:r>
        <w:rPr>
          <w:rFonts w:hint="default" w:ascii="宋体" w:hAnsi="宋体" w:cs="宋体"/>
          <w:snapToGrid w:val="0"/>
          <w:color w:val="auto"/>
          <w:kern w:val="0"/>
          <w:sz w:val="24"/>
          <w:szCs w:val="24"/>
          <w:highlight w:val="none"/>
          <w:lang w:val="en-US" w:eastAsia="zh-CN"/>
        </w:rPr>
        <w:t>维保记录、未处理违章记录</w:t>
      </w:r>
      <w:r>
        <w:rPr>
          <w:rFonts w:hint="eastAsia" w:ascii="宋体" w:hAnsi="宋体" w:cs="宋体"/>
          <w:snapToGrid w:val="0"/>
          <w:color w:val="auto"/>
          <w:kern w:val="0"/>
          <w:sz w:val="24"/>
          <w:szCs w:val="24"/>
          <w:highlight w:val="none"/>
          <w:lang w:val="en-US" w:eastAsia="zh-CN"/>
        </w:rPr>
        <w:t>及</w:t>
      </w:r>
      <w:r>
        <w:rPr>
          <w:rFonts w:hint="default" w:ascii="宋体" w:hAnsi="宋体" w:cs="宋体"/>
          <w:snapToGrid w:val="0"/>
          <w:color w:val="auto"/>
          <w:kern w:val="0"/>
          <w:sz w:val="24"/>
          <w:szCs w:val="24"/>
          <w:highlight w:val="none"/>
          <w:lang w:val="en-US" w:eastAsia="zh-CN"/>
        </w:rPr>
        <w:t>事故记录</w:t>
      </w:r>
      <w:r>
        <w:rPr>
          <w:rFonts w:hint="eastAsia" w:ascii="宋体" w:hAnsi="宋体" w:cs="宋体"/>
          <w:snapToGrid w:val="0"/>
          <w:color w:val="auto"/>
          <w:kern w:val="0"/>
          <w:sz w:val="24"/>
          <w:szCs w:val="24"/>
          <w:highlight w:val="none"/>
          <w:lang w:val="en-US" w:eastAsia="zh-CN"/>
        </w:rPr>
        <w:t>情况。</w:t>
      </w:r>
    </w:p>
    <w:p>
      <w:pPr>
        <w:numPr>
          <w:numId w:val="0"/>
        </w:numPr>
        <w:wordWrap/>
        <w:adjustRightInd w:val="0"/>
        <w:snapToGrid w:val="0"/>
        <w:spacing w:line="360" w:lineRule="auto"/>
        <w:ind w:left="0" w:leftChars="0" w:right="0" w:firstLine="480" w:firstLineChars="200"/>
        <w:jc w:val="left"/>
        <w:textAlignment w:val="auto"/>
        <w:outlineLvl w:val="9"/>
        <w:rPr>
          <w:rFonts w:hint="eastAsia" w:ascii="宋体" w:hAnsi="宋体" w:cs="宋体"/>
          <w:snapToGrid w:val="0"/>
          <w:color w:val="auto"/>
          <w:kern w:val="0"/>
          <w:sz w:val="24"/>
          <w:szCs w:val="24"/>
          <w:highlight w:val="none"/>
          <w:lang w:val="en-US" w:eastAsia="zh-CN"/>
        </w:rPr>
      </w:pPr>
      <w:r>
        <w:rPr>
          <w:rFonts w:hint="eastAsia" w:ascii="宋体" w:hAnsi="宋体" w:cs="宋体"/>
          <w:snapToGrid w:val="0"/>
          <w:color w:val="auto"/>
          <w:kern w:val="0"/>
          <w:sz w:val="24"/>
          <w:szCs w:val="24"/>
          <w:highlight w:val="none"/>
          <w:lang w:val="en-US" w:eastAsia="zh-CN"/>
        </w:rPr>
        <w:t>3、有无按标书要求提供车型，喷涂标识，有无按时维护保养，按时购买车辆保险，应急响应是否到位；</w:t>
      </w:r>
    </w:p>
    <w:p>
      <w:pPr>
        <w:numPr>
          <w:numId w:val="0"/>
        </w:numPr>
        <w:wordWrap/>
        <w:adjustRightInd w:val="0"/>
        <w:snapToGrid w:val="0"/>
        <w:spacing w:line="360" w:lineRule="auto"/>
        <w:ind w:left="0" w:leftChars="0" w:right="0" w:firstLine="480" w:firstLineChars="200"/>
        <w:jc w:val="left"/>
        <w:textAlignment w:val="auto"/>
        <w:outlineLvl w:val="9"/>
        <w:rPr>
          <w:rFonts w:hint="eastAsia" w:ascii="宋体" w:hAnsi="宋体" w:eastAsia="宋体" w:cs="宋体"/>
          <w:b/>
          <w:bCs/>
          <w:color w:val="auto"/>
          <w:sz w:val="24"/>
          <w:highlight w:val="none"/>
          <w:lang w:val="en-US" w:eastAsia="zh-CN"/>
        </w:rPr>
      </w:pPr>
      <w:r>
        <w:rPr>
          <w:rFonts w:hint="eastAsia" w:ascii="宋体" w:hAnsi="宋体" w:cs="宋体"/>
          <w:snapToGrid w:val="0"/>
          <w:color w:val="auto"/>
          <w:kern w:val="0"/>
          <w:sz w:val="24"/>
          <w:szCs w:val="24"/>
          <w:highlight w:val="none"/>
          <w:lang w:val="en-US" w:eastAsia="zh-CN"/>
        </w:rPr>
        <w:t>4、提供租赁车辆有效的随车证件（行驶证、随车标志、使用说明书、维修保养手册等）。</w:t>
      </w:r>
    </w:p>
    <w:p>
      <w:pPr>
        <w:wordWrap/>
        <w:adjustRightInd w:val="0"/>
        <w:spacing w:line="360" w:lineRule="auto"/>
        <w:ind w:left="0" w:leftChars="0" w:right="0" w:firstLine="482" w:firstLineChars="200"/>
        <w:textAlignment w:val="auto"/>
        <w:outlineLvl w:val="9"/>
        <w:rPr>
          <w:rFonts w:hint="eastAsia" w:ascii="宋体" w:hAnsi="宋体" w:cs="宋体"/>
          <w:b/>
          <w:bCs/>
          <w:color w:val="auto"/>
          <w:sz w:val="24"/>
          <w:highlight w:val="none"/>
          <w:lang w:eastAsia="zh-CN"/>
        </w:rPr>
      </w:pPr>
      <w:r>
        <w:rPr>
          <w:rFonts w:hint="eastAsia" w:ascii="宋体" w:hAnsi="宋体" w:cs="宋体"/>
          <w:b/>
          <w:bCs/>
          <w:color w:val="auto"/>
          <w:sz w:val="24"/>
          <w:highlight w:val="none"/>
          <w:lang w:val="en-US" w:eastAsia="zh-CN"/>
        </w:rPr>
        <w:t>六</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其他要求</w:t>
      </w:r>
    </w:p>
    <w:p>
      <w:pPr>
        <w:widowControl w:val="0"/>
        <w:numPr>
          <w:numId w:val="0"/>
        </w:numPr>
        <w:wordWrap/>
        <w:adjustRightInd w:val="0"/>
        <w:snapToGrid w:val="0"/>
        <w:spacing w:line="360" w:lineRule="auto"/>
        <w:ind w:left="0" w:leftChars="0" w:right="0" w:firstLine="480" w:firstLineChars="200"/>
        <w:jc w:val="left"/>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1</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采购人向供应商提供的有关资料和数据，是采购人现有的能提供供应商利用的资料，采购人对供应商由此而做出的推论、理解和结论概不负责。</w:t>
      </w:r>
    </w:p>
    <w:p>
      <w:pPr>
        <w:widowControl w:val="0"/>
        <w:numPr>
          <w:numId w:val="0"/>
        </w:numPr>
        <w:wordWrap/>
        <w:adjustRightInd w:val="0"/>
        <w:snapToGrid w:val="0"/>
        <w:spacing w:line="360" w:lineRule="auto"/>
        <w:ind w:left="0" w:leftChars="0" w:right="0" w:firstLine="480" w:firstLineChars="200"/>
        <w:jc w:val="left"/>
        <w:textAlignment w:val="auto"/>
        <w:outlineLvl w:val="9"/>
        <w:rPr>
          <w:rFonts w:hint="eastAsia" w:ascii="宋体" w:hAnsi="宋体" w:eastAsia="宋体" w:cs="宋体"/>
          <w:snapToGrid w:val="0"/>
          <w:color w:val="auto"/>
          <w:kern w:val="0"/>
          <w:sz w:val="24"/>
          <w:szCs w:val="24"/>
          <w:highlight w:val="none"/>
          <w:lang w:val="en-US" w:eastAsia="zh-CN"/>
        </w:rPr>
      </w:pPr>
      <w:r>
        <w:rPr>
          <w:rFonts w:hint="eastAsia" w:ascii="宋体" w:hAnsi="宋体" w:eastAsia="宋体" w:cs="宋体"/>
          <w:snapToGrid w:val="0"/>
          <w:color w:val="auto"/>
          <w:kern w:val="0"/>
          <w:sz w:val="24"/>
          <w:szCs w:val="24"/>
          <w:highlight w:val="none"/>
          <w:lang w:val="en-US" w:eastAsia="zh-CN"/>
        </w:rPr>
        <w:t>2</w:t>
      </w:r>
      <w:r>
        <w:rPr>
          <w:rFonts w:hint="eastAsia" w:ascii="宋体" w:hAnsi="宋体" w:cs="宋体"/>
          <w:snapToGrid w:val="0"/>
          <w:color w:val="auto"/>
          <w:kern w:val="0"/>
          <w:sz w:val="24"/>
          <w:szCs w:val="24"/>
          <w:highlight w:val="none"/>
          <w:lang w:val="en-US" w:eastAsia="zh-CN"/>
        </w:rPr>
        <w:t>、</w:t>
      </w:r>
      <w:r>
        <w:rPr>
          <w:rFonts w:hint="eastAsia" w:ascii="宋体" w:hAnsi="宋体" w:eastAsia="宋体" w:cs="宋体"/>
          <w:snapToGrid w:val="0"/>
          <w:color w:val="auto"/>
          <w:kern w:val="0"/>
          <w:sz w:val="24"/>
          <w:szCs w:val="24"/>
          <w:highlight w:val="none"/>
          <w:lang w:val="en-US" w:eastAsia="zh-CN"/>
        </w:rPr>
        <w:t>采购人提供的全部资料及成交供应商生产的</w:t>
      </w:r>
      <w:r>
        <w:rPr>
          <w:rFonts w:hint="eastAsia" w:ascii="宋体" w:hAnsi="宋体" w:cs="宋体"/>
          <w:snapToGrid w:val="0"/>
          <w:color w:val="auto"/>
          <w:kern w:val="0"/>
          <w:sz w:val="24"/>
          <w:szCs w:val="24"/>
          <w:highlight w:val="none"/>
          <w:lang w:val="en-US" w:eastAsia="zh-CN"/>
        </w:rPr>
        <w:t>采购</w:t>
      </w:r>
      <w:r>
        <w:rPr>
          <w:rFonts w:hint="eastAsia" w:ascii="宋体" w:hAnsi="宋体" w:eastAsia="宋体" w:cs="宋体"/>
          <w:snapToGrid w:val="0"/>
          <w:color w:val="auto"/>
          <w:kern w:val="0"/>
          <w:sz w:val="24"/>
          <w:szCs w:val="24"/>
          <w:highlight w:val="none"/>
          <w:lang w:val="en-US" w:eastAsia="zh-CN"/>
        </w:rPr>
        <w:t>资料（包括中间资料）其版权归采购人所有，成交供应商不得自留使用或以任何方式转让或提供给第三方使用。</w:t>
      </w:r>
    </w:p>
    <w:p>
      <w:pPr>
        <w:wordWrap/>
        <w:adjustRightInd w:val="0"/>
        <w:spacing w:line="360" w:lineRule="auto"/>
        <w:ind w:firstLine="120" w:firstLineChars="50"/>
        <w:textAlignment w:val="auto"/>
        <w:rPr>
          <w:rFonts w:ascii="宋体" w:hAnsi="宋体" w:cs="宋体"/>
          <w:b/>
          <w:color w:val="auto"/>
          <w:sz w:val="36"/>
          <w:szCs w:val="36"/>
          <w:highlight w:val="none"/>
        </w:rPr>
      </w:pPr>
      <w:r>
        <w:rPr>
          <w:rFonts w:hint="eastAsia" w:ascii="宋体" w:hAnsi="宋体" w:cs="宋体"/>
          <w:snapToGrid w:val="0"/>
          <w:color w:val="auto"/>
          <w:kern w:val="0"/>
          <w:sz w:val="24"/>
          <w:szCs w:val="24"/>
          <w:highlight w:val="none"/>
          <w:lang w:val="en-US" w:eastAsia="zh-CN"/>
        </w:rPr>
        <w:t xml:space="preserve">   3、</w:t>
      </w:r>
      <w:r>
        <w:rPr>
          <w:rFonts w:hint="eastAsia" w:ascii="宋体" w:hAnsi="宋体" w:eastAsia="宋体" w:cs="宋体"/>
          <w:snapToGrid w:val="0"/>
          <w:color w:val="auto"/>
          <w:kern w:val="0"/>
          <w:sz w:val="24"/>
          <w:szCs w:val="24"/>
          <w:highlight w:val="none"/>
          <w:lang w:val="en-US" w:eastAsia="zh-CN"/>
        </w:rPr>
        <w:t>成交供应商不得</w:t>
      </w:r>
      <w:r>
        <w:rPr>
          <w:rFonts w:hint="eastAsia" w:ascii="宋体" w:hAnsi="宋体" w:cs="宋体"/>
          <w:snapToGrid w:val="0"/>
          <w:color w:val="auto"/>
          <w:kern w:val="0"/>
          <w:sz w:val="24"/>
          <w:szCs w:val="24"/>
          <w:highlight w:val="none"/>
          <w:lang w:val="en-US" w:eastAsia="zh-CN"/>
        </w:rPr>
        <w:t>有</w:t>
      </w:r>
      <w:r>
        <w:rPr>
          <w:rFonts w:hint="eastAsia" w:ascii="宋体" w:hAnsi="宋体" w:eastAsia="宋体" w:cs="宋体"/>
          <w:snapToGrid w:val="0"/>
          <w:color w:val="auto"/>
          <w:kern w:val="0"/>
          <w:sz w:val="24"/>
          <w:szCs w:val="24"/>
          <w:highlight w:val="none"/>
          <w:lang w:val="en-US" w:eastAsia="zh-CN"/>
        </w:rPr>
        <w:t>违反法律法规的其他情形，若经采购人发现，采购人有权终止合同，由此产生的一切经济、法律责任均由成交供应商承担。</w:t>
      </w:r>
    </w:p>
    <w:p>
      <w:pPr>
        <w:spacing w:line="360" w:lineRule="auto"/>
        <w:ind w:firstLine="181" w:firstLineChars="50"/>
        <w:rPr>
          <w:rFonts w:ascii="宋体" w:hAnsi="宋体" w:cs="宋体"/>
          <w:b/>
          <w:color w:val="auto"/>
          <w:sz w:val="36"/>
          <w:szCs w:val="36"/>
          <w:highlight w:val="none"/>
        </w:rPr>
      </w:pPr>
    </w:p>
    <w:p>
      <w:pPr>
        <w:spacing w:line="360" w:lineRule="auto"/>
        <w:rPr>
          <w:rFonts w:ascii="宋体" w:hAnsi="宋体" w:cs="宋体"/>
          <w:color w:val="auto"/>
          <w:sz w:val="24"/>
          <w:highlight w:val="none"/>
        </w:rPr>
      </w:pPr>
    </w:p>
    <w:p>
      <w:pPr>
        <w:widowControl/>
        <w:ind w:firstLine="720" w:firstLineChars="300"/>
        <w:jc w:val="left"/>
        <w:rPr>
          <w:rFonts w:ascii="宋体" w:hAnsi="宋体" w:cs="宋体"/>
          <w:bCs/>
          <w:color w:val="auto"/>
          <w:sz w:val="24"/>
          <w:highlight w:val="none"/>
        </w:rPr>
      </w:pPr>
    </w:p>
    <w:p>
      <w:pPr>
        <w:rPr>
          <w:rFonts w:ascii="宋体" w:hAnsi="宋体" w:cs="宋体"/>
          <w:snapToGrid w:val="0"/>
          <w:color w:val="auto"/>
          <w:kern w:val="0"/>
          <w:sz w:val="24"/>
          <w:highlight w:val="none"/>
        </w:r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4453"/>
      <w:bookmarkEnd w:id="28"/>
      <w:bookmarkStart w:id="29" w:name="_Toc184310308"/>
      <w:bookmarkEnd w:id="29"/>
      <w:bookmarkStart w:id="30" w:name="_Toc184313298"/>
      <w:bookmarkEnd w:id="30"/>
      <w:bookmarkStart w:id="31" w:name="_Toc184312098"/>
      <w:bookmarkEnd w:id="31"/>
      <w:bookmarkStart w:id="32" w:name="_Toc184313242"/>
      <w:bookmarkEnd w:id="32"/>
      <w:bookmarkStart w:id="33" w:name="_Toc184313265"/>
      <w:bookmarkEnd w:id="33"/>
      <w:bookmarkStart w:id="34" w:name="_Toc184310286"/>
      <w:bookmarkEnd w:id="34"/>
      <w:bookmarkStart w:id="35" w:name="_Toc184314479"/>
      <w:bookmarkEnd w:id="35"/>
      <w:bookmarkStart w:id="36" w:name="_Toc184308055"/>
      <w:bookmarkEnd w:id="36"/>
      <w:bookmarkStart w:id="37" w:name="_Toc184312123"/>
      <w:bookmarkEnd w:id="37"/>
      <w:bookmarkStart w:id="38" w:name="_Toc184312079"/>
      <w:bookmarkEnd w:id="38"/>
      <w:bookmarkStart w:id="39" w:name="_Toc184312102"/>
      <w:bookmarkEnd w:id="39"/>
      <w:bookmarkStart w:id="40" w:name="_Toc184310325"/>
      <w:bookmarkEnd w:id="40"/>
      <w:bookmarkStart w:id="41" w:name="_Toc184312137"/>
      <w:bookmarkEnd w:id="41"/>
      <w:bookmarkStart w:id="42" w:name="_Toc184310317"/>
      <w:bookmarkEnd w:id="42"/>
      <w:bookmarkStart w:id="43" w:name="_Toc184310337"/>
      <w:bookmarkEnd w:id="43"/>
      <w:bookmarkStart w:id="44" w:name="_Toc184313287"/>
      <w:bookmarkEnd w:id="44"/>
      <w:bookmarkStart w:id="45" w:name="_Toc184312116"/>
      <w:bookmarkEnd w:id="45"/>
      <w:bookmarkStart w:id="46" w:name="_Toc184308084"/>
      <w:bookmarkEnd w:id="46"/>
      <w:bookmarkStart w:id="47" w:name="_Toc184308040"/>
      <w:bookmarkEnd w:id="47"/>
      <w:bookmarkStart w:id="48" w:name="_Toc184312113"/>
      <w:bookmarkEnd w:id="48"/>
      <w:bookmarkStart w:id="49" w:name="_Toc184308088"/>
      <w:bookmarkEnd w:id="49"/>
      <w:bookmarkStart w:id="50" w:name="_Toc184312073"/>
      <w:bookmarkEnd w:id="50"/>
      <w:bookmarkStart w:id="51" w:name="_Toc184308043"/>
      <w:bookmarkEnd w:id="51"/>
      <w:bookmarkStart w:id="52" w:name="_Toc184313288"/>
      <w:bookmarkEnd w:id="52"/>
      <w:bookmarkStart w:id="53" w:name="_Toc184308048"/>
      <w:bookmarkEnd w:id="53"/>
      <w:bookmarkStart w:id="54" w:name="_Toc184313241"/>
      <w:bookmarkEnd w:id="54"/>
      <w:bookmarkStart w:id="55" w:name="_Toc184312068"/>
      <w:bookmarkEnd w:id="55"/>
      <w:bookmarkStart w:id="56" w:name="_Toc184313238"/>
      <w:bookmarkEnd w:id="56"/>
      <w:bookmarkStart w:id="57" w:name="_Toc184312087"/>
      <w:bookmarkEnd w:id="57"/>
      <w:bookmarkStart w:id="58" w:name="_Toc184312109"/>
      <w:bookmarkEnd w:id="58"/>
      <w:bookmarkStart w:id="59" w:name="_Toc184314439"/>
      <w:bookmarkEnd w:id="59"/>
      <w:bookmarkStart w:id="60" w:name="_Toc184314457"/>
      <w:bookmarkEnd w:id="60"/>
      <w:bookmarkStart w:id="61" w:name="_Toc184313303"/>
      <w:bookmarkEnd w:id="61"/>
      <w:bookmarkStart w:id="62" w:name="_Toc184314465"/>
      <w:bookmarkEnd w:id="62"/>
      <w:bookmarkStart w:id="63" w:name="_Toc184313274"/>
      <w:bookmarkEnd w:id="63"/>
      <w:bookmarkStart w:id="64" w:name="_Toc184314477"/>
      <w:bookmarkEnd w:id="64"/>
      <w:bookmarkStart w:id="65" w:name="_Toc184313260"/>
      <w:bookmarkEnd w:id="65"/>
      <w:bookmarkStart w:id="66" w:name="_Toc184313301"/>
      <w:bookmarkEnd w:id="66"/>
      <w:bookmarkStart w:id="67" w:name="_Toc184308090"/>
      <w:bookmarkEnd w:id="67"/>
      <w:bookmarkStart w:id="68" w:name="_Toc184313259"/>
      <w:bookmarkEnd w:id="68"/>
      <w:bookmarkStart w:id="69" w:name="_Toc184308091"/>
      <w:bookmarkEnd w:id="69"/>
      <w:bookmarkStart w:id="70" w:name="_Toc184308096"/>
      <w:bookmarkEnd w:id="70"/>
      <w:bookmarkStart w:id="71" w:name="_Toc184312081"/>
      <w:bookmarkEnd w:id="71"/>
      <w:bookmarkStart w:id="72" w:name="_Toc184313294"/>
      <w:bookmarkEnd w:id="72"/>
      <w:bookmarkStart w:id="73" w:name="_Toc184312074"/>
      <w:bookmarkEnd w:id="73"/>
      <w:bookmarkStart w:id="74" w:name="_Toc184310342"/>
      <w:bookmarkEnd w:id="74"/>
      <w:bookmarkStart w:id="75" w:name="_Toc184313267"/>
      <w:bookmarkEnd w:id="75"/>
      <w:bookmarkStart w:id="76" w:name="_Toc184314470"/>
      <w:bookmarkEnd w:id="76"/>
      <w:bookmarkStart w:id="77" w:name="_Toc184314431"/>
      <w:bookmarkEnd w:id="77"/>
      <w:bookmarkStart w:id="78" w:name="_Toc184312097"/>
      <w:bookmarkEnd w:id="78"/>
      <w:bookmarkStart w:id="79" w:name="_Toc184308066"/>
      <w:bookmarkEnd w:id="79"/>
      <w:bookmarkStart w:id="80" w:name="_Toc184314417"/>
      <w:bookmarkEnd w:id="80"/>
      <w:bookmarkStart w:id="81" w:name="_Toc184310297"/>
      <w:bookmarkEnd w:id="81"/>
      <w:bookmarkStart w:id="82" w:name="_Toc184308086"/>
      <w:bookmarkEnd w:id="82"/>
      <w:bookmarkStart w:id="83" w:name="_Toc184313266"/>
      <w:bookmarkEnd w:id="83"/>
      <w:bookmarkStart w:id="84" w:name="_Toc184313254"/>
      <w:bookmarkEnd w:id="84"/>
      <w:bookmarkStart w:id="85" w:name="_Toc184312072"/>
      <w:bookmarkEnd w:id="85"/>
      <w:bookmarkStart w:id="86" w:name="_Toc184308044"/>
      <w:bookmarkEnd w:id="86"/>
      <w:bookmarkStart w:id="87" w:name="_Toc184313281"/>
      <w:bookmarkEnd w:id="87"/>
      <w:bookmarkStart w:id="88" w:name="_Toc184314432"/>
      <w:bookmarkEnd w:id="88"/>
      <w:bookmarkStart w:id="89" w:name="_Toc184310299"/>
      <w:bookmarkEnd w:id="89"/>
      <w:bookmarkStart w:id="90" w:name="_Toc184314447"/>
      <w:bookmarkEnd w:id="90"/>
      <w:bookmarkStart w:id="91" w:name="_Toc184308071"/>
      <w:bookmarkEnd w:id="91"/>
      <w:bookmarkStart w:id="92" w:name="_Toc184312085"/>
      <w:bookmarkEnd w:id="92"/>
      <w:bookmarkStart w:id="93" w:name="_Toc184308102"/>
      <w:bookmarkEnd w:id="93"/>
      <w:bookmarkStart w:id="94" w:name="_Toc184313248"/>
      <w:bookmarkEnd w:id="94"/>
      <w:bookmarkStart w:id="95" w:name="_Toc184313264"/>
      <w:bookmarkEnd w:id="95"/>
      <w:bookmarkStart w:id="96" w:name="_Toc184308106"/>
      <w:bookmarkEnd w:id="96"/>
      <w:bookmarkStart w:id="97" w:name="_Toc184314463"/>
      <w:bookmarkEnd w:id="97"/>
      <w:bookmarkStart w:id="98" w:name="_Toc184308094"/>
      <w:bookmarkEnd w:id="98"/>
      <w:bookmarkStart w:id="99" w:name="_Toc184310344"/>
      <w:bookmarkEnd w:id="99"/>
      <w:bookmarkStart w:id="100" w:name="_Toc184314425"/>
      <w:bookmarkEnd w:id="100"/>
      <w:bookmarkStart w:id="101" w:name="_Toc184313245"/>
      <w:bookmarkEnd w:id="101"/>
      <w:bookmarkStart w:id="102" w:name="_Toc184310274"/>
      <w:bookmarkEnd w:id="102"/>
      <w:bookmarkStart w:id="103" w:name="_Toc184308075"/>
      <w:bookmarkEnd w:id="103"/>
      <w:bookmarkStart w:id="104" w:name="_Toc184312111"/>
      <w:bookmarkEnd w:id="104"/>
      <w:bookmarkStart w:id="105" w:name="_Toc184310318"/>
      <w:bookmarkEnd w:id="105"/>
      <w:bookmarkStart w:id="106" w:name="_Toc184308064"/>
      <w:bookmarkEnd w:id="106"/>
      <w:bookmarkStart w:id="107" w:name="_Toc184313308"/>
      <w:bookmarkEnd w:id="107"/>
      <w:bookmarkStart w:id="108" w:name="_Toc184312120"/>
      <w:bookmarkEnd w:id="108"/>
      <w:bookmarkStart w:id="109" w:name="_Toc184308059"/>
      <w:bookmarkEnd w:id="109"/>
      <w:bookmarkStart w:id="110" w:name="_Toc184313299"/>
      <w:bookmarkEnd w:id="110"/>
      <w:bookmarkStart w:id="111" w:name="_Toc184313262"/>
      <w:bookmarkEnd w:id="111"/>
      <w:bookmarkStart w:id="112" w:name="_Toc184312106"/>
      <w:bookmarkEnd w:id="112"/>
      <w:bookmarkStart w:id="113" w:name="_Toc184310335"/>
      <w:bookmarkEnd w:id="113"/>
      <w:bookmarkStart w:id="114" w:name="_Toc184308087"/>
      <w:bookmarkEnd w:id="114"/>
      <w:bookmarkStart w:id="115" w:name="_Toc184314480"/>
      <w:bookmarkEnd w:id="115"/>
      <w:bookmarkStart w:id="116" w:name="_Toc184312092"/>
      <w:bookmarkEnd w:id="116"/>
      <w:bookmarkStart w:id="117" w:name="_Toc184310326"/>
      <w:bookmarkEnd w:id="117"/>
      <w:bookmarkStart w:id="118" w:name="_Toc184310277"/>
      <w:bookmarkEnd w:id="118"/>
      <w:bookmarkStart w:id="119" w:name="_Toc184314482"/>
      <w:bookmarkEnd w:id="119"/>
      <w:bookmarkStart w:id="120" w:name="_Toc184308089"/>
      <w:bookmarkEnd w:id="120"/>
      <w:bookmarkStart w:id="121" w:name="_Toc184308062"/>
      <w:bookmarkEnd w:id="121"/>
      <w:bookmarkStart w:id="122" w:name="_Toc184308083"/>
      <w:bookmarkEnd w:id="122"/>
      <w:bookmarkStart w:id="123" w:name="_Toc184308042"/>
      <w:bookmarkEnd w:id="123"/>
      <w:bookmarkStart w:id="124" w:name="_Toc184310328"/>
      <w:bookmarkEnd w:id="124"/>
      <w:bookmarkStart w:id="125" w:name="_Toc184314462"/>
      <w:bookmarkEnd w:id="125"/>
      <w:bookmarkStart w:id="126" w:name="_Toc184314449"/>
      <w:bookmarkEnd w:id="126"/>
      <w:bookmarkStart w:id="127" w:name="_Toc184312071"/>
      <w:bookmarkEnd w:id="127"/>
      <w:bookmarkStart w:id="128" w:name="_Toc184310289"/>
      <w:bookmarkEnd w:id="128"/>
      <w:bookmarkStart w:id="129" w:name="_Toc184310333"/>
      <w:bookmarkEnd w:id="129"/>
      <w:bookmarkStart w:id="130" w:name="_Toc184314434"/>
      <w:bookmarkEnd w:id="130"/>
      <w:bookmarkStart w:id="131" w:name="_Toc184313256"/>
      <w:bookmarkEnd w:id="131"/>
      <w:bookmarkStart w:id="132" w:name="_Toc184313243"/>
      <w:bookmarkEnd w:id="132"/>
      <w:bookmarkStart w:id="133" w:name="_Toc184314442"/>
      <w:bookmarkEnd w:id="133"/>
      <w:bookmarkStart w:id="134" w:name="_Toc184314467"/>
      <w:bookmarkEnd w:id="134"/>
      <w:bookmarkStart w:id="135" w:name="_Toc184314473"/>
      <w:bookmarkEnd w:id="135"/>
      <w:bookmarkStart w:id="136" w:name="_Toc184308041"/>
      <w:bookmarkEnd w:id="136"/>
      <w:bookmarkStart w:id="137" w:name="_Toc184314459"/>
      <w:bookmarkEnd w:id="137"/>
      <w:bookmarkStart w:id="138" w:name="_Toc184312108"/>
      <w:bookmarkEnd w:id="138"/>
      <w:bookmarkStart w:id="139" w:name="_Toc184310301"/>
      <w:bookmarkEnd w:id="139"/>
      <w:bookmarkStart w:id="140" w:name="_Toc184312100"/>
      <w:bookmarkEnd w:id="140"/>
      <w:bookmarkStart w:id="141" w:name="_Toc184314443"/>
      <w:bookmarkEnd w:id="141"/>
      <w:bookmarkStart w:id="142" w:name="_Toc184308038"/>
      <w:bookmarkEnd w:id="142"/>
      <w:bookmarkStart w:id="143" w:name="_Toc184310290"/>
      <w:bookmarkEnd w:id="143"/>
      <w:bookmarkStart w:id="144" w:name="_Toc184312077"/>
      <w:bookmarkEnd w:id="144"/>
      <w:bookmarkStart w:id="145" w:name="_Toc184308103"/>
      <w:bookmarkEnd w:id="145"/>
      <w:bookmarkStart w:id="146" w:name="_Toc184312084"/>
      <w:bookmarkEnd w:id="146"/>
      <w:bookmarkStart w:id="147" w:name="_Toc184314458"/>
      <w:bookmarkEnd w:id="147"/>
      <w:bookmarkStart w:id="148" w:name="_Toc184310276"/>
      <w:bookmarkEnd w:id="148"/>
      <w:bookmarkStart w:id="149" w:name="_Toc184310279"/>
      <w:bookmarkEnd w:id="149"/>
      <w:bookmarkStart w:id="150" w:name="_Toc184310291"/>
      <w:bookmarkEnd w:id="150"/>
      <w:bookmarkStart w:id="151" w:name="_Toc184308057"/>
      <w:bookmarkEnd w:id="151"/>
      <w:bookmarkStart w:id="152" w:name="_Toc184313261"/>
      <w:bookmarkEnd w:id="152"/>
      <w:bookmarkStart w:id="153" w:name="_Toc184308105"/>
      <w:bookmarkEnd w:id="153"/>
      <w:bookmarkStart w:id="154" w:name="_Toc184313239"/>
      <w:bookmarkEnd w:id="154"/>
      <w:bookmarkStart w:id="155" w:name="_Toc184314474"/>
      <w:bookmarkEnd w:id="155"/>
      <w:bookmarkStart w:id="156" w:name="_Toc184308067"/>
      <w:bookmarkEnd w:id="156"/>
      <w:bookmarkStart w:id="157" w:name="_Toc184313257"/>
      <w:bookmarkEnd w:id="157"/>
      <w:bookmarkStart w:id="158" w:name="_Toc184310339"/>
      <w:bookmarkEnd w:id="158"/>
      <w:bookmarkStart w:id="159" w:name="_Toc184314461"/>
      <w:bookmarkEnd w:id="159"/>
      <w:bookmarkStart w:id="160" w:name="_Toc184310316"/>
      <w:bookmarkEnd w:id="160"/>
      <w:bookmarkStart w:id="161" w:name="_Toc184308065"/>
      <w:bookmarkEnd w:id="161"/>
      <w:bookmarkStart w:id="162" w:name="_Toc184312082"/>
      <w:bookmarkEnd w:id="162"/>
      <w:bookmarkStart w:id="163" w:name="_Toc184313273"/>
      <w:bookmarkEnd w:id="163"/>
      <w:bookmarkStart w:id="164" w:name="_Toc184308037"/>
      <w:bookmarkEnd w:id="164"/>
      <w:bookmarkStart w:id="165" w:name="_Toc184313270"/>
      <w:bookmarkEnd w:id="165"/>
      <w:bookmarkStart w:id="166" w:name="_Toc184312133"/>
      <w:bookmarkEnd w:id="166"/>
      <w:bookmarkStart w:id="167" w:name="_Toc184312122"/>
      <w:bookmarkEnd w:id="167"/>
      <w:bookmarkStart w:id="168" w:name="_Toc184310309"/>
      <w:bookmarkEnd w:id="168"/>
      <w:bookmarkStart w:id="169" w:name="_Toc184312114"/>
      <w:bookmarkEnd w:id="169"/>
      <w:bookmarkStart w:id="170" w:name="_Toc184310321"/>
      <w:bookmarkEnd w:id="170"/>
      <w:bookmarkStart w:id="171" w:name="_Toc184310322"/>
      <w:bookmarkEnd w:id="171"/>
      <w:bookmarkStart w:id="172" w:name="_Toc184312121"/>
      <w:bookmarkEnd w:id="172"/>
      <w:bookmarkStart w:id="173" w:name="_Toc184310275"/>
      <w:bookmarkEnd w:id="173"/>
      <w:bookmarkStart w:id="174" w:name="_Toc184314416"/>
      <w:bookmarkEnd w:id="174"/>
      <w:bookmarkStart w:id="175" w:name="_Toc184314436"/>
      <w:bookmarkEnd w:id="175"/>
      <w:bookmarkStart w:id="176" w:name="_Toc184312125"/>
      <w:bookmarkEnd w:id="176"/>
      <w:bookmarkStart w:id="177" w:name="_Toc184313304"/>
      <w:bookmarkEnd w:id="177"/>
      <w:bookmarkStart w:id="178" w:name="_Toc184310331"/>
      <w:bookmarkEnd w:id="178"/>
      <w:bookmarkStart w:id="179" w:name="_Toc184308058"/>
      <w:bookmarkEnd w:id="179"/>
      <w:bookmarkStart w:id="180" w:name="_Toc184313300"/>
      <w:bookmarkEnd w:id="180"/>
      <w:bookmarkStart w:id="181" w:name="_Toc184310341"/>
      <w:bookmarkEnd w:id="181"/>
      <w:bookmarkStart w:id="182" w:name="_Toc184312069"/>
      <w:bookmarkEnd w:id="182"/>
      <w:bookmarkStart w:id="183" w:name="_Toc184314433"/>
      <w:bookmarkEnd w:id="183"/>
      <w:bookmarkStart w:id="184" w:name="_Toc184314438"/>
      <w:bookmarkEnd w:id="184"/>
      <w:bookmarkStart w:id="185" w:name="_Toc184310303"/>
      <w:bookmarkEnd w:id="185"/>
      <w:bookmarkStart w:id="186" w:name="_Toc184313272"/>
      <w:bookmarkEnd w:id="186"/>
      <w:bookmarkStart w:id="187" w:name="_Toc184314412"/>
      <w:bookmarkEnd w:id="187"/>
      <w:bookmarkStart w:id="188" w:name="_Toc184308056"/>
      <w:bookmarkEnd w:id="188"/>
      <w:bookmarkStart w:id="189" w:name="_Toc184308081"/>
      <w:bookmarkEnd w:id="189"/>
      <w:bookmarkStart w:id="190" w:name="_Toc184310278"/>
      <w:bookmarkEnd w:id="190"/>
      <w:bookmarkStart w:id="191" w:name="_Toc184308061"/>
      <w:bookmarkEnd w:id="191"/>
      <w:bookmarkStart w:id="192" w:name="_Toc184310311"/>
      <w:bookmarkEnd w:id="192"/>
      <w:bookmarkStart w:id="193" w:name="_Toc184310288"/>
      <w:bookmarkEnd w:id="193"/>
      <w:bookmarkStart w:id="194" w:name="_Toc184313249"/>
      <w:bookmarkEnd w:id="194"/>
      <w:bookmarkStart w:id="195" w:name="_Toc184314441"/>
      <w:bookmarkEnd w:id="195"/>
      <w:bookmarkStart w:id="196" w:name="_Toc184313290"/>
      <w:bookmarkEnd w:id="196"/>
      <w:bookmarkStart w:id="197" w:name="_Toc184313280"/>
      <w:bookmarkEnd w:id="197"/>
      <w:bookmarkStart w:id="198" w:name="_Toc184314419"/>
      <w:bookmarkEnd w:id="198"/>
      <w:bookmarkStart w:id="199" w:name="_Toc184314466"/>
      <w:bookmarkEnd w:id="199"/>
      <w:bookmarkStart w:id="200" w:name="_Toc184308069"/>
      <w:bookmarkEnd w:id="200"/>
      <w:bookmarkStart w:id="201" w:name="_Toc184313307"/>
      <w:bookmarkEnd w:id="201"/>
      <w:bookmarkStart w:id="202" w:name="_Toc184312089"/>
      <w:bookmarkEnd w:id="202"/>
      <w:bookmarkStart w:id="203" w:name="_Toc184308104"/>
      <w:bookmarkEnd w:id="203"/>
      <w:bookmarkStart w:id="204" w:name="_Toc184312095"/>
      <w:bookmarkEnd w:id="204"/>
      <w:bookmarkStart w:id="205" w:name="_Toc184312127"/>
      <w:bookmarkEnd w:id="205"/>
      <w:bookmarkStart w:id="206" w:name="_Toc184310307"/>
      <w:bookmarkEnd w:id="206"/>
      <w:bookmarkStart w:id="207" w:name="_Toc184314440"/>
      <w:bookmarkEnd w:id="207"/>
      <w:bookmarkStart w:id="208" w:name="_Toc184313285"/>
      <w:bookmarkEnd w:id="208"/>
      <w:bookmarkStart w:id="209" w:name="_Toc184310294"/>
      <w:bookmarkEnd w:id="209"/>
      <w:bookmarkStart w:id="210" w:name="_Toc184308080"/>
      <w:bookmarkEnd w:id="210"/>
      <w:bookmarkStart w:id="211" w:name="_Toc184312118"/>
      <w:bookmarkEnd w:id="211"/>
      <w:bookmarkStart w:id="212" w:name="_Toc184313279"/>
      <w:bookmarkEnd w:id="212"/>
      <w:bookmarkStart w:id="213" w:name="_Toc184313263"/>
      <w:bookmarkEnd w:id="213"/>
      <w:bookmarkStart w:id="214" w:name="_Toc184308070"/>
      <w:bookmarkEnd w:id="214"/>
      <w:bookmarkStart w:id="215" w:name="_Toc184314437"/>
      <w:bookmarkEnd w:id="215"/>
      <w:bookmarkStart w:id="216" w:name="_Toc184308092"/>
      <w:bookmarkEnd w:id="216"/>
      <w:bookmarkStart w:id="217" w:name="_Toc184312139"/>
      <w:bookmarkEnd w:id="217"/>
      <w:bookmarkStart w:id="218" w:name="_Toc184310330"/>
      <w:bookmarkEnd w:id="218"/>
      <w:bookmarkStart w:id="219" w:name="_Toc184314468"/>
      <w:bookmarkEnd w:id="219"/>
      <w:bookmarkStart w:id="220" w:name="_Toc184308076"/>
      <w:bookmarkEnd w:id="220"/>
      <w:bookmarkStart w:id="221" w:name="_Toc184313296"/>
      <w:bookmarkEnd w:id="221"/>
      <w:bookmarkStart w:id="222" w:name="_Toc184308060"/>
      <w:bookmarkEnd w:id="222"/>
      <w:bookmarkStart w:id="223" w:name="_Toc184314481"/>
      <w:bookmarkEnd w:id="223"/>
      <w:bookmarkStart w:id="224" w:name="_Toc184308107"/>
      <w:bookmarkEnd w:id="224"/>
      <w:bookmarkStart w:id="225" w:name="_Toc184310272"/>
      <w:bookmarkEnd w:id="225"/>
      <w:bookmarkStart w:id="226" w:name="_Toc184314421"/>
      <w:bookmarkEnd w:id="226"/>
      <w:bookmarkStart w:id="227" w:name="_Toc184308101"/>
      <w:bookmarkEnd w:id="227"/>
      <w:bookmarkStart w:id="228" w:name="_Toc184314427"/>
      <w:bookmarkEnd w:id="228"/>
      <w:bookmarkStart w:id="229" w:name="_Toc184314420"/>
      <w:bookmarkEnd w:id="229"/>
      <w:bookmarkStart w:id="230" w:name="_Toc184313302"/>
      <w:bookmarkEnd w:id="230"/>
      <w:bookmarkStart w:id="231" w:name="_Toc184314445"/>
      <w:bookmarkEnd w:id="231"/>
      <w:bookmarkStart w:id="232" w:name="_Toc184310336"/>
      <w:bookmarkEnd w:id="232"/>
      <w:bookmarkStart w:id="233" w:name="_Toc184313251"/>
      <w:bookmarkEnd w:id="233"/>
      <w:bookmarkStart w:id="234" w:name="_Toc184308072"/>
      <w:bookmarkEnd w:id="234"/>
      <w:bookmarkStart w:id="235" w:name="_Toc184314428"/>
      <w:bookmarkEnd w:id="235"/>
      <w:bookmarkStart w:id="236" w:name="_Toc184312078"/>
      <w:bookmarkEnd w:id="236"/>
      <w:bookmarkStart w:id="237" w:name="_Toc184313286"/>
      <w:bookmarkEnd w:id="237"/>
      <w:bookmarkStart w:id="238" w:name="_Toc184310287"/>
      <w:bookmarkEnd w:id="238"/>
      <w:bookmarkStart w:id="239" w:name="_Toc184310315"/>
      <w:bookmarkEnd w:id="239"/>
      <w:bookmarkStart w:id="240" w:name="_Toc184313247"/>
      <w:bookmarkEnd w:id="240"/>
      <w:bookmarkStart w:id="241" w:name="_Toc184314456"/>
      <w:bookmarkEnd w:id="241"/>
      <w:bookmarkStart w:id="242" w:name="_Toc184308099"/>
      <w:bookmarkEnd w:id="242"/>
      <w:bookmarkStart w:id="243" w:name="_Toc184312104"/>
      <w:bookmarkEnd w:id="243"/>
      <w:bookmarkStart w:id="244" w:name="_Toc184312128"/>
      <w:bookmarkEnd w:id="244"/>
      <w:bookmarkStart w:id="245" w:name="_Toc184310302"/>
      <w:bookmarkEnd w:id="245"/>
      <w:bookmarkStart w:id="246" w:name="_Toc184308074"/>
      <w:bookmarkEnd w:id="246"/>
      <w:bookmarkStart w:id="247" w:name="_Toc184312138"/>
      <w:bookmarkEnd w:id="247"/>
      <w:bookmarkStart w:id="248" w:name="_Toc184314476"/>
      <w:bookmarkEnd w:id="248"/>
      <w:bookmarkStart w:id="249" w:name="_Toc184308073"/>
      <w:bookmarkEnd w:id="249"/>
      <w:bookmarkStart w:id="250" w:name="_Toc184310296"/>
      <w:bookmarkEnd w:id="250"/>
      <w:bookmarkStart w:id="251" w:name="_Toc184314454"/>
      <w:bookmarkEnd w:id="251"/>
      <w:bookmarkStart w:id="252" w:name="_Toc184310319"/>
      <w:bookmarkEnd w:id="252"/>
      <w:bookmarkStart w:id="253" w:name="_Toc184314435"/>
      <w:bookmarkEnd w:id="253"/>
      <w:bookmarkStart w:id="254" w:name="_Toc184310338"/>
      <w:bookmarkEnd w:id="254"/>
      <w:bookmarkStart w:id="255" w:name="_Toc184312067"/>
      <w:bookmarkEnd w:id="255"/>
      <w:bookmarkStart w:id="256" w:name="_Toc184313253"/>
      <w:bookmarkEnd w:id="256"/>
      <w:bookmarkStart w:id="257" w:name="_Toc184310329"/>
      <w:bookmarkEnd w:id="257"/>
      <w:bookmarkStart w:id="258" w:name="_Toc184312129"/>
      <w:bookmarkEnd w:id="258"/>
      <w:bookmarkStart w:id="259" w:name="_Toc184314469"/>
      <w:bookmarkEnd w:id="259"/>
      <w:bookmarkStart w:id="260" w:name="_Toc184310283"/>
      <w:bookmarkEnd w:id="260"/>
      <w:bookmarkStart w:id="261" w:name="_Toc184312136"/>
      <w:bookmarkEnd w:id="261"/>
      <w:bookmarkStart w:id="262" w:name="_Toc184314464"/>
      <w:bookmarkEnd w:id="262"/>
      <w:bookmarkStart w:id="263" w:name="_Toc184308077"/>
      <w:bookmarkEnd w:id="263"/>
      <w:bookmarkStart w:id="264" w:name="_Toc184314444"/>
      <w:bookmarkEnd w:id="264"/>
      <w:bookmarkStart w:id="265" w:name="_Toc184313277"/>
      <w:bookmarkEnd w:id="265"/>
      <w:bookmarkStart w:id="266" w:name="_Toc184314478"/>
      <w:bookmarkEnd w:id="266"/>
      <w:bookmarkStart w:id="267" w:name="_Toc184308095"/>
      <w:bookmarkEnd w:id="267"/>
      <w:bookmarkStart w:id="268" w:name="_Toc184310280"/>
      <w:bookmarkEnd w:id="268"/>
      <w:bookmarkStart w:id="269" w:name="_Toc184312130"/>
      <w:bookmarkEnd w:id="269"/>
      <w:bookmarkStart w:id="270" w:name="_Toc184312086"/>
      <w:bookmarkEnd w:id="270"/>
      <w:bookmarkStart w:id="271" w:name="_Toc184312124"/>
      <w:bookmarkEnd w:id="271"/>
      <w:bookmarkStart w:id="272" w:name="_Toc184313306"/>
      <w:bookmarkEnd w:id="272"/>
      <w:bookmarkStart w:id="273" w:name="_Toc184314460"/>
      <w:bookmarkEnd w:id="273"/>
      <w:bookmarkStart w:id="274" w:name="_Toc184308108"/>
      <w:bookmarkEnd w:id="274"/>
      <w:bookmarkStart w:id="275" w:name="_Toc184312075"/>
      <w:bookmarkEnd w:id="275"/>
      <w:bookmarkStart w:id="276" w:name="_Toc184312112"/>
      <w:bookmarkEnd w:id="276"/>
      <w:bookmarkStart w:id="277" w:name="_Toc184310312"/>
      <w:bookmarkEnd w:id="277"/>
      <w:bookmarkStart w:id="278" w:name="_Toc184313250"/>
      <w:bookmarkEnd w:id="278"/>
      <w:bookmarkStart w:id="279" w:name="_Toc184312091"/>
      <w:bookmarkEnd w:id="279"/>
      <w:bookmarkStart w:id="280" w:name="_Toc184310284"/>
      <w:bookmarkEnd w:id="280"/>
      <w:bookmarkStart w:id="281" w:name="_Toc184310323"/>
      <w:bookmarkEnd w:id="281"/>
      <w:bookmarkStart w:id="282" w:name="_Toc184308078"/>
      <w:bookmarkEnd w:id="282"/>
      <w:bookmarkStart w:id="283" w:name="_Toc184310314"/>
      <w:bookmarkEnd w:id="283"/>
      <w:bookmarkStart w:id="284" w:name="_Toc184312094"/>
      <w:bookmarkEnd w:id="284"/>
      <w:bookmarkStart w:id="285" w:name="_Toc184313293"/>
      <w:bookmarkEnd w:id="285"/>
      <w:bookmarkStart w:id="286" w:name="_Toc184314446"/>
      <w:bookmarkEnd w:id="286"/>
      <w:bookmarkStart w:id="287" w:name="_Toc184312099"/>
      <w:bookmarkEnd w:id="287"/>
      <w:bookmarkStart w:id="288" w:name="_Toc184314418"/>
      <w:bookmarkEnd w:id="288"/>
      <w:bookmarkStart w:id="289" w:name="_Toc184310273"/>
      <w:bookmarkEnd w:id="289"/>
      <w:bookmarkStart w:id="290" w:name="_Toc184312131"/>
      <w:bookmarkEnd w:id="290"/>
      <w:bookmarkStart w:id="291" w:name="_Toc184310334"/>
      <w:bookmarkEnd w:id="291"/>
      <w:bookmarkStart w:id="292" w:name="_Toc184314415"/>
      <w:bookmarkEnd w:id="292"/>
      <w:bookmarkStart w:id="293" w:name="_Toc184310340"/>
      <w:bookmarkEnd w:id="293"/>
      <w:bookmarkStart w:id="294" w:name="_Toc184308085"/>
      <w:bookmarkEnd w:id="294"/>
      <w:bookmarkStart w:id="295" w:name="_Toc184313275"/>
      <w:bookmarkEnd w:id="295"/>
      <w:bookmarkStart w:id="296" w:name="_Toc184314411"/>
      <w:bookmarkEnd w:id="296"/>
      <w:bookmarkStart w:id="297" w:name="_Toc184312090"/>
      <w:bookmarkEnd w:id="297"/>
      <w:bookmarkStart w:id="298" w:name="_Toc184308036"/>
      <w:bookmarkEnd w:id="298"/>
      <w:bookmarkStart w:id="299" w:name="_Toc184310320"/>
      <w:bookmarkEnd w:id="299"/>
      <w:bookmarkStart w:id="300" w:name="_Toc184313310"/>
      <w:bookmarkEnd w:id="300"/>
      <w:bookmarkStart w:id="301" w:name="_Toc184314450"/>
      <w:bookmarkEnd w:id="301"/>
      <w:bookmarkStart w:id="302" w:name="_Toc184310304"/>
      <w:bookmarkEnd w:id="302"/>
      <w:bookmarkStart w:id="303" w:name="_Toc184312126"/>
      <w:bookmarkEnd w:id="303"/>
      <w:bookmarkStart w:id="304" w:name="_Toc184313282"/>
      <w:bookmarkEnd w:id="304"/>
      <w:bookmarkStart w:id="305" w:name="_Toc184314429"/>
      <w:bookmarkEnd w:id="305"/>
      <w:bookmarkStart w:id="306" w:name="_Toc184314472"/>
      <w:bookmarkEnd w:id="306"/>
      <w:bookmarkStart w:id="307" w:name="_Toc184308047"/>
      <w:bookmarkEnd w:id="307"/>
      <w:bookmarkStart w:id="308" w:name="_Toc184314423"/>
      <w:bookmarkEnd w:id="308"/>
      <w:bookmarkStart w:id="309" w:name="_Toc184314414"/>
      <w:bookmarkEnd w:id="309"/>
      <w:bookmarkStart w:id="310" w:name="_Toc184312119"/>
      <w:bookmarkEnd w:id="310"/>
      <w:bookmarkStart w:id="311" w:name="_Toc184308100"/>
      <w:bookmarkEnd w:id="311"/>
      <w:bookmarkStart w:id="312" w:name="_Toc184308068"/>
      <w:bookmarkEnd w:id="312"/>
      <w:bookmarkStart w:id="313" w:name="_Toc184312117"/>
      <w:bookmarkEnd w:id="313"/>
      <w:bookmarkStart w:id="314" w:name="_Toc184308039"/>
      <w:bookmarkEnd w:id="314"/>
      <w:bookmarkStart w:id="315" w:name="_Toc184312093"/>
      <w:bookmarkEnd w:id="315"/>
      <w:bookmarkStart w:id="316" w:name="_Toc184308098"/>
      <w:bookmarkEnd w:id="316"/>
      <w:bookmarkStart w:id="317" w:name="_Toc184313244"/>
      <w:bookmarkEnd w:id="317"/>
      <w:bookmarkStart w:id="318" w:name="_Toc184313278"/>
      <w:bookmarkEnd w:id="318"/>
      <w:bookmarkStart w:id="319" w:name="_Toc184308063"/>
      <w:bookmarkEnd w:id="319"/>
      <w:bookmarkStart w:id="320" w:name="_Toc184313295"/>
      <w:bookmarkEnd w:id="320"/>
      <w:bookmarkStart w:id="321" w:name="_Toc184313246"/>
      <w:bookmarkEnd w:id="321"/>
      <w:bookmarkStart w:id="322" w:name="_Toc184312115"/>
      <w:bookmarkEnd w:id="322"/>
      <w:bookmarkStart w:id="323" w:name="_Toc184308046"/>
      <w:bookmarkEnd w:id="323"/>
      <w:bookmarkStart w:id="324" w:name="_Toc184314422"/>
      <w:bookmarkEnd w:id="324"/>
      <w:bookmarkStart w:id="325" w:name="_Toc184314448"/>
      <w:bookmarkEnd w:id="325"/>
      <w:bookmarkStart w:id="326" w:name="_Toc184310285"/>
      <w:bookmarkEnd w:id="326"/>
      <w:bookmarkStart w:id="327" w:name="_Toc184308051"/>
      <w:bookmarkEnd w:id="327"/>
      <w:bookmarkStart w:id="328" w:name="_Toc184312076"/>
      <w:bookmarkEnd w:id="328"/>
      <w:bookmarkStart w:id="329" w:name="_Toc184308054"/>
      <w:bookmarkEnd w:id="329"/>
      <w:bookmarkStart w:id="330" w:name="_Toc184314475"/>
      <w:bookmarkEnd w:id="330"/>
      <w:bookmarkStart w:id="331" w:name="_Toc184312070"/>
      <w:bookmarkEnd w:id="331"/>
      <w:bookmarkStart w:id="332" w:name="_Toc184310300"/>
      <w:bookmarkEnd w:id="332"/>
      <w:bookmarkStart w:id="333" w:name="_Toc184312083"/>
      <w:bookmarkEnd w:id="333"/>
      <w:bookmarkStart w:id="334" w:name="_Toc184312105"/>
      <w:bookmarkEnd w:id="334"/>
      <w:bookmarkStart w:id="335" w:name="_Toc184308079"/>
      <w:bookmarkEnd w:id="335"/>
      <w:bookmarkStart w:id="336" w:name="_Toc184314424"/>
      <w:bookmarkEnd w:id="336"/>
      <w:bookmarkStart w:id="337" w:name="_Toc184312134"/>
      <w:bookmarkEnd w:id="337"/>
      <w:bookmarkStart w:id="338" w:name="_Toc184312135"/>
      <w:bookmarkEnd w:id="338"/>
      <w:bookmarkStart w:id="339" w:name="_Toc184310324"/>
      <w:bookmarkEnd w:id="339"/>
      <w:bookmarkStart w:id="340" w:name="_Toc184312132"/>
      <w:bookmarkEnd w:id="340"/>
      <w:bookmarkStart w:id="341" w:name="_Toc184312110"/>
      <w:bookmarkEnd w:id="341"/>
      <w:bookmarkStart w:id="342" w:name="_Toc184312088"/>
      <w:bookmarkEnd w:id="342"/>
      <w:bookmarkStart w:id="343" w:name="_Toc184310343"/>
      <w:bookmarkEnd w:id="343"/>
      <w:bookmarkStart w:id="344" w:name="_Toc184314413"/>
      <w:bookmarkEnd w:id="344"/>
      <w:bookmarkStart w:id="345" w:name="_Toc184310305"/>
      <w:bookmarkEnd w:id="345"/>
      <w:bookmarkStart w:id="346" w:name="_Toc184312101"/>
      <w:bookmarkEnd w:id="346"/>
      <w:bookmarkStart w:id="347" w:name="_Toc184310327"/>
      <w:bookmarkEnd w:id="347"/>
      <w:bookmarkStart w:id="348" w:name="_Toc184314452"/>
      <w:bookmarkEnd w:id="348"/>
      <w:bookmarkStart w:id="349" w:name="_Toc184314426"/>
      <w:bookmarkEnd w:id="349"/>
      <w:bookmarkStart w:id="350" w:name="_Toc184310281"/>
      <w:bookmarkEnd w:id="350"/>
      <w:bookmarkStart w:id="351" w:name="_Toc184313291"/>
      <w:bookmarkEnd w:id="351"/>
      <w:bookmarkStart w:id="352" w:name="_Toc184308097"/>
      <w:bookmarkEnd w:id="352"/>
      <w:bookmarkStart w:id="353" w:name="_Toc184313297"/>
      <w:bookmarkEnd w:id="353"/>
      <w:bookmarkStart w:id="354" w:name="_Toc184313283"/>
      <w:bookmarkEnd w:id="354"/>
      <w:bookmarkStart w:id="355" w:name="_Toc184312107"/>
      <w:bookmarkEnd w:id="355"/>
      <w:bookmarkStart w:id="356" w:name="_Toc184313268"/>
      <w:bookmarkEnd w:id="356"/>
      <w:bookmarkStart w:id="357" w:name="_Toc184314410"/>
      <w:bookmarkEnd w:id="357"/>
      <w:bookmarkStart w:id="358" w:name="_Toc184312096"/>
      <w:bookmarkEnd w:id="358"/>
      <w:bookmarkStart w:id="359" w:name="_Toc184308053"/>
      <w:bookmarkEnd w:id="359"/>
      <w:bookmarkStart w:id="360" w:name="_Toc184310295"/>
      <w:bookmarkEnd w:id="360"/>
      <w:bookmarkStart w:id="361" w:name="_Toc184313276"/>
      <w:bookmarkEnd w:id="361"/>
      <w:bookmarkStart w:id="362" w:name="_Toc184313258"/>
      <w:bookmarkEnd w:id="362"/>
      <w:bookmarkStart w:id="363" w:name="_Toc184310292"/>
      <w:bookmarkEnd w:id="363"/>
      <w:bookmarkStart w:id="364" w:name="_Toc184308045"/>
      <w:bookmarkEnd w:id="364"/>
      <w:bookmarkStart w:id="365" w:name="_Toc184313269"/>
      <w:bookmarkEnd w:id="365"/>
      <w:bookmarkStart w:id="366" w:name="_Toc184314451"/>
      <w:bookmarkEnd w:id="366"/>
      <w:bookmarkStart w:id="367" w:name="_Toc184308052"/>
      <w:bookmarkEnd w:id="367"/>
      <w:bookmarkStart w:id="368" w:name="_Toc184308050"/>
      <w:bookmarkEnd w:id="368"/>
      <w:bookmarkStart w:id="369" w:name="_Toc184310332"/>
      <w:bookmarkEnd w:id="369"/>
      <w:bookmarkStart w:id="370" w:name="_Toc184313305"/>
      <w:bookmarkEnd w:id="370"/>
      <w:bookmarkStart w:id="371" w:name="_Toc184314430"/>
      <w:bookmarkEnd w:id="371"/>
      <w:bookmarkStart w:id="372" w:name="_Toc184314471"/>
      <w:bookmarkEnd w:id="372"/>
      <w:bookmarkStart w:id="373" w:name="_Toc184312103"/>
      <w:bookmarkEnd w:id="373"/>
      <w:bookmarkStart w:id="374" w:name="_Toc184312080"/>
      <w:bookmarkEnd w:id="374"/>
      <w:bookmarkStart w:id="375" w:name="_Toc184310282"/>
      <w:bookmarkEnd w:id="375"/>
      <w:bookmarkStart w:id="376" w:name="_Toc184313289"/>
      <w:bookmarkEnd w:id="376"/>
      <w:bookmarkStart w:id="377" w:name="_Toc184313252"/>
      <w:bookmarkEnd w:id="377"/>
      <w:bookmarkStart w:id="378" w:name="_Toc184310313"/>
      <w:bookmarkEnd w:id="378"/>
      <w:bookmarkStart w:id="379" w:name="_Toc184310310"/>
      <w:bookmarkEnd w:id="379"/>
      <w:bookmarkStart w:id="380" w:name="_Toc184308082"/>
      <w:bookmarkEnd w:id="380"/>
      <w:bookmarkStart w:id="381" w:name="_Toc184314455"/>
      <w:bookmarkEnd w:id="381"/>
      <w:bookmarkStart w:id="382" w:name="_Toc184310293"/>
      <w:bookmarkEnd w:id="382"/>
      <w:bookmarkStart w:id="383" w:name="_Toc184313240"/>
      <w:bookmarkEnd w:id="383"/>
      <w:bookmarkStart w:id="384" w:name="_Toc184313255"/>
      <w:bookmarkEnd w:id="384"/>
      <w:bookmarkStart w:id="385" w:name="_Toc184313309"/>
      <w:bookmarkEnd w:id="385"/>
      <w:bookmarkStart w:id="386" w:name="_Toc184313271"/>
      <w:bookmarkEnd w:id="386"/>
      <w:bookmarkStart w:id="387" w:name="_Toc184310306"/>
      <w:bookmarkEnd w:id="387"/>
      <w:bookmarkStart w:id="388" w:name="_Toc184308049"/>
      <w:bookmarkEnd w:id="388"/>
      <w:bookmarkStart w:id="389" w:name="_Toc184313284"/>
      <w:bookmarkEnd w:id="389"/>
      <w:bookmarkStart w:id="390" w:name="_Toc184313292"/>
      <w:bookmarkEnd w:id="390"/>
      <w:bookmarkStart w:id="391" w:name="_Toc184310298"/>
      <w:bookmarkEnd w:id="391"/>
      <w:bookmarkStart w:id="392" w:name="_Toc184308093"/>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74"/>
        <w:tblW w:w="82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3963"/>
        <w:gridCol w:w="750"/>
        <w:gridCol w:w="1037"/>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snapToGrid w:val="0"/>
              <w:spacing w:line="360" w:lineRule="auto"/>
              <w:jc w:val="center"/>
              <w:rPr>
                <w:rFonts w:ascii="宋体" w:hAnsi="宋体" w:eastAsia="宋体" w:cs="仿宋_GB2312"/>
                <w:color w:val="auto"/>
                <w:sz w:val="24"/>
                <w:highlight w:val="none"/>
              </w:rPr>
            </w:pPr>
            <w:r>
              <w:rPr>
                <w:rFonts w:hint="eastAsia" w:ascii="宋体" w:hAnsi="宋体" w:eastAsia="宋体" w:cs="仿宋_GB2312"/>
                <w:color w:val="auto"/>
                <w:sz w:val="24"/>
                <w:highlight w:val="none"/>
              </w:rPr>
              <w:t>序号</w:t>
            </w:r>
          </w:p>
        </w:tc>
        <w:tc>
          <w:tcPr>
            <w:tcW w:w="3963" w:type="dxa"/>
            <w:vAlign w:val="center"/>
          </w:tcPr>
          <w:p>
            <w:pPr>
              <w:snapToGrid w:val="0"/>
              <w:spacing w:line="360" w:lineRule="auto"/>
              <w:jc w:val="center"/>
              <w:rPr>
                <w:rFonts w:ascii="宋体" w:hAnsi="宋体" w:eastAsia="宋体" w:cs="仿宋_GB2312"/>
                <w:color w:val="auto"/>
                <w:sz w:val="24"/>
                <w:highlight w:val="none"/>
              </w:rPr>
            </w:pPr>
            <w:r>
              <w:rPr>
                <w:rFonts w:hint="eastAsia" w:ascii="宋体" w:hAnsi="宋体" w:eastAsia="宋体" w:cs="仿宋_GB2312"/>
                <w:color w:val="auto"/>
                <w:sz w:val="24"/>
                <w:highlight w:val="none"/>
              </w:rPr>
              <w:t>评标标准</w:t>
            </w:r>
          </w:p>
        </w:tc>
        <w:tc>
          <w:tcPr>
            <w:tcW w:w="750" w:type="dxa"/>
            <w:vAlign w:val="center"/>
          </w:tcPr>
          <w:p>
            <w:pPr>
              <w:snapToGrid w:val="0"/>
              <w:spacing w:line="360" w:lineRule="auto"/>
              <w:jc w:val="center"/>
              <w:rPr>
                <w:rFonts w:ascii="宋体" w:hAnsi="宋体" w:eastAsia="宋体" w:cs="仿宋_GB2312"/>
                <w:color w:val="auto"/>
                <w:sz w:val="24"/>
                <w:highlight w:val="none"/>
              </w:rPr>
            </w:pPr>
            <w:r>
              <w:rPr>
                <w:rFonts w:hint="eastAsia" w:ascii="宋体" w:hAnsi="宋体" w:eastAsia="宋体" w:cs="仿宋_GB2312"/>
                <w:color w:val="auto"/>
                <w:sz w:val="24"/>
                <w:highlight w:val="none"/>
              </w:rPr>
              <w:t>最高分值</w:t>
            </w:r>
          </w:p>
        </w:tc>
        <w:tc>
          <w:tcPr>
            <w:tcW w:w="1037" w:type="dxa"/>
            <w:vAlign w:val="center"/>
          </w:tcPr>
          <w:p>
            <w:pPr>
              <w:snapToGrid w:val="0"/>
              <w:spacing w:line="360" w:lineRule="auto"/>
              <w:jc w:val="center"/>
              <w:rPr>
                <w:rFonts w:ascii="宋体" w:hAnsi="宋体" w:eastAsia="宋体" w:cs="仿宋_GB2312"/>
                <w:bCs/>
                <w:color w:val="auto"/>
                <w:sz w:val="24"/>
                <w:highlight w:val="none"/>
              </w:rPr>
            </w:pPr>
            <w:r>
              <w:rPr>
                <w:rFonts w:hint="eastAsia" w:ascii="宋体" w:hAnsi="宋体" w:eastAsia="宋体" w:cs="仿宋_GB2312"/>
                <w:bCs/>
                <w:color w:val="auto"/>
                <w:sz w:val="24"/>
                <w:highlight w:val="none"/>
              </w:rPr>
              <w:t>主观分/客观分属性</w:t>
            </w:r>
          </w:p>
        </w:tc>
        <w:tc>
          <w:tcPr>
            <w:tcW w:w="1900" w:type="dxa"/>
            <w:vAlign w:val="top"/>
          </w:tcPr>
          <w:p>
            <w:pPr>
              <w:snapToGrid w:val="0"/>
              <w:spacing w:line="360" w:lineRule="auto"/>
              <w:jc w:val="center"/>
              <w:rPr>
                <w:rFonts w:ascii="宋体" w:hAnsi="宋体" w:eastAsia="宋体" w:cs="仿宋_GB2312"/>
                <w:color w:val="auto"/>
                <w:sz w:val="24"/>
                <w:highlight w:val="none"/>
              </w:rPr>
            </w:pPr>
            <w:r>
              <w:rPr>
                <w:rFonts w:hint="eastAsia" w:ascii="宋体" w:hAnsi="宋体" w:eastAsia="宋体" w:cs="仿宋_GB2312"/>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rPr>
              <w:t>1</w:t>
            </w:r>
          </w:p>
        </w:tc>
        <w:tc>
          <w:tcPr>
            <w:tcW w:w="3963" w:type="dxa"/>
            <w:vAlign w:val="center"/>
          </w:tcPr>
          <w:p>
            <w:pPr>
              <w:wordWrap/>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对技术参数的响应情况</w:t>
            </w:r>
            <w:r>
              <w:rPr>
                <w:rFonts w:hint="eastAsia" w:ascii="宋体" w:hAnsi="宋体" w:eastAsia="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0分</w:t>
            </w:r>
            <w:r>
              <w:rPr>
                <w:rFonts w:hint="eastAsia" w:ascii="宋体" w:hAnsi="宋体" w:eastAsia="宋体" w:cs="宋体"/>
                <w:b w:val="0"/>
                <w:bCs w:val="0"/>
                <w:color w:val="auto"/>
                <w:sz w:val="21"/>
                <w:szCs w:val="21"/>
                <w:highlight w:val="none"/>
                <w:lang w:eastAsia="zh-CN"/>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全部满足招标文件“</w:t>
            </w:r>
            <w:r>
              <w:rPr>
                <w:rFonts w:hint="eastAsia" w:ascii="宋体" w:hAnsi="宋体" w:cs="宋体"/>
                <w:color w:val="auto"/>
                <w:sz w:val="21"/>
                <w:szCs w:val="21"/>
                <w:highlight w:val="none"/>
                <w:lang w:val="en-US" w:eastAsia="zh-CN"/>
              </w:rPr>
              <w:t>车辆基本</w:t>
            </w:r>
            <w:r>
              <w:rPr>
                <w:rFonts w:hint="eastAsia" w:ascii="宋体" w:hAnsi="宋体" w:eastAsia="宋体" w:cs="宋体"/>
                <w:color w:val="auto"/>
                <w:sz w:val="21"/>
                <w:szCs w:val="21"/>
                <w:highlight w:val="none"/>
                <w:lang w:val="en-US" w:eastAsia="zh-CN"/>
              </w:rPr>
              <w:t>要求”要求的得</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lang w:val="en-US" w:eastAsia="zh-CN"/>
              </w:rPr>
              <w:t>分；打</w:t>
            </w:r>
            <w:r>
              <w:rPr>
                <w:rFonts w:hint="eastAsia" w:ascii="宋体" w:hAnsi="宋体" w:eastAsia="宋体" w:cs="宋体"/>
                <w:bCs/>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rPr>
              <w:t>号为重要技术指标，每一条指标负偏离扣</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分，对于非打</w:t>
            </w:r>
            <w:r>
              <w:rPr>
                <w:rFonts w:hint="eastAsia" w:ascii="宋体" w:hAnsi="宋体" w:eastAsia="宋体" w:cs="宋体"/>
                <w:bCs/>
                <w:color w:val="auto"/>
                <w:kern w:val="0"/>
                <w:sz w:val="21"/>
                <w:szCs w:val="21"/>
                <w:highlight w:val="none"/>
                <w:lang w:val="en-US" w:eastAsia="zh-CN"/>
              </w:rPr>
              <w:t>●</w:t>
            </w:r>
            <w:r>
              <w:rPr>
                <w:rFonts w:hint="eastAsia" w:ascii="宋体" w:hAnsi="宋体" w:eastAsia="宋体" w:cs="宋体"/>
                <w:color w:val="auto"/>
                <w:sz w:val="21"/>
                <w:szCs w:val="21"/>
                <w:highlight w:val="none"/>
                <w:lang w:val="en-US" w:eastAsia="zh-CN"/>
              </w:rPr>
              <w:t>号的技术指标，每一条负偏离扣1分，扣完为止。</w:t>
            </w:r>
          </w:p>
          <w:p>
            <w:pPr>
              <w:pStyle w:val="13"/>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zh-CN" w:eastAsia="zh-CN"/>
              </w:rPr>
              <w:t>（注：需提供技术参数要求的证明材料，不提供不等分</w:t>
            </w:r>
            <w:r>
              <w:rPr>
                <w:rFonts w:hint="eastAsia" w:ascii="宋体" w:hAnsi="宋体" w:cs="宋体"/>
                <w:color w:val="auto"/>
                <w:sz w:val="21"/>
                <w:szCs w:val="21"/>
                <w:highlight w:val="none"/>
                <w:lang w:eastAsia="zh-CN"/>
              </w:rPr>
              <w:t>。</w:t>
            </w:r>
            <w:r>
              <w:rPr>
                <w:rFonts w:hint="eastAsia" w:ascii="宋体" w:hAnsi="宋体" w:eastAsia="宋体" w:cs="宋体"/>
                <w:b w:val="0"/>
                <w:bCs w:val="0"/>
                <w:color w:val="auto"/>
                <w:sz w:val="21"/>
                <w:szCs w:val="21"/>
                <w:highlight w:val="none"/>
                <w:lang w:val="zh-CN" w:eastAsia="zh-CN"/>
              </w:rPr>
              <w:t>技术指标如出现偏离必须在</w:t>
            </w:r>
            <w:r>
              <w:rPr>
                <w:rFonts w:hint="eastAsia" w:ascii="宋体" w:hAnsi="宋体" w:eastAsia="宋体" w:cs="宋体"/>
                <w:color w:val="auto"/>
                <w:sz w:val="21"/>
                <w:szCs w:val="21"/>
                <w:highlight w:val="none"/>
                <w:lang w:eastAsia="zh-CN"/>
              </w:rPr>
              <w:t>对应投标文件</w:t>
            </w:r>
            <w:r>
              <w:rPr>
                <w:rFonts w:hint="eastAsia" w:ascii="宋体" w:hAnsi="宋体" w:eastAsia="宋体" w:cs="宋体"/>
                <w:b w:val="0"/>
                <w:bCs w:val="0"/>
                <w:color w:val="auto"/>
                <w:sz w:val="21"/>
                <w:szCs w:val="21"/>
                <w:highlight w:val="none"/>
                <w:lang w:val="zh-CN" w:eastAsia="zh-CN"/>
              </w:rPr>
              <w:t>中完整体现，如有虚假应标，将作无效标处理</w:t>
            </w:r>
            <w:r>
              <w:rPr>
                <w:rFonts w:hint="eastAsia" w:ascii="宋体" w:hAnsi="宋体" w:cs="宋体"/>
                <w:b w:val="0"/>
                <w:bCs w:val="0"/>
                <w:color w:val="auto"/>
                <w:sz w:val="21"/>
                <w:szCs w:val="21"/>
                <w:highlight w:val="none"/>
                <w:lang w:val="zh-CN" w:eastAsia="zh-CN"/>
              </w:rPr>
              <w:t>。）</w:t>
            </w:r>
          </w:p>
        </w:tc>
        <w:tc>
          <w:tcPr>
            <w:tcW w:w="750" w:type="dxa"/>
            <w:vAlign w:val="center"/>
          </w:tcPr>
          <w:p>
            <w:pPr>
              <w:wordWrap/>
              <w:spacing w:line="400" w:lineRule="exact"/>
              <w:ind w:right="0" w:firstLine="210" w:firstLineChars="100"/>
              <w:jc w:val="both"/>
              <w:textAlignment w:val="auto"/>
              <w:outlineLvl w:val="0"/>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30</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190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cs="宋体"/>
                <w:b w:val="0"/>
                <w:bCs w:val="0"/>
                <w:color w:val="auto"/>
                <w:sz w:val="24"/>
                <w:highlight w:val="none"/>
                <w:lang w:val="en-US" w:eastAsia="zh-CN"/>
              </w:rPr>
              <w:t>（一）车辆基本要求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p>
        </w:tc>
        <w:tc>
          <w:tcPr>
            <w:tcW w:w="3963"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车辆保险配置方案（</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 w:val="21"/>
                <w:szCs w:val="21"/>
                <w:highlight w:val="none"/>
                <w:lang w:eastAsia="zh-CN"/>
              </w:rPr>
              <w:t>承诺</w:t>
            </w:r>
            <w:r>
              <w:rPr>
                <w:rFonts w:hint="eastAsia" w:ascii="宋体" w:hAnsi="宋体" w:eastAsia="宋体" w:cs="宋体"/>
                <w:b w:val="0"/>
                <w:bCs w:val="0"/>
                <w:color w:val="auto"/>
                <w:sz w:val="21"/>
                <w:szCs w:val="21"/>
                <w:highlight w:val="none"/>
                <w:lang w:val="en-US" w:eastAsia="zh-CN"/>
              </w:rPr>
              <w:t>购买交强险、第三者责任险不低于150万元</w:t>
            </w:r>
            <w:r>
              <w:rPr>
                <w:rFonts w:hint="eastAsia" w:ascii="宋体" w:hAnsi="宋体" w:cs="宋体"/>
                <w:b w:val="0"/>
                <w:bCs w:val="0"/>
                <w:color w:val="auto"/>
                <w:sz w:val="21"/>
                <w:szCs w:val="21"/>
                <w:highlight w:val="none"/>
                <w:lang w:val="en-US" w:eastAsia="zh-CN"/>
              </w:rPr>
              <w:t>（2分），</w:t>
            </w:r>
            <w:r>
              <w:rPr>
                <w:rFonts w:hint="eastAsia" w:ascii="宋体" w:hAnsi="宋体" w:eastAsia="宋体" w:cs="宋体"/>
                <w:b w:val="0"/>
                <w:bCs w:val="0"/>
                <w:color w:val="auto"/>
                <w:sz w:val="21"/>
                <w:szCs w:val="21"/>
                <w:highlight w:val="none"/>
                <w:lang w:val="en-US" w:eastAsia="zh-CN"/>
              </w:rPr>
              <w:t>购买车损险（</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分）、车上人员险（</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w:t>
            </w:r>
            <w:r>
              <w:rPr>
                <w:rFonts w:hint="eastAsia" w:ascii="宋体" w:hAnsi="宋体" w:cs="宋体"/>
                <w:b w:val="0"/>
                <w:bCs w:val="0"/>
                <w:color w:val="auto"/>
                <w:sz w:val="21"/>
                <w:szCs w:val="21"/>
                <w:highlight w:val="none"/>
                <w:lang w:val="en-US" w:eastAsia="zh-CN"/>
              </w:rPr>
              <w:t>不</w:t>
            </w:r>
            <w:r>
              <w:rPr>
                <w:rFonts w:hint="eastAsia" w:ascii="宋体" w:hAnsi="宋体" w:eastAsia="宋体" w:cs="宋体"/>
                <w:b w:val="0"/>
                <w:bCs w:val="0"/>
                <w:color w:val="auto"/>
                <w:sz w:val="21"/>
                <w:szCs w:val="21"/>
                <w:highlight w:val="none"/>
                <w:lang w:val="en-US" w:eastAsia="zh-CN"/>
              </w:rPr>
              <w:t>计免赔险（</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分），道路救援（</w:t>
            </w:r>
            <w:r>
              <w:rPr>
                <w:rFonts w:hint="eastAsia" w:ascii="宋体" w:hAnsi="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lang w:val="en-US" w:eastAsia="zh-CN"/>
              </w:rPr>
              <w:t>分）等附加险。</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（投标人需提供购买上述保险的承诺或电子保单截图，</w:t>
            </w:r>
            <w:r>
              <w:rPr>
                <w:rFonts w:hint="eastAsia" w:ascii="宋体" w:hAnsi="宋体" w:eastAsia="宋体" w:cs="宋体"/>
                <w:b w:val="0"/>
                <w:bCs w:val="0"/>
                <w:color w:val="auto"/>
                <w:sz w:val="21"/>
                <w:szCs w:val="21"/>
                <w:highlight w:val="none"/>
                <w:lang w:val="en-US" w:eastAsia="zh-CN"/>
              </w:rPr>
              <w:t>每满足一项得该项满分，不提供或不满足不得分，总分</w:t>
            </w:r>
            <w:r>
              <w:rPr>
                <w:rFonts w:hint="eastAsia" w:ascii="宋体" w:hAnsi="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lang w:val="en-US" w:eastAsia="zh-CN"/>
              </w:rPr>
              <w:t>分。</w:t>
            </w:r>
            <w:r>
              <w:rPr>
                <w:rFonts w:hint="eastAsia" w:ascii="宋体" w:hAnsi="宋体" w:eastAsia="宋体" w:cs="宋体"/>
                <w:color w:val="auto"/>
                <w:sz w:val="21"/>
                <w:szCs w:val="21"/>
                <w:highlight w:val="none"/>
                <w:lang w:eastAsia="zh-CN"/>
              </w:rPr>
              <w:t>）</w:t>
            </w:r>
          </w:p>
        </w:tc>
        <w:tc>
          <w:tcPr>
            <w:tcW w:w="750" w:type="dxa"/>
            <w:vAlign w:val="center"/>
          </w:tcPr>
          <w:p>
            <w:pPr>
              <w:wordWrap/>
              <w:spacing w:line="400" w:lineRule="exact"/>
              <w:ind w:right="0" w:firstLine="210" w:firstLineChars="100"/>
              <w:jc w:val="both"/>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6</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190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服务要求第2点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p>
        </w:tc>
        <w:tc>
          <w:tcPr>
            <w:tcW w:w="3963" w:type="dxa"/>
            <w:vAlign w:val="center"/>
          </w:tcPr>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对服务要求响应情况（</w:t>
            </w:r>
            <w:r>
              <w:rPr>
                <w:rFonts w:hint="eastAsia" w:ascii="宋体" w:hAnsi="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val="en-US" w:eastAsia="zh-CN"/>
              </w:rPr>
              <w:t>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（1）出租方配置有数字化管理平台系统（</w:t>
            </w:r>
            <w:r>
              <w:rPr>
                <w:rFonts w:hint="eastAsia" w:ascii="宋体" w:hAnsi="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val="en-US" w:eastAsia="zh-CN"/>
              </w:rPr>
              <w:t>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（2）配有安装GPS定位设备和系统功能（</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（3）建有车辆离线围栏（车辆超出使用区域范围报警系统（</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（4）建有用车预约报备功能（</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（5）建有充电时间、充电量管理功能（</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val="en-US" w:eastAsia="zh-CN"/>
              </w:rPr>
              <w:t>（6）建有可实时查看用车车辆情况日报表功能（</w:t>
            </w:r>
            <w:r>
              <w:rPr>
                <w:rFonts w:hint="eastAsia" w:ascii="宋体" w:hAnsi="宋体" w:cs="宋体"/>
                <w:b w:val="0"/>
                <w:bCs/>
                <w:color w:val="auto"/>
                <w:sz w:val="21"/>
                <w:szCs w:val="21"/>
                <w:highlight w:val="none"/>
                <w:lang w:val="en-US" w:eastAsia="zh-CN"/>
              </w:rPr>
              <w:t>0.5</w:t>
            </w:r>
            <w:r>
              <w:rPr>
                <w:rFonts w:hint="eastAsia" w:ascii="宋体" w:hAnsi="宋体" w:eastAsia="宋体" w:cs="宋体"/>
                <w:b w:val="0"/>
                <w:bCs/>
                <w:color w:val="auto"/>
                <w:sz w:val="21"/>
                <w:szCs w:val="21"/>
                <w:highlight w:val="none"/>
                <w:lang w:val="en-US" w:eastAsia="zh-CN"/>
              </w:rPr>
              <w:t>分）。</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b w:val="0"/>
                <w:bCs w:val="0"/>
                <w:snapToGrid w:val="0"/>
                <w:color w:val="auto"/>
                <w:kern w:val="0"/>
                <w:sz w:val="24"/>
                <w:szCs w:val="24"/>
                <w:highlight w:val="none"/>
                <w:lang w:val="en-US" w:eastAsia="zh-CN" w:bidi="ar-SA"/>
              </w:rPr>
            </w:pPr>
            <w:r>
              <w:rPr>
                <w:rFonts w:hint="eastAsia" w:ascii="宋体" w:hAnsi="宋体" w:cs="宋体"/>
                <w:b w:val="0"/>
                <w:bCs/>
                <w:color w:val="auto"/>
                <w:sz w:val="21"/>
                <w:szCs w:val="21"/>
                <w:highlight w:val="none"/>
                <w:lang w:val="en-US" w:eastAsia="zh-CN"/>
              </w:rPr>
              <w:t>（6）</w:t>
            </w:r>
            <w:r>
              <w:rPr>
                <w:rFonts w:hint="eastAsia" w:ascii="宋体" w:hAnsi="宋体" w:eastAsia="宋体" w:cs="宋体"/>
                <w:b w:val="0"/>
                <w:bCs/>
                <w:color w:val="auto"/>
                <w:sz w:val="21"/>
                <w:szCs w:val="21"/>
                <w:highlight w:val="none"/>
                <w:lang w:val="en-US" w:eastAsia="zh-CN"/>
              </w:rPr>
              <w:t>系统供</w:t>
            </w:r>
            <w:r>
              <w:rPr>
                <w:rFonts w:hint="default" w:ascii="宋体" w:hAnsi="宋体" w:eastAsia="宋体" w:cs="宋体"/>
                <w:b w:val="0"/>
                <w:bCs/>
                <w:color w:val="auto"/>
                <w:sz w:val="21"/>
                <w:szCs w:val="21"/>
                <w:highlight w:val="none"/>
                <w:lang w:val="en-US" w:eastAsia="zh-CN"/>
              </w:rPr>
              <w:t>采购方</w:t>
            </w:r>
            <w:r>
              <w:rPr>
                <w:rFonts w:hint="eastAsia" w:ascii="宋体" w:hAnsi="宋体" w:eastAsia="宋体" w:cs="宋体"/>
                <w:b w:val="0"/>
                <w:bCs/>
                <w:color w:val="auto"/>
                <w:sz w:val="21"/>
                <w:szCs w:val="21"/>
                <w:highlight w:val="none"/>
                <w:lang w:val="en-US" w:eastAsia="zh-CN"/>
              </w:rPr>
              <w:t>使用，采购人享有管理权限</w:t>
            </w:r>
            <w:r>
              <w:rPr>
                <w:rFonts w:hint="eastAsia" w:ascii="宋体" w:hAnsi="宋体" w:cs="宋体"/>
                <w:b w:val="0"/>
                <w:bCs/>
                <w:color w:val="auto"/>
                <w:sz w:val="21"/>
                <w:szCs w:val="21"/>
                <w:highlight w:val="none"/>
                <w:lang w:val="en-US" w:eastAsia="zh-CN"/>
              </w:rPr>
              <w:t>（0.5分）</w:t>
            </w:r>
            <w:r>
              <w:rPr>
                <w:rFonts w:hint="eastAsia" w:ascii="宋体" w:hAnsi="宋体" w:eastAsia="宋体" w:cs="宋体"/>
                <w:b w:val="0"/>
                <w:bCs/>
                <w:color w:val="auto"/>
                <w:sz w:val="21"/>
                <w:szCs w:val="21"/>
                <w:highlight w:val="none"/>
                <w:lang w:val="en-US" w:eastAsia="zh-CN"/>
              </w:rPr>
              <w:t>（供应商和厂商不得泄露信息，否则依法追究相关责任</w:t>
            </w:r>
            <w:r>
              <w:rPr>
                <w:rFonts w:hint="eastAsia" w:ascii="宋体" w:hAnsi="宋体" w:eastAsia="宋体" w:cs="宋体"/>
                <w:color w:val="auto"/>
                <w:sz w:val="24"/>
                <w:szCs w:val="24"/>
                <w:highlight w:val="none"/>
                <w:lang w:val="en-US" w:eastAsia="zh-CN"/>
              </w:rPr>
              <w:t>）</w:t>
            </w:r>
            <w:r>
              <w:rPr>
                <w:rFonts w:hint="eastAsia" w:ascii="宋体" w:hAnsi="宋体" w:eastAsia="宋体" w:cs="宋体"/>
                <w:b w:val="0"/>
                <w:bCs w:val="0"/>
                <w:snapToGrid w:val="0"/>
                <w:color w:val="auto"/>
                <w:kern w:val="0"/>
                <w:sz w:val="24"/>
                <w:szCs w:val="24"/>
                <w:highlight w:val="none"/>
                <w:lang w:val="en-US" w:eastAsia="zh-CN" w:bidi="ar-SA"/>
              </w:rPr>
              <w:t>。</w:t>
            </w:r>
          </w:p>
          <w:p>
            <w:pPr>
              <w:widowControl/>
              <w:numPr>
                <w:numId w:val="0"/>
              </w:numPr>
              <w:wordWrap/>
              <w:adjustRightInd/>
              <w:snapToGrid/>
              <w:spacing w:beforeAutospacing="0" w:afterAutospacing="0"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color w:val="auto"/>
                <w:sz w:val="21"/>
                <w:szCs w:val="21"/>
                <w:highlight w:val="none"/>
                <w:lang w:val="en-US" w:eastAsia="zh-CN"/>
              </w:rPr>
              <w:t>（需在投标文件中提供系统拥有人证明材料和系统各功能运行截图并加盖公章，否则不得分。）</w:t>
            </w:r>
          </w:p>
        </w:tc>
        <w:tc>
          <w:tcPr>
            <w:tcW w:w="750" w:type="dxa"/>
            <w:vAlign w:val="center"/>
          </w:tcPr>
          <w:p>
            <w:pPr>
              <w:wordWrap/>
              <w:spacing w:line="400" w:lineRule="exact"/>
              <w:ind w:right="0" w:firstLine="210" w:firstLineChars="100"/>
              <w:jc w:val="both"/>
              <w:textAlignment w:val="auto"/>
              <w:outlineLvl w:val="0"/>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4</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190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服务要求第3点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cs="宋体"/>
                <w:b w:val="0"/>
                <w:bCs w:val="0"/>
                <w:color w:val="auto"/>
                <w:sz w:val="21"/>
                <w:szCs w:val="21"/>
                <w:highlight w:val="none"/>
                <w:lang w:val="en-US" w:eastAsia="zh-CN"/>
              </w:rPr>
              <w:t>4</w:t>
            </w:r>
          </w:p>
        </w:tc>
        <w:tc>
          <w:tcPr>
            <w:tcW w:w="3963" w:type="dxa"/>
            <w:vAlign w:val="center"/>
          </w:tcPr>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维修、保养、年检、理赔等服务（12分）：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（1）提供本市范围内维修保养服务的自有（含合作）网点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2分</w:t>
            </w: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color w:val="auto"/>
                <w:sz w:val="21"/>
                <w:szCs w:val="21"/>
                <w:highlight w:val="none"/>
                <w:lang w:eastAsia="zh-CN"/>
              </w:rPr>
              <w:t>需提供自有法人证明材料或合作协议，否则不得分）</w:t>
            </w:r>
            <w:r>
              <w:rPr>
                <w:rFonts w:hint="eastAsia" w:ascii="宋体" w:hAnsi="宋体" w:eastAsia="宋体" w:cs="宋体"/>
                <w:b w:val="0"/>
                <w:bCs w:val="0"/>
                <w:color w:val="auto"/>
                <w:sz w:val="21"/>
                <w:szCs w:val="21"/>
                <w:highlight w:val="none"/>
                <w:lang w:val="en-US" w:eastAsia="zh-CN"/>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（2）车辆本身原因导致无法用车，承诺提供备用车（2分）；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（3）承诺租赁期间，负责车辆正常维护及损坏零配件更换（轮胎每4年或行驶4万公里更换一次）（2分）；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（4）承诺租赁期间，提供车辆保养服务（每行驶5000公里或每半年保养一次）（2分）；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（5）承诺租赁期间，负责车辆的年检服务（2分）；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（6）承诺保险理赔范围内的非伤人事故，按保险条款处理，有责事故，安排人员上门一对一协助事故处理，并提供备用车（2分）。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（每承诺满足一项得2分，不承诺或不满足不得分，总分12分）。</w:t>
            </w:r>
          </w:p>
        </w:tc>
        <w:tc>
          <w:tcPr>
            <w:tcW w:w="7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12</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190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服务要求第4、5、6点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cs="宋体"/>
                <w:b w:val="0"/>
                <w:bCs w:val="0"/>
                <w:color w:val="auto"/>
                <w:sz w:val="21"/>
                <w:szCs w:val="21"/>
                <w:highlight w:val="none"/>
                <w:lang w:val="en-US" w:eastAsia="zh-CN"/>
              </w:rPr>
              <w:t>5</w:t>
            </w:r>
          </w:p>
        </w:tc>
        <w:tc>
          <w:tcPr>
            <w:tcW w:w="3963" w:type="dxa"/>
            <w:vAlign w:val="center"/>
          </w:tcPr>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故障响应承诺（4分）</w:t>
            </w:r>
          </w:p>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（1）承诺提供7*24小时技术咨询和故障远程支撑服务（2分）。</w:t>
            </w:r>
          </w:p>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（2）承诺提供故障处理案例。在车辆发生故障接到报修电话30分钟内响应（2分）。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（每项出具满足承诺书并给出解决方案得满分，未出具不得分，总分4分。）</w:t>
            </w:r>
          </w:p>
        </w:tc>
        <w:tc>
          <w:tcPr>
            <w:tcW w:w="75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190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服务要求第7点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cs="宋体"/>
                <w:b w:val="0"/>
                <w:bCs w:val="0"/>
                <w:color w:val="auto"/>
                <w:sz w:val="21"/>
                <w:szCs w:val="21"/>
                <w:highlight w:val="none"/>
                <w:lang w:val="en-US" w:eastAsia="zh-CN"/>
              </w:rPr>
              <w:t>6</w:t>
            </w:r>
          </w:p>
        </w:tc>
        <w:tc>
          <w:tcPr>
            <w:tcW w:w="3963" w:type="dxa"/>
            <w:vAlign w:val="center"/>
          </w:tcPr>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故障解决方案（</w:t>
            </w:r>
            <w:r>
              <w:rPr>
                <w:rFonts w:hint="eastAsia" w:ascii="宋体" w:hAnsi="宋体" w:cs="宋体"/>
                <w:b w:val="0"/>
                <w:bCs w:val="0"/>
                <w:color w:val="auto"/>
                <w:sz w:val="21"/>
                <w:szCs w:val="21"/>
                <w:highlight w:val="none"/>
                <w:lang w:val="en-US" w:eastAsia="zh-CN"/>
              </w:rPr>
              <w:t>11</w:t>
            </w:r>
            <w:r>
              <w:rPr>
                <w:rFonts w:hint="eastAsia" w:ascii="宋体" w:hAnsi="宋体" w:eastAsia="宋体" w:cs="宋体"/>
                <w:b w:val="0"/>
                <w:bCs w:val="0"/>
                <w:color w:val="auto"/>
                <w:sz w:val="21"/>
                <w:szCs w:val="21"/>
                <w:highlight w:val="none"/>
                <w:lang w:val="en-US" w:eastAsia="zh-CN"/>
              </w:rPr>
              <w:t>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（1）对车辆故障响应2小时内到达现场（2分）；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lang w:eastAsia="zh-CN"/>
              </w:rPr>
            </w:pPr>
            <w:r>
              <w:rPr>
                <w:rFonts w:hint="eastAsia" w:ascii="宋体" w:hAnsi="宋体" w:eastAsia="宋体" w:cs="宋体"/>
                <w:b w:val="0"/>
                <w:bCs w:val="0"/>
                <w:color w:val="auto"/>
                <w:sz w:val="21"/>
                <w:szCs w:val="21"/>
                <w:highlight w:val="none"/>
                <w:lang w:val="en-US" w:eastAsia="zh-CN"/>
              </w:rPr>
              <w:t>（2）小故障当天处理，</w:t>
            </w:r>
            <w:r>
              <w:rPr>
                <w:rFonts w:hint="eastAsia" w:ascii="宋体" w:hAnsi="宋体" w:eastAsia="宋体" w:cs="宋体"/>
                <w:color w:val="auto"/>
                <w:sz w:val="21"/>
                <w:szCs w:val="21"/>
                <w:highlight w:val="none"/>
                <w:lang w:eastAsia="zh-CN"/>
              </w:rPr>
              <w:t>提供小故障处理清单目录（</w:t>
            </w:r>
            <w:r>
              <w:rPr>
                <w:rFonts w:hint="eastAsia" w:ascii="宋体" w:hAnsi="宋体" w:eastAsia="宋体" w:cs="宋体"/>
                <w:color w:val="auto"/>
                <w:sz w:val="21"/>
                <w:szCs w:val="21"/>
                <w:highlight w:val="none"/>
                <w:lang w:val="en-US" w:eastAsia="zh-CN"/>
              </w:rPr>
              <w:t>1分</w:t>
            </w:r>
            <w:r>
              <w:rPr>
                <w:rFonts w:hint="eastAsia" w:ascii="宋体" w:hAnsi="宋体" w:eastAsia="宋体" w:cs="宋体"/>
                <w:color w:val="auto"/>
                <w:sz w:val="21"/>
                <w:szCs w:val="21"/>
                <w:highlight w:val="none"/>
                <w:lang w:eastAsia="zh-CN"/>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大故障导致车辆2天内无法正常使用提供备用车（</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lang w:val="en-US" w:eastAsia="zh-CN"/>
              </w:rPr>
              <w:t>分）；</w:t>
            </w:r>
          </w:p>
          <w:p>
            <w:p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val="en-US" w:eastAsia="zh-CN"/>
              </w:rPr>
              <w:t>）故障车辆上门检查，并给出解决方案</w:t>
            </w:r>
            <w:r>
              <w:rPr>
                <w:rFonts w:hint="eastAsia" w:ascii="宋体" w:hAnsi="宋体" w:eastAsia="宋体" w:cs="宋体"/>
                <w:color w:val="auto"/>
                <w:sz w:val="21"/>
                <w:szCs w:val="21"/>
                <w:highlight w:val="none"/>
                <w:lang w:eastAsia="zh-CN"/>
              </w:rPr>
              <w:t>（包括处置时间、维修人员配置、人员专业能力、从业经验、设备工具配备、处置流程等）（全部满足得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分，部分满足得1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分，无方案不得分</w:t>
            </w: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lang w:val="en-US" w:eastAsia="zh-CN"/>
              </w:rPr>
              <w:t>）提供服务期间道路救援服务</w:t>
            </w:r>
            <w:r>
              <w:rPr>
                <w:rFonts w:hint="eastAsia" w:ascii="宋体" w:hAnsi="宋体" w:eastAsia="宋体" w:cs="宋体"/>
                <w:color w:val="auto"/>
                <w:sz w:val="21"/>
                <w:szCs w:val="21"/>
                <w:highlight w:val="none"/>
                <w:lang w:eastAsia="zh-CN"/>
              </w:rPr>
              <w:t>（补换胎、拖车、脱困、紧急代驾等）（全部满足得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分，部分满足得1</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分，未提供服务不得分</w:t>
            </w:r>
            <w:r>
              <w:rPr>
                <w:rFonts w:hint="eastAsia" w:ascii="宋体" w:hAnsi="宋体" w:eastAsia="宋体" w:cs="宋体"/>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w:t>
            </w:r>
            <w:r>
              <w:rPr>
                <w:rFonts w:hint="eastAsia" w:ascii="宋体" w:hAnsi="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lang w:val="en-US" w:eastAsia="zh-CN"/>
              </w:rPr>
              <w:t>分）。</w:t>
            </w:r>
          </w:p>
        </w:tc>
        <w:tc>
          <w:tcPr>
            <w:tcW w:w="750" w:type="dxa"/>
            <w:vAlign w:val="center"/>
          </w:tcPr>
          <w:p>
            <w:pPr>
              <w:wordWrap/>
              <w:spacing w:line="400" w:lineRule="exact"/>
              <w:ind w:right="0"/>
              <w:jc w:val="center"/>
              <w:textAlignment w:val="auto"/>
              <w:outlineLvl w:val="0"/>
              <w:rPr>
                <w:rFonts w:hint="default" w:ascii="宋体" w:hAnsi="宋体" w:eastAsia="宋体" w:cs="宋体"/>
                <w:color w:val="auto"/>
                <w:sz w:val="21"/>
                <w:szCs w:val="21"/>
                <w:highlight w:val="none"/>
                <w:lang w:val="en-US"/>
              </w:rPr>
            </w:pPr>
            <w:r>
              <w:rPr>
                <w:rFonts w:hint="eastAsia" w:ascii="宋体" w:hAnsi="宋体" w:cs="宋体"/>
                <w:color w:val="auto"/>
                <w:sz w:val="21"/>
                <w:szCs w:val="21"/>
                <w:highlight w:val="none"/>
                <w:lang w:val="en-US" w:eastAsia="zh-CN"/>
              </w:rPr>
              <w:t>11</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w:t>
            </w:r>
          </w:p>
        </w:tc>
        <w:tc>
          <w:tcPr>
            <w:tcW w:w="190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服务要求第7点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7</w:t>
            </w:r>
          </w:p>
        </w:tc>
        <w:tc>
          <w:tcPr>
            <w:tcW w:w="3963"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bidi="ar-SA"/>
              </w:rPr>
              <w:t>出租方管理团队及车辆管理方案（18分），</w:t>
            </w:r>
            <w:r>
              <w:rPr>
                <w:rFonts w:hint="eastAsia" w:ascii="宋体" w:hAnsi="宋体" w:eastAsia="宋体" w:cs="宋体"/>
                <w:b w:val="0"/>
                <w:bCs w:val="0"/>
                <w:color w:val="auto"/>
                <w:sz w:val="21"/>
                <w:szCs w:val="21"/>
                <w:highlight w:val="none"/>
                <w:lang w:val="en-US" w:eastAsia="zh-CN"/>
              </w:rPr>
              <w:t>至少包括</w:t>
            </w:r>
            <w:r>
              <w:rPr>
                <w:rFonts w:hint="eastAsia" w:ascii="宋体" w:hAnsi="宋体" w:eastAsia="宋体" w:cs="宋体"/>
                <w:b w:val="0"/>
                <w:bCs w:val="0"/>
                <w:color w:val="auto"/>
                <w:kern w:val="2"/>
                <w:sz w:val="21"/>
                <w:szCs w:val="21"/>
                <w:highlight w:val="none"/>
                <w:lang w:val="en-US" w:eastAsia="zh-CN" w:bidi="ar-SA"/>
              </w:rPr>
              <w:t>：</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（1）本项目的管理人员的组织架构（0-2分）；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（2）人员配置方案（至少包括项目负责人、技术负责人、车辆专管员、事故处理联络员、商务专员等）（0-2分）；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（3）岗位职责方案（明确岗位负责人、技术负责人、车辆专管员、事故处理联络员、商务专员等责任）（0-2分）；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（4）车辆巡检制度的</w:t>
            </w:r>
            <w:r>
              <w:rPr>
                <w:rFonts w:hint="eastAsia" w:ascii="宋体" w:hAnsi="宋体" w:eastAsia="宋体" w:cs="宋体"/>
                <w:color w:val="auto"/>
                <w:sz w:val="21"/>
                <w:szCs w:val="21"/>
                <w:highlight w:val="none"/>
                <w:lang w:eastAsia="zh-CN"/>
              </w:rPr>
              <w:t>实施</w:t>
            </w:r>
            <w:r>
              <w:rPr>
                <w:rFonts w:hint="eastAsia" w:ascii="宋体" w:hAnsi="宋体" w:eastAsia="宋体" w:cs="宋体"/>
                <w:b w:val="0"/>
                <w:bCs w:val="0"/>
                <w:color w:val="auto"/>
                <w:sz w:val="21"/>
                <w:szCs w:val="21"/>
                <w:highlight w:val="none"/>
                <w:lang w:val="en-US" w:eastAsia="zh-CN"/>
              </w:rPr>
              <w:t>方案（</w:t>
            </w:r>
            <w:r>
              <w:rPr>
                <w:rFonts w:hint="eastAsia" w:ascii="宋体" w:hAnsi="宋体" w:eastAsia="宋体" w:cs="宋体"/>
                <w:color w:val="auto"/>
                <w:sz w:val="21"/>
                <w:szCs w:val="21"/>
                <w:highlight w:val="none"/>
                <w:lang w:eastAsia="zh-CN"/>
              </w:rPr>
              <w:t>巡检频次、人员安排、巡检内容、巡检反馈留档</w:t>
            </w:r>
            <w:r>
              <w:rPr>
                <w:rFonts w:hint="eastAsia" w:ascii="宋体" w:hAnsi="宋体" w:eastAsia="宋体" w:cs="宋体"/>
                <w:b w:val="0"/>
                <w:bCs w:val="0"/>
                <w:color w:val="auto"/>
                <w:sz w:val="21"/>
                <w:szCs w:val="21"/>
                <w:highlight w:val="none"/>
                <w:lang w:val="en-US" w:eastAsia="zh-CN"/>
              </w:rPr>
              <w:t>情况等）（0-2分）；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（5）车辆信息建档管理方案（车辆基本信息、人员安排、证件登记、保养情况、车辆技术性能等）（0-2分）；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（6）车辆服务投诉方案（人员安排、受理场所、反馈时间、处理方案）（0-2分）；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（7）月度管报制订方案（车辆运行、维修、保养、故障统计记录等）（0-2分）；</w:t>
            </w:r>
          </w:p>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（8）安全管理方案（安全员配置、安全管理措施、突发应急能力等）（0-2分）；</w:t>
            </w:r>
          </w:p>
          <w:p>
            <w:pPr>
              <w:wordWrap/>
              <w:snapToGrid/>
              <w:spacing w:line="320" w:lineRule="exact"/>
              <w:ind w:left="0" w:leftChars="0" w:right="0" w:firstLine="0" w:firstLineChars="0"/>
              <w:jc w:val="both"/>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（9）车辆使用培训教育方案（新能源汽车使用须知、充电安全操作、常见故障排除、行车安全教育等）（0-2分）。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b w:val="0"/>
                <w:bCs w:val="0"/>
                <w:color w:val="auto"/>
                <w:sz w:val="21"/>
                <w:szCs w:val="21"/>
                <w:highlight w:val="none"/>
                <w:lang w:val="en-US" w:eastAsia="zh-CN"/>
              </w:rPr>
              <w:t>每项满分2分，共计18分。其中每项方案内容完整合理、针对性强得满分，内容欠完整合理、针对性一般得1分，内容缺失不合理、针对性差不得分。</w:t>
            </w:r>
          </w:p>
        </w:tc>
        <w:tc>
          <w:tcPr>
            <w:tcW w:w="750"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18</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主观</w:t>
            </w:r>
          </w:p>
        </w:tc>
        <w:tc>
          <w:tcPr>
            <w:tcW w:w="190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（二）</w:t>
            </w:r>
            <w:r>
              <w:rPr>
                <w:rFonts w:hint="eastAsia" w:ascii="宋体" w:hAnsi="宋体" w:eastAsia="宋体" w:cs="宋体"/>
                <w:color w:val="auto"/>
                <w:sz w:val="21"/>
                <w:szCs w:val="21"/>
                <w:highlight w:val="none"/>
                <w:lang w:val="en-US" w:eastAsia="zh-CN"/>
              </w:rPr>
              <w:t>服务要求第1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8</w:t>
            </w:r>
          </w:p>
        </w:tc>
        <w:tc>
          <w:tcPr>
            <w:tcW w:w="3963" w:type="dxa"/>
            <w:vAlign w:val="center"/>
          </w:tcPr>
          <w:p>
            <w:pPr>
              <w:numPr>
                <w:numId w:val="0"/>
              </w:numPr>
              <w:wordWrap/>
              <w:snapToGrid/>
              <w:spacing w:line="320" w:lineRule="exact"/>
              <w:ind w:left="0" w:leftChars="0" w:right="0" w:firstLine="0" w:firstLineChars="0"/>
              <w:jc w:val="both"/>
              <w:textAlignment w:val="auto"/>
              <w:outlineLvl w:val="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保障项目正常运营措施（4分）：</w:t>
            </w:r>
          </w:p>
          <w:p>
            <w:pPr>
              <w:wordWrap/>
              <w:snapToGrid/>
              <w:spacing w:line="320" w:lineRule="exact"/>
              <w:ind w:left="0" w:leftChars="0" w:right="0" w:firstLine="0" w:firstLineChars="0"/>
              <w:jc w:val="both"/>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承诺每半年向采购方提供维保记录、未处理违章记录、事故记录等，保持车辆性能及状况完好（4分）。</w:t>
            </w:r>
          </w:p>
        </w:tc>
        <w:tc>
          <w:tcPr>
            <w:tcW w:w="750"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4</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1900" w:type="dxa"/>
            <w:vAlign w:val="center"/>
          </w:tcPr>
          <w:p>
            <w:pPr>
              <w:wordWrap/>
              <w:spacing w:line="400" w:lineRule="exact"/>
              <w:ind w:right="0"/>
              <w:jc w:val="center"/>
              <w:textAlignment w:val="auto"/>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第三部分</w:t>
            </w:r>
          </w:p>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二、服务要求第1</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lang w:val="en-US"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pacing w:line="400" w:lineRule="exact"/>
              <w:ind w:left="0" w:leftChars="0" w:right="0" w:firstLine="0" w:firstLineChars="0"/>
              <w:jc w:val="center"/>
              <w:textAlignment w:val="auto"/>
              <w:outlineLvl w:val="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9</w:t>
            </w:r>
          </w:p>
        </w:tc>
        <w:tc>
          <w:tcPr>
            <w:tcW w:w="3963" w:type="dxa"/>
            <w:vAlign w:val="center"/>
          </w:tcPr>
          <w:p>
            <w:pPr>
              <w:widowControl w:val="0"/>
              <w:wordWrap/>
              <w:adjustRightInd w:val="0"/>
              <w:snapToGrid/>
              <w:spacing w:line="320" w:lineRule="exact"/>
              <w:ind w:left="0" w:leftChars="0" w:right="0" w:firstLine="0" w:firstLineChars="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投标人类似项目建设的成功经验（1分）： </w:t>
            </w:r>
          </w:p>
          <w:p>
            <w:pPr>
              <w:widowControl w:val="0"/>
              <w:wordWrap/>
              <w:adjustRightInd w:val="0"/>
              <w:snapToGrid/>
              <w:spacing w:line="320" w:lineRule="exact"/>
              <w:ind w:left="0" w:leftChars="0" w:right="0"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SA"/>
              </w:rPr>
              <w:t>20</w:t>
            </w:r>
            <w:r>
              <w:rPr>
                <w:rFonts w:hint="eastAsia" w:ascii="宋体" w:hAnsi="宋体" w:cs="宋体"/>
                <w:color w:val="auto"/>
                <w:kern w:val="0"/>
                <w:sz w:val="21"/>
                <w:szCs w:val="21"/>
                <w:highlight w:val="none"/>
                <w:lang w:val="en-US" w:eastAsia="zh-CN" w:bidi="ar-SA"/>
              </w:rPr>
              <w:t>20</w:t>
            </w:r>
            <w:r>
              <w:rPr>
                <w:rFonts w:hint="eastAsia" w:ascii="宋体" w:hAnsi="宋体" w:eastAsia="宋体" w:cs="宋体"/>
                <w:color w:val="auto"/>
                <w:kern w:val="0"/>
                <w:sz w:val="21"/>
                <w:szCs w:val="21"/>
                <w:highlight w:val="none"/>
                <w:lang w:val="en-US" w:eastAsia="zh-CN" w:bidi="ar-SA"/>
              </w:rPr>
              <w:t>年</w:t>
            </w:r>
            <w:r>
              <w:rPr>
                <w:rFonts w:hint="eastAsia" w:ascii="宋体" w:hAnsi="宋体" w:cs="宋体"/>
                <w:color w:val="auto"/>
                <w:kern w:val="0"/>
                <w:sz w:val="21"/>
                <w:szCs w:val="21"/>
                <w:highlight w:val="none"/>
                <w:lang w:val="en-US" w:eastAsia="zh-CN" w:bidi="ar-SA"/>
              </w:rPr>
              <w:t>5</w:t>
            </w:r>
            <w:r>
              <w:rPr>
                <w:rFonts w:hint="eastAsia" w:ascii="宋体" w:hAnsi="宋体" w:eastAsia="宋体" w:cs="宋体"/>
                <w:color w:val="auto"/>
                <w:kern w:val="0"/>
                <w:sz w:val="21"/>
                <w:szCs w:val="21"/>
                <w:highlight w:val="none"/>
                <w:lang w:val="en-US" w:eastAsia="zh-CN" w:bidi="ar-SA"/>
              </w:rPr>
              <w:t>月1日至投标截止时间，投标人承担类似项目实施的成功经验情况，每个成功案例得0.5分，本项最高得1分。（时间以合同签订时间为准，投标文件中需提供合同复印件或扫描件和加盖公章的车辆交接验收单，否则不得分。）</w:t>
            </w:r>
          </w:p>
        </w:tc>
        <w:tc>
          <w:tcPr>
            <w:tcW w:w="750"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p>
        </w:tc>
        <w:tc>
          <w:tcPr>
            <w:tcW w:w="1037" w:type="dxa"/>
            <w:vAlign w:val="center"/>
          </w:tcPr>
          <w:p>
            <w:pPr>
              <w:snapToGrid w:val="0"/>
              <w:spacing w:line="240" w:lineRule="auto"/>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1900" w:type="dxa"/>
            <w:vAlign w:val="center"/>
          </w:tcPr>
          <w:p>
            <w:pPr>
              <w:wordWrap/>
              <w:spacing w:line="400" w:lineRule="exact"/>
              <w:ind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业绩案例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3" w:type="dxa"/>
            <w:vAlign w:val="center"/>
          </w:tcPr>
          <w:p>
            <w:pPr>
              <w:widowControl w:val="0"/>
              <w:wordWrap/>
              <w:adjustRightInd w:val="0"/>
              <w:snapToGrid w:val="0"/>
              <w:spacing w:line="360" w:lineRule="auto"/>
              <w:ind w:left="0" w:leftChars="0" w:right="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p>
        </w:tc>
        <w:tc>
          <w:tcPr>
            <w:tcW w:w="3963" w:type="dxa"/>
            <w:vAlign w:val="top"/>
          </w:tcPr>
          <w:p>
            <w:pPr>
              <w:spacing w:line="240" w:lineRule="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有效投标报价的最低价作为评标基准价，其最低报价为满分；按［投标报价得分=（评标基准价/投标报价）*</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rPr>
              <w:t>］的计算公式计算。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评标过程中，不得去掉报价中的最高报价和最低报价。</w:t>
            </w:r>
          </w:p>
        </w:tc>
        <w:tc>
          <w:tcPr>
            <w:tcW w:w="750" w:type="dxa"/>
            <w:vAlign w:val="center"/>
          </w:tcPr>
          <w:p>
            <w:pPr>
              <w:spacing w:line="360" w:lineRule="auto"/>
              <w:jc w:val="center"/>
              <w:outlineLvl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p>
        </w:tc>
        <w:tc>
          <w:tcPr>
            <w:tcW w:w="1037" w:type="dxa"/>
            <w:vAlign w:val="center"/>
          </w:tcPr>
          <w:p>
            <w:pPr>
              <w:spacing w:line="240" w:lineRule="auto"/>
              <w:jc w:val="center"/>
              <w:outlineLvl w:val="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客观</w:t>
            </w:r>
          </w:p>
        </w:tc>
        <w:tc>
          <w:tcPr>
            <w:tcW w:w="1900" w:type="dxa"/>
            <w:vAlign w:val="center"/>
          </w:tcPr>
          <w:p>
            <w:pPr>
              <w:spacing w:line="360" w:lineRule="auto"/>
              <w:jc w:val="center"/>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tc>
      </w:tr>
    </w:tbl>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法律、法规、规章（适用本市的）及省级以上规范性文件（适用本市的）规定的其他无效情形。</w:t>
      </w:r>
    </w:p>
    <w:p>
      <w:pPr>
        <w:pStyle w:val="26"/>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6"/>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6"/>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6"/>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6"/>
        <w:snapToGrid w:val="0"/>
        <w:spacing w:line="360" w:lineRule="auto"/>
        <w:rPr>
          <w:rFonts w:cs="宋体"/>
          <w:color w:val="auto"/>
          <w:highlight w:val="none"/>
        </w:rPr>
      </w:pPr>
      <w:r>
        <w:rPr>
          <w:rFonts w:hint="eastAsia" w:cs="宋体"/>
          <w:color w:val="auto"/>
          <w:highlight w:val="none"/>
        </w:rPr>
        <w:t>5.4因重大变故，采购任务取消的。</w:t>
      </w:r>
    </w:p>
    <w:p>
      <w:pPr>
        <w:pStyle w:val="26"/>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6"/>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6"/>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6"/>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widowControl/>
        <w:adjustRightInd/>
        <w:jc w:val="left"/>
        <w:rPr>
          <w:rFonts w:ascii="宋体" w:hAnsi="宋体" w:cs="宋体"/>
          <w:b/>
          <w:color w:val="auto"/>
          <w:sz w:val="36"/>
          <w:szCs w:val="36"/>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3" w:name="第五部分"/>
      <w:bookmarkStart w:id="394" w:name="_Toc86217003"/>
    </w:p>
    <w:p>
      <w:pPr>
        <w:spacing w:line="360" w:lineRule="auto"/>
        <w:ind w:left="720" w:leftChars="343" w:firstLine="1084" w:firstLineChars="300"/>
        <w:outlineLvl w:val="0"/>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384"/>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2"/>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281"/>
        <w:spacing w:before="120" w:line="22" w:lineRule="atLeast"/>
        <w:rPr>
          <w:rFonts w:ascii="宋体" w:hAnsi="宋体" w:eastAsia="宋体" w:cs="宋体"/>
          <w:color w:val="auto"/>
          <w:szCs w:val="24"/>
          <w:highlight w:val="none"/>
        </w:rPr>
      </w:pPr>
    </w:p>
    <w:p>
      <w:pPr>
        <w:pStyle w:val="281"/>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杭州市余杭区人民政府五常街道办事处</w:t>
      </w:r>
      <w:r>
        <w:rPr>
          <w:rFonts w:ascii="宋体" w:hAnsi="宋体"/>
          <w:color w:val="auto"/>
          <w:sz w:val="24"/>
          <w:highlight w:val="none"/>
          <w:u w:val="single"/>
        </w:rPr>
        <w:t xml:space="preserve">   </w:t>
      </w:r>
      <w:r>
        <w:rPr>
          <w:rFonts w:hint="eastAsia" w:ascii="宋体" w:hAnsi="宋体"/>
          <w:color w:val="auto"/>
          <w:sz w:val="24"/>
          <w:highlight w:val="none"/>
        </w:rPr>
        <w:t>以</w:t>
      </w:r>
      <w:r>
        <w:rPr>
          <w:rFonts w:hint="eastAsia" w:ascii="宋体" w:hAnsi="宋体"/>
          <w:color w:val="auto"/>
          <w:sz w:val="24"/>
          <w:highlight w:val="none"/>
          <w:u w:val="single"/>
          <w:lang w:eastAsia="zh-CN"/>
        </w:rPr>
        <w:t>公开招标方式</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五常街道办事处公务执勤车辆租赁服务采购项目</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（中标供应商名称） </w:t>
      </w:r>
      <w:r>
        <w:rPr>
          <w:rFonts w:hint="eastAsia" w:ascii="宋体" w:hAnsi="宋体"/>
          <w:color w:val="auto"/>
          <w:sz w:val="24"/>
          <w:highlight w:val="none"/>
        </w:rPr>
        <w:t>为该项目</w:t>
      </w:r>
      <w:r>
        <w:rPr>
          <w:rFonts w:hint="eastAsia" w:ascii="宋体" w:hAnsi="宋体" w:cs="宋体"/>
          <w:color w:val="auto"/>
          <w:sz w:val="24"/>
          <w:highlight w:val="none"/>
        </w:rPr>
        <w:t>中标供应商</w:t>
      </w:r>
      <w:r>
        <w:rPr>
          <w:rFonts w:hint="eastAsia" w:ascii="宋体" w:hAnsi="宋体"/>
          <w:color w:val="auto"/>
          <w:sz w:val="24"/>
          <w:highlight w:val="none"/>
        </w:rPr>
        <w:t>。现于</w:t>
      </w:r>
      <w:r>
        <w:rPr>
          <w:rFonts w:hint="eastAsia" w:ascii="宋体" w:hAnsi="宋体" w:cs="宋体"/>
          <w:color w:val="auto"/>
          <w:sz w:val="24"/>
          <w:highlight w:val="none"/>
        </w:rPr>
        <w:t>中标通知书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杭州市余杭区人民政府五常街道办事处</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lang w:eastAsia="zh-CN"/>
        </w:rPr>
        <w:t>标</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bookmarkStart w:id="395" w:name="_Toc28855"/>
      <w:bookmarkStart w:id="396" w:name="_Toc22967"/>
      <w:bookmarkStart w:id="397" w:name="_Toc15367"/>
      <w:bookmarkStart w:id="398" w:name="_Toc19273"/>
      <w:bookmarkStart w:id="399" w:name="_Toc20421"/>
      <w:r>
        <w:rPr>
          <w:rFonts w:ascii="宋体" w:hAnsi="宋体"/>
          <w:b/>
          <w:color w:val="auto"/>
          <w:sz w:val="24"/>
          <w:highlight w:val="none"/>
        </w:rPr>
        <w:t xml:space="preserve">1.1 </w:t>
      </w:r>
      <w:r>
        <w:rPr>
          <w:rFonts w:hint="eastAsia" w:ascii="宋体" w:hAnsi="宋体"/>
          <w:b/>
          <w:color w:val="auto"/>
          <w:sz w:val="24"/>
          <w:highlight w:val="none"/>
        </w:rPr>
        <w:t>合同组成部分</w:t>
      </w:r>
      <w:bookmarkEnd w:id="395"/>
      <w:bookmarkEnd w:id="396"/>
      <w:bookmarkEnd w:id="397"/>
      <w:bookmarkEnd w:id="398"/>
      <w:bookmarkEnd w:id="399"/>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bookmarkStart w:id="400" w:name="_Toc6311"/>
      <w:bookmarkStart w:id="401" w:name="_Toc22185"/>
      <w:bookmarkStart w:id="402" w:name="_Toc2918"/>
      <w:bookmarkStart w:id="403" w:name="_Toc6773"/>
      <w:bookmarkStart w:id="404" w:name="_Toc18585"/>
      <w:r>
        <w:rPr>
          <w:rFonts w:ascii="宋体" w:hAnsi="宋体"/>
          <w:b/>
          <w:color w:val="auto"/>
          <w:sz w:val="24"/>
          <w:highlight w:val="none"/>
        </w:rPr>
        <w:t xml:space="preserve">1.2 </w:t>
      </w:r>
      <w:r>
        <w:rPr>
          <w:rFonts w:hint="eastAsia" w:ascii="宋体" w:hAnsi="宋体"/>
          <w:b/>
          <w:color w:val="auto"/>
          <w:sz w:val="24"/>
          <w:highlight w:val="none"/>
        </w:rPr>
        <w:t>标的</w:t>
      </w:r>
      <w:bookmarkEnd w:id="400"/>
      <w:bookmarkEnd w:id="401"/>
      <w:bookmarkEnd w:id="402"/>
      <w:bookmarkEnd w:id="403"/>
      <w:bookmarkEnd w:id="404"/>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560" w:lineRule="exact"/>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560" w:lineRule="exact"/>
        <w:ind w:firstLine="480" w:firstLineChars="200"/>
        <w:rPr>
          <w:rFonts w:ascii="宋体" w:hAnsi="宋体" w:cs="宋体"/>
          <w:color w:val="auto"/>
          <w:sz w:val="24"/>
          <w:highlight w:val="none"/>
          <w:u w:val="single"/>
        </w:rPr>
      </w:pPr>
      <w:bookmarkStart w:id="405" w:name="_Toc5635"/>
      <w:bookmarkStart w:id="406" w:name="_Toc13918"/>
      <w:bookmarkStart w:id="407" w:name="_Toc1386"/>
      <w:bookmarkStart w:id="408" w:name="_Toc4929"/>
      <w:bookmarkStart w:id="409" w:name="_Toc21124"/>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bookmarkEnd w:id="405"/>
      <w:bookmarkEnd w:id="406"/>
      <w:bookmarkEnd w:id="407"/>
      <w:bookmarkEnd w:id="408"/>
      <w:bookmarkEnd w:id="409"/>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7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105"/>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201" w:type="dxa"/>
            <w:vAlign w:val="center"/>
          </w:tcPr>
          <w:p>
            <w:pPr>
              <w:pStyle w:val="105"/>
              <w:spacing w:line="560" w:lineRule="exact"/>
              <w:ind w:firstLine="200"/>
              <w:jc w:val="center"/>
              <w:rPr>
                <w:rFonts w:hAnsi="宋体"/>
                <w:color w:val="auto"/>
                <w:sz w:val="24"/>
                <w:szCs w:val="24"/>
                <w:highlight w:val="none"/>
              </w:rPr>
            </w:pPr>
          </w:p>
        </w:tc>
        <w:tc>
          <w:tcPr>
            <w:tcW w:w="3402" w:type="dxa"/>
            <w:vAlign w:val="center"/>
          </w:tcPr>
          <w:p>
            <w:pPr>
              <w:pStyle w:val="105"/>
              <w:spacing w:line="560" w:lineRule="exact"/>
              <w:ind w:firstLine="200"/>
              <w:jc w:val="center"/>
              <w:rPr>
                <w:rFonts w:hAnsi="宋体"/>
                <w:color w:val="auto"/>
                <w:sz w:val="24"/>
                <w:szCs w:val="24"/>
                <w:highlight w:val="none"/>
              </w:rPr>
            </w:pPr>
          </w:p>
        </w:tc>
        <w:tc>
          <w:tcPr>
            <w:tcW w:w="2552" w:type="dxa"/>
            <w:vAlign w:val="center"/>
          </w:tcPr>
          <w:p>
            <w:pPr>
              <w:pStyle w:val="105"/>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4603" w:type="dxa"/>
            <w:gridSpan w:val="2"/>
            <w:vAlign w:val="center"/>
          </w:tcPr>
          <w:p>
            <w:pPr>
              <w:pStyle w:val="105"/>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105"/>
              <w:spacing w:line="560" w:lineRule="exact"/>
              <w:ind w:firstLine="200"/>
              <w:jc w:val="center"/>
              <w:rPr>
                <w:rFonts w:hAnsi="宋体"/>
                <w:color w:val="auto"/>
                <w:sz w:val="24"/>
                <w:szCs w:val="24"/>
                <w:highlight w:val="none"/>
              </w:rPr>
            </w:pPr>
          </w:p>
        </w:tc>
      </w:tr>
    </w:tbl>
    <w:p>
      <w:pPr>
        <w:spacing w:line="560" w:lineRule="exact"/>
        <w:ind w:firstLine="480" w:firstLineChars="200"/>
        <w:rPr>
          <w:rFonts w:ascii="宋体" w:hAnsi="宋体"/>
          <w:color w:val="auto"/>
          <w:sz w:val="24"/>
          <w:highlight w:val="none"/>
        </w:rPr>
      </w:pPr>
      <w:bookmarkStart w:id="410" w:name="_Toc26916"/>
      <w:bookmarkStart w:id="411" w:name="_Toc30506"/>
      <w:bookmarkStart w:id="412" w:name="_Toc14993"/>
      <w:bookmarkStart w:id="413" w:name="_Toc30158"/>
      <w:bookmarkStart w:id="414" w:name="_Toc3654"/>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2"/>
        <w:rPr>
          <w:color w:val="auto"/>
          <w:highlight w:val="none"/>
          <w:lang w:val="en-US"/>
        </w:rPr>
      </w:pPr>
      <w:r>
        <w:rPr>
          <w:rFonts w:hint="eastAsia" w:ascii="宋体" w:hAnsi="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616"/>
        <w:spacing w:before="0" w:beforeAutospacing="0" w:after="0" w:afterAutospacing="0" w:line="360" w:lineRule="auto"/>
        <w:ind w:firstLine="480"/>
        <w:rPr>
          <w:b/>
          <w:color w:val="auto"/>
          <w:highlight w:val="none"/>
        </w:rPr>
      </w:pPr>
      <w:bookmarkStart w:id="415" w:name="_Toc1814"/>
      <w:bookmarkStart w:id="416" w:name="_Toc22618"/>
      <w:bookmarkStart w:id="417" w:name="_Toc10340"/>
      <w:bookmarkStart w:id="418" w:name="_Toc4760"/>
      <w:bookmarkStart w:id="419" w:name="_Toc8772"/>
      <w:bookmarkStart w:id="420" w:name="_Toc11108"/>
      <w:bookmarkStart w:id="421" w:name="_Toc3625"/>
      <w:bookmarkStart w:id="422" w:name="_Toc31421"/>
      <w:r>
        <w:rPr>
          <w:rFonts w:hint="eastAsia"/>
          <w:b/>
          <w:color w:val="auto"/>
          <w:highlight w:val="none"/>
        </w:rPr>
        <w:t>1.4履约保证金</w:t>
      </w:r>
    </w:p>
    <w:p>
      <w:pPr>
        <w:pStyle w:val="616"/>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2"/>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415"/>
      <w:bookmarkEnd w:id="416"/>
      <w:bookmarkEnd w:id="417"/>
      <w:r>
        <w:rPr>
          <w:rFonts w:hint="eastAsia" w:ascii="宋体" w:hAnsi="宋体" w:cs="宋体"/>
          <w:b/>
          <w:color w:val="auto"/>
          <w:sz w:val="24"/>
          <w:highlight w:val="none"/>
        </w:rPr>
        <w:t>预付款</w:t>
      </w:r>
    </w:p>
    <w:p>
      <w:pPr>
        <w:pStyle w:val="616"/>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616"/>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16"/>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616"/>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616"/>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bookmarkEnd w:id="418"/>
      <w:bookmarkEnd w:id="419"/>
      <w:bookmarkEnd w:id="420"/>
      <w:bookmarkEnd w:id="421"/>
      <w:bookmarkEnd w:id="422"/>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bookmarkStart w:id="423" w:name="_Toc2375"/>
      <w:bookmarkStart w:id="424" w:name="_Toc3079"/>
      <w:bookmarkStart w:id="425" w:name="_Toc8586"/>
      <w:bookmarkStart w:id="426" w:name="_Toc5698"/>
      <w:bookmarkStart w:id="427" w:name="_Toc24662"/>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bookmarkEnd w:id="423"/>
      <w:bookmarkEnd w:id="424"/>
      <w:bookmarkEnd w:id="425"/>
      <w:bookmarkEnd w:id="426"/>
      <w:bookmarkEnd w:id="427"/>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bookmarkStart w:id="428" w:name="_Toc26807"/>
      <w:bookmarkStart w:id="429" w:name="_Toc32454"/>
      <w:bookmarkStart w:id="430" w:name="_Toc30329"/>
      <w:bookmarkStart w:id="431" w:name="_Toc18683"/>
      <w:bookmarkStart w:id="432" w:name="_Toc9497"/>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ascii="宋体" w:hAnsi="宋体" w:cs="宋体"/>
          <w:b/>
          <w:color w:val="auto"/>
          <w:sz w:val="24"/>
          <w:highlight w:val="none"/>
        </w:rPr>
      </w:pPr>
      <w:bookmarkStart w:id="433" w:name="_Toc16021"/>
      <w:bookmarkStart w:id="434" w:name="_Toc28375"/>
      <w:bookmarkStart w:id="435" w:name="_Toc15583"/>
      <w:r>
        <w:rPr>
          <w:rFonts w:hint="eastAsia" w:ascii="宋体" w:hAnsi="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36" w:name="_Toc11173"/>
      <w:bookmarkStart w:id="437" w:name="_Toc7245"/>
      <w:bookmarkStart w:id="438" w:name="_Toc15322"/>
      <w:r>
        <w:rPr>
          <w:rFonts w:hint="eastAsia" w:ascii="宋体" w:hAnsi="宋体" w:cs="宋体"/>
          <w:b/>
          <w:color w:val="auto"/>
          <w:sz w:val="24"/>
          <w:highlight w:val="none"/>
        </w:rPr>
        <w:t>2.0 合同生效</w:t>
      </w:r>
      <w:bookmarkEnd w:id="436"/>
      <w:bookmarkEnd w:id="437"/>
      <w:bookmarkEnd w:id="438"/>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384"/>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bookmarkStart w:id="439" w:name="_Toc19680"/>
      <w:bookmarkStart w:id="440" w:name="_Toc5228"/>
      <w:bookmarkStart w:id="441" w:name="_Toc25079"/>
      <w:bookmarkStart w:id="442" w:name="_Toc31297"/>
      <w:bookmarkStart w:id="443" w:name="_Toc14021"/>
      <w:r>
        <w:rPr>
          <w:rFonts w:ascii="宋体" w:hAnsi="宋体"/>
          <w:b/>
          <w:color w:val="auto"/>
          <w:sz w:val="24"/>
          <w:highlight w:val="none"/>
        </w:rPr>
        <w:t>2.1 定义</w:t>
      </w:r>
      <w:bookmarkEnd w:id="439"/>
      <w:bookmarkEnd w:id="440"/>
      <w:bookmarkEnd w:id="441"/>
      <w:bookmarkEnd w:id="442"/>
      <w:bookmarkEnd w:id="443"/>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bookmarkStart w:id="444" w:name="_Toc23289"/>
      <w:bookmarkStart w:id="445" w:name="_Toc3769"/>
      <w:bookmarkStart w:id="446" w:name="_Toc16752"/>
      <w:bookmarkStart w:id="447" w:name="_Toc19539"/>
      <w:bookmarkStart w:id="448" w:name="_Toc31402"/>
      <w:r>
        <w:rPr>
          <w:rFonts w:ascii="宋体" w:hAnsi="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bookmarkStart w:id="449" w:name="_Toc4133"/>
      <w:bookmarkStart w:id="450" w:name="_Toc13673"/>
      <w:bookmarkStart w:id="451" w:name="_Toc12412"/>
      <w:bookmarkStart w:id="452" w:name="_Toc27945"/>
      <w:bookmarkStart w:id="453" w:name="_Toc9161"/>
      <w:r>
        <w:rPr>
          <w:rFonts w:ascii="宋体" w:hAnsi="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bookmarkStart w:id="454" w:name="_Toc22011"/>
      <w:bookmarkStart w:id="455" w:name="_Toc31233"/>
      <w:bookmarkStart w:id="456" w:name="_Toc15447"/>
      <w:bookmarkStart w:id="457" w:name="_Toc32670"/>
      <w:bookmarkStart w:id="458" w:name="_Toc26555"/>
      <w:r>
        <w:rPr>
          <w:rFonts w:ascii="宋体" w:hAnsi="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59" w:name="_Toc16163"/>
      <w:bookmarkStart w:id="460" w:name="_Toc13467"/>
      <w:bookmarkStart w:id="461" w:name="_Toc30507"/>
      <w:bookmarkStart w:id="462" w:name="_Toc18990"/>
      <w:bookmarkStart w:id="463" w:name="_Toc13154"/>
      <w:r>
        <w:rPr>
          <w:rFonts w:ascii="宋体" w:hAnsi="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bookmarkStart w:id="464" w:name="_Toc19069"/>
      <w:r>
        <w:rPr>
          <w:rFonts w:ascii="宋体" w:hAnsi="宋体"/>
          <w:b/>
          <w:color w:val="auto"/>
          <w:sz w:val="24"/>
          <w:highlight w:val="none"/>
        </w:rPr>
        <w:t xml:space="preserve">2.7 </w:t>
      </w:r>
      <w:r>
        <w:rPr>
          <w:rFonts w:hint="eastAsia" w:ascii="宋体" w:hAnsi="宋体"/>
          <w:b/>
          <w:color w:val="auto"/>
          <w:sz w:val="24"/>
          <w:highlight w:val="none"/>
        </w:rPr>
        <w:t>质量保证</w:t>
      </w:r>
      <w:bookmarkEnd w:id="464"/>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bookmarkStart w:id="465" w:name="_Toc22267"/>
      <w:r>
        <w:rPr>
          <w:rFonts w:ascii="宋体" w:hAnsi="宋体"/>
          <w:b/>
          <w:color w:val="auto"/>
          <w:sz w:val="24"/>
          <w:highlight w:val="none"/>
        </w:rPr>
        <w:t xml:space="preserve">2.8 </w:t>
      </w:r>
      <w:r>
        <w:rPr>
          <w:rFonts w:hint="eastAsia" w:ascii="宋体" w:hAnsi="宋体"/>
          <w:b/>
          <w:color w:val="auto"/>
          <w:sz w:val="24"/>
          <w:highlight w:val="none"/>
        </w:rPr>
        <w:t>延迟履行</w:t>
      </w:r>
      <w:bookmarkEnd w:id="465"/>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bookmarkStart w:id="466" w:name="_Toc10611"/>
      <w:r>
        <w:rPr>
          <w:rFonts w:ascii="宋体" w:hAnsi="宋体"/>
          <w:b/>
          <w:color w:val="auto"/>
          <w:sz w:val="24"/>
          <w:highlight w:val="none"/>
        </w:rPr>
        <w:t xml:space="preserve">2.9 </w:t>
      </w:r>
      <w:r>
        <w:rPr>
          <w:rFonts w:hint="eastAsia" w:ascii="宋体" w:hAnsi="宋体"/>
          <w:b/>
          <w:color w:val="auto"/>
          <w:sz w:val="24"/>
          <w:highlight w:val="none"/>
        </w:rPr>
        <w:t>合同变更</w:t>
      </w:r>
      <w:bookmarkEnd w:id="466"/>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67" w:name="_Toc21830"/>
      <w:bookmarkStart w:id="468" w:name="_Toc10663"/>
      <w:bookmarkStart w:id="469" w:name="_Toc26689"/>
      <w:bookmarkStart w:id="470" w:name="_Toc23368"/>
      <w:bookmarkStart w:id="471" w:name="_Toc42"/>
      <w:r>
        <w:rPr>
          <w:rFonts w:ascii="宋体" w:hAnsi="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bookmarkStart w:id="472" w:name="_Toc14371"/>
      <w:bookmarkStart w:id="473" w:name="_Toc32494"/>
      <w:bookmarkStart w:id="474" w:name="_Toc25571"/>
      <w:bookmarkStart w:id="475" w:name="_Toc4720"/>
      <w:bookmarkStart w:id="476" w:name="_Toc26633"/>
      <w:r>
        <w:rPr>
          <w:rFonts w:ascii="宋体" w:hAnsi="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77" w:name="_Toc25783"/>
      <w:bookmarkStart w:id="478" w:name="_Toc24465"/>
      <w:bookmarkStart w:id="479" w:name="_Toc14115"/>
      <w:bookmarkStart w:id="480" w:name="_Toc3638"/>
      <w:bookmarkStart w:id="481" w:name="_Toc23854"/>
      <w:r>
        <w:rPr>
          <w:rFonts w:ascii="宋体" w:hAnsi="宋体"/>
          <w:b/>
          <w:color w:val="auto"/>
          <w:sz w:val="24"/>
          <w:highlight w:val="none"/>
        </w:rPr>
        <w:t>2.12 税费</w:t>
      </w:r>
      <w:bookmarkEnd w:id="477"/>
      <w:bookmarkEnd w:id="478"/>
      <w:bookmarkEnd w:id="479"/>
      <w:bookmarkEnd w:id="480"/>
      <w:bookmarkEnd w:id="481"/>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bookmarkStart w:id="482" w:name="_Toc25525"/>
      <w:bookmarkStart w:id="483" w:name="_Toc14814"/>
      <w:bookmarkStart w:id="484" w:name="_Toc30105"/>
      <w:bookmarkStart w:id="485" w:name="_Toc7315"/>
      <w:bookmarkStart w:id="486" w:name="_Toc26883"/>
      <w:r>
        <w:rPr>
          <w:rFonts w:ascii="宋体" w:hAnsi="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bookmarkStart w:id="487" w:name="_Toc23323"/>
      <w:bookmarkStart w:id="488" w:name="_Toc1123"/>
      <w:bookmarkStart w:id="489" w:name="_Toc2016"/>
      <w:r>
        <w:rPr>
          <w:rFonts w:ascii="宋体" w:hAnsi="宋体"/>
          <w:b/>
          <w:color w:val="auto"/>
          <w:sz w:val="24"/>
          <w:highlight w:val="none"/>
        </w:rPr>
        <w:t>2.14 合同中止、终止</w:t>
      </w:r>
      <w:bookmarkEnd w:id="487"/>
      <w:bookmarkEnd w:id="488"/>
      <w:bookmarkEnd w:id="489"/>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bookmarkStart w:id="490" w:name="_Toc14525"/>
      <w:bookmarkStart w:id="491" w:name="_Toc17363"/>
      <w:bookmarkStart w:id="492" w:name="_Toc1969"/>
      <w:r>
        <w:rPr>
          <w:rFonts w:ascii="宋体" w:hAnsi="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bookmarkStart w:id="493" w:name="_Toc9808"/>
      <w:bookmarkStart w:id="494" w:name="_Toc31892"/>
      <w:bookmarkStart w:id="495" w:name="_Toc12666"/>
      <w:bookmarkStart w:id="496" w:name="_Toc25198"/>
      <w:bookmarkStart w:id="497" w:name="_Toc2308"/>
      <w:r>
        <w:rPr>
          <w:rFonts w:ascii="宋体" w:hAnsi="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ascii="宋体" w:hAnsi="宋体"/>
          <w:color w:val="auto"/>
          <w:sz w:val="24"/>
          <w:highlight w:val="none"/>
        </w:rPr>
      </w:pPr>
      <w:bookmarkStart w:id="498" w:name="_Toc27674"/>
      <w:bookmarkStart w:id="499" w:name="_Toc18401"/>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bookmarkEnd w:id="498"/>
      <w:bookmarkEnd w:id="499"/>
    </w:p>
    <w:p>
      <w:pPr>
        <w:spacing w:line="560" w:lineRule="exact"/>
        <w:ind w:firstLine="482" w:firstLineChars="200"/>
        <w:outlineLvl w:val="0"/>
        <w:rPr>
          <w:rFonts w:ascii="宋体" w:hAnsi="宋体"/>
          <w:b/>
          <w:color w:val="auto"/>
          <w:sz w:val="24"/>
          <w:highlight w:val="none"/>
        </w:rPr>
      </w:pPr>
      <w:bookmarkStart w:id="500" w:name="_Toc12254"/>
      <w:bookmarkStart w:id="501" w:name="_Toc27644"/>
      <w:bookmarkStart w:id="502" w:name="_Toc28906"/>
      <w:bookmarkStart w:id="503" w:name="_Toc5063"/>
      <w:bookmarkStart w:id="504" w:name="_Toc20808"/>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bookmarkEnd w:id="500"/>
      <w:bookmarkEnd w:id="501"/>
      <w:bookmarkEnd w:id="502"/>
      <w:bookmarkEnd w:id="503"/>
      <w:bookmarkEnd w:id="504"/>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505" w:name="_Toc18540"/>
      <w:bookmarkStart w:id="506" w:name="_Toc30599"/>
      <w:bookmarkStart w:id="507" w:name="_Toc4355"/>
      <w:r>
        <w:rPr>
          <w:rFonts w:hint="eastAsia" w:ascii="宋体" w:hAnsi="宋体" w:cs="宋体"/>
          <w:b/>
          <w:color w:val="auto"/>
          <w:sz w:val="24"/>
          <w:highlight w:val="none"/>
        </w:rPr>
        <w:t>2.18 计量单位</w:t>
      </w:r>
      <w:bookmarkEnd w:id="505"/>
      <w:bookmarkEnd w:id="506"/>
      <w:bookmarkEnd w:id="507"/>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bookmarkStart w:id="508" w:name="_Toc331685784"/>
      <w:r>
        <w:rPr>
          <w:rFonts w:hint="eastAsia" w:ascii="宋体" w:hAnsi="宋体" w:cs="宋体"/>
          <w:b/>
          <w:color w:val="auto"/>
          <w:sz w:val="24"/>
          <w:highlight w:val="none"/>
        </w:rPr>
        <w:t xml:space="preserve"> </w:t>
      </w:r>
      <w:bookmarkEnd w:id="508"/>
      <w:r>
        <w:rPr>
          <w:rFonts w:hint="eastAsia" w:ascii="宋体" w:hAnsi="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cs="宋体"/>
          <w:color w:val="auto"/>
          <w:sz w:val="24"/>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3"/>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149"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49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8149" w:type="dxa"/>
            <w:vAlign w:val="center"/>
          </w:tcPr>
          <w:p>
            <w:pPr>
              <w:pStyle w:val="616"/>
              <w:wordWrap/>
              <w:spacing w:before="0" w:beforeAutospacing="0" w:after="0" w:afterAutospacing="0" w:line="240" w:lineRule="auto"/>
              <w:textAlignment w:val="auto"/>
              <w:outlineLvl w:val="9"/>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default" w:ascii="宋体" w:hAnsi="宋体" w:eastAsia="宋体" w:cs="宋体"/>
                <w:color w:val="auto"/>
                <w:sz w:val="24"/>
                <w:highlight w:val="none"/>
                <w:lang w:val="en-US" w:eastAsia="zh-CN"/>
              </w:rPr>
              <w:t>签订合同后甲方在7个工作日内支付第一年合同总价50%的预付款（以中标价格的一半为一年期合同金额），第二年合同签订后甲方在7个工作日内支付第二年合同总价50%的预付款。甲方每次付款前，出租方需向甲方提供与甲方所付金额相等的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合同签订后10个工作日内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8149" w:type="dxa"/>
            <w:vAlign w:val="center"/>
          </w:tcPr>
          <w:p>
            <w:pPr>
              <w:wordWrap/>
              <w:spacing w:line="240" w:lineRule="auto"/>
              <w:textAlignment w:val="auto"/>
              <w:outlineLvl w:val="9"/>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五常街道办事处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8149" w:type="dxa"/>
            <w:vAlign w:val="center"/>
          </w:tcPr>
          <w:p>
            <w:pPr>
              <w:wordWrap/>
              <w:spacing w:line="240" w:lineRule="auto"/>
              <w:textAlignment w:val="auto"/>
              <w:outlineLvl w:val="9"/>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根据采购需求交付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合同签订后10个工作日内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五常街道办事处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根据采购需求交付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8149" w:type="dxa"/>
            <w:vAlign w:val="center"/>
          </w:tcPr>
          <w:p>
            <w:pPr>
              <w:wordWrap/>
              <w:spacing w:line="24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违约责任：</w:t>
            </w:r>
            <w:r>
              <w:rPr>
                <w:rFonts w:hint="eastAsia" w:ascii="宋体" w:hAnsi="宋体" w:eastAsia="宋体" w:cs="宋体"/>
                <w:color w:val="auto"/>
                <w:sz w:val="24"/>
                <w:highlight w:val="none"/>
              </w:rPr>
              <w:t xml:space="preserve"> 除不可抗力外，如果乙方没有按照本合同约定的期限、地点和方式履行，那么甲方可要求乙方支付违约金，违约金按每迟延履行一日的应提供而未提供服务价格的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wordWrap/>
              <w:spacing w:line="24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wordWrap/>
              <w:spacing w:line="24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wordWrap/>
              <w:spacing w:line="24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wordWrap/>
              <w:spacing w:line="240" w:lineRule="auto"/>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如果出现政府采购监督管理部门在处理投诉事项期间，书面通知甲方暂停采购活动的情形，或者询问或质疑事项可能影响中标结果的，导致甲方中止履行合同的情形，均不视为甲方违约；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争议解决：</w:t>
            </w:r>
            <w:r>
              <w:rPr>
                <w:rFonts w:hint="eastAsia" w:ascii="宋体" w:hAnsi="宋体" w:eastAsia="宋体" w:cs="宋体"/>
                <w:color w:val="auto"/>
                <w:sz w:val="24"/>
                <w:highlight w:val="none"/>
              </w:rPr>
              <w:t>本合同履行过程中发生的任何争议，双方当事人均可通过和解或者调解解决；不愿和解、调解或者和解、调解不成的</w:t>
            </w:r>
            <w:r>
              <w:rPr>
                <w:rFonts w:hint="eastAsia" w:ascii="宋体" w:hAnsi="宋体" w:cs="宋体"/>
                <w:color w:val="auto"/>
                <w:sz w:val="24"/>
                <w:highlight w:val="none"/>
                <w:lang w:val="en-US" w:eastAsia="zh-CN"/>
              </w:rPr>
              <w:t>向合同专用条款人民法院起诉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149" w:type="dxa"/>
            <w:vAlign w:val="center"/>
          </w:tcPr>
          <w:p>
            <w:pPr>
              <w:wordWrap/>
              <w:spacing w:line="240" w:lineRule="auto"/>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向余杭区人民法院起诉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149" w:type="dxa"/>
            <w:vAlign w:val="center"/>
          </w:tcPr>
          <w:p>
            <w:pPr>
              <w:wordWrap/>
              <w:spacing w:line="240" w:lineRule="auto"/>
              <w:ind w:left="-420" w:leftChars="-200" w:right="-420" w:rightChars="-200" w:firstLine="480" w:firstLineChars="200"/>
              <w:textAlignment w:val="auto"/>
              <w:outlineLvl w:val="9"/>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149" w:type="dxa"/>
            <w:vAlign w:val="center"/>
          </w:tcPr>
          <w:p>
            <w:pPr>
              <w:numPr>
                <w:numId w:val="0"/>
              </w:numPr>
              <w:wordWrap/>
              <w:adjustRightInd w:val="0"/>
              <w:snapToGrid w:val="0"/>
              <w:spacing w:line="240" w:lineRule="auto"/>
              <w:ind w:left="0" w:leftChars="0" w:right="0" w:firstLine="420" w:firstLineChars="200"/>
              <w:jc w:val="left"/>
              <w:textAlignment w:val="auto"/>
              <w:outlineLvl w:val="9"/>
              <w:rPr>
                <w:rFonts w:hint="default"/>
                <w:color w:val="auto"/>
                <w:highlight w:val="none"/>
                <w:lang w:val="en-US" w:eastAsia="zh-CN"/>
              </w:rPr>
            </w:pPr>
            <w:r>
              <w:rPr>
                <w:rFonts w:hint="eastAsia"/>
                <w:color w:val="auto"/>
                <w:highlight w:val="none"/>
                <w:lang w:val="en-US" w:eastAsia="zh-CN"/>
              </w:rPr>
              <w:t>结算方式和付款条件：</w:t>
            </w:r>
            <w:r>
              <w:rPr>
                <w:rFonts w:hint="eastAsia" w:ascii="宋体" w:hAnsi="宋体" w:eastAsia="宋体" w:cs="宋体"/>
                <w:snapToGrid w:val="0"/>
                <w:color w:val="auto"/>
                <w:kern w:val="0"/>
                <w:sz w:val="24"/>
                <w:szCs w:val="24"/>
                <w:highlight w:val="none"/>
              </w:rPr>
              <w:t>签订合同后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第一年合同总价50%的预付款（以中标价格的一半为一年期合同金额）</w:t>
            </w:r>
            <w:r>
              <w:rPr>
                <w:rFonts w:hint="eastAsia" w:ascii="宋体" w:hAnsi="宋体" w:eastAsia="宋体" w:cs="宋体"/>
                <w:snapToGrid w:val="0"/>
                <w:color w:val="auto"/>
                <w:kern w:val="0"/>
                <w:sz w:val="24"/>
                <w:szCs w:val="24"/>
                <w:highlight w:val="none"/>
                <w:lang w:val="en-US" w:eastAsia="zh-CN"/>
              </w:rPr>
              <w:t>，</w:t>
            </w:r>
            <w:r>
              <w:rPr>
                <w:rFonts w:hint="eastAsia" w:ascii="宋体" w:hAnsi="宋体" w:cs="宋体"/>
                <w:snapToGrid w:val="0"/>
                <w:color w:val="auto"/>
                <w:kern w:val="0"/>
                <w:sz w:val="24"/>
                <w:szCs w:val="24"/>
                <w:highlight w:val="none"/>
                <w:lang w:val="en-US" w:eastAsia="zh-CN"/>
              </w:rPr>
              <w:t>车辆全部到齐验收通过后支付合同总价20%，服务期满8个月后于7个工作日内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合同总价3</w:t>
            </w:r>
            <w:r>
              <w:rPr>
                <w:rFonts w:hint="eastAsia" w:ascii="宋体" w:hAnsi="宋体" w:eastAsia="宋体" w:cs="宋体"/>
                <w:snapToGrid w:val="0"/>
                <w:color w:val="auto"/>
                <w:kern w:val="0"/>
                <w:sz w:val="24"/>
                <w:szCs w:val="24"/>
                <w:highlight w:val="none"/>
                <w:lang w:val="en-US" w:eastAsia="zh-CN"/>
              </w:rPr>
              <w:t>0%费用</w:t>
            </w:r>
            <w:r>
              <w:rPr>
                <w:rFonts w:hint="eastAsia" w:ascii="宋体" w:hAnsi="宋体" w:cs="宋体"/>
                <w:snapToGrid w:val="0"/>
                <w:color w:val="auto"/>
                <w:kern w:val="0"/>
                <w:sz w:val="24"/>
                <w:szCs w:val="24"/>
                <w:highlight w:val="none"/>
                <w:lang w:val="en-US" w:eastAsia="zh-CN"/>
              </w:rPr>
              <w:t>；第二年合同签订后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在</w:t>
            </w:r>
            <w:r>
              <w:rPr>
                <w:rFonts w:hint="eastAsia" w:ascii="宋体" w:hAnsi="宋体" w:cs="宋体"/>
                <w:snapToGrid w:val="0"/>
                <w:color w:val="auto"/>
                <w:kern w:val="0"/>
                <w:sz w:val="24"/>
                <w:szCs w:val="24"/>
                <w:highlight w:val="none"/>
                <w:lang w:val="en-US" w:eastAsia="zh-CN"/>
              </w:rPr>
              <w:t>7个工作日内</w:t>
            </w:r>
            <w:r>
              <w:rPr>
                <w:rFonts w:hint="eastAsia" w:ascii="宋体" w:hAnsi="宋体" w:eastAsia="宋体" w:cs="宋体"/>
                <w:snapToGrid w:val="0"/>
                <w:color w:val="auto"/>
                <w:kern w:val="0"/>
                <w:sz w:val="24"/>
                <w:szCs w:val="24"/>
                <w:highlight w:val="none"/>
                <w:lang w:val="en-US" w:eastAsia="zh-CN"/>
              </w:rPr>
              <w:t>支付</w:t>
            </w:r>
            <w:r>
              <w:rPr>
                <w:rFonts w:hint="eastAsia" w:ascii="宋体" w:hAnsi="宋体" w:cs="宋体"/>
                <w:snapToGrid w:val="0"/>
                <w:color w:val="auto"/>
                <w:kern w:val="0"/>
                <w:sz w:val="24"/>
                <w:szCs w:val="24"/>
                <w:highlight w:val="none"/>
                <w:lang w:val="en-US" w:eastAsia="zh-CN"/>
              </w:rPr>
              <w:t>第二年合同总价50%的预付款，剩余费用分两次支付，第6个月支付合同总价的25%，第10个月支付合同总价的25%。</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每次付款前，</w:t>
            </w:r>
            <w:r>
              <w:rPr>
                <w:rFonts w:hint="eastAsia" w:ascii="宋体" w:hAnsi="宋体" w:cs="宋体"/>
                <w:snapToGrid w:val="0"/>
                <w:color w:val="auto"/>
                <w:kern w:val="0"/>
                <w:sz w:val="24"/>
                <w:szCs w:val="24"/>
                <w:highlight w:val="none"/>
                <w:lang w:eastAsia="zh-CN"/>
              </w:rPr>
              <w:t>出租方</w:t>
            </w:r>
            <w:r>
              <w:rPr>
                <w:rFonts w:hint="eastAsia" w:ascii="宋体" w:hAnsi="宋体" w:eastAsia="宋体" w:cs="宋体"/>
                <w:snapToGrid w:val="0"/>
                <w:color w:val="auto"/>
                <w:kern w:val="0"/>
                <w:sz w:val="24"/>
                <w:szCs w:val="24"/>
                <w:highlight w:val="none"/>
              </w:rPr>
              <w:t>需向</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提供与</w:t>
            </w:r>
            <w:r>
              <w:rPr>
                <w:rFonts w:hint="eastAsia" w:ascii="宋体" w:hAnsi="宋体" w:cs="宋体"/>
                <w:snapToGrid w:val="0"/>
                <w:color w:val="auto"/>
                <w:kern w:val="0"/>
                <w:sz w:val="24"/>
                <w:szCs w:val="24"/>
                <w:highlight w:val="none"/>
                <w:lang w:eastAsia="zh-CN"/>
              </w:rPr>
              <w:t>采购人</w:t>
            </w:r>
            <w:r>
              <w:rPr>
                <w:rFonts w:hint="eastAsia" w:ascii="宋体" w:hAnsi="宋体" w:eastAsia="宋体" w:cs="宋体"/>
                <w:snapToGrid w:val="0"/>
                <w:color w:val="auto"/>
                <w:kern w:val="0"/>
                <w:sz w:val="24"/>
                <w:szCs w:val="24"/>
                <w:highlight w:val="none"/>
              </w:rPr>
              <w:t>所付金额相等的正规发票。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wordWrap/>
              <w:spacing w:line="240" w:lineRule="auto"/>
              <w:textAlignment w:val="auto"/>
              <w:outlineLvl w:val="9"/>
              <w:rPr>
                <w:rFonts w:ascii="宋体" w:hAnsi="宋体" w:cs="宋体"/>
                <w:color w:val="auto"/>
                <w:sz w:val="24"/>
                <w:highlight w:val="none"/>
              </w:rPr>
            </w:pP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hint="eastAsia" w:ascii="宋体" w:hAnsi="宋体"/>
                <w:color w:val="auto"/>
                <w:sz w:val="24"/>
                <w:highlight w:val="none"/>
                <w:u w:val="single"/>
                <w:lang w:val="en-US" w:eastAsia="zh-CN"/>
              </w:rPr>
              <w:t xml:space="preserve"> 7个工作日内   </w:t>
            </w:r>
            <w:r>
              <w:rPr>
                <w:rFonts w:ascii="宋体" w:hAnsi="宋体"/>
                <w:color w:val="auto"/>
                <w:sz w:val="24"/>
                <w:highlight w:val="none"/>
              </w:rPr>
              <w:t>约定时间内以书面形式变更合同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149" w:type="dxa"/>
            <w:vAlign w:val="top"/>
          </w:tcPr>
          <w:p>
            <w:pPr>
              <w:wordWrap/>
              <w:spacing w:line="240" w:lineRule="auto"/>
              <w:textAlignment w:val="auto"/>
              <w:outlineLvl w:val="9"/>
              <w:rPr>
                <w:rFonts w:ascii="宋体" w:hAnsi="宋体" w:cs="宋体"/>
                <w:color w:val="auto"/>
                <w:sz w:val="24"/>
                <w:highlight w:val="none"/>
              </w:rPr>
            </w:pPr>
            <w:r>
              <w:rPr>
                <w:rFonts w:ascii="宋体" w:hAnsi="宋体"/>
                <w:color w:val="auto"/>
                <w:sz w:val="24"/>
                <w:highlight w:val="none"/>
              </w:rPr>
              <w:t>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hint="eastAsia" w:ascii="宋体" w:hAnsi="宋体"/>
                <w:color w:val="auto"/>
                <w:sz w:val="24"/>
                <w:highlight w:val="none"/>
                <w:u w:val="single"/>
                <w:lang w:val="en-US" w:eastAsia="zh-CN"/>
              </w:rPr>
              <w:t xml:space="preserve">  7个工作日内  </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hint="eastAsia" w:ascii="宋体" w:hAnsi="宋体"/>
                <w:color w:val="auto"/>
                <w:sz w:val="24"/>
                <w:highlight w:val="none"/>
                <w:u w:val="single"/>
                <w:lang w:val="en-US" w:eastAsia="zh-CN"/>
              </w:rPr>
              <w:t xml:space="preserve">   7个工作日内  </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149" w:type="dxa"/>
            <w:vAlign w:val="center"/>
          </w:tcPr>
          <w:p>
            <w:pPr>
              <w:tabs>
                <w:tab w:val="left" w:pos="360"/>
                <w:tab w:val="left" w:pos="540"/>
                <w:tab w:val="left" w:pos="1080"/>
              </w:tabs>
              <w:wordWrap/>
              <w:spacing w:line="240" w:lineRule="auto"/>
              <w:textAlignment w:val="auto"/>
              <w:outlineLvl w:val="9"/>
              <w:rPr>
                <w:rFonts w:ascii="宋体" w:hAnsi="宋体" w:cs="宋体"/>
                <w:color w:val="auto"/>
                <w:sz w:val="24"/>
                <w:highlight w:val="none"/>
              </w:rPr>
            </w:pPr>
            <w:r>
              <w:rPr>
                <w:rFonts w:hint="eastAsia" w:ascii="宋体" w:hAnsi="宋体"/>
                <w:color w:val="auto"/>
                <w:sz w:val="24"/>
                <w:highlight w:val="none"/>
              </w:rPr>
              <w:t>检验和验收标准、程序等具体内容以及前述验收书的效力详见</w:t>
            </w:r>
            <w:r>
              <w:rPr>
                <w:rFonts w:hint="eastAsia" w:ascii="宋体" w:hAnsi="宋体"/>
                <w:b/>
                <w:i/>
                <w:color w:val="auto"/>
                <w:sz w:val="24"/>
                <w:highlight w:val="none"/>
                <w:u w:val="single"/>
                <w:lang w:val="en-US" w:eastAsia="zh-CN"/>
              </w:rPr>
              <w:t xml:space="preserve">   采购需求   </w:t>
            </w:r>
            <w:r>
              <w:rPr>
                <w:rFonts w:hint="eastAsia" w:ascii="宋体" w:hAnsi="宋体"/>
                <w:i/>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149" w:type="dxa"/>
            <w:vAlign w:val="top"/>
          </w:tcPr>
          <w:p>
            <w:pPr>
              <w:wordWrap/>
              <w:spacing w:line="240" w:lineRule="auto"/>
              <w:textAlignment w:val="auto"/>
              <w:outlineLvl w:val="9"/>
              <w:rPr>
                <w:rFonts w:ascii="宋体" w:hAnsi="宋体" w:cs="宋体"/>
                <w:color w:val="auto"/>
                <w:sz w:val="24"/>
                <w:highlight w:val="none"/>
              </w:rPr>
            </w:pPr>
            <w:r>
              <w:rPr>
                <w:rFonts w:ascii="宋体" w:hAnsi="宋体"/>
                <w:color w:val="auto"/>
                <w:sz w:val="24"/>
                <w:highlight w:val="none"/>
              </w:rPr>
              <w:t>合同份数</w:t>
            </w:r>
            <w:r>
              <w:rPr>
                <w:rFonts w:hint="eastAsia" w:ascii="宋体" w:hAnsi="宋体"/>
                <w:color w:val="auto"/>
                <w:sz w:val="24"/>
                <w:highlight w:val="none"/>
                <w:lang w:val="en-US" w:eastAsia="zh-CN"/>
              </w:rPr>
              <w:t>一式四份</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tc>
      </w:tr>
    </w:tbl>
    <w:p>
      <w:pPr>
        <w:pStyle w:val="2"/>
        <w:rPr>
          <w:color w:val="auto"/>
          <w:highlight w:val="none"/>
        </w:rPr>
      </w:pP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杭州市余杭区人民政府五常街道办事处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五常街道办事处公务执勤车辆租赁服务采购项目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HZYHZFCG-2023-010</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widowControl w:val="0"/>
        <w:wordWrap/>
        <w:adjustRightInd w:val="0"/>
        <w:snapToGrid w:val="0"/>
        <w:spacing w:line="360" w:lineRule="auto"/>
        <w:ind w:left="0" w:leftChars="0" w:right="0" w:firstLine="480" w:firstLineChars="200"/>
        <w:jc w:val="left"/>
        <w:textAlignment w:val="auto"/>
        <w:outlineLvl w:val="9"/>
        <w:rPr>
          <w:rFonts w:hint="eastAsia" w:ascii="宋体" w:hAnsi="宋体" w:eastAsia="宋体" w:cs="仿宋_GB2312"/>
          <w:color w:val="auto"/>
          <w:sz w:val="24"/>
          <w:highlight w:val="none"/>
        </w:rPr>
      </w:pPr>
    </w:p>
    <w:p>
      <w:pPr>
        <w:widowControl w:val="0"/>
        <w:wordWrap/>
        <w:adjustRightInd w:val="0"/>
        <w:snapToGrid w:val="0"/>
        <w:spacing w:line="360" w:lineRule="auto"/>
        <w:ind w:left="0" w:leftChars="0" w:right="0" w:firstLine="480" w:firstLineChars="200"/>
        <w:jc w:val="left"/>
        <w:textAlignment w:val="auto"/>
        <w:outlineLvl w:val="9"/>
        <w:rPr>
          <w:rFonts w:ascii="宋体" w:hAnsi="宋体" w:cs="宋体"/>
          <w:color w:val="auto"/>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杭州市余杭区人民政府五常街道办事处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五常街道办事处公务执勤车辆租赁服务采购项目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HZYHZFCG-2023-010</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509" w:name="_Hlk101257010"/>
      <w:r>
        <w:rPr>
          <w:rFonts w:hint="eastAsia" w:ascii="宋体" w:hAnsi="宋体" w:cs="宋体"/>
          <w:color w:val="auto"/>
          <w:sz w:val="24"/>
          <w:highlight w:val="none"/>
        </w:rPr>
        <w:t>（如果有)</w:t>
      </w:r>
      <w:bookmarkEnd w:id="509"/>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hint="eastAsia"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杭州市余杭区人民政府五常街道办事处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五常街道办事处公务执勤车辆租赁服务采购项目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HZYHZFCG-2023-010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杭州市余杭区人民政府五常街道办事处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五常街道办事处公务执勤车辆租赁服务采购项目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HZYHZFCG-2023-010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7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73"/>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7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74"/>
        <w:tblW w:w="9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杭州市余杭区人民政府五常街道办事处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杭州市余杭区人民政府五常街道办事处</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五常街道办事处公务执勤车辆租赁服务采购项目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HZYHZFCG-2023-010</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73"/>
        <w:tblW w:w="15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r>
        <w:rPr>
          <w:rFonts w:hint="eastAsia" w:ascii="宋体" w:hAnsi="宋体" w:cs="宋体"/>
          <w:b/>
          <w:color w:val="auto"/>
          <w:sz w:val="24"/>
          <w:highlight w:val="none"/>
          <w:lang w:val="en-US" w:eastAsia="zh-CN"/>
        </w:rPr>
        <w:t>5</w:t>
      </w:r>
      <w:r>
        <w:rPr>
          <w:rFonts w:hint="eastAsia" w:ascii="宋体" w:hAnsi="宋体" w:cs="宋体"/>
          <w:b/>
          <w:color w:val="auto"/>
          <w:sz w:val="24"/>
          <w:highlight w:val="none"/>
        </w:rPr>
        <w:t>、特别说明：▲供应商报价低于项目预算50%的，应当在报价文件中详细阐述不影响产品质量或者诚信履约的具体原因。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510" w:name="OLE_LINK14"/>
      <w:bookmarkStart w:id="511" w:name="OLE_LINK13"/>
      <w:r>
        <w:rPr>
          <w:rFonts w:hint="eastAsia" w:ascii="宋体" w:hAnsi="宋体" w:cs="宋体"/>
          <w:b/>
          <w:color w:val="auto"/>
          <w:spacing w:val="6"/>
          <w:sz w:val="32"/>
          <w:szCs w:val="32"/>
          <w:highlight w:val="none"/>
        </w:rPr>
        <w:t>残疾人福利性单位声明函</w:t>
      </w:r>
    </w:p>
    <w:bookmarkEnd w:id="510"/>
    <w:bookmarkEnd w:id="511"/>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(采购人)</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五常街道办事处公务执勤车辆租赁服务采购项目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杭州市余杭区人民政府五常街道办事处</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五常街道办事处公务执勤车辆租赁服务采购项目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HZYHZFCG-2023-010</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style="position:absolute;left:0;margin-left:238.9pt;margin-top:28.05pt;height:177.45pt;width:212.9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style="position:absolute;left:0;margin-left:-7.2pt;margin-top:30.3pt;height:177.45pt;width:208.5pt;rotation:0f;z-index:-25165721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五常街道办事处公务执勤车辆租赁服务采购项目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HZYHZFCG-2023-010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512"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512"/>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513"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513"/>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514"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514"/>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五常街道办事处公务执勤车辆租赁服务采购项目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HZYHZFCG-2023-010</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杭州市余杭区人民政府五常街道办事处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五常街道办事处公务执勤车辆租赁服务采购项目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s="宋体"/>
          <w:color w:val="auto"/>
          <w:sz w:val="24"/>
          <w:highlight w:val="none"/>
          <w:u w:val="single"/>
        </w:rPr>
        <w:t>（标的名称）</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（采购文件中明确的所属行业）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u w:val="single"/>
        </w:rPr>
        <w:t xml:space="preserve"> （标的名称），</w:t>
      </w:r>
      <w:r>
        <w:rPr>
          <w:rFonts w:hint="eastAsia" w:ascii="宋体" w:hAnsi="宋体" w:cs="宋体"/>
          <w:color w:val="auto"/>
          <w:sz w:val="24"/>
          <w:highlight w:val="none"/>
        </w:rPr>
        <w:t xml:space="preserve">属于 </w:t>
      </w:r>
      <w:r>
        <w:rPr>
          <w:rFonts w:hint="eastAsia" w:ascii="宋体" w:hAnsi="宋体" w:cs="宋体"/>
          <w:color w:val="auto"/>
          <w:sz w:val="24"/>
          <w:highlight w:val="none"/>
          <w:u w:val="single"/>
        </w:rPr>
        <w:t xml:space="preserve">（采购文件中明确的所属行业） </w:t>
      </w:r>
      <w:r>
        <w:rPr>
          <w:rFonts w:hint="eastAsia" w:ascii="宋体" w:hAnsi="宋体" w:cs="宋体"/>
          <w:color w:val="auto"/>
          <w:sz w:val="24"/>
          <w:highlight w:val="none"/>
        </w:rPr>
        <w:t xml:space="preserve">；承接企业为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color w:val="auto"/>
          <w:highlight w:val="none"/>
          <w:lang w:val="en-US"/>
        </w:rPr>
      </w:pPr>
    </w:p>
    <w:p>
      <w:pPr>
        <w:spacing w:line="360" w:lineRule="auto"/>
        <w:ind w:right="420"/>
        <w:rPr>
          <w:rFonts w:ascii="宋体" w:hAnsi="宋体" w:cs="宋体"/>
          <w:color w:val="auto"/>
          <w:highlight w:val="none"/>
        </w:rPr>
      </w:pPr>
    </w:p>
    <w:p>
      <w:pPr>
        <w:spacing w:line="360" w:lineRule="auto"/>
        <w:rPr>
          <w:rFonts w:ascii="宋体" w:hAnsi="宋体" w:cs="宋体"/>
          <w:bCs/>
          <w:color w:val="auto"/>
          <w:sz w:val="24"/>
          <w:highlight w:val="none"/>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1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Lucida Sans">
    <w:altName w:val="Lucida Sans Unicode"/>
    <w:panose1 w:val="020B0602030504020204"/>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10" w:usb3="00000000" w:csb0="00040000" w:csb1="00000000"/>
  </w:font>
  <w:font w:name="Arial Narrow">
    <w:altName w:val="Arial"/>
    <w:panose1 w:val="020B0606020202030204"/>
    <w:charset w:val="00"/>
    <w:family w:val="auto"/>
    <w:pitch w:val="default"/>
    <w:sig w:usb0="00000000" w:usb1="00000000" w:usb2="00000000" w:usb3="00000000" w:csb0="0000009F" w:csb1="0000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003F01FF" w:csb1="0000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0"/>
    <w:family w:val="auto"/>
    <w:pitch w:val="default"/>
    <w:sig w:usb0="00100003" w:usb1="00000000" w:usb2="00000000" w:usb3="00000000" w:csb0="00000001" w:csb1="00000000"/>
  </w:font>
  <w:font w:name="等线">
    <w:altName w:val="宋体"/>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Segoe Print"/>
    <w:panose1 w:val="020B0502020202020204"/>
    <w:charset w:val="00"/>
    <w:family w:val="auto"/>
    <w:pitch w:val="default"/>
    <w:sig w:usb0="00000000" w:usb1="00000000" w:usb2="00000000" w:usb3="00000000" w:csb0="0000009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06F" w:usb1="1200FBEF" w:usb2="0064C000" w:usb3="00000002" w:csb0="00000001" w:csb1="4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华文仿宋">
    <w:altName w:val="仿宋"/>
    <w:panose1 w:val="02010600040101010101"/>
    <w:charset w:val="86"/>
    <w:family w:val="auto"/>
    <w:pitch w:val="default"/>
    <w:sig w:usb0="00000000" w:usb1="00000000" w:usb2="00000000" w:usb3="00000000" w:csb0="0004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131845147"/>
    <w:bookmarkStart w:id="516" w:name="_Toc91899912"/>
    <w:bookmarkStart w:id="517" w:name="_Toc3611018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framePr w:wrap="around" w:vAnchor="text" w:hAnchor="margin" w:xAlign="right" w:y="1"/>
      <w:rPr>
        <w:rStyle w:val="66"/>
      </w:rPr>
    </w:pPr>
    <w:r>
      <w:fldChar w:fldCharType="begin"/>
    </w:r>
    <w:r>
      <w:rPr>
        <w:rStyle w:val="66"/>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4"/>
      </w:pBdr>
      <w:jc w:val="right"/>
    </w:pPr>
    <w:r>
      <w:t></w:t>
    </w:r>
    <w:r>
      <w:rPr>
        <w:rFonts w:hint="eastAsia"/>
      </w:rPr>
      <w:t xml:space="preserve">       </w:t>
    </w:r>
    <w:r>
      <w:rPr>
        <w:rFonts w:hint="eastAsia"/>
        <w:lang w:eastAsia="zh-CN"/>
      </w:rPr>
      <w:t>余杭区政府采购公开招标文件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r>
      <w:rPr>
        <w:rFonts w:hint="eastAsia"/>
        <w:lang w:eastAsia="zh-CN"/>
      </w:rPr>
      <w:t>余杭区政府采购公开招标文件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t xml:space="preserve">             </w:t>
    </w:r>
    <w:r>
      <w:rPr>
        <w:rFonts w:hint="eastAsia"/>
        <w:lang w:eastAsia="zh-CN"/>
      </w:rPr>
      <w:t>余杭区政府采购公开招标文件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pPr>
    <w:r>
      <w:t></w:t>
    </w:r>
    <w:r>
      <w:rPr>
        <w:rFonts w:hint="eastAsia"/>
      </w:rPr>
      <w:t xml:space="preserve">         </w:t>
    </w:r>
  </w:p>
  <w:p>
    <w:pPr>
      <w:pStyle w:val="43"/>
    </w:pPr>
    <w:r>
      <w:rPr>
        <w:rFonts w:hint="eastAsia"/>
      </w:rPr>
      <w:t xml:space="preserve">                                                                  </w:t>
    </w:r>
    <w:r>
      <w:rPr>
        <w:rFonts w:hint="eastAsia"/>
        <w:lang w:eastAsia="zh-CN"/>
      </w:rPr>
      <w:t>余杭区政府采购公开招标文件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pPr>
    <w:r>
      <w:rPr>
        <w:rFonts w:hint="eastAsia"/>
      </w:rPr>
      <w:t xml:space="preserve">                                                                                                        </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3"/>
      <w:jc w:val="right"/>
      <w:rPr>
        <w:rFonts w:ascii="仿宋_GB2312" w:eastAsia="仿宋_GB2312"/>
        <w:b/>
        <w:i/>
        <w:iCs/>
        <w:u w:val="single"/>
      </w:rPr>
    </w:pPr>
    <w:r>
      <w:t></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2302684">
    <w:nsid w:val="6445E6DC"/>
    <w:multiLevelType w:val="singleLevel"/>
    <w:tmpl w:val="6445E6DC"/>
    <w:lvl w:ilvl="0" w:tentative="1">
      <w:start w:val="4"/>
      <w:numFmt w:val="decimal"/>
      <w:suff w:val="nothing"/>
      <w:lvlText w:val="%1."/>
      <w:lvlJc w:val="left"/>
    </w:lvl>
  </w:abstractNum>
  <w:num w:numId="1">
    <w:abstractNumId w:val="16823026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jczMDg3MjZlNzU4YmE4NDllMmJlYjBlNmI0M2ViYzk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4C7E41"/>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4B450C"/>
    <w:rsid w:val="319C6071"/>
    <w:rsid w:val="31AC537E"/>
    <w:rsid w:val="31E3679B"/>
    <w:rsid w:val="31E732FD"/>
    <w:rsid w:val="32517576"/>
    <w:rsid w:val="32A06112"/>
    <w:rsid w:val="32A90320"/>
    <w:rsid w:val="32BE5C2C"/>
    <w:rsid w:val="32FB6478"/>
    <w:rsid w:val="33263B3F"/>
    <w:rsid w:val="336963EB"/>
    <w:rsid w:val="33816EEB"/>
    <w:rsid w:val="33867361"/>
    <w:rsid w:val="33EB55CD"/>
    <w:rsid w:val="33EC4C02"/>
    <w:rsid w:val="340D2360"/>
    <w:rsid w:val="3410665D"/>
    <w:rsid w:val="34211214"/>
    <w:rsid w:val="342E63AB"/>
    <w:rsid w:val="34902C15"/>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220D9B"/>
    <w:rsid w:val="373F410B"/>
    <w:rsid w:val="37EE7094"/>
    <w:rsid w:val="38296C89"/>
    <w:rsid w:val="383002EB"/>
    <w:rsid w:val="38586797"/>
    <w:rsid w:val="38BC0149"/>
    <w:rsid w:val="38D87D1C"/>
    <w:rsid w:val="395E503B"/>
    <w:rsid w:val="39636459"/>
    <w:rsid w:val="396B7F6C"/>
    <w:rsid w:val="39B417A9"/>
    <w:rsid w:val="39FC5695"/>
    <w:rsid w:val="3A006D8E"/>
    <w:rsid w:val="3A3651E5"/>
    <w:rsid w:val="3A560D13"/>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EE2503"/>
    <w:rsid w:val="4C245A30"/>
    <w:rsid w:val="4C532A11"/>
    <w:rsid w:val="4CA55233"/>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9A7C3F"/>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E90AA3"/>
    <w:rsid w:val="57032A2C"/>
    <w:rsid w:val="570F5219"/>
    <w:rsid w:val="575D12B5"/>
    <w:rsid w:val="57610A87"/>
    <w:rsid w:val="577B1140"/>
    <w:rsid w:val="577B7F21"/>
    <w:rsid w:val="577F181B"/>
    <w:rsid w:val="57921984"/>
    <w:rsid w:val="579737F0"/>
    <w:rsid w:val="57A306F3"/>
    <w:rsid w:val="57AB7B30"/>
    <w:rsid w:val="57AF5251"/>
    <w:rsid w:val="57B26373"/>
    <w:rsid w:val="57B63F04"/>
    <w:rsid w:val="57CD20C2"/>
    <w:rsid w:val="57D675AB"/>
    <w:rsid w:val="57D95FDD"/>
    <w:rsid w:val="58917D2F"/>
    <w:rsid w:val="5894085C"/>
    <w:rsid w:val="58AE4F0C"/>
    <w:rsid w:val="58B85899"/>
    <w:rsid w:val="58E363A9"/>
    <w:rsid w:val="58F81ED0"/>
    <w:rsid w:val="595E1678"/>
    <w:rsid w:val="596D5BD4"/>
    <w:rsid w:val="597E3DD8"/>
    <w:rsid w:val="59965D30"/>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234E"/>
    <w:rsid w:val="5C8A680C"/>
    <w:rsid w:val="5CD332BF"/>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94C26"/>
    <w:rsid w:val="62000E56"/>
    <w:rsid w:val="623138F2"/>
    <w:rsid w:val="624F3E49"/>
    <w:rsid w:val="62632286"/>
    <w:rsid w:val="627D367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2A0A98"/>
    <w:rsid w:val="68551F4F"/>
    <w:rsid w:val="687C10C9"/>
    <w:rsid w:val="68840C16"/>
    <w:rsid w:val="68872541"/>
    <w:rsid w:val="68876EFB"/>
    <w:rsid w:val="68884654"/>
    <w:rsid w:val="689F444F"/>
    <w:rsid w:val="68B96DBB"/>
    <w:rsid w:val="68CA2805"/>
    <w:rsid w:val="68E937A3"/>
    <w:rsid w:val="691664E5"/>
    <w:rsid w:val="693E15D3"/>
    <w:rsid w:val="69627681"/>
    <w:rsid w:val="6977531D"/>
    <w:rsid w:val="69BE6C57"/>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6878"/>
    <w:rsid w:val="6DF43C2E"/>
    <w:rsid w:val="6DF51CA3"/>
    <w:rsid w:val="6E8335BD"/>
    <w:rsid w:val="6E8E12EF"/>
    <w:rsid w:val="6E972936"/>
    <w:rsid w:val="6ED446C5"/>
    <w:rsid w:val="6F1B13C7"/>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7104E3"/>
    <w:rsid w:val="7E9A4E1F"/>
    <w:rsid w:val="7EA7723A"/>
    <w:rsid w:val="7EF56FBB"/>
    <w:rsid w:val="7F0768EB"/>
    <w:rsid w:val="7F143BEC"/>
    <w:rsid w:val="7F715AF2"/>
    <w:rsid w:val="7F886E69"/>
    <w:rsid w:val="BB7FA927"/>
    <w:rsid w:val="F5FFD31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2">
    <w:name w:val="Default Paragraph Font"/>
    <w:link w:val="63"/>
    <w:unhideWhenUsed/>
    <w:qFormat/>
    <w:uiPriority w:val="1"/>
    <w:rPr>
      <w:rFonts w:ascii="仿宋_GB2312" w:eastAsia="仿宋_GB2312"/>
      <w:b/>
      <w:sz w:val="32"/>
      <w:szCs w:val="32"/>
    </w:rPr>
  </w:style>
  <w:style w:type="table" w:default="1" w:styleId="73">
    <w:name w:val="Normal Table"/>
    <w:unhideWhenUsed/>
    <w:qFormat/>
    <w:uiPriority w:val="99"/>
    <w:tblPr>
      <w:tblStyle w:val="73"/>
      <w:tblLayout w:type="fixed"/>
      <w:tblCellMar>
        <w:top w:w="0" w:type="dxa"/>
        <w:left w:w="108" w:type="dxa"/>
        <w:bottom w:w="0" w:type="dxa"/>
        <w:right w:w="108" w:type="dxa"/>
      </w:tblCellMar>
    </w:tblPr>
    <w:tcPr>
      <w:textDirection w:val="lrTb"/>
    </w:tc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annotation subject"/>
    <w:basedOn w:val="13"/>
    <w:next w:val="13"/>
    <w:link w:val="629"/>
    <w:qFormat/>
    <w:uiPriority w:val="0"/>
    <w:rPr>
      <w:b/>
      <w:bCs/>
    </w:rPr>
  </w:style>
  <w:style w:type="paragraph" w:styleId="13">
    <w:name w:val="annotation text"/>
    <w:basedOn w:val="1"/>
    <w:link w:val="852"/>
    <w:qFormat/>
    <w:uiPriority w:val="99"/>
    <w:pPr>
      <w:jc w:val="left"/>
    </w:pPr>
  </w:style>
  <w:style w:type="paragraph" w:styleId="14">
    <w:name w:val="toc 7"/>
    <w:basedOn w:val="1"/>
    <w:next w:val="1"/>
    <w:qFormat/>
    <w:uiPriority w:val="0"/>
    <w:pPr>
      <w:ind w:left="2520" w:leftChars="1200"/>
    </w:pPr>
  </w:style>
  <w:style w:type="paragraph" w:styleId="15">
    <w:name w:val="Body Text First Indent"/>
    <w:basedOn w:val="16"/>
    <w:link w:val="831"/>
    <w:qFormat/>
    <w:uiPriority w:val="0"/>
    <w:pPr>
      <w:ind w:firstLine="420"/>
    </w:pPr>
    <w:rPr>
      <w:rFonts w:hAnsi="Calibri" w:cs="Times New Roman"/>
      <w:szCs w:val="20"/>
    </w:rPr>
  </w:style>
  <w:style w:type="paragraph" w:styleId="16">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17">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8">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9">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20">
    <w:name w:val="caption"/>
    <w:basedOn w:val="1"/>
    <w:next w:val="1"/>
    <w:link w:val="749"/>
    <w:qFormat/>
    <w:uiPriority w:val="0"/>
    <w:rPr>
      <w:b/>
      <w:sz w:val="28"/>
      <w:szCs w:val="20"/>
    </w:rPr>
  </w:style>
  <w:style w:type="paragraph" w:styleId="21">
    <w:name w:val="index 5"/>
    <w:basedOn w:val="1"/>
    <w:next w:val="1"/>
    <w:qFormat/>
    <w:uiPriority w:val="0"/>
    <w:pPr>
      <w:adjustRightInd/>
      <w:ind w:left="800" w:leftChars="800" w:firstLine="200" w:firstLineChars="200"/>
    </w:pPr>
  </w:style>
  <w:style w:type="paragraph" w:styleId="22">
    <w:name w:val="Document Map"/>
    <w:basedOn w:val="1"/>
    <w:link w:val="724"/>
    <w:qFormat/>
    <w:uiPriority w:val="0"/>
    <w:pPr>
      <w:shd w:val="clear" w:color="auto" w:fill="000080"/>
    </w:pPr>
  </w:style>
  <w:style w:type="paragraph" w:styleId="23">
    <w:name w:val="Salutation"/>
    <w:basedOn w:val="1"/>
    <w:next w:val="1"/>
    <w:link w:val="812"/>
    <w:qFormat/>
    <w:uiPriority w:val="0"/>
    <w:rPr>
      <w:rFonts w:ascii="仿宋_GB2312" w:eastAsia="仿宋_GB2312"/>
      <w:sz w:val="28"/>
      <w:szCs w:val="20"/>
    </w:rPr>
  </w:style>
  <w:style w:type="paragraph" w:styleId="24">
    <w:name w:val="Body Text 3"/>
    <w:basedOn w:val="1"/>
    <w:link w:val="840"/>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link w:val="780"/>
    <w:qFormat/>
    <w:uiPriority w:val="0"/>
    <w:pPr>
      <w:spacing w:line="480" w:lineRule="exact"/>
      <w:ind w:firstLine="480" w:firstLineChars="200"/>
    </w:pPr>
    <w:rPr>
      <w:rFonts w:ascii="宋体" w:hAnsi="宋体"/>
      <w:sz w:val="24"/>
    </w:rPr>
  </w:style>
  <w:style w:type="paragraph" w:styleId="27">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656"/>
    <w:qFormat/>
    <w:uiPriority w:val="0"/>
    <w:rPr>
      <w:rFonts w:ascii="宋体" w:hAnsi="Courier New" w:cs="Arial"/>
      <w:snapToGrid w:val="0"/>
      <w:szCs w:val="21"/>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706"/>
    <w:qFormat/>
    <w:uiPriority w:val="0"/>
    <w:pPr>
      <w:ind w:left="100" w:leftChars="2500"/>
    </w:pPr>
    <w:rPr>
      <w:rFonts w:ascii="宋体"/>
      <w:sz w:val="24"/>
      <w:szCs w:val="21"/>
      <w:lang w:val="zh-CN"/>
    </w:rPr>
  </w:style>
  <w:style w:type="paragraph" w:styleId="38">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9">
    <w:name w:val="endnote text"/>
    <w:basedOn w:val="1"/>
    <w:link w:val="937"/>
    <w:qFormat/>
    <w:uiPriority w:val="0"/>
    <w:rPr>
      <w:lang w:val="zh-CN"/>
    </w:rPr>
  </w:style>
  <w:style w:type="paragraph" w:styleId="40">
    <w:name w:val="Balloon Text"/>
    <w:basedOn w:val="1"/>
    <w:link w:val="713"/>
    <w:qFormat/>
    <w:uiPriority w:val="0"/>
    <w:rPr>
      <w:sz w:val="18"/>
      <w:szCs w:val="18"/>
    </w:rPr>
  </w:style>
  <w:style w:type="paragraph" w:styleId="41">
    <w:name w:val="footer"/>
    <w:basedOn w:val="1"/>
    <w:link w:val="888"/>
    <w:qFormat/>
    <w:uiPriority w:val="99"/>
    <w:pPr>
      <w:tabs>
        <w:tab w:val="center" w:pos="4153"/>
        <w:tab w:val="right" w:pos="8306"/>
      </w:tabs>
      <w:snapToGrid w:val="0"/>
      <w:jc w:val="left"/>
    </w:pPr>
    <w:rPr>
      <w:sz w:val="18"/>
      <w:szCs w:val="18"/>
    </w:rPr>
  </w:style>
  <w:style w:type="paragraph" w:styleId="42">
    <w:name w:val="Body Text First Indent 2"/>
    <w:basedOn w:val="26"/>
    <w:link w:val="652"/>
    <w:qFormat/>
    <w:uiPriority w:val="0"/>
    <w:pPr>
      <w:adjustRightInd/>
      <w:spacing w:after="120" w:line="240" w:lineRule="auto"/>
      <w:ind w:left="420" w:leftChars="200" w:firstLine="210"/>
    </w:pPr>
    <w:rPr>
      <w:sz w:val="21"/>
    </w:rPr>
  </w:style>
  <w:style w:type="paragraph" w:styleId="43">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3">
    <w:name w:val="toc 6"/>
    <w:basedOn w:val="1"/>
    <w:next w:val="1"/>
    <w:qFormat/>
    <w:uiPriority w:val="0"/>
    <w:pPr>
      <w:ind w:left="2100" w:leftChars="1000"/>
    </w:pPr>
  </w:style>
  <w:style w:type="paragraph" w:styleId="54">
    <w:name w:val="List 5"/>
    <w:basedOn w:val="1"/>
    <w:qFormat/>
    <w:uiPriority w:val="0"/>
    <w:pPr>
      <w:adjustRightInd/>
      <w:ind w:left="100" w:leftChars="800" w:hanging="200" w:hangingChars="200"/>
    </w:pPr>
  </w:style>
  <w:style w:type="paragraph" w:styleId="55">
    <w:name w:val="Body Text Indent 3"/>
    <w:basedOn w:val="1"/>
    <w:link w:val="881"/>
    <w:qFormat/>
    <w:uiPriority w:val="0"/>
    <w:pPr>
      <w:spacing w:line="360" w:lineRule="auto"/>
      <w:ind w:firstLine="420"/>
    </w:pPr>
    <w:rPr>
      <w:sz w:val="24"/>
      <w:szCs w:val="20"/>
    </w:rPr>
  </w:style>
  <w:style w:type="paragraph" w:styleId="56">
    <w:name w:val="toc 2"/>
    <w:basedOn w:val="1"/>
    <w:next w:val="1"/>
    <w:qFormat/>
    <w:uiPriority w:val="0"/>
    <w:pPr>
      <w:ind w:left="420" w:leftChars="200"/>
    </w:pPr>
  </w:style>
  <w:style w:type="paragraph" w:styleId="57">
    <w:name w:val="toc 9"/>
    <w:basedOn w:val="1"/>
    <w:next w:val="1"/>
    <w:qFormat/>
    <w:uiPriority w:val="0"/>
    <w:pPr>
      <w:ind w:left="3360" w:leftChars="1600"/>
    </w:pPr>
  </w:style>
  <w:style w:type="paragraph" w:styleId="58">
    <w:name w:val="Body Text 2"/>
    <w:basedOn w:val="1"/>
    <w:link w:val="816"/>
    <w:qFormat/>
    <w:uiPriority w:val="0"/>
    <w:pPr>
      <w:spacing w:after="120" w:line="480" w:lineRule="auto"/>
    </w:pPr>
  </w:style>
  <w:style w:type="paragraph" w:styleId="59">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0"/>
    <w:qFormat/>
    <w:uiPriority w:val="10"/>
    <w:pPr>
      <w:widowControl/>
      <w:overflowPunct w:val="0"/>
      <w:autoSpaceDE w:val="0"/>
      <w:autoSpaceDN w:val="0"/>
      <w:jc w:val="center"/>
      <w:textAlignment w:val="baseline"/>
    </w:pPr>
    <w:rPr>
      <w:b/>
      <w:kern w:val="0"/>
      <w:sz w:val="24"/>
      <w:szCs w:val="20"/>
    </w:rPr>
  </w:style>
  <w:style w:type="paragraph" w:customStyle="1" w:styleId="63">
    <w:name w:val="Char1"/>
    <w:basedOn w:val="1"/>
    <w:link w:val="62"/>
    <w:qFormat/>
    <w:uiPriority w:val="0"/>
    <w:rPr>
      <w:rFonts w:ascii="仿宋_GB2312" w:eastAsia="仿宋_GB2312"/>
      <w:b/>
      <w:sz w:val="32"/>
      <w:szCs w:val="32"/>
    </w:rPr>
  </w:style>
  <w:style w:type="character" w:styleId="64">
    <w:name w:val="Strong"/>
    <w:qFormat/>
    <w:uiPriority w:val="22"/>
    <w:rPr>
      <w:b/>
      <w:bCs/>
    </w:rPr>
  </w:style>
  <w:style w:type="character" w:styleId="65">
    <w:name w:val="endnote reference"/>
    <w:qFormat/>
    <w:uiPriority w:val="0"/>
    <w:rPr>
      <w:vertAlign w:val="superscript"/>
    </w:rPr>
  </w:style>
  <w:style w:type="character" w:styleId="66">
    <w:name w:val="page number"/>
    <w:basedOn w:val="62"/>
    <w:qFormat/>
    <w:uiPriority w:val="0"/>
    <w:rPr>
      <w:rFonts w:ascii="Arial" w:hAnsi="Arial" w:eastAsia="黑体" w:cs="Arial"/>
      <w:snapToGrid w:val="0"/>
      <w:kern w:val="0"/>
      <w:szCs w:val="21"/>
    </w:rPr>
  </w:style>
  <w:style w:type="character" w:styleId="67">
    <w:name w:val="FollowedHyperlink"/>
    <w:qFormat/>
    <w:uiPriority w:val="99"/>
    <w:rPr>
      <w:rFonts w:ascii="Arial" w:hAnsi="Arial" w:eastAsia="黑体" w:cs="Arial"/>
      <w:snapToGrid w:val="0"/>
      <w:color w:val="000000"/>
      <w:kern w:val="0"/>
      <w:sz w:val="18"/>
      <w:szCs w:val="18"/>
      <w:u w:val="none"/>
    </w:rPr>
  </w:style>
  <w:style w:type="character" w:styleId="68">
    <w:name w:val="Emphasis"/>
    <w:qFormat/>
    <w:uiPriority w:val="20"/>
    <w:rPr>
      <w:color w:val="CC0033"/>
    </w:rPr>
  </w:style>
  <w:style w:type="character" w:styleId="69">
    <w:name w:val="line number"/>
    <w:basedOn w:val="62"/>
    <w:qFormat/>
    <w:uiPriority w:val="0"/>
    <w:rPr>
      <w:rFonts w:ascii="Arial" w:hAnsi="Arial" w:eastAsia="黑体" w:cs="Arial"/>
      <w:snapToGrid w:val="0"/>
      <w:kern w:val="0"/>
      <w:szCs w:val="21"/>
    </w:rPr>
  </w:style>
  <w:style w:type="character" w:styleId="70">
    <w:name w:val="Hyperlink"/>
    <w:qFormat/>
    <w:uiPriority w:val="99"/>
    <w:rPr>
      <w:rFonts w:ascii="Arial" w:hAnsi="Arial" w:eastAsia="黑体" w:cs="Arial"/>
      <w:snapToGrid w:val="0"/>
      <w:color w:val="000000"/>
      <w:kern w:val="0"/>
      <w:sz w:val="18"/>
      <w:szCs w:val="18"/>
      <w:u w:val="none"/>
    </w:rPr>
  </w:style>
  <w:style w:type="character" w:styleId="71">
    <w:name w:val="HTML Code"/>
    <w:qFormat/>
    <w:uiPriority w:val="0"/>
    <w:rPr>
      <w:rFonts w:ascii="黑体" w:hAnsi="Courier New" w:eastAsia="黑体" w:cs="楷体_GB2312"/>
      <w:sz w:val="20"/>
      <w:szCs w:val="20"/>
    </w:rPr>
  </w:style>
  <w:style w:type="character" w:styleId="72">
    <w:name w:val="annotation reference"/>
    <w:qFormat/>
    <w:uiPriority w:val="99"/>
    <w:rPr>
      <w:sz w:val="21"/>
      <w:szCs w:val="21"/>
    </w:rPr>
  </w:style>
  <w:style w:type="table" w:styleId="74">
    <w:name w:val="Table Grid"/>
    <w:basedOn w:val="73"/>
    <w:qFormat/>
    <w:uiPriority w:val="0"/>
    <w:pPr>
      <w:widowControl w:val="0"/>
      <w:jc w:val="both"/>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5">
    <w:name w:val="Table Theme"/>
    <w:basedOn w:val="73"/>
    <w:qFormat/>
    <w:uiPriority w:val="0"/>
    <w:p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styleId="76">
    <w:name w:val="Table Elegant"/>
    <w:basedOn w:val="73"/>
    <w:qFormat/>
    <w:uiPriority w:val="0"/>
    <w:pPr>
      <w:widowControl w:val="0"/>
      <w:jc w:val="both"/>
    </w:pPr>
    <w:tblPr>
      <w:tblStyle w:val="73"/>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cap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7">
    <w:name w:val="Table Grid 5"/>
    <w:basedOn w:val="73"/>
    <w:qFormat/>
    <w:uiPriority w:val="0"/>
    <w:pPr>
      <w:widowControl w:val="0"/>
      <w:jc w:val="both"/>
    </w:pPr>
    <w:tblPr>
      <w:tblStyle w:val="73"/>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tblPr>
        <w:tblStyle w:val="73"/>
        <w:tblLayout w:type="fixed"/>
      </w:tblPr>
      <w:tcPr>
        <w:tcBorders>
          <w:top w:val="nil"/>
          <w:left w:val="nil"/>
          <w:bottom w:val="single" w:color="000000" w:sz="12" w:space="0"/>
          <w:right w:val="nil"/>
          <w:insideH w:val="nil"/>
          <w:insideV w:val="nil"/>
          <w:tl2br w:val="nil"/>
          <w:tr2bl w:val="nil"/>
        </w:tcBorders>
        <w:textDirection w:val="lrTb"/>
      </w:tcPr>
    </w:tblStylePr>
    <w:tblStylePr w:type="lastRow">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rPr>
      <w:tblPr>
        <w:tblStyle w:val="73"/>
        <w:tblLayout w:type="fixed"/>
      </w:tblPr>
      <w:tcPr>
        <w:tcBorders>
          <w:top w:val="nil"/>
          <w:left w:val="nil"/>
          <w:bottom w:val="nil"/>
          <w:right w:val="nil"/>
          <w:insideH w:val="nil"/>
          <w:insideV w:val="nil"/>
          <w:tl2br w:val="nil"/>
          <w:tr2bl w:val="nil"/>
        </w:tcBorders>
        <w:textDirection w:val="lrTb"/>
      </w:tcPr>
    </w:tblStylePr>
    <w:tblStylePr w:type="nwCell">
      <w:tblPr>
        <w:tblStyle w:val="73"/>
        <w:tblLayout w:type="fixed"/>
      </w:tblPr>
      <w:tcPr>
        <w:tcBorders>
          <w:top w:val="nil"/>
          <w:left w:val="nil"/>
          <w:bottom w:val="nil"/>
          <w:right w:val="nil"/>
          <w:insideH w:val="nil"/>
          <w:insideV w:val="nil"/>
          <w:tl2br w:val="single" w:color="000000" w:sz="6" w:space="0"/>
          <w:tr2bl w:val="nil"/>
        </w:tcBorders>
        <w:textDirection w:val="lrTb"/>
      </w:tcPr>
    </w:tblStylePr>
  </w:style>
  <w:style w:type="table" w:styleId="78">
    <w:name w:val="Table Grid 8"/>
    <w:basedOn w:val="73"/>
    <w:qFormat/>
    <w:uiPriority w:val="0"/>
    <w:pPr>
      <w:widowControl w:val="0"/>
      <w:jc w:val="both"/>
    </w:pPr>
    <w:tblPr>
      <w:tblStyle w:val="73"/>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FFFFFF"/>
      </w:rPr>
      <w:tblPr>
        <w:tblStyle w:val="73"/>
        <w:tblLayout w:type="fixed"/>
      </w:tblPr>
      <w:tcPr>
        <w:tcBorders>
          <w:top w:val="nil"/>
          <w:left w:val="nil"/>
          <w:bottom w:val="nil"/>
          <w:right w:val="nil"/>
          <w:insideH w:val="nil"/>
          <w:insideV w:val="nil"/>
          <w:tl2br w:val="nil"/>
          <w:tr2bl w:val="nil"/>
        </w:tcBorders>
        <w:shd w:val="solid" w:color="000080" w:fill="FFFFFF"/>
        <w:textDirection w:val="lrTb"/>
      </w:tcPr>
    </w:tblStylePr>
    <w:tblStylePr w:type="lastRow">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tblStylePr w:type="lastCol">
      <w:rPr>
        <w:b/>
        <w:bCs/>
        <w:color w:val="auto"/>
      </w:rPr>
      <w:tblPr>
        <w:tblStyle w:val="73"/>
        <w:tblLayout w:type="fixed"/>
      </w:tblPr>
      <w:tcPr>
        <w:tcBorders>
          <w:top w:val="nil"/>
          <w:left w:val="nil"/>
          <w:bottom w:val="nil"/>
          <w:right w:val="nil"/>
          <w:insideH w:val="nil"/>
          <w:insideV w:val="nil"/>
          <w:tl2br w:val="nil"/>
          <w:tr2bl w:val="nil"/>
        </w:tcBorders>
        <w:textDirection w:val="lrTb"/>
      </w:tcPr>
    </w:tblStylePr>
  </w:style>
  <w:style w:type="table" w:styleId="79">
    <w:name w:val="Table Professional"/>
    <w:basedOn w:val="73"/>
    <w:qFormat/>
    <w:uiPriority w:val="0"/>
    <w:pPr>
      <w:widowControl w:val="0"/>
      <w:jc w:val="both"/>
    </w:pPr>
    <w:tblPr>
      <w:tblStyle w:val="73"/>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extDirection w:val="lrTb"/>
    </w:tcPr>
    <w:tblStylePr w:type="firstRow">
      <w:rPr>
        <w:b/>
        <w:bCs/>
        <w:color w:val="auto"/>
      </w:rPr>
      <w:tblPr>
        <w:tblStyle w:val="73"/>
        <w:tblLayout w:type="fixed"/>
      </w:tblPr>
      <w:tcPr>
        <w:tcBorders>
          <w:top w:val="nil"/>
          <w:left w:val="nil"/>
          <w:bottom w:val="nil"/>
          <w:right w:val="nil"/>
          <w:insideH w:val="nil"/>
          <w:insideV w:val="nil"/>
          <w:tl2br w:val="nil"/>
          <w:tr2bl w:val="nil"/>
        </w:tcBorders>
        <w:shd w:val="solid" w:color="000000" w:fill="FFFFFF"/>
        <w:textDirection w:val="lrTb"/>
      </w:tcPr>
    </w:tblStyle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15"/>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8"/>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30"/>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1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6"/>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8"/>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20"/>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16"/>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5"/>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16"/>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3"/>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9"/>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22"/>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1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12"/>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42"/>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2"/>
    <w:qFormat/>
    <w:uiPriority w:val="0"/>
    <w:rPr>
      <w:rFonts w:ascii="Arial" w:hAnsi="Arial" w:eastAsia="黑体" w:cs="Arial"/>
      <w:snapToGrid w:val="0"/>
      <w:kern w:val="0"/>
      <w:szCs w:val="21"/>
    </w:rPr>
  </w:style>
  <w:style w:type="character" w:customStyle="1" w:styleId="656">
    <w:name w:val="纯文本 Char"/>
    <w:link w:val="34"/>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9"/>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7"/>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40"/>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22"/>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2"/>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31"/>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20"/>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6"/>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61"/>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3"/>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9"/>
    <w:qFormat/>
    <w:uiPriority w:val="0"/>
    <w:rPr>
      <w:rFonts w:ascii="黑体" w:hAnsi="Courier New" w:eastAsia="黑体"/>
    </w:rPr>
  </w:style>
  <w:style w:type="character" w:customStyle="1" w:styleId="816">
    <w:name w:val="正文文本 2 Char1"/>
    <w:link w:val="58"/>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8"/>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52"/>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15"/>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4"/>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3"/>
    <w:qFormat/>
    <w:uiPriority w:val="99"/>
    <w:rPr>
      <w:kern w:val="2"/>
      <w:sz w:val="21"/>
      <w:szCs w:val="24"/>
    </w:rPr>
  </w:style>
  <w:style w:type="character" w:customStyle="1" w:styleId="853">
    <w:name w:val="签名 Char"/>
    <w:link w:val="44"/>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5"/>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41"/>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3"/>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2"/>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16"/>
    <w:qFormat/>
    <w:uiPriority w:val="0"/>
    <w:rPr>
      <w:rFonts w:ascii="宋体" w:hAnsi="Arial" w:eastAsia="宋体" w:cs="Arial"/>
      <w:snapToGrid w:val="0"/>
      <w:kern w:val="2"/>
      <w:sz w:val="24"/>
      <w:szCs w:val="21"/>
      <w:lang w:val="zh-CN" w:eastAsia="zh-CN" w:bidi="ar-SA"/>
    </w:rPr>
  </w:style>
  <w:style w:type="character" w:customStyle="1" w:styleId="930">
    <w:name w:val="gray6"/>
    <w:basedOn w:val="62"/>
    <w:qFormat/>
    <w:uiPriority w:val="0"/>
    <w:rPr>
      <w:rFonts w:ascii="Arial" w:hAnsi="Arial" w:eastAsia="黑体" w:cs="Arial"/>
      <w:snapToGrid w:val="0"/>
      <w:kern w:val="0"/>
      <w:szCs w:val="21"/>
    </w:rPr>
  </w:style>
  <w:style w:type="character" w:customStyle="1" w:styleId="931">
    <w:name w:val="hui"/>
    <w:basedOn w:val="62"/>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9"/>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2"/>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7">
    <w:name w:val="网格型1"/>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8">
    <w:name w:val="网格型6"/>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59">
    <w:name w:val="网格型3"/>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0">
    <w:name w:val="网格型4"/>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table" w:customStyle="1" w:styleId="961">
    <w:name w:val="网格型5"/>
    <w:basedOn w:val="73"/>
    <w:qFormat/>
    <w:uiPriority w:val="39"/>
    <w:pPr/>
    <w:rPr>
      <w:rFonts w:ascii="等线" w:hAnsi="等线" w:eastAsia="等线"/>
    </w:rPr>
    <w:tblPr>
      <w:tblStyle w:val="7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9.xml"/><Relationship Id="rId2" Type="http://schemas.openxmlformats.org/officeDocument/2006/relationships/styles" Target="styles.xml"/><Relationship Id="rId19" Type="http://schemas.openxmlformats.org/officeDocument/2006/relationships/footer" Target="footer8.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76</Pages>
  <Words>37436</Words>
  <Characters>39762</Characters>
  <Lines>281</Lines>
  <Paragraphs>79</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thtf-pc</cp:lastModifiedBy>
  <cp:lastPrinted>2021-12-27T03:06:00Z</cp:lastPrinted>
  <dcterms:modified xsi:type="dcterms:W3CDTF">2023-04-27T03:24:57Z</dcterms:modified>
  <dc:title>杭州市市民卡扩大发卡工程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