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pStyle w:val="2"/>
        <w:rPr>
          <w:rFonts w:ascii="宋体" w:hAnsi="宋体" w:cs="宋体"/>
          <w:b/>
          <w:color w:val="auto"/>
          <w:sz w:val="44"/>
          <w:szCs w:val="44"/>
          <w:highlight w:val="none"/>
        </w:rPr>
      </w:pPr>
    </w:p>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瓶窑市民之家物业管理服务采购项目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：HZYHZFCG-2023-086</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杭州市余杭区机关事务服务中心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十二</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瓶窑市民之家物业管理服务采购项目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cs="宋体"/>
          <w:b/>
          <w:bCs/>
          <w:color w:val="auto"/>
          <w:kern w:val="2"/>
          <w:sz w:val="24"/>
          <w:szCs w:val="24"/>
          <w:highlight w:val="none"/>
          <w:u w:val="single" w:color="auto"/>
          <w:lang w:eastAsia="zh-CN"/>
        </w:rPr>
        <w:t>2024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1</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15</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14</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HZYHZFCG-2023-086</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瓶窑市民之家物业管理服务采购项目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Cs/>
          <w:color w:val="auto"/>
          <w:sz w:val="24"/>
          <w:szCs w:val="20"/>
          <w:highlight w:val="none"/>
          <w:lang w:val="en-US" w:eastAsia="zh-CN"/>
        </w:rPr>
        <w:t>5310000</w:t>
      </w:r>
      <w:r>
        <w:rPr>
          <w:rFonts w:ascii="宋体" w:hAnsi="宋体" w:cs="宋体"/>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w:t>
      </w:r>
      <w:r>
        <w:rPr>
          <w:rFonts w:ascii="宋体" w:hAnsi="宋体" w:cs="宋体"/>
          <w:color w:val="auto"/>
          <w:sz w:val="24"/>
          <w:highlight w:val="none"/>
        </w:rPr>
        <w:t xml:space="preserve"> </w:t>
      </w:r>
    </w:p>
    <w:p>
      <w:pPr>
        <w:pStyle w:val="5"/>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ascii="新宋体" w:hAnsi="新宋体" w:eastAsia="新宋体" w:cs="新宋体"/>
          <w:bCs/>
          <w:color w:val="auto"/>
          <w:kern w:val="2"/>
          <w:sz w:val="24"/>
          <w:szCs w:val="24"/>
          <w:highlight w:val="none"/>
          <w:lang w:eastAsia="zh-CN"/>
        </w:rPr>
        <w:t>本</w:t>
      </w:r>
      <w:r>
        <w:rPr>
          <w:rFonts w:hint="eastAsia" w:ascii="新宋体" w:hAnsi="新宋体" w:eastAsia="新宋体" w:cs="新宋体"/>
          <w:bCs/>
          <w:color w:val="auto"/>
          <w:kern w:val="2"/>
          <w:sz w:val="24"/>
          <w:szCs w:val="24"/>
          <w:highlight w:val="none"/>
        </w:rPr>
        <w:t>项目主要内容</w:t>
      </w:r>
      <w:r>
        <w:rPr>
          <w:rFonts w:hint="eastAsia" w:ascii="新宋体" w:hAnsi="新宋体" w:eastAsia="新宋体" w:cs="新宋体"/>
          <w:bCs/>
          <w:color w:val="auto"/>
          <w:kern w:val="2"/>
          <w:sz w:val="24"/>
          <w:szCs w:val="24"/>
          <w:highlight w:val="none"/>
          <w:lang w:eastAsia="zh-CN"/>
        </w:rPr>
        <w:t>包括</w:t>
      </w:r>
      <w:r>
        <w:rPr>
          <w:rFonts w:hint="eastAsia" w:ascii="新宋体" w:hAnsi="新宋体" w:eastAsia="新宋体" w:cs="新宋体"/>
          <w:b/>
          <w:bCs/>
          <w:color w:val="auto"/>
          <w:sz w:val="24"/>
          <w:szCs w:val="24"/>
          <w:highlight w:val="none"/>
          <w:lang w:eastAsia="zh-CN"/>
        </w:rPr>
        <w:t>清洁</w:t>
      </w:r>
      <w:r>
        <w:rPr>
          <w:rFonts w:hint="eastAsia" w:ascii="新宋体" w:hAnsi="新宋体" w:eastAsia="新宋体" w:cs="新宋体"/>
          <w:b/>
          <w:bCs/>
          <w:color w:val="auto"/>
          <w:sz w:val="24"/>
          <w:szCs w:val="24"/>
          <w:highlight w:val="none"/>
        </w:rPr>
        <w:t>保洁、安保消控管理</w:t>
      </w:r>
      <w:r>
        <w:rPr>
          <w:rFonts w:hint="eastAsia" w:ascii="新宋体" w:hAnsi="新宋体" w:eastAsia="新宋体" w:cs="新宋体"/>
          <w:b/>
          <w:bCs/>
          <w:color w:val="auto"/>
          <w:sz w:val="24"/>
          <w:szCs w:val="24"/>
          <w:highlight w:val="none"/>
          <w:lang w:eastAsia="zh-CN"/>
        </w:rPr>
        <w:t>、绿化养护、工程设备维护</w:t>
      </w:r>
      <w:r>
        <w:rPr>
          <w:rFonts w:hint="eastAsia" w:ascii="新宋体" w:hAnsi="新宋体" w:eastAsia="新宋体" w:cs="新宋体"/>
          <w:b/>
          <w:bCs/>
          <w:color w:val="auto"/>
          <w:sz w:val="24"/>
          <w:szCs w:val="24"/>
          <w:highlight w:val="none"/>
        </w:rPr>
        <w:t>、</w:t>
      </w:r>
      <w:r>
        <w:rPr>
          <w:rFonts w:hint="eastAsia" w:ascii="新宋体" w:hAnsi="新宋体" w:eastAsia="新宋体" w:cs="新宋体"/>
          <w:b/>
          <w:bCs/>
          <w:color w:val="auto"/>
          <w:sz w:val="24"/>
          <w:szCs w:val="24"/>
          <w:highlight w:val="none"/>
          <w:lang w:eastAsia="zh-CN"/>
        </w:rPr>
        <w:t>会务服务、</w:t>
      </w:r>
      <w:r>
        <w:rPr>
          <w:rFonts w:hint="eastAsia" w:ascii="新宋体" w:hAnsi="新宋体" w:eastAsia="新宋体" w:cs="新宋体"/>
          <w:b/>
          <w:bCs/>
          <w:color w:val="auto"/>
          <w:kern w:val="0"/>
          <w:sz w:val="24"/>
          <w:szCs w:val="24"/>
          <w:highlight w:val="none"/>
        </w:rPr>
        <w:t>应急管理</w:t>
      </w:r>
      <w:r>
        <w:rPr>
          <w:rFonts w:hint="eastAsia" w:ascii="新宋体" w:hAnsi="新宋体" w:eastAsia="新宋体" w:cs="新宋体"/>
          <w:b/>
          <w:bCs/>
          <w:color w:val="auto"/>
          <w:sz w:val="24"/>
          <w:szCs w:val="24"/>
          <w:highlight w:val="none"/>
        </w:rPr>
        <w:t>以及采购单位交办的其他工作</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keepNext w:val="0"/>
        <w:keepLines w:val="0"/>
        <w:pageBreakBefore w:val="0"/>
        <w:kinsoku/>
        <w:wordWrap/>
        <w:overflowPunct/>
        <w:topLinePunct w:val="0"/>
        <w:autoSpaceDE/>
        <w:autoSpaceDN/>
        <w:bidi w:val="0"/>
        <w:adjustRightInd w:val="0"/>
        <w:spacing w:before="0"/>
        <w:ind w:firstLine="482" w:firstLineChars="200"/>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lang w:val="en-US" w:eastAsia="zh-CN"/>
        </w:rPr>
        <w:t>服务期为</w:t>
      </w:r>
      <w:r>
        <w:rPr>
          <w:rFonts w:hint="eastAsia" w:ascii="宋体" w:hAnsi="宋体" w:cs="宋体"/>
          <w:color w:val="auto"/>
          <w:highlight w:val="none"/>
        </w:rPr>
        <w:t>36个月，合同一年一签。</w:t>
      </w:r>
      <w:r>
        <w:rPr>
          <w:rFonts w:ascii="宋体" w:hAnsi="宋体" w:cs="宋体"/>
          <w:color w:val="auto"/>
          <w:highlight w:val="none"/>
        </w:rPr>
        <w:t xml:space="preserve"> </w:t>
      </w:r>
    </w:p>
    <w:p>
      <w:pPr>
        <w:pStyle w:val="5"/>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.以联合体形式投标的，提供联合协议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sz w:val="24"/>
          <w:highlight w:val="none"/>
        </w:rPr>
        <w:t>服务全部由符合政策要求的中小</w:t>
      </w:r>
      <w:r>
        <w:rPr>
          <w:rFonts w:hint="eastAsia" w:ascii="宋体" w:hAnsi="宋体" w:cs="宋体"/>
          <w:color w:val="auto"/>
          <w:sz w:val="24"/>
          <w:highlight w:val="none"/>
          <w:lang w:eastAsia="zh-CN"/>
        </w:rPr>
        <w:t>微</w:t>
      </w:r>
      <w:r>
        <w:rPr>
          <w:rFonts w:hint="eastAsia" w:ascii="宋体" w:hAnsi="宋体" w:cs="宋体"/>
          <w:color w:val="auto"/>
          <w:sz w:val="24"/>
          <w:highlight w:val="none"/>
        </w:rPr>
        <w:t>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lang w:eastAsia="zh-CN"/>
        </w:rPr>
        <w:t>2024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15</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lang w:eastAsia="zh-CN"/>
        </w:rPr>
        <w:t>2024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15</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lang w:eastAsia="zh-CN"/>
        </w:rPr>
        <w:t>2024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15</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杭州市余杭区机关事务服务中心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址：杭州市余杭区文一西路1500号9号楼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项目联系人（询问）：童晓琦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项目联系方式（询问）：0571-89516734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质疑联系人：鲁敏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rPr>
        <w:t>质疑联系方式：0571-89516718</w:t>
      </w:r>
      <w:r>
        <w:rPr>
          <w:rFonts w:hint="eastAsia" w:ascii="宋体" w:hAnsi="宋体" w:eastAsia="宋体" w:cs="宋体"/>
          <w:color w:val="auto"/>
          <w:sz w:val="24"/>
          <w:highlight w:val="none"/>
        </w:rPr>
        <w:t xml:space="preserve">（请通过以下路径在线提起质疑：政采云-项目采购-询问质疑投诉-质疑列表）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杭州市公共资源交易中心余杭分中心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eastAsia="宋体" w:cs="宋体"/>
          <w:color w:val="auto"/>
          <w:sz w:val="24"/>
          <w:highlight w:val="none"/>
          <w:lang w:eastAsia="zh-CN"/>
        </w:rPr>
        <w:t>余杭街道凤新路</w:t>
      </w:r>
      <w:r>
        <w:rPr>
          <w:rFonts w:hint="eastAsia" w:ascii="宋体" w:hAnsi="宋体" w:eastAsia="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color w:val="auto"/>
          <w:sz w:val="24"/>
          <w:highlight w:val="none"/>
          <w:lang w:val="en-US" w:eastAsia="zh-CN"/>
        </w:rPr>
        <w:t>0571-89395438</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val="en-US" w:eastAsia="zh-CN"/>
        </w:rPr>
        <w:t>徐银杰</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0571-</w:t>
      </w:r>
      <w:r>
        <w:rPr>
          <w:rFonts w:hint="eastAsia" w:ascii="宋体" w:hAnsi="宋体" w:eastAsia="宋体" w:cs="宋体"/>
          <w:color w:val="auto"/>
          <w:sz w:val="24"/>
          <w:highlight w:val="none"/>
        </w:rPr>
        <w:t xml:space="preserve">89395436（请通过以下路径在线提起质疑：政采云-项目采购-询问质疑投诉-质疑列表）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3.同级政府采购监督管理部门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杭州市余杭区财政局、浙江省政府采购行政裁决服务中心（杭州）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杭州市上城区四季青街道新业路市民之家G03办公室（快递仅限ems或顺丰）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 ：</w:t>
      </w:r>
      <w:r>
        <w:rPr>
          <w:rFonts w:hint="eastAsia" w:ascii="宋体" w:hAnsi="宋体" w:eastAsia="宋体" w:cs="宋体"/>
          <w:color w:val="auto"/>
          <w:sz w:val="24"/>
          <w:highlight w:val="none"/>
        </w:rPr>
        <w:t>朱女士、王女士</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0571-85252453</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新宋体" w:cs="宋体"/>
                <w:color w:val="auto"/>
                <w:highlight w:val="none"/>
                <w:lang w:val="en-US" w:eastAsia="zh-CN"/>
              </w:rPr>
            </w:pPr>
            <w:r>
              <w:rPr>
                <w:rFonts w:hint="eastAsia" w:ascii="宋体" w:hAnsi="宋体" w:cs="宋体"/>
                <w:color w:val="auto"/>
                <w:kern w:val="0"/>
                <w:sz w:val="24"/>
                <w:highlight w:val="none"/>
              </w:rPr>
              <w:t>（1）标的：</w:t>
            </w:r>
            <w:r>
              <w:rPr>
                <w:rFonts w:hint="eastAsia" w:ascii="新宋体" w:hAnsi="新宋体" w:eastAsia="新宋体" w:cs="新宋体"/>
                <w:color w:val="auto"/>
                <w:kern w:val="0"/>
                <w:sz w:val="24"/>
                <w:szCs w:val="24"/>
                <w:highlight w:val="none"/>
                <w:u w:val="single"/>
              </w:rPr>
              <w:t>物业管理服务</w:t>
            </w:r>
            <w:r>
              <w:rPr>
                <w:rFonts w:hint="eastAsia" w:ascii="新宋体" w:hAnsi="新宋体" w:eastAsia="新宋体" w:cs="新宋体"/>
                <w:color w:val="auto"/>
                <w:kern w:val="0"/>
                <w:sz w:val="24"/>
                <w:szCs w:val="24"/>
                <w:highlight w:val="none"/>
              </w:rPr>
              <w:t>，属于</w:t>
            </w:r>
            <w:r>
              <w:rPr>
                <w:rFonts w:hint="eastAsia" w:ascii="新宋体" w:hAnsi="新宋体" w:eastAsia="新宋体" w:cs="新宋体"/>
                <w:color w:val="auto"/>
                <w:kern w:val="0"/>
                <w:sz w:val="24"/>
                <w:szCs w:val="24"/>
                <w:highlight w:val="none"/>
                <w:u w:val="single"/>
              </w:rPr>
              <w:t>物业管理</w:t>
            </w:r>
            <w:r>
              <w:rPr>
                <w:rFonts w:hint="eastAsia" w:ascii="新宋体" w:hAnsi="新宋体" w:eastAsia="新宋体" w:cs="新宋体"/>
                <w:color w:val="auto"/>
                <w:kern w:val="0"/>
                <w:sz w:val="24"/>
                <w:szCs w:val="24"/>
                <w:highlight w:val="none"/>
              </w:rPr>
              <w:t>行业</w:t>
            </w:r>
            <w:r>
              <w:rPr>
                <w:rFonts w:hint="eastAsia" w:ascii="新宋体" w:hAnsi="新宋体" w:eastAsia="新宋体" w:cs="新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新宋体" w:hAnsi="新宋体" w:eastAsia="新宋体" w:cs="新宋体"/>
                <w:color w:val="auto"/>
                <w:sz w:val="24"/>
                <w:szCs w:val="24"/>
                <w:highlight w:val="none"/>
                <w:u w:val="single"/>
              </w:rPr>
              <w:t>外墙清洗、绿化租摆</w:t>
            </w:r>
            <w:r>
              <w:rPr>
                <w:rFonts w:hint="eastAsia" w:ascii="新宋体" w:hAnsi="新宋体" w:eastAsia="新宋体" w:cs="新宋体"/>
                <w:color w:val="auto"/>
                <w:sz w:val="24"/>
                <w:szCs w:val="24"/>
                <w:highlight w:val="none"/>
                <w:u w:val="single"/>
                <w:lang w:eastAsia="zh-CN"/>
              </w:rPr>
              <w:t>、电梯维护、消防设施设备维护、空调通风系统维护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52"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bookmarkEnd w:id="10"/>
    </w:tbl>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75236290"/>
      <w:bookmarkEnd w:id="16"/>
      <w:bookmarkStart w:id="17" w:name="_Hlt68073093"/>
      <w:bookmarkEnd w:id="17"/>
      <w:bookmarkStart w:id="18" w:name="_Hlt68072990"/>
      <w:bookmarkEnd w:id="18"/>
      <w:bookmarkStart w:id="19" w:name="_Hlt68072998"/>
      <w:bookmarkEnd w:id="19"/>
      <w:bookmarkStart w:id="20" w:name="_Hlt74714665"/>
      <w:bookmarkEnd w:id="20"/>
      <w:bookmarkStart w:id="21" w:name="_Hlt68057669"/>
      <w:bookmarkEnd w:id="21"/>
      <w:bookmarkStart w:id="22" w:name="_Hlt75236101"/>
      <w:bookmarkEnd w:id="22"/>
      <w:bookmarkStart w:id="23" w:name="_Hlt75236011"/>
      <w:bookmarkEnd w:id="23"/>
      <w:bookmarkStart w:id="24" w:name="_Hlt74729768"/>
      <w:bookmarkEnd w:id="24"/>
      <w:bookmarkStart w:id="25" w:name="_Hlt68403820"/>
      <w:bookmarkEnd w:id="25"/>
      <w:bookmarkStart w:id="26" w:name="_Hlt7470746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项目概况</w:t>
      </w:r>
    </w:p>
    <w:p>
      <w:pPr>
        <w:pStyle w:val="5"/>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该项目位于杭州市余杭区瓶窑镇前程路20号，总建筑面积</w:t>
      </w:r>
      <w:r>
        <w:rPr>
          <w:rFonts w:hint="eastAsia" w:ascii="宋体" w:hAnsi="宋体" w:cs="宋体"/>
          <w:color w:val="auto"/>
          <w:sz w:val="24"/>
          <w:highlight w:val="none"/>
          <w:lang w:val="en-US" w:eastAsia="zh-CN"/>
        </w:rPr>
        <w:t>12000</w:t>
      </w:r>
      <w:r>
        <w:rPr>
          <w:rFonts w:hint="eastAsia" w:ascii="宋体" w:hAnsi="宋体" w:cs="宋体"/>
          <w:color w:val="auto"/>
          <w:sz w:val="24"/>
          <w:highlight w:val="none"/>
        </w:rPr>
        <w:t>平方米。</w:t>
      </w:r>
      <w:r>
        <w:rPr>
          <w:rFonts w:hint="eastAsia" w:ascii="宋体" w:hAnsi="宋体"/>
          <w:color w:val="auto"/>
          <w:sz w:val="24"/>
          <w:szCs w:val="24"/>
          <w:highlight w:val="none"/>
          <w:lang w:val="en-US" w:eastAsia="zh-CN"/>
        </w:rPr>
        <w:t>有出入口3个，监控室1个。</w:t>
      </w:r>
      <w:r>
        <w:rPr>
          <w:rFonts w:hint="eastAsia" w:ascii="宋体" w:hAnsi="宋体" w:cs="宋体"/>
          <w:color w:val="auto"/>
          <w:sz w:val="24"/>
          <w:highlight w:val="none"/>
          <w:lang w:val="en-US" w:eastAsia="zh-CN"/>
        </w:rPr>
        <w:t>其中</w:t>
      </w:r>
      <w:r>
        <w:rPr>
          <w:rFonts w:hint="eastAsia" w:ascii="宋体" w:hAnsi="宋体" w:cs="宋体"/>
          <w:color w:val="auto"/>
          <w:sz w:val="24"/>
          <w:highlight w:val="none"/>
        </w:rPr>
        <w:t>大楼一层为办事大厅，南楼2-5楼为税务，不动产，国土等单位办公楼，北楼2-6楼为环保</w:t>
      </w:r>
      <w:r>
        <w:rPr>
          <w:rFonts w:hint="eastAsia" w:hAnsi="宋体" w:cs="宋体"/>
          <w:color w:val="auto"/>
          <w:sz w:val="24"/>
          <w:highlight w:val="none"/>
          <w:lang w:eastAsia="zh-CN"/>
        </w:rPr>
        <w:t>、</w:t>
      </w:r>
      <w:r>
        <w:rPr>
          <w:rFonts w:hint="eastAsia" w:ascii="宋体" w:hAnsi="宋体" w:cs="宋体"/>
          <w:color w:val="auto"/>
          <w:sz w:val="24"/>
          <w:highlight w:val="none"/>
        </w:rPr>
        <w:t>农业局</w:t>
      </w:r>
      <w:r>
        <w:rPr>
          <w:rFonts w:hint="eastAsia" w:hAnsi="宋体" w:cs="宋体"/>
          <w:color w:val="auto"/>
          <w:sz w:val="24"/>
          <w:highlight w:val="none"/>
          <w:lang w:eastAsia="zh-CN"/>
        </w:rPr>
        <w:t>、</w:t>
      </w:r>
      <w:r>
        <w:rPr>
          <w:rFonts w:hint="eastAsia" w:ascii="宋体" w:hAnsi="宋体" w:cs="宋体"/>
          <w:color w:val="auto"/>
          <w:sz w:val="24"/>
          <w:highlight w:val="none"/>
        </w:rPr>
        <w:t>小额招标办等办公楼。其中有分体式空调8台，多联机空调内机175台，外机37台；客梯2台；监控设备</w:t>
      </w:r>
      <w:r>
        <w:rPr>
          <w:rFonts w:hint="eastAsia" w:hAnsi="宋体" w:cs="宋体"/>
          <w:color w:val="auto"/>
          <w:sz w:val="24"/>
          <w:highlight w:val="none"/>
          <w:lang w:eastAsia="zh-CN"/>
        </w:rPr>
        <w:t>、</w:t>
      </w:r>
      <w:r>
        <w:rPr>
          <w:rFonts w:hint="eastAsia" w:hAnsi="宋体" w:cs="宋体"/>
          <w:color w:val="auto"/>
          <w:sz w:val="24"/>
          <w:highlight w:val="none"/>
          <w:lang w:val="en-US" w:eastAsia="zh-CN"/>
        </w:rPr>
        <w:t>消控设备</w:t>
      </w:r>
      <w:r>
        <w:rPr>
          <w:rFonts w:hint="eastAsia" w:ascii="宋体" w:hAnsi="宋体" w:cs="宋体"/>
          <w:color w:val="auto"/>
          <w:sz w:val="24"/>
          <w:highlight w:val="none"/>
        </w:rPr>
        <w:t>1套；道闸系统1套；消防系统包括气体灭火系统、消防报警系统、手提式灭火器等。</w:t>
      </w:r>
      <w:r>
        <w:rPr>
          <w:rFonts w:hint="eastAsia" w:hAnsi="宋体" w:cs="宋体"/>
          <w:color w:val="auto"/>
          <w:sz w:val="24"/>
          <w:highlight w:val="none"/>
          <w:lang w:eastAsia="zh-CN"/>
        </w:rPr>
        <w:t>采购内容包括</w:t>
      </w:r>
      <w:r>
        <w:rPr>
          <w:rFonts w:hint="eastAsia" w:ascii="新宋体" w:hAnsi="新宋体" w:eastAsia="新宋体" w:cs="新宋体"/>
          <w:b/>
          <w:bCs/>
          <w:color w:val="auto"/>
          <w:sz w:val="24"/>
          <w:szCs w:val="24"/>
          <w:highlight w:val="none"/>
          <w:lang w:eastAsia="zh-CN"/>
        </w:rPr>
        <w:t>清洁</w:t>
      </w:r>
      <w:r>
        <w:rPr>
          <w:rFonts w:hint="eastAsia" w:ascii="新宋体" w:hAnsi="新宋体" w:eastAsia="新宋体" w:cs="新宋体"/>
          <w:b/>
          <w:bCs/>
          <w:color w:val="auto"/>
          <w:sz w:val="24"/>
          <w:szCs w:val="24"/>
          <w:highlight w:val="none"/>
        </w:rPr>
        <w:t>保洁、安保消控管理</w:t>
      </w:r>
      <w:r>
        <w:rPr>
          <w:rFonts w:hint="eastAsia" w:ascii="新宋体" w:hAnsi="新宋体" w:eastAsia="新宋体" w:cs="新宋体"/>
          <w:b/>
          <w:bCs/>
          <w:color w:val="auto"/>
          <w:sz w:val="24"/>
          <w:szCs w:val="24"/>
          <w:highlight w:val="none"/>
          <w:lang w:eastAsia="zh-CN"/>
        </w:rPr>
        <w:t>、绿化养护、工程设备维护</w:t>
      </w:r>
      <w:r>
        <w:rPr>
          <w:rFonts w:hint="eastAsia" w:ascii="新宋体" w:hAnsi="新宋体" w:eastAsia="新宋体" w:cs="新宋体"/>
          <w:b/>
          <w:bCs/>
          <w:color w:val="auto"/>
          <w:sz w:val="24"/>
          <w:szCs w:val="24"/>
          <w:highlight w:val="none"/>
        </w:rPr>
        <w:t>、</w:t>
      </w:r>
      <w:r>
        <w:rPr>
          <w:rFonts w:hint="eastAsia" w:ascii="新宋体" w:hAnsi="新宋体" w:eastAsia="新宋体" w:cs="新宋体"/>
          <w:b/>
          <w:bCs/>
          <w:color w:val="auto"/>
          <w:sz w:val="24"/>
          <w:szCs w:val="24"/>
          <w:highlight w:val="none"/>
          <w:lang w:eastAsia="zh-CN"/>
        </w:rPr>
        <w:t>会务服务、</w:t>
      </w:r>
      <w:r>
        <w:rPr>
          <w:rFonts w:hint="eastAsia" w:ascii="新宋体" w:hAnsi="新宋体" w:eastAsia="新宋体" w:cs="新宋体"/>
          <w:b/>
          <w:bCs/>
          <w:color w:val="auto"/>
          <w:kern w:val="0"/>
          <w:sz w:val="24"/>
          <w:szCs w:val="24"/>
          <w:highlight w:val="none"/>
        </w:rPr>
        <w:t>应急管理</w:t>
      </w:r>
      <w:r>
        <w:rPr>
          <w:rFonts w:hint="eastAsia" w:ascii="新宋体" w:hAnsi="新宋体" w:eastAsia="新宋体" w:cs="新宋体"/>
          <w:b/>
          <w:bCs/>
          <w:color w:val="auto"/>
          <w:sz w:val="24"/>
          <w:szCs w:val="24"/>
          <w:highlight w:val="none"/>
        </w:rPr>
        <w:t>以及采购单位交办的其他工作</w:t>
      </w:r>
      <w:r>
        <w:rPr>
          <w:rFonts w:hint="eastAsia" w:ascii="新宋体" w:hAnsi="新宋体" w:eastAsia="新宋体" w:cs="新宋体"/>
          <w:bCs/>
          <w:color w:val="auto"/>
          <w:kern w:val="2"/>
          <w:sz w:val="24"/>
          <w:szCs w:val="24"/>
          <w:highlight w:val="none"/>
        </w:rPr>
        <w:t>。</w:t>
      </w:r>
      <w:r>
        <w:rPr>
          <w:rFonts w:hint="eastAsia" w:ascii="宋体" w:hAnsi="宋体" w:cs="宋体"/>
          <w:color w:val="auto"/>
          <w:sz w:val="24"/>
          <w:highlight w:val="none"/>
        </w:rPr>
        <w:t>零星维修涉及的大型材料配件（2000元以上）、会议特殊摆花、节日及临时性活动的花卉绿化装饰由采购人承担，但须书面报采购人批准后方可执行。</w:t>
      </w:r>
      <w:r>
        <w:rPr>
          <w:rFonts w:hint="eastAsia" w:ascii="微软雅黑" w:hAnsi="微软雅黑" w:eastAsia="微软雅黑" w:cs="微软雅黑"/>
          <w:color w:val="auto"/>
          <w:szCs w:val="21"/>
          <w:highlight w:val="none"/>
          <w:shd w:val="clear" w:color="auto" w:fill="FFFFFF"/>
        </w:rPr>
        <w:br w:type="textWrapping"/>
      </w:r>
      <w:r>
        <w:rPr>
          <w:rFonts w:hint="eastAsia" w:ascii="微软雅黑" w:hAnsi="微软雅黑" w:eastAsia="微软雅黑" w:cs="微软雅黑"/>
          <w:color w:val="auto"/>
          <w:szCs w:val="21"/>
          <w:highlight w:val="none"/>
          <w:shd w:val="clear" w:color="auto" w:fill="FFFFFF"/>
        </w:rPr>
        <w:t xml:space="preserve">    </w:t>
      </w:r>
      <w:r>
        <w:rPr>
          <w:rFonts w:hint="eastAsia" w:ascii="宋体" w:hAnsi="宋体" w:cs="宋体"/>
          <w:color w:val="auto"/>
          <w:sz w:val="24"/>
          <w:highlight w:val="none"/>
          <w:lang w:eastAsia="zh-CN"/>
        </w:rPr>
        <w:t>采购需求、评标标准中</w:t>
      </w:r>
      <w:r>
        <w:rPr>
          <w:rFonts w:hint="eastAsia" w:ascii="宋体" w:hAnsi="宋体" w:cs="宋体"/>
          <w:color w:val="auto"/>
          <w:sz w:val="24"/>
          <w:highlight w:val="none"/>
        </w:rPr>
        <w:t>所称的“以上</w:t>
      </w:r>
      <w:r>
        <w:rPr>
          <w:rFonts w:hint="eastAsia" w:ascii="宋体" w:hAnsi="宋体" w:cs="宋体"/>
          <w:color w:val="auto"/>
          <w:sz w:val="24"/>
          <w:highlight w:val="none"/>
          <w:lang w:eastAsia="zh-CN"/>
        </w:rPr>
        <w:t>”“</w:t>
      </w:r>
      <w:r>
        <w:rPr>
          <w:rFonts w:hint="eastAsia" w:ascii="宋体" w:hAnsi="宋体" w:cs="宋体"/>
          <w:color w:val="auto"/>
          <w:sz w:val="24"/>
          <w:highlight w:val="none"/>
        </w:rPr>
        <w:t>以下</w:t>
      </w:r>
      <w:r>
        <w:rPr>
          <w:rFonts w:hint="eastAsia" w:ascii="宋体" w:hAnsi="宋体" w:cs="宋体"/>
          <w:color w:val="auto"/>
          <w:sz w:val="24"/>
          <w:highlight w:val="none"/>
          <w:lang w:eastAsia="zh-CN"/>
        </w:rPr>
        <w:t>”“</w:t>
      </w:r>
      <w:r>
        <w:rPr>
          <w:rFonts w:hint="eastAsia" w:ascii="宋体" w:hAnsi="宋体" w:cs="宋体"/>
          <w:color w:val="auto"/>
          <w:sz w:val="24"/>
          <w:highlight w:val="none"/>
        </w:rPr>
        <w:t>内</w:t>
      </w:r>
      <w:r>
        <w:rPr>
          <w:rFonts w:hint="eastAsia" w:ascii="宋体" w:hAnsi="宋体" w:cs="宋体"/>
          <w:color w:val="auto"/>
          <w:sz w:val="24"/>
          <w:highlight w:val="none"/>
          <w:lang w:eastAsia="zh-CN"/>
        </w:rPr>
        <w:t>”“</w:t>
      </w:r>
      <w:r>
        <w:rPr>
          <w:rFonts w:hint="eastAsia" w:ascii="宋体" w:hAnsi="宋体" w:cs="宋体"/>
          <w:color w:val="auto"/>
          <w:sz w:val="24"/>
          <w:highlight w:val="none"/>
        </w:rPr>
        <w:t>以内</w:t>
      </w:r>
      <w:r>
        <w:rPr>
          <w:rFonts w:hint="eastAsia" w:ascii="宋体" w:hAnsi="宋体" w:cs="宋体"/>
          <w:color w:val="auto"/>
          <w:sz w:val="24"/>
          <w:highlight w:val="none"/>
          <w:lang w:eastAsia="zh-CN"/>
        </w:rPr>
        <w:t>”“</w:t>
      </w:r>
      <w:r>
        <w:rPr>
          <w:rFonts w:hint="eastAsia" w:ascii="宋体" w:hAnsi="宋体" w:cs="宋体"/>
          <w:color w:val="auto"/>
          <w:sz w:val="24"/>
          <w:highlight w:val="none"/>
        </w:rPr>
        <w:t>不少于</w:t>
      </w:r>
      <w:r>
        <w:rPr>
          <w:rFonts w:hint="eastAsia" w:ascii="宋体" w:hAnsi="宋体" w:cs="宋体"/>
          <w:color w:val="auto"/>
          <w:sz w:val="24"/>
          <w:highlight w:val="none"/>
          <w:lang w:eastAsia="zh-CN"/>
        </w:rPr>
        <w:t>”“</w:t>
      </w:r>
      <w:r>
        <w:rPr>
          <w:rFonts w:hint="eastAsia" w:ascii="宋体" w:hAnsi="宋体" w:cs="宋体"/>
          <w:color w:val="auto"/>
          <w:sz w:val="24"/>
          <w:highlight w:val="none"/>
        </w:rPr>
        <w:t>不超过”，包括本数；所称的“不足</w:t>
      </w:r>
      <w:r>
        <w:rPr>
          <w:rFonts w:hint="eastAsia" w:ascii="宋体" w:hAnsi="宋体" w:cs="宋体"/>
          <w:color w:val="auto"/>
          <w:sz w:val="24"/>
          <w:highlight w:val="none"/>
          <w:lang w:eastAsia="zh-CN"/>
        </w:rPr>
        <w:t>”“</w:t>
      </w:r>
      <w:r>
        <w:rPr>
          <w:rFonts w:hint="eastAsia" w:ascii="宋体" w:hAnsi="宋体" w:cs="宋体"/>
          <w:color w:val="auto"/>
          <w:sz w:val="24"/>
          <w:highlight w:val="none"/>
        </w:rPr>
        <w:t>低于”，不包括本数。</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服务年限</w:t>
      </w:r>
    </w:p>
    <w:p>
      <w:pPr>
        <w:spacing w:line="360" w:lineRule="auto"/>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服务期为</w:t>
      </w:r>
      <w:r>
        <w:rPr>
          <w:rFonts w:hint="eastAsia" w:ascii="新宋体" w:hAnsi="新宋体" w:eastAsia="新宋体" w:cs="新宋体"/>
          <w:color w:val="auto"/>
          <w:sz w:val="24"/>
          <w:szCs w:val="24"/>
          <w:highlight w:val="none"/>
        </w:rPr>
        <w:t>36个月，合同一年一签。本项目预算金额为</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年服务期的预算价，年度预算金额为</w:t>
      </w:r>
      <w:r>
        <w:rPr>
          <w:rFonts w:hint="eastAsia" w:ascii="新宋体" w:hAnsi="新宋体" w:eastAsia="新宋体" w:cs="新宋体"/>
          <w:color w:val="auto"/>
          <w:sz w:val="24"/>
          <w:szCs w:val="24"/>
          <w:highlight w:val="none"/>
          <w:lang w:val="en-US" w:eastAsia="zh-CN"/>
        </w:rPr>
        <w:t>177</w:t>
      </w:r>
      <w:r>
        <w:rPr>
          <w:rFonts w:hint="eastAsia" w:ascii="新宋体" w:hAnsi="新宋体" w:eastAsia="新宋体" w:cs="新宋体"/>
          <w:color w:val="auto"/>
          <w:sz w:val="24"/>
          <w:szCs w:val="24"/>
          <w:highlight w:val="none"/>
        </w:rPr>
        <w:t>万元。</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具体服务内容和服务要求</w:t>
      </w:r>
      <w:r>
        <w:rPr>
          <w:rFonts w:hint="eastAsia" w:ascii="新宋体" w:hAnsi="新宋体" w:eastAsia="新宋体" w:cs="新宋体"/>
          <w:b/>
          <w:bCs/>
          <w:color w:val="auto"/>
          <w:sz w:val="24"/>
          <w:szCs w:val="24"/>
          <w:highlight w:val="none"/>
          <w:lang w:eastAsia="zh-CN"/>
        </w:rPr>
        <w:t>：</w:t>
      </w:r>
    </w:p>
    <w:p>
      <w:pPr>
        <w:widowControl/>
        <w:numPr>
          <w:ilvl w:val="0"/>
          <w:numId w:val="3"/>
        </w:numPr>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清洁保洁</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负责办公楼内楼梯、大厅、走廊、电梯间、卫生间、茶水间、公共活动场所和办公楼室外广场、道路、停车场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门前三包</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等公共区域的清卫保洁，以及垃圾、废弃物清理和消毒灭害等。</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2.服务基本要求：</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根据清洁区域的不同，对所使用的清洁工具，应标记不同标识或颜色加以区分。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遇雨、雪、台风等特殊天气时应及时清扫道路，并在通道、台阶、出入口处放置警示标志，铺设防滑垫。</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开展2米或2米以上高空清洁作业时，应采取安全防护措施。</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定期对公共场所和周围环境进行预防性卫生消杀，适时投放消杀药物和设施。</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定期采取综合措施消灭“四害”</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达到基本无鼠、无蟑螂、无苍蝇和无蚊虫。</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3.服务质量标准：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室内公共区域的地面、墙面、楼梯、扶手、大厅、玻</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璃、门及门窗框、天花板、栏杆、走廊等整洁干净，无垃圾、无积灰、无污渍、无手印。</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室内卫生间、茶水间清洁，无垃圾、无污渍、无积水、</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无异味、无堆积杂物，洁具、台面、镜面光洁无水迹，电器设施外观清洁，物品摆放有序。室内卫生间符合“美丽厕所”标准。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、屋面、“门前三包”等公共区域的地面干净，无杂物、无积水、无淤泥、无污垢。</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外墙应保持清洁，无明显污迹。</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定期对景观、照明灯设施设备进行清洁，确保表面干净无污渍。</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垃圾、废弃物按分类要求及时收集、日产日清，化粪</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池及时清掏，垃圾箱</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外侧表面清洁、内侧无残留物、无异味。</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7</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二</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安保消控管理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门卫管理、巡逻检查，处理治安及其他突发事件，维护公共秩序；负责内部机动车和非机动车停放管理；负责消控、监控设施设备运行管理等。</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1</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公共秩序维护</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严格出入登记制度，发现问题及时上报处理，杜绝闲杂人员进入办公楼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物品进出实施分类管理，实行物品进出审验制度，杜绝可疑危险品进入。</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对进出的各类机动车辆进行有序管理，设置行车指示标</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志，规定车辆行驶路线，引导车辆停放区域，车库内配置道闸和</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监视系统。非机动车统一停放在室外指定区域，设置集中充电桩。停车区域无易燃、易爆物品存放。</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明确巡视工作职责，对设备机房等重要区域、部位进行重点巡视并做好相关记录，及时发现和处理各种安全和事故隐患。</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2</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消控安全管理：</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配备完善的消防设施和器材，定期对消防设施进行巡查，确保运行正常。消防设施的维护管理及消防控制室应符合相关国标要求。</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应在各楼层明显位置张贴平面疏散示意图、引路标志及控烟标志。</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定期开展防火检查，保证疏散通道、安全出口、消防车道通畅。</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每年至少组织1次消防安全培训及消防演练。</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3</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突发事件处理</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建立突发</w:t>
      </w:r>
      <w:r>
        <w:rPr>
          <w:rFonts w:hint="eastAsia" w:ascii="新宋体" w:hAnsi="新宋体" w:eastAsia="新宋体" w:cs="新宋体"/>
          <w:color w:val="auto"/>
          <w:sz w:val="24"/>
          <w:szCs w:val="24"/>
          <w:highlight w:val="none"/>
          <w:lang w:eastAsia="zh-CN"/>
        </w:rPr>
        <w:t>事件</w:t>
      </w:r>
      <w:r>
        <w:rPr>
          <w:rFonts w:hint="eastAsia" w:ascii="新宋体" w:hAnsi="新宋体" w:eastAsia="新宋体" w:cs="新宋体"/>
          <w:color w:val="auto"/>
          <w:sz w:val="24"/>
          <w:szCs w:val="24"/>
          <w:highlight w:val="none"/>
        </w:rPr>
        <w:t>应急预案体系，包括但不限于电梯困人、紧急会议、火警火灾、突发停电、水管破裂、意外伤害、群体性上访、台风、暴雨及雷电等应急预案。</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每年至少组织1次突发事件应急演习。</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三</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绿化养护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树木、花草、绿地等绿化日常养护和管理，以及办公楼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门厅等公共区域花木</w:t>
      </w:r>
      <w:r>
        <w:rPr>
          <w:rFonts w:hint="eastAsia" w:ascii="新宋体" w:hAnsi="新宋体" w:eastAsia="新宋体" w:cs="新宋体"/>
          <w:color w:val="auto"/>
          <w:sz w:val="24"/>
          <w:szCs w:val="24"/>
          <w:highlight w:val="none"/>
          <w:lang w:eastAsia="zh-CN"/>
        </w:rPr>
        <w:t>租赁、</w:t>
      </w:r>
      <w:r>
        <w:rPr>
          <w:rFonts w:hint="eastAsia" w:ascii="新宋体" w:hAnsi="新宋体" w:eastAsia="新宋体" w:cs="新宋体"/>
          <w:color w:val="auto"/>
          <w:sz w:val="24"/>
          <w:szCs w:val="24"/>
          <w:highlight w:val="none"/>
        </w:rPr>
        <w:t>摆放、养护和管理等。</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室内外绿化养护期内各类绿植应100%存活。</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根据季节和气候状况，进行浇灌、施肥、修剪和松土等养护。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应选择观赏性强、观赏期长、方便管理的鲜活植物摆</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放室内，植株长势良好，无残枝、无黄叶、无积尘，花朵饱满、无萎蔫，托盘内无积水。</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室外乔木丰满健壮、生长良好，灌木枝叶紧密圆整，</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无脱节、无枯枝。草坪生长整齐，清洁美观，修剪高度一致，覆盖率高。花卉色彩鲜艳，摆放造型新颖，无杂草、无枯死。</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雨、雪、台风等特殊天气前，应派专人巡查，及时加固、支撑、修剪高大乔木，排除安全隐患。</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val="en-US" w:eastAsia="zh-CN"/>
        </w:rPr>
        <w:t>3.</w:t>
      </w:r>
      <w:r>
        <w:rPr>
          <w:rFonts w:hint="eastAsia" w:ascii="新宋体" w:hAnsi="新宋体" w:eastAsia="新宋体" w:cs="新宋体"/>
          <w:b/>
          <w:bCs/>
          <w:color w:val="auto"/>
          <w:sz w:val="24"/>
          <w:szCs w:val="24"/>
          <w:highlight w:val="none"/>
          <w:lang w:eastAsia="zh-CN"/>
        </w:rPr>
        <w:t>绿植租赁</w:t>
      </w:r>
      <w:r>
        <w:rPr>
          <w:rFonts w:hint="eastAsia" w:ascii="新宋体" w:hAnsi="新宋体" w:eastAsia="新宋体" w:cs="新宋体"/>
          <w:b/>
          <w:bCs/>
          <w:color w:val="auto"/>
          <w:sz w:val="24"/>
          <w:szCs w:val="24"/>
          <w:highlight w:val="none"/>
        </w:rPr>
        <w:t>清单（租赁费用包含在本次投标报价中）</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szCs w:val="24"/>
          <w:highlight w:val="none"/>
        </w:rPr>
      </w:pPr>
    </w:p>
    <w:tbl>
      <w:tblPr>
        <w:tblStyle w:val="62"/>
        <w:tblW w:w="78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2331"/>
        <w:gridCol w:w="1538"/>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楼层</w:t>
            </w:r>
          </w:p>
        </w:tc>
        <w:tc>
          <w:tcPr>
            <w:tcW w:w="1080"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区域</w:t>
            </w:r>
          </w:p>
        </w:tc>
        <w:tc>
          <w:tcPr>
            <w:tcW w:w="1080"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品种</w:t>
            </w:r>
          </w:p>
        </w:tc>
        <w:tc>
          <w:tcPr>
            <w:tcW w:w="2331"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规格</w:t>
            </w:r>
          </w:p>
        </w:tc>
        <w:tc>
          <w:tcPr>
            <w:tcW w:w="1538"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型号</w:t>
            </w:r>
          </w:p>
        </w:tc>
        <w:tc>
          <w:tcPr>
            <w:tcW w:w="778"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北楼</w:t>
            </w:r>
          </w:p>
        </w:tc>
        <w:tc>
          <w:tcPr>
            <w:tcW w:w="1080" w:type="dxa"/>
            <w:vMerge w:val="restart"/>
            <w:tcBorders>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1楼大厅</w:t>
            </w: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竹柏</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高60CM、冠径30CM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凤梨</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高120CM、冠径120CM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水培绿萝</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高200CM、冠径200CM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滴水观音</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2-6楼办公室</w:t>
            </w: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夏威夷</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高250CM、冠径210CM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酒瓶兰</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高120CM、冠径80CM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大中型绿色植物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高120CM、冠径120CM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跳舞兰</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海宇</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高200CM、冠径200CM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滴水观音</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龙血树</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高120CM、冠径100CM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公共通道</w:t>
            </w: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变叶木</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高45CM、冠径45CM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酒瓶兰</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高40CM、冠径40CM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跳舞兰</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海宇</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袖珍椰子</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龙血树</w:t>
            </w:r>
          </w:p>
        </w:tc>
        <w:tc>
          <w:tcPr>
            <w:tcW w:w="2331"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7109" w:type="dxa"/>
            <w:gridSpan w:val="5"/>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本页小计</w:t>
            </w:r>
          </w:p>
        </w:tc>
        <w:tc>
          <w:tcPr>
            <w:tcW w:w="77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7109" w:type="dxa"/>
            <w:gridSpan w:val="5"/>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77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Align w:val="center"/>
          </w:tcPr>
          <w:p>
            <w:pPr>
              <w:jc w:val="both"/>
              <w:rPr>
                <w:rFonts w:hint="eastAsia" w:ascii="宋体" w:hAnsi="宋体" w:eastAsia="宋体" w:cs="宋体"/>
                <w:i w:val="0"/>
                <w:color w:val="auto"/>
                <w:sz w:val="24"/>
                <w:szCs w:val="24"/>
                <w:highlight w:val="none"/>
                <w:u w:val="none"/>
              </w:rPr>
            </w:pPr>
          </w:p>
        </w:tc>
        <w:tc>
          <w:tcPr>
            <w:tcW w:w="1080" w:type="dxa"/>
            <w:vAlign w:val="center"/>
          </w:tcPr>
          <w:p>
            <w:pPr>
              <w:jc w:val="both"/>
              <w:rPr>
                <w:rFonts w:hint="eastAsia" w:ascii="宋体" w:hAnsi="宋体" w:eastAsia="宋体" w:cs="宋体"/>
                <w:i w:val="0"/>
                <w:color w:val="auto"/>
                <w:sz w:val="24"/>
                <w:szCs w:val="24"/>
                <w:highlight w:val="none"/>
                <w:u w:val="none"/>
              </w:rPr>
            </w:pPr>
          </w:p>
        </w:tc>
        <w:tc>
          <w:tcPr>
            <w:tcW w:w="1080" w:type="dxa"/>
            <w:vAlign w:val="center"/>
          </w:tcPr>
          <w:p>
            <w:pPr>
              <w:jc w:val="center"/>
              <w:rPr>
                <w:rFonts w:hint="eastAsia" w:ascii="宋体" w:hAnsi="宋体" w:eastAsia="宋体" w:cs="宋体"/>
                <w:i w:val="0"/>
                <w:color w:val="auto"/>
                <w:sz w:val="24"/>
                <w:szCs w:val="24"/>
                <w:highlight w:val="none"/>
                <w:u w:val="none"/>
              </w:rPr>
            </w:pPr>
          </w:p>
        </w:tc>
        <w:tc>
          <w:tcPr>
            <w:tcW w:w="2331" w:type="dxa"/>
            <w:vAlign w:val="center"/>
          </w:tcPr>
          <w:p>
            <w:pPr>
              <w:jc w:val="center"/>
              <w:rPr>
                <w:rFonts w:hint="eastAsia" w:ascii="宋体" w:hAnsi="宋体" w:eastAsia="宋体" w:cs="宋体"/>
                <w:i w:val="0"/>
                <w:color w:val="auto"/>
                <w:sz w:val="24"/>
                <w:szCs w:val="24"/>
                <w:highlight w:val="none"/>
                <w:u w:val="none"/>
              </w:rPr>
            </w:pPr>
          </w:p>
        </w:tc>
        <w:tc>
          <w:tcPr>
            <w:tcW w:w="1538" w:type="dxa"/>
            <w:vAlign w:val="center"/>
          </w:tcPr>
          <w:p>
            <w:pPr>
              <w:jc w:val="center"/>
              <w:rPr>
                <w:rFonts w:hint="eastAsia" w:ascii="宋体" w:hAnsi="宋体" w:eastAsia="宋体" w:cs="宋体"/>
                <w:i w:val="0"/>
                <w:color w:val="auto"/>
                <w:sz w:val="24"/>
                <w:szCs w:val="24"/>
                <w:highlight w:val="none"/>
                <w:u w:val="none"/>
              </w:rPr>
            </w:pPr>
          </w:p>
        </w:tc>
        <w:tc>
          <w:tcPr>
            <w:tcW w:w="778" w:type="dxa"/>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楼层</w:t>
            </w:r>
          </w:p>
        </w:tc>
        <w:tc>
          <w:tcPr>
            <w:tcW w:w="1080"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区域</w:t>
            </w:r>
          </w:p>
        </w:tc>
        <w:tc>
          <w:tcPr>
            <w:tcW w:w="1080" w:type="dxa"/>
            <w:tcBorders>
              <w:top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品种</w:t>
            </w:r>
          </w:p>
        </w:tc>
        <w:tc>
          <w:tcPr>
            <w:tcW w:w="2331" w:type="dxa"/>
            <w:tcBorders>
              <w:top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规格</w:t>
            </w:r>
          </w:p>
        </w:tc>
        <w:tc>
          <w:tcPr>
            <w:tcW w:w="1538" w:type="dxa"/>
            <w:tcBorders>
              <w:top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型号</w:t>
            </w:r>
          </w:p>
        </w:tc>
        <w:tc>
          <w:tcPr>
            <w:tcW w:w="778"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南楼</w:t>
            </w:r>
          </w:p>
        </w:tc>
        <w:tc>
          <w:tcPr>
            <w:tcW w:w="1080" w:type="dxa"/>
            <w:vMerge w:val="restart"/>
            <w:tcBorders>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1楼大厅</w:t>
            </w: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竹柏</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凤梨</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高120CM、冠径120CM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水培绿萝</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高200CM、冠径200CM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滴水观音</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跳舞兰</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2-5楼办公室</w:t>
            </w: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竹柏</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凤梨</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高120CM、冠径120CM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水培绿萝</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高200CM、冠径200CM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滴水观音</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跳舞兰</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公共通道</w:t>
            </w: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变叶木</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高45CM、冠径45CM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酒瓶兰</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高40CM、冠径40CM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非洲茉莉</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跳舞兰</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海宇</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发财树</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袖珍椰子</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龙血树</w:t>
            </w:r>
          </w:p>
        </w:tc>
        <w:tc>
          <w:tcPr>
            <w:tcW w:w="2331"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高45CM、冠径40CM</w:t>
            </w:r>
          </w:p>
        </w:tc>
        <w:tc>
          <w:tcPr>
            <w:tcW w:w="1538" w:type="dxa"/>
            <w:tcBorders>
              <w:bottom w:val="single" w:color="000000" w:sz="4" w:space="0"/>
              <w:right w:val="single" w:color="000000" w:sz="4" w:space="0"/>
            </w:tcBorders>
            <w:vAlign w:val="center"/>
          </w:tcPr>
          <w:p>
            <w:pPr>
              <w:widowControl/>
              <w:wordWrap/>
              <w:adjustRightInd w:val="0"/>
              <w:snapToGrid/>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小型绿色植物</w:t>
            </w:r>
          </w:p>
        </w:tc>
        <w:tc>
          <w:tcPr>
            <w:tcW w:w="778" w:type="dxa"/>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7109" w:type="dxa"/>
            <w:gridSpan w:val="5"/>
            <w:vMerge w:val="restart"/>
            <w:tcBorders>
              <w:left w:val="single" w:color="000000" w:sz="4" w:space="0"/>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本页小计</w:t>
            </w:r>
          </w:p>
        </w:tc>
        <w:tc>
          <w:tcPr>
            <w:tcW w:w="778" w:type="dxa"/>
            <w:vMerge w:val="restart"/>
            <w:tcBorders>
              <w:bottom w:val="single" w:color="000000" w:sz="4" w:space="0"/>
              <w:right w:val="single" w:color="000000" w:sz="4" w:space="0"/>
            </w:tcBorders>
            <w:vAlign w:val="center"/>
          </w:tcPr>
          <w:p>
            <w:pPr>
              <w:widowControl/>
              <w:wordWrap/>
              <w:adjustRightInd w:val="0"/>
              <w:snapToGrid/>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109" w:type="dxa"/>
            <w:gridSpan w:val="5"/>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77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bl>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四</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工程设备维护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给排水系统、供配电系统、空调通风系统、智能弱电系统、消防监控系统、电梯等设施设备的日常维修、维护、保养，做好办公房屋的日常维护。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至少每2小时巡视一次高配房设备运行情况，如实记</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录设备运行参数。定期对各类机房设备设施进行检查、维护、清洁，并做好记录。</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定期对水泵、管道进行养护，每年至少两次对水箱进行全面清洗，并提供水质检测报告。</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由专业人员定期对监控系统、门禁系统、多媒体系统、</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会议系统等智能弱电设备进行巡查，定期清理设备机柜、控制箱、交换机等外表吸附的灰尘和絮状物。</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7</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应急维修应及时记录。每年经有资质的检测机构检验合格，在《安全使用许可证》有效期内安全运行。</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8</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9</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w:t>
      </w:r>
      <w:r>
        <w:rPr>
          <w:rFonts w:hint="eastAsia" w:ascii="新宋体" w:hAnsi="新宋体" w:eastAsia="新宋体" w:cs="新宋体"/>
          <w:color w:val="auto"/>
          <w:sz w:val="24"/>
          <w:szCs w:val="24"/>
          <w:highlight w:val="none"/>
          <w:lang w:eastAsia="zh-CN"/>
        </w:rPr>
        <w:t>杭州市余杭区机关事务服务中心</w:t>
      </w:r>
      <w:r>
        <w:rPr>
          <w:rFonts w:hint="eastAsia" w:ascii="新宋体" w:hAnsi="新宋体" w:eastAsia="新宋体" w:cs="新宋体"/>
          <w:color w:val="auto"/>
          <w:sz w:val="24"/>
          <w:szCs w:val="24"/>
          <w:highlight w:val="none"/>
        </w:rPr>
        <w:t>调系统正常运行。每年冬夏两次对空调通风系统进行全面的维护保养。</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确保办公楼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（五）会务服务</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b/>
          <w:bCs/>
          <w:color w:val="auto"/>
          <w:sz w:val="24"/>
          <w:szCs w:val="24"/>
          <w:highlight w:val="none"/>
          <w:lang w:eastAsia="zh-CN"/>
        </w:rPr>
        <w:t>按照</w:t>
      </w:r>
      <w:r>
        <w:rPr>
          <w:rFonts w:hint="eastAsia" w:ascii="新宋体" w:hAnsi="新宋体" w:eastAsia="新宋体" w:cs="新宋体"/>
          <w:i w:val="0"/>
          <w:caps w:val="0"/>
          <w:color w:val="auto"/>
          <w:spacing w:val="0"/>
          <w:sz w:val="24"/>
          <w:szCs w:val="24"/>
          <w:highlight w:val="none"/>
          <w:shd w:val="clear" w:color="auto" w:fill="FFFFFF"/>
        </w:rPr>
        <w:t>会务服务标准及流程</w:t>
      </w:r>
      <w:r>
        <w:rPr>
          <w:rFonts w:hint="eastAsia" w:ascii="新宋体" w:hAnsi="新宋体" w:eastAsia="新宋体" w:cs="新宋体"/>
          <w:i w:val="0"/>
          <w:caps w:val="0"/>
          <w:color w:val="auto"/>
          <w:spacing w:val="0"/>
          <w:sz w:val="24"/>
          <w:szCs w:val="24"/>
          <w:highlight w:val="none"/>
          <w:shd w:val="clear" w:color="auto" w:fill="FFFFFF"/>
          <w:lang w:eastAsia="zh-CN"/>
        </w:rPr>
        <w:t>，做好</w:t>
      </w:r>
      <w:r>
        <w:rPr>
          <w:rFonts w:hint="eastAsia" w:ascii="新宋体" w:hAnsi="新宋体" w:eastAsia="新宋体" w:cs="新宋体"/>
          <w:i w:val="0"/>
          <w:caps w:val="0"/>
          <w:color w:val="auto"/>
          <w:spacing w:val="0"/>
          <w:sz w:val="24"/>
          <w:szCs w:val="24"/>
          <w:highlight w:val="none"/>
          <w:shd w:val="clear" w:color="auto" w:fill="FFFFFF"/>
        </w:rPr>
        <w:t>会前服务准备</w:t>
      </w:r>
      <w:r>
        <w:rPr>
          <w:rFonts w:hint="eastAsia" w:ascii="新宋体" w:hAnsi="新宋体" w:eastAsia="新宋体" w:cs="新宋体"/>
          <w:i w:val="0"/>
          <w:caps w:val="0"/>
          <w:color w:val="auto"/>
          <w:spacing w:val="0"/>
          <w:sz w:val="24"/>
          <w:szCs w:val="24"/>
          <w:highlight w:val="none"/>
          <w:shd w:val="clear" w:color="auto" w:fill="FFFFFF"/>
          <w:lang w:eastAsia="zh-CN"/>
        </w:rPr>
        <w:t>、</w:t>
      </w:r>
      <w:r>
        <w:rPr>
          <w:rFonts w:hint="eastAsia" w:ascii="新宋体" w:hAnsi="新宋体" w:eastAsia="新宋体" w:cs="新宋体"/>
          <w:i w:val="0"/>
          <w:caps w:val="0"/>
          <w:color w:val="auto"/>
          <w:spacing w:val="0"/>
          <w:sz w:val="24"/>
          <w:szCs w:val="24"/>
          <w:highlight w:val="none"/>
          <w:shd w:val="clear" w:color="auto" w:fill="FFFFFF"/>
        </w:rPr>
        <w:t>会议期间服务</w:t>
      </w:r>
      <w:r>
        <w:rPr>
          <w:rFonts w:hint="eastAsia" w:ascii="新宋体" w:hAnsi="新宋体" w:eastAsia="新宋体" w:cs="新宋体"/>
          <w:i w:val="0"/>
          <w:caps w:val="0"/>
          <w:color w:val="auto"/>
          <w:spacing w:val="0"/>
          <w:sz w:val="24"/>
          <w:szCs w:val="24"/>
          <w:highlight w:val="none"/>
          <w:shd w:val="clear" w:color="auto" w:fill="FFFFFF"/>
          <w:lang w:eastAsia="zh-CN"/>
        </w:rPr>
        <w:t>以及</w:t>
      </w:r>
      <w:r>
        <w:rPr>
          <w:rFonts w:hint="eastAsia" w:ascii="新宋体" w:hAnsi="新宋体" w:eastAsia="新宋体" w:cs="新宋体"/>
          <w:i w:val="0"/>
          <w:caps w:val="0"/>
          <w:color w:val="auto"/>
          <w:spacing w:val="0"/>
          <w:sz w:val="24"/>
          <w:szCs w:val="24"/>
          <w:highlight w:val="none"/>
          <w:shd w:val="clear" w:color="auto" w:fill="FFFFFF"/>
        </w:rPr>
        <w:t>会后服务。</w:t>
      </w:r>
      <w:r>
        <w:rPr>
          <w:rFonts w:hint="eastAsia" w:ascii="新宋体" w:hAnsi="新宋体" w:eastAsia="新宋体" w:cs="新宋体"/>
          <w:i w:val="0"/>
          <w:caps w:val="0"/>
          <w:color w:val="auto"/>
          <w:spacing w:val="0"/>
          <w:sz w:val="24"/>
          <w:szCs w:val="24"/>
          <w:highlight w:val="none"/>
          <w:shd w:val="clear" w:color="auto" w:fill="FFFFFF"/>
        </w:rPr>
        <w:br w:type="textWrapping"/>
      </w: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i w:val="0"/>
          <w:caps w:val="0"/>
          <w:color w:val="auto"/>
          <w:spacing w:val="0"/>
          <w:sz w:val="24"/>
          <w:szCs w:val="24"/>
          <w:highlight w:val="none"/>
          <w:shd w:val="clear" w:color="auto" w:fill="auto"/>
          <w:lang w:eastAsia="zh-CN"/>
        </w:rPr>
        <w:t>根据</w:t>
      </w:r>
      <w:r>
        <w:rPr>
          <w:rFonts w:hint="eastAsia" w:ascii="新宋体" w:hAnsi="新宋体" w:eastAsia="新宋体" w:cs="新宋体"/>
          <w:i w:val="0"/>
          <w:caps w:val="0"/>
          <w:color w:val="auto"/>
          <w:spacing w:val="0"/>
          <w:sz w:val="24"/>
          <w:szCs w:val="24"/>
          <w:highlight w:val="none"/>
          <w:shd w:val="clear" w:color="auto" w:fill="auto"/>
        </w:rPr>
        <w:t>会议安排</w:t>
      </w:r>
      <w:r>
        <w:rPr>
          <w:rFonts w:hint="eastAsia" w:ascii="新宋体" w:hAnsi="新宋体" w:eastAsia="新宋体" w:cs="新宋体"/>
          <w:i w:val="0"/>
          <w:caps w:val="0"/>
          <w:color w:val="auto"/>
          <w:spacing w:val="0"/>
          <w:sz w:val="24"/>
          <w:szCs w:val="24"/>
          <w:highlight w:val="none"/>
          <w:shd w:val="clear" w:color="auto" w:fill="auto"/>
          <w:lang w:eastAsia="zh-CN"/>
        </w:rPr>
        <w:t>及采购人要求，确定台形，做好会议物品摆放、设备调试、会议资料发放等会前服务准备工作。</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i w:val="0"/>
          <w:caps w:val="0"/>
          <w:color w:val="auto"/>
          <w:spacing w:val="0"/>
          <w:sz w:val="24"/>
          <w:szCs w:val="24"/>
          <w:highlight w:val="none"/>
          <w:shd w:val="clear" w:color="auto" w:fill="auto"/>
          <w:lang w:eastAsia="zh-CN"/>
        </w:rPr>
        <w:t>会议期间定时倒水，根据需要为与会人员提供服务，会议</w:t>
      </w:r>
      <w:r>
        <w:rPr>
          <w:rFonts w:hint="eastAsia" w:ascii="新宋体" w:hAnsi="新宋体" w:eastAsia="新宋体" w:cs="新宋体"/>
          <w:i w:val="0"/>
          <w:caps w:val="0"/>
          <w:color w:val="auto"/>
          <w:spacing w:val="0"/>
          <w:sz w:val="24"/>
          <w:szCs w:val="24"/>
          <w:highlight w:val="none"/>
          <w:shd w:val="clear" w:color="auto" w:fill="auto"/>
        </w:rPr>
        <w:t>设备</w:t>
      </w:r>
      <w:r>
        <w:rPr>
          <w:rFonts w:hint="eastAsia" w:ascii="新宋体" w:hAnsi="新宋体" w:eastAsia="新宋体" w:cs="新宋体"/>
          <w:i w:val="0"/>
          <w:caps w:val="0"/>
          <w:color w:val="auto"/>
          <w:spacing w:val="0"/>
          <w:sz w:val="24"/>
          <w:szCs w:val="24"/>
          <w:highlight w:val="none"/>
          <w:shd w:val="clear" w:color="auto" w:fill="auto"/>
          <w:lang w:eastAsia="zh-CN"/>
        </w:rPr>
        <w:t>如</w:t>
      </w:r>
      <w:r>
        <w:rPr>
          <w:rFonts w:hint="eastAsia" w:ascii="新宋体" w:hAnsi="新宋体" w:eastAsia="新宋体" w:cs="新宋体"/>
          <w:i w:val="0"/>
          <w:caps w:val="0"/>
          <w:color w:val="auto"/>
          <w:spacing w:val="0"/>
          <w:sz w:val="24"/>
          <w:szCs w:val="24"/>
          <w:highlight w:val="none"/>
          <w:shd w:val="clear" w:color="auto" w:fill="auto"/>
        </w:rPr>
        <w:t>出现问题及时</w:t>
      </w:r>
      <w:r>
        <w:rPr>
          <w:rFonts w:hint="eastAsia" w:ascii="新宋体" w:hAnsi="新宋体" w:eastAsia="新宋体" w:cs="新宋体"/>
          <w:i w:val="0"/>
          <w:caps w:val="0"/>
          <w:color w:val="auto"/>
          <w:spacing w:val="0"/>
          <w:sz w:val="24"/>
          <w:szCs w:val="24"/>
          <w:highlight w:val="none"/>
          <w:shd w:val="clear" w:color="auto" w:fill="auto"/>
          <w:lang w:eastAsia="zh-CN"/>
        </w:rPr>
        <w:t>协调</w:t>
      </w:r>
      <w:r>
        <w:rPr>
          <w:rFonts w:hint="eastAsia" w:ascii="新宋体" w:hAnsi="新宋体" w:eastAsia="新宋体" w:cs="新宋体"/>
          <w:i w:val="0"/>
          <w:caps w:val="0"/>
          <w:color w:val="auto"/>
          <w:spacing w:val="0"/>
          <w:sz w:val="24"/>
          <w:szCs w:val="24"/>
          <w:highlight w:val="none"/>
          <w:shd w:val="clear" w:color="auto" w:fill="auto"/>
        </w:rPr>
        <w:t>处理。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i w:val="0"/>
          <w:caps w:val="0"/>
          <w:color w:val="auto"/>
          <w:spacing w:val="0"/>
          <w:sz w:val="24"/>
          <w:szCs w:val="24"/>
          <w:highlight w:val="none"/>
          <w:shd w:val="clear" w:color="auto" w:fill="auto"/>
          <w:lang w:eastAsia="zh-CN"/>
        </w:rPr>
        <w:t>会议结束后做好会议物品整理，茶具清洗、消毒，会议场地清扫，设施设备清点、检查、记录等会后服务。</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i w:val="0"/>
          <w:caps w:val="0"/>
          <w:color w:val="auto"/>
          <w:spacing w:val="0"/>
          <w:sz w:val="24"/>
          <w:szCs w:val="24"/>
          <w:highlight w:val="none"/>
          <w:shd w:val="clear" w:color="auto" w:fill="auto"/>
          <w:lang w:eastAsia="zh-CN"/>
        </w:rPr>
        <w:t>对会议服务期间接触的会议信息、会议资料应严格保密。</w:t>
      </w:r>
      <w:r>
        <w:rPr>
          <w:rFonts w:hint="eastAsia" w:ascii="新宋体" w:hAnsi="新宋体" w:eastAsia="新宋体" w:cs="新宋体"/>
          <w:i w:val="0"/>
          <w:caps w:val="0"/>
          <w:color w:val="auto"/>
          <w:spacing w:val="0"/>
          <w:sz w:val="24"/>
          <w:szCs w:val="24"/>
          <w:highlight w:val="none"/>
          <w:shd w:val="clear" w:color="auto" w:fill="FFFFFF"/>
        </w:rPr>
        <w:br w:type="textWrapping"/>
      </w:r>
      <w:r>
        <w:rPr>
          <w:rFonts w:hint="eastAsia" w:ascii="新宋体" w:hAnsi="新宋体" w:eastAsia="新宋体" w:cs="新宋体"/>
          <w:color w:val="auto"/>
          <w:sz w:val="24"/>
          <w:szCs w:val="24"/>
          <w:highlight w:val="none"/>
          <w:lang w:eastAsia="zh-CN"/>
        </w:rPr>
        <w:t>（六）</w:t>
      </w:r>
      <w:r>
        <w:rPr>
          <w:rFonts w:hint="eastAsia" w:ascii="新宋体" w:hAnsi="新宋体" w:eastAsia="新宋体" w:cs="新宋体"/>
          <w:b/>
          <w:bCs/>
          <w:color w:val="auto"/>
          <w:sz w:val="24"/>
          <w:szCs w:val="24"/>
          <w:highlight w:val="none"/>
          <w:lang w:eastAsia="zh-CN"/>
        </w:rPr>
        <w:t>采购单位交办的其他工作</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人员配置要求</w:t>
      </w:r>
    </w:p>
    <w:p>
      <w:pPr>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（一）总体要求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▲岗位总人数不得低于2</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人，包括：项目经理1人，保洁主管1人，保洁员</w:t>
      </w: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人,保安主管1人，保安员</w:t>
      </w:r>
      <w:r>
        <w:rPr>
          <w:rFonts w:hint="eastAsia" w:ascii="新宋体" w:hAnsi="新宋体" w:eastAsia="新宋体" w:cs="新宋体"/>
          <w:color w:val="auto"/>
          <w:sz w:val="24"/>
          <w:highlight w:val="none"/>
          <w:lang w:val="en-US" w:eastAsia="zh-CN"/>
        </w:rPr>
        <w:t>6</w:t>
      </w:r>
      <w:r>
        <w:rPr>
          <w:rFonts w:hint="eastAsia" w:ascii="新宋体" w:hAnsi="新宋体" w:eastAsia="新宋体" w:cs="新宋体"/>
          <w:color w:val="auto"/>
          <w:sz w:val="24"/>
          <w:highlight w:val="none"/>
        </w:rPr>
        <w:t>人，</w:t>
      </w:r>
      <w:r>
        <w:rPr>
          <w:rFonts w:hint="eastAsia" w:ascii="新宋体" w:hAnsi="新宋体" w:eastAsia="新宋体" w:cs="新宋体"/>
          <w:color w:val="auto"/>
          <w:sz w:val="24"/>
          <w:highlight w:val="none"/>
          <w:lang w:val="en-US" w:eastAsia="zh-CN"/>
        </w:rPr>
        <w:t>消控员3人，</w:t>
      </w:r>
      <w:r>
        <w:rPr>
          <w:rFonts w:hint="eastAsia" w:ascii="新宋体" w:hAnsi="新宋体" w:eastAsia="新宋体" w:cs="新宋体"/>
          <w:color w:val="auto"/>
          <w:sz w:val="24"/>
          <w:highlight w:val="none"/>
        </w:rPr>
        <w:t>绿化工1人,工程维修</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人，会务</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人。</w:t>
      </w:r>
    </w:p>
    <w:p>
      <w:pPr>
        <w:numPr>
          <w:ilvl w:val="0"/>
          <w:numId w:val="7"/>
        </w:numPr>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▲法律法规和政策文件要求必须持证上岗的岗位，所派人员必须满足相关规定，持证上岗。</w:t>
      </w:r>
    </w:p>
    <w:p>
      <w:pPr>
        <w:numPr>
          <w:ilvl w:val="0"/>
          <w:numId w:val="7"/>
        </w:numPr>
        <w:spacing w:before="63" w:line="188" w:lineRule="auto"/>
        <w:outlineLvl w:val="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所有人员要求政治上可靠，无违法犯罪记录，身体健康，</w:t>
      </w:r>
      <w:r>
        <w:rPr>
          <w:rFonts w:hint="eastAsia"/>
          <w:color w:val="auto"/>
          <w:highlight w:val="none"/>
          <w:lang w:val="en-US" w:eastAsia="zh-CN"/>
        </w:rPr>
        <w:t>会普通话，</w:t>
      </w:r>
      <w:r>
        <w:rPr>
          <w:rFonts w:hint="eastAsia" w:ascii="新宋体" w:hAnsi="新宋体" w:eastAsia="新宋体" w:cs="新宋体"/>
          <w:color w:val="auto"/>
          <w:sz w:val="24"/>
          <w:highlight w:val="none"/>
        </w:rPr>
        <w:t>工作负责，吃苦耐劳。管理层人员应具有较强的组织领导能力和协调能力。</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管理服务人员应按规定统一着装，工作服样式要求能体现岗位特色和方便不同岗位作业。知晓本岗位服务礼仪，遵守《物业管理服务人员行为规范》要求。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人应按招标要求，配备充足、能胜任各岗位的相关管理和服务人员，并保持人员稳定。遇调动或辞职等特殊情况确需更换人员的，项目经理至少提前20天、其他人员至少提前7天告知采购人并征得采购人到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spacing w:line="360" w:lineRule="auto"/>
        <w:ind w:left="4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（二）管理层人员要求</w:t>
      </w:r>
    </w:p>
    <w:p>
      <w:pPr>
        <w:numPr>
          <w:ilvl w:val="0"/>
          <w:numId w:val="8"/>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项目经理：年龄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周岁以下；大学本科以上学历；具有类似物业项目经理工作经验；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保洁主管：年龄50周岁以下；大专以上学历；具有类似物业保洁主管工作经验；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保安主管：年龄50周岁以下；大专以上学历；具有类似物业保安主管工作经验；</w:t>
      </w:r>
      <w:r>
        <w:rPr>
          <w:rFonts w:hint="eastAsia" w:ascii="宋体" w:hAnsi="宋体" w:cs="宋体"/>
          <w:color w:val="auto"/>
          <w:sz w:val="24"/>
          <w:highlight w:val="none"/>
        </w:rPr>
        <w:t>持证上岗</w:t>
      </w:r>
      <w:r>
        <w:rPr>
          <w:rFonts w:hint="eastAsia" w:ascii="新宋体" w:hAnsi="新宋体" w:eastAsia="新宋体" w:cs="新宋体"/>
          <w:color w:val="auto"/>
          <w:sz w:val="24"/>
          <w:highlight w:val="none"/>
        </w:rPr>
        <w:t>；</w:t>
      </w:r>
    </w:p>
    <w:p>
      <w:pPr>
        <w:spacing w:line="360" w:lineRule="auto"/>
        <w:ind w:firstLine="467" w:firstLineChars="194"/>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（三）其他服务人员要求</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保洁员：年龄55周岁以下；具有类似物业保洁工作经验；</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保安员：年龄55周岁以下；具有</w:t>
      </w:r>
      <w:r>
        <w:rPr>
          <w:rFonts w:hint="eastAsia" w:ascii="新宋体" w:hAnsi="新宋体" w:eastAsia="新宋体" w:cs="新宋体"/>
          <w:color w:val="auto"/>
          <w:sz w:val="24"/>
          <w:highlight w:val="none"/>
          <w:lang w:val="en-US" w:eastAsia="zh-CN"/>
        </w:rPr>
        <w:t>相关安保</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员：年龄55周岁以下；具有</w:t>
      </w:r>
      <w:r>
        <w:rPr>
          <w:rFonts w:hint="eastAsia" w:ascii="新宋体" w:hAnsi="新宋体" w:eastAsia="新宋体" w:cs="新宋体"/>
          <w:color w:val="auto"/>
          <w:sz w:val="24"/>
          <w:highlight w:val="none"/>
          <w:lang w:val="en-US" w:eastAsia="zh-CN"/>
        </w:rPr>
        <w:t>相关消控</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spacing w:line="360" w:lineRule="auto"/>
        <w:rPr>
          <w:rFonts w:ascii="宋体" w:hAnsi="宋体" w:cs="宋体"/>
          <w:color w:val="auto"/>
          <w:sz w:val="24"/>
          <w:highlight w:val="none"/>
        </w:rPr>
      </w:pPr>
      <w:r>
        <w:rPr>
          <w:rFonts w:hint="eastAsia" w:ascii="新宋体" w:hAnsi="新宋体" w:eastAsia="新宋体" w:cs="新宋体"/>
          <w:bCs/>
          <w:color w:val="auto"/>
          <w:sz w:val="24"/>
          <w:highlight w:val="none"/>
        </w:rPr>
        <w:t>绿化工：</w:t>
      </w:r>
      <w:r>
        <w:rPr>
          <w:rFonts w:hint="eastAsia" w:ascii="新宋体" w:hAnsi="新宋体" w:eastAsia="新宋体" w:cs="新宋体"/>
          <w:color w:val="auto"/>
          <w:sz w:val="24"/>
          <w:highlight w:val="none"/>
        </w:rPr>
        <w:t>年龄55周岁以下；具有绿化相关工作经验；</w:t>
      </w:r>
    </w:p>
    <w:p>
      <w:pPr>
        <w:numPr>
          <w:ilvl w:val="0"/>
          <w:numId w:val="9"/>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工程维修人员：年龄55周岁以下；</w:t>
      </w:r>
      <w:r>
        <w:rPr>
          <w:rFonts w:hint="eastAsia" w:ascii="新宋体" w:hAnsi="新宋体" w:eastAsia="新宋体" w:cs="新宋体"/>
          <w:color w:val="auto"/>
          <w:sz w:val="24"/>
          <w:highlight w:val="none"/>
          <w:lang w:val="en-US" w:eastAsia="zh-CN"/>
        </w:rPr>
        <w:t>高中</w:t>
      </w:r>
      <w:r>
        <w:rPr>
          <w:rFonts w:hint="eastAsia" w:ascii="新宋体" w:hAnsi="新宋体" w:eastAsia="新宋体" w:cs="新宋体"/>
          <w:color w:val="auto"/>
          <w:sz w:val="24"/>
          <w:highlight w:val="none"/>
        </w:rPr>
        <w:t>以上学历；具有工程维护相关工作经验；</w:t>
      </w:r>
      <w:r>
        <w:rPr>
          <w:rFonts w:hint="eastAsia" w:ascii="宋体" w:hAnsi="宋体" w:cs="宋体"/>
          <w:color w:val="auto"/>
          <w:sz w:val="24"/>
          <w:highlight w:val="none"/>
        </w:rPr>
        <w:t>具有相关专业上岗证；</w:t>
      </w:r>
    </w:p>
    <w:p>
      <w:pPr>
        <w:numPr>
          <w:ilvl w:val="0"/>
          <w:numId w:val="9"/>
        </w:num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会务：年龄4</w:t>
      </w: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周岁以下；高中以上学历；具有会务相关工作经验。</w:t>
      </w:r>
    </w:p>
    <w:p>
      <w:pPr>
        <w:wordWrap/>
        <w:spacing w:line="360" w:lineRule="auto"/>
        <w:ind w:firstLine="467" w:firstLineChars="194"/>
        <w:rPr>
          <w:rFonts w:hint="eastAsia"/>
          <w:color w:val="auto"/>
          <w:highlight w:val="none"/>
        </w:rPr>
      </w:pP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四</w:t>
      </w: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工作时间</w:t>
      </w:r>
      <w:r>
        <w:rPr>
          <w:rFonts w:hint="eastAsia" w:ascii="新宋体" w:hAnsi="新宋体" w:eastAsia="新宋体" w:cs="新宋体"/>
          <w:b/>
          <w:bCs/>
          <w:color w:val="auto"/>
          <w:sz w:val="24"/>
          <w:highlight w:val="none"/>
        </w:rPr>
        <w:t>要求</w:t>
      </w:r>
    </w:p>
    <w:tbl>
      <w:tblPr>
        <w:tblStyle w:val="62"/>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1882"/>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bottom"/>
          </w:tcPr>
          <w:p>
            <w:pPr>
              <w:widowControl/>
              <w:wordWrap/>
              <w:overflowPunct w:val="0"/>
              <w:autoSpaceDE w:val="0"/>
              <w:autoSpaceDN w:val="0"/>
              <w:adjustRightInd w:val="0"/>
              <w:snapToGrid w:val="0"/>
              <w:spacing w:line="240" w:lineRule="auto"/>
              <w:jc w:val="center"/>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序号</w:t>
            </w:r>
          </w:p>
        </w:tc>
        <w:tc>
          <w:tcPr>
            <w:tcW w:w="1288" w:type="dxa"/>
            <w:vAlign w:val="bottom"/>
          </w:tcPr>
          <w:p>
            <w:pPr>
              <w:widowControl/>
              <w:wordWrap/>
              <w:overflowPunct w:val="0"/>
              <w:autoSpaceDE w:val="0"/>
              <w:autoSpaceDN w:val="0"/>
              <w:adjustRightInd w:val="0"/>
              <w:snapToGrid w:val="0"/>
              <w:spacing w:after="160" w:line="240" w:lineRule="auto"/>
              <w:ind w:firstLine="0" w:firstLineChars="0"/>
              <w:jc w:val="center"/>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snapToGrid w:val="0"/>
                <w:color w:val="auto"/>
                <w:kern w:val="0"/>
                <w:sz w:val="24"/>
                <w:szCs w:val="24"/>
                <w:highlight w:val="none"/>
              </w:rPr>
              <w:t>岗位</w:t>
            </w:r>
          </w:p>
        </w:tc>
        <w:tc>
          <w:tcPr>
            <w:tcW w:w="2124" w:type="dxa"/>
            <w:vAlign w:val="bottom"/>
          </w:tcPr>
          <w:p>
            <w:pPr>
              <w:widowControl/>
              <w:tabs>
                <w:tab w:val="left" w:pos="3240"/>
                <w:tab w:val="left" w:pos="3960"/>
              </w:tabs>
              <w:wordWrap/>
              <w:overflowPunct w:val="0"/>
              <w:autoSpaceDE w:val="0"/>
              <w:autoSpaceDN w:val="0"/>
              <w:adjustRightInd w:val="0"/>
              <w:snapToGrid w:val="0"/>
              <w:spacing w:after="160" w:line="240" w:lineRule="auto"/>
              <w:jc w:val="center"/>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bCs/>
                <w:color w:val="auto"/>
                <w:kern w:val="0"/>
                <w:sz w:val="24"/>
                <w:szCs w:val="24"/>
                <w:highlight w:val="none"/>
                <w:lang w:val="en-US" w:eastAsia="zh-CN"/>
              </w:rPr>
              <w:t>工作日</w:t>
            </w:r>
            <w:r>
              <w:rPr>
                <w:rFonts w:hint="eastAsia" w:ascii="新宋体" w:hAnsi="新宋体" w:eastAsia="新宋体" w:cs="新宋体"/>
                <w:b/>
                <w:bCs/>
                <w:color w:val="auto"/>
                <w:kern w:val="0"/>
                <w:sz w:val="24"/>
                <w:szCs w:val="24"/>
                <w:highlight w:val="none"/>
              </w:rPr>
              <w:t>在岗时间</w:t>
            </w:r>
          </w:p>
        </w:tc>
        <w:tc>
          <w:tcPr>
            <w:tcW w:w="1882" w:type="dxa"/>
            <w:vAlign w:val="bottom"/>
          </w:tcPr>
          <w:p>
            <w:pPr>
              <w:widowControl/>
              <w:tabs>
                <w:tab w:val="left" w:pos="3240"/>
                <w:tab w:val="left" w:pos="3960"/>
              </w:tabs>
              <w:wordWrap/>
              <w:overflowPunct w:val="0"/>
              <w:autoSpaceDE w:val="0"/>
              <w:autoSpaceDN w:val="0"/>
              <w:adjustRightInd w:val="0"/>
              <w:snapToGrid w:val="0"/>
              <w:spacing w:after="160" w:line="240" w:lineRule="auto"/>
              <w:jc w:val="center"/>
              <w:textAlignment w:val="bottom"/>
              <w:rPr>
                <w:rFonts w:hint="eastAsia" w:ascii="新宋体" w:hAnsi="新宋体" w:eastAsia="新宋体" w:cs="新宋体"/>
                <w:b/>
                <w:snapToGrid w:val="0"/>
                <w:color w:val="auto"/>
                <w:kern w:val="0"/>
                <w:sz w:val="24"/>
                <w:szCs w:val="24"/>
                <w:highlight w:val="none"/>
                <w:lang w:eastAsia="zh-CN"/>
              </w:rPr>
            </w:pPr>
            <w:r>
              <w:rPr>
                <w:rFonts w:hint="eastAsia" w:ascii="新宋体" w:hAnsi="新宋体" w:eastAsia="新宋体" w:cs="新宋体"/>
                <w:b/>
                <w:bCs/>
                <w:color w:val="auto"/>
                <w:kern w:val="0"/>
                <w:sz w:val="24"/>
                <w:szCs w:val="24"/>
                <w:highlight w:val="none"/>
              </w:rPr>
              <w:t>工作时间内</w:t>
            </w:r>
            <w:r>
              <w:rPr>
                <w:rFonts w:hint="eastAsia" w:ascii="新宋体" w:hAnsi="新宋体" w:eastAsia="新宋体" w:cs="新宋体"/>
                <w:b/>
                <w:bCs/>
                <w:color w:val="auto"/>
                <w:kern w:val="0"/>
                <w:sz w:val="24"/>
                <w:szCs w:val="24"/>
                <w:highlight w:val="none"/>
                <w:lang w:eastAsia="zh-CN"/>
              </w:rPr>
              <w:t>应</w:t>
            </w:r>
            <w:r>
              <w:rPr>
                <w:rFonts w:hint="eastAsia" w:ascii="新宋体" w:hAnsi="新宋体" w:eastAsia="新宋体" w:cs="新宋体"/>
                <w:b/>
                <w:bCs/>
                <w:color w:val="auto"/>
                <w:kern w:val="0"/>
                <w:sz w:val="24"/>
                <w:szCs w:val="24"/>
                <w:highlight w:val="none"/>
              </w:rPr>
              <w:t>在岗人数（人）</w:t>
            </w:r>
          </w:p>
        </w:tc>
        <w:tc>
          <w:tcPr>
            <w:tcW w:w="2976" w:type="dxa"/>
            <w:tcBorders>
              <w:bottom w:val="single" w:color="auto" w:sz="4" w:space="0"/>
            </w:tcBorders>
            <w:vAlign w:val="bottom"/>
          </w:tcPr>
          <w:p>
            <w:pPr>
              <w:widowControl/>
              <w:tabs>
                <w:tab w:val="left" w:pos="3240"/>
                <w:tab w:val="left" w:pos="3960"/>
              </w:tabs>
              <w:wordWrap/>
              <w:overflowPunct w:val="0"/>
              <w:autoSpaceDE w:val="0"/>
              <w:autoSpaceDN w:val="0"/>
              <w:adjustRightInd w:val="0"/>
              <w:snapToGrid w:val="0"/>
              <w:spacing w:after="160" w:line="240" w:lineRule="auto"/>
              <w:jc w:val="center"/>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项目经理</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vMerge w:val="restart"/>
            <w:tcBorders>
              <w:top w:val="single" w:color="auto" w:sz="4" w:space="0"/>
              <w:left w:val="single" w:color="auto" w:sz="4" w:space="0"/>
              <w:right w:val="single" w:color="auto" w:sz="4" w:space="0"/>
            </w:tcBorders>
            <w:vAlign w:val="center"/>
          </w:tcPr>
          <w:p>
            <w:pPr>
              <w:widowControl/>
              <w:overflowPunct w:val="0"/>
              <w:autoSpaceDE w:val="0"/>
              <w:autoSpaceDN w:val="0"/>
              <w:snapToGrid w:val="0"/>
              <w:jc w:val="center"/>
              <w:textAlignment w:val="bottom"/>
              <w:rPr>
                <w:rFonts w:hint="eastAsia"/>
                <w:b w:val="0"/>
                <w:bCs/>
                <w:color w:val="auto"/>
                <w:highlight w:val="none"/>
                <w:lang w:val="en-US" w:eastAsia="zh-CN"/>
              </w:rPr>
            </w:pPr>
            <w:r>
              <w:rPr>
                <w:rFonts w:hint="eastAsia" w:ascii="新宋体" w:hAnsi="新宋体" w:eastAsia="新宋体" w:cs="新宋体"/>
                <w:b w:val="0"/>
                <w:bCs/>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2</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保洁主管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vMerge w:val="continue"/>
            <w:tcBorders>
              <w:left w:val="single" w:color="auto" w:sz="4" w:space="0"/>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val="0"/>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3</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保安主管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vMerge w:val="continue"/>
            <w:tcBorders>
              <w:left w:val="single" w:color="auto" w:sz="4" w:space="0"/>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val="0"/>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4</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保洁员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7人</w:t>
            </w:r>
          </w:p>
        </w:tc>
        <w:tc>
          <w:tcPr>
            <w:tcW w:w="2976" w:type="dxa"/>
            <w:tcBorders>
              <w:left w:val="single" w:color="auto" w:sz="4" w:space="0"/>
              <w:right w:val="single" w:color="auto" w:sz="4" w:space="0"/>
            </w:tcBorders>
            <w:vAlign w:val="bottom"/>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双休日、节假日2人正常在岗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5</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绿化工</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vMerge w:val="restart"/>
            <w:tcBorders>
              <w:left w:val="single" w:color="auto" w:sz="4" w:space="0"/>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6</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工程维修人员</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2人</w:t>
            </w:r>
          </w:p>
        </w:tc>
        <w:tc>
          <w:tcPr>
            <w:tcW w:w="2976" w:type="dxa"/>
            <w:vMerge w:val="continue"/>
            <w:tcBorders>
              <w:left w:val="single" w:color="auto" w:sz="4" w:space="0"/>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val="0"/>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7</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会务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8:00-17:00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tcBorders>
              <w:left w:val="single" w:color="auto" w:sz="4" w:space="0"/>
              <w:right w:val="single" w:color="auto" w:sz="4" w:space="0"/>
            </w:tcBorders>
            <w:vAlign w:val="bottom"/>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保安员</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16:00-24:00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2人</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2人</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2人</w:t>
            </w:r>
          </w:p>
        </w:tc>
        <w:tc>
          <w:tcPr>
            <w:tcW w:w="2976" w:type="dxa"/>
            <w:vMerge w:val="restart"/>
            <w:tcBorders>
              <w:left w:val="single" w:color="auto" w:sz="4" w:space="0"/>
              <w:bottom w:val="single" w:color="auto" w:sz="4" w:space="0"/>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双休日、节假日24小时至少1人在岗。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5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9</w:t>
            </w:r>
          </w:p>
        </w:tc>
        <w:tc>
          <w:tcPr>
            <w:tcW w:w="1288"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消控员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16:00-24:00</w:t>
            </w:r>
          </w:p>
        </w:tc>
        <w:tc>
          <w:tcPr>
            <w:tcW w:w="1882" w:type="dxa"/>
            <w:tcBorders>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p>
            <w:pPr>
              <w:widowControl/>
              <w:overflowPunct w:val="0"/>
              <w:autoSpaceDE w:val="0"/>
              <w:autoSpaceDN w:val="0"/>
              <w:snapToGrid w:val="0"/>
              <w:jc w:val="center"/>
              <w:textAlignment w:val="bottom"/>
              <w:rPr>
                <w:rFonts w:hint="eastAsia" w:ascii="新宋体" w:hAnsi="新宋体" w:eastAsia="新宋体" w:cs="新宋体"/>
                <w:b w:val="0"/>
                <w:bCs/>
                <w:color w:val="auto"/>
                <w:kern w:val="0"/>
                <w:sz w:val="24"/>
                <w:szCs w:val="24"/>
                <w:highlight w:val="none"/>
                <w:lang w:val="en-US" w:eastAsia="zh-CN"/>
              </w:rPr>
            </w:pPr>
            <w:r>
              <w:rPr>
                <w:rFonts w:hint="eastAsia" w:ascii="新宋体" w:hAnsi="新宋体" w:eastAsia="新宋体" w:cs="新宋体"/>
                <w:b w:val="0"/>
                <w:bCs/>
                <w:color w:val="auto"/>
                <w:kern w:val="0"/>
                <w:sz w:val="24"/>
                <w:szCs w:val="24"/>
                <w:highlight w:val="none"/>
                <w:lang w:val="en-US" w:eastAsia="zh-CN"/>
              </w:rPr>
              <w:t>1人</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bl>
    <w:p>
      <w:pPr>
        <w:pStyle w:val="5"/>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以上所有岗位的设置</w:t>
      </w:r>
      <w:r>
        <w:rPr>
          <w:rFonts w:hint="eastAsia" w:ascii="新宋体" w:hAnsi="新宋体" w:eastAsia="新宋体" w:cs="新宋体"/>
          <w:color w:val="auto"/>
          <w:kern w:val="0"/>
          <w:sz w:val="24"/>
          <w:szCs w:val="24"/>
          <w:highlight w:val="none"/>
          <w:lang w:eastAsia="zh-CN"/>
        </w:rPr>
        <w:t>、排班</w:t>
      </w:r>
      <w:r>
        <w:rPr>
          <w:rFonts w:hint="eastAsia" w:ascii="新宋体" w:hAnsi="新宋体" w:eastAsia="新宋体" w:cs="新宋体"/>
          <w:color w:val="auto"/>
          <w:kern w:val="0"/>
          <w:sz w:val="24"/>
          <w:szCs w:val="24"/>
          <w:highlight w:val="none"/>
        </w:rPr>
        <w:t>，</w:t>
      </w:r>
      <w:r>
        <w:rPr>
          <w:rFonts w:hint="eastAsia" w:ascii="新宋体" w:hAnsi="新宋体" w:eastAsia="新宋体" w:cs="新宋体"/>
          <w:color w:val="auto"/>
          <w:kern w:val="0"/>
          <w:sz w:val="24"/>
          <w:szCs w:val="24"/>
          <w:highlight w:val="none"/>
          <w:lang w:eastAsia="zh-CN"/>
        </w:rPr>
        <w:t>应符合《</w:t>
      </w:r>
      <w:r>
        <w:rPr>
          <w:rFonts w:hint="eastAsia" w:ascii="新宋体" w:hAnsi="新宋体" w:eastAsia="新宋体" w:cs="新宋体"/>
          <w:color w:val="auto"/>
          <w:kern w:val="0"/>
          <w:sz w:val="24"/>
          <w:szCs w:val="24"/>
          <w:highlight w:val="none"/>
        </w:rPr>
        <w:fldChar w:fldCharType="begin"/>
      </w:r>
      <w:r>
        <w:rPr>
          <w:rFonts w:hint="eastAsia" w:ascii="新宋体" w:hAnsi="新宋体" w:eastAsia="新宋体" w:cs="新宋体"/>
          <w:color w:val="auto"/>
          <w:kern w:val="0"/>
          <w:sz w:val="24"/>
          <w:szCs w:val="24"/>
          <w:highlight w:val="none"/>
        </w:rPr>
        <w:instrText xml:space="preserve"> HYPERLINK "http://www.baidu.com/link?url=F45hGkUIbBtxVnxPZATPQbkbwCTU3UxFBB4t-a-QSoW-3bIW4BtrL6FnbZHsoQuDz-Tl0uQwaqK33u1ssI-PWGeDOXSuPpiDhEwM8ziWofO" \t "https://www.baidu.com/_blank" </w:instrText>
      </w:r>
      <w:r>
        <w:rPr>
          <w:rFonts w:hint="eastAsia" w:ascii="新宋体" w:hAnsi="新宋体" w:eastAsia="新宋体" w:cs="新宋体"/>
          <w:color w:val="auto"/>
          <w:kern w:val="0"/>
          <w:sz w:val="24"/>
          <w:szCs w:val="24"/>
          <w:highlight w:val="none"/>
        </w:rPr>
        <w:fldChar w:fldCharType="separate"/>
      </w:r>
      <w:r>
        <w:rPr>
          <w:rFonts w:hint="eastAsia" w:ascii="新宋体" w:hAnsi="新宋体" w:eastAsia="新宋体" w:cs="新宋体"/>
          <w:color w:val="auto"/>
          <w:kern w:val="0"/>
          <w:sz w:val="24"/>
          <w:szCs w:val="24"/>
          <w:highlight w:val="none"/>
        </w:rPr>
        <w:t>中华人民共和国劳动法</w:t>
      </w:r>
      <w:r>
        <w:rPr>
          <w:rFonts w:hint="eastAsia" w:ascii="新宋体" w:hAnsi="新宋体" w:eastAsia="新宋体" w:cs="新宋体"/>
          <w:color w:val="auto"/>
          <w:kern w:val="0"/>
          <w:sz w:val="24"/>
          <w:szCs w:val="24"/>
          <w:highlight w:val="none"/>
        </w:rPr>
        <w:fldChar w:fldCharType="end"/>
      </w:r>
      <w:r>
        <w:rPr>
          <w:rFonts w:hint="eastAsia" w:ascii="新宋体" w:hAnsi="新宋体" w:eastAsia="新宋体" w:cs="新宋体"/>
          <w:color w:val="auto"/>
          <w:kern w:val="0"/>
          <w:sz w:val="24"/>
          <w:szCs w:val="24"/>
          <w:highlight w:val="none"/>
          <w:lang w:eastAsia="zh-CN"/>
        </w:rPr>
        <w:t>》相关规定，应</w:t>
      </w:r>
      <w:r>
        <w:rPr>
          <w:rFonts w:hint="eastAsia" w:ascii="新宋体" w:hAnsi="新宋体" w:eastAsia="新宋体" w:cs="新宋体"/>
          <w:color w:val="auto"/>
          <w:kern w:val="0"/>
          <w:sz w:val="24"/>
          <w:szCs w:val="24"/>
          <w:highlight w:val="none"/>
        </w:rPr>
        <w:t>满足采购人工作日、双休日、节假日的全部工作任务，投标人自行合理安排员工休息时间，如产生替班加班情况，均由投标人自行承担相应费用。</w:t>
      </w:r>
    </w:p>
    <w:p>
      <w:pPr>
        <w:pStyle w:val="5"/>
        <w:rPr>
          <w:rFonts w:hint="eastAsia" w:ascii="新宋体" w:hAnsi="新宋体" w:eastAsia="新宋体" w:cs="新宋体"/>
          <w:color w:val="auto"/>
          <w:kern w:val="0"/>
          <w:sz w:val="24"/>
          <w:szCs w:val="24"/>
          <w:highlight w:val="none"/>
        </w:rPr>
      </w:pPr>
    </w:p>
    <w:p>
      <w:pPr>
        <w:pStyle w:val="5"/>
        <w:ind w:left="0" w:leftChars="0" w:firstLine="0" w:firstLineChars="0"/>
        <w:rPr>
          <w:rFonts w:hint="eastAsia" w:ascii="新宋体" w:hAnsi="新宋体" w:eastAsia="新宋体" w:cs="新宋体"/>
          <w:color w:val="auto"/>
          <w:kern w:val="0"/>
          <w:sz w:val="24"/>
          <w:szCs w:val="24"/>
          <w:highlight w:val="none"/>
        </w:rPr>
        <w:sectPr>
          <w:headerReference r:id="rId9" w:type="first"/>
          <w:footerReference r:id="rId11" w:type="first"/>
          <w:headerReference r:id="rId8" w:type="default"/>
          <w:footerReference r:id="rId10" w:type="default"/>
          <w:pgSz w:w="11900" w:h="16838"/>
          <w:pgMar w:top="1429" w:right="1599" w:bottom="0" w:left="1712" w:header="0" w:footer="0" w:gutter="0"/>
          <w:pgNumType w:fmt="decimal"/>
          <w:cols w:space="720" w:num="1"/>
          <w:titlePg/>
          <w:rtlGutter w:val="0"/>
          <w:docGrid w:type="lines" w:linePitch="318" w:charSpace="0"/>
        </w:sectPr>
      </w:pPr>
    </w:p>
    <w:p>
      <w:pPr>
        <w:numPr>
          <w:ilvl w:val="0"/>
          <w:numId w:val="0"/>
        </w:numPr>
        <w:spacing w:line="360" w:lineRule="auto"/>
        <w:ind w:left="0" w:firstLine="0" w:firstLineChars="0"/>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（五）《物业管理服务人员行为规范》</w:t>
      </w:r>
    </w:p>
    <w:p>
      <w:pPr>
        <w:spacing w:line="26" w:lineRule="exact"/>
        <w:rPr>
          <w:rFonts w:hint="eastAsia" w:ascii="新宋体" w:hAnsi="新宋体" w:eastAsia="新宋体" w:cs="新宋体"/>
          <w:color w:val="auto"/>
          <w:sz w:val="24"/>
          <w:szCs w:val="24"/>
          <w:highlight w:val="none"/>
        </w:rPr>
      </w:pPr>
    </w:p>
    <w:tbl>
      <w:tblPr>
        <w:tblStyle w:val="962"/>
        <w:tblW w:w="145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3"/>
        <w:gridCol w:w="1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790" w:type="dxa"/>
            <w:gridSpan w:val="2"/>
            <w:vAlign w:val="top"/>
          </w:tcPr>
          <w:p>
            <w:pPr>
              <w:spacing w:before="94" w:line="185" w:lineRule="auto"/>
              <w:ind w:left="108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1"/>
                <w:sz w:val="24"/>
                <w:szCs w:val="24"/>
                <w:highlight w:val="none"/>
              </w:rPr>
              <w:t>项</w:t>
            </w:r>
            <w:r>
              <w:rPr>
                <w:rFonts w:hint="eastAsia" w:ascii="新宋体" w:hAnsi="新宋体" w:eastAsia="新宋体" w:cs="新宋体"/>
                <w:color w:val="auto"/>
                <w:spacing w:val="9"/>
                <w:sz w:val="24"/>
                <w:szCs w:val="24"/>
                <w:highlight w:val="none"/>
              </w:rPr>
              <w:t xml:space="preserve">   目</w:t>
            </w:r>
          </w:p>
        </w:tc>
        <w:tc>
          <w:tcPr>
            <w:tcW w:w="11777" w:type="dxa"/>
            <w:vAlign w:val="top"/>
          </w:tcPr>
          <w:p>
            <w:pPr>
              <w:spacing w:before="94" w:line="185" w:lineRule="auto"/>
              <w:ind w:left="525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37" w:type="dxa"/>
            <w:vMerge w:val="restart"/>
            <w:textDirection w:val="tbRlV"/>
            <w:vAlign w:val="top"/>
          </w:tcPr>
          <w:p>
            <w:pPr>
              <w:spacing w:before="93" w:line="181" w:lineRule="auto"/>
              <w:ind w:left="157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 xml:space="preserve">仪  容  仪  </w:t>
            </w:r>
            <w:r>
              <w:rPr>
                <w:rFonts w:hint="eastAsia" w:ascii="新宋体" w:hAnsi="新宋体" w:eastAsia="新宋体" w:cs="新宋体"/>
                <w:color w:val="auto"/>
                <w:sz w:val="24"/>
                <w:szCs w:val="24"/>
                <w:highlight w:val="none"/>
              </w:rPr>
              <w:t>表</w:t>
            </w:r>
          </w:p>
        </w:tc>
        <w:tc>
          <w:tcPr>
            <w:tcW w:w="2053" w:type="dxa"/>
            <w:vAlign w:val="top"/>
          </w:tcPr>
          <w:p>
            <w:pPr>
              <w:spacing w:line="450" w:lineRule="auto"/>
              <w:rPr>
                <w:rFonts w:hint="eastAsia" w:ascii="新宋体" w:hAnsi="新宋体" w:eastAsia="新宋体" w:cs="新宋体"/>
                <w:color w:val="auto"/>
                <w:sz w:val="24"/>
                <w:szCs w:val="24"/>
                <w:highlight w:val="none"/>
              </w:rPr>
            </w:pPr>
          </w:p>
          <w:p>
            <w:pPr>
              <w:spacing w:before="90" w:line="186"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服饰着装</w:t>
            </w:r>
          </w:p>
        </w:tc>
        <w:tc>
          <w:tcPr>
            <w:tcW w:w="11777" w:type="dxa"/>
            <w:vAlign w:val="top"/>
          </w:tcPr>
          <w:p>
            <w:pPr>
              <w:spacing w:before="32" w:line="219"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1、上班时间必须穿工作服，工作服穿戴整齐整洁</w:t>
            </w:r>
            <w:r>
              <w:rPr>
                <w:rFonts w:hint="eastAsia" w:ascii="新宋体" w:hAnsi="新宋体" w:eastAsia="新宋体" w:cs="新宋体"/>
                <w:color w:val="auto"/>
                <w:spacing w:val="-4"/>
                <w:sz w:val="24"/>
                <w:szCs w:val="24"/>
                <w:highlight w:val="none"/>
              </w:rPr>
              <w:t>；</w:t>
            </w:r>
          </w:p>
          <w:p>
            <w:pPr>
              <w:spacing w:before="92"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2、上班统一佩戴工作牌，工作牌应端正地戴在左胸襟处</w:t>
            </w:r>
            <w:r>
              <w:rPr>
                <w:rFonts w:hint="eastAsia" w:ascii="新宋体" w:hAnsi="新宋体" w:eastAsia="新宋体" w:cs="新宋体"/>
                <w:color w:val="auto"/>
                <w:spacing w:val="-2"/>
                <w:sz w:val="24"/>
                <w:szCs w:val="24"/>
                <w:highlight w:val="none"/>
              </w:rPr>
              <w:t>；</w:t>
            </w:r>
          </w:p>
          <w:p>
            <w:pPr>
              <w:spacing w:before="91"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3</w:t>
            </w:r>
            <w:r>
              <w:rPr>
                <w:rFonts w:hint="eastAsia" w:ascii="新宋体" w:hAnsi="新宋体" w:eastAsia="新宋体" w:cs="新宋体"/>
                <w:color w:val="auto"/>
                <w:spacing w:val="-4"/>
                <w:sz w:val="24"/>
                <w:szCs w:val="24"/>
                <w:highlight w:val="none"/>
              </w:rPr>
              <w:t>、鞋袜穿戴整齐清洁，非工作需要不允许打赤脚或穿雨鞋到处走。特殊工作完毕应在工作场所将鞋擦干净再走；</w:t>
            </w:r>
          </w:p>
          <w:p>
            <w:pPr>
              <w:spacing w:before="91"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4、</w:t>
            </w:r>
            <w:r>
              <w:rPr>
                <w:rFonts w:hint="eastAsia" w:ascii="新宋体" w:hAnsi="新宋体" w:eastAsia="新宋体" w:cs="新宋体"/>
                <w:color w:val="auto"/>
                <w:spacing w:val="-5"/>
                <w:sz w:val="24"/>
                <w:szCs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82" w:lineRule="auto"/>
              <w:rPr>
                <w:rFonts w:hint="eastAsia" w:ascii="新宋体" w:hAnsi="新宋体" w:eastAsia="新宋体" w:cs="新宋体"/>
                <w:color w:val="auto"/>
                <w:sz w:val="24"/>
                <w:szCs w:val="24"/>
                <w:highlight w:val="none"/>
              </w:rPr>
            </w:pPr>
          </w:p>
          <w:p>
            <w:pPr>
              <w:spacing w:before="91" w:line="185" w:lineRule="auto"/>
              <w:ind w:left="8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须</w:t>
            </w:r>
            <w:r>
              <w:rPr>
                <w:rFonts w:hint="eastAsia" w:ascii="新宋体" w:hAnsi="新宋体" w:eastAsia="新宋体" w:cs="新宋体"/>
                <w:color w:val="auto"/>
                <w:sz w:val="24"/>
                <w:szCs w:val="24"/>
                <w:highlight w:val="none"/>
              </w:rPr>
              <w:t>发</w:t>
            </w:r>
          </w:p>
        </w:tc>
        <w:tc>
          <w:tcPr>
            <w:tcW w:w="11777" w:type="dxa"/>
            <w:vAlign w:val="top"/>
          </w:tcPr>
          <w:p>
            <w:pPr>
              <w:spacing w:before="32"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1</w:t>
            </w:r>
            <w:r>
              <w:rPr>
                <w:rFonts w:hint="eastAsia" w:ascii="新宋体" w:hAnsi="新宋体" w:eastAsia="新宋体" w:cs="新宋体"/>
                <w:color w:val="auto"/>
                <w:spacing w:val="-12"/>
                <w:sz w:val="24"/>
                <w:szCs w:val="24"/>
                <w:highlight w:val="none"/>
              </w:rPr>
              <w:t>、女员工前发不遮眼，不梳怪异发型；</w:t>
            </w:r>
          </w:p>
          <w:p>
            <w:pPr>
              <w:spacing w:before="90"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2</w:t>
            </w:r>
            <w:r>
              <w:rPr>
                <w:rFonts w:hint="eastAsia" w:ascii="新宋体" w:hAnsi="新宋体" w:eastAsia="新宋体" w:cs="新宋体"/>
                <w:color w:val="auto"/>
                <w:spacing w:val="-9"/>
                <w:sz w:val="24"/>
                <w:szCs w:val="24"/>
                <w:highlight w:val="none"/>
              </w:rPr>
              <w:t>、</w:t>
            </w:r>
            <w:r>
              <w:rPr>
                <w:rFonts w:hint="eastAsia" w:ascii="新宋体" w:hAnsi="新宋体" w:eastAsia="新宋体" w:cs="新宋体"/>
                <w:color w:val="auto"/>
                <w:spacing w:val="-6"/>
                <w:sz w:val="24"/>
                <w:szCs w:val="24"/>
                <w:highlight w:val="none"/>
              </w:rPr>
              <w:t>男员工不留长发，不留胡须；</w:t>
            </w:r>
          </w:p>
          <w:p>
            <w:pPr>
              <w:spacing w:before="88"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8"/>
                <w:sz w:val="24"/>
                <w:szCs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62"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before="90" w:line="187"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个人卫生</w:t>
            </w:r>
          </w:p>
        </w:tc>
        <w:tc>
          <w:tcPr>
            <w:tcW w:w="11777" w:type="dxa"/>
            <w:vAlign w:val="top"/>
          </w:tcPr>
          <w:p>
            <w:pPr>
              <w:spacing w:before="34" w:line="22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3"/>
                <w:sz w:val="24"/>
                <w:szCs w:val="24"/>
                <w:highlight w:val="none"/>
              </w:rPr>
              <w:t>1</w:t>
            </w:r>
            <w:r>
              <w:rPr>
                <w:rFonts w:hint="eastAsia" w:ascii="新宋体" w:hAnsi="新宋体" w:eastAsia="新宋体" w:cs="新宋体"/>
                <w:color w:val="auto"/>
                <w:spacing w:val="-8"/>
                <w:sz w:val="24"/>
                <w:szCs w:val="24"/>
                <w:highlight w:val="none"/>
              </w:rPr>
              <w:t>、保持手部干净，经常修剪指甲；</w:t>
            </w:r>
          </w:p>
          <w:p>
            <w:pPr>
              <w:spacing w:before="90"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w:t>
            </w:r>
            <w:r>
              <w:rPr>
                <w:rFonts w:hint="eastAsia" w:ascii="新宋体" w:hAnsi="新宋体" w:eastAsia="新宋体" w:cs="新宋体"/>
                <w:color w:val="auto"/>
                <w:spacing w:val="-3"/>
                <w:sz w:val="24"/>
                <w:szCs w:val="24"/>
                <w:highlight w:val="none"/>
              </w:rPr>
              <w:t>、员工应经常洗澡防汗臭，勤换衣服。衣服因工作而弄湿、弄脏后应换洗；</w:t>
            </w:r>
          </w:p>
          <w:p>
            <w:pPr>
              <w:spacing w:before="87"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3、上班前和上班期间应注意饮食，保持口腔清洁、口气清新</w:t>
            </w:r>
            <w:r>
              <w:rPr>
                <w:rFonts w:hint="eastAsia" w:ascii="新宋体" w:hAnsi="新宋体" w:eastAsia="新宋体" w:cs="新宋体"/>
                <w:color w:val="auto"/>
                <w:spacing w:val="-6"/>
                <w:sz w:val="24"/>
                <w:szCs w:val="24"/>
                <w:highlight w:val="none"/>
              </w:rPr>
              <w:t>；</w:t>
            </w:r>
          </w:p>
          <w:p>
            <w:pPr>
              <w:spacing w:before="92"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4</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7"/>
                <w:sz w:val="24"/>
                <w:szCs w:val="24"/>
                <w:highlight w:val="none"/>
              </w:rPr>
              <w:t>保持眼部、耳部清洁；</w:t>
            </w:r>
          </w:p>
          <w:p>
            <w:pPr>
              <w:spacing w:before="90" w:line="22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w:t>
            </w:r>
            <w:r>
              <w:rPr>
                <w:rFonts w:hint="eastAsia" w:ascii="新宋体" w:hAnsi="新宋体" w:eastAsia="新宋体" w:cs="新宋体"/>
                <w:color w:val="auto"/>
                <w:spacing w:val="-6"/>
                <w:sz w:val="24"/>
                <w:szCs w:val="24"/>
                <w:highlight w:val="none"/>
              </w:rPr>
              <w:t>女员工应淡妆打扮，不允许浓妆艳抹，不宜使用味浓的化妆品；</w:t>
            </w:r>
          </w:p>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6、</w:t>
            </w:r>
            <w:r>
              <w:rPr>
                <w:rFonts w:hint="eastAsia" w:ascii="新宋体" w:hAnsi="新宋体" w:eastAsia="新宋体" w:cs="新宋体"/>
                <w:color w:val="auto"/>
                <w:spacing w:val="-6"/>
                <w:sz w:val="24"/>
                <w:szCs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7" w:type="dxa"/>
            <w:vMerge w:val="restart"/>
            <w:textDirection w:val="tbRlV"/>
            <w:vAlign w:val="top"/>
          </w:tcPr>
          <w:p>
            <w:pPr>
              <w:spacing w:before="93" w:line="180" w:lineRule="auto"/>
              <w:ind w:left="6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行为举</w:t>
            </w:r>
            <w:r>
              <w:rPr>
                <w:rFonts w:hint="eastAsia" w:ascii="新宋体" w:hAnsi="新宋体" w:eastAsia="新宋体" w:cs="新宋体"/>
                <w:color w:val="auto"/>
                <w:sz w:val="24"/>
                <w:szCs w:val="24"/>
                <w:highlight w:val="none"/>
              </w:rPr>
              <w:t>止</w:t>
            </w:r>
          </w:p>
        </w:tc>
        <w:tc>
          <w:tcPr>
            <w:tcW w:w="2053" w:type="dxa"/>
            <w:vAlign w:val="top"/>
          </w:tcPr>
          <w:p>
            <w:pPr>
              <w:spacing w:before="207" w:line="185"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服务态度</w:t>
            </w:r>
          </w:p>
        </w:tc>
        <w:tc>
          <w:tcPr>
            <w:tcW w:w="11777" w:type="dxa"/>
            <w:vAlign w:val="top"/>
          </w:tcPr>
          <w:p>
            <w:pPr>
              <w:spacing w:before="35"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1、对客人服务应面带笑容，和颜悦色，热情主动，做到微笑服务</w:t>
            </w:r>
            <w:r>
              <w:rPr>
                <w:rFonts w:hint="eastAsia" w:ascii="新宋体" w:hAnsi="新宋体" w:eastAsia="新宋体" w:cs="新宋体"/>
                <w:color w:val="auto"/>
                <w:spacing w:val="-3"/>
                <w:sz w:val="24"/>
                <w:szCs w:val="24"/>
                <w:highlight w:val="none"/>
              </w:rPr>
              <w:t>；</w:t>
            </w:r>
          </w:p>
          <w:p>
            <w:pPr>
              <w:spacing w:before="90"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9"/>
                <w:sz w:val="24"/>
                <w:szCs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455" w:lineRule="auto"/>
              <w:rPr>
                <w:rFonts w:hint="eastAsia" w:ascii="新宋体" w:hAnsi="新宋体" w:eastAsia="新宋体" w:cs="新宋体"/>
                <w:color w:val="auto"/>
                <w:sz w:val="24"/>
                <w:szCs w:val="24"/>
                <w:highlight w:val="none"/>
              </w:rPr>
            </w:pPr>
          </w:p>
          <w:p>
            <w:pPr>
              <w:spacing w:before="90" w:line="186" w:lineRule="auto"/>
              <w:ind w:left="60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走姿态</w:t>
            </w:r>
          </w:p>
        </w:tc>
        <w:tc>
          <w:tcPr>
            <w:tcW w:w="11777" w:type="dxa"/>
            <w:vAlign w:val="top"/>
          </w:tcPr>
          <w:p>
            <w:pPr>
              <w:spacing w:before="36"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w:t>
            </w:r>
            <w:r>
              <w:rPr>
                <w:rFonts w:hint="eastAsia" w:ascii="新宋体" w:hAnsi="新宋体" w:eastAsia="新宋体" w:cs="新宋体"/>
                <w:color w:val="auto"/>
                <w:spacing w:val="-10"/>
                <w:sz w:val="24"/>
                <w:szCs w:val="24"/>
                <w:highlight w:val="none"/>
              </w:rPr>
              <w:t>、</w:t>
            </w:r>
            <w:r>
              <w:rPr>
                <w:rFonts w:hint="eastAsia" w:ascii="新宋体" w:hAnsi="新宋体" w:eastAsia="新宋体" w:cs="新宋体"/>
                <w:color w:val="auto"/>
                <w:spacing w:val="-6"/>
                <w:sz w:val="24"/>
                <w:szCs w:val="24"/>
                <w:highlight w:val="none"/>
              </w:rPr>
              <w:t>行走时不宜双手抱胸或背手走路；</w:t>
            </w:r>
          </w:p>
          <w:p>
            <w:pPr>
              <w:spacing w:before="89" w:line="218"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9"/>
                <w:sz w:val="24"/>
                <w:szCs w:val="24"/>
                <w:highlight w:val="none"/>
              </w:rPr>
              <w:t>在工作场合与他人同行时，不允许勾肩搭背，不允许同行时</w:t>
            </w:r>
            <w:r>
              <w:rPr>
                <w:rFonts w:hint="eastAsia" w:ascii="新宋体" w:hAnsi="新宋体" w:eastAsia="新宋体" w:cs="新宋体"/>
                <w:color w:val="auto"/>
                <w:spacing w:val="-9"/>
                <w:sz w:val="24"/>
                <w:szCs w:val="24"/>
                <w:highlight w:val="none"/>
                <w:lang w:eastAsia="zh-CN"/>
              </w:rPr>
              <w:t>嬉戏</w:t>
            </w:r>
            <w:r>
              <w:rPr>
                <w:rFonts w:hint="eastAsia" w:ascii="新宋体" w:hAnsi="新宋体" w:eastAsia="新宋体" w:cs="新宋体"/>
                <w:color w:val="auto"/>
                <w:spacing w:val="-9"/>
                <w:sz w:val="24"/>
                <w:szCs w:val="24"/>
                <w:highlight w:val="none"/>
              </w:rPr>
              <w:t>打闹；</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3、手</w:t>
            </w:r>
            <w:r>
              <w:rPr>
                <w:rFonts w:hint="eastAsia" w:ascii="新宋体" w:hAnsi="新宋体" w:eastAsia="新宋体" w:cs="新宋体"/>
                <w:color w:val="auto"/>
                <w:spacing w:val="-3"/>
                <w:sz w:val="24"/>
                <w:szCs w:val="24"/>
                <w:highlight w:val="none"/>
              </w:rPr>
              <w:t>拉货物行走时应注意前方行人或障碍物，尽量靠路右侧行走；</w:t>
            </w:r>
          </w:p>
          <w:p>
            <w:pPr>
              <w:spacing w:before="92" w:line="218"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0"/>
                <w:sz w:val="24"/>
                <w:szCs w:val="24"/>
                <w:highlight w:val="none"/>
              </w:rPr>
              <w:t>4</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10"/>
                <w:sz w:val="24"/>
                <w:szCs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before="96" w:line="186" w:lineRule="auto"/>
              <w:ind w:left="60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坐立姿</w:t>
            </w:r>
            <w:r>
              <w:rPr>
                <w:rFonts w:hint="eastAsia" w:ascii="新宋体" w:hAnsi="新宋体" w:eastAsia="新宋体" w:cs="新宋体"/>
                <w:color w:val="auto"/>
                <w:sz w:val="24"/>
                <w:szCs w:val="24"/>
                <w:highlight w:val="none"/>
              </w:rPr>
              <w:t>态</w:t>
            </w:r>
          </w:p>
        </w:tc>
        <w:tc>
          <w:tcPr>
            <w:tcW w:w="11777" w:type="dxa"/>
            <w:vAlign w:val="top"/>
          </w:tcPr>
          <w:p>
            <w:pPr>
              <w:spacing w:before="96" w:line="218"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1、入</w:t>
            </w:r>
            <w:r>
              <w:rPr>
                <w:rFonts w:hint="eastAsia" w:ascii="新宋体" w:hAnsi="新宋体" w:eastAsia="新宋体" w:cs="新宋体"/>
                <w:color w:val="auto"/>
                <w:spacing w:val="-8"/>
                <w:sz w:val="24"/>
                <w:szCs w:val="24"/>
                <w:highlight w:val="none"/>
              </w:rPr>
              <w:t>坐</w:t>
            </w:r>
            <w:r>
              <w:rPr>
                <w:rFonts w:hint="eastAsia" w:ascii="新宋体" w:hAnsi="新宋体" w:eastAsia="新宋体" w:cs="新宋体"/>
                <w:color w:val="auto"/>
                <w:spacing w:val="-6"/>
                <w:sz w:val="24"/>
                <w:szCs w:val="24"/>
                <w:highlight w:val="none"/>
              </w:rPr>
              <w:t>要轻缓，就坐时姿态要端正，上身要直，腰部挺起，双膝并拢，手自然放在双膝上，面带笑容；</w:t>
            </w:r>
          </w:p>
        </w:tc>
      </w:tr>
    </w:tbl>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sectPr>
          <w:pgSz w:w="16839" w:h="11907" w:orient="landscape"/>
          <w:pgMar w:top="1012" w:right="938" w:bottom="0" w:left="1327" w:header="0" w:footer="0" w:gutter="0"/>
          <w:pgBorders>
            <w:top w:val="none" w:sz="0" w:space="0"/>
            <w:left w:val="none" w:sz="0" w:space="0"/>
            <w:bottom w:val="none" w:sz="0" w:space="0"/>
            <w:right w:val="none" w:sz="0" w:space="0"/>
          </w:pgBorders>
          <w:pgNumType w:fmt="decimal"/>
          <w:cols w:space="720" w:num="1"/>
          <w:titlePg/>
          <w:rtlGutter w:val="0"/>
          <w:docGrid w:type="lines" w:linePitch="319" w:charSpace="0"/>
        </w:sect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spacing w:line="66" w:lineRule="exact"/>
        <w:rPr>
          <w:rFonts w:hint="eastAsia" w:ascii="新宋体" w:hAnsi="新宋体" w:eastAsia="新宋体" w:cs="新宋体"/>
          <w:color w:val="auto"/>
          <w:sz w:val="24"/>
          <w:szCs w:val="24"/>
          <w:highlight w:val="none"/>
        </w:rPr>
      </w:pPr>
    </w:p>
    <w:tbl>
      <w:tblPr>
        <w:tblStyle w:val="962"/>
        <w:tblW w:w="145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
        <w:gridCol w:w="732"/>
        <w:gridCol w:w="5"/>
        <w:gridCol w:w="2048"/>
        <w:gridCol w:w="11777"/>
        <w:gridCol w:w="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690" w:hRule="atLeast"/>
          <w:jc w:val="center"/>
        </w:trPr>
        <w:tc>
          <w:tcPr>
            <w:tcW w:w="737" w:type="dxa"/>
            <w:gridSpan w:val="2"/>
            <w:vMerge w:val="restart"/>
            <w:vAlign w:val="top"/>
          </w:tcPr>
          <w:p>
            <w:pPr>
              <w:rPr>
                <w:rFonts w:hint="eastAsia" w:ascii="新宋体" w:hAnsi="新宋体" w:eastAsia="新宋体" w:cs="新宋体"/>
                <w:color w:val="auto"/>
                <w:sz w:val="24"/>
                <w:szCs w:val="24"/>
                <w:highlight w:val="none"/>
              </w:rPr>
            </w:pPr>
          </w:p>
        </w:tc>
        <w:tc>
          <w:tcPr>
            <w:tcW w:w="2053" w:type="dxa"/>
            <w:gridSpan w:val="2"/>
            <w:vAlign w:val="top"/>
          </w:tcPr>
          <w:p>
            <w:pPr>
              <w:rPr>
                <w:rFonts w:hint="eastAsia" w:ascii="新宋体" w:hAnsi="新宋体" w:eastAsia="新宋体" w:cs="新宋体"/>
                <w:color w:val="auto"/>
                <w:sz w:val="24"/>
                <w:szCs w:val="24"/>
                <w:highlight w:val="none"/>
              </w:rPr>
            </w:pPr>
          </w:p>
        </w:tc>
        <w:tc>
          <w:tcPr>
            <w:tcW w:w="11777" w:type="dxa"/>
            <w:vAlign w:val="top"/>
          </w:tcPr>
          <w:p>
            <w:pPr>
              <w:spacing w:before="36"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2、坐在椅子上不允许前俯后仰、摇腿跷脚或趴在工作台上或把脚放于工作台</w:t>
            </w:r>
            <w:r>
              <w:rPr>
                <w:rFonts w:hint="eastAsia" w:ascii="新宋体" w:hAnsi="新宋体" w:eastAsia="新宋体" w:cs="新宋体"/>
                <w:color w:val="auto"/>
                <w:spacing w:val="-1"/>
                <w:sz w:val="24"/>
                <w:szCs w:val="24"/>
                <w:highlight w:val="none"/>
              </w:rPr>
              <w:t>上</w:t>
            </w:r>
            <w:r>
              <w:rPr>
                <w:rFonts w:hint="eastAsia" w:ascii="新宋体" w:hAnsi="新宋体" w:eastAsia="新宋体" w:cs="新宋体"/>
                <w:color w:val="auto"/>
                <w:sz w:val="24"/>
                <w:szCs w:val="24"/>
                <w:highlight w:val="none"/>
              </w:rPr>
              <w:t>；</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3、站</w:t>
            </w:r>
            <w:r>
              <w:rPr>
                <w:rFonts w:hint="eastAsia" w:ascii="新宋体" w:hAnsi="新宋体" w:eastAsia="新宋体" w:cs="新宋体"/>
                <w:color w:val="auto"/>
                <w:spacing w:val="-10"/>
                <w:sz w:val="24"/>
                <w:szCs w:val="24"/>
                <w:highlight w:val="none"/>
              </w:rPr>
              <w:t>立</w:t>
            </w:r>
            <w:r>
              <w:rPr>
                <w:rFonts w:hint="eastAsia" w:ascii="新宋体" w:hAnsi="新宋体" w:eastAsia="新宋体" w:cs="新宋体"/>
                <w:color w:val="auto"/>
                <w:spacing w:val="-7"/>
                <w:sz w:val="24"/>
                <w:szCs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027" w:hRule="atLeast"/>
          <w:jc w:val="center"/>
        </w:trPr>
        <w:tc>
          <w:tcPr>
            <w:tcW w:w="737" w:type="dxa"/>
            <w:gridSpan w:val="2"/>
            <w:vMerge w:val="continue"/>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82" w:lineRule="auto"/>
              <w:rPr>
                <w:rFonts w:hint="eastAsia" w:ascii="新宋体" w:hAnsi="新宋体" w:eastAsia="新宋体" w:cs="新宋体"/>
                <w:color w:val="auto"/>
                <w:sz w:val="24"/>
                <w:szCs w:val="24"/>
                <w:highlight w:val="none"/>
              </w:rPr>
            </w:pPr>
          </w:p>
          <w:p>
            <w:pPr>
              <w:spacing w:before="90" w:line="185" w:lineRule="auto"/>
              <w:ind w:left="60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其</w:t>
            </w:r>
            <w:r>
              <w:rPr>
                <w:rFonts w:hint="eastAsia" w:ascii="新宋体" w:hAnsi="新宋体" w:eastAsia="新宋体" w:cs="新宋体"/>
                <w:color w:val="auto"/>
                <w:sz w:val="24"/>
                <w:szCs w:val="24"/>
                <w:highlight w:val="none"/>
              </w:rPr>
              <w:t>他行为</w:t>
            </w:r>
          </w:p>
        </w:tc>
        <w:tc>
          <w:tcPr>
            <w:tcW w:w="11777" w:type="dxa"/>
            <w:vAlign w:val="top"/>
          </w:tcPr>
          <w:p>
            <w:pPr>
              <w:spacing w:before="32" w:line="217"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1、要注意</w:t>
            </w:r>
            <w:r>
              <w:rPr>
                <w:rFonts w:hint="eastAsia" w:ascii="新宋体" w:hAnsi="新宋体" w:eastAsia="新宋体" w:cs="新宋体"/>
                <w:color w:val="auto"/>
                <w:spacing w:val="-3"/>
                <w:sz w:val="24"/>
                <w:szCs w:val="24"/>
                <w:highlight w:val="none"/>
              </w:rPr>
              <w:t>个人形象，不允许随地吐痰，乱扔果皮、纸屑；上班时间不允许吃零食，玩弄个人小物品或做与工作无关的事情；</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2</w:t>
            </w:r>
            <w:r>
              <w:rPr>
                <w:rFonts w:hint="eastAsia" w:ascii="新宋体" w:hAnsi="新宋体" w:eastAsia="新宋体" w:cs="新宋体"/>
                <w:color w:val="auto"/>
                <w:sz w:val="24"/>
                <w:szCs w:val="24"/>
                <w:highlight w:val="none"/>
              </w:rPr>
              <w:t>、到公共、工作场所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进行工作时，不允许乱翻乱摸，更不允许随意拿走公用的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东西；</w:t>
            </w:r>
          </w:p>
          <w:p>
            <w:pPr>
              <w:spacing w:before="90"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3、谈话时，手势不宜过多，幅度不宜太大</w:t>
            </w:r>
            <w:r>
              <w:rPr>
                <w:rFonts w:hint="eastAsia" w:ascii="新宋体" w:hAnsi="新宋体" w:eastAsia="新宋体" w:cs="新宋体"/>
                <w:color w:val="auto"/>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restart"/>
            <w:textDirection w:val="tbRlV"/>
            <w:vAlign w:val="top"/>
          </w:tcPr>
          <w:p>
            <w:pPr>
              <w:spacing w:before="92" w:line="181" w:lineRule="auto"/>
              <w:ind w:left="190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礼貌用</w:t>
            </w:r>
            <w:r>
              <w:rPr>
                <w:rFonts w:hint="eastAsia" w:ascii="新宋体" w:hAnsi="新宋体" w:eastAsia="新宋体" w:cs="新宋体"/>
                <w:color w:val="auto"/>
                <w:sz w:val="24"/>
                <w:szCs w:val="24"/>
                <w:highlight w:val="none"/>
              </w:rPr>
              <w:t>语</w:t>
            </w:r>
          </w:p>
        </w:tc>
        <w:tc>
          <w:tcPr>
            <w:tcW w:w="2053" w:type="dxa"/>
            <w:gridSpan w:val="2"/>
            <w:vAlign w:val="top"/>
          </w:tcPr>
          <w:p>
            <w:pPr>
              <w:spacing w:before="90" w:line="186" w:lineRule="auto"/>
              <w:ind w:left="72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问候语</w:t>
            </w:r>
          </w:p>
        </w:tc>
        <w:tc>
          <w:tcPr>
            <w:tcW w:w="11777" w:type="dxa"/>
            <w:vAlign w:val="top"/>
          </w:tcPr>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您好、早安、午安、早、早上好、下午好、</w:t>
            </w:r>
            <w:r>
              <w:rPr>
                <w:rFonts w:hint="eastAsia" w:ascii="新宋体" w:hAnsi="新宋体" w:eastAsia="新宋体" w:cs="新宋体"/>
                <w:color w:val="auto"/>
                <w:sz w:val="24"/>
                <w:szCs w:val="24"/>
                <w:highlight w:val="none"/>
              </w:rPr>
              <w:t>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0" w:line="187"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欢</w:t>
            </w:r>
            <w:r>
              <w:rPr>
                <w:rFonts w:hint="eastAsia" w:ascii="新宋体" w:hAnsi="新宋体" w:eastAsia="新宋体" w:cs="新宋体"/>
                <w:color w:val="auto"/>
                <w:sz w:val="24"/>
                <w:szCs w:val="24"/>
                <w:highlight w:val="none"/>
              </w:rPr>
              <w:t>迎语</w:t>
            </w:r>
          </w:p>
        </w:tc>
        <w:tc>
          <w:tcPr>
            <w:tcW w:w="11777" w:type="dxa"/>
            <w:vAlign w:val="top"/>
          </w:tcPr>
          <w:p>
            <w:pPr>
              <w:spacing w:before="90"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欢</w:t>
            </w:r>
            <w:r>
              <w:rPr>
                <w:rFonts w:hint="eastAsia" w:ascii="新宋体" w:hAnsi="新宋体" w:eastAsia="新宋体" w:cs="新宋体"/>
                <w:color w:val="auto"/>
                <w:spacing w:val="-7"/>
                <w:sz w:val="24"/>
                <w:szCs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祝贺语</w:t>
            </w:r>
          </w:p>
        </w:tc>
        <w:tc>
          <w:tcPr>
            <w:tcW w:w="11777" w:type="dxa"/>
            <w:vAlign w:val="top"/>
          </w:tcPr>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祝您节</w:t>
            </w:r>
            <w:r>
              <w:rPr>
                <w:rFonts w:hint="eastAsia" w:ascii="新宋体" w:hAnsi="新宋体" w:eastAsia="新宋体" w:cs="新宋体"/>
                <w:color w:val="auto"/>
                <w:sz w:val="24"/>
                <w:szCs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告别</w:t>
            </w:r>
            <w:r>
              <w:rPr>
                <w:rFonts w:hint="eastAsia" w:ascii="新宋体" w:hAnsi="新宋体" w:eastAsia="新宋体" w:cs="新宋体"/>
                <w:color w:val="auto"/>
                <w:sz w:val="24"/>
                <w:szCs w:val="24"/>
                <w:highlight w:val="none"/>
              </w:rPr>
              <w:t>语</w:t>
            </w:r>
          </w:p>
        </w:tc>
        <w:tc>
          <w:tcPr>
            <w:tcW w:w="11777" w:type="dxa"/>
            <w:vAlign w:val="top"/>
          </w:tcPr>
          <w:p>
            <w:pPr>
              <w:spacing w:before="91"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再见、晚安</w:t>
            </w:r>
            <w:r>
              <w:rPr>
                <w:rFonts w:hint="eastAsia" w:ascii="新宋体" w:hAnsi="新宋体" w:eastAsia="新宋体" w:cs="新宋体"/>
                <w:color w:val="auto"/>
                <w:sz w:val="24"/>
                <w:szCs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5"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道歉语</w:t>
            </w:r>
          </w:p>
        </w:tc>
        <w:tc>
          <w:tcPr>
            <w:tcW w:w="11777" w:type="dxa"/>
            <w:vAlign w:val="top"/>
          </w:tcPr>
          <w:p>
            <w:pPr>
              <w:spacing w:before="93"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对不起</w:t>
            </w:r>
            <w:r>
              <w:rPr>
                <w:rFonts w:hint="eastAsia" w:ascii="新宋体" w:hAnsi="新宋体" w:eastAsia="新宋体" w:cs="新宋体"/>
                <w:color w:val="auto"/>
                <w:sz w:val="24"/>
                <w:szCs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道谢语</w:t>
            </w:r>
          </w:p>
        </w:tc>
        <w:tc>
          <w:tcPr>
            <w:tcW w:w="11777" w:type="dxa"/>
            <w:vAlign w:val="top"/>
          </w:tcPr>
          <w:p>
            <w:pPr>
              <w:spacing w:before="93"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谢谢、非常</w:t>
            </w:r>
            <w:r>
              <w:rPr>
                <w:rFonts w:hint="eastAsia" w:ascii="新宋体" w:hAnsi="新宋体" w:eastAsia="新宋体" w:cs="新宋体"/>
                <w:color w:val="auto"/>
                <w:sz w:val="24"/>
                <w:szCs w:val="24"/>
                <w:highlight w:val="none"/>
              </w:rPr>
              <w:t>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应答语</w:t>
            </w:r>
          </w:p>
        </w:tc>
        <w:tc>
          <w:tcPr>
            <w:tcW w:w="11777" w:type="dxa"/>
            <w:vAlign w:val="top"/>
          </w:tcPr>
          <w:p>
            <w:pPr>
              <w:spacing w:before="93"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是的、好的、我明白了、谢谢您的好意、不要客</w:t>
            </w:r>
            <w:r>
              <w:rPr>
                <w:rFonts w:hint="eastAsia" w:ascii="新宋体" w:hAnsi="新宋体" w:eastAsia="新宋体" w:cs="新宋体"/>
                <w:color w:val="auto"/>
                <w:sz w:val="24"/>
                <w:szCs w:val="24"/>
                <w:highlight w:val="none"/>
              </w:rPr>
              <w:t>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征询语</w:t>
            </w:r>
          </w:p>
        </w:tc>
        <w:tc>
          <w:tcPr>
            <w:tcW w:w="11777" w:type="dxa"/>
            <w:vAlign w:val="top"/>
          </w:tcPr>
          <w:p>
            <w:pPr>
              <w:spacing w:before="93"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1"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请求语</w:t>
            </w:r>
          </w:p>
        </w:tc>
        <w:tc>
          <w:tcPr>
            <w:tcW w:w="11777" w:type="dxa"/>
            <w:vAlign w:val="top"/>
          </w:tcPr>
          <w:p>
            <w:pPr>
              <w:spacing w:before="94"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请您协</w:t>
            </w:r>
            <w:r>
              <w:rPr>
                <w:rFonts w:hint="eastAsia" w:ascii="新宋体" w:hAnsi="新宋体" w:eastAsia="新宋体" w:cs="新宋体"/>
                <w:color w:val="auto"/>
                <w:spacing w:val="-3"/>
                <w:sz w:val="24"/>
                <w:szCs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商</w:t>
            </w:r>
            <w:r>
              <w:rPr>
                <w:rFonts w:hint="eastAsia" w:ascii="新宋体" w:hAnsi="新宋体" w:eastAsia="新宋体" w:cs="新宋体"/>
                <w:color w:val="auto"/>
                <w:spacing w:val="-1"/>
                <w:sz w:val="24"/>
                <w:szCs w:val="24"/>
                <w:highlight w:val="none"/>
              </w:rPr>
              <w:t>量语</w:t>
            </w:r>
          </w:p>
        </w:tc>
        <w:tc>
          <w:tcPr>
            <w:tcW w:w="11777" w:type="dxa"/>
            <w:vAlign w:val="top"/>
          </w:tcPr>
          <w:p>
            <w:pPr>
              <w:spacing w:before="93" w:line="221" w:lineRule="auto"/>
              <w:ind w:left="12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……您看</w:t>
            </w:r>
            <w:r>
              <w:rPr>
                <w:rFonts w:hint="eastAsia" w:ascii="新宋体" w:hAnsi="新宋体" w:eastAsia="新宋体" w:cs="新宋体"/>
                <w:color w:val="auto"/>
                <w:spacing w:val="-3"/>
                <w:sz w:val="24"/>
                <w:szCs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jc w:val="center"/>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5" w:line="186"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解</w:t>
            </w:r>
            <w:r>
              <w:rPr>
                <w:rFonts w:hint="eastAsia" w:ascii="新宋体" w:hAnsi="新宋体" w:eastAsia="新宋体" w:cs="新宋体"/>
                <w:color w:val="auto"/>
                <w:sz w:val="24"/>
                <w:szCs w:val="24"/>
                <w:highlight w:val="none"/>
              </w:rPr>
              <w:t>释语</w:t>
            </w:r>
          </w:p>
        </w:tc>
        <w:tc>
          <w:tcPr>
            <w:tcW w:w="11777" w:type="dxa"/>
            <w:vAlign w:val="top"/>
          </w:tcPr>
          <w:p>
            <w:pPr>
              <w:spacing w:before="93"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很抱</w:t>
            </w:r>
            <w:r>
              <w:rPr>
                <w:rFonts w:hint="eastAsia" w:ascii="新宋体" w:hAnsi="新宋体" w:eastAsia="新宋体" w:cs="新宋体"/>
                <w:color w:val="auto"/>
                <w:spacing w:val="-5"/>
                <w:sz w:val="24"/>
                <w:szCs w:val="24"/>
                <w:highlight w:val="none"/>
              </w:rPr>
              <w:t>歉，这种情况，单位的规定是这样的。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72" w:hRule="atLeast"/>
          <w:jc w:val="center"/>
        </w:trPr>
        <w:tc>
          <w:tcPr>
            <w:tcW w:w="737" w:type="dxa"/>
            <w:gridSpan w:val="2"/>
            <w:textDirection w:val="tbRlV"/>
            <w:vAlign w:val="top"/>
          </w:tcPr>
          <w:p>
            <w:pPr>
              <w:spacing w:before="92" w:line="181" w:lineRule="auto"/>
              <w:ind w:left="39"/>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对来访</w:t>
            </w:r>
            <w:r>
              <w:rPr>
                <w:rFonts w:hint="eastAsia" w:ascii="新宋体" w:hAnsi="新宋体" w:eastAsia="新宋体" w:cs="新宋体"/>
                <w:color w:val="auto"/>
                <w:sz w:val="24"/>
                <w:szCs w:val="24"/>
                <w:highlight w:val="none"/>
              </w:rPr>
              <w:t>人员</w:t>
            </w:r>
          </w:p>
        </w:tc>
        <w:tc>
          <w:tcPr>
            <w:tcW w:w="13830" w:type="dxa"/>
            <w:gridSpan w:val="3"/>
            <w:vAlign w:val="top"/>
          </w:tcPr>
          <w:p>
            <w:pPr>
              <w:spacing w:before="39" w:line="219"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1.主动说：“您好，请问您</w:t>
            </w:r>
            <w:r>
              <w:rPr>
                <w:rFonts w:hint="eastAsia" w:ascii="新宋体" w:hAnsi="新宋体" w:eastAsia="新宋体" w:cs="新宋体"/>
                <w:color w:val="auto"/>
                <w:spacing w:val="-3"/>
                <w:sz w:val="24"/>
                <w:szCs w:val="24"/>
                <w:highlight w:val="none"/>
              </w:rPr>
              <w:t>找</w:t>
            </w:r>
            <w:r>
              <w:rPr>
                <w:rFonts w:hint="eastAsia" w:ascii="新宋体" w:hAnsi="新宋体" w:eastAsia="新宋体" w:cs="新宋体"/>
                <w:color w:val="auto"/>
                <w:spacing w:val="-2"/>
                <w:sz w:val="24"/>
                <w:szCs w:val="24"/>
                <w:highlight w:val="none"/>
              </w:rPr>
              <w:t>哪一位”或“我可以帮助您吗？”“请您出示证件。”</w:t>
            </w:r>
            <w:r>
              <w:rPr>
                <w:rFonts w:hint="eastAsia" w:ascii="新宋体" w:hAnsi="新宋体" w:eastAsia="新宋体" w:cs="新宋体"/>
                <w:color w:val="auto"/>
                <w:spacing w:val="-2"/>
                <w:sz w:val="24"/>
                <w:szCs w:val="24"/>
                <w:highlight w:val="none"/>
                <w:lang w:eastAsia="zh-CN"/>
              </w:rPr>
              <w:t>（</w:t>
            </w:r>
            <w:r>
              <w:rPr>
                <w:rFonts w:hint="eastAsia" w:ascii="新宋体" w:hAnsi="新宋体" w:eastAsia="新宋体" w:cs="新宋体"/>
                <w:color w:val="auto"/>
                <w:spacing w:val="-2"/>
                <w:sz w:val="24"/>
                <w:szCs w:val="24"/>
                <w:highlight w:val="none"/>
              </w:rPr>
              <w:t>保安专用</w:t>
            </w:r>
            <w:r>
              <w:rPr>
                <w:rFonts w:hint="eastAsia" w:ascii="新宋体" w:hAnsi="新宋体" w:eastAsia="新宋体" w:cs="新宋体"/>
                <w:color w:val="auto"/>
                <w:spacing w:val="-2"/>
                <w:sz w:val="24"/>
                <w:szCs w:val="24"/>
                <w:highlight w:val="none"/>
                <w:lang w:eastAsia="zh-CN"/>
              </w:rPr>
              <w:t>）</w:t>
            </w:r>
          </w:p>
          <w:p>
            <w:pPr>
              <w:spacing w:before="89" w:line="219"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2.</w:t>
            </w:r>
            <w:r>
              <w:rPr>
                <w:rFonts w:hint="eastAsia" w:ascii="新宋体" w:hAnsi="新宋体" w:eastAsia="新宋体" w:cs="新宋体"/>
                <w:color w:val="auto"/>
                <w:spacing w:val="-8"/>
                <w:sz w:val="24"/>
                <w:szCs w:val="24"/>
                <w:highlight w:val="none"/>
              </w:rPr>
              <w:t>确</w:t>
            </w:r>
            <w:r>
              <w:rPr>
                <w:rFonts w:hint="eastAsia" w:ascii="新宋体" w:hAnsi="新宋体" w:eastAsia="新宋体" w:cs="新宋体"/>
                <w:color w:val="auto"/>
                <w:spacing w:val="-7"/>
                <w:sz w:val="24"/>
                <w:szCs w:val="24"/>
                <w:highlight w:val="none"/>
              </w:rPr>
              <w:t>认来访人要求后，说“请稍等，我帮您联系”与被访人联系后告诉来访人“他马上来，请您先等一下，好吗？”</w:t>
            </w:r>
          </w:p>
          <w:p>
            <w:pPr>
              <w:spacing w:before="91"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3.当</w:t>
            </w:r>
            <w:r>
              <w:rPr>
                <w:rFonts w:hint="eastAsia" w:ascii="新宋体" w:hAnsi="新宋体" w:eastAsia="新宋体" w:cs="新宋体"/>
                <w:color w:val="auto"/>
                <w:spacing w:val="-4"/>
                <w:sz w:val="24"/>
                <w:szCs w:val="24"/>
                <w:highlight w:val="none"/>
              </w:rPr>
              <w:t>来访人员不理解或不愿意出示证件时，应说：“对不起，先生/小姐，这是单位规定，请理解！”</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保安专用</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16"/>
                <w:sz w:val="24"/>
                <w:szCs w:val="24"/>
                <w:highlight w:val="none"/>
              </w:rPr>
              <w:t>4.</w:t>
            </w:r>
            <w:r>
              <w:rPr>
                <w:rFonts w:hint="eastAsia" w:ascii="新宋体" w:hAnsi="新宋体" w:eastAsia="新宋体" w:cs="新宋体"/>
                <w:color w:val="auto"/>
                <w:spacing w:val="-12"/>
                <w:sz w:val="24"/>
                <w:szCs w:val="24"/>
                <w:highlight w:val="none"/>
              </w:rPr>
              <w:t>当</w:t>
            </w:r>
            <w:r>
              <w:rPr>
                <w:rFonts w:hint="eastAsia" w:ascii="新宋体" w:hAnsi="新宋体" w:eastAsia="新宋体" w:cs="新宋体"/>
                <w:color w:val="auto"/>
                <w:spacing w:val="-8"/>
                <w:sz w:val="24"/>
                <w:szCs w:val="24"/>
                <w:highlight w:val="none"/>
              </w:rPr>
              <w:t>来访人员忘记带证件必须进入区域时，应说：“先生/小姐，请稍候，让我请示一下好吗？”</w:t>
            </w:r>
          </w:p>
          <w:p>
            <w:pPr>
              <w:spacing w:before="36" w:line="217"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5.当确认来访</w:t>
            </w:r>
            <w:r>
              <w:rPr>
                <w:rFonts w:hint="eastAsia" w:ascii="新宋体" w:hAnsi="新宋体" w:eastAsia="新宋体" w:cs="新宋体"/>
                <w:color w:val="auto"/>
                <w:spacing w:val="-6"/>
                <w:sz w:val="24"/>
                <w:szCs w:val="24"/>
                <w:highlight w:val="none"/>
              </w:rPr>
              <w:t>人故意捣乱，耍横硬闯时，应先说：“对不起，按单位的规定，没有证件不允许进入办公区，请配合我的工作。”</w:t>
            </w:r>
          </w:p>
          <w:p>
            <w:pPr>
              <w:spacing w:before="93"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6.当来访人</w:t>
            </w:r>
            <w:r>
              <w:rPr>
                <w:rFonts w:hint="eastAsia" w:ascii="新宋体" w:hAnsi="新宋体" w:eastAsia="新宋体" w:cs="新宋体"/>
                <w:color w:val="auto"/>
                <w:sz w:val="24"/>
                <w:szCs w:val="24"/>
                <w:highlight w:val="none"/>
              </w:rPr>
              <w:t>员出示证件时，应说：“谢谢您的配合。”</w:t>
            </w:r>
          </w:p>
          <w:p>
            <w:pPr>
              <w:spacing w:before="89" w:line="220"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7.如</w:t>
            </w:r>
            <w:r>
              <w:rPr>
                <w:rFonts w:hint="eastAsia" w:ascii="新宋体" w:hAnsi="新宋体" w:eastAsia="新宋体" w:cs="新宋体"/>
                <w:color w:val="auto"/>
                <w:sz w:val="24"/>
                <w:szCs w:val="24"/>
                <w:highlight w:val="none"/>
              </w:rPr>
              <w:t>果要找的人不在或不想见时，应礼貌地对对方说“对不起，他现在不在，您能留下卡片或口信吗？”</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8"/>
                <w:sz w:val="24"/>
                <w:szCs w:val="24"/>
                <w:highlight w:val="none"/>
              </w:rPr>
              <w:t>8.当</w:t>
            </w:r>
            <w:r>
              <w:rPr>
                <w:rFonts w:hint="eastAsia" w:ascii="新宋体" w:hAnsi="新宋体" w:eastAsia="新宋体" w:cs="新宋体"/>
                <w:color w:val="auto"/>
                <w:spacing w:val="-5"/>
                <w:sz w:val="24"/>
                <w:szCs w:val="24"/>
                <w:highlight w:val="none"/>
              </w:rPr>
              <w:t>来</w:t>
            </w:r>
            <w:r>
              <w:rPr>
                <w:rFonts w:hint="eastAsia" w:ascii="新宋体" w:hAnsi="新宋体" w:eastAsia="新宋体" w:cs="新宋体"/>
                <w:color w:val="auto"/>
                <w:spacing w:val="-4"/>
                <w:sz w:val="24"/>
                <w:szCs w:val="24"/>
                <w:highlight w:val="none"/>
              </w:rPr>
              <w:t>访人员离开时，应礼貌地说“再见！”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3068" w:hRule="atLeast"/>
          <w:jc w:val="center"/>
        </w:trPr>
        <w:tc>
          <w:tcPr>
            <w:tcW w:w="737" w:type="dxa"/>
            <w:gridSpan w:val="2"/>
            <w:textDirection w:val="tbRlV"/>
            <w:vAlign w:val="top"/>
          </w:tcPr>
          <w:p>
            <w:pPr>
              <w:spacing w:before="93" w:line="181" w:lineRule="auto"/>
              <w:ind w:left="54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接听拨打电</w:t>
            </w:r>
            <w:r>
              <w:rPr>
                <w:rFonts w:hint="eastAsia" w:ascii="新宋体" w:hAnsi="新宋体" w:eastAsia="新宋体" w:cs="新宋体"/>
                <w:color w:val="auto"/>
                <w:spacing w:val="1"/>
                <w:sz w:val="24"/>
                <w:szCs w:val="24"/>
                <w:highlight w:val="none"/>
              </w:rPr>
              <w:t>话</w:t>
            </w:r>
          </w:p>
        </w:tc>
        <w:tc>
          <w:tcPr>
            <w:tcW w:w="13830" w:type="dxa"/>
            <w:gridSpan w:val="3"/>
            <w:vAlign w:val="top"/>
          </w:tcPr>
          <w:p>
            <w:pPr>
              <w:spacing w:before="33" w:line="221"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1.接听电话时应清晰应答：“您好，××单位。</w:t>
            </w:r>
            <w:r>
              <w:rPr>
                <w:rFonts w:hint="eastAsia" w:ascii="新宋体" w:hAnsi="新宋体" w:eastAsia="新宋体" w:cs="新宋体"/>
                <w:color w:val="auto"/>
                <w:spacing w:val="-1"/>
                <w:sz w:val="24"/>
                <w:szCs w:val="24"/>
                <w:highlight w:val="none"/>
              </w:rPr>
              <w:t>”</w:t>
            </w:r>
          </w:p>
          <w:p>
            <w:pPr>
              <w:spacing w:before="90" w:line="260" w:lineRule="auto"/>
              <w:ind w:left="112" w:right="113" w:firstLine="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2.认真倾听对方的电话事由，若需传呼他人，应请对方稍候，然后轻轻搁下电话，去传呼他人：如对方有公事相告时，应将对方要求逐条记录</w:t>
            </w:r>
            <w:r>
              <w:rPr>
                <w:rFonts w:hint="eastAsia" w:ascii="新宋体" w:hAnsi="新宋体" w:eastAsia="新宋体" w:cs="新宋体"/>
                <w:color w:val="auto"/>
                <w:spacing w:val="-3"/>
                <w:sz w:val="24"/>
                <w:szCs w:val="24"/>
                <w:highlight w:val="none"/>
              </w:rPr>
              <w:t>在</w:t>
            </w:r>
            <w:r>
              <w:rPr>
                <w:rFonts w:hint="eastAsia" w:ascii="新宋体" w:hAnsi="新宋体" w:eastAsia="新宋体" w:cs="新宋体"/>
                <w:color w:val="auto"/>
                <w:sz w:val="24"/>
                <w:szCs w:val="24"/>
                <w:highlight w:val="none"/>
              </w:rPr>
              <w:t>《工</w:t>
            </w:r>
            <w:r>
              <w:rPr>
                <w:rFonts w:hint="eastAsia" w:ascii="新宋体" w:hAnsi="新宋体" w:eastAsia="新宋体" w:cs="新宋体"/>
                <w:color w:val="auto"/>
                <w:spacing w:val="-2"/>
                <w:sz w:val="24"/>
                <w:szCs w:val="24"/>
                <w:highlight w:val="none"/>
              </w:rPr>
              <w:t>作日记》内，并尽量详细回</w:t>
            </w:r>
            <w:r>
              <w:rPr>
                <w:rFonts w:hint="eastAsia" w:ascii="新宋体" w:hAnsi="新宋体" w:eastAsia="新宋体" w:cs="新宋体"/>
                <w:color w:val="auto"/>
                <w:spacing w:val="-1"/>
                <w:sz w:val="24"/>
                <w:szCs w:val="24"/>
                <w:highlight w:val="none"/>
              </w:rPr>
              <w:t>答。</w:t>
            </w:r>
          </w:p>
          <w:p>
            <w:pPr>
              <w:spacing w:before="89"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7"/>
                <w:sz w:val="24"/>
                <w:szCs w:val="24"/>
                <w:highlight w:val="none"/>
              </w:rPr>
              <w:t>通话完毕，应说：“谢谢，再见！”语气平和，并在对方放下电话后再轻轻放下电话。</w:t>
            </w:r>
          </w:p>
          <w:p>
            <w:pPr>
              <w:spacing w:before="88" w:line="217" w:lineRule="auto"/>
              <w:ind w:left="1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6"/>
                <w:sz w:val="24"/>
                <w:szCs w:val="24"/>
                <w:highlight w:val="none"/>
              </w:rPr>
              <w:t>4.如</w:t>
            </w:r>
            <w:r>
              <w:rPr>
                <w:rFonts w:hint="eastAsia" w:ascii="新宋体" w:hAnsi="新宋体" w:eastAsia="新宋体" w:cs="新宋体"/>
                <w:color w:val="auto"/>
                <w:spacing w:val="-13"/>
                <w:sz w:val="24"/>
                <w:szCs w:val="24"/>
                <w:highlight w:val="none"/>
              </w:rPr>
              <w:t>接</w:t>
            </w:r>
            <w:r>
              <w:rPr>
                <w:rFonts w:hint="eastAsia" w:ascii="新宋体" w:hAnsi="新宋体" w:eastAsia="新宋体" w:cs="新宋体"/>
                <w:color w:val="auto"/>
                <w:spacing w:val="-8"/>
                <w:sz w:val="24"/>
                <w:szCs w:val="24"/>
                <w:highlight w:val="none"/>
              </w:rPr>
              <w:t>电话听不懂对方语言时，应说：“对不起，请您用普通话，好吗？”或“不好意思，请稍候，我不会说当地话。”</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5.中途若遇急事需暂时中</w:t>
            </w:r>
            <w:r>
              <w:rPr>
                <w:rFonts w:hint="eastAsia" w:ascii="新宋体" w:hAnsi="新宋体" w:eastAsia="新宋体" w:cs="新宋体"/>
                <w:color w:val="auto"/>
                <w:spacing w:val="-5"/>
                <w:sz w:val="24"/>
                <w:szCs w:val="24"/>
                <w:highlight w:val="none"/>
              </w:rPr>
              <w:t>断</w:t>
            </w:r>
            <w:r>
              <w:rPr>
                <w:rFonts w:hint="eastAsia" w:ascii="新宋体" w:hAnsi="新宋体" w:eastAsia="新宋体" w:cs="新宋体"/>
                <w:color w:val="auto"/>
                <w:spacing w:val="-3"/>
                <w:sz w:val="24"/>
                <w:szCs w:val="24"/>
                <w:highlight w:val="none"/>
              </w:rPr>
              <w:t>与对方通话时，应先征得对方的同意，并表示感谢，恢复与对方通话时，切勿忘记向对方致歉。</w:t>
            </w:r>
          </w:p>
          <w:p>
            <w:pPr>
              <w:spacing w:before="90"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6.接听电话时，声调要自然清晰、柔和、亲切，音量</w:t>
            </w:r>
            <w:r>
              <w:rPr>
                <w:rFonts w:hint="eastAsia" w:ascii="新宋体" w:hAnsi="新宋体" w:eastAsia="新宋体" w:cs="新宋体"/>
                <w:color w:val="auto"/>
                <w:sz w:val="24"/>
                <w:szCs w:val="24"/>
                <w:highlight w:val="none"/>
              </w:rPr>
              <w:t>要适宜，以免对方听不清楚。</w:t>
            </w:r>
          </w:p>
          <w:p>
            <w:pPr>
              <w:spacing w:before="90"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7.拨打电话接通后，应首先向对方致以问候，如：“您好”，并作自我介绍。使用敬语，将要找的通话人姓名及要做的事交待清</w:t>
            </w:r>
            <w:r>
              <w:rPr>
                <w:rFonts w:hint="eastAsia" w:ascii="新宋体" w:hAnsi="新宋体" w:eastAsia="新宋体" w:cs="新宋体"/>
                <w:color w:val="auto"/>
                <w:spacing w:val="-7"/>
                <w:sz w:val="24"/>
                <w:szCs w:val="24"/>
                <w:highlight w:val="none"/>
              </w:rPr>
              <w:t>楚</w:t>
            </w:r>
            <w:r>
              <w:rPr>
                <w:rFonts w:hint="eastAsia" w:ascii="新宋体" w:hAnsi="新宋体" w:eastAsia="新宋体" w:cs="新宋体"/>
                <w:color w:val="auto"/>
                <w:sz w:val="24"/>
                <w:szCs w:val="24"/>
                <w:highlight w:val="none"/>
              </w:rPr>
              <w:t>。</w:t>
            </w:r>
          </w:p>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8</w:t>
            </w:r>
            <w:r>
              <w:rPr>
                <w:rFonts w:hint="eastAsia" w:ascii="新宋体" w:hAnsi="新宋体" w:eastAsia="新宋体" w:cs="新宋体"/>
                <w:color w:val="auto"/>
                <w:spacing w:val="-13"/>
                <w:sz w:val="24"/>
                <w:szCs w:val="24"/>
                <w:highlight w:val="none"/>
              </w:rPr>
              <w:t>.通话完毕时，应说：“谢谢，再见。”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1028" w:hRule="atLeast"/>
          <w:jc w:val="center"/>
        </w:trPr>
        <w:tc>
          <w:tcPr>
            <w:tcW w:w="737" w:type="dxa"/>
            <w:gridSpan w:val="2"/>
            <w:vAlign w:val="top"/>
          </w:tcPr>
          <w:p>
            <w:pPr>
              <w:spacing w:before="206" w:line="227"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同</w:t>
            </w:r>
            <w:r>
              <w:rPr>
                <w:rFonts w:hint="eastAsia" w:ascii="新宋体" w:hAnsi="新宋体" w:eastAsia="新宋体" w:cs="新宋体"/>
                <w:color w:val="auto"/>
                <w:spacing w:val="-2"/>
                <w:sz w:val="24"/>
                <w:szCs w:val="24"/>
                <w:highlight w:val="none"/>
              </w:rPr>
              <w:t>乘</w:t>
            </w:r>
          </w:p>
          <w:p>
            <w:pPr>
              <w:spacing w:line="186"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电</w:t>
            </w:r>
            <w:r>
              <w:rPr>
                <w:rFonts w:hint="eastAsia" w:ascii="新宋体" w:hAnsi="新宋体" w:eastAsia="新宋体" w:cs="新宋体"/>
                <w:color w:val="auto"/>
                <w:spacing w:val="-2"/>
                <w:sz w:val="24"/>
                <w:szCs w:val="24"/>
                <w:highlight w:val="none"/>
              </w:rPr>
              <w:t>梯</w:t>
            </w:r>
          </w:p>
        </w:tc>
        <w:tc>
          <w:tcPr>
            <w:tcW w:w="13830" w:type="dxa"/>
            <w:gridSpan w:val="3"/>
            <w:vAlign w:val="top"/>
          </w:tcPr>
          <w:p>
            <w:pPr>
              <w:spacing w:before="36" w:line="260" w:lineRule="auto"/>
              <w:ind w:left="110" w:right="167" w:firstLine="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1.主动按</w:t>
            </w:r>
            <w:r>
              <w:rPr>
                <w:rFonts w:hint="eastAsia" w:ascii="新宋体" w:hAnsi="新宋体" w:eastAsia="新宋体" w:cs="新宋体"/>
                <w:color w:val="auto"/>
                <w:spacing w:val="-3"/>
                <w:sz w:val="24"/>
                <w:szCs w:val="24"/>
                <w:highlight w:val="none"/>
              </w:rPr>
              <w:t>“开门”钮，电梯到层时，应站在梯门边，一只手斜放在梯门上，以免梯门突然关闭，同时面带微笑地说“电梯来了，请进。”顾客进</w:t>
            </w:r>
            <w:r>
              <w:rPr>
                <w:rFonts w:hint="eastAsia" w:ascii="新宋体" w:hAnsi="新宋体" w:eastAsia="新宋体" w:cs="新宋体"/>
                <w:color w:val="auto"/>
                <w:spacing w:val="-10"/>
                <w:sz w:val="24"/>
                <w:szCs w:val="24"/>
                <w:highlight w:val="none"/>
              </w:rPr>
              <w:t>入</w:t>
            </w:r>
            <w:r>
              <w:rPr>
                <w:rFonts w:hint="eastAsia" w:ascii="新宋体" w:hAnsi="新宋体" w:eastAsia="新宋体" w:cs="新宋体"/>
                <w:color w:val="auto"/>
                <w:spacing w:val="-8"/>
                <w:sz w:val="24"/>
                <w:szCs w:val="24"/>
                <w:highlight w:val="none"/>
              </w:rPr>
              <w:t>电</w:t>
            </w:r>
            <w:r>
              <w:rPr>
                <w:rFonts w:hint="eastAsia" w:ascii="新宋体" w:hAnsi="新宋体" w:eastAsia="新宋体" w:cs="新宋体"/>
                <w:color w:val="auto"/>
                <w:spacing w:val="-5"/>
                <w:sz w:val="24"/>
                <w:szCs w:val="24"/>
                <w:highlight w:val="none"/>
              </w:rPr>
              <w:t>梯后再进电梯，面向电梯门，按“关门”钮。</w:t>
            </w:r>
          </w:p>
          <w:p>
            <w:pPr>
              <w:spacing w:before="87"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2.电梯停止梯门打开后，首先出去站立在梯门旁，一只手斜放在梯门上，同时另一只手指向通道</w:t>
            </w:r>
            <w:r>
              <w:rPr>
                <w:rFonts w:hint="eastAsia" w:ascii="新宋体" w:hAnsi="新宋体" w:eastAsia="新宋体" w:cs="新宋体"/>
                <w:color w:val="auto"/>
                <w:spacing w:val="-1"/>
                <w:sz w:val="24"/>
                <w:szCs w:val="24"/>
                <w:highlight w:val="none"/>
              </w:rPr>
              <w:t>，面带微笑地说：“到了，请走好。”</w:t>
            </w:r>
          </w:p>
        </w:tc>
      </w:tr>
    </w:tbl>
    <w:p>
      <w:pPr>
        <w:pStyle w:val="5"/>
        <w:ind w:left="0" w:leftChars="0" w:firstLine="0" w:firstLineChars="0"/>
        <w:rPr>
          <w:rFonts w:hint="eastAsia" w:ascii="新宋体" w:hAnsi="新宋体" w:eastAsia="新宋体" w:cs="新宋体"/>
          <w:color w:val="auto"/>
          <w:kern w:val="0"/>
          <w:sz w:val="24"/>
          <w:szCs w:val="24"/>
          <w:highlight w:val="none"/>
        </w:rPr>
        <w:sectPr>
          <w:pgSz w:w="16838" w:h="11900" w:orient="landscape"/>
          <w:pgMar w:top="1712" w:right="1429" w:bottom="1599" w:left="0" w:header="0" w:footer="0" w:gutter="0"/>
          <w:pgNumType w:fmt="decimal"/>
          <w:cols w:space="720" w:num="1"/>
          <w:titlePg/>
          <w:rtlGutter w:val="0"/>
          <w:docGrid w:type="lines" w:linePitch="318" w:charSpace="0"/>
        </w:sectPr>
      </w:pPr>
    </w:p>
    <w:p>
      <w:pPr>
        <w:spacing w:line="360" w:lineRule="auto"/>
        <w:rPr>
          <w:rFonts w:hint="eastAsia" w:ascii="新宋体" w:hAnsi="新宋体" w:eastAsia="新宋体" w:cs="新宋体"/>
          <w:color w:val="auto"/>
          <w:sz w:val="24"/>
          <w:highlight w:val="none"/>
        </w:rPr>
      </w:pPr>
    </w:p>
    <w:p>
      <w:pPr>
        <w:spacing w:line="66" w:lineRule="exact"/>
        <w:rPr>
          <w:rFonts w:hint="eastAsia" w:ascii="新宋体" w:hAnsi="新宋体" w:eastAsia="新宋体" w:cs="新宋体"/>
          <w:color w:val="auto"/>
          <w:sz w:val="24"/>
          <w:szCs w:val="24"/>
          <w:highlight w:val="none"/>
        </w:rPr>
      </w:pP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其他相关要求</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根据本项目物业使用特点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主要管理流程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包括：激励机制、监督机制、约束机制</w:t>
      </w:r>
      <w:r>
        <w:rPr>
          <w:rFonts w:hint="eastAsia" w:ascii="新宋体" w:hAnsi="新宋体" w:eastAsia="新宋体" w:cs="新宋体"/>
          <w:color w:val="auto"/>
          <w:sz w:val="24"/>
          <w:szCs w:val="24"/>
          <w:highlight w:val="none"/>
          <w:lang w:eastAsia="zh-CN"/>
        </w:rPr>
        <w:t>）。</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有完善的物业管理制度</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，包括：考勤管理制度、财务管理制度、接待投诉制度、培训学习制度、监督考核制度、档案管理制度、各项工作制度等，</w:t>
      </w:r>
      <w:r>
        <w:rPr>
          <w:rFonts w:hint="eastAsia" w:ascii="新宋体" w:hAnsi="新宋体" w:eastAsia="新宋体" w:cs="新宋体"/>
          <w:color w:val="auto"/>
          <w:sz w:val="24"/>
          <w:szCs w:val="24"/>
          <w:highlight w:val="none"/>
        </w:rPr>
        <w:t>体现标准化服务水平。</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本项目投入设施设备等情况</w:t>
      </w:r>
    </w:p>
    <w:p>
      <w:pPr>
        <w:numPr>
          <w:ilvl w:val="0"/>
          <w:numId w:val="11"/>
        </w:numPr>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w:t>
      </w:r>
      <w:r>
        <w:rPr>
          <w:rFonts w:hint="eastAsia" w:ascii="新宋体" w:hAnsi="新宋体" w:eastAsia="新宋体" w:cs="新宋体"/>
          <w:color w:val="auto"/>
          <w:sz w:val="24"/>
          <w:szCs w:val="24"/>
          <w:highlight w:val="none"/>
          <w:lang w:eastAsia="zh-CN"/>
        </w:rPr>
        <w:t>人</w:t>
      </w:r>
      <w:r>
        <w:rPr>
          <w:rFonts w:hint="eastAsia" w:ascii="新宋体" w:hAnsi="新宋体" w:eastAsia="新宋体" w:cs="新宋体"/>
          <w:color w:val="auto"/>
          <w:sz w:val="24"/>
          <w:szCs w:val="24"/>
          <w:highlight w:val="none"/>
        </w:rPr>
        <w:t>提供的办公区域内，不能与物管区域外单位、部门或团体共用，其办公用品所需耗材由中标单位自行承担。</w:t>
      </w:r>
    </w:p>
    <w:p>
      <w:pPr>
        <w:numPr>
          <w:ilvl w:val="0"/>
          <w:numId w:val="11"/>
        </w:numPr>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应投入本项目的设备：扫地机、</w:t>
      </w:r>
      <w:r>
        <w:rPr>
          <w:rFonts w:hint="eastAsia" w:ascii="新宋体" w:hAnsi="新宋体" w:eastAsia="新宋体" w:cs="新宋体"/>
          <w:color w:val="auto"/>
          <w:sz w:val="24"/>
          <w:szCs w:val="24"/>
          <w:highlight w:val="none"/>
          <w:lang w:val="en-US" w:eastAsia="zh-CN"/>
        </w:rPr>
        <w:t>抛光机、高压冲洗机、吸尘吸水器等。</w:t>
      </w:r>
    </w:p>
    <w:p>
      <w:pPr>
        <w:numPr>
          <w:ilvl w:val="0"/>
          <w:numId w:val="11"/>
        </w:numPr>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应提供</w:t>
      </w:r>
      <w:r>
        <w:rPr>
          <w:rFonts w:hint="eastAsia" w:ascii="新宋体" w:hAnsi="新宋体" w:eastAsia="新宋体" w:cs="新宋体"/>
          <w:color w:val="auto"/>
          <w:sz w:val="24"/>
          <w:szCs w:val="24"/>
          <w:highlight w:val="none"/>
        </w:rPr>
        <w:t>保洁日常工具</w:t>
      </w:r>
      <w:r>
        <w:rPr>
          <w:rFonts w:hint="eastAsia" w:ascii="新宋体" w:hAnsi="新宋体" w:eastAsia="新宋体" w:cs="新宋体"/>
          <w:color w:val="auto"/>
          <w:sz w:val="24"/>
          <w:szCs w:val="24"/>
          <w:highlight w:val="none"/>
          <w:lang w:eastAsia="zh-CN"/>
        </w:rPr>
        <w:t>、厕</w:t>
      </w:r>
      <w:r>
        <w:rPr>
          <w:rFonts w:hint="eastAsia" w:ascii="新宋体" w:hAnsi="新宋体" w:eastAsia="新宋体" w:cs="新宋体"/>
          <w:color w:val="auto"/>
          <w:sz w:val="24"/>
          <w:szCs w:val="24"/>
          <w:highlight w:val="none"/>
        </w:rPr>
        <w:t>纸、擦手纸、洗手液</w:t>
      </w:r>
      <w:r>
        <w:rPr>
          <w:rFonts w:hint="eastAsia" w:ascii="新宋体" w:hAnsi="新宋体" w:eastAsia="新宋体" w:cs="新宋体"/>
          <w:color w:val="auto"/>
          <w:sz w:val="24"/>
          <w:szCs w:val="24"/>
          <w:highlight w:val="none"/>
          <w:lang w:eastAsia="zh-CN"/>
        </w:rPr>
        <w:t>等耗材，配备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w:t>
      </w:r>
    </w:p>
    <w:p>
      <w:pPr>
        <w:numPr>
          <w:ilvl w:val="0"/>
          <w:numId w:val="10"/>
        </w:numPr>
        <w:ind w:firstLine="420"/>
        <w:rPr>
          <w:rFonts w:hint="eastAsia" w:ascii="新宋体" w:hAnsi="新宋体" w:eastAsia="新宋体" w:cs="新宋体"/>
          <w:color w:val="auto"/>
          <w:sz w:val="24"/>
          <w:szCs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w:t>
      </w:r>
      <w:r>
        <w:rPr>
          <w:rFonts w:hint="eastAsia" w:ascii="新宋体" w:hAnsi="新宋体" w:eastAsia="新宋体" w:cs="新宋体"/>
          <w:color w:val="auto"/>
          <w:sz w:val="24"/>
          <w:szCs w:val="24"/>
          <w:highlight w:val="none"/>
          <w:lang w:eastAsia="zh-CN"/>
        </w:rPr>
        <w:t>（如应急迎检、夏日提供凉茶、传统节日开展各类活动等）</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具有类似</w:t>
      </w:r>
      <w:r>
        <w:rPr>
          <w:rFonts w:hint="eastAsia" w:ascii="新宋体" w:hAnsi="新宋体" w:eastAsia="新宋体" w:cs="新宋体"/>
          <w:color w:val="auto"/>
          <w:sz w:val="24"/>
          <w:szCs w:val="24"/>
          <w:highlight w:val="none"/>
        </w:rPr>
        <w:t>物业管理服务</w:t>
      </w:r>
      <w:r>
        <w:rPr>
          <w:rFonts w:hint="eastAsia" w:ascii="新宋体" w:hAnsi="新宋体" w:eastAsia="新宋体" w:cs="新宋体"/>
          <w:color w:val="auto"/>
          <w:sz w:val="24"/>
          <w:szCs w:val="24"/>
          <w:highlight w:val="none"/>
          <w:lang w:eastAsia="zh-CN"/>
        </w:rPr>
        <w:t>经验</w:t>
      </w:r>
      <w:r>
        <w:rPr>
          <w:rFonts w:hint="eastAsia" w:ascii="新宋体" w:hAnsi="新宋体" w:eastAsia="新宋体" w:cs="新宋体"/>
          <w:color w:val="auto"/>
          <w:sz w:val="24"/>
          <w:szCs w:val="24"/>
          <w:highlight w:val="none"/>
        </w:rPr>
        <w:t>。</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管理服务费用及支付</w:t>
      </w:r>
    </w:p>
    <w:p>
      <w:pPr>
        <w:numPr>
          <w:ilvl w:val="0"/>
          <w:numId w:val="12"/>
        </w:numPr>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报价说明</w:t>
      </w:r>
    </w:p>
    <w:p>
      <w:pPr>
        <w:widowControl/>
        <w:numPr>
          <w:ilvl w:val="0"/>
          <w:numId w:val="13"/>
        </w:numPr>
        <w:adjustRightInd/>
        <w:spacing w:line="360" w:lineRule="auto"/>
        <w:ind w:firstLine="400" w:firstLineChars="0"/>
        <w:jc w:val="left"/>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lang w:eastAsia="zh-CN"/>
        </w:rPr>
        <w:t>投标报价包含完成</w:t>
      </w:r>
      <w:r>
        <w:rPr>
          <w:rFonts w:hint="eastAsia" w:ascii="新宋体" w:hAnsi="新宋体" w:eastAsia="新宋体" w:cs="新宋体"/>
          <w:bCs/>
          <w:color w:val="auto"/>
          <w:sz w:val="24"/>
          <w:szCs w:val="24"/>
          <w:highlight w:val="none"/>
        </w:rPr>
        <w:t>本项目</w:t>
      </w:r>
      <w:r>
        <w:rPr>
          <w:rFonts w:hint="eastAsia" w:ascii="新宋体" w:hAnsi="新宋体" w:eastAsia="新宋体" w:cs="新宋体"/>
          <w:bCs/>
          <w:color w:val="auto"/>
          <w:sz w:val="24"/>
          <w:szCs w:val="24"/>
          <w:highlight w:val="none"/>
          <w:lang w:eastAsia="zh-CN"/>
        </w:rPr>
        <w:t>招标要求的</w:t>
      </w:r>
      <w:r>
        <w:rPr>
          <w:rFonts w:hint="eastAsia" w:ascii="新宋体" w:hAnsi="新宋体" w:eastAsia="新宋体" w:cs="新宋体"/>
          <w:color w:val="auto"/>
          <w:sz w:val="24"/>
          <w:szCs w:val="24"/>
          <w:highlight w:val="none"/>
          <w:lang w:eastAsia="zh-CN"/>
        </w:rPr>
        <w:t>清洁保洁、</w:t>
      </w:r>
      <w:r>
        <w:rPr>
          <w:rFonts w:hint="eastAsia" w:ascii="新宋体" w:hAnsi="新宋体" w:eastAsia="新宋体" w:cs="新宋体"/>
          <w:bCs/>
          <w:color w:val="auto"/>
          <w:sz w:val="24"/>
          <w:szCs w:val="24"/>
          <w:highlight w:val="none"/>
        </w:rPr>
        <w:t>安全</w:t>
      </w:r>
      <w:r>
        <w:rPr>
          <w:rFonts w:hint="eastAsia" w:ascii="新宋体" w:hAnsi="新宋体" w:eastAsia="新宋体" w:cs="新宋体"/>
          <w:bCs/>
          <w:color w:val="auto"/>
          <w:sz w:val="24"/>
          <w:szCs w:val="24"/>
          <w:highlight w:val="none"/>
          <w:lang w:eastAsia="zh-CN"/>
        </w:rPr>
        <w:t>消控管理、绿化养护</w:t>
      </w:r>
      <w:r>
        <w:rPr>
          <w:rFonts w:hint="eastAsia" w:ascii="新宋体" w:hAnsi="新宋体" w:eastAsia="新宋体" w:cs="新宋体"/>
          <w:bCs/>
          <w:color w:val="auto"/>
          <w:sz w:val="24"/>
          <w:szCs w:val="24"/>
          <w:highlight w:val="none"/>
        </w:rPr>
        <w:t>、</w:t>
      </w:r>
      <w:r>
        <w:rPr>
          <w:rFonts w:hint="eastAsia" w:ascii="新宋体" w:hAnsi="新宋体" w:eastAsia="新宋体" w:cs="新宋体"/>
          <w:bCs/>
          <w:color w:val="auto"/>
          <w:sz w:val="24"/>
          <w:szCs w:val="24"/>
          <w:highlight w:val="none"/>
          <w:lang w:eastAsia="zh-CN"/>
        </w:rPr>
        <w:t>绿化租赁、工程设备维护</w:t>
      </w:r>
      <w:r>
        <w:rPr>
          <w:rFonts w:hint="eastAsia" w:ascii="新宋体" w:hAnsi="新宋体" w:eastAsia="新宋体" w:cs="新宋体"/>
          <w:color w:val="auto"/>
          <w:sz w:val="24"/>
          <w:szCs w:val="24"/>
          <w:highlight w:val="none"/>
        </w:rPr>
        <w:t>、会务服务以及</w:t>
      </w:r>
      <w:r>
        <w:rPr>
          <w:rFonts w:hint="eastAsia" w:ascii="新宋体" w:hAnsi="新宋体" w:eastAsia="新宋体" w:cs="新宋体"/>
          <w:bCs/>
          <w:color w:val="auto"/>
          <w:sz w:val="24"/>
          <w:szCs w:val="24"/>
          <w:highlight w:val="none"/>
        </w:rPr>
        <w:t>采购</w:t>
      </w:r>
      <w:r>
        <w:rPr>
          <w:rFonts w:hint="eastAsia" w:ascii="新宋体" w:hAnsi="新宋体" w:eastAsia="新宋体" w:cs="新宋体"/>
          <w:bCs/>
          <w:color w:val="auto"/>
          <w:sz w:val="24"/>
          <w:szCs w:val="24"/>
          <w:highlight w:val="none"/>
          <w:lang w:eastAsia="zh-CN"/>
        </w:rPr>
        <w:t>人</w:t>
      </w:r>
      <w:r>
        <w:rPr>
          <w:rFonts w:hint="eastAsia" w:ascii="新宋体" w:hAnsi="新宋体" w:eastAsia="新宋体" w:cs="新宋体"/>
          <w:bCs/>
          <w:color w:val="auto"/>
          <w:sz w:val="24"/>
          <w:szCs w:val="24"/>
          <w:highlight w:val="none"/>
        </w:rPr>
        <w:t>交办的其他工作</w:t>
      </w:r>
      <w:r>
        <w:rPr>
          <w:rFonts w:hint="eastAsia" w:ascii="新宋体" w:hAnsi="新宋体" w:eastAsia="新宋体" w:cs="新宋体"/>
          <w:bCs/>
          <w:color w:val="auto"/>
          <w:sz w:val="24"/>
          <w:szCs w:val="24"/>
          <w:highlight w:val="none"/>
          <w:lang w:eastAsia="zh-CN"/>
        </w:rPr>
        <w:t>所产生的所有费用，包括但不限于人员工资、奖金、福利等以及人员服装费、设备维护费、设备使用费、维修配件费、保洁工具耗材费、管理费、税费等</w:t>
      </w:r>
      <w:r>
        <w:rPr>
          <w:rFonts w:hint="eastAsia" w:ascii="新宋体" w:hAnsi="新宋体" w:eastAsia="新宋体" w:cs="新宋体"/>
          <w:bCs/>
          <w:color w:val="auto"/>
          <w:sz w:val="24"/>
          <w:szCs w:val="24"/>
          <w:highlight w:val="none"/>
        </w:rPr>
        <w:t>，采购人不再支付其他费用。</w:t>
      </w:r>
    </w:p>
    <w:p>
      <w:pPr>
        <w:widowControl/>
        <w:numPr>
          <w:ilvl w:val="0"/>
          <w:numId w:val="13"/>
        </w:numPr>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w:t>
      </w:r>
      <w:r>
        <w:rPr>
          <w:rFonts w:hint="eastAsia" w:ascii="新宋体" w:hAnsi="新宋体" w:eastAsia="新宋体" w:cs="新宋体"/>
          <w:color w:val="auto"/>
          <w:sz w:val="24"/>
          <w:szCs w:val="24"/>
          <w:highlight w:val="none"/>
        </w:rPr>
        <w:t>严格按照杭州市社保缴纳基数相关规定进行社保缴纳，并按规定缴纳住房公积金，做到合法用工。</w:t>
      </w:r>
    </w:p>
    <w:p>
      <w:pPr>
        <w:widowControl/>
        <w:numPr>
          <w:ilvl w:val="0"/>
          <w:numId w:val="13"/>
        </w:numPr>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物业管理服务费用以签订的合同价为准</w:t>
      </w:r>
      <w:r>
        <w:rPr>
          <w:rFonts w:hint="eastAsia" w:ascii="新宋体" w:hAnsi="新宋体" w:eastAsia="新宋体" w:cs="新宋体"/>
          <w:color w:val="auto"/>
          <w:sz w:val="24"/>
          <w:szCs w:val="24"/>
          <w:highlight w:val="none"/>
          <w:lang w:eastAsia="zh-CN"/>
        </w:rPr>
        <w:t>，合</w:t>
      </w:r>
      <w:r>
        <w:rPr>
          <w:rFonts w:hint="eastAsia" w:ascii="新宋体" w:hAnsi="新宋体" w:eastAsia="新宋体" w:cs="新宋体"/>
          <w:color w:val="auto"/>
          <w:sz w:val="24"/>
          <w:szCs w:val="24"/>
          <w:highlight w:val="none"/>
        </w:rPr>
        <w:t>同期内如遇工作人员的最低工资调整等其他因素，产生的费用由中标单位承担</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采购人不追加因用工成本增加产生的费用。</w:t>
      </w:r>
    </w:p>
    <w:p>
      <w:pPr>
        <w:numPr>
          <w:ilvl w:val="0"/>
          <w:numId w:val="12"/>
        </w:numPr>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费用支付</w:t>
      </w:r>
    </w:p>
    <w:p>
      <w:pPr>
        <w:spacing w:line="360" w:lineRule="auto"/>
        <w:ind w:firstLine="420" w:firstLineChars="0"/>
        <w:rPr>
          <w:rFonts w:hint="eastAsia" w:ascii="新宋体" w:hAnsi="新宋体" w:eastAsia="新宋体" w:cs="新宋体"/>
          <w:bCs/>
          <w:color w:val="auto"/>
          <w:sz w:val="24"/>
          <w:szCs w:val="24"/>
          <w:highlight w:val="none"/>
        </w:rPr>
      </w:pPr>
      <w:r>
        <w:rPr>
          <w:rFonts w:hint="eastAsia" w:ascii="新宋体" w:hAnsi="新宋体" w:eastAsia="新宋体" w:cs="新宋体"/>
          <w:color w:val="auto"/>
          <w:sz w:val="24"/>
          <w:szCs w:val="24"/>
          <w:highlight w:val="none"/>
          <w:shd w:val="clear" w:color="040000" w:fill="FFFFFF"/>
          <w:lang w:val="en-US" w:eastAsia="zh-CN"/>
        </w:rPr>
        <w:t>1、</w:t>
      </w:r>
      <w:r>
        <w:rPr>
          <w:rFonts w:hint="eastAsia" w:ascii="新宋体" w:hAnsi="新宋体" w:eastAsia="新宋体" w:cs="新宋体"/>
          <w:color w:val="auto"/>
          <w:sz w:val="24"/>
          <w:highlight w:val="none"/>
          <w:shd w:val="clear" w:color="040000" w:fill="FFFFFF"/>
        </w:rPr>
        <w:t>采购人自合同签订后每三个月经考核合格后支付年合同价的25%</w:t>
      </w:r>
      <w:r>
        <w:rPr>
          <w:rFonts w:hint="eastAsia" w:ascii="新宋体" w:hAnsi="新宋体" w:eastAsia="新宋体" w:cs="新宋体"/>
          <w:color w:val="auto"/>
          <w:sz w:val="24"/>
          <w:szCs w:val="24"/>
          <w:highlight w:val="none"/>
          <w:shd w:val="clear" w:color="040000" w:fill="FFFFFF"/>
        </w:rPr>
        <w:t>。</w:t>
      </w:r>
    </w:p>
    <w:p>
      <w:pPr>
        <w:numPr>
          <w:ilvl w:val="0"/>
          <w:numId w:val="0"/>
        </w:numPr>
        <w:shd w:val="clear" w:color="040000" w:fill="FFFFFF"/>
        <w:snapToGrid w:val="0"/>
        <w:spacing w:line="360" w:lineRule="auto"/>
        <w:ind w:firstLine="42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2、</w:t>
      </w:r>
      <w:r>
        <w:rPr>
          <w:rFonts w:hint="eastAsia" w:ascii="新宋体" w:hAnsi="新宋体" w:eastAsia="新宋体" w:cs="新宋体"/>
          <w:color w:val="auto"/>
          <w:sz w:val="24"/>
          <w:szCs w:val="24"/>
          <w:highlight w:val="none"/>
          <w:shd w:val="clear" w:color="040000" w:fill="FFFFFF"/>
        </w:rPr>
        <w:t>中标人因合同违约、工作失误或根据考核结果造成的扣款，采购人在支付每三个月服务费时在应支付的服务费中相应扣除。</w:t>
      </w:r>
    </w:p>
    <w:p>
      <w:pPr>
        <w:spacing w:line="360" w:lineRule="auto"/>
        <w:ind w:firstLine="42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3、</w:t>
      </w:r>
      <w:r>
        <w:rPr>
          <w:rFonts w:hint="eastAsia" w:ascii="新宋体" w:hAnsi="新宋体" w:eastAsia="新宋体" w:cs="新宋体"/>
          <w:color w:val="auto"/>
          <w:sz w:val="24"/>
          <w:szCs w:val="24"/>
          <w:highlight w:val="none"/>
          <w:shd w:val="clear" w:color="040000" w:fill="FFFFFF"/>
        </w:rPr>
        <w:t>采购人每次付款前，中标人须提交对应金额的正规发票。</w:t>
      </w:r>
    </w:p>
    <w:p>
      <w:pPr>
        <w:spacing w:line="360" w:lineRule="auto"/>
        <w:ind w:firstLine="420" w:firstLineChars="0"/>
        <w:rPr>
          <w:rFonts w:hint="eastAsia" w:ascii="新宋体" w:hAnsi="新宋体" w:eastAsia="新宋体" w:cs="新宋体"/>
          <w:color w:val="auto"/>
          <w:sz w:val="24"/>
          <w:szCs w:val="24"/>
          <w:highlight w:val="none"/>
          <w:shd w:val="clear" w:color="040000" w:fill="FFFFFF"/>
        </w:rPr>
      </w:pPr>
    </w:p>
    <w:p>
      <w:pPr>
        <w:numPr>
          <w:ilvl w:val="0"/>
          <w:numId w:val="2"/>
        </w:numPr>
        <w:spacing w:line="360" w:lineRule="auto"/>
        <w:ind w:left="0" w:leftChars="0" w:firstLine="420" w:firstLineChars="0"/>
        <w:rPr>
          <w:rFonts w:ascii="宋体" w:hAnsi="宋体" w:cs="宋体"/>
          <w:color w:val="auto"/>
          <w:sz w:val="24"/>
          <w:highlight w:val="none"/>
        </w:rPr>
      </w:pPr>
      <w:r>
        <w:rPr>
          <w:rFonts w:hint="eastAsia" w:ascii="新宋体" w:hAnsi="新宋体" w:eastAsia="新宋体" w:cs="新宋体"/>
          <w:b/>
          <w:bCs/>
          <w:color w:val="auto"/>
          <w:sz w:val="24"/>
          <w:szCs w:val="24"/>
          <w:highlight w:val="none"/>
          <w:lang w:eastAsia="zh-CN"/>
        </w:rPr>
        <w:t>物业服务质量考核标准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本考核采用百分制，每年考核四次，每季度考核一次，并按以下原则评定考核等级：</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1.考核分≥90分，全额拨付当期物业管理服务费用。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2.考0≤考核分＜90分视为良好，扣除当期物业管理服务费用的2%。</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3.70≤考核分＜80分视为合格，扣除当期物业管理服务费用的5%。</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考核分＜70分视为不合格，扣除当期物业管理服务费用的10%。</w:t>
      </w:r>
      <w:r>
        <w:rPr>
          <w:rFonts w:hint="eastAsia" w:ascii="新宋体" w:hAnsi="新宋体" w:eastAsia="新宋体" w:cs="新宋体"/>
          <w:color w:val="auto"/>
          <w:sz w:val="24"/>
          <w:szCs w:val="24"/>
          <w:highlight w:val="none"/>
          <w:shd w:val="clear" w:color="040000" w:fill="FFFFFF"/>
        </w:rPr>
        <w:t>如在考核中中标人连续二次考核分＜</w:t>
      </w: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分，采购人将通知中标人解除物业服务合同。</w:t>
      </w:r>
    </w:p>
    <w:p>
      <w:pPr>
        <w:spacing w:line="360" w:lineRule="auto"/>
        <w:ind w:firstLine="420" w:firstLineChars="0"/>
        <w:rPr>
          <w:rFonts w:hint="eastAsia" w:ascii="新宋体" w:hAnsi="新宋体" w:eastAsia="新宋体" w:cs="新宋体"/>
          <w:color w:val="auto"/>
          <w:sz w:val="24"/>
          <w:szCs w:val="24"/>
          <w:highlight w:val="none"/>
          <w:shd w:val="clear" w:color="040000" w:fill="FFFFFF"/>
        </w:rPr>
        <w:sectPr>
          <w:pgSz w:w="11900" w:h="16838"/>
          <w:pgMar w:top="1429" w:right="1599" w:bottom="0" w:left="1712" w:header="0" w:footer="0" w:gutter="0"/>
          <w:pgNumType w:fmt="decimal"/>
          <w:cols w:space="720" w:num="1"/>
          <w:titlePg/>
          <w:rtlGutter w:val="0"/>
          <w:docGrid w:type="lines" w:linePitch="318" w:charSpace="0"/>
        </w:sectPr>
      </w:pPr>
    </w:p>
    <w:p>
      <w:pPr>
        <w:numPr>
          <w:ilvl w:val="0"/>
          <w:numId w:val="0"/>
        </w:numPr>
        <w:snapToGrid w:val="0"/>
        <w:spacing w:line="440" w:lineRule="exact"/>
        <w:ind w:firstLine="0" w:firstLineChars="0"/>
        <w:jc w:val="center"/>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物业服务质量考核标准</w:t>
      </w:r>
    </w:p>
    <w:p>
      <w:pPr>
        <w:numPr>
          <w:ilvl w:val="0"/>
          <w:numId w:val="0"/>
        </w:numPr>
        <w:snapToGrid w:val="0"/>
        <w:spacing w:line="440" w:lineRule="exact"/>
        <w:ind w:firstLine="0" w:firstLineChars="0"/>
        <w:jc w:val="left"/>
        <w:rPr>
          <w:rFonts w:hint="eastAsia"/>
          <w:color w:val="auto"/>
          <w:highlight w:val="none"/>
        </w:rPr>
      </w:pPr>
      <w:r>
        <w:rPr>
          <w:rFonts w:hint="eastAsia" w:ascii="新宋体" w:hAnsi="新宋体" w:eastAsia="新宋体" w:cs="新宋体"/>
          <w:b/>
          <w:bCs/>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eastAsia="zh-CN"/>
        </w:rPr>
        <w:t>考核人：</w:t>
      </w:r>
      <w:r>
        <w:rPr>
          <w:rFonts w:hint="eastAsia" w:ascii="新宋体" w:hAnsi="新宋体" w:eastAsia="新宋体" w:cs="新宋体"/>
          <w:b/>
          <w:bCs/>
          <w:color w:val="auto"/>
          <w:sz w:val="24"/>
          <w:szCs w:val="24"/>
          <w:highlight w:val="none"/>
          <w:lang w:val="en-US" w:eastAsia="zh-CN"/>
        </w:rPr>
        <w:t xml:space="preserve">                                                 考核时间：</w:t>
      </w:r>
    </w:p>
    <w:tbl>
      <w:tblPr>
        <w:tblStyle w:val="962"/>
        <w:tblW w:w="1388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844"/>
        <w:gridCol w:w="7193"/>
        <w:gridCol w:w="8"/>
        <w:gridCol w:w="952"/>
        <w:gridCol w:w="1"/>
        <w:gridCol w:w="922"/>
        <w:gridCol w:w="2"/>
        <w:gridCol w:w="3230"/>
        <w:gridCol w:w="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73"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139"/>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序</w:t>
            </w:r>
            <w:r>
              <w:rPr>
                <w:rFonts w:hint="eastAsia" w:ascii="新宋体" w:hAnsi="新宋体" w:eastAsia="新宋体" w:cs="新宋体"/>
                <w:color w:val="auto"/>
                <w:sz w:val="24"/>
                <w:szCs w:val="24"/>
                <w:highlight w:val="none"/>
              </w:rPr>
              <w:t>号</w:t>
            </w:r>
          </w:p>
        </w:tc>
        <w:tc>
          <w:tcPr>
            <w:tcW w:w="844" w:type="dxa"/>
            <w:vAlign w:val="center"/>
          </w:tcPr>
          <w:p>
            <w:pPr>
              <w:widowControl/>
              <w:kinsoku w:val="0"/>
              <w:wordWrap/>
              <w:autoSpaceDE w:val="0"/>
              <w:autoSpaceDN w:val="0"/>
              <w:adjustRightInd w:val="0"/>
              <w:snapToGrid w:val="0"/>
              <w:spacing w:line="240" w:lineRule="atLeast"/>
              <w:ind w:left="205"/>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项</w:t>
            </w:r>
            <w:r>
              <w:rPr>
                <w:rFonts w:hint="eastAsia" w:ascii="新宋体" w:hAnsi="新宋体" w:eastAsia="新宋体" w:cs="新宋体"/>
                <w:color w:val="auto"/>
                <w:sz w:val="24"/>
                <w:szCs w:val="24"/>
                <w:highlight w:val="none"/>
              </w:rPr>
              <w:t>目</w:t>
            </w:r>
          </w:p>
        </w:tc>
        <w:tc>
          <w:tcPr>
            <w:tcW w:w="7201" w:type="dxa"/>
            <w:gridSpan w:val="2"/>
            <w:vAlign w:val="center"/>
          </w:tcPr>
          <w:p>
            <w:pPr>
              <w:widowControl/>
              <w:kinsoku w:val="0"/>
              <w:wordWrap/>
              <w:autoSpaceDE w:val="0"/>
              <w:autoSpaceDN w:val="0"/>
              <w:adjustRightInd w:val="0"/>
              <w:snapToGrid w:val="0"/>
              <w:spacing w:line="240" w:lineRule="atLeast"/>
              <w:ind w:left="29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lang w:eastAsia="zh-CN"/>
              </w:rPr>
              <w:t>考核</w:t>
            </w:r>
            <w:r>
              <w:rPr>
                <w:rFonts w:hint="eastAsia" w:ascii="新宋体" w:hAnsi="新宋体" w:eastAsia="新宋体" w:cs="新宋体"/>
                <w:color w:val="auto"/>
                <w:sz w:val="24"/>
                <w:szCs w:val="24"/>
                <w:highlight w:val="none"/>
              </w:rPr>
              <w:t>标准</w:t>
            </w:r>
          </w:p>
        </w:tc>
        <w:tc>
          <w:tcPr>
            <w:tcW w:w="952" w:type="dxa"/>
            <w:vAlign w:val="center"/>
          </w:tcPr>
          <w:p>
            <w:pPr>
              <w:widowControl/>
              <w:kinsoku w:val="0"/>
              <w:wordWrap/>
              <w:autoSpaceDE w:val="0"/>
              <w:autoSpaceDN w:val="0"/>
              <w:adjustRightInd w:val="0"/>
              <w:snapToGrid w:val="0"/>
              <w:spacing w:line="240" w:lineRule="atLeast"/>
              <w:ind w:left="2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分</w:t>
            </w:r>
            <w:r>
              <w:rPr>
                <w:rFonts w:hint="eastAsia" w:ascii="新宋体" w:hAnsi="新宋体" w:eastAsia="新宋体" w:cs="新宋体"/>
                <w:color w:val="auto"/>
                <w:sz w:val="24"/>
                <w:szCs w:val="24"/>
                <w:highlight w:val="none"/>
              </w:rPr>
              <w:t>值</w:t>
            </w:r>
          </w:p>
        </w:tc>
        <w:tc>
          <w:tcPr>
            <w:tcW w:w="923" w:type="dxa"/>
            <w:gridSpan w:val="2"/>
            <w:vAlign w:val="center"/>
          </w:tcPr>
          <w:p>
            <w:pPr>
              <w:widowControl/>
              <w:kinsoku w:val="0"/>
              <w:wordWrap/>
              <w:autoSpaceDE w:val="0"/>
              <w:autoSpaceDN w:val="0"/>
              <w:adjustRightInd w:val="0"/>
              <w:snapToGrid w:val="0"/>
              <w:spacing w:line="240" w:lineRule="atLeast"/>
              <w:ind w:left="25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w:t>
            </w:r>
          </w:p>
        </w:tc>
        <w:tc>
          <w:tcPr>
            <w:tcW w:w="3232" w:type="dxa"/>
            <w:gridSpan w:val="2"/>
            <w:tcBorders>
              <w:right w:val="single" w:color="000000" w:sz="6" w:space="0"/>
            </w:tcBorders>
            <w:vAlign w:val="center"/>
          </w:tcPr>
          <w:p>
            <w:pPr>
              <w:widowControl/>
              <w:kinsoku w:val="0"/>
              <w:wordWrap/>
              <w:autoSpaceDE w:val="0"/>
              <w:autoSpaceDN w:val="0"/>
              <w:adjustRightInd w:val="0"/>
              <w:snapToGrid w:val="0"/>
              <w:spacing w:line="240" w:lineRule="atLeast"/>
              <w:ind w:left="1196"/>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59"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1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844" w:type="dxa"/>
            <w:vMerge w:val="restart"/>
            <w:vAlign w:val="center"/>
          </w:tcPr>
          <w:p>
            <w:pPr>
              <w:widowControl/>
              <w:kinsoku w:val="0"/>
              <w:wordWrap/>
              <w:autoSpaceDE w:val="0"/>
              <w:autoSpaceDN w:val="0"/>
              <w:adjustRightInd w:val="0"/>
              <w:snapToGrid w:val="0"/>
              <w:spacing w:line="240" w:lineRule="atLeast"/>
              <w:ind w:left="209"/>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人员</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201" w:type="dxa"/>
            <w:gridSpan w:val="2"/>
            <w:vAlign w:val="center"/>
          </w:tcPr>
          <w:p>
            <w:pPr>
              <w:widowControl/>
              <w:numPr>
                <w:ilvl w:val="0"/>
                <w:numId w:val="14"/>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实行</w:t>
            </w:r>
            <w:r>
              <w:rPr>
                <w:rFonts w:hint="eastAsia" w:ascii="新宋体" w:hAnsi="新宋体" w:eastAsia="新宋体" w:cs="新宋体"/>
                <w:color w:val="auto"/>
                <w:spacing w:val="-1"/>
                <w:sz w:val="24"/>
                <w:szCs w:val="24"/>
                <w:highlight w:val="none"/>
              </w:rPr>
              <w:t>持证上岗制度。</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凡</w:t>
            </w:r>
            <w:r>
              <w:rPr>
                <w:rFonts w:hint="eastAsia" w:ascii="新宋体" w:hAnsi="新宋体" w:eastAsia="新宋体" w:cs="新宋体"/>
                <w:color w:val="auto"/>
                <w:spacing w:val="-14"/>
                <w:sz w:val="24"/>
                <w:szCs w:val="24"/>
                <w:highlight w:val="none"/>
              </w:rPr>
              <w:t>有</w:t>
            </w:r>
            <w:r>
              <w:rPr>
                <w:rFonts w:hint="eastAsia" w:ascii="新宋体" w:hAnsi="新宋体" w:eastAsia="新宋体" w:cs="新宋体"/>
                <w:color w:val="auto"/>
                <w:spacing w:val="-11"/>
                <w:sz w:val="24"/>
                <w:szCs w:val="24"/>
                <w:highlight w:val="none"/>
              </w:rPr>
              <w:t>1人不符合，扣除1分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4"/>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项目投标时所承诺的项目工作人员，</w:t>
            </w:r>
            <w:r>
              <w:rPr>
                <w:rFonts w:hint="eastAsia" w:ascii="新宋体" w:hAnsi="新宋体" w:eastAsia="新宋体" w:cs="新宋体"/>
                <w:color w:val="auto"/>
                <w:spacing w:val="-1"/>
                <w:sz w:val="24"/>
                <w:szCs w:val="24"/>
                <w:highlight w:val="none"/>
              </w:rPr>
              <w:t>必须和承接此项目后开展工作的团队</w:t>
            </w:r>
            <w:r>
              <w:rPr>
                <w:rFonts w:hint="eastAsia" w:ascii="新宋体" w:hAnsi="新宋体" w:eastAsia="新宋体" w:cs="新宋体"/>
                <w:color w:val="auto"/>
                <w:spacing w:val="-5"/>
                <w:sz w:val="24"/>
                <w:szCs w:val="24"/>
                <w:highlight w:val="none"/>
              </w:rPr>
              <w:t>人员相符，未征得</w:t>
            </w:r>
            <w:r>
              <w:rPr>
                <w:rFonts w:hint="eastAsia" w:ascii="新宋体" w:hAnsi="新宋体" w:eastAsia="新宋体" w:cs="新宋体"/>
                <w:color w:val="auto"/>
                <w:spacing w:val="-5"/>
                <w:sz w:val="24"/>
                <w:szCs w:val="24"/>
                <w:highlight w:val="none"/>
                <w:lang w:eastAsia="zh-CN"/>
              </w:rPr>
              <w:t>采购人</w:t>
            </w:r>
            <w:r>
              <w:rPr>
                <w:rFonts w:hint="eastAsia" w:ascii="新宋体" w:hAnsi="新宋体" w:eastAsia="新宋体" w:cs="新宋体"/>
                <w:color w:val="auto"/>
                <w:spacing w:val="-5"/>
                <w:sz w:val="24"/>
                <w:szCs w:val="24"/>
                <w:highlight w:val="none"/>
              </w:rPr>
              <w:t>同意不得</w:t>
            </w:r>
            <w:r>
              <w:rPr>
                <w:rFonts w:hint="eastAsia" w:ascii="新宋体" w:hAnsi="新宋体" w:eastAsia="新宋体" w:cs="新宋体"/>
                <w:color w:val="auto"/>
                <w:spacing w:val="-5"/>
                <w:sz w:val="24"/>
                <w:szCs w:val="24"/>
                <w:highlight w:val="none"/>
                <w:lang w:eastAsia="zh-CN"/>
              </w:rPr>
              <w:t>随意</w:t>
            </w:r>
            <w:r>
              <w:rPr>
                <w:rFonts w:hint="eastAsia" w:ascii="新宋体" w:hAnsi="新宋体" w:eastAsia="新宋体" w:cs="新宋体"/>
                <w:color w:val="auto"/>
                <w:spacing w:val="-5"/>
                <w:sz w:val="24"/>
                <w:szCs w:val="24"/>
                <w:highlight w:val="none"/>
              </w:rPr>
              <w:t>更换团队成员。</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4"/>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pacing w:val="-2"/>
                <w:sz w:val="24"/>
                <w:szCs w:val="24"/>
                <w:highlight w:val="none"/>
                <w:lang w:eastAsia="zh-CN"/>
              </w:rPr>
            </w:pPr>
            <w:r>
              <w:rPr>
                <w:rFonts w:hint="eastAsia" w:ascii="新宋体" w:hAnsi="新宋体" w:eastAsia="新宋体" w:cs="新宋体"/>
                <w:color w:val="auto"/>
                <w:sz w:val="24"/>
                <w:szCs w:val="24"/>
                <w:highlight w:val="none"/>
              </w:rPr>
              <w:t>项目经理</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提前20天、</w:t>
            </w:r>
            <w:r>
              <w:rPr>
                <w:rFonts w:hint="eastAsia" w:ascii="新宋体" w:hAnsi="新宋体" w:eastAsia="新宋体" w:cs="新宋体"/>
                <w:color w:val="auto"/>
                <w:sz w:val="24"/>
                <w:szCs w:val="24"/>
                <w:highlight w:val="none"/>
                <w:lang w:eastAsia="zh-CN"/>
              </w:rPr>
              <w:t>其他</w:t>
            </w:r>
            <w:r>
              <w:rPr>
                <w:rFonts w:hint="eastAsia" w:ascii="新宋体" w:hAnsi="新宋体" w:eastAsia="新宋体" w:cs="新宋体"/>
                <w:color w:val="auto"/>
                <w:sz w:val="24"/>
                <w:szCs w:val="24"/>
                <w:highlight w:val="none"/>
              </w:rPr>
              <w:t>人员</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提前7天告知采购人</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制度</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履约</w:t>
            </w: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1"/>
                <w:sz w:val="24"/>
                <w:szCs w:val="24"/>
                <w:highlight w:val="none"/>
                <w:lang w:eastAsia="zh-CN"/>
              </w:rPr>
              <w:t>遵守《</w:t>
            </w:r>
            <w:r>
              <w:rPr>
                <w:rFonts w:hint="eastAsia" w:ascii="新宋体" w:hAnsi="新宋体" w:eastAsia="新宋体" w:cs="新宋体"/>
                <w:color w:val="auto"/>
                <w:spacing w:val="-1"/>
                <w:sz w:val="24"/>
                <w:szCs w:val="24"/>
                <w:highlight w:val="none"/>
              </w:rPr>
              <w:t>物业管理服务人员行为</w:t>
            </w:r>
            <w:r>
              <w:rPr>
                <w:rFonts w:hint="eastAsia" w:ascii="新宋体" w:hAnsi="新宋体" w:eastAsia="新宋体" w:cs="新宋体"/>
                <w:color w:val="auto"/>
                <w:sz w:val="24"/>
                <w:szCs w:val="24"/>
                <w:highlight w:val="none"/>
              </w:rPr>
              <w:t>规范</w:t>
            </w:r>
            <w:r>
              <w:rPr>
                <w:rFonts w:hint="eastAsia" w:ascii="新宋体" w:hAnsi="新宋体" w:eastAsia="新宋体" w:cs="新宋体"/>
                <w:color w:val="auto"/>
                <w:spacing w:val="-1"/>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健全的管理流程、</w:t>
            </w:r>
            <w:r>
              <w:rPr>
                <w:rFonts w:hint="eastAsia" w:ascii="新宋体" w:hAnsi="新宋体" w:eastAsia="新宋体" w:cs="新宋体"/>
                <w:color w:val="auto"/>
                <w:sz w:val="24"/>
                <w:szCs w:val="24"/>
                <w:highlight w:val="none"/>
              </w:rPr>
              <w:t>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运作规范</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，遵守并执行。</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340" w:hRule="atLeast"/>
          <w:tblHeader/>
          <w:jc w:val="center"/>
        </w:trPr>
        <w:tc>
          <w:tcPr>
            <w:tcW w:w="721"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3</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position w:val="9"/>
                <w:sz w:val="24"/>
                <w:szCs w:val="24"/>
                <w:highlight w:val="none"/>
                <w:lang w:eastAsia="zh-CN"/>
              </w:rPr>
              <w:t>清洁</w:t>
            </w:r>
            <w:r>
              <w:rPr>
                <w:rFonts w:hint="eastAsia" w:ascii="新宋体" w:hAnsi="新宋体" w:eastAsia="新宋体" w:cs="新宋体"/>
                <w:color w:val="auto"/>
                <w:spacing w:val="-2"/>
                <w:position w:val="9"/>
                <w:sz w:val="24"/>
                <w:szCs w:val="24"/>
                <w:highlight w:val="none"/>
                <w:lang w:eastAsia="zh-CN"/>
              </w:rPr>
              <w:br w:type="textWrapping"/>
            </w:r>
            <w:r>
              <w:rPr>
                <w:rFonts w:hint="eastAsia" w:ascii="新宋体" w:hAnsi="新宋体" w:eastAsia="新宋体" w:cs="新宋体"/>
                <w:color w:val="auto"/>
                <w:spacing w:val="-2"/>
                <w:position w:val="9"/>
                <w:sz w:val="24"/>
                <w:szCs w:val="24"/>
                <w:highlight w:val="none"/>
                <w:lang w:eastAsia="zh-CN"/>
              </w:rPr>
              <w:t>保洁</w:t>
            </w: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right="161"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室内公共区域的地面、墙面、楼梯、扶手、大厅、玻</w:t>
            </w:r>
            <w:r>
              <w:rPr>
                <w:rFonts w:hint="eastAsia" w:ascii="新宋体" w:hAnsi="新宋体" w:eastAsia="新宋体" w:cs="新宋体"/>
                <w:color w:val="auto"/>
                <w:spacing w:val="-7"/>
                <w:sz w:val="24"/>
                <w:szCs w:val="24"/>
                <w:highlight w:val="none"/>
              </w:rPr>
              <w:t>璃、门及门窗框、天花板、栏杆、走廊等整洁干净，无垃圾、</w:t>
            </w:r>
            <w:r>
              <w:rPr>
                <w:rFonts w:hint="eastAsia" w:ascii="新宋体" w:hAnsi="新宋体" w:eastAsia="新宋体" w:cs="新宋体"/>
                <w:color w:val="auto"/>
                <w:spacing w:val="-8"/>
                <w:sz w:val="24"/>
                <w:szCs w:val="24"/>
                <w:highlight w:val="none"/>
              </w:rPr>
              <w:t>无积灰、无污渍、无手印。</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9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right="5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室内卫生间、茶水间清洁，无垃圾、无污渍、无积水、</w:t>
            </w:r>
            <w:r>
              <w:rPr>
                <w:rFonts w:hint="eastAsia" w:ascii="新宋体" w:hAnsi="新宋体" w:eastAsia="新宋体" w:cs="新宋体"/>
                <w:color w:val="auto"/>
                <w:spacing w:val="-7"/>
                <w:sz w:val="24"/>
                <w:szCs w:val="24"/>
                <w:highlight w:val="none"/>
              </w:rPr>
              <w:t>无异味、无堆积杂物，洁具、台面、镜面光洁无水迹，电器设施</w:t>
            </w:r>
            <w:r>
              <w:rPr>
                <w:rFonts w:hint="eastAsia" w:ascii="新宋体" w:hAnsi="新宋体" w:eastAsia="新宋体" w:cs="新宋体"/>
                <w:color w:val="auto"/>
                <w:spacing w:val="-5"/>
                <w:sz w:val="24"/>
                <w:szCs w:val="24"/>
                <w:highlight w:val="none"/>
              </w:rPr>
              <w:t>外观清洁，物品摆放有序。室内卫生间符合“美丽厕所”标准。</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6"/>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、屋面、“门前三包”等公共区域的地面干净，无杂物、无积水、无淤泥、无污垢。</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r>
              <w:rPr>
                <w:rFonts w:hint="eastAsia" w:ascii="新宋体" w:hAnsi="新宋体" w:eastAsia="新宋体" w:cs="新宋体"/>
                <w:snapToGrid w:val="0"/>
                <w:color w:val="auto"/>
                <w:kern w:val="0"/>
                <w:sz w:val="24"/>
                <w:szCs w:val="24"/>
                <w:highlight w:val="none"/>
                <w:lang w:val="en-US" w:eastAsia="zh-CN" w:bidi="ar-SA"/>
              </w:rPr>
              <w:pict>
                <v:rect id="Rectangle 2" o:spid="_x0000_s1028" o:spt="1" style="position:absolute;left:0pt;margin-left:794.9pt;margin-top:0pt;height:232.05pt;width:0.5pt;mso-position-horizontal-relative:page;mso-position-vertical-relative:page;z-index:251661312;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6"/>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外墙应保持清洁，无明显污迹。</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6"/>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定期对景观、照明灯设施设备进行清洁，确保表面干净无污渍。</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6"/>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垃圾、废弃物按分类要求及时收集、日产日清，化粪池及时清掏，垃圾箱</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外侧表面清洁、内侧无残留物、无异味。</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6"/>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blHeader/>
          <w:jc w:val="center"/>
        </w:trPr>
        <w:tc>
          <w:tcPr>
            <w:tcW w:w="721"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安保</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消控</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公共秩序维护</w:t>
            </w:r>
            <w:r>
              <w:rPr>
                <w:rFonts w:hint="eastAsia" w:ascii="新宋体" w:hAnsi="新宋体" w:eastAsia="新宋体" w:cs="新宋体"/>
                <w:b/>
                <w:bCs/>
                <w:color w:val="auto"/>
                <w:sz w:val="24"/>
                <w:szCs w:val="24"/>
                <w:highlight w:val="none"/>
                <w:lang w:eastAsia="zh-CN"/>
              </w:rPr>
              <w:t>：</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严格出入登记制度，发现问题及时上报处理，杜绝闲杂人员进入办公楼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物品进出实施分类管理，实行物品进出审验制度，杜绝可疑危险品进入。</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进出的各类机动车辆进行有序管理，设置行车指示标志，规定车辆行驶路线，引导车辆停放区域，车库内配置道闸和监视系统。非机动车统一停放在室外指定区域，设置集中充电桩。停车区域无易燃、易爆物品存放。</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明确巡视工作职责，对设备机房等重要区域、部位进行重点巡视并做好相关记录，及时发现和处理各种安全和事故隐患。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消控安全管理：</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配备完善的消防设施和器材，定期对消防设施进行巡查，确保运行正常。消防设施的维护管理及消防控制室应符合相关国标要求。</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应在各楼层明显位置张贴平面疏散示意图、引路标志及控烟标志。</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定期开展防火检查，保证疏散通道、安全出口、消防车道通畅。</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每年至少组织1次消防安全培训及消防演练。</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8</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突发事件处理</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建立突发</w:t>
            </w:r>
            <w:r>
              <w:rPr>
                <w:rFonts w:hint="eastAsia" w:ascii="新宋体" w:hAnsi="新宋体" w:eastAsia="新宋体" w:cs="新宋体"/>
                <w:color w:val="auto"/>
                <w:sz w:val="24"/>
                <w:szCs w:val="24"/>
                <w:highlight w:val="none"/>
                <w:lang w:eastAsia="zh-CN"/>
              </w:rPr>
              <w:t>事件</w:t>
            </w:r>
            <w:r>
              <w:rPr>
                <w:rFonts w:hint="eastAsia" w:ascii="新宋体" w:hAnsi="新宋体" w:eastAsia="新宋体" w:cs="新宋体"/>
                <w:color w:val="auto"/>
                <w:sz w:val="24"/>
                <w:szCs w:val="24"/>
                <w:highlight w:val="none"/>
              </w:rPr>
              <w:t>应急预案体系，包括但不限于电梯困人、紧急会议、火警火灾、突发停电、水管破裂、意外伤害、群体性上访、台风、暴雨及雷电等应急预案。</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每年至少组织1次突发事件应急演习。</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97"/>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5</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2"/>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绿化</w:t>
            </w:r>
            <w:r>
              <w:rPr>
                <w:rFonts w:hint="eastAsia" w:ascii="新宋体" w:hAnsi="新宋体" w:eastAsia="新宋体" w:cs="新宋体"/>
                <w:color w:val="auto"/>
                <w:spacing w:val="-2"/>
                <w:sz w:val="24"/>
                <w:szCs w:val="24"/>
                <w:highlight w:val="none"/>
              </w:rPr>
              <w:br w:type="textWrapping"/>
            </w:r>
            <w:r>
              <w:rPr>
                <w:rFonts w:hint="eastAsia" w:ascii="新宋体" w:hAnsi="新宋体" w:eastAsia="新宋体" w:cs="新宋体"/>
                <w:color w:val="auto"/>
                <w:spacing w:val="-2"/>
                <w:sz w:val="24"/>
                <w:szCs w:val="24"/>
                <w:highlight w:val="none"/>
                <w:lang w:eastAsia="zh-CN"/>
              </w:rPr>
              <w:t>养护</w:t>
            </w: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室内外绿化养护期内各类绿植应100%存活。</w:t>
            </w:r>
          </w:p>
        </w:tc>
        <w:tc>
          <w:tcPr>
            <w:tcW w:w="961" w:type="dxa"/>
            <w:gridSpan w:val="3"/>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根据季节和气候状况，进行浇灌、施肥、修剪和松土等养护。</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应选择观赏性强、观赏期长、方便管理的鲜活植物摆放室内，植株长势良好，无残枝、无黄叶、无积尘，花朵饱满、无萎蔫，托盘内无积水。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室外乔木丰满健壮、生长良好，灌木枝叶紧密圆整，无脱节、无枯枝。草坪生长整齐，清洁美观，修剪高度一致，覆盖率高。花卉色彩鲜艳，摆放造型新颖，无杂草、无枯死。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雨、雪、台风等特殊天气前，应派专人巡查，及时加固、支撑、修剪高大乔木，排除安全隐患。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绿植租赁符合招标要求及投标承诺。</w:t>
            </w:r>
          </w:p>
        </w:tc>
        <w:tc>
          <w:tcPr>
            <w:tcW w:w="961" w:type="dxa"/>
            <w:gridSpan w:val="3"/>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02"/>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6</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rPr>
              <w:t>工</w:t>
            </w:r>
            <w:r>
              <w:rPr>
                <w:rFonts w:hint="eastAsia" w:ascii="新宋体" w:hAnsi="新宋体" w:eastAsia="新宋体" w:cs="新宋体"/>
                <w:color w:val="auto"/>
                <w:spacing w:val="-2"/>
                <w:position w:val="9"/>
                <w:sz w:val="24"/>
                <w:szCs w:val="24"/>
                <w:highlight w:val="none"/>
              </w:rPr>
              <w:t>程</w:t>
            </w: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设备</w:t>
            </w:r>
            <w:r>
              <w:rPr>
                <w:rFonts w:hint="eastAsia" w:ascii="新宋体" w:hAnsi="新宋体" w:eastAsia="新宋体" w:cs="新宋体"/>
                <w:color w:val="auto"/>
                <w:spacing w:val="-2"/>
                <w:sz w:val="24"/>
                <w:szCs w:val="24"/>
                <w:highlight w:val="none"/>
                <w:lang w:eastAsia="zh-CN"/>
              </w:rPr>
              <w:br w:type="textWrapping"/>
            </w:r>
            <w:r>
              <w:rPr>
                <w:rFonts w:hint="eastAsia" w:ascii="新宋体" w:hAnsi="新宋体" w:eastAsia="新宋体" w:cs="新宋体"/>
                <w:color w:val="auto"/>
                <w:spacing w:val="-2"/>
                <w:sz w:val="24"/>
                <w:szCs w:val="24"/>
                <w:highlight w:val="none"/>
                <w:lang w:eastAsia="zh-CN"/>
              </w:rPr>
              <w:t>维护</w:t>
            </w: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至少每2小时巡视一次高配房设备运行情况，如实记录设备运行参数。定期对各类机房设备设施进行检查、维护、清洁，并做好记录。</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10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定期对水泵、管道进行养护，每年至少两次对水箱进行全面清洗，并提供水质检测报告。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由专业人员定期对监控系统、门禁系统、多媒体系统、会议系统等智能弱电设备进行巡查，定期清理设备机柜、控制箱、交换机等外表吸附的灰尘和絮状物。</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会务</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服务</w:t>
            </w:r>
          </w:p>
        </w:tc>
        <w:tc>
          <w:tcPr>
            <w:tcW w:w="7193" w:type="dxa"/>
            <w:vAlign w:val="center"/>
          </w:tcPr>
          <w:p>
            <w:pPr>
              <w:widowControl/>
              <w:numPr>
                <w:ilvl w:val="0"/>
                <w:numId w:val="20"/>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根据</w:t>
            </w:r>
            <w:r>
              <w:rPr>
                <w:rFonts w:hint="eastAsia" w:ascii="新宋体" w:hAnsi="新宋体" w:eastAsia="新宋体" w:cs="新宋体"/>
                <w:i w:val="0"/>
                <w:caps w:val="0"/>
                <w:color w:val="auto"/>
                <w:spacing w:val="0"/>
                <w:sz w:val="24"/>
                <w:szCs w:val="24"/>
                <w:highlight w:val="none"/>
                <w:shd w:val="clear" w:color="auto" w:fill="auto"/>
              </w:rPr>
              <w:t>会议安排</w:t>
            </w:r>
            <w:r>
              <w:rPr>
                <w:rFonts w:hint="eastAsia" w:ascii="新宋体" w:hAnsi="新宋体" w:eastAsia="新宋体" w:cs="新宋体"/>
                <w:i w:val="0"/>
                <w:caps w:val="0"/>
                <w:color w:val="auto"/>
                <w:spacing w:val="0"/>
                <w:sz w:val="24"/>
                <w:szCs w:val="24"/>
                <w:highlight w:val="none"/>
                <w:shd w:val="clear" w:color="auto" w:fill="auto"/>
                <w:lang w:eastAsia="zh-CN"/>
              </w:rPr>
              <w:t>及采购人要求，确定台形，做好会议物品摆放、设备调试、会议资料发放等会前服务准备工作。</w:t>
            </w:r>
          </w:p>
          <w:p>
            <w:pPr>
              <w:widowControl/>
              <w:numPr>
                <w:ilvl w:val="0"/>
                <w:numId w:val="20"/>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会议期间定时倒水，根据需要为与会人员提供服务，会议</w:t>
            </w:r>
            <w:r>
              <w:rPr>
                <w:rFonts w:hint="eastAsia" w:ascii="新宋体" w:hAnsi="新宋体" w:eastAsia="新宋体" w:cs="新宋体"/>
                <w:i w:val="0"/>
                <w:caps w:val="0"/>
                <w:color w:val="auto"/>
                <w:spacing w:val="0"/>
                <w:sz w:val="24"/>
                <w:szCs w:val="24"/>
                <w:highlight w:val="none"/>
                <w:shd w:val="clear" w:color="auto" w:fill="auto"/>
              </w:rPr>
              <w:t>设备</w:t>
            </w:r>
            <w:r>
              <w:rPr>
                <w:rFonts w:hint="eastAsia" w:ascii="新宋体" w:hAnsi="新宋体" w:eastAsia="新宋体" w:cs="新宋体"/>
                <w:i w:val="0"/>
                <w:caps w:val="0"/>
                <w:color w:val="auto"/>
                <w:spacing w:val="0"/>
                <w:sz w:val="24"/>
                <w:szCs w:val="24"/>
                <w:highlight w:val="none"/>
                <w:shd w:val="clear" w:color="auto" w:fill="auto"/>
                <w:lang w:eastAsia="zh-CN"/>
              </w:rPr>
              <w:t>如</w:t>
            </w:r>
            <w:r>
              <w:rPr>
                <w:rFonts w:hint="eastAsia" w:ascii="新宋体" w:hAnsi="新宋体" w:eastAsia="新宋体" w:cs="新宋体"/>
                <w:i w:val="0"/>
                <w:caps w:val="0"/>
                <w:color w:val="auto"/>
                <w:spacing w:val="0"/>
                <w:sz w:val="24"/>
                <w:szCs w:val="24"/>
                <w:highlight w:val="none"/>
                <w:shd w:val="clear" w:color="auto" w:fill="auto"/>
              </w:rPr>
              <w:t>出现问题及时</w:t>
            </w:r>
            <w:r>
              <w:rPr>
                <w:rFonts w:hint="eastAsia" w:ascii="新宋体" w:hAnsi="新宋体" w:eastAsia="新宋体" w:cs="新宋体"/>
                <w:i w:val="0"/>
                <w:caps w:val="0"/>
                <w:color w:val="auto"/>
                <w:spacing w:val="0"/>
                <w:sz w:val="24"/>
                <w:szCs w:val="24"/>
                <w:highlight w:val="none"/>
                <w:shd w:val="clear" w:color="auto" w:fill="auto"/>
                <w:lang w:eastAsia="zh-CN"/>
              </w:rPr>
              <w:t>协调</w:t>
            </w:r>
            <w:r>
              <w:rPr>
                <w:rFonts w:hint="eastAsia" w:ascii="新宋体" w:hAnsi="新宋体" w:eastAsia="新宋体" w:cs="新宋体"/>
                <w:i w:val="0"/>
                <w:caps w:val="0"/>
                <w:color w:val="auto"/>
                <w:spacing w:val="0"/>
                <w:sz w:val="24"/>
                <w:szCs w:val="24"/>
                <w:highlight w:val="none"/>
                <w:shd w:val="clear" w:color="auto" w:fill="auto"/>
              </w:rPr>
              <w:t>处理。</w:t>
            </w:r>
          </w:p>
          <w:p>
            <w:pPr>
              <w:widowControl/>
              <w:numPr>
                <w:ilvl w:val="0"/>
                <w:numId w:val="20"/>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会议结束后做好会议物品整理，茶具清洗、消毒，会议场地清扫，设施设备清点、检查、记录等会后服务。</w:t>
            </w:r>
          </w:p>
          <w:p>
            <w:pPr>
              <w:widowControl/>
              <w:numPr>
                <w:ilvl w:val="0"/>
                <w:numId w:val="20"/>
              </w:numPr>
              <w:kinsoku w:val="0"/>
              <w:wordWrap/>
              <w:autoSpaceDE w:val="0"/>
              <w:autoSpaceDN w:val="0"/>
              <w:adjustRightInd w:val="0"/>
              <w:snapToGrid w:val="0"/>
              <w:spacing w:line="240" w:lineRule="atLeast"/>
              <w:ind w:left="0" w:firstLine="40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i w:val="0"/>
                <w:caps w:val="0"/>
                <w:color w:val="auto"/>
                <w:spacing w:val="0"/>
                <w:sz w:val="24"/>
                <w:szCs w:val="24"/>
                <w:highlight w:val="none"/>
                <w:shd w:val="clear" w:color="auto" w:fill="auto"/>
                <w:lang w:eastAsia="zh-CN"/>
              </w:rPr>
              <w:t>对会议服务期间接触的会议信息、会议资料应严格保密。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color w:val="auto"/>
                <w:highlight w:val="none"/>
                <w:lang w:val="en-US" w:eastAsia="zh-CN"/>
              </w:rPr>
              <w:t>8</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特色服务</w:t>
            </w:r>
          </w:p>
        </w:tc>
        <w:tc>
          <w:tcPr>
            <w:tcW w:w="7193" w:type="dxa"/>
            <w:vAlign w:val="center"/>
          </w:tcPr>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pacing w:val="-8"/>
                <w:sz w:val="24"/>
                <w:szCs w:val="24"/>
                <w:highlight w:val="none"/>
                <w:lang w:eastAsia="zh-CN"/>
              </w:rPr>
            </w:pPr>
            <w:r>
              <w:rPr>
                <w:rFonts w:hint="eastAsia" w:ascii="新宋体" w:hAnsi="新宋体" w:eastAsia="新宋体" w:cs="新宋体"/>
                <w:i w:val="0"/>
                <w:caps w:val="0"/>
                <w:color w:val="auto"/>
                <w:spacing w:val="0"/>
                <w:sz w:val="24"/>
                <w:szCs w:val="24"/>
                <w:highlight w:val="none"/>
                <w:shd w:val="clear" w:color="auto" w:fill="auto"/>
                <w:lang w:val="en-US" w:eastAsia="zh-CN"/>
              </w:rPr>
              <w:t xml:space="preserve">    </w:t>
            </w:r>
            <w:r>
              <w:rPr>
                <w:rFonts w:hint="eastAsia" w:ascii="新宋体" w:hAnsi="新宋体" w:eastAsia="新宋体" w:cs="新宋体"/>
                <w:i w:val="0"/>
                <w:caps w:val="0"/>
                <w:color w:val="auto"/>
                <w:spacing w:val="0"/>
                <w:sz w:val="24"/>
                <w:szCs w:val="24"/>
                <w:highlight w:val="none"/>
                <w:shd w:val="clear" w:color="auto" w:fill="auto"/>
                <w:lang w:eastAsia="zh-CN"/>
              </w:rPr>
              <w:t>针对本项目的特色服务（如应急迎检、夏日提供凉茶、传统节日开展各类活动等）符合投标承诺。</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w:t>
            </w:r>
            <w:r>
              <w:rPr>
                <w:rFonts w:hint="eastAsia" w:ascii="新宋体" w:hAnsi="新宋体" w:eastAsia="新宋体" w:cs="新宋体"/>
                <w:color w:val="auto"/>
                <w:spacing w:val="-12"/>
                <w:sz w:val="24"/>
                <w:szCs w:val="24"/>
                <w:highlight w:val="none"/>
              </w:rPr>
              <w:t>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9</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投入设备、耗材等情况</w:t>
            </w:r>
          </w:p>
        </w:tc>
        <w:tc>
          <w:tcPr>
            <w:tcW w:w="7193" w:type="dxa"/>
            <w:vAlign w:val="center"/>
          </w:tcPr>
          <w:p>
            <w:pPr>
              <w:widowControl/>
              <w:numPr>
                <w:ilvl w:val="0"/>
                <w:numId w:val="21"/>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投入本项目的设备情况与招标需求、投标承诺一致。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1"/>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w:t>
            </w:r>
            <w:r>
              <w:rPr>
                <w:rFonts w:hint="eastAsia" w:ascii="新宋体" w:hAnsi="新宋体" w:eastAsia="新宋体" w:cs="新宋体"/>
                <w:color w:val="auto"/>
                <w:spacing w:val="-8"/>
                <w:sz w:val="24"/>
                <w:szCs w:val="24"/>
                <w:highlight w:val="none"/>
              </w:rPr>
              <w:t>保洁日常工具</w:t>
            </w:r>
            <w:r>
              <w:rPr>
                <w:rFonts w:hint="eastAsia" w:ascii="新宋体" w:hAnsi="新宋体" w:eastAsia="新宋体" w:cs="新宋体"/>
                <w:color w:val="auto"/>
                <w:spacing w:val="-8"/>
                <w:sz w:val="24"/>
                <w:szCs w:val="24"/>
                <w:highlight w:val="none"/>
                <w:lang w:eastAsia="zh-CN"/>
              </w:rPr>
              <w:t>、厕</w:t>
            </w:r>
            <w:r>
              <w:rPr>
                <w:rFonts w:hint="eastAsia" w:ascii="新宋体" w:hAnsi="新宋体" w:eastAsia="新宋体" w:cs="新宋体"/>
                <w:color w:val="auto"/>
                <w:spacing w:val="-8"/>
                <w:sz w:val="24"/>
                <w:szCs w:val="24"/>
                <w:highlight w:val="none"/>
              </w:rPr>
              <w:t>纸、擦手纸、洗手液</w:t>
            </w:r>
            <w:r>
              <w:rPr>
                <w:rFonts w:hint="eastAsia" w:ascii="新宋体" w:hAnsi="新宋体" w:eastAsia="新宋体" w:cs="新宋体"/>
                <w:color w:val="auto"/>
                <w:spacing w:val="-8"/>
                <w:sz w:val="24"/>
                <w:szCs w:val="24"/>
                <w:highlight w:val="none"/>
                <w:lang w:eastAsia="zh-CN"/>
              </w:rPr>
              <w:t>等耗材与招标需求、投标承诺一致。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减，不符合得0分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1"/>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w:t>
            </w:r>
            <w:r>
              <w:rPr>
                <w:rFonts w:hint="eastAsia" w:ascii="新宋体" w:hAnsi="新宋体" w:eastAsia="新宋体" w:cs="新宋体"/>
                <w:color w:val="auto"/>
                <w:spacing w:val="-8"/>
                <w:sz w:val="24"/>
                <w:szCs w:val="24"/>
                <w:highlight w:val="none"/>
              </w:rPr>
              <w:t>防爆、防汛物资、器材</w:t>
            </w:r>
            <w:r>
              <w:rPr>
                <w:rFonts w:hint="eastAsia" w:ascii="新宋体" w:hAnsi="新宋体" w:eastAsia="新宋体" w:cs="新宋体"/>
                <w:color w:val="auto"/>
                <w:spacing w:val="-8"/>
                <w:sz w:val="24"/>
                <w:szCs w:val="24"/>
                <w:highlight w:val="none"/>
                <w:lang w:eastAsia="zh-CN"/>
              </w:rPr>
              <w:t>等与招标需求、投标承诺一致。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844" w:type="dxa"/>
            <w:vMerge w:val="restart"/>
            <w:vAlign w:val="center"/>
          </w:tcPr>
          <w:p>
            <w:pPr>
              <w:widowControl/>
              <w:kinsoku w:val="0"/>
              <w:wordWrap/>
              <w:autoSpaceDE w:val="0"/>
              <w:autoSpaceDN w:val="0"/>
              <w:adjustRightInd w:val="0"/>
              <w:snapToGrid w:val="0"/>
              <w:spacing w:line="240" w:lineRule="atLeast"/>
              <w:ind w:left="213"/>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投</w:t>
            </w:r>
            <w:r>
              <w:rPr>
                <w:rFonts w:hint="eastAsia" w:ascii="新宋体" w:hAnsi="新宋体" w:eastAsia="新宋体" w:cs="新宋体"/>
                <w:color w:val="auto"/>
                <w:spacing w:val="-2"/>
                <w:sz w:val="24"/>
                <w:szCs w:val="24"/>
                <w:highlight w:val="none"/>
              </w:rPr>
              <w:t>诉</w:t>
            </w:r>
          </w:p>
          <w:p>
            <w:pPr>
              <w:widowControl/>
              <w:kinsoku w:val="0"/>
              <w:wordWrap/>
              <w:autoSpaceDE w:val="0"/>
              <w:autoSpaceDN w:val="0"/>
              <w:adjustRightInd w:val="0"/>
              <w:snapToGrid w:val="0"/>
              <w:spacing w:line="240" w:lineRule="atLeast"/>
              <w:ind w:left="208"/>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检</w:t>
            </w:r>
            <w:r>
              <w:rPr>
                <w:rFonts w:hint="eastAsia" w:ascii="新宋体" w:hAnsi="新宋体" w:eastAsia="新宋体" w:cs="新宋体"/>
                <w:color w:val="auto"/>
                <w:spacing w:val="-1"/>
                <w:sz w:val="24"/>
                <w:szCs w:val="24"/>
                <w:highlight w:val="none"/>
              </w:rPr>
              <w:t>查</w:t>
            </w:r>
          </w:p>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整改</w:t>
            </w: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建立完善</w:t>
            </w:r>
            <w:r>
              <w:rPr>
                <w:rFonts w:hint="eastAsia" w:ascii="新宋体" w:hAnsi="新宋体" w:eastAsia="新宋体" w:cs="新宋体"/>
                <w:color w:val="auto"/>
                <w:spacing w:val="-5"/>
                <w:sz w:val="24"/>
                <w:szCs w:val="24"/>
                <w:highlight w:val="none"/>
              </w:rPr>
              <w:t>的</w:t>
            </w:r>
            <w:r>
              <w:rPr>
                <w:rFonts w:hint="eastAsia" w:ascii="新宋体" w:hAnsi="新宋体" w:eastAsia="新宋体" w:cs="新宋体"/>
                <w:color w:val="auto"/>
                <w:spacing w:val="-4"/>
                <w:sz w:val="24"/>
                <w:szCs w:val="24"/>
                <w:highlight w:val="none"/>
              </w:rPr>
              <w:t>投诉响应机制，并能妥善处理各类投诉及建议，给予投诉客户</w:t>
            </w:r>
            <w:r>
              <w:rPr>
                <w:rFonts w:hint="eastAsia" w:ascii="新宋体" w:hAnsi="新宋体" w:eastAsia="新宋体" w:cs="新宋体"/>
                <w:color w:val="auto"/>
                <w:spacing w:val="-8"/>
                <w:sz w:val="24"/>
                <w:szCs w:val="24"/>
                <w:highlight w:val="none"/>
              </w:rPr>
              <w:t>答复。</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ind w:right="10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snapToGrid w:val="0"/>
                <w:color w:val="auto"/>
                <w:kern w:val="0"/>
                <w:sz w:val="24"/>
                <w:szCs w:val="24"/>
                <w:highlight w:val="none"/>
                <w:lang w:val="en-US" w:eastAsia="zh-CN" w:bidi="ar-SA"/>
              </w:rPr>
              <w:pict>
                <v:rect id="Rectangle 3" o:spid="_x0000_s1029" o:spt="1" style="position:absolute;left:0pt;margin-left:794.9pt;margin-top:0.4pt;height:80.6pt;width:0.5pt;mso-position-horizontal-relative:page;mso-position-vertical-relative:page;z-index:251662336;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r>
              <w:rPr>
                <w:rFonts w:hint="eastAsia" w:ascii="新宋体" w:hAnsi="新宋体" w:eastAsia="新宋体" w:cs="新宋体"/>
                <w:color w:val="auto"/>
                <w:spacing w:val="-2"/>
                <w:sz w:val="24"/>
                <w:szCs w:val="24"/>
                <w:highlight w:val="none"/>
              </w:rPr>
              <w:t>①</w:t>
            </w:r>
            <w:r>
              <w:rPr>
                <w:rFonts w:hint="eastAsia" w:ascii="新宋体" w:hAnsi="新宋体" w:eastAsia="新宋体" w:cs="新宋体"/>
                <w:color w:val="auto"/>
                <w:spacing w:val="-1"/>
                <w:sz w:val="24"/>
                <w:szCs w:val="24"/>
                <w:highlight w:val="none"/>
              </w:rPr>
              <w:t>投诉事件经认定属实，未妥善</w:t>
            </w:r>
            <w:r>
              <w:rPr>
                <w:rFonts w:hint="eastAsia" w:ascii="新宋体" w:hAnsi="新宋体" w:eastAsia="新宋体" w:cs="新宋体"/>
                <w:color w:val="auto"/>
                <w:spacing w:val="-17"/>
                <w:sz w:val="24"/>
                <w:szCs w:val="24"/>
                <w:highlight w:val="none"/>
              </w:rPr>
              <w:t>处</w:t>
            </w:r>
            <w:r>
              <w:rPr>
                <w:rFonts w:hint="eastAsia" w:ascii="新宋体" w:hAnsi="新宋体" w:eastAsia="新宋体" w:cs="新宋体"/>
                <w:color w:val="auto"/>
                <w:spacing w:val="-12"/>
                <w:sz w:val="24"/>
                <w:szCs w:val="24"/>
                <w:highlight w:val="none"/>
              </w:rPr>
              <w:t>理或未答复，扣1分。</w:t>
            </w: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②符合得</w:t>
            </w:r>
            <w:r>
              <w:rPr>
                <w:rFonts w:hint="eastAsia" w:ascii="新宋体" w:hAnsi="新宋体" w:eastAsia="新宋体" w:cs="新宋体"/>
                <w:color w:val="auto"/>
                <w:spacing w:val="-14"/>
                <w:sz w:val="24"/>
                <w:szCs w:val="24"/>
                <w:highlight w:val="none"/>
                <w:lang w:val="en-US" w:eastAsia="zh-CN"/>
              </w:rPr>
              <w:t>1</w:t>
            </w:r>
            <w:r>
              <w:rPr>
                <w:rFonts w:hint="eastAsia" w:ascii="新宋体" w:hAnsi="新宋体" w:eastAsia="新宋体" w:cs="新宋体"/>
                <w:color w:val="auto"/>
                <w:spacing w:val="-14"/>
                <w:sz w:val="24"/>
                <w:szCs w:val="24"/>
                <w:highlight w:val="none"/>
              </w:rPr>
              <w:t>分，基本符合得</w:t>
            </w:r>
            <w:r>
              <w:rPr>
                <w:rFonts w:hint="eastAsia" w:ascii="新宋体" w:hAnsi="新宋体" w:eastAsia="新宋体" w:cs="新宋体"/>
                <w:color w:val="auto"/>
                <w:spacing w:val="-14"/>
                <w:sz w:val="24"/>
                <w:szCs w:val="24"/>
                <w:highlight w:val="none"/>
                <w:lang w:val="en-US" w:eastAsia="zh-CN"/>
              </w:rPr>
              <w:t>0.5</w:t>
            </w:r>
            <w:r>
              <w:rPr>
                <w:rFonts w:hint="eastAsia" w:ascii="新宋体" w:hAnsi="新宋体" w:eastAsia="新宋体" w:cs="新宋体"/>
                <w:color w:val="auto"/>
                <w:spacing w:val="-14"/>
                <w:sz w:val="24"/>
                <w:szCs w:val="24"/>
                <w:highlight w:val="none"/>
              </w:rPr>
              <w:t>分</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10"/>
                <w:sz w:val="24"/>
                <w:szCs w:val="24"/>
                <w:highlight w:val="none"/>
              </w:rPr>
              <w:t>不</w:t>
            </w:r>
            <w:r>
              <w:rPr>
                <w:rFonts w:hint="eastAsia" w:ascii="新宋体" w:hAnsi="新宋体" w:eastAsia="新宋体" w:cs="新宋体"/>
                <w:color w:val="auto"/>
                <w:spacing w:val="-6"/>
                <w:sz w:val="24"/>
                <w:szCs w:val="24"/>
                <w:highlight w:val="none"/>
              </w:rPr>
              <w:t>符</w:t>
            </w:r>
            <w:r>
              <w:rPr>
                <w:rFonts w:hint="eastAsia" w:ascii="新宋体" w:hAnsi="新宋体" w:eastAsia="新宋体" w:cs="新宋体"/>
                <w:color w:val="auto"/>
                <w:spacing w:val="-5"/>
                <w:sz w:val="24"/>
                <w:szCs w:val="24"/>
                <w:highlight w:val="none"/>
              </w:rPr>
              <w:t>合得0分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检查整改有效落</w:t>
            </w:r>
            <w:r>
              <w:rPr>
                <w:rFonts w:hint="eastAsia" w:ascii="新宋体" w:hAnsi="新宋体" w:eastAsia="新宋体" w:cs="新宋体"/>
                <w:color w:val="auto"/>
                <w:sz w:val="24"/>
                <w:szCs w:val="24"/>
                <w:highlight w:val="none"/>
              </w:rPr>
              <w:t>实。</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无其它</w:t>
            </w:r>
            <w:r>
              <w:rPr>
                <w:rFonts w:hint="eastAsia" w:ascii="新宋体" w:hAnsi="新宋体" w:eastAsia="新宋体" w:cs="新宋体"/>
                <w:color w:val="auto"/>
                <w:spacing w:val="-1"/>
                <w:sz w:val="24"/>
                <w:szCs w:val="24"/>
                <w:highlight w:val="none"/>
              </w:rPr>
              <w:t>违反</w:t>
            </w:r>
            <w:r>
              <w:rPr>
                <w:rFonts w:hint="eastAsia" w:ascii="新宋体" w:hAnsi="新宋体" w:eastAsia="新宋体" w:cs="新宋体"/>
                <w:color w:val="auto"/>
                <w:spacing w:val="-1"/>
                <w:sz w:val="24"/>
                <w:szCs w:val="24"/>
                <w:highlight w:val="none"/>
                <w:lang w:eastAsia="zh-CN"/>
              </w:rPr>
              <w:t>采购人</w:t>
            </w:r>
            <w:r>
              <w:rPr>
                <w:rFonts w:hint="eastAsia" w:ascii="新宋体" w:hAnsi="新宋体" w:eastAsia="新宋体" w:cs="新宋体"/>
                <w:color w:val="auto"/>
                <w:spacing w:val="-1"/>
                <w:sz w:val="24"/>
                <w:szCs w:val="24"/>
                <w:highlight w:val="none"/>
              </w:rPr>
              <w:t>相关规定之事项。</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11</w:t>
            </w:r>
          </w:p>
        </w:tc>
        <w:tc>
          <w:tcPr>
            <w:tcW w:w="844" w:type="dxa"/>
            <w:vAlign w:val="center"/>
          </w:tcPr>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position w:val="9"/>
                <w:sz w:val="24"/>
                <w:szCs w:val="24"/>
                <w:highlight w:val="none"/>
              </w:rPr>
              <w:t>标准</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tabs>
                <w:tab w:val="left" w:pos="6229"/>
              </w:tabs>
              <w:jc w:val="both"/>
              <w:rPr>
                <w:rFonts w:hint="eastAsia" w:ascii="新宋体" w:hAnsi="新宋体" w:eastAsia="新宋体" w:cs="新宋体"/>
                <w:snapToGrid w:val="0"/>
                <w:color w:val="auto"/>
                <w:kern w:val="0"/>
                <w:sz w:val="24"/>
                <w:szCs w:val="24"/>
                <w:highlight w:val="none"/>
                <w:lang w:val="en-US" w:eastAsia="zh-CN" w:bidi="ar-SA"/>
              </w:rPr>
            </w:pPr>
            <w:r>
              <w:rPr>
                <w:rFonts w:hint="eastAsia" w:ascii="新宋体" w:hAnsi="新宋体" w:eastAsia="新宋体" w:cs="新宋体"/>
                <w:snapToGrid w:val="0"/>
                <w:color w:val="auto"/>
                <w:kern w:val="0"/>
                <w:sz w:val="24"/>
                <w:szCs w:val="24"/>
                <w:highlight w:val="none"/>
                <w:lang w:val="en-US" w:eastAsia="zh-CN" w:bidi="ar-SA"/>
              </w:rPr>
              <w:tab/>
            </w:r>
            <w:r>
              <w:rPr>
                <w:rFonts w:hint="eastAsia" w:ascii="新宋体" w:hAnsi="新宋体" w:eastAsia="新宋体" w:cs="新宋体"/>
                <w:snapToGrid w:val="0"/>
                <w:color w:val="auto"/>
                <w:kern w:val="0"/>
                <w:sz w:val="24"/>
                <w:szCs w:val="24"/>
                <w:highlight w:val="none"/>
                <w:lang w:val="en-US" w:eastAsia="zh-CN" w:bidi="ar-SA"/>
              </w:rPr>
              <w:t>100分</w:t>
            </w: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12</w:t>
            </w:r>
          </w:p>
        </w:tc>
        <w:tc>
          <w:tcPr>
            <w:tcW w:w="844" w:type="dxa"/>
            <w:vAlign w:val="center"/>
          </w:tcPr>
          <w:p>
            <w:pPr>
              <w:widowControl/>
              <w:kinsoku w:val="0"/>
              <w:wordWrap/>
              <w:autoSpaceDE w:val="0"/>
              <w:autoSpaceDN w:val="0"/>
              <w:adjustRightInd w:val="0"/>
              <w:snapToGrid w:val="0"/>
              <w:spacing w:line="240" w:lineRule="atLeast"/>
              <w:ind w:left="21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rPr>
              <w:t>总得</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bl>
    <w:p>
      <w:pPr>
        <w:spacing w:line="360" w:lineRule="auto"/>
        <w:ind w:firstLine="420" w:firstLineChars="0"/>
        <w:rPr>
          <w:rFonts w:hint="eastAsia" w:ascii="新宋体" w:hAnsi="新宋体" w:eastAsia="新宋体" w:cs="新宋体"/>
          <w:color w:val="auto"/>
          <w:sz w:val="24"/>
          <w:szCs w:val="24"/>
          <w:highlight w:val="none"/>
          <w:shd w:val="clear" w:color="040000" w:fill="FFFFFF"/>
        </w:rPr>
        <w:sectPr>
          <w:pgSz w:w="16838" w:h="11900" w:orient="landscape"/>
          <w:pgMar w:top="1712" w:right="1429" w:bottom="1599" w:left="0" w:header="0" w:footer="0" w:gutter="0"/>
          <w:pgNumType w:fmt="decimal"/>
          <w:cols w:space="720" w:num="1"/>
          <w:titlePg/>
          <w:rtlGutter w:val="0"/>
          <w:docGrid w:type="lines" w:linePitch="318"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3305"/>
      <w:bookmarkEnd w:id="28"/>
      <w:bookmarkStart w:id="29" w:name="_Toc184313271"/>
      <w:bookmarkEnd w:id="29"/>
      <w:bookmarkStart w:id="30" w:name="_Toc184312121"/>
      <w:bookmarkEnd w:id="30"/>
      <w:bookmarkStart w:id="31" w:name="_Toc184312126"/>
      <w:bookmarkEnd w:id="31"/>
      <w:bookmarkStart w:id="32" w:name="_Toc184312117"/>
      <w:bookmarkEnd w:id="32"/>
      <w:bookmarkStart w:id="33" w:name="_Toc184314431"/>
      <w:bookmarkEnd w:id="33"/>
      <w:bookmarkStart w:id="34" w:name="_Toc184314411"/>
      <w:bookmarkEnd w:id="34"/>
      <w:bookmarkStart w:id="35" w:name="_Toc184310340"/>
      <w:bookmarkEnd w:id="35"/>
      <w:bookmarkStart w:id="36" w:name="_Toc184310325"/>
      <w:bookmarkEnd w:id="36"/>
      <w:bookmarkStart w:id="37" w:name="_Toc184310307"/>
      <w:bookmarkEnd w:id="37"/>
      <w:bookmarkStart w:id="38" w:name="_Toc184314445"/>
      <w:bookmarkEnd w:id="38"/>
      <w:bookmarkStart w:id="39" w:name="_Toc184314426"/>
      <w:bookmarkEnd w:id="39"/>
      <w:bookmarkStart w:id="40" w:name="_Toc184308084"/>
      <w:bookmarkEnd w:id="40"/>
      <w:bookmarkStart w:id="41" w:name="_Toc184314478"/>
      <w:bookmarkEnd w:id="41"/>
      <w:bookmarkStart w:id="42" w:name="_Toc184313295"/>
      <w:bookmarkEnd w:id="42"/>
      <w:bookmarkStart w:id="43" w:name="_Toc184314451"/>
      <w:bookmarkEnd w:id="43"/>
      <w:bookmarkStart w:id="44" w:name="_Toc184312108"/>
      <w:bookmarkEnd w:id="44"/>
      <w:bookmarkStart w:id="45" w:name="_Toc184308036"/>
      <w:bookmarkEnd w:id="45"/>
      <w:bookmarkStart w:id="46" w:name="_Toc184312089"/>
      <w:bookmarkEnd w:id="46"/>
      <w:bookmarkStart w:id="47" w:name="_Toc184313279"/>
      <w:bookmarkEnd w:id="47"/>
      <w:bookmarkStart w:id="48" w:name="_Toc184312104"/>
      <w:bookmarkEnd w:id="48"/>
      <w:bookmarkStart w:id="49" w:name="_Toc184314443"/>
      <w:bookmarkEnd w:id="49"/>
      <w:bookmarkStart w:id="50" w:name="_Toc184314458"/>
      <w:bookmarkEnd w:id="50"/>
      <w:bookmarkStart w:id="51" w:name="_Toc184312091"/>
      <w:bookmarkEnd w:id="51"/>
      <w:bookmarkStart w:id="52" w:name="_Toc184308070"/>
      <w:bookmarkEnd w:id="52"/>
      <w:bookmarkStart w:id="53" w:name="_Toc184308039"/>
      <w:bookmarkEnd w:id="53"/>
      <w:bookmarkStart w:id="54" w:name="_Toc184314467"/>
      <w:bookmarkEnd w:id="54"/>
      <w:bookmarkStart w:id="55" w:name="_Toc184310281"/>
      <w:bookmarkEnd w:id="55"/>
      <w:bookmarkStart w:id="56" w:name="_Toc184312138"/>
      <w:bookmarkEnd w:id="56"/>
      <w:bookmarkStart w:id="57" w:name="_Toc184314414"/>
      <w:bookmarkEnd w:id="57"/>
      <w:bookmarkStart w:id="58" w:name="_Toc184312084"/>
      <w:bookmarkEnd w:id="58"/>
      <w:bookmarkStart w:id="59" w:name="_Toc184314432"/>
      <w:bookmarkEnd w:id="59"/>
      <w:bookmarkStart w:id="60" w:name="_Toc184308068"/>
      <w:bookmarkEnd w:id="60"/>
      <w:bookmarkStart w:id="61" w:name="_Toc184313299"/>
      <w:bookmarkEnd w:id="61"/>
      <w:bookmarkStart w:id="62" w:name="_Toc184314448"/>
      <w:bookmarkEnd w:id="62"/>
      <w:bookmarkStart w:id="63" w:name="_Toc184314455"/>
      <w:bookmarkEnd w:id="63"/>
      <w:bookmarkStart w:id="64" w:name="_Toc184308098"/>
      <w:bookmarkEnd w:id="64"/>
      <w:bookmarkStart w:id="65" w:name="_Toc184308077"/>
      <w:bookmarkEnd w:id="65"/>
      <w:bookmarkStart w:id="66" w:name="_Toc184310310"/>
      <w:bookmarkEnd w:id="66"/>
      <w:bookmarkStart w:id="67" w:name="_Toc184314449"/>
      <w:bookmarkEnd w:id="67"/>
      <w:bookmarkStart w:id="68" w:name="_Toc184308082"/>
      <w:bookmarkEnd w:id="68"/>
      <w:bookmarkStart w:id="69" w:name="_Toc184308063"/>
      <w:bookmarkEnd w:id="69"/>
      <w:bookmarkStart w:id="70" w:name="_Toc184312133"/>
      <w:bookmarkEnd w:id="70"/>
      <w:bookmarkStart w:id="71" w:name="_Toc184308040"/>
      <w:bookmarkEnd w:id="71"/>
      <w:bookmarkStart w:id="72" w:name="_Toc184308107"/>
      <w:bookmarkEnd w:id="72"/>
      <w:bookmarkStart w:id="73" w:name="_Toc184308043"/>
      <w:bookmarkEnd w:id="73"/>
      <w:bookmarkStart w:id="74" w:name="_Toc184314424"/>
      <w:bookmarkEnd w:id="74"/>
      <w:bookmarkStart w:id="75" w:name="_Toc184310304"/>
      <w:bookmarkEnd w:id="75"/>
      <w:bookmarkStart w:id="76" w:name="_Toc184308060"/>
      <w:bookmarkEnd w:id="76"/>
      <w:bookmarkStart w:id="77" w:name="_Toc184310284"/>
      <w:bookmarkEnd w:id="77"/>
      <w:bookmarkStart w:id="78" w:name="_Toc184313263"/>
      <w:bookmarkEnd w:id="78"/>
      <w:bookmarkStart w:id="79" w:name="_Toc184312110"/>
      <w:bookmarkEnd w:id="79"/>
      <w:bookmarkStart w:id="80" w:name="_Toc184312079"/>
      <w:bookmarkEnd w:id="80"/>
      <w:bookmarkStart w:id="81" w:name="_Toc184314479"/>
      <w:bookmarkEnd w:id="81"/>
      <w:bookmarkStart w:id="82" w:name="_Toc184308090"/>
      <w:bookmarkEnd w:id="82"/>
      <w:bookmarkStart w:id="83" w:name="_Toc184310344"/>
      <w:bookmarkEnd w:id="83"/>
      <w:bookmarkStart w:id="84" w:name="_Toc184313287"/>
      <w:bookmarkEnd w:id="84"/>
      <w:bookmarkStart w:id="85" w:name="_Toc184310335"/>
      <w:bookmarkEnd w:id="85"/>
      <w:bookmarkStart w:id="86" w:name="_Toc184310294"/>
      <w:bookmarkEnd w:id="86"/>
      <w:bookmarkStart w:id="87" w:name="_Toc184314428"/>
      <w:bookmarkEnd w:id="87"/>
      <w:bookmarkStart w:id="88" w:name="_Toc184310331"/>
      <w:bookmarkEnd w:id="88"/>
      <w:bookmarkStart w:id="89" w:name="_Toc184310299"/>
      <w:bookmarkEnd w:id="89"/>
      <w:bookmarkStart w:id="90" w:name="_Toc184313246"/>
      <w:bookmarkEnd w:id="90"/>
      <w:bookmarkStart w:id="91" w:name="_Toc184308045"/>
      <w:bookmarkEnd w:id="91"/>
      <w:bookmarkStart w:id="92" w:name="_Toc184312073"/>
      <w:bookmarkEnd w:id="92"/>
      <w:bookmarkStart w:id="93" w:name="_Toc184313269"/>
      <w:bookmarkEnd w:id="93"/>
      <w:bookmarkStart w:id="94" w:name="_Toc184314459"/>
      <w:bookmarkEnd w:id="94"/>
      <w:bookmarkStart w:id="95" w:name="_Toc184310314"/>
      <w:bookmarkEnd w:id="95"/>
      <w:bookmarkStart w:id="96" w:name="_Toc184313268"/>
      <w:bookmarkEnd w:id="96"/>
      <w:bookmarkStart w:id="97" w:name="_Toc184308075"/>
      <w:bookmarkEnd w:id="97"/>
      <w:bookmarkStart w:id="98" w:name="_Toc184308051"/>
      <w:bookmarkEnd w:id="98"/>
      <w:bookmarkStart w:id="99" w:name="_Toc184313259"/>
      <w:bookmarkEnd w:id="99"/>
      <w:bookmarkStart w:id="100" w:name="_Toc184313291"/>
      <w:bookmarkEnd w:id="100"/>
      <w:bookmarkStart w:id="101" w:name="_Toc184314422"/>
      <w:bookmarkEnd w:id="101"/>
      <w:bookmarkStart w:id="102" w:name="_Toc184314434"/>
      <w:bookmarkEnd w:id="102"/>
      <w:bookmarkStart w:id="103" w:name="_Toc184308101"/>
      <w:bookmarkEnd w:id="103"/>
      <w:bookmarkStart w:id="104" w:name="_Toc184308054"/>
      <w:bookmarkEnd w:id="104"/>
      <w:bookmarkStart w:id="105" w:name="_Toc184314466"/>
      <w:bookmarkEnd w:id="105"/>
      <w:bookmarkStart w:id="106" w:name="_Toc184313264"/>
      <w:bookmarkEnd w:id="106"/>
      <w:bookmarkStart w:id="107" w:name="_Toc184308059"/>
      <w:bookmarkEnd w:id="107"/>
      <w:bookmarkStart w:id="108" w:name="_Toc184310273"/>
      <w:bookmarkEnd w:id="108"/>
      <w:bookmarkStart w:id="109" w:name="_Toc184313296"/>
      <w:bookmarkEnd w:id="109"/>
      <w:bookmarkStart w:id="110" w:name="_Toc184310280"/>
      <w:bookmarkEnd w:id="110"/>
      <w:bookmarkStart w:id="111" w:name="_Toc184308085"/>
      <w:bookmarkEnd w:id="111"/>
      <w:bookmarkStart w:id="112" w:name="_Toc184312074"/>
      <w:bookmarkEnd w:id="112"/>
      <w:bookmarkStart w:id="113" w:name="_Toc184308078"/>
      <w:bookmarkEnd w:id="113"/>
      <w:bookmarkStart w:id="114" w:name="_Toc184313297"/>
      <w:bookmarkEnd w:id="114"/>
      <w:bookmarkStart w:id="115" w:name="_Toc184313245"/>
      <w:bookmarkEnd w:id="115"/>
      <w:bookmarkStart w:id="116" w:name="_Toc184310326"/>
      <w:bookmarkEnd w:id="116"/>
      <w:bookmarkStart w:id="117" w:name="_Toc184312109"/>
      <w:bookmarkEnd w:id="117"/>
      <w:bookmarkStart w:id="118" w:name="_Toc184308062"/>
      <w:bookmarkEnd w:id="118"/>
      <w:bookmarkStart w:id="119" w:name="_Toc184313247"/>
      <w:bookmarkEnd w:id="119"/>
      <w:bookmarkStart w:id="120" w:name="_Toc184308095"/>
      <w:bookmarkEnd w:id="120"/>
      <w:bookmarkStart w:id="121" w:name="_Toc184313265"/>
      <w:bookmarkEnd w:id="121"/>
      <w:bookmarkStart w:id="122" w:name="_Toc184313301"/>
      <w:bookmarkEnd w:id="122"/>
      <w:bookmarkStart w:id="123" w:name="_Toc184310303"/>
      <w:bookmarkEnd w:id="123"/>
      <w:bookmarkStart w:id="124" w:name="_Toc184308102"/>
      <w:bookmarkEnd w:id="124"/>
      <w:bookmarkStart w:id="125" w:name="_Toc184310332"/>
      <w:bookmarkEnd w:id="125"/>
      <w:bookmarkStart w:id="126" w:name="_Toc184314481"/>
      <w:bookmarkEnd w:id="126"/>
      <w:bookmarkStart w:id="127" w:name="_Toc184312118"/>
      <w:bookmarkEnd w:id="127"/>
      <w:bookmarkStart w:id="128" w:name="_Toc184313266"/>
      <w:bookmarkEnd w:id="128"/>
      <w:bookmarkStart w:id="129" w:name="_Toc184314457"/>
      <w:bookmarkEnd w:id="129"/>
      <w:bookmarkStart w:id="130" w:name="_Toc184310283"/>
      <w:bookmarkEnd w:id="130"/>
      <w:bookmarkStart w:id="131" w:name="_Toc184310297"/>
      <w:bookmarkEnd w:id="131"/>
      <w:bookmarkStart w:id="132" w:name="_Toc184313241"/>
      <w:bookmarkEnd w:id="132"/>
      <w:bookmarkStart w:id="133" w:name="_Toc184312114"/>
      <w:bookmarkEnd w:id="133"/>
      <w:bookmarkStart w:id="134" w:name="_Toc184313255"/>
      <w:bookmarkEnd w:id="134"/>
      <w:bookmarkStart w:id="135" w:name="_Toc184308083"/>
      <w:bookmarkEnd w:id="135"/>
      <w:bookmarkStart w:id="136" w:name="_Toc184313281"/>
      <w:bookmarkEnd w:id="136"/>
      <w:bookmarkStart w:id="137" w:name="_Toc184314441"/>
      <w:bookmarkEnd w:id="137"/>
      <w:bookmarkStart w:id="138" w:name="_Toc184312124"/>
      <w:bookmarkEnd w:id="138"/>
      <w:bookmarkStart w:id="139" w:name="_Toc184312112"/>
      <w:bookmarkEnd w:id="139"/>
      <w:bookmarkStart w:id="140" w:name="_Toc184312102"/>
      <w:bookmarkEnd w:id="140"/>
      <w:bookmarkStart w:id="141" w:name="_Toc184313278"/>
      <w:bookmarkEnd w:id="141"/>
      <w:bookmarkStart w:id="142" w:name="_Toc184308049"/>
      <w:bookmarkEnd w:id="142"/>
      <w:bookmarkStart w:id="143" w:name="_Toc184310292"/>
      <w:bookmarkEnd w:id="143"/>
      <w:bookmarkStart w:id="144" w:name="_Toc184313273"/>
      <w:bookmarkEnd w:id="144"/>
      <w:bookmarkStart w:id="145" w:name="_Toc184314474"/>
      <w:bookmarkEnd w:id="145"/>
      <w:bookmarkStart w:id="146" w:name="_Toc184313276"/>
      <w:bookmarkEnd w:id="146"/>
      <w:bookmarkStart w:id="147" w:name="_Toc184313307"/>
      <w:bookmarkEnd w:id="147"/>
      <w:bookmarkStart w:id="148" w:name="_Toc184312081"/>
      <w:bookmarkEnd w:id="148"/>
      <w:bookmarkStart w:id="149" w:name="_Toc184310313"/>
      <w:bookmarkEnd w:id="149"/>
      <w:bookmarkStart w:id="150" w:name="_Toc184310343"/>
      <w:bookmarkEnd w:id="150"/>
      <w:bookmarkStart w:id="151" w:name="_Toc184313282"/>
      <w:bookmarkEnd w:id="151"/>
      <w:bookmarkStart w:id="152" w:name="_Toc184313283"/>
      <w:bookmarkEnd w:id="152"/>
      <w:bookmarkStart w:id="153" w:name="_Toc184313240"/>
      <w:bookmarkEnd w:id="153"/>
      <w:bookmarkStart w:id="154" w:name="_Toc184312123"/>
      <w:bookmarkEnd w:id="154"/>
      <w:bookmarkStart w:id="155" w:name="_Toc184313310"/>
      <w:bookmarkEnd w:id="155"/>
      <w:bookmarkStart w:id="156" w:name="_Toc184308067"/>
      <w:bookmarkEnd w:id="156"/>
      <w:bookmarkStart w:id="157" w:name="_Toc184312075"/>
      <w:bookmarkEnd w:id="157"/>
      <w:bookmarkStart w:id="158" w:name="_Toc184313275"/>
      <w:bookmarkEnd w:id="158"/>
      <w:bookmarkStart w:id="159" w:name="_Toc184314418"/>
      <w:bookmarkEnd w:id="159"/>
      <w:bookmarkStart w:id="160" w:name="_Toc184312071"/>
      <w:bookmarkEnd w:id="160"/>
      <w:bookmarkStart w:id="161" w:name="_Toc184312125"/>
      <w:bookmarkEnd w:id="161"/>
      <w:bookmarkStart w:id="162" w:name="_Toc184308106"/>
      <w:bookmarkEnd w:id="162"/>
      <w:bookmarkStart w:id="163" w:name="_Toc184310341"/>
      <w:bookmarkEnd w:id="163"/>
      <w:bookmarkStart w:id="164" w:name="_Toc184312139"/>
      <w:bookmarkEnd w:id="164"/>
      <w:bookmarkStart w:id="165" w:name="_Toc184310315"/>
      <w:bookmarkEnd w:id="165"/>
      <w:bookmarkStart w:id="166" w:name="_Toc184314456"/>
      <w:bookmarkEnd w:id="166"/>
      <w:bookmarkStart w:id="167" w:name="_Toc184310308"/>
      <w:bookmarkEnd w:id="167"/>
      <w:bookmarkStart w:id="168" w:name="_Toc184314452"/>
      <w:bookmarkEnd w:id="168"/>
      <w:bookmarkStart w:id="169" w:name="_Toc184308037"/>
      <w:bookmarkEnd w:id="169"/>
      <w:bookmarkStart w:id="170" w:name="_Toc184308097"/>
      <w:bookmarkEnd w:id="170"/>
      <w:bookmarkStart w:id="171" w:name="_Toc184313248"/>
      <w:bookmarkEnd w:id="171"/>
      <w:bookmarkStart w:id="172" w:name="_Toc184308104"/>
      <w:bookmarkEnd w:id="172"/>
      <w:bookmarkStart w:id="173" w:name="_Toc184313284"/>
      <w:bookmarkEnd w:id="173"/>
      <w:bookmarkStart w:id="174" w:name="_Toc184308080"/>
      <w:bookmarkEnd w:id="174"/>
      <w:bookmarkStart w:id="175" w:name="_Toc184308046"/>
      <w:bookmarkEnd w:id="175"/>
      <w:bookmarkStart w:id="176" w:name="_Toc184310277"/>
      <w:bookmarkEnd w:id="176"/>
      <w:bookmarkStart w:id="177" w:name="_Toc184313258"/>
      <w:bookmarkEnd w:id="177"/>
      <w:bookmarkStart w:id="178" w:name="_Toc184312096"/>
      <w:bookmarkEnd w:id="178"/>
      <w:bookmarkStart w:id="179" w:name="_Toc184312129"/>
      <w:bookmarkEnd w:id="179"/>
      <w:bookmarkStart w:id="180" w:name="_Toc184308042"/>
      <w:bookmarkEnd w:id="180"/>
      <w:bookmarkStart w:id="181" w:name="_Toc184314454"/>
      <w:bookmarkEnd w:id="181"/>
      <w:bookmarkStart w:id="182" w:name="_Toc184308086"/>
      <w:bookmarkEnd w:id="182"/>
      <w:bookmarkStart w:id="183" w:name="_Toc184310336"/>
      <w:bookmarkEnd w:id="183"/>
      <w:bookmarkStart w:id="184" w:name="_Toc184312100"/>
      <w:bookmarkEnd w:id="184"/>
      <w:bookmarkStart w:id="185" w:name="_Toc184308071"/>
      <w:bookmarkEnd w:id="185"/>
      <w:bookmarkStart w:id="186" w:name="_Toc184310278"/>
      <w:bookmarkEnd w:id="186"/>
      <w:bookmarkStart w:id="187" w:name="_Toc184308064"/>
      <w:bookmarkEnd w:id="187"/>
      <w:bookmarkStart w:id="188" w:name="_Toc184313250"/>
      <w:bookmarkEnd w:id="188"/>
      <w:bookmarkStart w:id="189" w:name="_Toc184310321"/>
      <w:bookmarkEnd w:id="189"/>
      <w:bookmarkStart w:id="190" w:name="_Toc184312087"/>
      <w:bookmarkEnd w:id="190"/>
      <w:bookmarkStart w:id="191" w:name="_Toc184310327"/>
      <w:bookmarkEnd w:id="191"/>
      <w:bookmarkStart w:id="192" w:name="_Toc184314444"/>
      <w:bookmarkEnd w:id="192"/>
      <w:bookmarkStart w:id="193" w:name="_Toc184314461"/>
      <w:bookmarkEnd w:id="193"/>
      <w:bookmarkStart w:id="194" w:name="_Toc184308073"/>
      <w:bookmarkEnd w:id="194"/>
      <w:bookmarkStart w:id="195" w:name="_Toc184313257"/>
      <w:bookmarkEnd w:id="195"/>
      <w:bookmarkStart w:id="196" w:name="_Toc184312119"/>
      <w:bookmarkEnd w:id="196"/>
      <w:bookmarkStart w:id="197" w:name="_Toc184314435"/>
      <w:bookmarkEnd w:id="197"/>
      <w:bookmarkStart w:id="198" w:name="_Toc184314465"/>
      <w:bookmarkEnd w:id="198"/>
      <w:bookmarkStart w:id="199" w:name="_Toc184310272"/>
      <w:bookmarkEnd w:id="199"/>
      <w:bookmarkStart w:id="200" w:name="_Toc184310289"/>
      <w:bookmarkEnd w:id="200"/>
      <w:bookmarkStart w:id="201" w:name="_Toc184308065"/>
      <w:bookmarkEnd w:id="201"/>
      <w:bookmarkStart w:id="202" w:name="_Toc184314416"/>
      <w:bookmarkEnd w:id="202"/>
      <w:bookmarkStart w:id="203" w:name="_Toc184314460"/>
      <w:bookmarkEnd w:id="203"/>
      <w:bookmarkStart w:id="204" w:name="_Toc184312101"/>
      <w:bookmarkEnd w:id="204"/>
      <w:bookmarkStart w:id="205" w:name="_Toc184314482"/>
      <w:bookmarkEnd w:id="205"/>
      <w:bookmarkStart w:id="206" w:name="_Toc184308074"/>
      <w:bookmarkEnd w:id="206"/>
      <w:bookmarkStart w:id="207" w:name="_Toc184313293"/>
      <w:bookmarkEnd w:id="207"/>
      <w:bookmarkStart w:id="208" w:name="_Toc184313280"/>
      <w:bookmarkEnd w:id="208"/>
      <w:bookmarkStart w:id="209" w:name="_Toc184310305"/>
      <w:bookmarkEnd w:id="209"/>
      <w:bookmarkStart w:id="210" w:name="_Toc184312107"/>
      <w:bookmarkEnd w:id="210"/>
      <w:bookmarkStart w:id="211" w:name="_Toc184310301"/>
      <w:bookmarkEnd w:id="211"/>
      <w:bookmarkStart w:id="212" w:name="_Toc184312131"/>
      <w:bookmarkEnd w:id="212"/>
      <w:bookmarkStart w:id="213" w:name="_Toc184312099"/>
      <w:bookmarkEnd w:id="213"/>
      <w:bookmarkStart w:id="214" w:name="_Toc184312137"/>
      <w:bookmarkEnd w:id="214"/>
      <w:bookmarkStart w:id="215" w:name="_Toc184313260"/>
      <w:bookmarkEnd w:id="215"/>
      <w:bookmarkStart w:id="216" w:name="_Toc184312116"/>
      <w:bookmarkEnd w:id="216"/>
      <w:bookmarkStart w:id="217" w:name="_Toc184314413"/>
      <w:bookmarkEnd w:id="217"/>
      <w:bookmarkStart w:id="218" w:name="_Toc184314446"/>
      <w:bookmarkEnd w:id="218"/>
      <w:bookmarkStart w:id="219" w:name="_Toc184310275"/>
      <w:bookmarkEnd w:id="219"/>
      <w:bookmarkStart w:id="220" w:name="_Toc184312115"/>
      <w:bookmarkEnd w:id="220"/>
      <w:bookmarkStart w:id="221" w:name="_Toc184308038"/>
      <w:bookmarkEnd w:id="221"/>
      <w:bookmarkStart w:id="222" w:name="_Toc184314475"/>
      <w:bookmarkEnd w:id="222"/>
      <w:bookmarkStart w:id="223" w:name="_Toc184310282"/>
      <w:bookmarkEnd w:id="223"/>
      <w:bookmarkStart w:id="224" w:name="_Toc184310293"/>
      <w:bookmarkEnd w:id="224"/>
      <w:bookmarkStart w:id="225" w:name="_Toc184314421"/>
      <w:bookmarkEnd w:id="225"/>
      <w:bookmarkStart w:id="226" w:name="_Toc184310339"/>
      <w:bookmarkEnd w:id="226"/>
      <w:bookmarkStart w:id="227" w:name="_Toc184310329"/>
      <w:bookmarkEnd w:id="227"/>
      <w:bookmarkStart w:id="228" w:name="_Toc184312086"/>
      <w:bookmarkEnd w:id="228"/>
      <w:bookmarkStart w:id="229" w:name="_Toc184310296"/>
      <w:bookmarkEnd w:id="229"/>
      <w:bookmarkStart w:id="230" w:name="_Toc184314476"/>
      <w:bookmarkEnd w:id="230"/>
      <w:bookmarkStart w:id="231" w:name="_Toc184312128"/>
      <w:bookmarkEnd w:id="231"/>
      <w:bookmarkStart w:id="232" w:name="_Toc184308058"/>
      <w:bookmarkEnd w:id="232"/>
      <w:bookmarkStart w:id="233" w:name="_Toc184310290"/>
      <w:bookmarkEnd w:id="233"/>
      <w:bookmarkStart w:id="234" w:name="_Toc184310338"/>
      <w:bookmarkEnd w:id="234"/>
      <w:bookmarkStart w:id="235" w:name="_Toc184310333"/>
      <w:bookmarkEnd w:id="235"/>
      <w:bookmarkStart w:id="236" w:name="_Toc184314439"/>
      <w:bookmarkEnd w:id="236"/>
      <w:bookmarkStart w:id="237" w:name="_Toc184314419"/>
      <w:bookmarkEnd w:id="237"/>
      <w:bookmarkStart w:id="238" w:name="_Toc184314430"/>
      <w:bookmarkEnd w:id="238"/>
      <w:bookmarkStart w:id="239" w:name="_Toc184314472"/>
      <w:bookmarkEnd w:id="239"/>
      <w:bookmarkStart w:id="240" w:name="_Toc184314436"/>
      <w:bookmarkEnd w:id="240"/>
      <w:bookmarkStart w:id="241" w:name="_Toc184313252"/>
      <w:bookmarkEnd w:id="241"/>
      <w:bookmarkStart w:id="242" w:name="_Toc184313286"/>
      <w:bookmarkEnd w:id="242"/>
      <w:bookmarkStart w:id="243" w:name="_Toc184313292"/>
      <w:bookmarkEnd w:id="243"/>
      <w:bookmarkStart w:id="244" w:name="_Toc184312090"/>
      <w:bookmarkEnd w:id="244"/>
      <w:bookmarkStart w:id="245" w:name="_Toc184310276"/>
      <w:bookmarkEnd w:id="245"/>
      <w:bookmarkStart w:id="246" w:name="_Toc184313261"/>
      <w:bookmarkEnd w:id="246"/>
      <w:bookmarkStart w:id="247" w:name="_Toc184313274"/>
      <w:bookmarkEnd w:id="247"/>
      <w:bookmarkStart w:id="248" w:name="_Toc184308091"/>
      <w:bookmarkEnd w:id="248"/>
      <w:bookmarkStart w:id="249" w:name="_Toc184314438"/>
      <w:bookmarkEnd w:id="249"/>
      <w:bookmarkStart w:id="250" w:name="_Toc184310306"/>
      <w:bookmarkEnd w:id="250"/>
      <w:bookmarkStart w:id="251" w:name="_Toc184313300"/>
      <w:bookmarkEnd w:id="251"/>
      <w:bookmarkStart w:id="252" w:name="_Toc184312097"/>
      <w:bookmarkEnd w:id="252"/>
      <w:bookmarkStart w:id="253" w:name="_Toc184314423"/>
      <w:bookmarkEnd w:id="253"/>
      <w:bookmarkStart w:id="254" w:name="_Toc184308047"/>
      <w:bookmarkEnd w:id="254"/>
      <w:bookmarkStart w:id="255" w:name="_Toc184313288"/>
      <w:bookmarkEnd w:id="255"/>
      <w:bookmarkStart w:id="256" w:name="_Toc184314417"/>
      <w:bookmarkEnd w:id="256"/>
      <w:bookmarkStart w:id="257" w:name="_Toc184312134"/>
      <w:bookmarkEnd w:id="257"/>
      <w:bookmarkStart w:id="258" w:name="_Toc184313302"/>
      <w:bookmarkEnd w:id="258"/>
      <w:bookmarkStart w:id="259" w:name="_Toc184308081"/>
      <w:bookmarkEnd w:id="259"/>
      <w:bookmarkStart w:id="260" w:name="_Toc184308092"/>
      <w:bookmarkEnd w:id="260"/>
      <w:bookmarkStart w:id="261" w:name="_Toc184310298"/>
      <w:bookmarkEnd w:id="261"/>
      <w:bookmarkStart w:id="262" w:name="_Toc184310322"/>
      <w:bookmarkEnd w:id="262"/>
      <w:bookmarkStart w:id="263" w:name="_Toc184308066"/>
      <w:bookmarkEnd w:id="263"/>
      <w:bookmarkStart w:id="264" w:name="_Toc184310334"/>
      <w:bookmarkEnd w:id="264"/>
      <w:bookmarkStart w:id="265" w:name="_Toc184308052"/>
      <w:bookmarkEnd w:id="265"/>
      <w:bookmarkStart w:id="266" w:name="_Toc184310337"/>
      <w:bookmarkEnd w:id="266"/>
      <w:bookmarkStart w:id="267" w:name="_Toc184312069"/>
      <w:bookmarkEnd w:id="267"/>
      <w:bookmarkStart w:id="268" w:name="_Toc184314433"/>
      <w:bookmarkEnd w:id="268"/>
      <w:bookmarkStart w:id="269" w:name="_Toc184313289"/>
      <w:bookmarkEnd w:id="269"/>
      <w:bookmarkStart w:id="270" w:name="_Toc184312085"/>
      <w:bookmarkEnd w:id="270"/>
      <w:bookmarkStart w:id="271" w:name="_Toc184314453"/>
      <w:bookmarkEnd w:id="271"/>
      <w:bookmarkStart w:id="272" w:name="_Toc184308069"/>
      <w:bookmarkEnd w:id="272"/>
      <w:bookmarkStart w:id="273" w:name="_Toc184310300"/>
      <w:bookmarkEnd w:id="273"/>
      <w:bookmarkStart w:id="274" w:name="_Toc184310324"/>
      <w:bookmarkEnd w:id="274"/>
      <w:bookmarkStart w:id="275" w:name="_Toc184308089"/>
      <w:bookmarkEnd w:id="275"/>
      <w:bookmarkStart w:id="276" w:name="_Toc184313242"/>
      <w:bookmarkEnd w:id="276"/>
      <w:bookmarkStart w:id="277" w:name="_Toc184308050"/>
      <w:bookmarkEnd w:id="277"/>
      <w:bookmarkStart w:id="278" w:name="_Toc184310320"/>
      <w:bookmarkEnd w:id="278"/>
      <w:bookmarkStart w:id="279" w:name="_Toc184308041"/>
      <w:bookmarkEnd w:id="279"/>
      <w:bookmarkStart w:id="280" w:name="_Toc184313238"/>
      <w:bookmarkEnd w:id="280"/>
      <w:bookmarkStart w:id="281" w:name="_Toc184314415"/>
      <w:bookmarkEnd w:id="281"/>
      <w:bookmarkStart w:id="282" w:name="_Toc184310317"/>
      <w:bookmarkEnd w:id="282"/>
      <w:bookmarkStart w:id="283" w:name="_Toc184308055"/>
      <w:bookmarkEnd w:id="283"/>
      <w:bookmarkStart w:id="284" w:name="_Toc184308072"/>
      <w:bookmarkEnd w:id="284"/>
      <w:bookmarkStart w:id="285" w:name="_Toc184310279"/>
      <w:bookmarkEnd w:id="285"/>
      <w:bookmarkStart w:id="286" w:name="_Toc184313270"/>
      <w:bookmarkEnd w:id="286"/>
      <w:bookmarkStart w:id="287" w:name="_Toc184308108"/>
      <w:bookmarkEnd w:id="287"/>
      <w:bookmarkStart w:id="288" w:name="_Toc184310286"/>
      <w:bookmarkEnd w:id="288"/>
      <w:bookmarkStart w:id="289" w:name="_Toc184314442"/>
      <w:bookmarkEnd w:id="289"/>
      <w:bookmarkStart w:id="290" w:name="_Toc184310342"/>
      <w:bookmarkEnd w:id="290"/>
      <w:bookmarkStart w:id="291" w:name="_Toc184312127"/>
      <w:bookmarkEnd w:id="291"/>
      <w:bookmarkStart w:id="292" w:name="_Toc184312093"/>
      <w:bookmarkEnd w:id="292"/>
      <w:bookmarkStart w:id="293" w:name="_Toc184312082"/>
      <w:bookmarkEnd w:id="293"/>
      <w:bookmarkStart w:id="294" w:name="_Toc184314462"/>
      <w:bookmarkEnd w:id="294"/>
      <w:bookmarkStart w:id="295" w:name="_Toc184313285"/>
      <w:bookmarkEnd w:id="295"/>
      <w:bookmarkStart w:id="296" w:name="_Toc184310328"/>
      <w:bookmarkEnd w:id="296"/>
      <w:bookmarkStart w:id="297" w:name="_Toc184312067"/>
      <w:bookmarkEnd w:id="297"/>
      <w:bookmarkStart w:id="298" w:name="_Toc184312068"/>
      <w:bookmarkEnd w:id="298"/>
      <w:bookmarkStart w:id="299" w:name="_Toc184310288"/>
      <w:bookmarkEnd w:id="299"/>
      <w:bookmarkStart w:id="300" w:name="_Toc184312094"/>
      <w:bookmarkEnd w:id="300"/>
      <w:bookmarkStart w:id="301" w:name="_Toc184313290"/>
      <w:bookmarkEnd w:id="301"/>
      <w:bookmarkStart w:id="302" w:name="_Toc184308048"/>
      <w:bookmarkEnd w:id="302"/>
      <w:bookmarkStart w:id="303" w:name="_Toc184312095"/>
      <w:bookmarkEnd w:id="303"/>
      <w:bookmarkStart w:id="304" w:name="_Toc184314440"/>
      <w:bookmarkEnd w:id="304"/>
      <w:bookmarkStart w:id="305" w:name="_Toc184310285"/>
      <w:bookmarkEnd w:id="305"/>
      <w:bookmarkStart w:id="306" w:name="_Toc184308103"/>
      <w:bookmarkEnd w:id="306"/>
      <w:bookmarkStart w:id="307" w:name="_Toc184314463"/>
      <w:bookmarkEnd w:id="307"/>
      <w:bookmarkStart w:id="308" w:name="_Toc184308099"/>
      <w:bookmarkEnd w:id="308"/>
      <w:bookmarkStart w:id="309" w:name="_Toc184308088"/>
      <w:bookmarkEnd w:id="309"/>
      <w:bookmarkStart w:id="310" w:name="_Toc184314480"/>
      <w:bookmarkEnd w:id="310"/>
      <w:bookmarkStart w:id="311" w:name="_Toc184308044"/>
      <w:bookmarkEnd w:id="311"/>
      <w:bookmarkStart w:id="312" w:name="_Toc184310318"/>
      <w:bookmarkEnd w:id="312"/>
      <w:bookmarkStart w:id="313" w:name="_Toc184312122"/>
      <w:bookmarkEnd w:id="313"/>
      <w:bookmarkStart w:id="314" w:name="_Toc184314470"/>
      <w:bookmarkEnd w:id="314"/>
      <w:bookmarkStart w:id="315" w:name="_Toc184312103"/>
      <w:bookmarkEnd w:id="315"/>
      <w:bookmarkStart w:id="316" w:name="_Toc184314447"/>
      <w:bookmarkEnd w:id="316"/>
      <w:bookmarkStart w:id="317" w:name="_Toc184314469"/>
      <w:bookmarkEnd w:id="317"/>
      <w:bookmarkStart w:id="318" w:name="_Toc184313239"/>
      <w:bookmarkEnd w:id="318"/>
      <w:bookmarkStart w:id="319" w:name="_Toc184312113"/>
      <w:bookmarkEnd w:id="319"/>
      <w:bookmarkStart w:id="320" w:name="_Toc184312092"/>
      <w:bookmarkEnd w:id="320"/>
      <w:bookmarkStart w:id="321" w:name="_Toc184314429"/>
      <w:bookmarkEnd w:id="321"/>
      <w:bookmarkStart w:id="322" w:name="_Toc184313244"/>
      <w:bookmarkEnd w:id="322"/>
      <w:bookmarkStart w:id="323" w:name="_Toc184312120"/>
      <w:bookmarkEnd w:id="323"/>
      <w:bookmarkStart w:id="324" w:name="_Toc184312105"/>
      <w:bookmarkEnd w:id="324"/>
      <w:bookmarkStart w:id="325" w:name="_Toc184312130"/>
      <w:bookmarkEnd w:id="325"/>
      <w:bookmarkStart w:id="326" w:name="_Toc184310291"/>
      <w:bookmarkEnd w:id="326"/>
      <w:bookmarkStart w:id="327" w:name="_Toc184310311"/>
      <w:bookmarkEnd w:id="327"/>
      <w:bookmarkStart w:id="328" w:name="_Toc184313256"/>
      <w:bookmarkEnd w:id="328"/>
      <w:bookmarkStart w:id="329" w:name="_Toc184313253"/>
      <w:bookmarkEnd w:id="329"/>
      <w:bookmarkStart w:id="330" w:name="_Toc184310302"/>
      <w:bookmarkEnd w:id="330"/>
      <w:bookmarkStart w:id="331" w:name="_Toc184313306"/>
      <w:bookmarkEnd w:id="331"/>
      <w:bookmarkStart w:id="332" w:name="_Toc184308100"/>
      <w:bookmarkEnd w:id="332"/>
      <w:bookmarkStart w:id="333" w:name="_Toc184313277"/>
      <w:bookmarkEnd w:id="333"/>
      <w:bookmarkStart w:id="334" w:name="_Toc184312083"/>
      <w:bookmarkEnd w:id="334"/>
      <w:bookmarkStart w:id="335" w:name="_Toc184308056"/>
      <w:bookmarkEnd w:id="335"/>
      <w:bookmarkStart w:id="336" w:name="_Toc184308061"/>
      <w:bookmarkEnd w:id="336"/>
      <w:bookmarkStart w:id="337" w:name="_Toc184308079"/>
      <w:bookmarkEnd w:id="337"/>
      <w:bookmarkStart w:id="338" w:name="_Toc184312072"/>
      <w:bookmarkEnd w:id="338"/>
      <w:bookmarkStart w:id="339" w:name="_Toc184313309"/>
      <w:bookmarkEnd w:id="339"/>
      <w:bookmarkStart w:id="340" w:name="_Toc184314412"/>
      <w:bookmarkEnd w:id="340"/>
      <w:bookmarkStart w:id="341" w:name="_Toc184314420"/>
      <w:bookmarkEnd w:id="341"/>
      <w:bookmarkStart w:id="342" w:name="_Toc184314450"/>
      <w:bookmarkEnd w:id="342"/>
      <w:bookmarkStart w:id="343" w:name="_Toc184313294"/>
      <w:bookmarkEnd w:id="343"/>
      <w:bookmarkStart w:id="344" w:name="_Toc184314410"/>
      <w:bookmarkEnd w:id="344"/>
      <w:bookmarkStart w:id="345" w:name="_Toc184312078"/>
      <w:bookmarkEnd w:id="345"/>
      <w:bookmarkStart w:id="346" w:name="_Toc184312132"/>
      <w:bookmarkEnd w:id="346"/>
      <w:bookmarkStart w:id="347" w:name="_Toc184310312"/>
      <w:bookmarkEnd w:id="347"/>
      <w:bookmarkStart w:id="348" w:name="_Toc184308053"/>
      <w:bookmarkEnd w:id="348"/>
      <w:bookmarkStart w:id="349" w:name="_Toc184308094"/>
      <w:bookmarkEnd w:id="349"/>
      <w:bookmarkStart w:id="350" w:name="_Toc184308093"/>
      <w:bookmarkEnd w:id="350"/>
      <w:bookmarkStart w:id="351" w:name="_Toc184310295"/>
      <w:bookmarkEnd w:id="351"/>
      <w:bookmarkStart w:id="352" w:name="_Toc184310323"/>
      <w:bookmarkEnd w:id="352"/>
      <w:bookmarkStart w:id="353" w:name="_Toc184308105"/>
      <w:bookmarkEnd w:id="353"/>
      <w:bookmarkStart w:id="354" w:name="_Toc184313298"/>
      <w:bookmarkEnd w:id="354"/>
      <w:bookmarkStart w:id="355" w:name="_Toc184313267"/>
      <w:bookmarkEnd w:id="355"/>
      <w:bookmarkStart w:id="356" w:name="_Toc184314477"/>
      <w:bookmarkEnd w:id="356"/>
      <w:bookmarkStart w:id="357" w:name="_Toc184312111"/>
      <w:bookmarkEnd w:id="357"/>
      <w:bookmarkStart w:id="358" w:name="_Toc184312088"/>
      <w:bookmarkEnd w:id="358"/>
      <w:bookmarkStart w:id="359" w:name="_Toc184310309"/>
      <w:bookmarkEnd w:id="359"/>
      <w:bookmarkStart w:id="360" w:name="_Toc184312106"/>
      <w:bookmarkEnd w:id="360"/>
      <w:bookmarkStart w:id="361" w:name="_Toc184314437"/>
      <w:bookmarkEnd w:id="361"/>
      <w:bookmarkStart w:id="362" w:name="_Toc184308057"/>
      <w:bookmarkEnd w:id="362"/>
      <w:bookmarkStart w:id="363" w:name="_Toc184310319"/>
      <w:bookmarkEnd w:id="363"/>
      <w:bookmarkStart w:id="364" w:name="_Toc184312080"/>
      <w:bookmarkEnd w:id="364"/>
      <w:bookmarkStart w:id="365" w:name="_Toc184313262"/>
      <w:bookmarkEnd w:id="365"/>
      <w:bookmarkStart w:id="366" w:name="_Toc184314425"/>
      <w:bookmarkEnd w:id="366"/>
      <w:bookmarkStart w:id="367" w:name="_Toc184312077"/>
      <w:bookmarkEnd w:id="367"/>
      <w:bookmarkStart w:id="368" w:name="_Toc184313251"/>
      <w:bookmarkEnd w:id="368"/>
      <w:bookmarkStart w:id="369" w:name="_Toc184312076"/>
      <w:bookmarkEnd w:id="369"/>
      <w:bookmarkStart w:id="370" w:name="_Toc184310316"/>
      <w:bookmarkEnd w:id="370"/>
      <w:bookmarkStart w:id="371" w:name="_Toc184314464"/>
      <w:bookmarkEnd w:id="371"/>
      <w:bookmarkStart w:id="372" w:name="_Toc184313308"/>
      <w:bookmarkEnd w:id="372"/>
      <w:bookmarkStart w:id="373" w:name="_Toc184310330"/>
      <w:bookmarkEnd w:id="373"/>
      <w:bookmarkStart w:id="374" w:name="_Toc184308087"/>
      <w:bookmarkEnd w:id="374"/>
      <w:bookmarkStart w:id="375" w:name="_Toc184313304"/>
      <w:bookmarkEnd w:id="375"/>
      <w:bookmarkStart w:id="376" w:name="_Toc184310287"/>
      <w:bookmarkEnd w:id="376"/>
      <w:bookmarkStart w:id="377" w:name="_Toc184313303"/>
      <w:bookmarkEnd w:id="377"/>
      <w:bookmarkStart w:id="378" w:name="_Toc184313243"/>
      <w:bookmarkEnd w:id="378"/>
      <w:bookmarkStart w:id="379" w:name="_Toc184310274"/>
      <w:bookmarkEnd w:id="379"/>
      <w:bookmarkStart w:id="380" w:name="_Toc184314427"/>
      <w:bookmarkEnd w:id="380"/>
      <w:bookmarkStart w:id="381" w:name="_Toc184308076"/>
      <w:bookmarkEnd w:id="381"/>
      <w:bookmarkStart w:id="382" w:name="_Toc184313249"/>
      <w:bookmarkEnd w:id="382"/>
      <w:bookmarkStart w:id="383" w:name="_Toc184312070"/>
      <w:bookmarkEnd w:id="383"/>
      <w:bookmarkStart w:id="384" w:name="_Toc184314471"/>
      <w:bookmarkEnd w:id="384"/>
      <w:bookmarkStart w:id="385" w:name="_Toc184308096"/>
      <w:bookmarkEnd w:id="385"/>
      <w:bookmarkStart w:id="386" w:name="_Toc184312135"/>
      <w:bookmarkEnd w:id="386"/>
      <w:bookmarkStart w:id="387" w:name="_Toc184313254"/>
      <w:bookmarkEnd w:id="387"/>
      <w:bookmarkStart w:id="388" w:name="_Toc184314473"/>
      <w:bookmarkEnd w:id="388"/>
      <w:bookmarkStart w:id="389" w:name="_Toc184314468"/>
      <w:bookmarkEnd w:id="389"/>
      <w:bookmarkStart w:id="390" w:name="_Toc184312098"/>
      <w:bookmarkEnd w:id="390"/>
      <w:bookmarkStart w:id="391" w:name="_Toc184313272"/>
      <w:bookmarkEnd w:id="391"/>
      <w:bookmarkStart w:id="392" w:name="_Toc184312136"/>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567"/>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5103"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评标标准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最高分值</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299" w:type="dxa"/>
            <w:vAlign w:val="top"/>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103" w:type="dxa"/>
            <w:vAlign w:val="center"/>
          </w:tcPr>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根据本项目物业使用特点提出合理的物业管理服务理念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服务定位和服务目标。</w:t>
            </w:r>
          </w:p>
          <w:p>
            <w:pPr>
              <w:keepNext w:val="0"/>
              <w:keepLines w:val="0"/>
              <w:pageBreakBefore w:val="0"/>
              <w:wordWrap/>
              <w:overflowPunct/>
              <w:topLinePunct w:val="0"/>
              <w:bidi w:val="0"/>
              <w:adjustRightInd w:val="0"/>
              <w:snapToGrid w:val="0"/>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3</w:t>
            </w:r>
            <w:r>
              <w:rPr>
                <w:rFonts w:hint="eastAsia" w:ascii="宋体" w:hAnsi="宋体" w:eastAsia="宋体" w:cs="宋体"/>
                <w:b w:val="0"/>
                <w:bCs w:val="0"/>
                <w:i w:val="0"/>
                <w:iCs w:val="0"/>
                <w:color w:val="auto"/>
                <w:sz w:val="24"/>
                <w:szCs w:val="24"/>
                <w:highlight w:val="none"/>
              </w:rPr>
              <w:t>分，部分符合得1</w:t>
            </w:r>
            <w:r>
              <w:rPr>
                <w:rFonts w:hint="eastAsia" w:ascii="宋体" w:hAnsi="宋体" w:eastAsia="宋体" w:cs="宋体"/>
                <w:b w:val="0"/>
                <w:bCs w:val="0"/>
                <w:i w:val="0"/>
                <w:iCs w:val="0"/>
                <w:color w:val="auto"/>
                <w:sz w:val="24"/>
                <w:szCs w:val="24"/>
                <w:highlight w:val="none"/>
                <w:lang w:val="en-US" w:eastAsia="zh-CN"/>
              </w:rPr>
              <w:t>.5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有针对性，视为符合要求，此项最高</w:t>
            </w:r>
            <w:r>
              <w:rPr>
                <w:rFonts w:hint="eastAsia" w:ascii="宋体" w:hAnsi="宋体" w:eastAsia="宋体" w:cs="宋体"/>
                <w:b w:val="0"/>
                <w:bCs w:val="0"/>
                <w:i w:val="0"/>
                <w:iCs w:val="0"/>
                <w:color w:val="auto"/>
                <w:sz w:val="24"/>
                <w:szCs w:val="24"/>
                <w:highlight w:val="none"/>
                <w:lang w:val="en-US" w:eastAsia="zh-CN"/>
              </w:rPr>
              <w:t>3</w:t>
            </w:r>
            <w:r>
              <w:rPr>
                <w:rFonts w:hint="eastAsia" w:ascii="宋体" w:hAnsi="宋体" w:eastAsia="宋体" w:cs="宋体"/>
                <w:b w:val="0"/>
                <w:bCs w:val="0"/>
                <w:i w:val="0"/>
                <w:iCs w:val="0"/>
                <w:color w:val="auto"/>
                <w:sz w:val="24"/>
                <w:szCs w:val="24"/>
                <w:highlight w:val="none"/>
              </w:rPr>
              <w:t>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103" w:type="dxa"/>
            <w:vAlign w:val="center"/>
          </w:tcPr>
          <w:p>
            <w:pPr>
              <w:keepNext w:val="0"/>
              <w:keepLines w:val="0"/>
              <w:pageBreakBefore w:val="0"/>
              <w:numPr>
                <w:ilvl w:val="0"/>
                <w:numId w:val="22"/>
              </w:numPr>
              <w:tabs>
                <w:tab w:val="left" w:pos="425"/>
              </w:tabs>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针对本项目有比较完善的组织架构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keepNext w:val="0"/>
              <w:keepLines w:val="0"/>
              <w:pageBreakBefore w:val="0"/>
              <w:numPr>
                <w:ilvl w:val="0"/>
                <w:numId w:val="22"/>
              </w:numPr>
              <w:tabs>
                <w:tab w:val="left" w:pos="425"/>
              </w:tabs>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清晰简练地列出主要管理流程，包括：运作流程图、信息反馈及处理运作流程图、投诉处理运作流程图、紧急情况处理运作流程图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keepNext w:val="0"/>
              <w:keepLines w:val="0"/>
              <w:pageBreakBefore w:val="0"/>
              <w:numPr>
                <w:ilvl w:val="0"/>
                <w:numId w:val="22"/>
              </w:numPr>
              <w:tabs>
                <w:tab w:val="left" w:pos="425"/>
              </w:tabs>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列出主要管理机制，包括：激励机制、监督机制、自我约束机制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全部符合得2分，部分符合得1分，不符合不得分。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组织架构、管理流程</w:t>
            </w:r>
            <w:r>
              <w:rPr>
                <w:rFonts w:hint="eastAsia" w:ascii="宋体" w:hAnsi="宋体" w:eastAsia="宋体" w:cs="宋体"/>
                <w:color w:val="auto"/>
                <w:kern w:val="0"/>
                <w:sz w:val="24"/>
                <w:szCs w:val="24"/>
                <w:highlight w:val="none"/>
                <w:lang w:eastAsia="zh-CN"/>
              </w:rPr>
              <w:t>、管理机制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5103" w:type="dxa"/>
            <w:vAlign w:val="center"/>
          </w:tcPr>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具有健全的</w:t>
            </w:r>
            <w:r>
              <w:rPr>
                <w:rFonts w:hint="eastAsia" w:ascii="宋体" w:hAnsi="宋体" w:eastAsia="宋体" w:cs="宋体"/>
                <w:color w:val="auto"/>
                <w:sz w:val="24"/>
                <w:szCs w:val="24"/>
                <w:highlight w:val="none"/>
              </w:rPr>
              <w:t>物业管理制度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体现标准化服务水平</w:t>
            </w:r>
            <w:r>
              <w:rPr>
                <w:rFonts w:hint="eastAsia" w:ascii="宋体" w:hAnsi="宋体" w:eastAsia="宋体" w:cs="宋体"/>
                <w:color w:val="auto"/>
                <w:sz w:val="24"/>
                <w:szCs w:val="24"/>
                <w:highlight w:val="none"/>
                <w:lang w:eastAsia="zh-CN"/>
              </w:rPr>
              <w:t>，包括：考勤管理制度、财务管理制度、接待投诉制度、培训学习制度、监督考核制度、档案管理制度、各项工作制度（应包含保洁、保安、绿化、设备管理、</w:t>
            </w:r>
            <w:r>
              <w:rPr>
                <w:rFonts w:hint="eastAsia" w:ascii="宋体" w:hAnsi="宋体" w:eastAsia="宋体" w:cs="宋体"/>
                <w:color w:val="auto"/>
                <w:sz w:val="24"/>
                <w:szCs w:val="24"/>
                <w:highlight w:val="none"/>
                <w:lang w:val="en-US" w:eastAsia="zh-CN"/>
              </w:rPr>
              <w:t>会务</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每提供一条符合要求的制度，得</w:t>
            </w:r>
            <w:r>
              <w:rPr>
                <w:rFonts w:hint="eastAsia" w:ascii="宋体" w:hAnsi="宋体" w:eastAsia="宋体" w:cs="宋体"/>
                <w:b w:val="0"/>
                <w:bCs w:val="0"/>
                <w:i w:val="0"/>
                <w:iCs w:val="0"/>
                <w:color w:val="auto"/>
                <w:sz w:val="24"/>
                <w:szCs w:val="24"/>
                <w:highlight w:val="none"/>
                <w:lang w:val="en-US" w:eastAsia="zh-CN"/>
              </w:rPr>
              <w:t>1分，</w:t>
            </w:r>
            <w:r>
              <w:rPr>
                <w:rFonts w:hint="eastAsia" w:ascii="宋体" w:hAnsi="宋体" w:eastAsia="宋体" w:cs="宋体"/>
                <w:b w:val="0"/>
                <w:bCs w:val="0"/>
                <w:i w:val="0"/>
                <w:iCs w:val="0"/>
                <w:color w:val="auto"/>
                <w:sz w:val="24"/>
                <w:szCs w:val="24"/>
                <w:highlight w:val="none"/>
              </w:rPr>
              <w:t>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不符合不得分。</w:t>
            </w:r>
            <w:r>
              <w:rPr>
                <w:rFonts w:hint="eastAsia" w:ascii="宋体" w:hAnsi="宋体" w:eastAsia="宋体" w:cs="宋体"/>
                <w:b w:val="0"/>
                <w:bCs w:val="0"/>
                <w:i w:val="0"/>
                <w:iCs w:val="0"/>
                <w:color w:val="auto"/>
                <w:sz w:val="24"/>
                <w:szCs w:val="24"/>
                <w:highlight w:val="none"/>
                <w:lang w:eastAsia="zh-CN"/>
              </w:rPr>
              <w:t>内容完整合理、有针对性视为符合要求。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5103" w:type="dxa"/>
            <w:vAlign w:val="center"/>
          </w:tcPr>
          <w:p>
            <w:pPr>
              <w:keepNext w:val="0"/>
              <w:keepLines w:val="0"/>
              <w:pageBreakBefore w:val="0"/>
              <w:wordWrap/>
              <w:overflowPunct/>
              <w:topLinePunct w:val="0"/>
              <w:bidi w:val="0"/>
              <w:adjustRightInd w:val="0"/>
              <w:snapToGrid w:val="0"/>
              <w:spacing w:line="240" w:lineRule="auto"/>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针对本项目的</w:t>
            </w:r>
            <w:r>
              <w:rPr>
                <w:rFonts w:hint="eastAsia" w:ascii="宋体" w:hAnsi="宋体" w:eastAsia="宋体" w:cs="宋体"/>
                <w:color w:val="auto"/>
                <w:sz w:val="24"/>
                <w:szCs w:val="24"/>
                <w:highlight w:val="none"/>
              </w:rPr>
              <w:t>员工培训方案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：培训目的、</w:t>
            </w:r>
            <w:r>
              <w:rPr>
                <w:rFonts w:hint="eastAsia" w:ascii="宋体" w:hAnsi="宋体" w:eastAsia="宋体" w:cs="宋体"/>
                <w:color w:val="auto"/>
                <w:sz w:val="24"/>
                <w:szCs w:val="24"/>
                <w:highlight w:val="none"/>
              </w:rPr>
              <w:t>培训内容、培训时间、培训地点、培训者、培训对象、培训方式等</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全部符合得</w:t>
            </w:r>
            <w:r>
              <w:rPr>
                <w:rFonts w:hint="eastAsia" w:ascii="宋体" w:hAnsi="宋体" w:eastAsia="宋体" w:cs="宋体"/>
                <w:b w:val="0"/>
                <w:bCs w:val="0"/>
                <w:i w:val="0"/>
                <w:iCs w:val="0"/>
                <w:color w:val="auto"/>
                <w:sz w:val="24"/>
                <w:szCs w:val="24"/>
                <w:highlight w:val="none"/>
                <w:lang w:val="en-US" w:eastAsia="zh-CN"/>
              </w:rPr>
              <w:t>3</w:t>
            </w:r>
            <w:r>
              <w:rPr>
                <w:rFonts w:hint="eastAsia" w:ascii="宋体" w:hAnsi="宋体" w:eastAsia="宋体" w:cs="宋体"/>
                <w:b w:val="0"/>
                <w:bCs w:val="0"/>
                <w:i w:val="0"/>
                <w:iCs w:val="0"/>
                <w:color w:val="auto"/>
                <w:sz w:val="24"/>
                <w:szCs w:val="24"/>
                <w:highlight w:val="none"/>
                <w:lang w:eastAsia="zh-CN"/>
              </w:rPr>
              <w:t>分，部分符合得1</w:t>
            </w:r>
            <w:r>
              <w:rPr>
                <w:rFonts w:hint="eastAsia" w:ascii="宋体" w:hAnsi="宋体" w:eastAsia="宋体" w:cs="宋体"/>
                <w:b w:val="0"/>
                <w:bCs w:val="0"/>
                <w:i w:val="0"/>
                <w:iCs w:val="0"/>
                <w:color w:val="auto"/>
                <w:sz w:val="24"/>
                <w:szCs w:val="24"/>
                <w:highlight w:val="none"/>
                <w:lang w:val="en-US" w:eastAsia="zh-CN"/>
              </w:rPr>
              <w:t>.5</w:t>
            </w:r>
            <w:r>
              <w:rPr>
                <w:rFonts w:hint="eastAsia" w:ascii="宋体" w:hAnsi="宋体" w:eastAsia="宋体" w:cs="宋体"/>
                <w:b w:val="0"/>
                <w:bCs w:val="0"/>
                <w:i w:val="0"/>
                <w:iCs w:val="0"/>
                <w:color w:val="auto"/>
                <w:sz w:val="24"/>
                <w:szCs w:val="24"/>
                <w:highlight w:val="none"/>
                <w:lang w:eastAsia="zh-CN"/>
              </w:rPr>
              <w:t>分，不符合不得分。内容完整合理、有针对性视为符合要求。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5103" w:type="dxa"/>
            <w:vAlign w:val="center"/>
          </w:tcPr>
          <w:p>
            <w:pPr>
              <w:keepNext w:val="0"/>
              <w:keepLines w:val="0"/>
              <w:pageBreakBefore w:val="0"/>
              <w:numPr>
                <w:ilvl w:val="0"/>
                <w:numId w:val="23"/>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详细说明投入的设备、工具、药剂、耗材的环保性和优越性，提供相关设备、工具、材料的品牌、型号、产地、数量等清单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keepNext w:val="0"/>
              <w:keepLines w:val="0"/>
              <w:pageBreakBefore w:val="0"/>
              <w:numPr>
                <w:ilvl w:val="0"/>
                <w:numId w:val="23"/>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配备</w:t>
            </w:r>
            <w:r>
              <w:rPr>
                <w:rFonts w:hint="eastAsia" w:ascii="宋体" w:hAnsi="宋体" w:eastAsia="宋体" w:cs="宋体"/>
                <w:color w:val="auto"/>
                <w:sz w:val="24"/>
                <w:szCs w:val="24"/>
                <w:highlight w:val="none"/>
              </w:rPr>
              <w:t>防爆、防汛物资、工程维护部物料及器材消耗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全部符合得2分，部分符合得1分，不符合不得分。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投入的设备、耗材等</w:t>
            </w:r>
            <w:r>
              <w:rPr>
                <w:rFonts w:hint="eastAsia" w:ascii="宋体" w:hAnsi="宋体" w:eastAsia="宋体" w:cs="宋体"/>
                <w:color w:val="auto"/>
                <w:kern w:val="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5103" w:type="dxa"/>
            <w:vAlign w:val="center"/>
          </w:tcPr>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室内</w:t>
            </w:r>
            <w:r>
              <w:rPr>
                <w:rFonts w:hint="eastAsia" w:ascii="宋体" w:hAnsi="宋体" w:eastAsia="宋体" w:cs="宋体"/>
                <w:color w:val="auto"/>
                <w:sz w:val="24"/>
                <w:szCs w:val="24"/>
                <w:highlight w:val="none"/>
                <w:lang w:eastAsia="zh-CN"/>
              </w:rPr>
              <w:t>保洁；</w:t>
            </w:r>
          </w:p>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室外</w:t>
            </w:r>
            <w:r>
              <w:rPr>
                <w:rFonts w:hint="eastAsia" w:ascii="宋体" w:hAnsi="宋体" w:eastAsia="宋体" w:cs="宋体"/>
                <w:color w:val="auto"/>
                <w:sz w:val="24"/>
                <w:szCs w:val="24"/>
                <w:highlight w:val="none"/>
                <w:lang w:eastAsia="zh-CN"/>
              </w:rPr>
              <w:t>保洁；</w:t>
            </w:r>
          </w:p>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外墙</w:t>
            </w:r>
            <w:r>
              <w:rPr>
                <w:rFonts w:hint="eastAsia" w:ascii="宋体" w:hAnsi="宋体" w:eastAsia="宋体" w:cs="宋体"/>
                <w:color w:val="auto"/>
                <w:sz w:val="24"/>
                <w:szCs w:val="24"/>
                <w:highlight w:val="none"/>
                <w:lang w:eastAsia="zh-CN"/>
              </w:rPr>
              <w:t>清洁；</w:t>
            </w:r>
          </w:p>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设施设备清洁</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w:t>
            </w:r>
            <w:r>
              <w:rPr>
                <w:rFonts w:hint="eastAsia" w:ascii="宋体" w:hAnsi="宋体" w:eastAsia="宋体" w:cs="宋体"/>
                <w:color w:val="auto"/>
                <w:sz w:val="24"/>
                <w:szCs w:val="24"/>
                <w:highlight w:val="none"/>
                <w:lang w:eastAsia="zh-CN"/>
              </w:rPr>
              <w:t>分类、处理；</w:t>
            </w:r>
          </w:p>
          <w:p>
            <w:pPr>
              <w:keepNext w:val="0"/>
              <w:keepLines w:val="0"/>
              <w:pageBreakBefore w:val="0"/>
              <w:widowControl w:val="0"/>
              <w:numPr>
                <w:ilvl w:val="0"/>
                <w:numId w:val="24"/>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消毒灭害。</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清洁</w:t>
            </w:r>
            <w:r>
              <w:rPr>
                <w:rFonts w:hint="eastAsia" w:ascii="宋体" w:hAnsi="宋体" w:eastAsia="宋体" w:cs="宋体"/>
                <w:color w:val="auto"/>
                <w:kern w:val="0"/>
                <w:sz w:val="24"/>
                <w:szCs w:val="24"/>
                <w:highlight w:val="none"/>
                <w:lang w:eastAsia="zh-CN"/>
              </w:rPr>
              <w:t>保洁</w:t>
            </w:r>
            <w:r>
              <w:rPr>
                <w:rFonts w:hint="eastAsia" w:ascii="宋体" w:hAnsi="宋体" w:eastAsia="宋体" w:cs="宋体"/>
                <w:color w:val="auto"/>
                <w:kern w:val="0"/>
                <w:sz w:val="24"/>
                <w:szCs w:val="24"/>
                <w:highlight w:val="none"/>
              </w:rPr>
              <w:t>服务</w:t>
            </w:r>
            <w:r>
              <w:rPr>
                <w:rFonts w:hint="eastAsia" w:ascii="宋体" w:hAnsi="宋体" w:eastAsia="宋体" w:cs="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p>
        </w:tc>
        <w:tc>
          <w:tcPr>
            <w:tcW w:w="5103" w:type="dxa"/>
            <w:vAlign w:val="center"/>
          </w:tcPr>
          <w:p>
            <w:pPr>
              <w:keepNext w:val="0"/>
              <w:keepLines w:val="0"/>
              <w:pageBreakBefore w:val="0"/>
              <w:widowControl w:val="0"/>
              <w:numPr>
                <w:ilvl w:val="0"/>
                <w:numId w:val="25"/>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人员进出管理；</w:t>
            </w:r>
          </w:p>
          <w:p>
            <w:pPr>
              <w:keepNext w:val="0"/>
              <w:keepLines w:val="0"/>
              <w:pageBreakBefore w:val="0"/>
              <w:widowControl w:val="0"/>
              <w:numPr>
                <w:ilvl w:val="0"/>
                <w:numId w:val="25"/>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物品进出管理</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25"/>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车辆</w:t>
            </w:r>
            <w:r>
              <w:rPr>
                <w:rFonts w:hint="eastAsia" w:ascii="宋体" w:hAnsi="宋体" w:eastAsia="宋体" w:cs="宋体"/>
                <w:color w:val="auto"/>
                <w:sz w:val="24"/>
                <w:szCs w:val="24"/>
                <w:highlight w:val="none"/>
              </w:rPr>
              <w:t>管理</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25"/>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消控、监控设施设备日常使用管理</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25"/>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重点</w:t>
            </w:r>
            <w:r>
              <w:rPr>
                <w:rFonts w:hint="eastAsia" w:ascii="宋体" w:hAnsi="宋体" w:eastAsia="宋体" w:cs="宋体"/>
                <w:color w:val="auto"/>
                <w:sz w:val="24"/>
                <w:szCs w:val="24"/>
                <w:highlight w:val="none"/>
              </w:rPr>
              <w:t>巡视。</w:t>
            </w:r>
          </w:p>
          <w:p>
            <w:pPr>
              <w:keepNext w:val="0"/>
              <w:keepLines w:val="0"/>
              <w:pageBreakBefore w:val="0"/>
              <w:widowControl/>
              <w:wordWrap/>
              <w:overflowPunct/>
              <w:topLinePunct w:val="0"/>
              <w:bidi w:val="0"/>
              <w:adjustRightInd w:val="0"/>
              <w:spacing w:line="240" w:lineRule="auto"/>
              <w:jc w:val="both"/>
              <w:textAlignment w:val="center"/>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5 </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公共秩序维护方案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5103" w:type="dxa"/>
            <w:vAlign w:val="center"/>
          </w:tcPr>
          <w:p>
            <w:pPr>
              <w:keepNext w:val="0"/>
              <w:keepLines w:val="0"/>
              <w:pageBreakBefore w:val="0"/>
              <w:widowControl w:val="0"/>
              <w:numPr>
                <w:ilvl w:val="0"/>
                <w:numId w:val="26"/>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定期巡查；</w:t>
            </w:r>
          </w:p>
          <w:p>
            <w:pPr>
              <w:keepNext w:val="0"/>
              <w:keepLines w:val="0"/>
              <w:pageBreakBefore w:val="0"/>
              <w:widowControl w:val="0"/>
              <w:numPr>
                <w:ilvl w:val="0"/>
                <w:numId w:val="26"/>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张贴平面疏散示意图、引路标志及控烟标志；</w:t>
            </w:r>
          </w:p>
          <w:p>
            <w:pPr>
              <w:keepNext w:val="0"/>
              <w:keepLines w:val="0"/>
              <w:pageBreakBefore w:val="0"/>
              <w:widowControl w:val="0"/>
              <w:numPr>
                <w:ilvl w:val="0"/>
                <w:numId w:val="26"/>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定期防火检查；</w:t>
            </w:r>
          </w:p>
          <w:p>
            <w:pPr>
              <w:keepNext w:val="0"/>
              <w:keepLines w:val="0"/>
              <w:pageBreakBefore w:val="0"/>
              <w:widowControl w:val="0"/>
              <w:numPr>
                <w:ilvl w:val="0"/>
                <w:numId w:val="26"/>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每年至少组织1次消防安全培训及消防演练。</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4 </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消控安全管理</w:t>
            </w:r>
            <w:r>
              <w:rPr>
                <w:rFonts w:hint="eastAsia" w:ascii="宋体" w:hAnsi="宋体" w:eastAsia="宋体" w:cs="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p>
        </w:tc>
        <w:tc>
          <w:tcPr>
            <w:tcW w:w="5103" w:type="dxa"/>
            <w:vAlign w:val="center"/>
          </w:tcPr>
          <w:p>
            <w:pPr>
              <w:keepNext w:val="0"/>
              <w:keepLines w:val="0"/>
              <w:pageBreakBefore w:val="0"/>
              <w:widowControl w:val="0"/>
              <w:numPr>
                <w:ilvl w:val="0"/>
                <w:numId w:val="27"/>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建立突发事件应急预案体系，包括但不限于电梯困人、紧急会议、火警火灾、突发停电、水管破裂、意外伤害、群体性上访、台风、暴雨及雷电等应急预案；</w:t>
            </w:r>
          </w:p>
          <w:p>
            <w:pPr>
              <w:keepNext w:val="0"/>
              <w:keepLines w:val="0"/>
              <w:pageBreakBefore w:val="0"/>
              <w:widowControl w:val="0"/>
              <w:numPr>
                <w:ilvl w:val="0"/>
                <w:numId w:val="27"/>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每年至少组织1次突发事件应急演习。</w:t>
            </w:r>
          </w:p>
          <w:p>
            <w:pPr>
              <w:keepNext w:val="0"/>
              <w:keepLines w:val="0"/>
              <w:pageBreakBefore w:val="0"/>
              <w:widowControl w:val="0"/>
              <w:numPr>
                <w:ilvl w:val="0"/>
                <w:numId w:val="0"/>
              </w:numPr>
              <w:wordWrap/>
              <w:overflowPunct/>
              <w:topLinePunct w:val="0"/>
              <w:bidi w:val="0"/>
              <w:adjustRightInd w:val="0"/>
              <w:snapToGrid w:val="0"/>
              <w:spacing w:line="240" w:lineRule="auto"/>
              <w:ind w:left="0" w:leftChars="0" w:right="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sz w:val="24"/>
                <w:szCs w:val="24"/>
                <w:highlight w:val="none"/>
              </w:rPr>
              <w:t>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p>
        </w:tc>
        <w:tc>
          <w:tcPr>
            <w:tcW w:w="5103" w:type="dxa"/>
            <w:vAlign w:val="center"/>
          </w:tcPr>
          <w:p>
            <w:pPr>
              <w:keepNext w:val="0"/>
              <w:keepLines w:val="0"/>
              <w:pageBreakBefore w:val="0"/>
              <w:widowControl w:val="0"/>
              <w:numPr>
                <w:ilvl w:val="0"/>
                <w:numId w:val="28"/>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绿化日常养护、管理；</w:t>
            </w:r>
          </w:p>
          <w:p>
            <w:pPr>
              <w:keepNext w:val="0"/>
              <w:keepLines w:val="0"/>
              <w:pageBreakBefore w:val="0"/>
              <w:widowControl w:val="0"/>
              <w:numPr>
                <w:ilvl w:val="0"/>
                <w:numId w:val="28"/>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特殊天气巡查、处理，排除安全隐患；</w:t>
            </w:r>
          </w:p>
          <w:p>
            <w:pPr>
              <w:keepNext w:val="0"/>
              <w:keepLines w:val="0"/>
              <w:pageBreakBefore w:val="0"/>
              <w:widowControl w:val="0"/>
              <w:numPr>
                <w:ilvl w:val="0"/>
                <w:numId w:val="28"/>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病虫害防治。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p>
        </w:tc>
        <w:tc>
          <w:tcPr>
            <w:tcW w:w="5103" w:type="dxa"/>
            <w:vAlign w:val="center"/>
          </w:tcPr>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绿化租赁方案，</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：植物摆放、养护和管理等，提供本项目拟租赁的绿植清单明细、照片等佐证材料</w:t>
            </w:r>
            <w:r>
              <w:rPr>
                <w:rFonts w:hint="eastAsia" w:ascii="宋体" w:hAnsi="宋体" w:eastAsia="宋体" w:cs="宋体"/>
                <w:color w:val="auto"/>
                <w:sz w:val="24"/>
                <w:szCs w:val="24"/>
                <w:highlight w:val="none"/>
              </w:rPr>
              <w:t>。</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lang w:eastAsia="zh-CN"/>
              </w:rPr>
              <w:t>分，不符合不得分。符合招标需求、有针对性视为符合要求。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绿化</w:t>
            </w:r>
            <w:r>
              <w:rPr>
                <w:rFonts w:hint="eastAsia" w:ascii="宋体" w:hAnsi="宋体" w:eastAsia="宋体" w:cs="宋体"/>
                <w:color w:val="auto"/>
                <w:kern w:val="0"/>
                <w:sz w:val="24"/>
                <w:szCs w:val="24"/>
                <w:highlight w:val="none"/>
                <w:lang w:eastAsia="zh-CN"/>
              </w:rPr>
              <w:t>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p>
        </w:tc>
        <w:tc>
          <w:tcPr>
            <w:tcW w:w="5103" w:type="dxa"/>
            <w:vAlign w:val="center"/>
          </w:tcPr>
          <w:p>
            <w:pPr>
              <w:keepNext w:val="0"/>
              <w:keepLines w:val="0"/>
              <w:pageBreakBefore w:val="0"/>
              <w:widowControl w:val="0"/>
              <w:numPr>
                <w:ilvl w:val="0"/>
                <w:numId w:val="29"/>
              </w:numPr>
              <w:wordWrap/>
              <w:overflowPunct/>
              <w:topLinePunct w:val="0"/>
              <w:bidi w:val="0"/>
              <w:adjustRightInd w:val="0"/>
              <w:snapToGrid w:val="0"/>
              <w:spacing w:line="240" w:lineRule="auto"/>
              <w:ind w:left="0" w:leftChars="0" w:right="0" w:firstLine="40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房屋日常维护；</w:t>
            </w:r>
          </w:p>
          <w:p>
            <w:pPr>
              <w:keepNext w:val="0"/>
              <w:keepLines w:val="0"/>
              <w:pageBreakBefore w:val="0"/>
              <w:widowControl/>
              <w:numPr>
                <w:ilvl w:val="0"/>
                <w:numId w:val="29"/>
              </w:numPr>
              <w:kinsoku w:val="0"/>
              <w:wordWrap/>
              <w:overflowPunct/>
              <w:topLinePunct w:val="0"/>
              <w:autoSpaceDE w:val="0"/>
              <w:autoSpaceDN w:val="0"/>
              <w:bidi w:val="0"/>
              <w:adjustRightInd w:val="0"/>
              <w:snapToGrid w:val="0"/>
              <w:spacing w:line="240" w:lineRule="auto"/>
              <w:ind w:left="0" w:leftChars="0" w:right="0" w:firstLine="40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高配房</w:t>
            </w:r>
            <w:r>
              <w:rPr>
                <w:rFonts w:hint="eastAsia" w:ascii="宋体" w:hAnsi="宋体" w:eastAsia="宋体" w:cs="宋体"/>
                <w:color w:val="auto"/>
                <w:sz w:val="24"/>
                <w:szCs w:val="24"/>
                <w:highlight w:val="none"/>
                <w:lang w:eastAsia="zh-CN"/>
              </w:rPr>
              <w:t>巡视、</w:t>
            </w:r>
            <w:r>
              <w:rPr>
                <w:rFonts w:hint="eastAsia" w:ascii="宋体" w:hAnsi="宋体" w:eastAsia="宋体" w:cs="宋体"/>
                <w:color w:val="auto"/>
                <w:sz w:val="24"/>
                <w:szCs w:val="24"/>
                <w:highlight w:val="none"/>
              </w:rPr>
              <w:t>各类机房设备设施</w:t>
            </w:r>
            <w:r>
              <w:rPr>
                <w:rFonts w:hint="eastAsia" w:ascii="宋体" w:hAnsi="宋体" w:eastAsia="宋体" w:cs="宋体"/>
                <w:color w:val="auto"/>
                <w:sz w:val="24"/>
                <w:szCs w:val="24"/>
                <w:highlight w:val="none"/>
                <w:lang w:eastAsia="zh-CN"/>
              </w:rPr>
              <w:t>巡检；</w:t>
            </w:r>
          </w:p>
          <w:p>
            <w:pPr>
              <w:keepNext w:val="0"/>
              <w:keepLines w:val="0"/>
              <w:pageBreakBefore w:val="0"/>
              <w:widowControl/>
              <w:numPr>
                <w:ilvl w:val="0"/>
                <w:numId w:val="29"/>
              </w:numPr>
              <w:kinsoku w:val="0"/>
              <w:wordWrap/>
              <w:overflowPunct/>
              <w:topLinePunct w:val="0"/>
              <w:autoSpaceDE w:val="0"/>
              <w:autoSpaceDN w:val="0"/>
              <w:bidi w:val="0"/>
              <w:adjustRightInd w:val="0"/>
              <w:snapToGrid w:val="0"/>
              <w:spacing w:line="240" w:lineRule="auto"/>
              <w:ind w:left="0" w:leftChars="0" w:right="0" w:firstLine="40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照明系统、供用电设备设施</w:t>
            </w:r>
            <w:r>
              <w:rPr>
                <w:rFonts w:hint="eastAsia" w:ascii="宋体" w:hAnsi="宋体" w:eastAsia="宋体" w:cs="宋体"/>
                <w:color w:val="auto"/>
                <w:sz w:val="24"/>
                <w:szCs w:val="24"/>
                <w:highlight w:val="none"/>
                <w:lang w:eastAsia="zh-CN"/>
              </w:rPr>
              <w:t>维护；</w:t>
            </w:r>
          </w:p>
          <w:p>
            <w:pPr>
              <w:keepNext w:val="0"/>
              <w:keepLines w:val="0"/>
              <w:pageBreakBefore w:val="0"/>
              <w:widowControl/>
              <w:numPr>
                <w:ilvl w:val="0"/>
                <w:numId w:val="29"/>
              </w:numPr>
              <w:kinsoku w:val="0"/>
              <w:wordWrap/>
              <w:overflowPunct/>
              <w:topLinePunct w:val="0"/>
              <w:autoSpaceDE w:val="0"/>
              <w:autoSpaceDN w:val="0"/>
              <w:bidi w:val="0"/>
              <w:adjustRightInd w:val="0"/>
              <w:snapToGrid w:val="0"/>
              <w:spacing w:line="240" w:lineRule="auto"/>
              <w:ind w:left="0" w:leftChars="0" w:right="0" w:firstLine="40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排水系统</w:t>
            </w:r>
            <w:r>
              <w:rPr>
                <w:rFonts w:hint="eastAsia" w:ascii="宋体" w:hAnsi="宋体" w:eastAsia="宋体" w:cs="宋体"/>
                <w:color w:val="auto"/>
                <w:sz w:val="24"/>
                <w:szCs w:val="24"/>
                <w:highlight w:val="none"/>
                <w:lang w:eastAsia="zh-CN"/>
              </w:rPr>
              <w:t>维护；</w:t>
            </w:r>
          </w:p>
          <w:p>
            <w:pPr>
              <w:keepNext w:val="0"/>
              <w:keepLines w:val="0"/>
              <w:pageBreakBefore w:val="0"/>
              <w:widowControl/>
              <w:numPr>
                <w:ilvl w:val="0"/>
                <w:numId w:val="29"/>
              </w:numPr>
              <w:kinsoku w:val="0"/>
              <w:wordWrap/>
              <w:overflowPunct/>
              <w:topLinePunct w:val="0"/>
              <w:autoSpaceDE w:val="0"/>
              <w:autoSpaceDN w:val="0"/>
              <w:bidi w:val="0"/>
              <w:adjustRightInd w:val="0"/>
              <w:snapToGrid w:val="0"/>
              <w:spacing w:line="240" w:lineRule="auto"/>
              <w:ind w:left="0" w:leftChars="0" w:right="0" w:firstLine="40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水泵、管道养护，每年至少两次水箱清洗，并提供水质检测报告</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29"/>
              </w:numPr>
              <w:kinsoku w:val="0"/>
              <w:wordWrap/>
              <w:overflowPunct/>
              <w:topLinePunct w:val="0"/>
              <w:autoSpaceDE w:val="0"/>
              <w:autoSpaceDN w:val="0"/>
              <w:bidi w:val="0"/>
              <w:adjustRightInd w:val="0"/>
              <w:snapToGrid w:val="0"/>
              <w:spacing w:line="240" w:lineRule="auto"/>
              <w:ind w:left="0" w:leftChars="0" w:right="0" w:firstLine="40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智能弱电设备巡</w:t>
            </w:r>
            <w:r>
              <w:rPr>
                <w:rFonts w:hint="eastAsia" w:ascii="宋体" w:hAnsi="宋体" w:eastAsia="宋体" w:cs="宋体"/>
                <w:color w:val="auto"/>
                <w:sz w:val="24"/>
                <w:szCs w:val="24"/>
                <w:highlight w:val="none"/>
                <w:lang w:eastAsia="zh-CN"/>
              </w:rPr>
              <w:t>检；</w:t>
            </w:r>
          </w:p>
          <w:p>
            <w:pPr>
              <w:keepNext w:val="0"/>
              <w:keepLines w:val="0"/>
              <w:pageBreakBefore w:val="0"/>
              <w:numPr>
                <w:ilvl w:val="0"/>
                <w:numId w:val="29"/>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零星维修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其他大修</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7 </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工程设备维护方案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p>
        </w:tc>
        <w:tc>
          <w:tcPr>
            <w:tcW w:w="510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jc w:val="both"/>
              <w:textAlignment w:val="baseline"/>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电梯定期检查、维护、应急维修等，建立台账并记录。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right="0" w:firstLine="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全部符合得</w:t>
            </w:r>
            <w:r>
              <w:rPr>
                <w:rFonts w:hint="eastAsia" w:ascii="宋体" w:hAnsi="宋体" w:eastAsia="宋体" w:cs="宋体"/>
                <w:b w:val="0"/>
                <w:bCs w:val="0"/>
                <w:i w:val="0"/>
                <w:iCs w:val="0"/>
                <w:color w:val="auto"/>
                <w:sz w:val="24"/>
                <w:szCs w:val="24"/>
                <w:highlight w:val="none"/>
                <w:lang w:val="en-US" w:eastAsia="zh-CN"/>
              </w:rPr>
              <w:t>2</w:t>
            </w:r>
            <w:r>
              <w:rPr>
                <w:rFonts w:hint="eastAsia" w:ascii="宋体" w:hAnsi="宋体" w:eastAsia="宋体" w:cs="宋体"/>
                <w:b w:val="0"/>
                <w:bCs w:val="0"/>
                <w:i w:val="0"/>
                <w:iCs w:val="0"/>
                <w:color w:val="auto"/>
                <w:sz w:val="24"/>
                <w:szCs w:val="24"/>
                <w:highlight w:val="none"/>
                <w:lang w:eastAsia="zh-CN"/>
              </w:rPr>
              <w:t>分，部分符合得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分，不符合不得分。内容完整合理、有针对性视为符合要求。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p>
        </w:tc>
        <w:tc>
          <w:tcPr>
            <w:tcW w:w="5103" w:type="dxa"/>
            <w:vAlign w:val="center"/>
          </w:tcPr>
          <w:p>
            <w:pPr>
              <w:keepNext w:val="0"/>
              <w:keepLines w:val="0"/>
              <w:pageBreakBefore w:val="0"/>
              <w:wordWrap/>
              <w:overflowPunct/>
              <w:topLinePunct w:val="0"/>
              <w:bidi w:val="0"/>
              <w:adjustRightInd w:val="0"/>
              <w:snapToGrid w:val="0"/>
              <w:spacing w:line="240" w:lineRule="auto"/>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消防设施设备</w:t>
            </w:r>
            <w:r>
              <w:rPr>
                <w:rFonts w:hint="eastAsia" w:ascii="宋体" w:hAnsi="宋体" w:eastAsia="宋体" w:cs="宋体"/>
                <w:color w:val="auto"/>
                <w:sz w:val="24"/>
                <w:szCs w:val="24"/>
                <w:highlight w:val="none"/>
                <w:lang w:eastAsia="zh-CN"/>
              </w:rPr>
              <w:t>定期</w:t>
            </w:r>
            <w:r>
              <w:rPr>
                <w:rFonts w:hint="eastAsia" w:ascii="宋体" w:hAnsi="宋体" w:eastAsia="宋体" w:cs="宋体"/>
                <w:color w:val="auto"/>
                <w:sz w:val="24"/>
                <w:szCs w:val="24"/>
                <w:highlight w:val="none"/>
              </w:rPr>
              <w:t>维护保养，建立台账并记录。</w:t>
            </w:r>
            <w:r>
              <w:rPr>
                <w:rFonts w:hint="eastAsia" w:ascii="宋体" w:hAnsi="宋体" w:eastAsia="宋体" w:cs="宋体"/>
                <w:color w:val="auto"/>
                <w:sz w:val="24"/>
                <w:szCs w:val="24"/>
                <w:highlight w:val="none"/>
                <w:lang w:val="en-US" w:eastAsia="zh-CN"/>
              </w:rPr>
              <w:t xml:space="preserve">  </w:t>
            </w:r>
          </w:p>
          <w:p>
            <w:pPr>
              <w:keepNext w:val="0"/>
              <w:keepLines w:val="0"/>
              <w:pageBreakBefore w:val="0"/>
              <w:wordWrap/>
              <w:overflowPunct/>
              <w:topLinePunct w:val="0"/>
              <w:bidi w:val="0"/>
              <w:adjustRightInd w:val="0"/>
              <w:snapToGrid w:val="0"/>
              <w:spacing w:line="24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全部符合得</w:t>
            </w:r>
            <w:r>
              <w:rPr>
                <w:rFonts w:hint="eastAsia" w:ascii="宋体" w:hAnsi="宋体" w:eastAsia="宋体" w:cs="宋体"/>
                <w:b w:val="0"/>
                <w:bCs w:val="0"/>
                <w:i w:val="0"/>
                <w:iCs w:val="0"/>
                <w:color w:val="auto"/>
                <w:sz w:val="24"/>
                <w:szCs w:val="24"/>
                <w:highlight w:val="none"/>
                <w:lang w:val="en-US" w:eastAsia="zh-CN"/>
              </w:rPr>
              <w:t>2</w:t>
            </w:r>
            <w:r>
              <w:rPr>
                <w:rFonts w:hint="eastAsia" w:ascii="宋体" w:hAnsi="宋体" w:eastAsia="宋体" w:cs="宋体"/>
                <w:b w:val="0"/>
                <w:bCs w:val="0"/>
                <w:i w:val="0"/>
                <w:iCs w:val="0"/>
                <w:color w:val="auto"/>
                <w:sz w:val="24"/>
                <w:szCs w:val="24"/>
                <w:highlight w:val="none"/>
                <w:lang w:eastAsia="zh-CN"/>
              </w:rPr>
              <w:t>分，部分符合得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分，不符合不得分。内容完整合理、有针对性视为符合要求。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消防设施设备</w:t>
            </w:r>
            <w:r>
              <w:rPr>
                <w:rFonts w:hint="eastAsia" w:ascii="宋体" w:hAnsi="宋体" w:eastAsia="宋体" w:cs="宋体"/>
                <w:color w:val="auto"/>
                <w:sz w:val="24"/>
                <w:szCs w:val="24"/>
                <w:highlight w:val="none"/>
                <w:lang w:eastAsia="zh-CN"/>
              </w:rPr>
              <w:t>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p>
        </w:tc>
        <w:tc>
          <w:tcPr>
            <w:tcW w:w="51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全部符合得</w:t>
            </w:r>
            <w:r>
              <w:rPr>
                <w:rFonts w:hint="eastAsia" w:ascii="宋体" w:hAnsi="宋体" w:eastAsia="宋体" w:cs="宋体"/>
                <w:b w:val="0"/>
                <w:bCs w:val="0"/>
                <w:i w:val="0"/>
                <w:iCs w:val="0"/>
                <w:color w:val="auto"/>
                <w:sz w:val="24"/>
                <w:szCs w:val="24"/>
                <w:highlight w:val="none"/>
                <w:lang w:val="en-US" w:eastAsia="zh-CN"/>
              </w:rPr>
              <w:t>3</w:t>
            </w:r>
            <w:r>
              <w:rPr>
                <w:rFonts w:hint="eastAsia" w:ascii="宋体" w:hAnsi="宋体" w:eastAsia="宋体" w:cs="宋体"/>
                <w:b w:val="0"/>
                <w:bCs w:val="0"/>
                <w:i w:val="0"/>
                <w:iCs w:val="0"/>
                <w:color w:val="auto"/>
                <w:sz w:val="24"/>
                <w:szCs w:val="24"/>
                <w:highlight w:val="none"/>
                <w:lang w:eastAsia="zh-CN"/>
              </w:rPr>
              <w:t>分，部分符合得</w:t>
            </w:r>
            <w:r>
              <w:rPr>
                <w:rFonts w:hint="eastAsia" w:ascii="宋体" w:hAnsi="宋体" w:eastAsia="宋体" w:cs="宋体"/>
                <w:b w:val="0"/>
                <w:bCs w:val="0"/>
                <w:i w:val="0"/>
                <w:iCs w:val="0"/>
                <w:color w:val="auto"/>
                <w:sz w:val="24"/>
                <w:szCs w:val="24"/>
                <w:highlight w:val="none"/>
                <w:lang w:val="en-US" w:eastAsia="zh-CN"/>
              </w:rPr>
              <w:t>1.5</w:t>
            </w:r>
            <w:r>
              <w:rPr>
                <w:rFonts w:hint="eastAsia" w:ascii="宋体" w:hAnsi="宋体" w:eastAsia="宋体" w:cs="宋体"/>
                <w:b w:val="0"/>
                <w:bCs w:val="0"/>
                <w:i w:val="0"/>
                <w:iCs w:val="0"/>
                <w:color w:val="auto"/>
                <w:sz w:val="24"/>
                <w:szCs w:val="24"/>
                <w:highlight w:val="none"/>
                <w:lang w:eastAsia="zh-CN"/>
              </w:rPr>
              <w:t>分，不符合不得分。内容完整合理、有针对性视为符合要求。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p>
        </w:tc>
        <w:tc>
          <w:tcPr>
            <w:tcW w:w="5103" w:type="dxa"/>
            <w:vAlign w:val="center"/>
          </w:tcPr>
          <w:p>
            <w:pPr>
              <w:keepNext w:val="0"/>
              <w:keepLines w:val="0"/>
              <w:pageBreakBefore w:val="0"/>
              <w:numPr>
                <w:ilvl w:val="0"/>
                <w:numId w:val="30"/>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会前准备方案；</w:t>
            </w:r>
          </w:p>
          <w:p>
            <w:pPr>
              <w:keepNext w:val="0"/>
              <w:keepLines w:val="0"/>
              <w:pageBreakBefore w:val="0"/>
              <w:numPr>
                <w:ilvl w:val="0"/>
                <w:numId w:val="30"/>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会中服务方案；</w:t>
            </w:r>
          </w:p>
          <w:p>
            <w:pPr>
              <w:keepNext w:val="0"/>
              <w:keepLines w:val="0"/>
              <w:pageBreakBefore w:val="0"/>
              <w:numPr>
                <w:ilvl w:val="0"/>
                <w:numId w:val="30"/>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会后整理方案；</w:t>
            </w:r>
          </w:p>
          <w:p>
            <w:pPr>
              <w:keepNext w:val="0"/>
              <w:keepLines w:val="0"/>
              <w:pageBreakBefore w:val="0"/>
              <w:numPr>
                <w:ilvl w:val="0"/>
                <w:numId w:val="30"/>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严格保密</w:t>
            </w:r>
            <w:r>
              <w:rPr>
                <w:rFonts w:hint="eastAsia" w:ascii="宋体" w:hAnsi="宋体" w:eastAsia="宋体" w:cs="宋体"/>
                <w:color w:val="auto"/>
                <w:sz w:val="24"/>
                <w:szCs w:val="24"/>
                <w:highlight w:val="none"/>
              </w:rPr>
              <w:t>。</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w:t>
            </w:r>
            <w:r>
              <w:rPr>
                <w:rFonts w:hint="eastAsia" w:ascii="宋体" w:hAnsi="宋体" w:eastAsia="宋体" w:cs="宋体"/>
                <w:b w:val="0"/>
                <w:bCs w:val="0"/>
                <w:i w:val="0"/>
                <w:iCs w:val="0"/>
                <w:color w:val="auto"/>
                <w:sz w:val="24"/>
                <w:szCs w:val="24"/>
                <w:highlight w:val="none"/>
                <w:lang w:eastAsia="zh-CN"/>
              </w:rPr>
              <w:t>每小点内容</w:t>
            </w:r>
            <w:r>
              <w:rPr>
                <w:rFonts w:hint="eastAsia" w:ascii="宋体" w:hAnsi="宋体" w:eastAsia="宋体" w:cs="宋体"/>
                <w:b w:val="0"/>
                <w:bCs w:val="0"/>
                <w:i w:val="0"/>
                <w:iCs w:val="0"/>
                <w:color w:val="auto"/>
                <w:sz w:val="24"/>
                <w:szCs w:val="24"/>
                <w:highlight w:val="none"/>
              </w:rPr>
              <w:t>全部符合得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分，部分符合得</w:t>
            </w:r>
            <w:r>
              <w:rPr>
                <w:rFonts w:hint="eastAsia" w:ascii="宋体" w:hAnsi="宋体" w:eastAsia="宋体" w:cs="宋体"/>
                <w:b w:val="0"/>
                <w:bCs w:val="0"/>
                <w:i w:val="0"/>
                <w:iCs w:val="0"/>
                <w:color w:val="auto"/>
                <w:sz w:val="24"/>
                <w:szCs w:val="24"/>
                <w:highlight w:val="none"/>
                <w:lang w:val="en-US" w:eastAsia="zh-CN"/>
              </w:rPr>
              <w:t>0.5</w:t>
            </w:r>
            <w:r>
              <w:rPr>
                <w:rFonts w:hint="eastAsia" w:ascii="宋体" w:hAnsi="宋体" w:eastAsia="宋体" w:cs="宋体"/>
                <w:b w:val="0"/>
                <w:bCs w:val="0"/>
                <w:i w:val="0"/>
                <w:iCs w:val="0"/>
                <w:color w:val="auto"/>
                <w:sz w:val="24"/>
                <w:szCs w:val="24"/>
                <w:highlight w:val="none"/>
              </w:rPr>
              <w:t>分，不符合不得分。</w:t>
            </w:r>
            <w:r>
              <w:rPr>
                <w:rFonts w:hint="eastAsia" w:ascii="宋体" w:hAnsi="宋体" w:eastAsia="宋体" w:cs="宋体"/>
                <w:b w:val="0"/>
                <w:bCs w:val="0"/>
                <w:i w:val="0"/>
                <w:iCs w:val="0"/>
                <w:color w:val="auto"/>
                <w:sz w:val="24"/>
                <w:szCs w:val="24"/>
                <w:highlight w:val="none"/>
                <w:lang w:eastAsia="zh-CN"/>
              </w:rPr>
              <w:t>内容</w:t>
            </w:r>
            <w:r>
              <w:rPr>
                <w:rFonts w:hint="eastAsia" w:ascii="宋体" w:hAnsi="宋体" w:eastAsia="宋体" w:cs="宋体"/>
                <w:b w:val="0"/>
                <w:bCs w:val="0"/>
                <w:i w:val="0"/>
                <w:iCs w:val="0"/>
                <w:color w:val="auto"/>
                <w:sz w:val="24"/>
                <w:szCs w:val="24"/>
                <w:highlight w:val="none"/>
              </w:rPr>
              <w:t>完整合理、有针对性视为符合要求。</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4</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会务服务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51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针</w:t>
            </w:r>
            <w:r>
              <w:rPr>
                <w:rFonts w:hint="eastAsia" w:ascii="宋体" w:hAnsi="宋体" w:eastAsia="宋体" w:cs="宋体"/>
                <w:color w:val="auto"/>
                <w:sz w:val="24"/>
                <w:szCs w:val="24"/>
                <w:highlight w:val="none"/>
              </w:rPr>
              <w:t>对本项目的</w:t>
            </w:r>
            <w:r>
              <w:rPr>
                <w:rFonts w:hint="eastAsia" w:ascii="宋体" w:hAnsi="宋体" w:eastAsia="宋体" w:cs="宋体"/>
                <w:color w:val="auto"/>
                <w:sz w:val="24"/>
                <w:szCs w:val="24"/>
                <w:highlight w:val="none"/>
                <w:lang w:val="en-US" w:eastAsia="zh-CN"/>
              </w:rPr>
              <w:t>特色</w:t>
            </w:r>
            <w:r>
              <w:rPr>
                <w:rFonts w:hint="eastAsia" w:ascii="宋体" w:hAnsi="宋体" w:eastAsia="宋体" w:cs="宋体"/>
                <w:color w:val="auto"/>
                <w:sz w:val="24"/>
                <w:szCs w:val="24"/>
                <w:highlight w:val="none"/>
              </w:rPr>
              <w:t>服务（如应急迎检、夏日提供凉茶、传统节日开展各类活动）（</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eastAsia="zh-CN"/>
              </w:rPr>
              <w:t>对项目的特色服务工作有详细的方案，做详细的阐述。特色服务合理、有可行性、有针对性视为符合要求，每符合1项得</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分；此项最</w:t>
            </w:r>
            <w:r>
              <w:rPr>
                <w:rFonts w:hint="eastAsia" w:ascii="宋体" w:hAnsi="宋体" w:eastAsia="宋体" w:cs="宋体"/>
                <w:b w:val="0"/>
                <w:bCs w:val="0"/>
                <w:i w:val="0"/>
                <w:iCs w:val="0"/>
                <w:color w:val="auto"/>
                <w:sz w:val="24"/>
                <w:szCs w:val="24"/>
                <w:highlight w:val="none"/>
                <w:lang w:val="en-US" w:eastAsia="zh-CN"/>
              </w:rPr>
              <w:t>高3</w:t>
            </w:r>
            <w:r>
              <w:rPr>
                <w:rFonts w:hint="eastAsia" w:ascii="宋体" w:hAnsi="宋体" w:eastAsia="宋体" w:cs="宋体"/>
                <w:b w:val="0"/>
                <w:bCs w:val="0"/>
                <w:i w:val="0"/>
                <w:iCs w:val="0"/>
                <w:color w:val="auto"/>
                <w:sz w:val="24"/>
                <w:szCs w:val="24"/>
                <w:highlight w:val="none"/>
                <w:lang w:eastAsia="zh-CN"/>
              </w:rPr>
              <w:t>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5103" w:type="dxa"/>
            <w:vAlign w:val="center"/>
          </w:tcPr>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拟派本项目的项目经理（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分）：年龄</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周岁以下（</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大学</w:t>
            </w:r>
            <w:r>
              <w:rPr>
                <w:rFonts w:hint="eastAsia" w:ascii="宋体" w:hAnsi="宋体" w:eastAsia="宋体" w:cs="宋体"/>
                <w:color w:val="auto"/>
                <w:sz w:val="24"/>
                <w:szCs w:val="24"/>
                <w:highlight w:val="none"/>
              </w:rPr>
              <w:t>本科以上学历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eastAsia="zh-CN"/>
              </w:rPr>
              <w:t>以上类似</w:t>
            </w:r>
            <w:r>
              <w:rPr>
                <w:rFonts w:hint="eastAsia" w:ascii="宋体" w:hAnsi="宋体" w:eastAsia="宋体" w:cs="宋体"/>
                <w:color w:val="auto"/>
                <w:sz w:val="24"/>
                <w:szCs w:val="24"/>
                <w:highlight w:val="none"/>
              </w:rPr>
              <w:t>物业</w:t>
            </w:r>
            <w:r>
              <w:rPr>
                <w:rFonts w:hint="eastAsia" w:ascii="宋体" w:hAnsi="宋体" w:eastAsia="宋体" w:cs="宋体"/>
                <w:color w:val="auto"/>
                <w:sz w:val="24"/>
                <w:szCs w:val="24"/>
                <w:highlight w:val="none"/>
                <w:lang w:eastAsia="zh-CN"/>
              </w:rPr>
              <w:t>项目经理</w:t>
            </w:r>
            <w:r>
              <w:rPr>
                <w:rFonts w:hint="eastAsia" w:ascii="宋体" w:hAnsi="宋体" w:eastAsia="宋体" w:cs="宋体"/>
                <w:color w:val="auto"/>
                <w:sz w:val="24"/>
                <w:szCs w:val="24"/>
                <w:highlight w:val="none"/>
              </w:rPr>
              <w:t>工作经验（</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拟派本项目保洁</w:t>
            </w:r>
            <w:r>
              <w:rPr>
                <w:rFonts w:hint="eastAsia" w:ascii="宋体" w:hAnsi="宋体" w:eastAsia="宋体" w:cs="宋体"/>
                <w:color w:val="auto"/>
                <w:sz w:val="24"/>
                <w:szCs w:val="24"/>
                <w:highlight w:val="none"/>
                <w:lang w:eastAsia="zh-CN"/>
              </w:rPr>
              <w:t>主管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分）：年龄</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周岁以下（</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大专</w:t>
            </w:r>
            <w:r>
              <w:rPr>
                <w:rFonts w:hint="eastAsia" w:ascii="宋体" w:hAnsi="宋体" w:eastAsia="宋体" w:cs="宋体"/>
                <w:color w:val="auto"/>
                <w:sz w:val="24"/>
                <w:szCs w:val="24"/>
                <w:highlight w:val="none"/>
              </w:rPr>
              <w:t>以上学历（</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分），具有</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年以上</w:t>
            </w:r>
            <w:r>
              <w:rPr>
                <w:rFonts w:hint="eastAsia" w:ascii="宋体" w:hAnsi="宋体" w:eastAsia="宋体" w:cs="宋体"/>
                <w:color w:val="auto"/>
                <w:sz w:val="24"/>
                <w:szCs w:val="24"/>
                <w:highlight w:val="none"/>
                <w:lang w:eastAsia="zh-CN"/>
              </w:rPr>
              <w:t>类似物业保洁主管工作经验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拟派本项目的保安</w:t>
            </w:r>
            <w:r>
              <w:rPr>
                <w:rFonts w:hint="eastAsia" w:ascii="宋体" w:hAnsi="宋体" w:eastAsia="宋体" w:cs="宋体"/>
                <w:color w:val="auto"/>
                <w:sz w:val="24"/>
                <w:szCs w:val="24"/>
                <w:highlight w:val="none"/>
                <w:lang w:eastAsia="zh-CN"/>
              </w:rPr>
              <w:t>主管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分）：年龄50周岁以下（</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；大专</w:t>
            </w:r>
            <w:r>
              <w:rPr>
                <w:rFonts w:hint="eastAsia" w:ascii="宋体" w:hAnsi="宋体" w:eastAsia="宋体" w:cs="宋体"/>
                <w:color w:val="auto"/>
                <w:sz w:val="24"/>
                <w:szCs w:val="24"/>
                <w:highlight w:val="none"/>
              </w:rPr>
              <w:t>以上学历（</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年以上</w:t>
            </w:r>
            <w:r>
              <w:rPr>
                <w:rFonts w:hint="eastAsia" w:ascii="宋体" w:hAnsi="宋体" w:eastAsia="宋体" w:cs="宋体"/>
                <w:color w:val="auto"/>
                <w:sz w:val="24"/>
                <w:szCs w:val="24"/>
                <w:highlight w:val="none"/>
                <w:lang w:eastAsia="zh-CN"/>
              </w:rPr>
              <w:t>类似物业保安主管</w:t>
            </w:r>
            <w:r>
              <w:rPr>
                <w:rFonts w:hint="eastAsia" w:ascii="宋体" w:hAnsi="宋体" w:eastAsia="宋体" w:cs="宋体"/>
                <w:color w:val="auto"/>
                <w:sz w:val="24"/>
                <w:szCs w:val="24"/>
                <w:highlight w:val="none"/>
              </w:rPr>
              <w:t>工作经验（</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拟派本项目保洁员（</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分）：年龄</w:t>
            </w:r>
            <w:r>
              <w:rPr>
                <w:rFonts w:hint="eastAsia" w:ascii="宋体" w:hAnsi="宋体" w:eastAsia="宋体" w:cs="宋体"/>
                <w:color w:val="auto"/>
                <w:sz w:val="24"/>
                <w:szCs w:val="24"/>
                <w:highlight w:val="none"/>
                <w:lang w:val="en-US" w:eastAsia="zh-CN"/>
              </w:rPr>
              <w:t>55</w:t>
            </w:r>
            <w:r>
              <w:rPr>
                <w:rFonts w:hint="eastAsia" w:ascii="宋体" w:hAnsi="宋体" w:eastAsia="宋体" w:cs="宋体"/>
                <w:color w:val="auto"/>
                <w:sz w:val="24"/>
                <w:szCs w:val="24"/>
                <w:highlight w:val="none"/>
              </w:rPr>
              <w:t>周岁以下，具有</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年以上</w:t>
            </w:r>
            <w:r>
              <w:rPr>
                <w:rFonts w:hint="eastAsia" w:ascii="宋体" w:hAnsi="宋体" w:eastAsia="宋体" w:cs="宋体"/>
                <w:color w:val="auto"/>
                <w:sz w:val="24"/>
                <w:szCs w:val="24"/>
                <w:highlight w:val="none"/>
                <w:lang w:eastAsia="zh-CN"/>
              </w:rPr>
              <w:t>类似保洁</w:t>
            </w:r>
            <w:r>
              <w:rPr>
                <w:rFonts w:hint="eastAsia" w:ascii="宋体" w:hAnsi="宋体" w:eastAsia="宋体" w:cs="宋体"/>
                <w:color w:val="auto"/>
                <w:sz w:val="24"/>
                <w:szCs w:val="24"/>
                <w:highlight w:val="none"/>
              </w:rPr>
              <w:t>工作经验。每符合1人得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拟派本项目保安员（3分）：年龄55周岁以下，具有1年以上安保工作经验。</w:t>
            </w:r>
            <w:r>
              <w:rPr>
                <w:rFonts w:hint="eastAsia" w:ascii="宋体" w:hAnsi="宋体" w:eastAsia="宋体" w:cs="宋体"/>
                <w:color w:val="auto"/>
                <w:sz w:val="24"/>
                <w:szCs w:val="24"/>
                <w:highlight w:val="none"/>
              </w:rPr>
              <w:t>每符合1人得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拟派本项目消控员（1.5分）：年龄55周岁以下，具有1年以上消控工作经验。</w:t>
            </w:r>
            <w:r>
              <w:rPr>
                <w:rFonts w:hint="eastAsia" w:ascii="宋体" w:hAnsi="宋体" w:eastAsia="宋体" w:cs="宋体"/>
                <w:color w:val="auto"/>
                <w:sz w:val="24"/>
                <w:szCs w:val="24"/>
                <w:highlight w:val="none"/>
              </w:rPr>
              <w:t>每符合1人得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拟派项目绿化工（</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）：年龄</w:t>
            </w:r>
            <w:r>
              <w:rPr>
                <w:rFonts w:hint="eastAsia" w:ascii="宋体" w:hAnsi="宋体" w:eastAsia="宋体" w:cs="宋体"/>
                <w:color w:val="auto"/>
                <w:sz w:val="24"/>
                <w:szCs w:val="24"/>
                <w:highlight w:val="none"/>
                <w:lang w:val="en-US" w:eastAsia="zh-CN"/>
              </w:rPr>
              <w:t>55周岁以下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具有2年以上绿化养护工作经验（0.5分）。</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拟派本项目的</w:t>
            </w:r>
            <w:r>
              <w:rPr>
                <w:rFonts w:hint="eastAsia" w:ascii="宋体" w:hAnsi="宋体" w:eastAsia="宋体" w:cs="宋体"/>
                <w:color w:val="auto"/>
                <w:sz w:val="24"/>
                <w:szCs w:val="24"/>
                <w:highlight w:val="none"/>
                <w:lang w:eastAsia="zh-CN"/>
              </w:rPr>
              <w:t>工程维修人员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分）：年龄5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周岁以下，</w:t>
            </w:r>
            <w:r>
              <w:rPr>
                <w:rFonts w:hint="eastAsia" w:ascii="宋体" w:hAnsi="宋体" w:eastAsia="宋体" w:cs="宋体"/>
                <w:color w:val="auto"/>
                <w:sz w:val="24"/>
                <w:szCs w:val="24"/>
                <w:highlight w:val="none"/>
                <w:lang w:eastAsia="zh-CN"/>
              </w:rPr>
              <w:t>高中</w:t>
            </w:r>
            <w:r>
              <w:rPr>
                <w:rFonts w:hint="eastAsia" w:ascii="宋体" w:hAnsi="宋体" w:eastAsia="宋体" w:cs="宋体"/>
                <w:color w:val="auto"/>
                <w:sz w:val="24"/>
                <w:szCs w:val="24"/>
                <w:highlight w:val="none"/>
              </w:rPr>
              <w:t>以上学历，具有</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年以上</w:t>
            </w:r>
            <w:r>
              <w:rPr>
                <w:rFonts w:hint="eastAsia" w:ascii="宋体" w:hAnsi="宋体" w:eastAsia="宋体" w:cs="宋体"/>
                <w:color w:val="auto"/>
                <w:sz w:val="24"/>
                <w:szCs w:val="24"/>
                <w:highlight w:val="none"/>
                <w:lang w:eastAsia="zh-CN"/>
              </w:rPr>
              <w:t>类</w:t>
            </w:r>
            <w:r>
              <w:rPr>
                <w:rFonts w:hint="eastAsia" w:ascii="宋体" w:hAnsi="宋体" w:eastAsia="宋体" w:cs="宋体"/>
                <w:color w:val="auto"/>
                <w:sz w:val="24"/>
                <w:szCs w:val="24"/>
                <w:highlight w:val="none"/>
                <w:lang w:val="en-US" w:eastAsia="zh-CN"/>
              </w:rPr>
              <w:t>似</w:t>
            </w:r>
            <w:r>
              <w:rPr>
                <w:rFonts w:hint="eastAsia" w:ascii="宋体" w:hAnsi="宋体" w:eastAsia="宋体" w:cs="宋体"/>
                <w:color w:val="auto"/>
                <w:sz w:val="24"/>
                <w:szCs w:val="24"/>
                <w:highlight w:val="none"/>
                <w:lang w:eastAsia="zh-CN"/>
              </w:rPr>
              <w:t>工程维修</w:t>
            </w:r>
            <w:r>
              <w:rPr>
                <w:rFonts w:hint="eastAsia" w:ascii="宋体" w:hAnsi="宋体" w:eastAsia="宋体" w:cs="宋体"/>
                <w:color w:val="auto"/>
                <w:sz w:val="24"/>
                <w:szCs w:val="24"/>
                <w:highlight w:val="none"/>
              </w:rPr>
              <w:t>工作经验。每符合1人得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numPr>
                <w:ilvl w:val="0"/>
                <w:numId w:val="31"/>
              </w:numPr>
              <w:wordWrap/>
              <w:overflowPunct/>
              <w:topLinePunct w:val="0"/>
              <w:bidi w:val="0"/>
              <w:adjustRightInd w:val="0"/>
              <w:snapToGrid w:val="0"/>
              <w:spacing w:line="240" w:lineRule="auto"/>
              <w:ind w:left="0" w:leftChars="0" w:firstLine="40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拟派本项目会务人员（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年龄</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周岁以下，高中以上学历</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年以上</w:t>
            </w:r>
            <w:r>
              <w:rPr>
                <w:rFonts w:hint="eastAsia" w:ascii="宋体" w:hAnsi="宋体" w:eastAsia="宋体" w:cs="宋体"/>
                <w:color w:val="auto"/>
                <w:sz w:val="24"/>
                <w:szCs w:val="24"/>
                <w:highlight w:val="none"/>
                <w:lang w:eastAsia="zh-CN"/>
              </w:rPr>
              <w:t>类似会务</w:t>
            </w:r>
            <w:r>
              <w:rPr>
                <w:rFonts w:hint="eastAsia" w:ascii="宋体" w:hAnsi="宋体" w:eastAsia="宋体" w:cs="宋体"/>
                <w:color w:val="auto"/>
                <w:sz w:val="24"/>
                <w:szCs w:val="24"/>
                <w:highlight w:val="none"/>
              </w:rPr>
              <w:t>工作经验。每符合1人得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pStyle w:val="19"/>
              <w:keepNext w:val="0"/>
              <w:keepLines w:val="0"/>
              <w:pageBreakBefore w:val="0"/>
              <w:wordWrap/>
              <w:overflowPunct/>
              <w:topLinePunct w:val="0"/>
              <w:bidi w:val="0"/>
              <w:adjustRightInd w:val="0"/>
              <w:spacing w:line="240" w:lineRule="auto"/>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年龄、工作经验计算截至投标截止时间。以上人员需提供相应证书和身份证扫描件、在投标人单位的社保缴纳证明</w:t>
            </w:r>
            <w:r>
              <w:rPr>
                <w:rFonts w:hint="eastAsia" w:ascii="宋体" w:hAnsi="宋体" w:cs="宋体"/>
                <w:b w:val="0"/>
                <w:bCs w:val="0"/>
                <w:i w:val="0"/>
                <w:iCs w:val="0"/>
                <w:color w:val="auto"/>
                <w:sz w:val="24"/>
                <w:szCs w:val="24"/>
                <w:highlight w:val="none"/>
                <w:lang w:val="en-US" w:eastAsia="zh-CN"/>
              </w:rPr>
              <w:t>（</w:t>
            </w:r>
            <w:r>
              <w:rPr>
                <w:rFonts w:hint="eastAsia" w:ascii="宋体" w:hAnsi="宋体" w:eastAsia="宋体" w:cs="宋体"/>
                <w:b w:val="0"/>
                <w:bCs w:val="0"/>
                <w:i w:val="0"/>
                <w:iCs w:val="0"/>
                <w:color w:val="auto"/>
                <w:sz w:val="24"/>
                <w:szCs w:val="24"/>
                <w:highlight w:val="none"/>
                <w:lang w:val="en-US" w:eastAsia="zh-CN"/>
              </w:rPr>
              <w:t>超过法定退休年龄的人员提供与投标人签订的劳务合同</w:t>
            </w:r>
            <w:r>
              <w:rPr>
                <w:rFonts w:hint="eastAsia" w:ascii="宋体" w:hAnsi="宋体" w:cs="宋体"/>
                <w:b w:val="0"/>
                <w:bCs w:val="0"/>
                <w:i w:val="0"/>
                <w:iCs w:val="0"/>
                <w:color w:val="auto"/>
                <w:sz w:val="24"/>
                <w:szCs w:val="24"/>
                <w:highlight w:val="none"/>
                <w:lang w:val="en-US" w:eastAsia="zh-CN"/>
              </w:rPr>
              <w:t>）</w:t>
            </w:r>
            <w:r>
              <w:rPr>
                <w:rFonts w:hint="eastAsia" w:ascii="宋体" w:hAnsi="宋体" w:eastAsia="宋体" w:cs="宋体"/>
                <w:b w:val="0"/>
                <w:bCs w:val="0"/>
                <w:i w:val="0"/>
                <w:iCs w:val="0"/>
                <w:color w:val="auto"/>
                <w:sz w:val="24"/>
                <w:szCs w:val="24"/>
                <w:highlight w:val="none"/>
                <w:lang w:val="en-US" w:eastAsia="zh-CN"/>
              </w:rPr>
              <w:t>，工作经验需提供显示职务的劳动合同或原服务业主出具的盖章证明或其他可证明工作岗位及年限的材料，否则不得分。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19</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9</w:t>
            </w:r>
          </w:p>
        </w:tc>
        <w:tc>
          <w:tcPr>
            <w:tcW w:w="5103" w:type="dxa"/>
            <w:vAlign w:val="center"/>
          </w:tcPr>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rPr>
              <w:t>职业健康安全管理体系认证证书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、质量管理体系认证证书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、环境管理体系认证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ordWrap/>
              <w:overflowPunct/>
              <w:topLinePunct w:val="0"/>
              <w:bidi w:val="0"/>
              <w:adjustRightInd w:val="0"/>
              <w:snapToGrid w:val="0"/>
              <w:spacing w:line="24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 xml:space="preserve">    提供有效期内的证书扫描件及全国认证认可信息公共服务平台网站http://www.cnca.gov.cn/查询页面截图，否则不得分。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p>
        </w:tc>
        <w:tc>
          <w:tcPr>
            <w:tcW w:w="5103" w:type="dxa"/>
            <w:vAlign w:val="center"/>
          </w:tcPr>
          <w:p>
            <w:pPr>
              <w:keepNext w:val="0"/>
              <w:keepLines w:val="0"/>
              <w:pageBreakBefore w:val="0"/>
              <w:wordWrap/>
              <w:overflowPunct/>
              <w:topLinePunct w:val="0"/>
              <w:bidi w:val="0"/>
              <w:adjustRightInd w:val="0"/>
              <w:snapToGrid w:val="0"/>
              <w:spacing w:line="240" w:lineRule="auto"/>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投标人自2020年1月1日以来的同类型物业管理服务的成功案例（含在管项目），以签订时间为准</w:t>
            </w:r>
            <w:r>
              <w:rPr>
                <w:rFonts w:hint="eastAsia" w:ascii="宋体" w:hAnsi="宋体" w:eastAsia="宋体" w:cs="宋体"/>
                <w:color w:val="auto"/>
                <w:sz w:val="24"/>
                <w:szCs w:val="24"/>
                <w:highlight w:val="none"/>
                <w:lang w:eastAsia="zh-CN"/>
              </w:rPr>
              <w:t>。</w:t>
            </w:r>
          </w:p>
          <w:p>
            <w:pPr>
              <w:keepNext w:val="0"/>
              <w:keepLines w:val="0"/>
              <w:pageBreakBefore w:val="0"/>
              <w:wordWrap/>
              <w:overflowPunct/>
              <w:topLinePunct w:val="0"/>
              <w:bidi w:val="0"/>
              <w:adjustRightInd w:val="0"/>
              <w:snapToGrid w:val="0"/>
              <w:spacing w:line="24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提供合同扫描件。每提供1份得0.5分，最多得1分。</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299"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21</w:t>
            </w:r>
          </w:p>
        </w:tc>
        <w:tc>
          <w:tcPr>
            <w:tcW w:w="5103" w:type="dxa"/>
            <w:vAlign w:val="center"/>
          </w:tcPr>
          <w:p>
            <w:pPr>
              <w:keepNext w:val="0"/>
              <w:keepLines w:val="0"/>
              <w:pageBreakBefore w:val="0"/>
              <w:wordWrap/>
              <w:overflowPunct/>
              <w:topLinePunct w:val="0"/>
              <w:bidi w:val="0"/>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有效投标报价的最低价作为评标基准价，其最低报价为满分；按［投标报价得分=（评标基准价/投标报价）*10］的计算公式计算。</w:t>
            </w:r>
          </w:p>
          <w:p>
            <w:pPr>
              <w:keepNext w:val="0"/>
              <w:keepLines w:val="0"/>
              <w:pageBreakBefore w:val="0"/>
              <w:wordWrap/>
              <w:overflowPunct/>
              <w:topLinePunct w:val="0"/>
              <w:bidi w:val="0"/>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tc>
        <w:tc>
          <w:tcPr>
            <w:tcW w:w="567"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992" w:type="dxa"/>
            <w:vAlign w:val="center"/>
          </w:tcPr>
          <w:p>
            <w:pPr>
              <w:keepNext w:val="0"/>
              <w:keepLines w:val="0"/>
              <w:pageBreakBefore w:val="0"/>
              <w:wordWrap/>
              <w:overflowPunct/>
              <w:topLinePunct w:val="0"/>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299" w:type="dxa"/>
            <w:vAlign w:val="center"/>
          </w:tcPr>
          <w:p>
            <w:pPr>
              <w:keepNext w:val="0"/>
              <w:keepLines w:val="0"/>
              <w:pageBreakBefore w:val="0"/>
              <w:widowControl/>
              <w:wordWrap/>
              <w:overflowPunct/>
              <w:topLinePunct w:val="0"/>
              <w:bidi w:val="0"/>
              <w:adjustRightInd w:val="0"/>
              <w:spacing w:line="240" w:lineRule="auto"/>
              <w:jc w:val="center"/>
              <w:textAlignment w:val="center"/>
              <w:rPr>
                <w:rFonts w:hint="eastAsia" w:ascii="宋体" w:hAnsi="宋体" w:eastAsia="宋体" w:cs="宋体"/>
                <w:color w:val="auto"/>
                <w:kern w:val="0"/>
                <w:sz w:val="24"/>
                <w:szCs w:val="24"/>
                <w:highlight w:val="none"/>
              </w:rPr>
            </w:pP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tabs>
          <w:tab w:val="left" w:pos="3213"/>
        </w:tabs>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第一部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合同书</w:t>
      </w:r>
    </w:p>
    <w:p>
      <w:pPr>
        <w:spacing w:before="120" w:line="22" w:lineRule="atLeast"/>
        <w:rPr>
          <w:rFonts w:ascii="宋体" w:hAnsi="宋体" w:cs="宋体"/>
          <w:color w:val="auto"/>
          <w:sz w:val="24"/>
          <w:highlight w:val="none"/>
        </w:rPr>
      </w:pPr>
    </w:p>
    <w:p>
      <w:pPr>
        <w:keepNext/>
        <w:keepLines/>
        <w:tabs>
          <w:tab w:val="left" w:pos="432"/>
        </w:tabs>
        <w:adjustRightInd/>
        <w:ind w:left="431" w:hanging="431"/>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headerReference r:id="rId12" w:type="default"/>
          <w:footerReference r:id="rId13" w:type="default"/>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lang w:eastAsia="zh-CN"/>
        </w:rPr>
        <w:t>瓶窑市民之家物业管理服务采购项目（HZYHZFCG-2023-086）</w:t>
      </w:r>
      <w:r>
        <w:rPr>
          <w:rFonts w:hint="eastAsia" w:ascii="宋体" w:hAnsi="宋体" w:cs="宋体"/>
          <w:color w:val="auto"/>
          <w:sz w:val="24"/>
          <w:highlight w:val="none"/>
        </w:rPr>
        <w:t>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rPr>
        <w:t>为该项目中标供应商。现于中标通知书发出之日起10个工作日内，按照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color w:val="auto"/>
          <w:sz w:val="24"/>
          <w:highlight w:val="none"/>
        </w:rPr>
      </w:pPr>
      <w:bookmarkStart w:id="395" w:name="_Toc22967"/>
      <w:bookmarkStart w:id="396" w:name="_Toc20421"/>
      <w:bookmarkStart w:id="397" w:name="_Toc15367"/>
      <w:bookmarkStart w:id="398" w:name="_Toc28855"/>
      <w:bookmarkStart w:id="399" w:name="_Toc19273"/>
      <w:r>
        <w:rPr>
          <w:rFonts w:hint="eastAsia" w:ascii="宋体" w:hAnsi="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0" w:name="_Toc6311"/>
      <w:bookmarkStart w:id="401" w:name="_Toc2918"/>
      <w:bookmarkStart w:id="402" w:name="_Toc22185"/>
      <w:bookmarkStart w:id="403" w:name="_Toc6773"/>
      <w:bookmarkStart w:id="404" w:name="_Toc18585"/>
      <w:r>
        <w:rPr>
          <w:rFonts w:hint="eastAsia" w:ascii="宋体" w:hAnsi="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5" w:name="_Toc1386"/>
      <w:bookmarkStart w:id="406" w:name="_Toc4929"/>
      <w:bookmarkStart w:id="407" w:name="_Toc21124"/>
      <w:bookmarkStart w:id="408" w:name="_Toc13918"/>
      <w:bookmarkStart w:id="409" w:name="_Toc5635"/>
      <w:r>
        <w:rPr>
          <w:rFonts w:hint="eastAsia" w:ascii="宋体" w:hAnsi="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0" w:name="_Toc30506"/>
      <w:bookmarkStart w:id="411" w:name="_Toc30158"/>
      <w:bookmarkStart w:id="412" w:name="_Toc14993"/>
      <w:bookmarkStart w:id="413" w:name="_Toc3654"/>
      <w:bookmarkStart w:id="414" w:name="_Toc26916"/>
      <w:r>
        <w:rPr>
          <w:rFonts w:hint="eastAsia" w:ascii="宋体" w:hAnsi="宋体" w:cs="宋体"/>
          <w:b/>
          <w:color w:val="auto"/>
          <w:sz w:val="24"/>
          <w:highlight w:val="none"/>
        </w:rPr>
        <w:t>1.4 付款方式和发票开具方式</w:t>
      </w:r>
      <w:bookmarkEnd w:id="410"/>
      <w:bookmarkEnd w:id="411"/>
      <w:bookmarkEnd w:id="412"/>
      <w:bookmarkEnd w:id="413"/>
      <w:bookmarkEnd w:id="414"/>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color w:val="auto"/>
          <w:sz w:val="24"/>
          <w:highlight w:val="none"/>
        </w:rPr>
      </w:pPr>
      <w:bookmarkStart w:id="415" w:name="_Toc11108"/>
      <w:bookmarkStart w:id="416" w:name="_Toc4760"/>
      <w:bookmarkStart w:id="417" w:name="_Toc8772"/>
      <w:bookmarkStart w:id="418" w:name="_Toc31421"/>
      <w:bookmarkStart w:id="419" w:name="_Toc3625"/>
      <w:r>
        <w:rPr>
          <w:rFonts w:hint="eastAsia" w:ascii="宋体" w:hAnsi="宋体" w:cs="宋体"/>
          <w:b/>
          <w:color w:val="auto"/>
          <w:sz w:val="24"/>
          <w:highlight w:val="none"/>
        </w:rPr>
        <w:t>1.5 履行期限、地点和方式</w:t>
      </w:r>
      <w:bookmarkEnd w:id="415"/>
      <w:bookmarkEnd w:id="416"/>
      <w:bookmarkEnd w:id="417"/>
      <w:bookmarkEnd w:id="418"/>
      <w:bookmarkEnd w:id="419"/>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履行期限：</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履行地点：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履行方式：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color w:val="auto"/>
          <w:sz w:val="24"/>
          <w:highlight w:val="none"/>
          <w:u w:val="single"/>
        </w:rPr>
      </w:pPr>
      <w:bookmarkStart w:id="420" w:name="_Toc2375"/>
      <w:bookmarkStart w:id="421" w:name="_Toc24662"/>
      <w:bookmarkStart w:id="422" w:name="_Toc5698"/>
      <w:bookmarkStart w:id="423" w:name="_Toc3079"/>
      <w:bookmarkStart w:id="424" w:name="_Toc8586"/>
      <w:r>
        <w:rPr>
          <w:rFonts w:hint="eastAsia" w:ascii="宋体" w:hAnsi="宋体" w:cs="宋体"/>
          <w:b/>
          <w:color w:val="auto"/>
          <w:sz w:val="24"/>
          <w:highlight w:val="none"/>
        </w:rPr>
        <w:t>1.6 违约责任</w:t>
      </w:r>
      <w:bookmarkEnd w:id="420"/>
      <w:bookmarkEnd w:id="421"/>
      <w:bookmarkEnd w:id="422"/>
      <w:bookmarkEnd w:id="423"/>
      <w:bookmarkEnd w:id="42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25" w:name="_Toc30329"/>
      <w:bookmarkStart w:id="426" w:name="_Toc32454"/>
      <w:bookmarkStart w:id="427" w:name="_Toc18683"/>
      <w:bookmarkStart w:id="428" w:name="_Toc26807"/>
      <w:bookmarkStart w:id="429" w:name="_Toc9497"/>
      <w:r>
        <w:rPr>
          <w:rFonts w:hint="eastAsia" w:ascii="宋体" w:hAnsi="宋体" w:cs="宋体"/>
          <w:b/>
          <w:color w:val="auto"/>
          <w:sz w:val="24"/>
          <w:highlight w:val="none"/>
        </w:rPr>
        <w:t>1.7 合同争议的解决</w:t>
      </w:r>
      <w:bookmarkEnd w:id="425"/>
      <w:bookmarkEnd w:id="426"/>
      <w:bookmarkEnd w:id="427"/>
      <w:bookmarkEnd w:id="428"/>
      <w:bookmarkEnd w:id="42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241" w:firstLineChars="100"/>
        <w:outlineLvl w:val="0"/>
        <w:rPr>
          <w:rFonts w:ascii="宋体" w:hAnsi="宋体" w:cs="宋体"/>
          <w:b/>
          <w:color w:val="auto"/>
          <w:sz w:val="24"/>
          <w:highlight w:val="none"/>
        </w:rPr>
      </w:pPr>
      <w:bookmarkStart w:id="430" w:name="_Toc26227"/>
      <w:bookmarkStart w:id="431" w:name="_Toc23784"/>
      <w:bookmarkStart w:id="432" w:name="_Toc15827"/>
      <w:bookmarkStart w:id="433" w:name="_Toc12273"/>
      <w:bookmarkStart w:id="434" w:name="_Toc16417"/>
      <w:r>
        <w:rPr>
          <w:rFonts w:hint="eastAsia" w:ascii="宋体" w:hAnsi="宋体" w:cs="宋体"/>
          <w:b/>
          <w:color w:val="auto"/>
          <w:sz w:val="24"/>
          <w:highlight w:val="none"/>
        </w:rPr>
        <w:t>1.8 合同生效</w:t>
      </w:r>
      <w:bookmarkEnd w:id="430"/>
      <w:bookmarkEnd w:id="431"/>
      <w:bookmarkEnd w:id="432"/>
      <w:bookmarkEnd w:id="433"/>
      <w:bookmarkEnd w:id="434"/>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560" w:lineRule="exact"/>
        <w:jc w:val="left"/>
        <w:rPr>
          <w:rFonts w:ascii="宋体" w:hAnsi="宋体" w:cs="宋体"/>
          <w:b/>
          <w:color w:val="auto"/>
          <w:sz w:val="24"/>
          <w:highlight w:val="none"/>
        </w:rPr>
      </w:pPr>
    </w:p>
    <w:p>
      <w:pPr>
        <w:widowControl/>
        <w:adjustRightInd/>
        <w:jc w:val="left"/>
        <w:rPr>
          <w:rFonts w:ascii="宋体" w:hAnsi="宋体" w:cs="宋体"/>
          <w:b/>
          <w:color w:val="auto"/>
          <w:sz w:val="24"/>
          <w:highlight w:val="none"/>
        </w:rPr>
      </w:pPr>
      <w:r>
        <w:rPr>
          <w:rFonts w:hint="eastAsia" w:ascii="宋体" w:hAnsi="宋体" w:cs="宋体"/>
          <w:b/>
          <w:color w:val="auto"/>
          <w:highlight w:val="none"/>
        </w:rPr>
        <w:br w:type="page"/>
      </w:r>
    </w:p>
    <w:p>
      <w:pPr>
        <w:pStyle w:val="384"/>
        <w:spacing w:line="560" w:lineRule="exact"/>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第二部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合同一般条款</w:t>
      </w:r>
    </w:p>
    <w:p>
      <w:pPr>
        <w:spacing w:line="560" w:lineRule="exact"/>
        <w:ind w:firstLine="482" w:firstLineChars="200"/>
        <w:outlineLvl w:val="0"/>
        <w:rPr>
          <w:rFonts w:ascii="宋体" w:hAnsi="宋体" w:cs="宋体"/>
          <w:b/>
          <w:color w:val="auto"/>
          <w:sz w:val="24"/>
          <w:highlight w:val="none"/>
        </w:rPr>
      </w:pPr>
      <w:bookmarkStart w:id="435" w:name="_Toc31297"/>
      <w:bookmarkStart w:id="436" w:name="_Toc5228"/>
      <w:bookmarkStart w:id="437" w:name="_Toc14021"/>
      <w:bookmarkStart w:id="438" w:name="_Toc25079"/>
      <w:bookmarkStart w:id="439" w:name="_Toc19680"/>
      <w:r>
        <w:rPr>
          <w:rFonts w:hint="eastAsia" w:ascii="宋体" w:hAnsi="宋体" w:cs="宋体"/>
          <w:b/>
          <w:color w:val="auto"/>
          <w:sz w:val="24"/>
          <w:highlight w:val="none"/>
        </w:rPr>
        <w:t>2.1 定义</w:t>
      </w:r>
      <w:bookmarkEnd w:id="435"/>
      <w:bookmarkEnd w:id="436"/>
      <w:bookmarkEnd w:id="437"/>
      <w:bookmarkEnd w:id="438"/>
      <w:bookmarkEnd w:id="43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560" w:lineRule="exact"/>
        <w:ind w:firstLine="482" w:firstLineChars="200"/>
        <w:outlineLvl w:val="0"/>
        <w:rPr>
          <w:rFonts w:ascii="宋体" w:hAnsi="宋体" w:cs="宋体"/>
          <w:b/>
          <w:color w:val="auto"/>
          <w:sz w:val="24"/>
          <w:highlight w:val="none"/>
        </w:rPr>
      </w:pPr>
      <w:bookmarkStart w:id="440" w:name="_Toc19539"/>
      <w:bookmarkStart w:id="441" w:name="_Toc16752"/>
      <w:bookmarkStart w:id="442" w:name="_Toc31402"/>
      <w:bookmarkStart w:id="443" w:name="_Toc3769"/>
      <w:bookmarkStart w:id="444" w:name="_Toc23289"/>
      <w:r>
        <w:rPr>
          <w:rFonts w:hint="eastAsia" w:ascii="宋体" w:hAnsi="宋体" w:cs="宋体"/>
          <w:b/>
          <w:color w:val="auto"/>
          <w:sz w:val="24"/>
          <w:highlight w:val="none"/>
        </w:rPr>
        <w:t>2.2 技术规范</w:t>
      </w:r>
      <w:bookmarkEnd w:id="440"/>
      <w:bookmarkEnd w:id="441"/>
      <w:bookmarkEnd w:id="442"/>
      <w:bookmarkEnd w:id="443"/>
      <w:bookmarkEnd w:id="44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规定的技术规范和技术规范附件</w:t>
      </w:r>
      <w:r>
        <w:rPr>
          <w:rFonts w:hint="eastAsia" w:ascii="宋体" w:hAnsi="宋体" w:cs="宋体"/>
          <w:color w:val="auto"/>
          <w:sz w:val="24"/>
          <w:highlight w:val="none"/>
          <w:lang w:eastAsia="zh-CN"/>
        </w:rPr>
        <w:t>（</w:t>
      </w:r>
      <w:r>
        <w:rPr>
          <w:rFonts w:hint="eastAsia" w:ascii="宋体" w:hAnsi="宋体" w:cs="宋体"/>
          <w:color w:val="auto"/>
          <w:sz w:val="24"/>
          <w:highlight w:val="none"/>
        </w:rPr>
        <w:t>如果有的话</w:t>
      </w:r>
      <w:r>
        <w:rPr>
          <w:rFonts w:hint="eastAsia" w:ascii="宋体" w:hAnsi="宋体" w:cs="宋体"/>
          <w:color w:val="auto"/>
          <w:sz w:val="24"/>
          <w:highlight w:val="none"/>
          <w:lang w:eastAsia="zh-CN"/>
        </w:rPr>
        <w:t>）</w:t>
      </w:r>
      <w:r>
        <w:rPr>
          <w:rFonts w:hint="eastAsia" w:ascii="宋体" w:hAnsi="宋体" w:cs="宋体"/>
          <w:color w:val="auto"/>
          <w:sz w:val="24"/>
          <w:highlight w:val="none"/>
        </w:rPr>
        <w:t>及其技术规范偏差表</w:t>
      </w:r>
      <w:r>
        <w:rPr>
          <w:rFonts w:hint="eastAsia" w:ascii="宋体" w:hAnsi="宋体" w:cs="宋体"/>
          <w:color w:val="auto"/>
          <w:sz w:val="24"/>
          <w:highlight w:val="none"/>
          <w:lang w:eastAsia="zh-CN"/>
        </w:rPr>
        <w:t>（</w:t>
      </w:r>
      <w:r>
        <w:rPr>
          <w:rFonts w:hint="eastAsia" w:ascii="宋体" w:hAnsi="宋体" w:cs="宋体"/>
          <w:color w:val="auto"/>
          <w:sz w:val="24"/>
          <w:highlight w:val="none"/>
        </w:rPr>
        <w:t>如果被甲方接受的话</w:t>
      </w:r>
      <w:r>
        <w:rPr>
          <w:rFonts w:hint="eastAsia" w:ascii="宋体" w:hAnsi="宋体" w:cs="宋体"/>
          <w:color w:val="auto"/>
          <w:sz w:val="24"/>
          <w:highlight w:val="none"/>
          <w:lang w:eastAsia="zh-CN"/>
        </w:rPr>
        <w:t>）</w:t>
      </w:r>
      <w:r>
        <w:rPr>
          <w:rFonts w:hint="eastAsia" w:ascii="宋体" w:hAnsi="宋体" w:cs="宋体"/>
          <w:color w:val="auto"/>
          <w:sz w:val="24"/>
          <w:highlight w:val="none"/>
        </w:rPr>
        <w:t>相一致；如果</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5" w:name="_Toc4133"/>
      <w:bookmarkStart w:id="446" w:name="_Toc9161"/>
      <w:bookmarkStart w:id="447" w:name="_Toc12412"/>
      <w:bookmarkStart w:id="448" w:name="_Toc13673"/>
      <w:bookmarkStart w:id="449" w:name="_Toc27945"/>
      <w:r>
        <w:rPr>
          <w:rFonts w:hint="eastAsia" w:ascii="宋体" w:hAnsi="宋体" w:cs="宋体"/>
          <w:b/>
          <w:color w:val="auto"/>
          <w:sz w:val="24"/>
          <w:highlight w:val="none"/>
        </w:rPr>
        <w:t>2.3 知识产权</w:t>
      </w:r>
      <w:bookmarkEnd w:id="445"/>
      <w:bookmarkEnd w:id="446"/>
      <w:bookmarkEnd w:id="447"/>
      <w:bookmarkEnd w:id="448"/>
      <w:bookmarkEnd w:id="44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合同涉及技术成果的归属和收益的分成办法的，详见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cs="宋体"/>
          <w:b/>
          <w:color w:val="auto"/>
          <w:sz w:val="24"/>
          <w:highlight w:val="none"/>
        </w:rPr>
      </w:pPr>
      <w:bookmarkStart w:id="450" w:name="_Toc13154"/>
      <w:bookmarkStart w:id="451" w:name="_Toc18990"/>
      <w:bookmarkStart w:id="452" w:name="_Toc13467"/>
      <w:bookmarkStart w:id="453" w:name="_Toc16163"/>
      <w:bookmarkStart w:id="454" w:name="_Toc3050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技术资料和保密义务</w:t>
      </w:r>
      <w:bookmarkEnd w:id="450"/>
      <w:bookmarkEnd w:id="451"/>
      <w:bookmarkEnd w:id="452"/>
      <w:bookmarkEnd w:id="453"/>
      <w:bookmarkEnd w:id="45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55" w:name="_Toc19069"/>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质量保证</w:t>
      </w:r>
      <w:bookmarkEnd w:id="45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56" w:name="_Toc2226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延迟履行</w:t>
      </w:r>
      <w:bookmarkEnd w:id="45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color w:val="auto"/>
          <w:sz w:val="24"/>
          <w:highlight w:val="none"/>
        </w:rPr>
      </w:pPr>
      <w:bookmarkStart w:id="457" w:name="_Toc10611"/>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 xml:space="preserve"> 合同变更</w:t>
      </w:r>
      <w:bookmarkEnd w:id="45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58" w:name="_Toc10663"/>
      <w:bookmarkStart w:id="459" w:name="_Toc21830"/>
      <w:bookmarkStart w:id="460" w:name="_Toc26689"/>
      <w:bookmarkStart w:id="461" w:name="_Toc23368"/>
      <w:bookmarkStart w:id="462" w:name="_Toc42"/>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 xml:space="preserve"> 合同转让和分包</w:t>
      </w:r>
      <w:bookmarkEnd w:id="458"/>
      <w:bookmarkEnd w:id="459"/>
      <w:bookmarkEnd w:id="460"/>
      <w:bookmarkEnd w:id="461"/>
      <w:bookmarkEnd w:id="46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color w:val="auto"/>
          <w:sz w:val="24"/>
          <w:highlight w:val="none"/>
        </w:rPr>
      </w:pPr>
      <w:bookmarkStart w:id="463" w:name="_Toc14371"/>
      <w:bookmarkStart w:id="464" w:name="_Toc26633"/>
      <w:bookmarkStart w:id="465" w:name="_Toc25571"/>
      <w:bookmarkStart w:id="466" w:name="_Toc4720"/>
      <w:bookmarkStart w:id="467" w:name="_Toc32494"/>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 xml:space="preserve"> 不可抗力</w:t>
      </w:r>
      <w:bookmarkEnd w:id="463"/>
      <w:bookmarkEnd w:id="464"/>
      <w:bookmarkEnd w:id="465"/>
      <w:bookmarkEnd w:id="466"/>
      <w:bookmarkEnd w:id="46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468" w:name="_Toc23854"/>
      <w:bookmarkStart w:id="469" w:name="_Toc24465"/>
      <w:bookmarkStart w:id="470" w:name="_Toc25783"/>
      <w:bookmarkStart w:id="471" w:name="_Toc14115"/>
      <w:bookmarkStart w:id="472" w:name="_Toc3638"/>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 xml:space="preserve"> 税费</w:t>
      </w:r>
      <w:bookmarkEnd w:id="468"/>
      <w:bookmarkEnd w:id="469"/>
      <w:bookmarkEnd w:id="470"/>
      <w:bookmarkEnd w:id="471"/>
      <w:bookmarkEnd w:id="47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560" w:lineRule="exact"/>
        <w:ind w:firstLine="482" w:firstLineChars="200"/>
        <w:outlineLvl w:val="0"/>
        <w:rPr>
          <w:rFonts w:ascii="宋体" w:hAnsi="宋体" w:cs="宋体"/>
          <w:b/>
          <w:color w:val="auto"/>
          <w:sz w:val="24"/>
          <w:highlight w:val="none"/>
        </w:rPr>
      </w:pPr>
      <w:bookmarkStart w:id="473" w:name="_Toc25525"/>
      <w:bookmarkStart w:id="474" w:name="_Toc26883"/>
      <w:bookmarkStart w:id="475" w:name="_Toc14814"/>
      <w:bookmarkStart w:id="476" w:name="_Toc7315"/>
      <w:bookmarkStart w:id="477" w:name="_Toc3010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乙方破产</w:t>
      </w:r>
      <w:bookmarkEnd w:id="473"/>
      <w:bookmarkEnd w:id="474"/>
      <w:bookmarkEnd w:id="475"/>
      <w:bookmarkEnd w:id="476"/>
      <w:bookmarkEnd w:id="47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478" w:name="_Toc1123"/>
      <w:bookmarkStart w:id="479" w:name="_Toc2016"/>
      <w:bookmarkStart w:id="480" w:name="_Toc2332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 xml:space="preserve"> 合同中止、终止</w:t>
      </w:r>
      <w:bookmarkEnd w:id="478"/>
      <w:bookmarkEnd w:id="479"/>
      <w:bookmarkEnd w:id="48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81" w:name="_Toc1969"/>
      <w:bookmarkStart w:id="482" w:name="_Toc17363"/>
      <w:bookmarkStart w:id="483" w:name="_Toc1452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xml:space="preserve"> 检验和验收</w:t>
      </w:r>
      <w:bookmarkEnd w:id="481"/>
      <w:bookmarkEnd w:id="482"/>
      <w:bookmarkEnd w:id="483"/>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乙方按照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的约定，定期提交服务报告，甲方按照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的约定进行定期验收；</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4" w:name="_Toc25198"/>
      <w:bookmarkStart w:id="485" w:name="_Toc9808"/>
      <w:bookmarkStart w:id="486" w:name="_Toc2308"/>
      <w:bookmarkStart w:id="487" w:name="_Toc31892"/>
      <w:bookmarkStart w:id="488" w:name="_Toc12666"/>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通知和送达</w:t>
      </w:r>
      <w:bookmarkEnd w:id="484"/>
      <w:bookmarkEnd w:id="485"/>
      <w:bookmarkEnd w:id="486"/>
      <w:bookmarkEnd w:id="487"/>
      <w:bookmarkEnd w:id="488"/>
    </w:p>
    <w:p>
      <w:pPr>
        <w:spacing w:line="560" w:lineRule="exact"/>
        <w:ind w:firstLine="480" w:firstLineChars="200"/>
        <w:rPr>
          <w:rFonts w:ascii="宋体" w:hAnsi="宋体" w:cs="宋体"/>
          <w:color w:val="auto"/>
          <w:sz w:val="24"/>
          <w:highlight w:val="none"/>
        </w:rPr>
      </w:pPr>
      <w:bookmarkStart w:id="489" w:name="_Toc27674"/>
      <w:bookmarkStart w:id="490" w:name="_Toc18401"/>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9"/>
      <w:bookmarkEnd w:id="490"/>
    </w:p>
    <w:p>
      <w:pPr>
        <w:spacing w:line="560" w:lineRule="exact"/>
        <w:ind w:firstLine="482" w:firstLineChars="200"/>
        <w:outlineLvl w:val="0"/>
        <w:rPr>
          <w:rFonts w:ascii="宋体" w:hAnsi="宋体" w:cs="宋体"/>
          <w:b/>
          <w:color w:val="auto"/>
          <w:sz w:val="24"/>
          <w:highlight w:val="none"/>
        </w:rPr>
      </w:pPr>
      <w:bookmarkStart w:id="491" w:name="_Toc28906"/>
      <w:bookmarkStart w:id="492" w:name="_Toc12254"/>
      <w:bookmarkStart w:id="493" w:name="_Toc20808"/>
      <w:bookmarkStart w:id="494" w:name="_Toc27644"/>
      <w:bookmarkStart w:id="495" w:name="_Toc506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合同使用的文字和适用的法律</w:t>
      </w:r>
      <w:bookmarkEnd w:id="491"/>
      <w:bookmarkEnd w:id="492"/>
      <w:bookmarkEnd w:id="493"/>
      <w:bookmarkEnd w:id="494"/>
      <w:bookmarkEnd w:id="49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合同适用中华人民共和国法律。</w:t>
      </w:r>
    </w:p>
    <w:p>
      <w:pPr>
        <w:spacing w:line="560" w:lineRule="exact"/>
        <w:ind w:firstLine="482" w:firstLineChars="200"/>
        <w:outlineLvl w:val="0"/>
        <w:rPr>
          <w:rFonts w:ascii="宋体" w:hAnsi="宋体" w:cs="宋体"/>
          <w:b/>
          <w:color w:val="auto"/>
          <w:sz w:val="24"/>
          <w:highlight w:val="none"/>
        </w:rPr>
      </w:pPr>
      <w:bookmarkStart w:id="496" w:name="_Toc27403"/>
      <w:bookmarkStart w:id="497" w:name="_Toc30096"/>
      <w:bookmarkStart w:id="498" w:name="_Toc22266"/>
      <w:bookmarkStart w:id="499" w:name="_Toc27127"/>
      <w:bookmarkStart w:id="500" w:name="_Toc1492"/>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履约保证金</w:t>
      </w:r>
      <w:bookmarkEnd w:id="496"/>
      <w:bookmarkEnd w:id="497"/>
      <w:bookmarkEnd w:id="498"/>
      <w:bookmarkEnd w:id="499"/>
      <w:bookmarkEnd w:id="500"/>
    </w:p>
    <w:p>
      <w:pPr>
        <w:pStyle w:val="616"/>
        <w:spacing w:before="0" w:beforeAutospacing="0" w:after="0" w:afterAutospacing="0" w:line="360" w:lineRule="auto"/>
        <w:ind w:firstLine="420"/>
        <w:rPr>
          <w:color w:val="auto"/>
          <w:highlight w:val="none"/>
        </w:rPr>
      </w:pPr>
      <w:r>
        <w:rPr>
          <w:rFonts w:hint="eastAsia"/>
          <w:color w:val="auto"/>
          <w:highlight w:val="none"/>
        </w:rPr>
        <w:t>2.1</w:t>
      </w:r>
      <w:r>
        <w:rPr>
          <w:rFonts w:hint="eastAsia"/>
          <w:color w:val="auto"/>
          <w:highlight w:val="none"/>
          <w:lang w:val="en-US" w:eastAsia="zh-CN"/>
        </w:rPr>
        <w:t>7</w:t>
      </w:r>
      <w:r>
        <w:rPr>
          <w:rFonts w:hint="eastAsia"/>
          <w:color w:val="auto"/>
          <w:highlight w:val="none"/>
        </w:rPr>
        <w:t xml:space="preserve">.1 </w:t>
      </w:r>
      <w:r>
        <w:rPr>
          <w:rFonts w:hint="eastAsia"/>
          <w:color w:val="auto"/>
          <w:highlight w:val="none"/>
          <w:lang w:eastAsia="zh-CN"/>
        </w:rPr>
        <w:t>招标文件</w:t>
      </w:r>
      <w:r>
        <w:rPr>
          <w:rFonts w:hint="eastAsia"/>
          <w:color w:val="auto"/>
          <w:highlight w:val="none"/>
        </w:rPr>
        <w:t>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  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2.1</w:t>
      </w:r>
      <w:r>
        <w:rPr>
          <w:rFonts w:hint="eastAsia" w:ascii="宋体" w:hAnsi="宋体" w:cs="宋体"/>
          <w:b/>
          <w:bCs/>
          <w:color w:val="auto"/>
          <w:sz w:val="24"/>
          <w:highlight w:val="none"/>
          <w:lang w:val="en-US" w:eastAsia="zh-CN"/>
        </w:rPr>
        <w:t>8</w:t>
      </w:r>
      <w:r>
        <w:rPr>
          <w:rFonts w:hint="eastAsia" w:ascii="宋体" w:hAnsi="宋体" w:cs="宋体"/>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1" w:name="_Toc331685784"/>
      <w:r>
        <w:rPr>
          <w:rFonts w:hint="eastAsia" w:ascii="宋体" w:hAnsi="宋体" w:cs="宋体"/>
          <w:b/>
          <w:color w:val="auto"/>
          <w:sz w:val="24"/>
          <w:highlight w:val="none"/>
        </w:rPr>
        <w:t xml:space="preserve"> </w:t>
      </w:r>
      <w:bookmarkEnd w:id="501"/>
      <w:r>
        <w:rPr>
          <w:rFonts w:hint="eastAsia" w:ascii="宋体" w:hAnsi="宋体" w:cs="宋体"/>
          <w:b/>
          <w:color w:val="auto"/>
          <w:sz w:val="24"/>
          <w:highlight w:val="none"/>
        </w:rPr>
        <w:t>第三部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 xml:space="preserve">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1.4.4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highlight w:val="none"/>
                <w:shd w:val="clear" w:color="040000" w:fill="FFFFFF"/>
                <w:lang w:eastAsia="zh-CN"/>
              </w:rPr>
            </w:pPr>
            <w:r>
              <w:rPr>
                <w:rFonts w:hint="eastAsia" w:ascii="新宋体" w:hAnsi="新宋体" w:eastAsia="新宋体" w:cs="新宋体"/>
                <w:color w:val="auto"/>
                <w:sz w:val="24"/>
                <w:highlight w:val="none"/>
                <w:shd w:val="clear" w:color="040000" w:fill="FFFFFF"/>
              </w:rPr>
              <w:t>采购人自合同签订后</w:t>
            </w:r>
            <w:r>
              <w:rPr>
                <w:rFonts w:hint="eastAsia" w:ascii="新宋体" w:hAnsi="新宋体" w:eastAsia="新宋体" w:cs="新宋体"/>
                <w:color w:val="auto"/>
                <w:sz w:val="24"/>
                <w:highlight w:val="none"/>
                <w:shd w:val="clear" w:color="040000" w:fill="FFFFFF"/>
                <w:lang w:val="en-US" w:eastAsia="zh-CN"/>
              </w:rPr>
              <w:t>每三个月</w:t>
            </w:r>
            <w:r>
              <w:rPr>
                <w:rFonts w:hint="eastAsia" w:ascii="新宋体" w:hAnsi="新宋体" w:eastAsia="新宋体" w:cs="新宋体"/>
                <w:color w:val="auto"/>
                <w:sz w:val="24"/>
                <w:highlight w:val="none"/>
                <w:shd w:val="clear" w:color="040000" w:fill="FFFFFF"/>
              </w:rPr>
              <w:t>经考核合格后支付年合同价的25%</w:t>
            </w:r>
            <w:r>
              <w:rPr>
                <w:rFonts w:hint="eastAsia" w:ascii="新宋体" w:hAnsi="新宋体" w:eastAsia="新宋体" w:cs="新宋体"/>
                <w:color w:val="auto"/>
                <w:sz w:val="24"/>
                <w:highlight w:val="none"/>
                <w:shd w:val="clear" w:color="040000" w:fill="FFFFFF"/>
                <w:lang w:eastAsia="zh-CN"/>
              </w:rPr>
              <w:t>。</w:t>
            </w:r>
          </w:p>
          <w:p>
            <w:pPr>
              <w:spacing w:line="360" w:lineRule="auto"/>
              <w:rPr>
                <w:rFonts w:hint="eastAsia"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考核分≥</w:t>
            </w:r>
            <w:r>
              <w:rPr>
                <w:rFonts w:hint="eastAsia" w:ascii="新宋体" w:hAnsi="新宋体" w:eastAsia="新宋体" w:cs="新宋体"/>
                <w:color w:val="auto"/>
                <w:sz w:val="24"/>
                <w:highlight w:val="none"/>
                <w:shd w:val="clear" w:color="040000" w:fill="FFFFFF"/>
                <w:lang w:val="en-US" w:eastAsia="zh-CN"/>
              </w:rPr>
              <w:t>90</w:t>
            </w:r>
            <w:r>
              <w:rPr>
                <w:rFonts w:hint="eastAsia" w:ascii="新宋体" w:hAnsi="新宋体" w:eastAsia="新宋体" w:cs="新宋体"/>
                <w:color w:val="auto"/>
                <w:sz w:val="24"/>
                <w:highlight w:val="none"/>
                <w:shd w:val="clear" w:color="040000" w:fill="FFFFFF"/>
              </w:rPr>
              <w:t>分</w:t>
            </w:r>
            <w:r>
              <w:rPr>
                <w:rFonts w:hint="eastAsia" w:ascii="新宋体" w:hAnsi="新宋体" w:eastAsia="新宋体" w:cs="新宋体"/>
                <w:color w:val="auto"/>
                <w:sz w:val="24"/>
                <w:highlight w:val="none"/>
                <w:shd w:val="clear" w:color="040000" w:fill="FFFFFF"/>
                <w:lang w:eastAsia="zh-CN"/>
              </w:rPr>
              <w:t>，</w:t>
            </w:r>
            <w:r>
              <w:rPr>
                <w:rFonts w:hint="eastAsia" w:ascii="新宋体" w:hAnsi="新宋体" w:eastAsia="新宋体" w:cs="新宋体"/>
                <w:color w:val="auto"/>
                <w:sz w:val="24"/>
                <w:highlight w:val="none"/>
                <w:shd w:val="clear" w:color="040000" w:fill="FFFFFF"/>
              </w:rPr>
              <w:t>视为优秀，全额拨付当期物业服务费用。</w:t>
            </w:r>
          </w:p>
          <w:p>
            <w:pPr>
              <w:spacing w:line="360" w:lineRule="auto"/>
              <w:rPr>
                <w:rFonts w:hint="eastAsia"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lang w:val="en-US" w:eastAsia="zh-CN"/>
              </w:rPr>
              <w:t>80</w:t>
            </w:r>
            <w:r>
              <w:rPr>
                <w:rFonts w:hint="eastAsia" w:ascii="新宋体" w:hAnsi="新宋体" w:eastAsia="新宋体" w:cs="新宋体"/>
                <w:color w:val="auto"/>
                <w:sz w:val="24"/>
                <w:highlight w:val="none"/>
                <w:shd w:val="clear" w:color="040000" w:fill="FFFFFF"/>
              </w:rPr>
              <w:t>≤考核分＜</w:t>
            </w:r>
            <w:r>
              <w:rPr>
                <w:rFonts w:hint="eastAsia" w:ascii="新宋体" w:hAnsi="新宋体" w:eastAsia="新宋体" w:cs="新宋体"/>
                <w:color w:val="auto"/>
                <w:sz w:val="24"/>
                <w:highlight w:val="none"/>
                <w:shd w:val="clear" w:color="040000" w:fill="FFFFFF"/>
                <w:lang w:val="en-US" w:eastAsia="zh-CN"/>
              </w:rPr>
              <w:t>9</w:t>
            </w:r>
            <w:r>
              <w:rPr>
                <w:rFonts w:hint="eastAsia" w:ascii="新宋体" w:hAnsi="新宋体" w:eastAsia="新宋体" w:cs="新宋体"/>
                <w:color w:val="auto"/>
                <w:sz w:val="24"/>
                <w:highlight w:val="none"/>
                <w:shd w:val="clear" w:color="040000" w:fill="FFFFFF"/>
              </w:rPr>
              <w:t>0分</w:t>
            </w:r>
            <w:r>
              <w:rPr>
                <w:rFonts w:hint="eastAsia" w:ascii="新宋体" w:hAnsi="新宋体" w:eastAsia="新宋体" w:cs="新宋体"/>
                <w:color w:val="auto"/>
                <w:sz w:val="24"/>
                <w:highlight w:val="none"/>
                <w:shd w:val="clear" w:color="040000" w:fill="FFFFFF"/>
                <w:lang w:eastAsia="zh-CN"/>
              </w:rPr>
              <w:t>，</w:t>
            </w:r>
            <w:r>
              <w:rPr>
                <w:rFonts w:hint="eastAsia" w:ascii="新宋体" w:hAnsi="新宋体" w:eastAsia="新宋体" w:cs="新宋体"/>
                <w:color w:val="auto"/>
                <w:sz w:val="24"/>
                <w:highlight w:val="none"/>
                <w:shd w:val="clear" w:color="040000" w:fill="FFFFFF"/>
              </w:rPr>
              <w:t>视为良好，扣除当期物业服务费用的2%；</w:t>
            </w:r>
          </w:p>
          <w:p>
            <w:pPr>
              <w:spacing w:line="360" w:lineRule="auto"/>
              <w:rPr>
                <w:rFonts w:hint="eastAsia"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lang w:val="en-US" w:eastAsia="zh-CN"/>
              </w:rPr>
              <w:t>70</w:t>
            </w:r>
            <w:r>
              <w:rPr>
                <w:rFonts w:hint="eastAsia" w:ascii="新宋体" w:hAnsi="新宋体" w:eastAsia="新宋体" w:cs="新宋体"/>
                <w:color w:val="auto"/>
                <w:sz w:val="24"/>
                <w:highlight w:val="none"/>
                <w:shd w:val="clear" w:color="040000" w:fill="FFFFFF"/>
              </w:rPr>
              <w:t>≤考核分＜</w:t>
            </w:r>
            <w:r>
              <w:rPr>
                <w:rFonts w:hint="eastAsia" w:ascii="新宋体" w:hAnsi="新宋体" w:eastAsia="新宋体" w:cs="新宋体"/>
                <w:color w:val="auto"/>
                <w:sz w:val="24"/>
                <w:highlight w:val="none"/>
                <w:shd w:val="clear" w:color="040000" w:fill="FFFFFF"/>
                <w:lang w:val="en-US" w:eastAsia="zh-CN"/>
              </w:rPr>
              <w:t>80</w:t>
            </w:r>
            <w:r>
              <w:rPr>
                <w:rFonts w:hint="eastAsia" w:ascii="新宋体" w:hAnsi="新宋体" w:eastAsia="新宋体" w:cs="新宋体"/>
                <w:color w:val="auto"/>
                <w:sz w:val="24"/>
                <w:highlight w:val="none"/>
                <w:shd w:val="clear" w:color="040000" w:fill="FFFFFF"/>
              </w:rPr>
              <w:t>分</w:t>
            </w:r>
            <w:r>
              <w:rPr>
                <w:rFonts w:hint="eastAsia" w:ascii="新宋体" w:hAnsi="新宋体" w:eastAsia="新宋体" w:cs="新宋体"/>
                <w:color w:val="auto"/>
                <w:sz w:val="24"/>
                <w:highlight w:val="none"/>
                <w:shd w:val="clear" w:color="040000" w:fill="FFFFFF"/>
                <w:lang w:eastAsia="zh-CN"/>
              </w:rPr>
              <w:t>，</w:t>
            </w:r>
            <w:r>
              <w:rPr>
                <w:rFonts w:hint="eastAsia" w:ascii="新宋体" w:hAnsi="新宋体" w:eastAsia="新宋体" w:cs="新宋体"/>
                <w:color w:val="auto"/>
                <w:sz w:val="24"/>
                <w:highlight w:val="none"/>
                <w:shd w:val="clear" w:color="040000" w:fill="FFFFFF"/>
              </w:rPr>
              <w:t>视为合格，扣除当期物业服务费用的5%；</w:t>
            </w:r>
          </w:p>
          <w:p>
            <w:pPr>
              <w:spacing w:line="360" w:lineRule="auto"/>
              <w:rPr>
                <w:rFonts w:hint="eastAsia" w:ascii="新宋体" w:hAnsi="新宋体" w:eastAsia="新宋体" w:cs="新宋体"/>
                <w:color w:val="auto"/>
                <w:sz w:val="24"/>
                <w:highlight w:val="none"/>
                <w:shd w:val="clear" w:color="040000" w:fill="FFFFFF"/>
                <w:lang w:eastAsia="zh-CN"/>
              </w:rPr>
            </w:pPr>
            <w:r>
              <w:rPr>
                <w:rFonts w:hint="eastAsia" w:ascii="新宋体" w:hAnsi="新宋体" w:eastAsia="新宋体" w:cs="新宋体"/>
                <w:color w:val="auto"/>
                <w:sz w:val="24"/>
                <w:highlight w:val="none"/>
                <w:shd w:val="clear" w:color="040000" w:fill="FFFFFF"/>
              </w:rPr>
              <w:t>考核分＜7</w:t>
            </w:r>
            <w:r>
              <w:rPr>
                <w:rFonts w:hint="eastAsia" w:ascii="新宋体" w:hAnsi="新宋体" w:eastAsia="新宋体" w:cs="新宋体"/>
                <w:color w:val="auto"/>
                <w:sz w:val="24"/>
                <w:highlight w:val="none"/>
                <w:shd w:val="clear" w:color="040000" w:fill="FFFFFF"/>
                <w:lang w:val="en-US" w:eastAsia="zh-CN"/>
              </w:rPr>
              <w:t>0</w:t>
            </w:r>
            <w:r>
              <w:rPr>
                <w:rFonts w:hint="eastAsia" w:ascii="新宋体" w:hAnsi="新宋体" w:eastAsia="新宋体" w:cs="新宋体"/>
                <w:color w:val="auto"/>
                <w:sz w:val="24"/>
                <w:highlight w:val="none"/>
                <w:shd w:val="clear" w:color="040000" w:fill="FFFFFF"/>
              </w:rPr>
              <w:t>分视为不合格，扣除当期物业服务费用的10%。如在考核中中标人连续二次考核分＜</w:t>
            </w:r>
            <w:r>
              <w:rPr>
                <w:rFonts w:hint="eastAsia" w:ascii="新宋体" w:hAnsi="新宋体" w:eastAsia="新宋体" w:cs="新宋体"/>
                <w:color w:val="auto"/>
                <w:sz w:val="24"/>
                <w:highlight w:val="none"/>
                <w:shd w:val="clear" w:color="040000" w:fill="FFFFFF"/>
                <w:lang w:val="en-US" w:eastAsia="zh-CN"/>
              </w:rPr>
              <w:t>70</w:t>
            </w:r>
            <w:r>
              <w:rPr>
                <w:rFonts w:hint="eastAsia" w:ascii="新宋体" w:hAnsi="新宋体" w:eastAsia="新宋体" w:cs="新宋体"/>
                <w:color w:val="auto"/>
                <w:sz w:val="24"/>
                <w:highlight w:val="none"/>
                <w:shd w:val="clear" w:color="040000" w:fill="FFFFFF"/>
              </w:rPr>
              <w:t>分，采购人将通知中标人解除物业服务合同。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shd w:val="clear" w:color="040000" w:fill="FFFFFF"/>
                <w:lang w:val="en-US" w:eastAsia="zh-CN"/>
              </w:rPr>
              <w:t>服务期为</w:t>
            </w:r>
            <w:r>
              <w:rPr>
                <w:rFonts w:hint="eastAsia" w:ascii="新宋体" w:hAnsi="新宋体" w:eastAsia="新宋体" w:cs="新宋体"/>
                <w:color w:val="auto"/>
                <w:sz w:val="24"/>
                <w:highlight w:val="none"/>
                <w:shd w:val="clear" w:color="040000" w:fill="FFFFFF"/>
              </w:rPr>
              <w:t>36个月，合同一年一签。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17</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 w:val="0"/>
                <w:bCs w:val="0"/>
                <w:color w:val="auto"/>
                <w:sz w:val="24"/>
                <w:szCs w:val="24"/>
                <w:highlight w:val="none"/>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 w:val="0"/>
                <w:bCs/>
                <w:color w:val="auto"/>
                <w:sz w:val="24"/>
                <w:szCs w:val="24"/>
                <w:highlight w:val="none"/>
              </w:rPr>
              <w:t>2.</w:t>
            </w:r>
            <w:r>
              <w:rPr>
                <w:rFonts w:hint="eastAsia" w:ascii="新宋体" w:hAnsi="新宋体" w:eastAsia="新宋体" w:cs="新宋体"/>
                <w:b w:val="0"/>
                <w:bCs/>
                <w:color w:val="auto"/>
                <w:sz w:val="24"/>
                <w:szCs w:val="24"/>
                <w:highlight w:val="none"/>
                <w:lang w:val="en-US" w:eastAsia="zh-CN"/>
              </w:rPr>
              <w:t>19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ind w:left="-420" w:leftChars="-200" w:right="-420" w:rightChars="-200"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合同一式</w:t>
            </w:r>
            <w:r>
              <w:rPr>
                <w:rFonts w:hint="eastAsia" w:ascii="新宋体" w:hAnsi="新宋体" w:eastAsia="新宋体" w:cs="新宋体"/>
                <w:color w:val="auto"/>
                <w:sz w:val="24"/>
                <w:szCs w:val="24"/>
                <w:highlight w:val="none"/>
                <w:lang w:val="en-US" w:eastAsia="zh-CN"/>
              </w:rPr>
              <w:t>肆</w:t>
            </w:r>
            <w:r>
              <w:rPr>
                <w:rFonts w:hint="eastAsia" w:ascii="新宋体" w:hAnsi="新宋体" w:eastAsia="新宋体" w:cs="新宋体"/>
                <w:color w:val="auto"/>
                <w:sz w:val="24"/>
                <w:szCs w:val="24"/>
                <w:highlight w:val="none"/>
              </w:rPr>
              <w:t>份，</w:t>
            </w:r>
            <w:r>
              <w:rPr>
                <w:rFonts w:hint="eastAsia" w:ascii="新宋体" w:hAnsi="新宋体" w:eastAsia="新宋体" w:cs="新宋体"/>
                <w:color w:val="auto"/>
                <w:sz w:val="24"/>
                <w:szCs w:val="24"/>
                <w:highlight w:val="none"/>
                <w:lang w:eastAsia="zh-CN"/>
              </w:rPr>
              <w:t>甲乙双方各</w:t>
            </w:r>
            <w:r>
              <w:rPr>
                <w:rFonts w:hint="eastAsia" w:ascii="新宋体" w:hAnsi="新宋体" w:eastAsia="新宋体" w:cs="新宋体"/>
                <w:color w:val="auto"/>
                <w:sz w:val="24"/>
                <w:szCs w:val="24"/>
                <w:highlight w:val="none"/>
                <w:lang w:val="en-US" w:eastAsia="zh-CN"/>
              </w:rPr>
              <w:t>贰份</w:t>
            </w:r>
          </w:p>
        </w:tc>
      </w:tr>
    </w:tbl>
    <w:p>
      <w:pPr>
        <w:pStyle w:val="2"/>
        <w:rPr>
          <w:color w:val="auto"/>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2"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50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32"/>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32"/>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32"/>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32"/>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32"/>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3" w:name="OLE_LINK13"/>
      <w:bookmarkStart w:id="504" w:name="OLE_LINK14"/>
      <w:r>
        <w:rPr>
          <w:rFonts w:hint="eastAsia" w:ascii="宋体" w:hAnsi="宋体" w:cs="宋体"/>
          <w:b/>
          <w:color w:val="auto"/>
          <w:spacing w:val="6"/>
          <w:sz w:val="32"/>
          <w:szCs w:val="32"/>
          <w:highlight w:val="none"/>
        </w:rPr>
        <w:t>残疾人福利性单位声明函</w:t>
      </w:r>
    </w:p>
    <w:bookmarkEnd w:id="503"/>
    <w:bookmarkEnd w:id="50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杭州市余杭区机关事务服务中心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瓶窑市民之家物业管理服务采购项目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0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bookmarkStart w:id="512" w:name="_GoBack"/>
      <w:bookmarkEnd w:id="512"/>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瓶窑市民之家物业管理服务采购项目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瓶窑市民之家物业管理服务采购项目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8" w:name="_Toc131845147"/>
    <w:bookmarkStart w:id="509" w:name="_Toc164085800"/>
    <w:bookmarkStart w:id="510" w:name="_Toc36110187"/>
    <w:bookmarkStart w:id="511" w:name="_Toc91899912"/>
    <w:r>
      <w:rPr>
        <w:rFonts w:hint="eastAsia" w:ascii="仿宋_GB2312" w:eastAsia="仿宋_GB2312"/>
        <w:kern w:val="0"/>
        <w:szCs w:val="21"/>
      </w:rPr>
      <w:t xml:space="preserve"> 页</w:t>
    </w:r>
    <w:bookmarkEnd w:id="508"/>
    <w:bookmarkEnd w:id="509"/>
    <w:bookmarkEnd w:id="510"/>
    <w:bookmarkEnd w:id="5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rect id="文本框 3" o:spid="_x0000_s2050"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rect id="文本框 4" o:spid="_x0000_s2049" o:spt="1"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E6DC"/>
    <w:multiLevelType w:val="singleLevel"/>
    <w:tmpl w:val="6445E6DC"/>
    <w:lvl w:ilvl="0" w:tentative="0">
      <w:start w:val="4"/>
      <w:numFmt w:val="decimal"/>
      <w:suff w:val="nothing"/>
      <w:lvlText w:val="%1."/>
      <w:lvlJc w:val="left"/>
    </w:lvl>
  </w:abstractNum>
  <w:abstractNum w:abstractNumId="1">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2">
    <w:nsid w:val="65027680"/>
    <w:multiLevelType w:val="singleLevel"/>
    <w:tmpl w:val="65027680"/>
    <w:lvl w:ilvl="0" w:tentative="0">
      <w:start w:val="1"/>
      <w:numFmt w:val="decimalEnclosedCircleChinese"/>
      <w:suff w:val="nothing"/>
      <w:lvlText w:val="%1　"/>
      <w:lvlJc w:val="left"/>
      <w:pPr>
        <w:ind w:left="0" w:leftChars="0" w:firstLine="400" w:firstLineChars="0"/>
      </w:pPr>
      <w:rPr>
        <w:rFonts w:hint="eastAsia"/>
      </w:rPr>
    </w:lvl>
  </w:abstractNum>
  <w:abstractNum w:abstractNumId="3">
    <w:nsid w:val="650276BC"/>
    <w:multiLevelType w:val="singleLevel"/>
    <w:tmpl w:val="650276BC"/>
    <w:lvl w:ilvl="0" w:tentative="0">
      <w:start w:val="1"/>
      <w:numFmt w:val="decimalEnclosedCircleChinese"/>
      <w:suff w:val="nothing"/>
      <w:lvlText w:val="%1　"/>
      <w:lvlJc w:val="left"/>
      <w:pPr>
        <w:ind w:left="0" w:leftChars="0" w:firstLine="400" w:firstLineChars="0"/>
      </w:pPr>
      <w:rPr>
        <w:rFonts w:hint="eastAsia"/>
      </w:rPr>
    </w:lvl>
  </w:abstractNum>
  <w:abstractNum w:abstractNumId="4">
    <w:nsid w:val="650276D6"/>
    <w:multiLevelType w:val="singleLevel"/>
    <w:tmpl w:val="650276D6"/>
    <w:lvl w:ilvl="0" w:tentative="0">
      <w:start w:val="1"/>
      <w:numFmt w:val="decimalEnclosedCircleChinese"/>
      <w:suff w:val="nothing"/>
      <w:lvlText w:val="%1　"/>
      <w:lvlJc w:val="left"/>
      <w:pPr>
        <w:ind w:left="0" w:leftChars="0" w:firstLine="400" w:firstLineChars="0"/>
      </w:pPr>
      <w:rPr>
        <w:rFonts w:hint="eastAsia"/>
      </w:rPr>
    </w:lvl>
  </w:abstractNum>
  <w:abstractNum w:abstractNumId="5">
    <w:nsid w:val="6502789B"/>
    <w:multiLevelType w:val="singleLevel"/>
    <w:tmpl w:val="6502789B"/>
    <w:lvl w:ilvl="0" w:tentative="0">
      <w:start w:val="1"/>
      <w:numFmt w:val="decimal"/>
      <w:suff w:val="nothing"/>
      <w:lvlText w:val="%1．"/>
      <w:lvlJc w:val="left"/>
      <w:pPr>
        <w:ind w:left="0" w:leftChars="0" w:firstLine="400" w:firstLineChars="0"/>
      </w:pPr>
      <w:rPr>
        <w:rFonts w:hint="default"/>
      </w:rPr>
    </w:lvl>
  </w:abstractNum>
  <w:abstractNum w:abstractNumId="6">
    <w:nsid w:val="6502A3EB"/>
    <w:multiLevelType w:val="singleLevel"/>
    <w:tmpl w:val="6502A3EB"/>
    <w:lvl w:ilvl="0" w:tentative="0">
      <w:start w:val="1"/>
      <w:numFmt w:val="decimal"/>
      <w:suff w:val="nothing"/>
      <w:lvlText w:val="%1．"/>
      <w:lvlJc w:val="left"/>
      <w:pPr>
        <w:ind w:left="0" w:leftChars="0" w:firstLine="400" w:firstLineChars="0"/>
      </w:pPr>
      <w:rPr>
        <w:rFonts w:hint="default"/>
      </w:rPr>
    </w:lvl>
  </w:abstractNum>
  <w:abstractNum w:abstractNumId="7">
    <w:nsid w:val="6502B651"/>
    <w:multiLevelType w:val="singleLevel"/>
    <w:tmpl w:val="6502B651"/>
    <w:lvl w:ilvl="0" w:tentative="0">
      <w:start w:val="1"/>
      <w:numFmt w:val="decimal"/>
      <w:suff w:val="nothing"/>
      <w:lvlText w:val="%1．"/>
      <w:lvlJc w:val="left"/>
      <w:pPr>
        <w:ind w:left="0" w:leftChars="0" w:firstLine="400" w:firstLineChars="0"/>
      </w:pPr>
      <w:rPr>
        <w:rFonts w:hint="default"/>
      </w:rPr>
    </w:lvl>
  </w:abstractNum>
  <w:abstractNum w:abstractNumId="8">
    <w:nsid w:val="6503C795"/>
    <w:multiLevelType w:val="singleLevel"/>
    <w:tmpl w:val="6503C795"/>
    <w:lvl w:ilvl="0" w:tentative="0">
      <w:start w:val="1"/>
      <w:numFmt w:val="chineseCounting"/>
      <w:suff w:val="nothing"/>
      <w:lvlText w:val="（%1）"/>
      <w:lvlJc w:val="left"/>
      <w:pPr>
        <w:ind w:left="0" w:leftChars="0" w:firstLine="420" w:firstLineChars="0"/>
      </w:pPr>
      <w:rPr>
        <w:rFonts w:hint="eastAsia"/>
      </w:rPr>
    </w:lvl>
  </w:abstractNum>
  <w:abstractNum w:abstractNumId="9">
    <w:nsid w:val="6503C7EE"/>
    <w:multiLevelType w:val="singleLevel"/>
    <w:tmpl w:val="6503C7EE"/>
    <w:lvl w:ilvl="0" w:tentative="0">
      <w:start w:val="1"/>
      <w:numFmt w:val="decimal"/>
      <w:suff w:val="nothing"/>
      <w:lvlText w:val="%1．"/>
      <w:lvlJc w:val="left"/>
      <w:pPr>
        <w:ind w:left="0" w:leftChars="0" w:firstLine="400" w:firstLineChars="0"/>
      </w:pPr>
      <w:rPr>
        <w:rFonts w:hint="default"/>
      </w:rPr>
    </w:lvl>
  </w:abstractNum>
  <w:abstractNum w:abstractNumId="10">
    <w:nsid w:val="6503F9F0"/>
    <w:multiLevelType w:val="singleLevel"/>
    <w:tmpl w:val="6503F9F0"/>
    <w:lvl w:ilvl="0" w:tentative="0">
      <w:start w:val="1"/>
      <w:numFmt w:val="decimal"/>
      <w:suff w:val="nothing"/>
      <w:lvlText w:val="%1．"/>
      <w:lvlJc w:val="left"/>
      <w:pPr>
        <w:ind w:left="0" w:firstLine="400"/>
      </w:pPr>
      <w:rPr>
        <w:rFonts w:hint="default"/>
      </w:rPr>
    </w:lvl>
  </w:abstractNum>
  <w:abstractNum w:abstractNumId="11">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12">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13">
    <w:nsid w:val="6503FABA"/>
    <w:multiLevelType w:val="singleLevel"/>
    <w:tmpl w:val="6503FABA"/>
    <w:lvl w:ilvl="0" w:tentative="0">
      <w:start w:val="1"/>
      <w:numFmt w:val="decimal"/>
      <w:suff w:val="nothing"/>
      <w:lvlText w:val="%1．"/>
      <w:lvlJc w:val="left"/>
      <w:pPr>
        <w:ind w:left="0" w:firstLine="400"/>
      </w:pPr>
      <w:rPr>
        <w:rFonts w:hint="default"/>
      </w:rPr>
    </w:lvl>
  </w:abstractNum>
  <w:abstractNum w:abstractNumId="14">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15">
    <w:nsid w:val="6503FB17"/>
    <w:multiLevelType w:val="singleLevel"/>
    <w:tmpl w:val="6503FB17"/>
    <w:lvl w:ilvl="0" w:tentative="0">
      <w:start w:val="1"/>
      <w:numFmt w:val="decimal"/>
      <w:suff w:val="nothing"/>
      <w:lvlText w:val="%1．"/>
      <w:lvlJc w:val="left"/>
      <w:pPr>
        <w:ind w:left="0" w:firstLine="400"/>
      </w:pPr>
      <w:rPr>
        <w:rFonts w:hint="default"/>
      </w:rPr>
    </w:lvl>
  </w:abstractNum>
  <w:abstractNum w:abstractNumId="16">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17">
    <w:nsid w:val="65040292"/>
    <w:multiLevelType w:val="singleLevel"/>
    <w:tmpl w:val="65040292"/>
    <w:lvl w:ilvl="0" w:tentative="0">
      <w:start w:val="1"/>
      <w:numFmt w:val="decimal"/>
      <w:suff w:val="nothing"/>
      <w:lvlText w:val="%1．"/>
      <w:lvlJc w:val="left"/>
      <w:pPr>
        <w:ind w:left="0" w:leftChars="0" w:firstLine="400" w:firstLineChars="0"/>
      </w:pPr>
      <w:rPr>
        <w:rFonts w:hint="default"/>
      </w:rPr>
    </w:lvl>
  </w:abstractNum>
  <w:abstractNum w:abstractNumId="18">
    <w:nsid w:val="650D4A54"/>
    <w:multiLevelType w:val="singleLevel"/>
    <w:tmpl w:val="650D4A54"/>
    <w:lvl w:ilvl="0" w:tentative="0">
      <w:start w:val="1"/>
      <w:numFmt w:val="decimal"/>
      <w:suff w:val="nothing"/>
      <w:lvlText w:val="%1．"/>
      <w:lvlJc w:val="left"/>
      <w:pPr>
        <w:ind w:left="0" w:firstLine="400"/>
      </w:pPr>
      <w:rPr>
        <w:rFonts w:hint="default"/>
      </w:rPr>
    </w:lvl>
  </w:abstractNum>
  <w:abstractNum w:abstractNumId="19">
    <w:nsid w:val="6524ECB5"/>
    <w:multiLevelType w:val="singleLevel"/>
    <w:tmpl w:val="6524ECB5"/>
    <w:lvl w:ilvl="0" w:tentative="0">
      <w:start w:val="1"/>
      <w:numFmt w:val="chineseCounting"/>
      <w:suff w:val="nothing"/>
      <w:lvlText w:val="%1、"/>
      <w:lvlJc w:val="left"/>
      <w:pPr>
        <w:ind w:left="0" w:leftChars="0" w:firstLine="420" w:firstLineChars="0"/>
      </w:pPr>
      <w:rPr>
        <w:rFonts w:hint="eastAsia"/>
      </w:rPr>
    </w:lvl>
  </w:abstractNum>
  <w:abstractNum w:abstractNumId="20">
    <w:nsid w:val="6524ECDD"/>
    <w:multiLevelType w:val="singleLevel"/>
    <w:tmpl w:val="6524ECDD"/>
    <w:lvl w:ilvl="0" w:tentative="0">
      <w:start w:val="1"/>
      <w:numFmt w:val="chineseCounting"/>
      <w:suff w:val="nothing"/>
      <w:lvlText w:val="(%1)"/>
      <w:lvlJc w:val="left"/>
    </w:lvl>
  </w:abstractNum>
  <w:abstractNum w:abstractNumId="21">
    <w:nsid w:val="6524EDFB"/>
    <w:multiLevelType w:val="singleLevel"/>
    <w:tmpl w:val="6524EDFB"/>
    <w:lvl w:ilvl="0" w:tentative="0">
      <w:start w:val="1"/>
      <w:numFmt w:val="chineseCounting"/>
      <w:suff w:val="nothing"/>
      <w:lvlText w:val="（%1）"/>
      <w:lvlJc w:val="left"/>
      <w:pPr>
        <w:ind w:left="0" w:leftChars="0" w:firstLine="420" w:firstLineChars="0"/>
      </w:pPr>
      <w:rPr>
        <w:rFonts w:hint="eastAsia"/>
      </w:rPr>
    </w:lvl>
  </w:abstractNum>
  <w:abstractNum w:abstractNumId="22">
    <w:nsid w:val="6524F034"/>
    <w:multiLevelType w:val="singleLevel"/>
    <w:tmpl w:val="6524F034"/>
    <w:lvl w:ilvl="0" w:tentative="0">
      <w:start w:val="1"/>
      <w:numFmt w:val="decimalEnclosedCircleChinese"/>
      <w:suff w:val="nothing"/>
      <w:lvlText w:val="%1　"/>
      <w:lvlJc w:val="left"/>
      <w:pPr>
        <w:ind w:left="0" w:firstLine="400"/>
      </w:pPr>
      <w:rPr>
        <w:rFonts w:hint="eastAsia"/>
      </w:rPr>
    </w:lvl>
  </w:abstractNum>
  <w:abstractNum w:abstractNumId="23">
    <w:nsid w:val="6524F21A"/>
    <w:multiLevelType w:val="singleLevel"/>
    <w:tmpl w:val="6524F21A"/>
    <w:lvl w:ilvl="0" w:tentative="0">
      <w:start w:val="1"/>
      <w:numFmt w:val="decimalEnclosedCircleChinese"/>
      <w:suff w:val="nothing"/>
      <w:lvlText w:val="%1　"/>
      <w:lvlJc w:val="left"/>
      <w:pPr>
        <w:ind w:left="0" w:firstLine="400"/>
      </w:pPr>
      <w:rPr>
        <w:rFonts w:hint="eastAsia"/>
      </w:rPr>
    </w:lvl>
  </w:abstractNum>
  <w:abstractNum w:abstractNumId="24">
    <w:nsid w:val="6524F26B"/>
    <w:multiLevelType w:val="singleLevel"/>
    <w:tmpl w:val="6524F26B"/>
    <w:lvl w:ilvl="0" w:tentative="0">
      <w:start w:val="1"/>
      <w:numFmt w:val="decimalEnclosedCircleChinese"/>
      <w:suff w:val="nothing"/>
      <w:lvlText w:val="%1　"/>
      <w:lvlJc w:val="left"/>
      <w:pPr>
        <w:ind w:left="0" w:firstLine="400"/>
      </w:pPr>
      <w:rPr>
        <w:rFonts w:hint="eastAsia"/>
      </w:rPr>
    </w:lvl>
  </w:abstractNum>
  <w:abstractNum w:abstractNumId="25">
    <w:nsid w:val="6524F28D"/>
    <w:multiLevelType w:val="singleLevel"/>
    <w:tmpl w:val="6524F28D"/>
    <w:lvl w:ilvl="0" w:tentative="0">
      <w:start w:val="1"/>
      <w:numFmt w:val="decimalEnclosedCircleChinese"/>
      <w:suff w:val="nothing"/>
      <w:lvlText w:val="%1　"/>
      <w:lvlJc w:val="left"/>
      <w:pPr>
        <w:ind w:left="0" w:firstLine="400"/>
      </w:pPr>
      <w:rPr>
        <w:rFonts w:hint="eastAsia"/>
      </w:rPr>
    </w:lvl>
  </w:abstractNum>
  <w:abstractNum w:abstractNumId="26">
    <w:nsid w:val="6524F2AF"/>
    <w:multiLevelType w:val="singleLevel"/>
    <w:tmpl w:val="6524F2AF"/>
    <w:lvl w:ilvl="0" w:tentative="0">
      <w:start w:val="1"/>
      <w:numFmt w:val="decimalEnclosedCircleChinese"/>
      <w:suff w:val="nothing"/>
      <w:lvlText w:val="%1　"/>
      <w:lvlJc w:val="left"/>
      <w:pPr>
        <w:ind w:left="0" w:firstLine="400"/>
      </w:pPr>
      <w:rPr>
        <w:rFonts w:hint="eastAsia"/>
      </w:rPr>
    </w:lvl>
  </w:abstractNum>
  <w:abstractNum w:abstractNumId="27">
    <w:nsid w:val="6524F2E0"/>
    <w:multiLevelType w:val="singleLevel"/>
    <w:tmpl w:val="6524F2E0"/>
    <w:lvl w:ilvl="0" w:tentative="0">
      <w:start w:val="1"/>
      <w:numFmt w:val="decimalEnclosedCircleChinese"/>
      <w:suff w:val="nothing"/>
      <w:lvlText w:val="%1　"/>
      <w:lvlJc w:val="left"/>
      <w:pPr>
        <w:ind w:left="0" w:firstLine="400"/>
      </w:pPr>
      <w:rPr>
        <w:rFonts w:hint="eastAsia"/>
      </w:rPr>
    </w:lvl>
  </w:abstractNum>
  <w:abstractNum w:abstractNumId="28">
    <w:nsid w:val="6524F31A"/>
    <w:multiLevelType w:val="singleLevel"/>
    <w:tmpl w:val="6524F31A"/>
    <w:lvl w:ilvl="0" w:tentative="0">
      <w:start w:val="1"/>
      <w:numFmt w:val="decimalEnclosedCircleChinese"/>
      <w:suff w:val="nothing"/>
      <w:lvlText w:val="%1　"/>
      <w:lvlJc w:val="left"/>
      <w:pPr>
        <w:ind w:left="0" w:firstLine="400"/>
      </w:pPr>
      <w:rPr>
        <w:rFonts w:hint="eastAsia"/>
      </w:rPr>
    </w:lvl>
  </w:abstractNum>
  <w:abstractNum w:abstractNumId="29">
    <w:nsid w:val="6524F358"/>
    <w:multiLevelType w:val="singleLevel"/>
    <w:tmpl w:val="6524F358"/>
    <w:lvl w:ilvl="0" w:tentative="0">
      <w:start w:val="1"/>
      <w:numFmt w:val="decimalEnclosedCircleChinese"/>
      <w:suff w:val="nothing"/>
      <w:lvlText w:val="%1　"/>
      <w:lvlJc w:val="left"/>
      <w:pPr>
        <w:ind w:left="0" w:firstLine="400"/>
      </w:pPr>
      <w:rPr>
        <w:rFonts w:hint="eastAsia"/>
      </w:rPr>
    </w:lvl>
  </w:abstractNum>
  <w:abstractNum w:abstractNumId="30">
    <w:nsid w:val="6524F3E1"/>
    <w:multiLevelType w:val="singleLevel"/>
    <w:tmpl w:val="6524F3E1"/>
    <w:lvl w:ilvl="0" w:tentative="0">
      <w:start w:val="1"/>
      <w:numFmt w:val="decimalEnclosedCircleChinese"/>
      <w:suff w:val="nothing"/>
      <w:lvlText w:val="%1　"/>
      <w:lvlJc w:val="left"/>
      <w:pPr>
        <w:ind w:left="0" w:firstLine="400"/>
      </w:pPr>
      <w:rPr>
        <w:rFonts w:hint="eastAsia"/>
      </w:rPr>
    </w:lvl>
  </w:abstractNum>
  <w:abstractNum w:abstractNumId="31">
    <w:nsid w:val="6524F44E"/>
    <w:multiLevelType w:val="singleLevel"/>
    <w:tmpl w:val="6524F44E"/>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9"/>
  </w:num>
  <w:num w:numId="3">
    <w:abstractNumId w:val="20"/>
  </w:num>
  <w:num w:numId="4">
    <w:abstractNumId w:val="2"/>
  </w:num>
  <w:num w:numId="5">
    <w:abstractNumId w:val="3"/>
  </w:num>
  <w:num w:numId="6">
    <w:abstractNumId w:val="4"/>
  </w:num>
  <w:num w:numId="7">
    <w:abstractNumId w:val="7"/>
  </w:num>
  <w:num w:numId="8">
    <w:abstractNumId w:val="5"/>
  </w:num>
  <w:num w:numId="9">
    <w:abstractNumId w:val="6"/>
  </w:num>
  <w:num w:numId="10">
    <w:abstractNumId w:val="8"/>
  </w:num>
  <w:num w:numId="11">
    <w:abstractNumId w:val="9"/>
  </w:num>
  <w:num w:numId="12">
    <w:abstractNumId w:val="21"/>
  </w:num>
  <w:num w:numId="13">
    <w:abstractNumId w:val="17"/>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8"/>
  </w:num>
  <w:num w:numId="21">
    <w:abstractNumId w:val="16"/>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TlhOWJmNzE2ODZhNzk4OWNmOWQ4NzExYzMxZTg1OW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1D509F"/>
    <w:rsid w:val="08452D77"/>
    <w:rsid w:val="086401F8"/>
    <w:rsid w:val="08751CAA"/>
    <w:rsid w:val="087E4C40"/>
    <w:rsid w:val="08A871D0"/>
    <w:rsid w:val="08C6720E"/>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372D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3A45FE"/>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4D67E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396DE2"/>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A90320"/>
    <w:rsid w:val="32BE5C2C"/>
    <w:rsid w:val="32C13B45"/>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8D5588"/>
    <w:rsid w:val="363A3B40"/>
    <w:rsid w:val="36435A6D"/>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43384C"/>
    <w:rsid w:val="418F0D2A"/>
    <w:rsid w:val="41D01505"/>
    <w:rsid w:val="42474939"/>
    <w:rsid w:val="424C3C57"/>
    <w:rsid w:val="42613FF3"/>
    <w:rsid w:val="42660D96"/>
    <w:rsid w:val="428667D2"/>
    <w:rsid w:val="42CD1CE0"/>
    <w:rsid w:val="42E1381E"/>
    <w:rsid w:val="42ED6459"/>
    <w:rsid w:val="42FE58DD"/>
    <w:rsid w:val="430C60CC"/>
    <w:rsid w:val="43174B3D"/>
    <w:rsid w:val="434B790E"/>
    <w:rsid w:val="4360274F"/>
    <w:rsid w:val="43977AB6"/>
    <w:rsid w:val="43A3342B"/>
    <w:rsid w:val="43C77C27"/>
    <w:rsid w:val="43DE09EE"/>
    <w:rsid w:val="44002FAD"/>
    <w:rsid w:val="449101DD"/>
    <w:rsid w:val="44CB60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DC907A5"/>
    <w:rsid w:val="4E1C7B69"/>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AE6DC0"/>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5232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1B070B"/>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SHM</cp:lastModifiedBy>
  <cp:lastPrinted>2023-09-06T02:17:00Z</cp:lastPrinted>
  <dcterms:modified xsi:type="dcterms:W3CDTF">2023-12-25T08:39:49Z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