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鸬鸟镇社会治理综合服务中心提升项目</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w:t>
      </w:r>
      <w:r>
        <w:rPr>
          <w:rFonts w:hint="eastAsia" w:ascii="仿宋" w:hAnsi="仿宋" w:eastAsia="仿宋" w:cs="仿宋_GB2312"/>
          <w:sz w:val="30"/>
          <w:szCs w:val="30"/>
          <w:lang w:eastAsia="zh-CN"/>
        </w:rPr>
        <w:t>NYZFCG2022-003</w:t>
      </w:r>
      <w:r>
        <w:rPr>
          <w:rFonts w:hint="eastAsia" w:ascii="仿宋" w:hAnsi="仿宋" w:eastAsia="仿宋" w:cs="仿宋_GB2312"/>
          <w:sz w:val="30"/>
          <w:szCs w:val="30"/>
        </w:rPr>
        <w:t>）</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pStyle w:val="6"/>
        <w:rPr>
          <w:rFonts w:ascii="仿宋" w:hAnsi="仿宋" w:eastAsia="仿宋" w:cs="仿宋_GB2312"/>
          <w:sz w:val="32"/>
          <w:szCs w:val="32"/>
        </w:rPr>
      </w:pPr>
    </w:p>
    <w:p>
      <w:pPr>
        <w:rPr>
          <w:rFonts w:ascii="仿宋" w:hAnsi="仿宋" w:eastAsia="仿宋" w:cs="仿宋_GB2312"/>
          <w:sz w:val="32"/>
          <w:szCs w:val="32"/>
        </w:rPr>
      </w:pPr>
    </w:p>
    <w:p>
      <w:pPr>
        <w:pStyle w:val="6"/>
      </w:pPr>
    </w:p>
    <w:p>
      <w:pPr>
        <w:snapToGrid w:val="0"/>
        <w:spacing w:line="360" w:lineRule="auto"/>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采购人：杭州市余杭区鸬鸟镇人民政府</w:t>
      </w:r>
    </w:p>
    <w:p>
      <w:pPr>
        <w:snapToGrid w:val="0"/>
        <w:spacing w:line="360" w:lineRule="auto"/>
        <w:jc w:val="center"/>
        <w:rPr>
          <w:rFonts w:hint="eastAsia" w:ascii="仿宋_GB2312" w:hAnsi="仿宋_GB2312" w:eastAsia="仿宋" w:cs="仿宋_GB2312"/>
          <w:bCs/>
          <w:sz w:val="32"/>
          <w:szCs w:val="32"/>
          <w:lang w:eastAsia="zh-CN"/>
        </w:rPr>
      </w:pPr>
      <w:r>
        <w:rPr>
          <w:rFonts w:hint="eastAsia" w:ascii="仿宋" w:hAnsi="仿宋" w:eastAsia="仿宋" w:cs="仿宋"/>
          <w:bCs/>
          <w:color w:val="000000" w:themeColor="text1"/>
          <w:sz w:val="32"/>
          <w:szCs w:val="32"/>
          <w14:textFill>
            <w14:solidFill>
              <w14:schemeClr w14:val="tx1"/>
            </w14:solidFill>
          </w14:textFill>
        </w:rPr>
        <w:t>采购代理机构：</w:t>
      </w:r>
      <w:r>
        <w:rPr>
          <w:rFonts w:hint="eastAsia" w:ascii="仿宋" w:hAnsi="仿宋" w:eastAsia="仿宋" w:cs="仿宋"/>
          <w:bCs/>
          <w:color w:val="000000" w:themeColor="text1"/>
          <w:sz w:val="32"/>
          <w:szCs w:val="32"/>
          <w:lang w:eastAsia="zh-CN"/>
          <w14:textFill>
            <w14:solidFill>
              <w14:schemeClr w14:val="tx1"/>
            </w14:solidFill>
          </w14:textFill>
        </w:rPr>
        <w:t>南越建设管理有限公司</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宋体" w:hAnsi="宋体" w:eastAsia="仿宋_GB2312" w:cs="宋体"/>
          <w:bCs/>
          <w:sz w:val="32"/>
          <w:szCs w:val="32"/>
        </w:rPr>
        <w:t>二</w:t>
      </w:r>
      <w:r>
        <w:rPr>
          <w:rFonts w:hint="eastAsia" w:ascii="仿宋_GB2312" w:hAnsi="仿宋_GB2312" w:eastAsia="仿宋_GB2312" w:cs="仿宋_GB2312"/>
          <w:bCs/>
          <w:sz w:val="32"/>
          <w:szCs w:val="32"/>
        </w:rPr>
        <w:t>年五月</w:t>
      </w:r>
      <w:r>
        <w:rPr>
          <w:rFonts w:hint="eastAsia" w:ascii="仿宋_GB2312" w:hAnsi="仿宋_GB2312" w:eastAsia="仿宋_GB2312" w:cs="仿宋_GB2312"/>
          <w:bCs/>
          <w:sz w:val="32"/>
          <w:szCs w:val="32"/>
          <w:lang w:val="en-US" w:eastAsia="zh-CN"/>
        </w:rPr>
        <w:t>二十三</w:t>
      </w:r>
      <w:r>
        <w:rPr>
          <w:rFonts w:hint="eastAsia" w:ascii="仿宋_GB2312" w:hAnsi="仿宋_GB2312" w:eastAsia="仿宋_GB2312" w:cs="仿宋_GB2312"/>
          <w:bCs/>
          <w:sz w:val="32"/>
          <w:szCs w:val="32"/>
        </w:rPr>
        <w:t>日</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（鸬鸟镇社会治理综合服务中心提升项目）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9"/>
          <w:rFonts w:ascii="仿宋_GB2312" w:hAnsi="仿宋" w:eastAsia="仿宋_GB2312" w:cs="Times New Roman"/>
          <w:color w:val="auto"/>
          <w:kern w:val="2"/>
          <w:sz w:val="24"/>
          <w:szCs w:val="24"/>
        </w:rPr>
        <w:t>https://www.zcygov.cn/）获取（下载）招标文件，并于</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6</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13</w:t>
      </w:r>
      <w:r>
        <w:rPr>
          <w:rFonts w:hint="eastAsia" w:ascii="仿宋_GB2312" w:hAnsi="仿宋" w:eastAsia="仿宋_GB2312"/>
          <w:sz w:val="24"/>
          <w:u w:val="single"/>
        </w:rPr>
        <w:t>日14点00分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sz w:val="24"/>
        </w:rPr>
        <w:t>（</w:t>
      </w:r>
      <w:r>
        <w:rPr>
          <w:rFonts w:hint="eastAsia" w:ascii="仿宋_GB2312" w:hAnsi="仿宋" w:eastAsia="仿宋_GB2312"/>
          <w:sz w:val="24"/>
          <w:lang w:eastAsia="zh-CN"/>
        </w:rPr>
        <w:t>NYZFCG2022-003</w:t>
      </w:r>
      <w:r>
        <w:rPr>
          <w:rFonts w:hint="eastAsia" w:ascii="仿宋_GB2312" w:hAnsi="仿宋" w:eastAsia="仿宋_GB2312"/>
          <w:sz w:val="24"/>
        </w:rPr>
        <w:t>）</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w:t>
      </w:r>
      <w:r>
        <w:rPr>
          <w:rFonts w:hint="eastAsia" w:ascii="仿宋_GB2312" w:hAnsi="仿宋" w:eastAsia="仿宋_GB2312"/>
          <w:b/>
          <w:sz w:val="24"/>
        </w:rPr>
        <w:t>鸬鸟镇社会治理综合服务中心提升项目</w:t>
      </w:r>
      <w:r>
        <w:rPr>
          <w:rFonts w:ascii="仿宋_GB2312" w:hAnsi="仿宋" w:eastAsia="仿宋_GB2312"/>
          <w:b/>
          <w:sz w:val="24"/>
        </w:rPr>
        <w:t>：</w:t>
      </w:r>
      <w:r>
        <w:rPr>
          <w:rFonts w:hint="eastAsia" w:ascii="仿宋_GB2312" w:hAnsi="仿宋" w:eastAsia="仿宋_GB2312" w:cs="仿宋_GB2312"/>
          <w:sz w:val="24"/>
        </w:rPr>
        <w:t>（鸬鸟镇社会治理综合服务中心提升项目）</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预算金额（元）：</w:t>
      </w:r>
      <w:r>
        <w:rPr>
          <w:rFonts w:ascii="仿宋_GB2312" w:hAnsi="仿宋" w:eastAsia="仿宋_GB2312"/>
          <w:sz w:val="24"/>
        </w:rPr>
        <w:t xml:space="preserve"> </w:t>
      </w:r>
      <w:r>
        <w:rPr>
          <w:rFonts w:hint="eastAsia" w:ascii="仿宋_GB2312" w:hAnsi="仿宋" w:eastAsia="仿宋_GB2312"/>
          <w:sz w:val="24"/>
        </w:rPr>
        <w:t xml:space="preserve">3900000 </w:t>
      </w:r>
    </w:p>
    <w:p>
      <w:pPr>
        <w:spacing w:line="360" w:lineRule="auto"/>
        <w:ind w:firstLine="480"/>
        <w:rPr>
          <w:rFonts w:ascii="仿宋_GB2312" w:hAnsi="仿宋" w:eastAsia="仿宋_GB2312"/>
          <w:sz w:val="24"/>
        </w:rPr>
      </w:pPr>
      <w:r>
        <w:rPr>
          <w:rFonts w:hint="eastAsia" w:ascii="仿宋_GB2312" w:hAnsi="仿宋" w:eastAsia="仿宋_GB2312"/>
          <w:b/>
          <w:sz w:val="24"/>
        </w:rPr>
        <w:t>最高限价（元）：</w:t>
      </w:r>
      <w:r>
        <w:rPr>
          <w:rFonts w:ascii="仿宋_GB2312" w:hAnsi="仿宋" w:eastAsia="仿宋_GB2312"/>
          <w:sz w:val="24"/>
        </w:rPr>
        <w:t xml:space="preserve"> </w:t>
      </w:r>
      <w:r>
        <w:rPr>
          <w:rFonts w:hint="eastAsia" w:ascii="仿宋_GB2312" w:hAnsi="仿宋" w:eastAsia="仿宋_GB2312"/>
          <w:sz w:val="24"/>
        </w:rPr>
        <w:t>3900000</w:t>
      </w:r>
    </w:p>
    <w:p>
      <w:pPr>
        <w:pStyle w:val="9"/>
        <w:spacing w:line="360" w:lineRule="auto"/>
        <w:ind w:firstLine="480"/>
        <w:rPr>
          <w:rFonts w:ascii="仿宋_GB2312" w:hAnsi="仿宋" w:eastAsia="仿宋_GB2312"/>
          <w:bCs/>
          <w:color w:val="auto"/>
          <w:kern w:val="2"/>
          <w:sz w:val="24"/>
          <w:szCs w:val="24"/>
        </w:rPr>
      </w:pPr>
      <w:r>
        <w:rPr>
          <w:rFonts w:hint="eastAsia" w:ascii="仿宋_GB2312" w:hAnsi="仿宋" w:eastAsia="仿宋_GB2312"/>
          <w:b/>
          <w:color w:val="auto"/>
          <w:sz w:val="24"/>
        </w:rPr>
        <w:t>采购需求：</w:t>
      </w:r>
    </w:p>
    <w:p>
      <w:pPr>
        <w:pStyle w:val="9"/>
        <w:spacing w:line="360" w:lineRule="auto"/>
        <w:ind w:firstLine="480"/>
        <w:rPr>
          <w:rFonts w:ascii="仿宋_GB2312" w:hAnsi="仿宋" w:eastAsia="仿宋_GB2312"/>
          <w:bCs/>
          <w:color w:val="auto"/>
          <w:kern w:val="2"/>
          <w:sz w:val="24"/>
          <w:szCs w:val="24"/>
        </w:rPr>
      </w:pPr>
      <w:r>
        <w:rPr>
          <w:rFonts w:hint="eastAsia" w:ascii="仿宋_GB2312" w:hAnsi="仿宋" w:eastAsia="仿宋_GB2312"/>
          <w:bCs/>
          <w:color w:val="auto"/>
          <w:kern w:val="2"/>
          <w:sz w:val="24"/>
          <w:szCs w:val="24"/>
        </w:rPr>
        <w:t>主要内容：</w:t>
      </w:r>
      <w:r>
        <w:rPr>
          <w:rFonts w:hint="eastAsia" w:ascii="仿宋_GB2312" w:hAnsi="仿宋" w:eastAsia="仿宋_GB2312" w:cs="仿宋_GB2312"/>
          <w:sz w:val="24"/>
          <w:u w:val="single"/>
        </w:rPr>
        <w:t>鸬鸟镇社会治理综合服务中心提升项目</w:t>
      </w:r>
      <w:r>
        <w:rPr>
          <w:rFonts w:ascii="仿宋_GB2312" w:hAnsi="仿宋" w:eastAsia="仿宋_GB2312"/>
          <w:bCs/>
          <w:color w:val="auto"/>
          <w:kern w:val="2"/>
          <w:sz w:val="24"/>
          <w:szCs w:val="24"/>
        </w:rPr>
        <w:t>。</w:t>
      </w:r>
      <w:r>
        <w:rPr>
          <w:rFonts w:hint="eastAsia" w:ascii="仿宋_GB2312" w:hAnsi="仿宋" w:eastAsia="仿宋_GB2312"/>
          <w:bCs/>
          <w:color w:val="auto"/>
          <w:kern w:val="2"/>
          <w:sz w:val="24"/>
          <w:szCs w:val="24"/>
        </w:rPr>
        <w:t>详见招标文件第三部分采购需求。</w:t>
      </w:r>
    </w:p>
    <w:p>
      <w:pPr>
        <w:pStyle w:val="88"/>
        <w:ind w:firstLine="482"/>
        <w:outlineLvl w:val="2"/>
        <w:rPr>
          <w:rFonts w:ascii="仿宋_GB2312" w:hAnsi="仿宋" w:eastAsia="仿宋_GB2312"/>
          <w:highlight w:val="red"/>
        </w:rPr>
      </w:pPr>
      <w:r>
        <w:rPr>
          <w:rFonts w:hint="eastAsia" w:ascii="仿宋_GB2312" w:hAnsi="仿宋" w:eastAsia="仿宋_GB2312"/>
          <w:b/>
          <w:highlight w:val="red"/>
        </w:rPr>
        <w:t>合同履约期限：</w:t>
      </w:r>
      <w:r>
        <w:rPr>
          <w:rFonts w:hint="eastAsia" w:ascii="仿宋_GB2312" w:hAnsi="仿宋" w:eastAsia="仿宋_GB2312"/>
          <w:b/>
          <w:highlight w:val="red"/>
          <w:lang w:eastAsia="zh-Hans"/>
        </w:rPr>
        <w:t>项目合同签订后</w:t>
      </w:r>
      <w:r>
        <w:rPr>
          <w:rFonts w:ascii="仿宋_GB2312" w:hAnsi="仿宋" w:eastAsia="仿宋_GB2312"/>
          <w:b/>
          <w:highlight w:val="red"/>
        </w:rPr>
        <w:t>7</w:t>
      </w:r>
      <w:r>
        <w:rPr>
          <w:rFonts w:hint="eastAsia" w:ascii="仿宋_GB2312" w:hAnsi="仿宋" w:eastAsia="仿宋_GB2312"/>
          <w:b/>
          <w:highlight w:val="red"/>
        </w:rPr>
        <w:t>0</w:t>
      </w:r>
      <w:r>
        <w:rPr>
          <w:rFonts w:hint="eastAsia" w:ascii="仿宋_GB2312" w:hAnsi="仿宋" w:eastAsia="仿宋_GB2312"/>
          <w:b/>
          <w:highlight w:val="red"/>
          <w:lang w:eastAsia="zh-Hans"/>
        </w:rPr>
        <w:t>天内完成交付</w:t>
      </w:r>
    </w:p>
    <w:p>
      <w:pPr>
        <w:pStyle w:val="9"/>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本项目接受联合体投标：否</w:t>
      </w:r>
      <w:r>
        <w:rPr>
          <w:rFonts w:hint="eastAsia" w:hAnsi="宋体" w:cs="Arial"/>
          <w:color w:val="auto"/>
          <w:kern w:val="0"/>
          <w:sz w:val="24"/>
        </w:rPr>
        <w:t>。</w:t>
      </w:r>
    </w:p>
    <w:p>
      <w:pPr>
        <w:spacing w:line="360" w:lineRule="auto"/>
        <w:ind w:firstLine="480"/>
        <w:rPr>
          <w:rFonts w:ascii="仿宋" w:hAnsi="仿宋" w:eastAsia="仿宋" w:cs="仿宋_GB2312"/>
          <w:i w:val="0"/>
          <w:iCs w:val="0"/>
          <w:snapToGrid w:val="0"/>
          <w:kern w:val="28"/>
          <w:sz w:val="24"/>
          <w:szCs w:val="20"/>
        </w:rPr>
      </w:pPr>
      <w:r>
        <w:rPr>
          <w:rFonts w:ascii="仿宋" w:hAnsi="仿宋" w:eastAsia="仿宋" w:cs="仿宋_GB2312"/>
          <w:i w:val="0"/>
          <w:iCs w:val="0"/>
          <w:snapToGrid w:val="0"/>
          <w:kern w:val="28"/>
          <w:sz w:val="24"/>
          <w:szCs w:val="20"/>
        </w:rPr>
        <w:t>1.</w:t>
      </w:r>
      <w:r>
        <w:rPr>
          <w:rFonts w:hint="eastAsia" w:ascii="仿宋" w:hAnsi="仿宋" w:eastAsia="仿宋" w:cs="仿宋_GB2312"/>
          <w:i w:val="0"/>
          <w:iCs w:val="0"/>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i w:val="0"/>
          <w:iCs w:val="0"/>
          <w:snapToGrid w:val="0"/>
          <w:kern w:val="28"/>
          <w:sz w:val="24"/>
          <w:szCs w:val="20"/>
        </w:rPr>
      </w:pPr>
      <w:r>
        <w:rPr>
          <w:rFonts w:ascii="仿宋" w:hAnsi="仿宋" w:eastAsia="仿宋" w:cs="仿宋_GB2312"/>
          <w:i w:val="0"/>
          <w:iCs w:val="0"/>
          <w:snapToGrid w:val="0"/>
          <w:kern w:val="28"/>
          <w:sz w:val="24"/>
          <w:szCs w:val="20"/>
        </w:rPr>
        <w:t xml:space="preserve">    2.</w:t>
      </w:r>
      <w:r>
        <w:rPr>
          <w:rFonts w:hint="eastAsia" w:ascii="仿宋" w:hAnsi="仿宋" w:eastAsia="仿宋" w:cs="仿宋_GB2312"/>
          <w:i w:val="0"/>
          <w:iCs w:val="0"/>
          <w:snapToGrid w:val="0"/>
          <w:kern w:val="28"/>
          <w:sz w:val="24"/>
          <w:szCs w:val="20"/>
        </w:rPr>
        <w:t>落实政府采购政策需满足的资格要求：</w:t>
      </w:r>
    </w:p>
    <w:p>
      <w:pPr>
        <w:spacing w:line="360" w:lineRule="auto"/>
        <w:ind w:firstLine="480" w:firstLineChars="200"/>
        <w:rPr>
          <w:rFonts w:ascii="仿宋_GB2312" w:hAnsi="仿宋" w:eastAsia="仿宋_GB2312"/>
          <w:sz w:val="24"/>
          <w:highlight w:val="red"/>
        </w:rPr>
      </w:pPr>
      <w:r>
        <w:rPr>
          <w:rFonts w:ascii="MS Gothic" w:hAnsi="MS Gothic" w:eastAsia="MS Gothic" w:cs="Arial"/>
          <w:kern w:val="0"/>
          <w:sz w:val="24"/>
          <w:highlight w:val="red"/>
        </w:rPr>
        <w:sym w:font="Wingdings" w:char="00FE"/>
      </w:r>
      <w:r>
        <w:rPr>
          <w:rFonts w:hint="eastAsia" w:ascii="仿宋_GB2312" w:hAnsi="仿宋" w:eastAsia="仿宋_GB2312"/>
          <w:sz w:val="24"/>
          <w:highlight w:val="red"/>
        </w:rPr>
        <w:t>无；</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r>
        <w:rPr>
          <w:rFonts w:ascii="MS Gothic" w:hAnsi="MS Gothic" w:eastAsia="MS Gothic" w:cs="Arial"/>
          <w:kern w:val="0"/>
          <w:sz w:val="24"/>
        </w:rPr>
        <w:sym w:font="Wingdings" w:char="00A8"/>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6</w:t>
      </w:r>
      <w:r>
        <w:rPr>
          <w:rFonts w:ascii="仿宋_GB2312" w:hAnsi="仿宋" w:eastAsia="仿宋_GB2312"/>
          <w:sz w:val="24"/>
          <w:u w:val="single"/>
        </w:rPr>
        <w:t>月</w:t>
      </w:r>
      <w:r>
        <w:rPr>
          <w:rFonts w:hint="eastAsia" w:ascii="仿宋_GB2312" w:hAnsi="仿宋" w:eastAsia="仿宋_GB2312"/>
          <w:sz w:val="24"/>
          <w:u w:val="single"/>
          <w:lang w:val="en-US" w:eastAsia="zh-CN"/>
        </w:rPr>
        <w:t>13</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6</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13</w:t>
      </w:r>
      <w:r>
        <w:rPr>
          <w:rFonts w:hint="eastAsia" w:ascii="仿宋_GB2312" w:hAnsi="仿宋" w:eastAsia="仿宋_GB2312"/>
          <w:sz w:val="24"/>
          <w:u w:val="single"/>
        </w:rPr>
        <w:t>日14点00分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6</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13</w:t>
      </w:r>
      <w:r>
        <w:rPr>
          <w:rFonts w:hint="eastAsia" w:ascii="仿宋_GB2312" w:hAnsi="仿宋" w:eastAsia="仿宋_GB2312"/>
          <w:sz w:val="24"/>
          <w:u w:val="single"/>
        </w:rPr>
        <w:t>日14点00分</w:t>
      </w:r>
      <w:r>
        <w:rPr>
          <w:rFonts w:hint="eastAsia" w:ascii="仿宋_GB2312" w:hAnsi="仿宋" w:eastAsia="仿宋_GB2312"/>
          <w:bCs/>
          <w:sz w:val="24"/>
          <w:u w:val="singl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杭州市余杭区鸬鸟镇人民政府</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杭州市余杭区</w:t>
      </w:r>
      <w:r>
        <w:rPr>
          <w:rFonts w:hint="eastAsia" w:ascii="仿宋" w:hAnsi="仿宋" w:eastAsia="仿宋" w:cs="仿宋_GB2312"/>
          <w:sz w:val="24"/>
        </w:rPr>
        <w:t xml:space="preserve"> </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ascii="仿宋_GB2312" w:hAnsi="仿宋" w:eastAsia="仿宋"/>
          <w:sz w:val="24"/>
        </w:rPr>
      </w:pPr>
      <w:r>
        <w:rPr>
          <w:rFonts w:hint="eastAsia" w:ascii="仿宋_GB2312" w:hAnsi="仿宋" w:eastAsia="仿宋_GB2312"/>
          <w:sz w:val="24"/>
        </w:rPr>
        <w:t xml:space="preserve">项目联系人（询问）：姚建高 </w:t>
      </w:r>
      <w:r>
        <w:rPr>
          <w:rFonts w:ascii="仿宋_GB2312" w:hAnsi="仿宋" w:eastAsia="仿宋_GB2312"/>
          <w:sz w:val="24"/>
        </w:rPr>
        <w:t xml:space="preserve"> </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rPr>
        <w:t xml:space="preserve">0571-88577138  </w:t>
      </w:r>
    </w:p>
    <w:p>
      <w:pPr>
        <w:spacing w:line="360" w:lineRule="auto"/>
        <w:rPr>
          <w:rFonts w:ascii="仿宋" w:hAnsi="仿宋" w:eastAsia="仿宋"/>
          <w:sz w:val="24"/>
        </w:rPr>
      </w:pPr>
      <w:r>
        <w:rPr>
          <w:rFonts w:ascii="仿宋_GB2312" w:hAnsi="仿宋" w:eastAsia="仿宋_GB2312"/>
          <w:sz w:val="24"/>
        </w:rPr>
        <w:t xml:space="preserve">    质疑联系人：</w:t>
      </w:r>
      <w:r>
        <w:rPr>
          <w:rFonts w:hint="eastAsia" w:ascii="仿宋_GB2312" w:hAnsi="仿宋" w:eastAsia="仿宋_GB2312"/>
          <w:sz w:val="24"/>
        </w:rPr>
        <w:t>俞剑</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质疑联系方式：</w:t>
      </w:r>
      <w:r>
        <w:rPr>
          <w:rFonts w:hint="eastAsia" w:ascii="仿宋_GB2312" w:hAnsi="仿宋" w:eastAsia="仿宋_GB2312"/>
          <w:sz w:val="24"/>
        </w:rPr>
        <w:t xml:space="preserve">15257197090  </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hint="eastAsia" w:ascii="仿宋_GB2312" w:hAnsi="仿宋" w:eastAsia="仿宋_GB2312"/>
          <w:sz w:val="24"/>
          <w:lang w:eastAsia="zh-CN"/>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w:t>
      </w:r>
      <w:r>
        <w:rPr>
          <w:rFonts w:hint="eastAsia" w:ascii="仿宋_GB2312" w:hAnsi="仿宋" w:eastAsia="仿宋_GB2312"/>
          <w:sz w:val="24"/>
          <w:lang w:eastAsia="zh-CN"/>
        </w:rPr>
        <w:t>南越建设管理有限公司</w:t>
      </w:r>
    </w:p>
    <w:p>
      <w:pPr>
        <w:spacing w:line="360" w:lineRule="auto"/>
        <w:ind w:firstLine="480"/>
        <w:rPr>
          <w:rFonts w:hint="eastAsia" w:ascii="仿宋_GB2312" w:hAnsi="仿宋" w:eastAsia="仿宋_GB2312"/>
          <w:sz w:val="24"/>
          <w:lang w:eastAsia="zh-CN"/>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eastAsia" w:ascii="仿宋_GB2312" w:hAnsi="仿宋" w:eastAsia="仿宋_GB2312"/>
          <w:sz w:val="24"/>
          <w:lang w:eastAsia="zh-CN"/>
        </w:rPr>
        <w:t>杭州市临平区新丰路199号余杭商会大厦B座22楼</w:t>
      </w:r>
    </w:p>
    <w:p>
      <w:pPr>
        <w:spacing w:line="360" w:lineRule="auto"/>
        <w:rPr>
          <w:rFonts w:ascii="仿宋_GB2312" w:hAnsi="仿宋" w:eastAsia="仿宋_GB2312"/>
          <w:sz w:val="24"/>
        </w:rPr>
      </w:pPr>
      <w:r>
        <w:rPr>
          <w:rFonts w:ascii="仿宋_GB2312" w:hAnsi="仿宋" w:eastAsia="仿宋_GB2312"/>
          <w:sz w:val="24"/>
        </w:rPr>
        <w:t xml:space="preserve">    传    真：/             </w:t>
      </w:r>
    </w:p>
    <w:p>
      <w:pPr>
        <w:spacing w:line="360" w:lineRule="auto"/>
        <w:rPr>
          <w:rFonts w:ascii="仿宋_GB2312" w:hAnsi="仿宋" w:eastAsia="仿宋_GB2312"/>
          <w:sz w:val="24"/>
          <w:highlight w:val="none"/>
        </w:rPr>
      </w:pPr>
      <w:r>
        <w:rPr>
          <w:rFonts w:ascii="仿宋_GB2312" w:hAnsi="仿宋" w:eastAsia="仿宋_GB2312"/>
          <w:sz w:val="24"/>
        </w:rPr>
        <w:t xml:space="preserve">   </w:t>
      </w:r>
      <w:r>
        <w:rPr>
          <w:rFonts w:ascii="仿宋_GB2312" w:hAnsi="仿宋" w:eastAsia="仿宋_GB2312"/>
          <w:sz w:val="24"/>
          <w:highlight w:val="none"/>
        </w:rPr>
        <w:t xml:space="preserve"> 项目联系人（询问）：</w:t>
      </w:r>
      <w:r>
        <w:rPr>
          <w:rFonts w:hint="eastAsia" w:ascii="仿宋_GB2312" w:hAnsi="仿宋" w:eastAsia="仿宋_GB2312"/>
          <w:sz w:val="24"/>
          <w:highlight w:val="none"/>
        </w:rPr>
        <w:t>傅亚琪</w:t>
      </w:r>
      <w:r>
        <w:rPr>
          <w:rFonts w:hint="eastAsia" w:ascii="仿宋" w:hAnsi="仿宋" w:eastAsia="仿宋"/>
          <w:sz w:val="24"/>
          <w:highlight w:val="none"/>
          <w:lang w:val="en-US" w:eastAsia="zh-CN"/>
        </w:rPr>
        <w:t xml:space="preserve"> </w:t>
      </w:r>
      <w:r>
        <w:rPr>
          <w:rFonts w:ascii="仿宋_GB2312" w:hAnsi="仿宋" w:eastAsia="仿宋_GB2312"/>
          <w:sz w:val="24"/>
          <w:highlight w:val="none"/>
        </w:rPr>
        <w:t xml:space="preserve"> </w:t>
      </w:r>
    </w:p>
    <w:p>
      <w:pPr>
        <w:spacing w:line="360" w:lineRule="auto"/>
        <w:rPr>
          <w:rFonts w:hint="eastAsia" w:ascii="仿宋_GB2312" w:hAnsi="仿宋" w:eastAsia="仿宋_GB2312"/>
          <w:sz w:val="24"/>
          <w:highlight w:val="none"/>
          <w:lang w:eastAsia="zh-CN"/>
        </w:rPr>
      </w:pPr>
      <w:r>
        <w:rPr>
          <w:rFonts w:ascii="仿宋_GB2312" w:hAnsi="仿宋" w:eastAsia="仿宋_GB2312"/>
          <w:sz w:val="24"/>
          <w:highlight w:val="none"/>
        </w:rPr>
        <w:t xml:space="preserve">    项目联系方式（询问）：</w:t>
      </w:r>
      <w:r>
        <w:rPr>
          <w:rFonts w:hint="eastAsia" w:ascii="仿宋_GB2312" w:hAnsi="仿宋" w:eastAsia="仿宋_GB2312"/>
          <w:sz w:val="24"/>
          <w:highlight w:val="none"/>
        </w:rPr>
        <w:t>13777874587</w:t>
      </w:r>
      <w:r>
        <w:rPr>
          <w:rFonts w:hint="eastAsia" w:ascii="仿宋" w:hAnsi="仿宋" w:eastAsia="仿宋" w:cs="仿宋"/>
          <w:sz w:val="24"/>
          <w:highlight w:val="none"/>
          <w:lang w:val="en-US" w:eastAsia="zh-CN"/>
        </w:rPr>
        <w:t xml:space="preserve"> </w:t>
      </w:r>
    </w:p>
    <w:p>
      <w:pPr>
        <w:spacing w:line="360" w:lineRule="auto"/>
        <w:rPr>
          <w:rFonts w:hint="eastAsia" w:ascii="仿宋_GB2312" w:hAnsi="仿宋" w:eastAsia="仿宋_GB2312"/>
          <w:sz w:val="24"/>
          <w:highlight w:val="none"/>
          <w:lang w:val="en-US" w:eastAsia="zh-CN"/>
        </w:rPr>
      </w:pPr>
      <w:r>
        <w:rPr>
          <w:rFonts w:ascii="仿宋_GB2312" w:hAnsi="仿宋" w:eastAsia="仿宋_GB2312"/>
          <w:sz w:val="24"/>
          <w:highlight w:val="none"/>
        </w:rPr>
        <w:t xml:space="preserve">    质疑联系人：</w:t>
      </w:r>
      <w:r>
        <w:rPr>
          <w:rFonts w:hint="eastAsia" w:ascii="仿宋_GB2312" w:hAnsi="仿宋" w:eastAsia="仿宋_GB2312"/>
          <w:sz w:val="24"/>
          <w:highlight w:val="none"/>
          <w:lang w:val="en-US" w:eastAsia="zh-CN"/>
        </w:rPr>
        <w:t>陈剑梅</w:t>
      </w:r>
    </w:p>
    <w:p>
      <w:pPr>
        <w:spacing w:line="360" w:lineRule="auto"/>
        <w:rPr>
          <w:rFonts w:hint="eastAsia" w:ascii="仿宋" w:hAnsi="仿宋" w:eastAsia="仿宋_GB2312"/>
          <w:sz w:val="24"/>
          <w:highlight w:val="none"/>
          <w:lang w:eastAsia="zh-CN"/>
        </w:rPr>
      </w:pPr>
      <w:r>
        <w:rPr>
          <w:rFonts w:ascii="仿宋_GB2312" w:hAnsi="仿宋" w:eastAsia="仿宋_GB2312"/>
          <w:sz w:val="24"/>
          <w:highlight w:val="none"/>
        </w:rPr>
        <w:t xml:space="preserve">    质疑联系方式：</w:t>
      </w:r>
      <w:r>
        <w:rPr>
          <w:rFonts w:hint="eastAsia" w:ascii="仿宋_GB2312" w:hAnsi="仿宋" w:eastAsia="仿宋_GB2312"/>
          <w:sz w:val="24"/>
          <w:highlight w:val="none"/>
          <w:lang w:val="en-US" w:eastAsia="zh-CN"/>
        </w:rPr>
        <w:t>15158180160</w:t>
      </w:r>
      <w:r>
        <w:rPr>
          <w:rFonts w:hint="eastAsia" w:ascii="仿宋" w:hAnsi="仿宋" w:eastAsia="仿宋" w:cs="仿宋"/>
          <w:sz w:val="24"/>
          <w:highlight w:val="none"/>
          <w:lang w:val="en-US" w:eastAsia="zh-CN"/>
        </w:rPr>
        <w:t xml:space="preserve"> </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 xml:space="preserve">杭州市余杭区财政局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 xml:space="preserve">杭州市余杭区五常街道溪沁路8号中国电信浙江创新园1号楼 。 </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 xml:space="preserve"> 杜国强</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sz w:val="24"/>
        </w:rPr>
        <w:t xml:space="preserve">0571-88728858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6"/>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51"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w:t>
            </w:r>
            <w:r>
              <w:rPr>
                <w:rFonts w:hint="eastAsia" w:ascii="仿宋_GB2312" w:hAnsi="仿宋" w:eastAsia="仿宋_GB2312" w:cs="仿宋_GB2312"/>
                <w:b/>
                <w:kern w:val="0"/>
                <w:sz w:val="24"/>
              </w:rPr>
              <w:t>中标人</w:t>
            </w:r>
            <w:r>
              <w:rPr>
                <w:rFonts w:hint="eastAsia" w:ascii="仿宋_GB2312" w:hAnsi="仿宋" w:eastAsia="仿宋_GB2312" w:cs="仿宋_GB2312"/>
                <w:b/>
                <w:kern w:val="0"/>
                <w:sz w:val="24"/>
                <w:lang w:val="zh-CN"/>
              </w:rPr>
              <w:t>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rPr>
              <w:t>最高限价：390万元，</w:t>
            </w: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rPr>
              <w:t>工作分包。</w:t>
            </w:r>
            <w:r>
              <w:rPr>
                <w:rFonts w:ascii="仿宋_GB2312" w:hAnsi="仿宋" w:eastAsia="仿宋_GB2312"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MS Gothic" w:hAnsi="MS Gothic" w:eastAsia="MS Gothic"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kern w:val="0"/>
                <w:sz w:val="24"/>
              </w:rPr>
            </w:pPr>
            <w:r>
              <w:rPr>
                <w:rFonts w:ascii="MS Gothic" w:hAnsi="MS Gothic" w:eastAsia="MS Gothic" w:cs="Arial"/>
                <w:kern w:val="0"/>
                <w:sz w:val="24"/>
              </w:rPr>
              <w:sym w:font="Wingdings" w:char="00A8"/>
            </w:r>
            <w:r>
              <w:rPr>
                <w:rFonts w:ascii="仿宋_GB2312" w:hAnsi="仿宋" w:eastAsia="仿宋_GB2312"/>
                <w:kern w:val="0"/>
                <w:sz w:val="24"/>
              </w:rPr>
              <w:t>B</w:t>
            </w:r>
            <w:r>
              <w:rPr>
                <w:rFonts w:hint="eastAsia" w:ascii="仿宋_GB2312" w:hAnsi="仿宋" w:eastAsia="仿宋_GB2312"/>
                <w:kern w:val="0"/>
                <w:sz w:val="24"/>
              </w:rPr>
              <w:t>要求提供，</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w:t>
            </w:r>
            <w:r>
              <w:rPr>
                <w:rFonts w:hint="eastAsia" w:ascii="仿宋" w:hAnsi="仿宋" w:eastAsia="仿宋"/>
                <w:snapToGrid w:val="0"/>
                <w:kern w:val="28"/>
                <w:sz w:val="24"/>
              </w:rPr>
              <w:t>样品制作的标准和要求：</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3）样品的评审方法以及评审标准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4）是否需要随样品提交检测报告</w:t>
            </w:r>
            <w:r>
              <w:rPr>
                <w:rFonts w:hint="eastAsia" w:ascii="仿宋_GB2312" w:hAnsi="仿宋" w:eastAsia="仿宋_GB2312"/>
                <w:kern w:val="0"/>
                <w:sz w:val="24"/>
              </w:rPr>
              <w:t>：</w:t>
            </w:r>
            <w:r>
              <w:rPr>
                <w:rFonts w:ascii="MS Gothic" w:hAnsi="MS Gothic" w:eastAsia="仿宋_GB2312" w:cs="Arial"/>
                <w:kern w:val="0"/>
                <w:sz w:val="24"/>
              </w:rPr>
              <w:sym w:font="Wingdings" w:char="F0FE"/>
            </w:r>
            <w:r>
              <w:rPr>
                <w:rFonts w:ascii="仿宋_GB2312" w:hAnsi="仿宋" w:eastAsia="仿宋_GB2312"/>
                <w:kern w:val="0"/>
                <w:sz w:val="24"/>
              </w:rPr>
              <w:t>否；</w:t>
            </w:r>
            <w:r>
              <w:rPr>
                <w:rFonts w:ascii="MS Gothic" w:hAnsi="MS Gothic" w:eastAsia="仿宋_GB2312" w:cs="Arial"/>
                <w:kern w:val="0"/>
                <w:sz w:val="24"/>
              </w:rPr>
              <w:t>☐</w:t>
            </w:r>
            <w:r>
              <w:rPr>
                <w:rFonts w:ascii="仿宋_GB2312" w:hAnsi="仿宋" w:eastAsia="仿宋_GB2312"/>
                <w:kern w:val="0"/>
                <w:sz w:val="24"/>
              </w:rPr>
              <w:t>是，检测机构的要求</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；检测内容</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5）提供样品的时间：</w:t>
            </w:r>
            <w:r>
              <w:rPr>
                <w:rFonts w:hint="eastAsia" w:ascii="仿宋_GB2312" w:hAnsi="仿宋" w:eastAsia="仿宋_GB2312"/>
                <w:sz w:val="24"/>
                <w:u w:val="single"/>
              </w:rPr>
              <w:t xml:space="preserve">    </w:t>
            </w:r>
            <w:r>
              <w:rPr>
                <w:rFonts w:hint="eastAsia" w:ascii="仿宋_GB2312" w:hAnsi="仿宋" w:eastAsia="仿宋_GB2312"/>
                <w:kern w:val="0"/>
                <w:sz w:val="24"/>
              </w:rPr>
              <w:t>；地点：</w:t>
            </w:r>
            <w:r>
              <w:rPr>
                <w:rFonts w:hint="eastAsia" w:ascii="仿宋_GB2312" w:hAnsi="仿宋" w:eastAsia="仿宋_GB2312"/>
                <w:sz w:val="24"/>
                <w:u w:val="single"/>
              </w:rPr>
              <w:t xml:space="preserve">    </w:t>
            </w:r>
            <w:r>
              <w:rPr>
                <w:rFonts w:hint="eastAsia" w:ascii="仿宋_GB2312" w:hAnsi="仿宋" w:eastAsia="仿宋_GB2312"/>
                <w:kern w:val="0"/>
                <w:sz w:val="24"/>
              </w:rPr>
              <w:t>；联系人</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sz w:val="24"/>
                <w:u w:val="single"/>
              </w:rPr>
              <w:t xml:space="preserve">    </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2）方案讲解演示可选择</w:t>
            </w:r>
            <w:r>
              <w:rPr>
                <w:rFonts w:hint="eastAsia" w:ascii="仿宋_GB2312" w:hAnsi="仿宋" w:eastAsia="仿宋_GB2312"/>
                <w:kern w:val="0"/>
                <w:sz w:val="24"/>
              </w:rPr>
              <w:t>以下其中一种方式：</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方式二：交易中心现场讲解演示。现场讲解地点为</w:t>
            </w:r>
            <w:r>
              <w:rPr>
                <w:rFonts w:hint="eastAsia" w:ascii="仿宋_GB2312" w:hAnsi="仿宋" w:eastAsia="仿宋_GB2312"/>
                <w:sz w:val="24"/>
                <w:u w:val="single"/>
              </w:rPr>
              <w:t xml:space="preserve">    </w:t>
            </w:r>
            <w:r>
              <w:rPr>
                <w:rFonts w:hint="eastAsia" w:ascii="仿宋_GB2312" w:hAnsi="仿宋" w:eastAsia="仿宋_GB2312"/>
                <w:kern w:val="0"/>
                <w:sz w:val="24"/>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highlight w:val="none"/>
              </w:rPr>
            </w:pPr>
            <w:r>
              <w:rPr>
                <w:rFonts w:ascii="Wingdings" w:hAnsi="Wingdings" w:eastAsia="仿宋_GB2312" w:cs="Arial"/>
                <w:kern w:val="0"/>
                <w:sz w:val="24"/>
                <w:highlight w:val="none"/>
              </w:rPr>
              <w:sym w:font="Wingdings" w:char="00FE"/>
            </w:r>
            <w:r>
              <w:rPr>
                <w:rFonts w:ascii="仿宋_GB2312" w:hAnsi="仿宋" w:eastAsia="仿宋_GB2312" w:cs="Arial"/>
                <w:kern w:val="0"/>
                <w:sz w:val="24"/>
                <w:highlight w:val="none"/>
              </w:rPr>
              <w:t>A</w:t>
            </w:r>
            <w:r>
              <w:rPr>
                <w:rFonts w:hint="eastAsia" w:ascii="仿宋_GB2312" w:hAnsi="仿宋" w:eastAsia="仿宋_GB2312"/>
                <w:sz w:val="24"/>
                <w:highlight w:val="none"/>
              </w:rPr>
              <w:t>货物类，单一产品或</w:t>
            </w:r>
            <w:r>
              <w:rPr>
                <w:rFonts w:hint="eastAsia" w:ascii="仿宋_GB2312" w:hAnsi="仿宋" w:eastAsia="仿宋_GB2312"/>
                <w:kern w:val="0"/>
                <w:sz w:val="24"/>
                <w:highlight w:val="none"/>
              </w:rPr>
              <w:t>核心产品为：</w:t>
            </w:r>
            <w:r>
              <w:rPr>
                <w:rFonts w:hint="eastAsia" w:ascii="仿宋_GB2312" w:hAnsi="仿宋" w:eastAsia="仿宋_GB2312"/>
                <w:sz w:val="24"/>
                <w:highlight w:val="none"/>
                <w:u w:val="single"/>
              </w:rPr>
              <w:t xml:space="preserve"> </w:t>
            </w:r>
            <w:r>
              <w:rPr>
                <w:rFonts w:hint="eastAsia" w:ascii="仿宋_GB2312" w:hAnsi="仿宋" w:eastAsia="仿宋_GB2312"/>
                <w:sz w:val="24"/>
                <w:highlight w:val="none"/>
                <w:u w:val="single"/>
                <w:lang w:val="en-US" w:eastAsia="zh-CN"/>
              </w:rPr>
              <w:t>/</w:t>
            </w:r>
            <w:r>
              <w:rPr>
                <w:rFonts w:hint="eastAsia" w:ascii="仿宋_GB2312" w:hAnsi="仿宋" w:eastAsia="仿宋_GB2312"/>
                <w:sz w:val="24"/>
                <w:highlight w:val="none"/>
                <w:u w:val="single"/>
              </w:rPr>
              <w:t xml:space="preserve">   </w:t>
            </w:r>
            <w:r>
              <w:rPr>
                <w:rFonts w:hint="eastAsia" w:ascii="仿宋_GB2312" w:hAnsi="仿宋" w:eastAsia="仿宋_GB2312"/>
                <w:sz w:val="24"/>
                <w:highlight w:val="none"/>
              </w:rPr>
              <w:t>。</w:t>
            </w:r>
          </w:p>
          <w:p>
            <w:pPr>
              <w:spacing w:line="360" w:lineRule="auto"/>
              <w:rPr>
                <w:rFonts w:ascii="仿宋_GB2312" w:hAnsi="仿宋" w:eastAsia="仿宋_GB2312"/>
                <w:sz w:val="24"/>
              </w:rPr>
            </w:pPr>
            <w:r>
              <w:rPr>
                <w:rFonts w:ascii="Wingdings" w:hAnsi="Wingdings" w:eastAsia="仿宋_GB2312" w:cs="Arial"/>
                <w:kern w:val="0"/>
                <w:sz w:val="24"/>
                <w:highlight w:val="none"/>
              </w:rPr>
              <w:sym w:font="Wingdings" w:char="00A8"/>
            </w:r>
            <w:r>
              <w:rPr>
                <w:rFonts w:ascii="仿宋_GB2312" w:hAnsi="仿宋" w:eastAsia="仿宋_GB2312" w:cs="Arial"/>
                <w:kern w:val="0"/>
                <w:sz w:val="24"/>
                <w:highlight w:val="none"/>
              </w:rPr>
              <w:t>B</w:t>
            </w:r>
            <w:r>
              <w:rPr>
                <w:rFonts w:hint="eastAsia" w:ascii="仿宋_GB2312" w:hAnsi="仿宋" w:eastAsia="仿宋_GB2312"/>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highlight w:val="green"/>
              </w:rPr>
            </w:pPr>
            <w:r>
              <w:rPr>
                <w:rFonts w:hint="eastAsia" w:ascii="仿宋_GB2312" w:hAnsi="仿宋" w:eastAsia="仿宋_GB2312" w:cs="仿宋_GB2312"/>
                <w:color w:val="auto"/>
                <w:kern w:val="0"/>
                <w:sz w:val="24"/>
                <w:szCs w:val="24"/>
                <w:highlight w:val="none"/>
              </w:rPr>
              <w:t>标的：</w:t>
            </w:r>
            <w:r>
              <w:rPr>
                <w:rFonts w:hint="eastAsia" w:ascii="仿宋_GB2312" w:hAnsi="仿宋" w:eastAsia="仿宋_GB2312" w:cs="仿宋_GB2312"/>
                <w:b w:val="0"/>
                <w:bCs w:val="0"/>
                <w:color w:val="auto"/>
                <w:sz w:val="24"/>
                <w:szCs w:val="24"/>
                <w:highlight w:val="none"/>
                <w:lang w:eastAsia="zh-CN"/>
              </w:rPr>
              <w:t>设备</w:t>
            </w:r>
            <w:r>
              <w:rPr>
                <w:rFonts w:hint="eastAsia" w:ascii="仿宋_GB2312" w:hAnsi="仿宋" w:eastAsia="仿宋_GB2312" w:cs="仿宋_GB2312"/>
                <w:b w:val="0"/>
                <w:bCs w:val="0"/>
                <w:color w:val="auto"/>
                <w:kern w:val="0"/>
                <w:sz w:val="24"/>
                <w:szCs w:val="24"/>
                <w:highlight w:val="none"/>
              </w:rPr>
              <w:t>，</w:t>
            </w:r>
            <w:r>
              <w:rPr>
                <w:rFonts w:hint="eastAsia" w:ascii="仿宋_GB2312" w:hAnsi="仿宋" w:eastAsia="仿宋_GB2312" w:cs="仿宋_GB2312"/>
                <w:b w:val="0"/>
                <w:bCs w:val="0"/>
                <w:kern w:val="0"/>
                <w:sz w:val="24"/>
                <w:szCs w:val="24"/>
                <w:highlight w:val="none"/>
              </w:rPr>
              <w:t>属于</w:t>
            </w:r>
            <w:r>
              <w:rPr>
                <w:rFonts w:hint="eastAsia" w:ascii="仿宋_GB2312" w:hAnsi="仿宋" w:eastAsia="仿宋_GB2312" w:cs="仿宋_GB2312"/>
                <w:kern w:val="0"/>
                <w:sz w:val="24"/>
                <w:szCs w:val="24"/>
                <w:highlight w:val="none"/>
              </w:rPr>
              <w:t>其他未列明行业</w:t>
            </w:r>
            <w:r>
              <w:rPr>
                <w:rFonts w:hint="eastAsia" w:ascii="仿宋_GB2312" w:hAnsi="仿宋" w:eastAsia="仿宋_GB2312" w:cs="仿宋_GB2312"/>
                <w:color w:val="auto"/>
                <w:kern w:val="0"/>
                <w:sz w:val="24"/>
                <w:szCs w:val="24"/>
                <w:highlight w:val="none"/>
                <w:lang w:eastAsia="zh-CN"/>
              </w:rPr>
              <w:t>，</w:t>
            </w:r>
            <w:r>
              <w:rPr>
                <w:rFonts w:hint="eastAsia" w:ascii="仿宋" w:hAnsi="仿宋" w:eastAsia="仿宋" w:cs="仿宋"/>
                <w:color w:val="auto"/>
                <w:kern w:val="0"/>
                <w:sz w:val="24"/>
                <w:highlight w:val="none"/>
              </w:rPr>
              <w:t>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snapToGrid w:val="0"/>
                <w:color w:val="000000" w:themeColor="text1"/>
                <w:kern w:val="28"/>
                <w:sz w:val="24"/>
                <w14:textFill>
                  <w14:solidFill>
                    <w14:schemeClr w14:val="tx1"/>
                  </w14:solidFill>
                </w14:textFill>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color w:val="000000" w:themeColor="text1"/>
                <w:kern w:val="28"/>
                <w:sz w:val="24"/>
                <w14:textFill>
                  <w14:solidFill>
                    <w14:schemeClr w14:val="tx1"/>
                  </w14:solidFill>
                </w14:textFill>
              </w:rPr>
            </w:pPr>
            <w:r>
              <w:rPr>
                <w:rFonts w:hint="eastAsia" w:ascii="仿宋_GB2312" w:hAnsi="仿宋" w:eastAsia="仿宋_GB2312"/>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r>
              <w:rPr>
                <w:rFonts w:ascii="仿宋_GB2312" w:hAnsi="仿宋" w:eastAsia="仿宋_GB2312" w:cs="仿宋_GB2312"/>
                <w:b/>
                <w:sz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sz w:val="24"/>
                <w:u w:val="single"/>
                <w:lang w:eastAsia="zh-CN"/>
              </w:rPr>
              <w:t>杭州市临平区新丰路199号余杭商会大厦B座22楼</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cs="Times New Roman"/>
                <w:kern w:val="28"/>
                <w:sz w:val="24"/>
                <w:szCs w:val="24"/>
                <w:lang w:val="en-US" w:eastAsia="zh-CN"/>
              </w:rPr>
              <w:t>陈律列15158180160</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无</w:t>
            </w:r>
            <w:r>
              <w:rPr>
                <w:rFonts w:hint="eastAsia" w:ascii="仿宋_GB2312" w:hAnsi="仿宋" w:eastAsia="仿宋_GB2312" w:cs="宋体"/>
                <w:b/>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宋体" w:hAnsi="宋体" w:cs="宋体"/>
                <w:b/>
                <w:bCs/>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hint="eastAsia" w:ascii="仿宋" w:hAnsi="仿宋" w:eastAsia="仿宋" w:cs="仿宋"/>
                <w:sz w:val="24"/>
                <w:szCs w:val="24"/>
              </w:rPr>
            </w:pPr>
            <w:r>
              <w:rPr>
                <w:rFonts w:hint="eastAsia" w:ascii="仿宋" w:hAnsi="仿宋" w:eastAsia="仿宋" w:cs="仿宋"/>
                <w:sz w:val="24"/>
                <w:szCs w:val="24"/>
              </w:rPr>
              <w:t>招标服务费：本次代理服务费由中标单位支付，代理费用付款按《招标代理服务收费管理暂行办法》的通知（计价格[2002]1980号）文件直接支付给分散采购招标代理单位，投标人在报价时应综合考虑该笔费用。</w:t>
            </w:r>
          </w:p>
          <w:p>
            <w:pPr>
              <w:pStyle w:val="36"/>
              <w:spacing w:line="360" w:lineRule="auto"/>
              <w:rPr>
                <w:rFonts w:hint="eastAsia" w:ascii="仿宋" w:hAnsi="仿宋" w:eastAsia="仿宋" w:cs="仿宋"/>
                <w:sz w:val="24"/>
                <w:szCs w:val="24"/>
              </w:rPr>
            </w:pPr>
            <w:r>
              <w:rPr>
                <w:rFonts w:hint="eastAsia" w:ascii="仿宋" w:hAnsi="仿宋" w:eastAsia="仿宋" w:cs="仿宋"/>
                <w:sz w:val="24"/>
                <w:szCs w:val="24"/>
              </w:rPr>
              <w:t>招标代理服务费：</w:t>
            </w:r>
            <w:r>
              <w:rPr>
                <w:rFonts w:hint="eastAsia" w:ascii="仿宋" w:hAnsi="仿宋" w:eastAsia="仿宋" w:cs="仿宋"/>
                <w:sz w:val="24"/>
                <w:szCs w:val="24"/>
                <w:lang w:val="en-US" w:eastAsia="zh-CN"/>
              </w:rPr>
              <w:t>49500</w:t>
            </w:r>
            <w:r>
              <w:rPr>
                <w:rFonts w:hint="eastAsia" w:ascii="仿宋" w:hAnsi="仿宋" w:eastAsia="仿宋" w:cs="仿宋"/>
                <w:sz w:val="24"/>
                <w:szCs w:val="24"/>
              </w:rPr>
              <w:t>元。</w:t>
            </w:r>
          </w:p>
          <w:p>
            <w:pPr>
              <w:pStyle w:val="36"/>
              <w:spacing w:line="360" w:lineRule="auto"/>
              <w:rPr>
                <w:rFonts w:hint="eastAsia" w:ascii="仿宋" w:hAnsi="仿宋" w:eastAsia="仿宋" w:cs="仿宋"/>
                <w:sz w:val="24"/>
                <w:szCs w:val="24"/>
              </w:rPr>
            </w:pPr>
            <w:r>
              <w:rPr>
                <w:rFonts w:hint="eastAsia" w:ascii="仿宋" w:hAnsi="仿宋" w:eastAsia="仿宋" w:cs="仿宋"/>
                <w:sz w:val="24"/>
                <w:szCs w:val="24"/>
              </w:rPr>
              <w:t xml:space="preserve">中标服务费的交纳方式：以转帐或支票的形式支付，开户行名称：杭州银行临平支行 </w:t>
            </w:r>
          </w:p>
          <w:p>
            <w:pPr>
              <w:pStyle w:val="36"/>
              <w:spacing w:line="360" w:lineRule="auto"/>
              <w:rPr>
                <w:rFonts w:hint="eastAsia" w:ascii="仿宋" w:hAnsi="仿宋" w:eastAsia="仿宋" w:cs="仿宋"/>
                <w:sz w:val="24"/>
                <w:szCs w:val="24"/>
              </w:rPr>
            </w:pPr>
            <w:r>
              <w:rPr>
                <w:rFonts w:hint="eastAsia" w:ascii="仿宋" w:hAnsi="仿宋" w:eastAsia="仿宋" w:cs="仿宋"/>
                <w:sz w:val="24"/>
                <w:szCs w:val="24"/>
              </w:rPr>
              <w:t>银行账号：3301040160010156217</w:t>
            </w:r>
          </w:p>
          <w:p>
            <w:pPr>
              <w:pStyle w:val="36"/>
              <w:spacing w:line="360" w:lineRule="auto"/>
              <w:rPr>
                <w:rFonts w:ascii="仿宋_GB2312" w:hAnsi="仿宋" w:eastAsia="仿宋_GB2312" w:cs="Times New Roman"/>
                <w:kern w:val="28"/>
                <w:sz w:val="24"/>
                <w:szCs w:val="24"/>
              </w:rPr>
            </w:pPr>
            <w:r>
              <w:rPr>
                <w:rFonts w:hint="eastAsia" w:ascii="仿宋" w:hAnsi="仿宋" w:eastAsia="仿宋" w:cs="仿宋"/>
                <w:sz w:val="24"/>
                <w:szCs w:val="24"/>
              </w:rPr>
              <w:t>收款单位（户名）:南越建设管理有限公司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eastAsia="zh-CN"/>
              </w:rPr>
              <w:t>Z</w:t>
            </w:r>
            <w:r>
              <w:rPr>
                <w:rFonts w:hint="eastAsia" w:ascii="仿宋_GB2312" w:hAnsi="仿宋" w:eastAsia="仿宋_GB2312" w:cs="仿宋_GB2312"/>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bCs/>
              </w:rPr>
            </w:pPr>
            <w:r>
              <w:rPr>
                <w:rFonts w:hint="eastAsia" w:ascii="宋体" w:hAnsi="宋体" w:cs="宋体"/>
                <w:b/>
                <w:bCs/>
              </w:rPr>
              <w:t>纸质投标文件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ascii="仿宋_GB2312" w:hAnsi="仿宋" w:eastAsia="仿宋_GB2312" w:cs="Times New Roman"/>
                <w:kern w:val="28"/>
                <w:sz w:val="24"/>
                <w:szCs w:val="24"/>
              </w:rPr>
            </w:pPr>
            <w:r>
              <w:rPr>
                <w:rFonts w:hint="eastAsia" w:ascii="仿宋" w:hAnsi="仿宋" w:eastAsia="仿宋" w:cs="仿宋"/>
                <w:sz w:val="24"/>
                <w:szCs w:val="24"/>
              </w:rPr>
              <w:t>中标单位需在领取中标通知书时，提供本项目纸质投标文件（资格文件”、“报价文件”和</w:t>
            </w:r>
            <w:bookmarkStart w:id="558" w:name="_GoBack"/>
            <w:bookmarkEnd w:id="558"/>
            <w:r>
              <w:rPr>
                <w:rFonts w:hint="eastAsia" w:ascii="仿宋" w:hAnsi="仿宋" w:eastAsia="仿宋" w:cs="仿宋"/>
                <w:sz w:val="24"/>
                <w:szCs w:val="24"/>
              </w:rPr>
              <w:t>“商务技术文件”） 四份（正本一份，副本 三 份）并提供电子投标文件与纸质投标文件内容一致承诺书三份（详见采购文件格式）。</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第三部分"/>
      <w:bookmarkStart w:id="12" w:name="_Toc164416483"/>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highlight w:val="yellow"/>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对于未预留份额专门面向中小企业的政府采购货物或服务项目，以及预留份额政府采购货物或服务项目中的非预留部分标项，对小型和微型企业的投标报价给予8</w:t>
      </w:r>
      <w:r>
        <w:rPr>
          <w:rFonts w:ascii="仿宋_GB2312" w:hAnsi="仿宋" w:eastAsia="仿宋_GB2312"/>
          <w:sz w:val="24"/>
        </w:rPr>
        <w:t>%的扣除，用扣除后的价格参与评审。接受大中型企业与小微企业组成联合体或者允许大中型企业向一家或者多家小微企业分包的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sz w:val="24"/>
        </w:rPr>
        <w:t>3.4.2</w:t>
      </w:r>
      <w:r>
        <w:rPr>
          <w:rFonts w:ascii="仿宋_GB2312" w:hAnsi="仿宋" w:eastAsia="仿宋_GB2312"/>
          <w:color w:val="000000" w:themeColor="text1"/>
          <w:sz w:val="24"/>
          <w14:textFill>
            <w14:solidFill>
              <w14:schemeClr w14:val="tx1"/>
            </w14:solidFill>
          </w14:textFill>
        </w:rPr>
        <w:t>首台套产品</w:t>
      </w:r>
      <w:r>
        <w:rPr>
          <w:rFonts w:hint="eastAsia" w:ascii="仿宋_GB2312" w:hAnsi="仿宋" w:eastAsia="仿宋_GB2312"/>
          <w:color w:val="000000" w:themeColor="text1"/>
          <w:sz w:val="24"/>
          <w14:textFill>
            <w14:solidFill>
              <w14:schemeClr w14:val="tx1"/>
            </w14:solidFill>
          </w14:textFill>
        </w:rPr>
        <w:t>被纳入《首台套产品推广应用指导目录》之日起</w:t>
      </w:r>
      <w:r>
        <w:rPr>
          <w:rFonts w:ascii="仿宋_GB2312" w:hAnsi="仿宋" w:eastAsia="仿宋_GB2312"/>
          <w:color w:val="000000" w:themeColor="text1"/>
          <w:sz w:val="24"/>
          <w14:textFill>
            <w14:solidFill>
              <w14:schemeClr w14:val="tx1"/>
            </w14:solidFill>
          </w14:textFill>
        </w:rPr>
        <w:t>2年内，以及产品核心技术高于国内领先水平，并具有明晰自主知识产权的“制造精品”产品，</w:t>
      </w:r>
      <w:r>
        <w:rPr>
          <w:rFonts w:hint="eastAsia" w:ascii="仿宋_GB2312" w:hAnsi="仿宋" w:eastAsia="仿宋_GB2312"/>
          <w:color w:val="000000" w:themeColor="text1"/>
          <w:sz w:val="24"/>
          <w14:textFill>
            <w14:solidFill>
              <w14:schemeClr w14:val="tx1"/>
            </w14:solidFill>
          </w14:textFill>
        </w:rPr>
        <w:t>自认定之日起</w:t>
      </w:r>
      <w:r>
        <w:rPr>
          <w:rFonts w:ascii="仿宋_GB2312" w:hAnsi="仿宋" w:eastAsia="仿宋_GB2312"/>
          <w:color w:val="000000" w:themeColor="text1"/>
          <w:sz w:val="24"/>
          <w14:textFill>
            <w14:solidFill>
              <w14:schemeClr w14:val="tx1"/>
            </w14:solidFill>
          </w14:textFill>
        </w:rPr>
        <w:t>2年内视同已具备相应销售业绩，参加政府采购活动</w:t>
      </w:r>
      <w:r>
        <w:rPr>
          <w:rFonts w:hint="eastAsia" w:ascii="仿宋_GB2312" w:hAnsi="仿宋" w:eastAsia="仿宋_GB2312"/>
          <w:color w:val="000000" w:themeColor="text1"/>
          <w:sz w:val="24"/>
          <w14:textFill>
            <w14:solidFill>
              <w14:schemeClr w14:val="tx1"/>
            </w14:solidFill>
          </w14:textFill>
        </w:rPr>
        <w:t>时业绩分值为满分。</w:t>
      </w:r>
    </w:p>
    <w:p>
      <w:pPr>
        <w:spacing w:line="360" w:lineRule="auto"/>
        <w:rPr>
          <w:rFonts w:ascii="仿宋_GB2312" w:hAnsi="仿宋" w:eastAsia="仿宋_GB2312"/>
          <w:b/>
          <w:sz w:val="24"/>
        </w:rPr>
      </w:pPr>
      <w:r>
        <w:rPr>
          <w:rFonts w:ascii="仿宋_GB2312" w:hAnsi="仿宋" w:eastAsia="仿宋_GB2312"/>
          <w:color w:val="000000" w:themeColor="text1"/>
          <w:sz w:val="24"/>
          <w14:textFill>
            <w14:solidFill>
              <w14:schemeClr w14:val="tx1"/>
            </w14:solidFill>
          </w14:textFill>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000000" w:themeColor="text1"/>
          <w:sz w:val="24"/>
          <w14:textFill>
            <w14:solidFill>
              <w14:schemeClr w14:val="tx1"/>
            </w14:solidFill>
          </w14:textFill>
        </w:rPr>
        <w:t>登录</w:t>
      </w:r>
      <w:r>
        <w:rPr>
          <w:rFonts w:ascii="仿宋_GB2312" w:hAnsi="仿宋" w:eastAsia="仿宋_GB2312"/>
          <w:color w:val="000000" w:themeColor="text1"/>
          <w:sz w:val="24"/>
          <w14:textFill>
            <w14:solidFill>
              <w14:schemeClr w14:val="tx1"/>
            </w14:solidFill>
          </w14:textFill>
        </w:rPr>
        <w:t>杭州市政府采购网“中小企业信用融资”模块，查看信用融资政策文件及各相关银行服务方案。</w:t>
      </w:r>
      <w:r>
        <w:rPr>
          <w:rFonts w:ascii="仿宋_GB2312" w:hAnsi="仿宋" w:eastAsia="仿宋_GB2312"/>
          <w:color w:val="000000" w:themeColor="text1"/>
          <w:sz w:val="24"/>
          <w14:textFill>
            <w14:solidFill>
              <w14:schemeClr w14:val="tx1"/>
            </w14:solidFill>
          </w14:textFill>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6"/>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9"/>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6"/>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6"/>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6"/>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6"/>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6"/>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6"/>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6"/>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6"/>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4"/>
        <w:shd w:val="clear" w:color="auto" w:fill="FFFFFF"/>
        <w:snapToGrid w:val="0"/>
        <w:spacing w:after="240" w:afterAutospacing="0" w:line="360" w:lineRule="auto"/>
        <w:ind w:firstLine="400"/>
        <w:contextualSpacing/>
        <w:rPr>
          <w:rFonts w:ascii="仿宋_GB2312" w:hAnsi="仿宋" w:eastAsia="仿宋_GB2312"/>
          <w:color w:val="000000" w:themeColor="text1"/>
          <w14:textFill>
            <w14:solidFill>
              <w14:schemeClr w14:val="tx1"/>
            </w14:solidFill>
          </w14:textFill>
        </w:rPr>
      </w:pPr>
      <w:r>
        <w:rPr>
          <w:rFonts w:ascii="仿宋_GB2312" w:hAnsi="仿宋" w:eastAsia="仿宋_GB2312" w:cs="微软雅黑"/>
          <w:color w:val="000000" w:themeColor="text1"/>
          <w:lang w:val="zh-CN"/>
          <w14:textFill>
            <w14:solidFill>
              <w14:schemeClr w14:val="tx1"/>
            </w14:solidFill>
          </w14:textFill>
        </w:rPr>
        <w:t>4.2</w:t>
      </w:r>
      <w:r>
        <w:rPr>
          <w:rFonts w:ascii="仿宋_GB2312" w:hAnsi="仿宋" w:eastAsia="仿宋_GB2312"/>
          <w:color w:val="000000" w:themeColor="text1"/>
          <w14:textFill>
            <w14:solidFill>
              <w14:schemeClr w14:val="tx1"/>
            </w14:solidFill>
          </w14:textFill>
        </w:rPr>
        <w:t>.4</w:t>
      </w:r>
      <w:r>
        <w:rPr>
          <w:rFonts w:hint="eastAsia" w:ascii="仿宋_GB2312" w:hAnsi="仿宋" w:eastAsia="仿宋_GB2312"/>
          <w:color w:val="000000" w:themeColor="text1"/>
          <w14:textFill>
            <w14:solidFill>
              <w14:schemeClr w14:val="tx1"/>
            </w14:solidFill>
          </w14:textFill>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000000" w:themeColor="text1"/>
          <w14:textFill>
            <w14:solidFill>
              <w14:schemeClr w14:val="tx1"/>
            </w14:solidFill>
          </w14:textFill>
        </w:rPr>
        <w:t>2021〕17号）,</w:t>
      </w:r>
      <w:r>
        <w:rPr>
          <w:rFonts w:hint="eastAsia" w:ascii="仿宋_GB2312" w:hAnsi="仿宋" w:eastAsia="仿宋_GB2312"/>
          <w:color w:val="000000" w:themeColor="text1"/>
          <w14:textFill>
            <w14:solidFill>
              <w14:schemeClr w14:val="tx1"/>
            </w14:solidFill>
          </w14:textFill>
        </w:rPr>
        <w:t>采购人或者采购机构在质疑回复后</w:t>
      </w:r>
      <w:r>
        <w:rPr>
          <w:rFonts w:ascii="仿宋_GB2312" w:hAnsi="仿宋" w:eastAsia="仿宋_GB2312"/>
          <w:color w:val="000000" w:themeColor="text1"/>
          <w14:textFill>
            <w14:solidFill>
              <w14:schemeClr w14:val="tx1"/>
            </w14:solidFill>
          </w14:textFill>
        </w:rPr>
        <w:t>5个工作日内，在浙江政府采购网的“其他公告”栏目公开质疑答复，答复内容应当完整。质疑</w:t>
      </w:r>
      <w:r>
        <w:rPr>
          <w:rFonts w:hint="eastAsia" w:ascii="仿宋_GB2312" w:hAnsi="仿宋" w:eastAsia="仿宋_GB2312"/>
          <w:color w:val="000000" w:themeColor="text1"/>
          <w14:textFill>
            <w14:solidFill>
              <w14:schemeClr w14:val="tx1"/>
            </w14:solidFill>
          </w14:textFill>
        </w:rPr>
        <w:t>函作为附件上传。</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574"/>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88"/>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6"/>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88"/>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88"/>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7"/>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6"/>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9"/>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11.1</w:t>
      </w:r>
      <w:r>
        <w:rPr>
          <w:rFonts w:hint="eastAsia" w:ascii="仿宋_GB2312" w:hAnsi="仿宋" w:eastAsia="仿宋_GB2312" w:cs="仿宋_GB2312"/>
          <w:b/>
          <w:color w:val="000000" w:themeColor="text1"/>
          <w:sz w:val="24"/>
          <w14:textFill>
            <w14:solidFill>
              <w14:schemeClr w14:val="tx1"/>
            </w14:solidFill>
          </w14:textFill>
        </w:rPr>
        <w:t>资格文件</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11.1.2落实政府采购政策需满足的资格要求；</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88"/>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88"/>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88"/>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88"/>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88"/>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88"/>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8"/>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88"/>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6"/>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6"/>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hint="eastAsia" w:ascii="仿宋_GB2312" w:hAnsi="仿宋" w:eastAsia="仿宋_GB2312"/>
          <w:sz w:val="24"/>
        </w:rPr>
        <w:t>U盘</w:t>
      </w:r>
      <w:r>
        <w:rPr>
          <w:rFonts w:hint="eastAsia" w:ascii="仿宋_GB2312" w:hAnsi="仿宋" w:eastAsia="仿宋_GB2312" w:cs="仿宋_GB2312"/>
          <w:sz w:val="24"/>
          <w:szCs w:val="24"/>
        </w:rPr>
        <w:t>中。备份投标文件应当密封包装并在包装上加盖公章并注明投标鸬鸟镇社会治理综合服务中心提升项目，投标人名称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6"/>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6"/>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88"/>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3"/>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88"/>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88"/>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88"/>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88"/>
        <w:spacing w:before="0"/>
        <w:ind w:firstLine="643"/>
        <w:rPr>
          <w:rFonts w:ascii="仿宋_GB2312" w:hAnsi="仿宋" w:eastAsia="仿宋_GB2312" w:cs="仿宋_GB2312"/>
          <w:b/>
          <w:sz w:val="32"/>
        </w:rPr>
      </w:pPr>
    </w:p>
    <w:p>
      <w:pPr>
        <w:pStyle w:val="88"/>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3"/>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243"/>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3"/>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43"/>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88"/>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88"/>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8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8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88"/>
        <w:spacing w:before="0"/>
        <w:ind w:firstLine="0" w:firstLineChars="0"/>
        <w:rPr>
          <w:rFonts w:ascii="仿宋_GB2312" w:hAnsi="仿宋" w:eastAsia="仿宋_GB2312" w:cs="仿宋_GB2312"/>
          <w:b/>
          <w:color w:val="000000" w:themeColor="text1"/>
          <w:szCs w:val="24"/>
          <w14:textFill>
            <w14:solidFill>
              <w14:schemeClr w14:val="tx1"/>
            </w14:solidFill>
          </w14:textFill>
        </w:rPr>
      </w:pPr>
      <w:r>
        <w:rPr>
          <w:rFonts w:ascii="仿宋_GB2312" w:hAnsi="仿宋" w:eastAsia="仿宋_GB2312" w:cs="仿宋_GB2312"/>
          <w:b/>
          <w:color w:val="000000" w:themeColor="text1"/>
          <w:szCs w:val="24"/>
          <w14:textFill>
            <w14:solidFill>
              <w14:schemeClr w14:val="tx1"/>
            </w14:solidFill>
          </w14:textFill>
        </w:rPr>
        <w:t>20、信用信息查询</w:t>
      </w:r>
    </w:p>
    <w:p>
      <w:pPr>
        <w:pStyle w:val="88"/>
        <w:spacing w:before="0"/>
        <w:ind w:firstLine="495" w:firstLineChars="0"/>
        <w:rPr>
          <w:rFonts w:ascii="仿宋_GB2312" w:hAnsi="仿宋" w:eastAsia="仿宋_GB2312" w:cs="Arial"/>
          <w:color w:val="000000" w:themeColor="text1"/>
          <w:kern w:val="0"/>
          <w:szCs w:val="24"/>
          <w14:textFill>
            <w14:solidFill>
              <w14:schemeClr w14:val="tx1"/>
            </w14:solidFill>
          </w14:textFill>
        </w:rPr>
      </w:pPr>
      <w:r>
        <w:rPr>
          <w:rFonts w:ascii="仿宋_GB2312" w:hAnsi="仿宋" w:eastAsia="仿宋_GB2312" w:cs="Arial"/>
          <w:color w:val="000000" w:themeColor="text1"/>
          <w:kern w:val="0"/>
          <w:szCs w:val="24"/>
          <w14:textFill>
            <w14:solidFill>
              <w14:schemeClr w14:val="tx1"/>
            </w14:solidFill>
          </w14:textFill>
        </w:rPr>
        <w:t>20.1信用信息查询渠道及截止时间：采购机构将通过“信用中国”网站(www.creditchina.gov.cn)、中国政府采购网(www.ccgp.gov.cn)渠道查询投标人投标截止时间当天的信用记录。</w:t>
      </w:r>
    </w:p>
    <w:p>
      <w:pPr>
        <w:pStyle w:val="8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8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88"/>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3"/>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88"/>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88"/>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w:t>
      </w:r>
      <w:r>
        <w:rPr>
          <w:rFonts w:hint="eastAsia" w:ascii="仿宋_GB2312" w:hAnsi="仿宋" w:eastAsia="仿宋_GB2312" w:cs="仿宋_GB2312"/>
          <w:sz w:val="24"/>
        </w:rPr>
        <w:t>鸬鸟镇社会治理综合服务中心提升项目</w:t>
      </w:r>
      <w:r>
        <w:rPr>
          <w:rFonts w:ascii="仿宋_GB2312" w:hAnsi="仿宋" w:eastAsia="仿宋_GB2312" w:cs="仿宋_GB2312"/>
          <w:sz w:val="24"/>
        </w:rPr>
        <w:t>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3"/>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3"/>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88"/>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8"/>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88"/>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88"/>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3"/>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w:t>
      </w:r>
      <w:r>
        <w:rPr>
          <w:rFonts w:ascii="仿宋_GB2312" w:hAnsi="仿宋" w:eastAsia="仿宋_GB2312"/>
          <w:sz w:val="24"/>
        </w:rPr>
        <w:t>5%。</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color w:val="000000" w:themeColor="text1"/>
          <w:sz w:val="24"/>
          <w:szCs w:val="20"/>
          <w14:textFill>
            <w14:solidFill>
              <w14:schemeClr w14:val="tx1"/>
            </w14:solidFill>
          </w14:textFill>
        </w:rPr>
      </w:pPr>
      <w:r>
        <w:rPr>
          <w:rFonts w:hint="eastAsia" w:ascii="仿宋_GB2312" w:hAnsi="仿宋" w:eastAsia="仿宋_GB2312" w:cs="仿宋_GB2312"/>
          <w:color w:val="000000" w:themeColor="text1"/>
          <w:sz w:val="24"/>
          <w:szCs w:val="20"/>
          <w14:textFill>
            <w14:solidFill>
              <w14:schemeClr w14:val="tx1"/>
            </w14:solidFill>
          </w14:textFill>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5%。</w:t>
      </w:r>
    </w:p>
    <w:p>
      <w:pPr>
        <w:pStyle w:val="7"/>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88"/>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88"/>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88"/>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88"/>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88"/>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88"/>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88"/>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3"/>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firstLineChars="200"/>
        <w:rPr>
          <w:rFonts w:ascii="仿宋_GB2312" w:hAnsi="仿宋" w:eastAsia="仿宋_GB2312" w:cs="Helvetica"/>
          <w:kern w:val="0"/>
          <w:sz w:val="24"/>
        </w:rPr>
      </w:pPr>
      <w:bookmarkStart w:id="14" w:name="_Hlt74729768"/>
      <w:bookmarkEnd w:id="14"/>
      <w:bookmarkStart w:id="15" w:name="_Hlt74730295"/>
      <w:bookmarkEnd w:id="15"/>
      <w:bookmarkStart w:id="16" w:name="_Hlt68072990"/>
      <w:bookmarkEnd w:id="16"/>
      <w:bookmarkStart w:id="17" w:name="_Hlt68073093"/>
      <w:bookmarkEnd w:id="17"/>
      <w:bookmarkStart w:id="18" w:name="_Hlt74707468"/>
      <w:bookmarkEnd w:id="18"/>
      <w:bookmarkStart w:id="19" w:name="_Hlt74714665"/>
      <w:bookmarkEnd w:id="19"/>
      <w:bookmarkStart w:id="20" w:name="_Hlt75236290"/>
      <w:bookmarkEnd w:id="20"/>
      <w:bookmarkStart w:id="21" w:name="_Hlt68403820"/>
      <w:bookmarkEnd w:id="21"/>
      <w:bookmarkStart w:id="22" w:name="_Hlt75236101"/>
      <w:bookmarkEnd w:id="22"/>
      <w:bookmarkStart w:id="23" w:name="_Hlt68057669"/>
      <w:bookmarkEnd w:id="23"/>
      <w:bookmarkStart w:id="24" w:name="_Hlt75236011"/>
      <w:bookmarkEnd w:id="24"/>
      <w:bookmarkStart w:id="25" w:name="_Hlt68072998"/>
      <w:bookmarkEnd w:id="25"/>
      <w:r>
        <w:rPr>
          <w:rFonts w:hint="eastAsia" w:ascii="仿宋_GB2312" w:hAnsi="仿宋" w:eastAsia="仿宋_GB2312" w:cs="Helvetica"/>
          <w:kern w:val="0"/>
          <w:sz w:val="24"/>
        </w:rPr>
        <w:t>29.5根据余财采〔2020〕14号《关于转发《杭州市政府采购履约验收暂行办法》的通知》执行。验收费用为中标价的1%，费用由中标人支付。</w:t>
      </w:r>
    </w:p>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spacing w:line="360" w:lineRule="auto"/>
        <w:rPr>
          <w:rFonts w:ascii="宋体" w:hAnsi="宋体"/>
          <w:b/>
          <w:bCs/>
          <w:sz w:val="24"/>
        </w:rPr>
      </w:pPr>
      <w:r>
        <w:rPr>
          <w:rFonts w:hint="eastAsia" w:ascii="宋体" w:hAnsi="宋体"/>
          <w:b/>
          <w:bCs/>
          <w:sz w:val="24"/>
        </w:rPr>
        <w:t>一、项目概况：</w:t>
      </w:r>
    </w:p>
    <w:p>
      <w:pPr>
        <w:spacing w:line="360" w:lineRule="auto"/>
        <w:rPr>
          <w:rFonts w:ascii="仿宋" w:hAnsi="仿宋" w:eastAsia="仿宋" w:cs="仿宋"/>
          <w:color w:val="000000"/>
          <w:sz w:val="27"/>
          <w:szCs w:val="27"/>
        </w:rPr>
      </w:pPr>
      <w:r>
        <w:rPr>
          <w:rFonts w:hint="eastAsia" w:ascii="仿宋_GB2312" w:hAnsi="仿宋" w:eastAsia="仿宋_GB2312" w:cs="仿宋_GB2312"/>
          <w:b/>
          <w:sz w:val="36"/>
          <w:szCs w:val="36"/>
        </w:rPr>
        <w:t xml:space="preserve">  </w:t>
      </w:r>
      <w:r>
        <w:rPr>
          <w:rFonts w:hint="eastAsia" w:ascii="仿宋" w:hAnsi="仿宋" w:eastAsia="仿宋" w:cs="仿宋"/>
          <w:sz w:val="24"/>
        </w:rPr>
        <w:t>本项目采购内容为鸬鸟镇社会治理综合服务中心提升项目所需设备及系统的采购、安装、集成、维护、售后等。</w:t>
      </w:r>
    </w:p>
    <w:p>
      <w:pPr>
        <w:numPr>
          <w:ilvl w:val="0"/>
          <w:numId w:val="1"/>
        </w:numPr>
        <w:spacing w:line="360" w:lineRule="auto"/>
        <w:rPr>
          <w:rFonts w:ascii="宋体" w:hAnsi="宋体"/>
          <w:b/>
          <w:bCs/>
          <w:sz w:val="24"/>
        </w:rPr>
      </w:pPr>
      <w:r>
        <w:rPr>
          <w:rFonts w:hint="eastAsia" w:ascii="宋体" w:hAnsi="宋体"/>
          <w:b/>
          <w:bCs/>
          <w:sz w:val="24"/>
        </w:rPr>
        <w:t>服务内容</w:t>
      </w:r>
    </w:p>
    <w:p>
      <w:pPr>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Hans"/>
        </w:rPr>
        <w:t>本着先进性、实用性、可靠性和可扩展性的原则，在最大程度保障本项目正常运行的前提下，设备的布点和安装应以人体工学为出发点，需具备合理性和使用上的舒适性。采购的设备应包括但不限于以下清单内容，设备数量应满足以下清单，可根据最终现场略微调整。</w:t>
      </w:r>
    </w:p>
    <w:p>
      <w:pPr>
        <w:spacing w:line="360" w:lineRule="auto"/>
        <w:rPr>
          <w:rFonts w:ascii="仿宋" w:hAnsi="仿宋" w:eastAsia="仿宋" w:cs="仿宋"/>
          <w:b/>
          <w:bCs/>
          <w:sz w:val="24"/>
          <w:lang w:eastAsia="zh-Hans"/>
        </w:rPr>
      </w:pPr>
      <w:r>
        <w:rPr>
          <w:rFonts w:hint="eastAsia" w:ascii="仿宋" w:hAnsi="仿宋" w:eastAsia="仿宋" w:cs="仿宋"/>
          <w:b/>
          <w:bCs/>
          <w:sz w:val="24"/>
          <w:lang w:eastAsia="zh-Hans"/>
        </w:rPr>
        <w:t>采购清单：</w:t>
      </w:r>
    </w:p>
    <w:tbl>
      <w:tblPr>
        <w:tblStyle w:val="65"/>
        <w:tblW w:w="0" w:type="auto"/>
        <w:tblInd w:w="93" w:type="dxa"/>
        <w:tblLayout w:type="autofit"/>
        <w:tblCellMar>
          <w:top w:w="0" w:type="dxa"/>
          <w:left w:w="108" w:type="dxa"/>
          <w:bottom w:w="0" w:type="dxa"/>
          <w:right w:w="108" w:type="dxa"/>
        </w:tblCellMar>
      </w:tblPr>
      <w:tblGrid>
        <w:gridCol w:w="540"/>
        <w:gridCol w:w="1023"/>
        <w:gridCol w:w="5057"/>
        <w:gridCol w:w="621"/>
        <w:gridCol w:w="621"/>
        <w:gridCol w:w="540"/>
      </w:tblGrid>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参数要求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备注</w:t>
            </w:r>
          </w:p>
        </w:tc>
      </w:tr>
      <w:tr>
        <w:tblPrEx>
          <w:tblCellMar>
            <w:top w:w="0" w:type="dxa"/>
            <w:left w:w="108" w:type="dxa"/>
            <w:bottom w:w="0" w:type="dxa"/>
            <w:right w:w="108" w:type="dxa"/>
          </w:tblCellMar>
        </w:tblPrEx>
        <w:trPr>
          <w:trHeight w:val="54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1显示系统</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室内全彩显示屏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1）小间距LED全彩显示屏；</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2）像素间距：1.26mm；</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★3）当控制卡的网络环境变化后，能自动获取控制卡的IP地址，防止网络环境变化后，使用者无法登陆设备（提供首页具有CNAS标识的第三方检测报告复印件并加盖厂家公章）</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4）屏幕宽高比：16:9，压铸铝材质；</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5）像素结构：LED表贴三合一；</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★6）投标产品可通过遥控器的操作，对图像的对比度、清晰度、饱和度、色温以及图像模式进行调节设置。（提供首页具有CNAS标识的第三方检测报告复印件并加盖厂家公章）</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7）像素密度：≥629 881点/㎡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8）光学参数：显示屏亮度≥400nits，色温3200K-9300K可调，水平视角160°、垂直视角160°，推荐视距≥2m，亮度均匀性≥97%，色度均匀性±0.003Cx,Cy之内，最大对比度≥3000:1；刷新率：3840Hz</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9）电气参数：峰值功耗650W/㎡，平均功耗170W/㎡，供电要求220VAC±15%；</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10）寿命：≥10万小时，工作温度范围0—40℃，存储温度范围-10—50℃，工作湿度范围（RH）无结露10-60%，存储湿度范围（RH）无结露10-70%。</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11）功能特性：支持任意方向、任意尺寸、任意造型拼接，画面均匀一致，无黑线，实现真正无缝拼接。</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12）维护方式：灯板、电源、接收卡可实现正面拆卸，支持完全前维护。</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13) 冗余备份：标配单电源，可定制双电源，支持信号备份，但需要发送卡翻倍</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★14）投标产品的客户端、遥控器更改设置时，屏幕出现OSD 提示菜单。（提供首页具有CNAS标识的第三方检测报告复印件并加盖厂家公章）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LED发送卡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1)LED全彩显示屏控制器,1路DVI输入1路HDMI输入，6路网口输出</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2)带载分辨率1920x1200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LED辅材配件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 一般用于箱体产品</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2）落地安装</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3）屏表面离后墙70cm</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4）地面需考虑承重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软件平台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1）★系统具备 C/S 和 B/S 结构，可通过客户端软件、平板和浏览器对大屏系统进行统一管理，包括大屏门户、 场景配置、预案切换、远程操控、 信号控制、 一键上墙、内容切换、多屏互动、窗口叠加/拼接/漫游/放大/缩小/移动/关闭等操作；支持查看信号源实时画面，实时查看大屏中正在播放的内容等功能（提供公安部监测报告并加盖厂家公章）</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大屏上支持显示配置好的门户，作为统一的门户入口，可控制单块或多块屏幕一起切换；支持自定义设置门户标题、背景图片、菜单名称、菜单图片、菜单链接内容，包含页面、场景、二级门户等（提供公安部监测报告并加盖厂家公章）</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★3）可控制大屏的智能控制功能，包括广告、会议、监控、护眼模式的开启屏保，以及对具有除湿功能的大屏进行除湿（提供公安部监测报告并加盖厂家公章）</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★4）支持通过平板设置大屏门户菜单，可切换屏幕进行内容显示；支持通过门户菜单实现对大屏内容显示的导航操作；支持控制正在播放视频的进度，启动、停止播放；支持在平板上进行 PPT 上一页、下一页等操作；支持同步 WEB 端平台添加的所有内容，可实时切换大屏中显示的网页、视频、图片等；支持查看场景详情；支持拖动信号源至场景，可设置该信号窗口的大小、位置、置顶、放大/还原、层级等；支持查看场景下的信号源列表；支持查看预案、启动预案、停止预案；支持通过鹰眼视图框选大屏局部进行查看和控制；支持查看服务器 cpu、 gpu、内存参数；可实时查看大屏正在播放内容；可在播放信号源内容之前进行预查看，不影响大屏内容当前显示的内容；支持在平板上移动、删除虚拟 LED；支持实时查看大屏显示的内容，可远程操控数据可视化面板、AR 客户端、VR 网页端、第三方业务系统等。（提供公安部监测报告并加盖厂家公章）</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★5）支持屏幕、网页、窗口等类型投屏，不需要外接物理线缆；通过电脑/平板远程控制播控主机，并可实时显示画面，支持设置抓屏区域的分辨率，可设置为7680×2160、 3840×2160、 2736×1824、 1920×1080、 1280×720；（提供公安部监测报告并加盖厂家公章）</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★6）支持可视化展示播控主机、屏幕、拼控器、中控主机、 PC 主机等设备的在离线统计信息以及播控主机的页面数量、分辨率、温度、稳定运行时长、设备告警等信息（提供公安部监测报告并加盖厂家公章）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LED辅材配件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1) 类型：20KW配电柜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2) 控制：PLC控制器，网络远程控制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3）元器件：断路器，接触器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4) 输入电压：380V，三相五线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5）输出电压：220V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6）输出回路：6个单相回路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C10S集中式拼控器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新一代的纯硬件图像处理设备，适用于LCD拼接屏、LED屏幕、DLP拼接屏等，拥有全新的系统构架、数据交换体系、数据处理方式和设备结构，系统带宽高，支持多路高清信号的接入和实时处理，是一款性能强大的高端图像处理设备。</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机箱描述：4U机箱（含主控板和电源），9个槽位（6个输入板槽位，3个输出板槽位）</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接口：支持VGA、DVI、HDMI、DP及IP源多种信号源采集；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解码板支持2路800W（2路600w或2路500W或8路1080P或16路720P或32路D1）网络信号解码上墙，且支持本地录像文件回放上墙；</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画面分割：单个输出口支持1/4/9/16画面分割（LED不支持9/16画面分割）；</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图层叠加：支持图层叠加，最大支持6个图层，其中包括一个虚拟LED图层和一个底图图层，虚拟LED字体大小及背景颜色可调，可选择LED滚动方式，底图分辨率可高达8192*8192；</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内置矩阵功能，可支持单个信号源开多个窗口同时显示；支持信号开窗、漫游；</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支持SADP自动搜索IP，重置管理员密码；</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支持显示墙连接调整，可以实现客户端虚拟显示墙窗口和控制器输出口任意对应；</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投标产品支持预览功能，能同时对矩阵和显示终端进行配置；设备可同时输出不同信号源视频图象，并在同一屏幕上显示；可通过屏幕编号调整分屏显示顺序；可对视频文件进行回放。提供封面具有CNAS盖章的权威检测报告。</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★投标产品支持远程控制功能，可通过客户端软件远程操作接入设备的子客户端，实现全面接管控制、划线标注、图片展示、视频播放、office文件演示功能。提供封面具有CNAS盖章的权威检测报告。</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★投标产品支持EDID自由设置功能，支持HDTVI反向云台控制功能。提供封面具有CNAS盖章的权威检测报告。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C10S集中式拼控器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2路4K HDMI输入，支持超高分融合拼接输入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C10S集中式拼控器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HDMI输出板，4路输出，4K@30Hz ,1920*1200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1024×768@60Hz,1024×768@75Hz,1360×768@60Hz,1400x1050@60Hz,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1920x1200@60Hz,720P@60Hz,1080P@60Hz</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C10S集中式拼控器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HDMI输入板，4个HDMI接口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1024×768@60Hz， 1024×768@75Hz， 1280×720@50Hz， 1280×720@60Hz，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1280×1024@60Hz， 1280×1024@75Hz， 1366×768@60Hz， 1400×1050@60Hz，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1600×1200@60Hz， 1920×1080@50Hz， 1920×1080@60Hz， 1920×1200@60Hz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（16核2.4GHz)×1/32GB DDR4/1T 7.2K SATA*2(RAID_1)/SAS_HBA/1GbE*2/550W(1+1)/2U/16DIMM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2U单路标准机架式服务器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CPU：1颗 x86架构处理器，核数≥16核，频率≥2.4GHz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内存2*16G DDR4，16根内存插槽，最大支持扩展至2TB内存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硬盘：2块1T 7.2K 3.5英寸SATA盘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可选支持12块3.5寸(兼容2.5寸)热插拔SAS/SATA硬盘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可选支持2块后置2.5寸热插拔SAS/SATA硬盘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可选支持4块NVME U.2热插拔硬盘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支持1个M.2插槽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支持1个TF插槽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阵列卡：标配SAS_HBA卡，支持RAID0/1/10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可选RAID_2G卡，支持0/1/5/6/10/50/60，可选支持断电保护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PCIE扩展：最大可支持6个PCIe扩展插槽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网口：2个千兆电口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其他接口：1个千兆RJ-45管理接口，4个USB 3.0接口，2个位于机箱后部，2个位于机箱前部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1个VGA口，位于机箱后部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电源：标配550W（1+1）白金冗余电源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支持200-240V 50/60Hz AC/HVDC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机箱规格：87.8mm(高)x 448mm(宽)x730mm(深)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设备重量：约28KG（含导轨）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拼接屏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尺寸：46英寸；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分辨率：1920x1080；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视角：178°(水平)/ 178°(垂直)；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响应时间：8ms(G to G)；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对比度：1200:1；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亮度：500cd/㎡；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物理拼缝：3.5mm；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输入接口：HDMI × 1, DVI × 1, VGA × 1；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控制接口：RS232 IN × 1, RS232 OUT × 1, USB × 1；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功耗：≤111W；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电源要求：100～240 VAC, 50/60 Hz；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寿命：≥60000 小时；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工作温度和湿度：0℃--40℃，10%--80%(无凝露)；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尺寸：1022.18 (W) mm × 576.77 (H) mm × 66.70 (D) 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LCD屏支架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标配；核算时按照电视墙屏幕数量*限价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配合新型模块化底座使用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支架特点：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1、美观、地脚隐藏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2、性价比高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3、四周包边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4、支持扩容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支架均采用SPCC优质冷轧钢板保障质量的源头；表面采用静电喷塑工艺，喷塑固化温度180-210度，涂层厚度80-100微米，对高防腐要求产品还可选择阴极电泳底漆工艺，防腐耐锈。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颜色：黑色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后拉杆长度：600-900mm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弧度：0°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开门及封板：底座前封板，含侧封板、顶盖板，无后门结构</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表面处理：静电喷塑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底座高度：600/800/1000/1200mm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厚度：400mm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材料：SPCC高强度钢板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开门及封板：前开门、后封板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后拉杆长度：不宜超过3m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LOGO：中性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底座高度：需求定制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超高清解码器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硬件图像处理设备，能够实现多路拼接和多路信号切换显示。具备高处理性能，可以实现4K@30HZ的信号输入和输出，支持多台设备级联实现更大规模的拼接。具备良好的兼容性可以实现LCD、DLP、LED屏幕的对接。适用于商场、会议室、报告厅等拼接应用场景。</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支持2路HDMI输入，支持按键切换，支持输入自定义分辨率。</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支持4路HDMI输出，支持输出自定义分辨率。</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支持3840 × 2160@60HZ输入。</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支持最大4台设备级联，实现16个屏幕拼接。</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支持显卡多口融合输入实现超高分信号接入。</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输入接口 2个HDMI 2.0</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输入分辨率 4096 × 2160@60 Hz ，4096 × 2160@30 Hz,</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3840 × 2160@60 Hz,    3840 × 2160@30 Hz,</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1920 × 1080@60 Hz, 1920 × 1080@50 Hz,</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1920 × 1200@60 Hz, 1600 × 1200@60 Hz,</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1680 × 1050@60 Hz, 1280 × 1024@60 Hz</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支持输入自定义分辨率</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输出接口 4个HDMI 输出</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输出分辨率 1920 × 1080@60 Hz, 1920 × 1200@60 Hz,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1080 × 1920@60 Hz, 1200 × 1920@60 Hz, 1280 × 720P@60 Hz</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超高清4K显示，分辨率3840 × 2160；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防眩光、防遮挡、抗强光设计，交互流畅无障碍；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一体化设计、全钢化玻璃、智能温控、绿色环保。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亮度：500 cd/m²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屏幕材质：A规屏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对角线尺寸：85.6 inch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显示模式：标准、用户、游戏、亮丽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背光源类型：LED背光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物理分辨率：3840 × 2160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对比度：6000:1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响应时间：3 ms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内存：3 GB  CPU：Cortex A73 2核 + A53 2核  1.4 G/1.1 GHz   内置存储：32 GB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操作系统：Android 8.0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输入方式：手指或专用笔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玻璃：4 mm全钢化玻璃，防眩光、防撞击、防划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网络接口：LAN × 2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音视频输出接口：LINE-OUT × 1；SPDIF-OUT × 1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音视频输入接口：TV × 1；HDMI × 2；VGA × 1；YPbPr × 1；AV-IN × 1；LINE-IN × 2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存储控制接口：前置USB (PC + Android) × 3；侧面Android-USB × 2；TOUCH-USB × 1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RS232 × 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超高清显示，支持最大分辨率3840 × 2160输入信号；</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内置无线WIFI，无需任何连线，激活后可以实现无线投屏；</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内置白板软件，支持书写批注，扫码分享；</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支持屏幕显示环通输出；</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内置多种音视频接口，方便各种设备接入；</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内置网络交换芯片，无需外接交换机；</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内置Android系统，应用丰富。</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兼容OPS/OPS-C设备，可以实现内置系统无缝切换；</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铝型材外框，超薄设计，美观大方。</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系统参数</w:t>
            </w:r>
          </w:p>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对角线尺寸：97.5 inch</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操作系统：Android 8.0</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CPU：4核A73 × 2+A53 × 2，主频1.5 GHz</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内存：3 GB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内置存储：32 GB</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触控参数</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触摸方式：红外触控</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玻璃：AG钢化玻璃</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接口参数</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音视频输入接口：HDMI IN × 2 （最大支持4K@60 Hz）, VGA × 1</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AUDIO IN × 1（最大支持1080P@60 Hz）, LINE IN × 1</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音视频输出接口：SPDIF OUT × 1 LINE OUT × 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4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2安防监控及门禁系统</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网络摄像机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200万 1/2.7" CMOS 红外网络摄像机</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侦测：虚焦侦测，场景变更侦测，区域入侵侦测，越界侦测，进入区域侦测，离开区域侦测，物品遗留侦测，物品拿取侦测，徘徊侦测，停车侦测，人员聚集侦测，快速移动侦测，音频异常侦测，音频抖升侦测，音频抖降侦测</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最低照度: 彩色：0.01 Lux @（F1.2，AGC ON），0 Lux with IR</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宽动态: 120 dB</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调节角度: 水平：0°~360°，垂直：0°~75°，旋转：0°~360°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焦距&amp;视场角: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2.8 mm，水平视场角：107.1°，垂直视场角：57°，对角视场角：127.6°</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4 mm，水平视场角：87.6°，垂直视场角：44.4°，对角视场角：104.9°</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6 mm，水平视场角：53.9°，垂直视场角：28.8°，对角视场角：62.8°</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8 mm，水平视场角：40.9°，垂直视场角：22.5°，对角视场角：47.4°</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补光灯类型: 红外灯</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补光距离: 最远可达30 m</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防补光过曝: 支持</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红外波长范围: 850 nm</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最大图像尺寸: 1920 × 1080</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视频压缩标准: 主码流：H.265/H.264</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网络存储: 支持NAS（NFS，SMB/CIFS均支持），支持MicroSD(即TF卡)/MicroSDHC/MicroSDXC卡（最大256 GB）</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网络: 1个RJ45 10 M/100 M自适应以太网口</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音频: 1个内置麦克风；1路输入（Line in），1路输出（Line out）</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报警: 1路输入，1路输出（报警输出最大支持DC12 V，30 mA）</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电源输出: DC12 V，100 mA电源输出，可用于拾音器供电</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产品尺寸: Ø127.3 × 96.8 mm</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包装尺寸: 150 × 150 × 141 mm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★传导骚扰限值应符合GB 9254-2008中等级A的规定。（公安部检验报告证明）</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★辐射骚扰限值应符合GB 9254-2008中等级A的规定。（公安部检验报告证明）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sz w:val="24"/>
              </w:rPr>
              <w:t>网络存储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16路H.265、H.264混合接入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160M接入存储/80M转发</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1个HDMI接口，1个VGA接口,HDMI与VGA同源高清输出</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HDMI支持最大4K（4096x2160）/30Hz 输出</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支持最大6个1080P解码</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2个千兆网口</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2个USB2.0</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4进1出报警 I/O</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硬盘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6TB,256MB,SATA 6Gb/s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人脸门禁一体机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1、设备外观：采用7英寸IPS触摸显示屏，200万像素双目摄像头，面部识别距离0.3-2m，支持照片视频防假；</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2、设备容量：支持50000张人脸白名单，1：N人脸比对时间＜0.2S/人，支持50000张卡片，50000条事件记录;</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3、认证方式：刷卡、人脸、密码、刷卡或人脸、刷卡+人脸、超级密码/胁迫密码等；屏下刷卡设计，可读取Mifare卡（IC卡）、CPU卡号及内容、身份证序列号；</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4、通讯方式：上行通讯为有线网络；支持外接RS485或Wiegand副读卡器；支持标准韦根34/26；</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5、视频对讲：支持与云眸、4200客户端、主副室内分机、管理机的视频对讲功能；支持远程视频预览功能，可以通过RTSP协议输出视频码流，编码格式H.264；</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6、输入接口：LAN*1、RS485*1、wiegand * 1、USB*1、门磁*1、报警输入*2、防拆*1、开门按钮*1；</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7、输出接口：电锁*1个，报警输出*1个；</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8、工作电压： DC 12V/2A，不自带电源；</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★9、产品供应商应具有符合ISO/IEC 27701：2019要求的隐私信息管理体系认证。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电子锁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最大静态直线拉力：280kg(600Lbs)*2</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具有电锁状态指示灯（红灯为开锁状态， 绿灯为上锁状态）</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支持锁状态侦测信号(门磁)输出：NO/NC/COM接点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4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1.3会议音响系统</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专业会议音箱</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主音箱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1.频率响应：100Hz – 20KHz（-10dB）</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2.灵敏度(1W/1m)：≥95db</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3.连续声压级输出：≥125dB</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4.标称阻抗：8 Ohm</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5.系统额定功率：≥160W(AES)</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6.系统节目功率：≥400W</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7.系统峰值功率：≥700W</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9.低频驱动器：6 x 5"低音</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8.单元：1 x 1.75"高音，4x4"（25mm直径的大功率音圈）</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9.驱动器保护：CAPD II高频过载保护电路</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10.LICC低阻抗补偿分频器，交叉频率2000Hz，带限制器</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11.覆盖角度:：150°H×30°V</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12.吊挂系统：Crest  M/U吊挂件</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13.连接口：凤凰插口；</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14.箱体材质：不少于12mm桦木夹板</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★15.提供生产厂家ISO9001,ISO14001体系认证证书复印件</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★16.产品生产厂家具有高新技术企业证书</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★17.提供检测报告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专业功放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1.额定功率8Ω:≥400W×2</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2.额定功率4Ω:≥650W×2</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3.输入灵敏度:0.775V @8Ω</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4.额定功率总谐波失真:&lt;0.025% @8Ω,20Hz-20kHz</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5.互调失真:&lt;0.05% @8Ω,60Hz/7kHz 4:1</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6.频率响应(+0/-0.25dB):&lt;±0.5dB 20Hz-20kHz</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7.最大增益:37.5dB</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8.放大器种类:H类或Class-D类（可定制）</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9.正常电流 1/8 power 4Ω Sperker:1.6A @230V</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10.最大消耗电流1/3 power 4Ω Sperker:3.3A @230V转换速率:18V/us</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11.相移特性:&lt;±15°</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12.阻尼系数:&gt;300:1 8Ω @20Hz-1kHz</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13.分离度:&gt;80dB 1kHz @8Ω</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14.额定功率输入端口:×XLR卡侬输入插座</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15.信噪比:&gt;106dB 1kHz，A计权 @8Ω额定功率</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★16.提供3C证书</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★17.提供产品检测报告</w:t>
            </w:r>
            <w:r>
              <w:rPr>
                <w:rFonts w:hint="eastAsia" w:ascii="仿宋" w:hAnsi="仿宋" w:eastAsia="仿宋" w:cs="仿宋"/>
                <w:color w:val="000000"/>
                <w:kern w:val="0"/>
                <w:sz w:val="24"/>
                <w:lang w:bidi="ar"/>
              </w:rPr>
              <w:br w:type="textWrapping"/>
            </w:r>
            <w:r>
              <w:rPr>
                <w:rStyle w:val="828"/>
                <w:rFonts w:hint="default" w:ascii="仿宋" w:hAnsi="仿宋" w:eastAsia="仿宋" w:cs="仿宋"/>
                <w:sz w:val="24"/>
                <w:szCs w:val="24"/>
                <w:lang w:bidi="ar"/>
              </w:rPr>
              <w:t>★18.生产厂家通过武器装备科研生产保密资格认证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调音台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1.不少于6个麦克风前置放大器输入，不少于4个单声道线路输入</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2.不少于4个立体声线路输入</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3.带不少于16个预设的Pro DSP Fx板载</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4.具有USB端口进行立体声录制和播放</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5.不少于4台单控压缩机</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6.不少于一个立体声输出总线和不少于2个辅助发送（1个前置，1个前置/后置）</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7.不小于60毫米推进器</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8.辅助发送：AUX：1前置，FX效果：1路</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9.电气规格：功耗（W）：24 W，电压要求：100 V-240 V</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10.频率响应：20HZ-20KHZ，THD+N，20dB增益，0dBu输出（加权百分比）：&lt;0,02</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11.输入：增益范围：0 dB/-50 dB；增益选择：20 dB/-30 dB；Hi-Z线输入阻抗（Mohm）：1 Mohm；Hi-Z线输入：1；麦克风输入阻抗（千欧）：14千欧。</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12.提供电源+48V</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13.输出：辅助输出：2路；辅助发送：1路；FX发送：1路；分组：1路；主要混合输出：1路。</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14.带USB音频输入；支持采样率（kHz）：44.1、48.0。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音频处理器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1.24-bit DSP技术，高性能AD/DA，人性化设计，性能更出色，操作更便捷。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2.灵活组合的2输入4输出分频模式。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3.输入输出音量调节，范围从-40dB到+12dB，最小步进0.1dB。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4.每个输入/输出通道有7段参数均衡（PEQ)，每段参数均衡（PEQ）有参数（Parametric),Low-Shelf 6dB,Low-Shelf12dB,High-Shelf6dB,High-Shelf12dB多种EQ类型选择。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5.参数均衡（PEQ）频率范围从19.7Hz到21.9kHz，增益范围从-30dB到+15dB，带宽范围从0.017到4.750倍频程（Oct)。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6.输出高通、低通滤波器，每个滤波器有多种斜率和类型供选择，滤波器斜率有：-12dB,-24dB,-36dB,-48dB。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7.每个输入/输出通道可设置最长延时达1000.00ms,带延时开关。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8.每个输入/输出通道均有压缩器，可调节各压缩器的门限值，压缩比，上冲时间和释放时间，关闭/硬拐点/5级软拐点可调。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9.每个输出通道带相位反转功能。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10.通道复制功能，令调节更省便。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11.多通道链接功能，可同时设置多个通道参数。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12.直观友好的用户界面，USB，RS485等多种方式与上位机连接。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13.多台机器连网功能，一台电脑可同时级联接同一类型机器≥32台。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14.132*32点阵LCD液晶屏显示。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15.7段输入/输出电平显示LED。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16.静音显示LED灯，按键指示LED灯。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17.开关电源：AC90V~250V,50Hz/60Hz</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★18.产品通过国家CQC产品认证证书</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★19.提供该产品生产厂家彩页并加盖生产厂家公章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bdr w:val="single" w:color="000000" w:sz="4" w:space="0"/>
                <w:lang w:bidi="ar"/>
              </w:rPr>
              <w:drawing>
                <wp:anchor distT="0" distB="0" distL="114300" distR="114300" simplePos="0" relativeHeight="251661312" behindDoc="0" locked="0" layoutInCell="1" allowOverlap="1">
                  <wp:simplePos x="0" y="0"/>
                  <wp:positionH relativeFrom="column">
                    <wp:posOffset>800100</wp:posOffset>
                  </wp:positionH>
                  <wp:positionV relativeFrom="paragraph">
                    <wp:posOffset>0</wp:posOffset>
                  </wp:positionV>
                  <wp:extent cx="209550" cy="20955"/>
                  <wp:effectExtent l="0" t="0" r="0" b="0"/>
                  <wp:wrapNone/>
                  <wp:docPr id="3" name="AutoShape_19"/>
                  <wp:cNvGraphicFramePr/>
                  <a:graphic xmlns:a="http://schemas.openxmlformats.org/drawingml/2006/main">
                    <a:graphicData uri="http://schemas.openxmlformats.org/drawingml/2006/picture">
                      <pic:pic xmlns:pic="http://schemas.openxmlformats.org/drawingml/2006/picture">
                        <pic:nvPicPr>
                          <pic:cNvPr id="3" name="AutoShape_19"/>
                          <pic:cNvPicPr/>
                        </pic:nvPicPr>
                        <pic:blipFill>
                          <a:blip r:embed="rId25"/>
                          <a:stretch>
                            <a:fillRect/>
                          </a:stretch>
                        </pic:blipFill>
                        <pic:spPr>
                          <a:xfrm>
                            <a:off x="0" y="0"/>
                            <a:ext cx="209550" cy="20955"/>
                          </a:xfrm>
                          <a:prstGeom prst="rect">
                            <a:avLst/>
                          </a:prstGeom>
                          <a:noFill/>
                          <a:ln>
                            <a:noFill/>
                          </a:ln>
                        </pic:spPr>
                      </pic:pic>
                    </a:graphicData>
                  </a:graphic>
                </wp:anchor>
              </w:drawing>
            </w:r>
            <w:r>
              <w:rPr>
                <w:rFonts w:hint="eastAsia" w:ascii="仿宋" w:hAnsi="仿宋" w:eastAsia="仿宋" w:cs="仿宋"/>
                <w:color w:val="000000"/>
                <w:kern w:val="0"/>
                <w:sz w:val="24"/>
                <w:lang w:bidi="ar"/>
              </w:rPr>
              <w:t>实用音频播放控制系统</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（反馈抑制）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1.96KHz采样频率，32-bit DSP处理器，24-bit A/D及D/A转换。</w:t>
            </w:r>
          </w:p>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2.不少于4输入4输出，支持莲花、6.5、卡侬输入接口，支持6.5、卡侬输出接口，可灵活组合多种分频模式，高、低通分频点均可达20Hz～20kHz。</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3.单机可存储不少于10组用户程序，支持界面“RECALL”调用模式；“SAVE”保存，“CONTROL”系统控制调节，</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4.20db-20K:双声道同步控制31段DSP处理器带频谱显示灯，20db-20K频段选择(信号输入时31段信号灯会根据相对应的)LCE显示屏显示信号经过机器的音量“01-100”：CLIP(削波)显示,信号失真此灯亮(红色；LIMIT(限幅)显示,信号超过用户设定值此灯亮(黄色);益衰减“±18db”数值LED电平显示(绿色)。</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5.具有均衡与限幅合二为一功能，确保音响过载高低音超负荷不被烧坏。</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6.具有降噪；抑制声反馈防止啸叫处理功能。</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7.技术指标：输入阻抗：非平衡20KΩ；输出阻抗：非平衡100Ω；共模抑制比：70dB（1KHz）</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输入范围：≤+25dBu；频率响应：20Hz-20KHz（-0.5dB）；衰减/提升范围：±20dB</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采样频率：96KHz；量化比特数：24位；信噪比：＞90dB；失真度：＜0.01% OUTPUT=0dB/1KHz；功耗：≤20W。</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★8.提供国家级实用音频播放控制系统证书。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无线麦克风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 频率范围: 640-690MHz</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 调制方式: FM</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 可调范围: 50MHz</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4. 信道数目:≥195</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5. 信道间隔 : 250KHz</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6. 频率稳定度:±0.005%</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7. 动态范围:100dB</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8. 音频响应 : 80Hz-18KHz(±3dB)</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9. 综合信噪比 SNR:&gt;105 dB</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10. 综合失真: ≤0.5%</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11. 工作温度 : -10℃ ~+40℃</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12.采用心形指向模式，内置环境噪音消除器(AEC)，内置数字均衡电路。</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★13.主机机箱采用：EIA1.5U设计，双调谐辐射，不少于四支天线和一套控制电路，不少于两套完整的接收电路进行电路跟踪切换。（提供官方彩页）</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14.接收机方式：二次变频超外差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15.中频频率：第一中频：110MHz, 10.7MHz</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16.无线接口 ：BNC/50Ω</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17.灵敏度：12dBμV（80DbS/N）</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18.灵敏度调节范围：12-32 dBμV</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19.杂散抑制：&gt;75dB</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20.最大输出电平：+10Dbv</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21.发射机参数：</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22.无线程式：佩挂发射器采用1/4波长鞭状天线，</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23.手持麦克风内置螺旋天线</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24.输出功率：高功率30mW; 低功率 3mW</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25.杂散抑制：-60dB</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★26.话筒主机必须通过国家3C安全体系强制认证。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信号放大器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1.天线类型：对数周期偶极阵(LPDA)天线</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2.工作频带：500mhz-1ghz</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3.工作电压：8V DC</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4.增益：6dB典型最大值10dB</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5.阻抗：50欧姆典型</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6.电压驻波比：≤1.7.:1</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7.指向性：椭圆形180°典型</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8.指向极性：垂直(于垂直安装)</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9.导波器段数：11段</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10.连接端子：固定式直角BNC母座</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11.构造：玻璃铜及铜膜镜层</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12.涂层：暗黑色</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13.天线分配放大器技术参数：</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14.天线分配器：一分二/一分四</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15.工作频带：500MHZ- 1GHZ</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增益：6-10dB。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会议主机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1.要求符合IEC60914、GBT15381-94国际标准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2.采用数字技术为核心 ，内置高性能CPU，支持讨论和视像跟踪功能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3.音频信号采用不低于32bit高速浮点DSP进行处理， 带宽20Hz~20KHz完美清晰音质</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3.支持开关电源供电，长距离传输对音质不会有任何影响</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4.抗干扰电路设计，杜绝一切手机信号的干扰</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5.自带不小于2.8寸液晶屏，独立按键操作</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6.支持USB录音，高保真WAV格式输出</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7.不少于四路话筒连接，每路支持不少于30个单元，不少于120个单元，不少于12支主席单元</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8.支持级联，方便多套系统同时使用，共同管理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9.具有S端子和5P接线端子接口，连接标清或高清摄像头，支持SONY VISCA、EVI HD、PELCO P/D、BRC300通讯协议</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10.内置不少于6进2出（RCA接口）视频器，最多可连接6个标清摄像头</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11.具有视频切换RS-232通讯接口，可连接高清视频切换器</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12.具有报警信号输入接口，当公共广播报警系统启动时，可自动暂停会议，并向与会单元发送报警信息</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13.具有中控代码RS-232接口，可连接中控系统</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14.支持多路音频输入输出接口，可连接扩声或录音设备</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15.主机和电脑可以通过TCP/IP网络或者USB本地方式进行连接通讯，使用PC软件对系统进行设置。亦可不需电脑直接在主机上对系统进行设置，支持在线更新代码</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16.具有多种会议模式：、FIFO（先进先出模式）、LIFO（后进先出模式）、FREE（全开放模式）、APPLY（申请模式）、C-ONLY（主席模式）</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17.可设置发言数量、自动关闭、限时关闭、声控发言等功能</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18.可安装于19英寸标准机柜上，易于存放和保管                                                                                                                                                                                                           19.主机供电 AC110V-220V/50Hz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20.频率响应 20Hz-20kHz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21.信噪比 ＞96dBA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22.总谐波失真 ＜0.05%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23.支持录音接口 USB接口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24.话筒单元接口 支持圆头DIN-8插座接口x4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25.级联接口支持 圆头DIN-8插座接口x2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26.中控连接口支持 232串口x1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27.视频切换通讯接口 支持232串口x1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28.摄像头控制连接口 支持S端子 支持 5P接线端子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29.电脑接口 支持USB接口x1   支持 RJ45网口x1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30.视频切换接口支持 RCA (莲花插座) 6x2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31.音频输入 RCA（莲花插座）x2  6.3mm插座x1（报警音频）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32.音频输出 RCA（莲花插座）x2  6.3mm插座x1</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33.支持XLR卡侬插座x1</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★提供产品检测报告</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★产品必须通过国家3C安全体系强制认证并加盖生产厂家公章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主席单元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1.要求符合IEC60914、GBT15381-94国际标准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2.要求专业高保真电容咪芯，拾音灵敏、语音清晰，带宽达到20Hz~20KHz</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3.要求防干扰电路设计，可防止手机等电子产品的干扰。</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4.话筒头部带发言灯圈，可显示单元发言、关闭状态</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5.发言开关按键带透光发言图案，发言时常亮</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6.不小于2.2寸高亮度全视角OLED显示屏,显示内容清晰</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7.单元为无源设备，由系统主机供电。输入电压为24V，属安全范围</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8.单元T型采用8芯连线，线材采用全线铝箔、水线屏蔽，大大降低强电磁波对线材的干扰</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9.话筒单元带有扬声器及耳机输出口， 并带有音量调节按键，可以自由选择输出方式并调节其音量。</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10.带声频启动功能，发言时话筒单元电源自动打开。</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11.支持多个主席单元，连接时不受位置限制可任意安装，具有全权控制会议秩序的优先功能，可控制会议气氛。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12."手拉手"电缆串联连接模式，便于安装和维护                                                                                                                                                                                                                    13.工作电压 DC24V(由主机供给)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14.输入、输出 8P-DIN T型线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15.咪芯输入 心形指向性驻极体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16.灵敏度 -46 dBV/Pa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17.频率响应 20Hz~20KHz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18.输入阻抗 2 kΩ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19.方向性0°/180° &gt; 20 dB (1 kHz)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20.等效噪声 20 dBA (SPL)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21.话筒最大声压级 125 dB (THD&lt;3%)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22.信噪比 ＞80dB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23.通道串音 ＞80dB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24.总谐波失真 ＜0.05%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25.显示屏 128x32 PMOLED 蓝色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26.内置扬声器 8Ω　2W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27.耳机负载 &gt;10 Ω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28.耳机音量 10 mW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29.耳机接口 3.5mm耳机插座x1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代表单元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1.要求符合IEC60914、GBT15381-94国际标准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2.要求专业高保真电容咪芯，拾音灵敏、语音清晰，带宽达到20Hz~20KHz</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3.要求防干扰电路设计，可防止手机等电子产品的干扰。</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4.话筒头部带发言灯圈，可显示单元发言、关闭状态</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5.发言开关按键带透光发言图案，发言时常亮</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6.不小于2.2寸高亮度全视角OLED显示屏,显示内容清晰</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7.单元为无源设备，由系统主机供电。输入电压为24V，属安全范围</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8.单元T型采用8芯连线，线材采用全线铝箔、水线屏蔽，大大降低强电磁波对线材的干扰</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9.话筒单元带有扬声器及耳机输出口， 并带有音量调节按键，可以自由选择输出方式并调节其音量。</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10.带声频启动功能，发言时话筒单元电源自动打开。</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11.支持多个主席单元，连接时不受位置限制可任意安装，具有全权控制会议秩序的优先功能，可控制会议气氛。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12."手拉手"电缆串联连接模式，便于安装和维护                                                                                                                                                                                                                    13.工作电压 DC24V(由主机供给)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14.输入、输出 8P-DIN T型线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15.咪芯输入 心形指向性驻极体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16.灵敏度 -46 dBV/Pa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17.频率响应 20Hz~20KHz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18.输入阻抗 2 kΩ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19.方向性0°/180° &gt; 20 dB (1 kHz)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20.等效噪声 20 dBA (SPL)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21.话筒最大声压级 125 dB (THD&lt;3%)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22.信噪比 ＞80dB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23.通道串音 ＞80dB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24.总谐波失真 ＜0.05%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25.显示屏 128x32 PMOLED 蓝色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26.内置扬声器 8Ω　2W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27.耳机负载 &gt;10 Ω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28.耳机音量 10 mW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29.耳机接口 3.5mm耳机插座x1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电源时序器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1.12路大功率输出</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2.专业高品质继电器</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3.微电脑程序控制，更精确，更可靠</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4.万能插座，更方便</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5.带输入滤波器插座</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6.宽电源输入，180V-240V正常工</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★7.提供检测报告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4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4计算机网络及UPS</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接入交换机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提供10/100/1000MBase-T端口数≥24，提供SFP千兆光插槽≥4（2combo口）个；交换容量≥330Gbps，包转发率≥50Mpps；支持静态路由、RIP/RIPng、OSPFv2/OSPFv3等路由协议；支持生成树协议STP(IEEE 802.1d)，RSTP(IEEE 802.1w)和MSTP(IEEE 802.1s)，完全保证快速收敛，提高容错能力；交换机采用专业的内置防雷技术，支持业界领先的防雷能力，业务端口防雷不低于10kv；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汇聚交换机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提供≥24个SFP千兆光口（其中8个是combo口），≥4个万兆SFP+口，≥1个扩展槽位，冗余风扇和电源，≥1个管理口，≥1个Micro USB Console口，支持扩展下一代防火墙插卡，交换容量≥730Gbps，包转发率≥220Mpps，支持Vxlan，EVPN，横向虚拟化，纵向虚拟化。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千兆光模块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光模块-SFP-GE-单模模块-(1310nm,10km,LC)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机房机柜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2000mm*1000mm*600mm，42U,材料：冷扎钢板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UPS电源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容量10000 VA / 8000 W</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输入电压 3 x 400 VAC (3Ph+N)</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电压范围 190-520 VAC (3相) @ 50% 负载</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305-520 VAC (3相) @ 100% 负载</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频率范围 46~54 Hz 或 56~64Hz</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输出</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输出电压 208/220/230/240VAC</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电压范围（电池模式） ± 1%</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频率范围（同步校正范围） 46~54 Hz 或 56~64 Hz频率范围（电池模式） 50 Hz ± 0.2 Hz 或60 Hz ± 0.2 Hz峰值系数 3:1 （最大）</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谐波失真 ≦ 3 % THD (线性负载) ; ≦ 5 % THD (非线性负载)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蓄电池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12V100AH电池</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1,能承受50kPa的正压不破裂、不开胶，压力释放后壳体无残余变形。</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2，大电流放电：蓄电池以30I10（A）放电3min，极柱、内部汇流排不应熔断，其外观不得出现异常。</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3，密封反应效率：蓄电池密封反应效率应不低于99%。</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4，防酸雾性能：蓄电池在正常工作中应无酸雾逸出。</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5，封口剂性能：采用封口剂蓄电池，在温度-30℃～+65℃之间，封口剂不应有裂纹与溢流现象。</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6，蓄电池安全阀开阀压力范围：10～35kPa，闭阀压力范围：10～30kP。</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7，高温加速浮充寿命折合年限不能低于10年。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电池柜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根据要求定制,材料：冷扎钢板,空箱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4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5专用办公设施</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办公及操作电脑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电脑：CPU:I5 内存：8G，硬盘1T等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b/>
                <w:bCs/>
                <w:color w:val="000000"/>
                <w:sz w:val="24"/>
              </w:rPr>
            </w:pP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主控电脑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Cpu I9 10980XE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主板X299 UD4 PRO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内存64G 3200 32*2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固态硬盘512G NVME               </w:t>
            </w:r>
          </w:p>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显卡：RTX 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b/>
                <w:bCs/>
                <w:color w:val="000000"/>
                <w:sz w:val="24"/>
              </w:rPr>
            </w:pP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操作台席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高压耐磨耐火板 优质宝钢冷轧钢板酸洗、磷化、防静电喷塑处理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b/>
                <w:bCs/>
                <w:color w:val="000000"/>
                <w:sz w:val="24"/>
              </w:rPr>
            </w:pPr>
          </w:p>
        </w:tc>
      </w:tr>
      <w:tr>
        <w:tblPrEx>
          <w:tblCellMar>
            <w:top w:w="0" w:type="dxa"/>
            <w:left w:w="108" w:type="dxa"/>
            <w:bottom w:w="0" w:type="dxa"/>
            <w:right w:w="108" w:type="dxa"/>
          </w:tblCellMar>
        </w:tblPrEx>
        <w:trPr>
          <w:trHeight w:val="54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6 WIFI覆盖</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AC管理设备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1.业务端口：支持不少于5个千兆以太网口，1个USB口；支持不少于2个WAN口做链路冗余备份。</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2.管理授权：支持管理AP数量≥60个；为满足本次项目需求，须配置有线和无线功能授权；为满足本次项目需求，须配置Ipsec VPN模块；为满足本次项目需求，须配置行为管理模块功能授权</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无线基础；支持802.11a/b/g/n/ac等协议；支持不少于8个SSID，且支持中文方式和隐藏SSID方式；★支持查看实时流量收发状态、在线状态、认证类型、在线时长、VLAN信息、终端信息、接入位置等信息(提供相关证明材料并加盖厂商公章)。</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4.Portal首页：支持Portal认证页面自定义，包括页面展示信息、页面标题、文字描述、免责声明等信息；支持Portal认证页面中英文切换；支持页面终端自适应，推送合适匹配终端的尺寸Portal页面；</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5.终端认证：支持OPEN、802.1X账号认证、WPA-PSK/WPA2-PSK混合加密；支持批量创建不少于500个终端认证授权，支持批量导入账号及描述信息，支持首次登录后强制修改密码等方便账号管理运维的功能。</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6.智能流量管理：★支持应用识别，能识别不低于300种常见的网络应用，能识别邮件、游戏、P2P流媒体、WEB流媒体、金融交易、办公OA、移动终端应用等主流应用(提供相关证明材料并加盖厂商公章)；支持DIY创建应用/服务/网站的规则库内容用于访问控制策略调用；</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7.支持针对不通流量内容设定保证通道，针对上/下行、IP地址端、时间、线路等维度进行进行通道带宽的保证，以便具有良好的使用体验；支持针对不通流量内容设定限制通道，针对上/下行、IP地址端、时间、线路等维度进行进行通道带宽的限制，以避免带宽等网络资源的浪费。</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8.射频管理与优化：支持禁止DHCP请求发往无线终端；★禁止mdns请求发往无线终端、禁止nbns发往无线终端(提供相关证明材料并加盖厂商公章)；支持根据时间公平算法，防止低速终端拉低网络整体速度</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9.路由：支持NAT、DHCP、DNS代理、DDNS动态域名；支持路由网关功能，支持静态IP、DHCP、PPPoE拨号三种上网方式；</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10.网管与配置：★支持WEB图形化界面管理，支持基于微信小程序开局(提供相关证明材料并加盖制造商公章)。</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11.高级安全特性：支持只转发受信任的DHCP响应，屏蔽不合法的DHCP服务器，防止DHCP欺骗造成安全隐患；支持ARP防御智能识别终端的网关，并对网关进行防护功能；支持基于智能算法的判断攻击终端，并将其加入到黑名单，可设定动态黑名单时间长度；支持ARP/IP/端口扫描防御，可DIY设定告警阈值；</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12.支持国家标准IPSec VPN协议，实现跨互联网加密传输；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13。支持无线DOS防御，可基于并发数/新建连接速率/小包速率DIY设定阈值</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14.品牌要求：保证兼容性与统一管理，要求本次招标网关与AP同一品牌；★为保证设备扩展性，要求设备制造商软件开发能力达到CMMI五级，提供相应证书复印件并要求设备制造商盖章证明；★为保证设备安全性，要求设备制造商为WAPI产业联盟会员，提供相应证书复印件并要求设备制造商盖章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室内AP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1.802.11协议：802.11ac Wave 2协议，兼容802.11a/b/g/n/ac协议，支持2.4G和5G同时工作；</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2.接入速率：支持2x2 MIMO，2.4G最大传输速率≥300Mbps，5G最大传输速率≥860Mbps，整机最大传输速率≥1160Mbps</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3.业务端口：以太网口≥2个，并需提供1个RJ-45 Console管理口；★USB接口≥1个，可拓展物联网模块使用，可外接U盘。 提供官网截图和链接并加盖制造商公章。</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4.工作模式：支持Fat和Fit 两种工作模式，根据网络规划的需要，可以灵活地在Fat和Fit两种工作模式中切换，同时可以根据应用需求，选择工作模式；AP支持集中转发和本地转发两种数据转发模式，同一个AP上基于SSID选择本地转发或者集中转发；Fit模式系列AP可将数据报文在无线接入设备上直接转化为不经过控制器的报文，而是在本地进行转发，提升转发效率，降低网络资源开销。</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5.部署与运维：可以对Wi-Fi报文进行侦听捕获并实时镜像到本地分析设备供网络管理员进行故障排查、优化分析。</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6.认证与准入：支持802.1x 认证、MAC 地址认证、PSK 认证、Portal认证等；二维码认证是另一种方便访客上网的方式，访客接入无线网络后，可获得二维码提示，通过被访者（内部人员）的授权后即可访问网络，访客行为与被访者直接关联，风险行为可快速溯源。</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7.支持AES、TKIP等加密方式</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8.支持WIPS/防钓鱼WIFI，支持对非法接入点的实时检测、告警及反制</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9.安全特性：★无线AP支持联动安全策略，通过安全策略可以实现对疑似感染病毒或已感染病毒的无线客户端进行识别、监控与隔离等多种方式的处理，提供功能截图证明，并加盖制造公章；认证机制用来对用户的身份进行验证，以限定特定的用户（授权的用户）可以使用网络资源；加密机制用来对无线链路的数据进行加密，以保证无线网络数据只被所期望的用户接收和解析；支持将内网终端用于的ARP扫描、IP扫描、端口扫描达到阈值后告警或进入动态黑名单；在数据安全方面，通过融合有线无线双重保障，实现全面安全防护。</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10.射频技术：支持802.11h 动态频率选择(DFS)、信道自动扫描功能，自动规避干扰；通过基于特征和协议的射频优化，有效提升无线部署中高密度接入、流媒体传输等场景中的应用加速能力和质量保障效果。其中包含：多用户时间公平调度、混合接入公平、干扰过滤、终端速率管控、频谱导航、组播增强、广播优化、逐包功率控制和智能带宽保障等。</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11.品牌要求：★为保证兼容性与统一管理，要求本次招标的系统平台管理软件AP与网关兼容或为同一品牌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bl>
    <w:p>
      <w:pPr>
        <w:pStyle w:val="964"/>
      </w:pPr>
    </w:p>
    <w:p>
      <w:pPr>
        <w:numPr>
          <w:ilvl w:val="0"/>
          <w:numId w:val="1"/>
        </w:numPr>
        <w:spacing w:line="360" w:lineRule="auto"/>
        <w:rPr>
          <w:rFonts w:ascii="宋体" w:hAnsi="宋体"/>
          <w:b/>
          <w:bCs/>
          <w:sz w:val="28"/>
          <w:szCs w:val="28"/>
        </w:rPr>
      </w:pPr>
      <w:r>
        <w:rPr>
          <w:rFonts w:hint="eastAsia" w:ascii="宋体" w:hAnsi="宋体"/>
          <w:b/>
          <w:bCs/>
          <w:sz w:val="28"/>
          <w:szCs w:val="28"/>
        </w:rPr>
        <w:t>主要内容</w:t>
      </w:r>
    </w:p>
    <w:p>
      <w:pPr>
        <w:spacing w:line="360" w:lineRule="auto"/>
        <w:ind w:firstLine="480" w:firstLineChars="200"/>
        <w:rPr>
          <w:rFonts w:ascii="仿宋" w:hAnsi="仿宋" w:eastAsia="仿宋" w:cs="仿宋"/>
          <w:sz w:val="24"/>
          <w:lang w:eastAsia="zh-Hans"/>
        </w:rPr>
      </w:pPr>
      <w:r>
        <w:rPr>
          <w:rFonts w:hint="eastAsia" w:ascii="仿宋" w:hAnsi="仿宋" w:eastAsia="仿宋" w:cs="仿宋"/>
          <w:sz w:val="24"/>
        </w:rPr>
        <w:t>1、完成约500平方原有建筑的升级改造，设计、施工等相关内容（包含必要的办公家具、空调等必要设施），原有建筑的升级改造部分上限价为90万元，升级改造部分</w:t>
      </w:r>
      <w:r>
        <w:rPr>
          <w:rFonts w:hint="eastAsia" w:ascii="仿宋" w:hAnsi="仿宋" w:eastAsia="仿宋" w:cs="仿宋"/>
          <w:snapToGrid w:val="0"/>
          <w:kern w:val="0"/>
          <w:sz w:val="24"/>
          <w:lang w:val="zh-CN"/>
        </w:rPr>
        <w:t>采用费率招标</w:t>
      </w:r>
      <w:r>
        <w:rPr>
          <w:rFonts w:hint="eastAsia" w:ascii="仿宋" w:hAnsi="仿宋" w:eastAsia="仿宋" w:cs="仿宋"/>
          <w:snapToGrid w:val="0"/>
          <w:kern w:val="0"/>
          <w:sz w:val="24"/>
        </w:rPr>
        <w:t>(小数点后保留两位小数)，</w:t>
      </w:r>
      <w:r>
        <w:rPr>
          <w:rFonts w:hint="eastAsia" w:ascii="仿宋" w:hAnsi="仿宋" w:eastAsia="仿宋" w:cs="仿宋"/>
          <w:b/>
          <w:bCs/>
          <w:sz w:val="24"/>
          <w:highlight w:val="red"/>
          <w:lang w:val="zh-CN"/>
        </w:rPr>
        <w:t>最高限价为</w:t>
      </w:r>
      <w:r>
        <w:rPr>
          <w:rFonts w:hint="eastAsia" w:ascii="仿宋" w:hAnsi="仿宋" w:eastAsia="仿宋" w:cs="仿宋"/>
          <w:b/>
          <w:bCs/>
          <w:sz w:val="24"/>
          <w:highlight w:val="red"/>
        </w:rPr>
        <w:t>基准价</w:t>
      </w:r>
      <w:r>
        <w:rPr>
          <w:rFonts w:hint="eastAsia" w:ascii="仿宋" w:hAnsi="仿宋" w:eastAsia="仿宋" w:cs="仿宋"/>
          <w:b/>
          <w:bCs/>
          <w:sz w:val="24"/>
          <w:highlight w:val="red"/>
          <w:lang w:val="zh-CN"/>
        </w:rPr>
        <w:t>的</w:t>
      </w:r>
      <w:r>
        <w:rPr>
          <w:rFonts w:hint="eastAsia" w:ascii="仿宋" w:hAnsi="仿宋" w:eastAsia="仿宋" w:cs="仿宋"/>
          <w:b/>
          <w:bCs/>
          <w:sz w:val="24"/>
          <w:highlight w:val="red"/>
        </w:rPr>
        <w:t>90</w:t>
      </w:r>
      <w:r>
        <w:rPr>
          <w:rFonts w:hint="eastAsia" w:ascii="仿宋" w:hAnsi="仿宋" w:eastAsia="仿宋" w:cs="仿宋"/>
          <w:b/>
          <w:bCs/>
          <w:sz w:val="24"/>
          <w:highlight w:val="red"/>
          <w:lang w:val="zh-CN"/>
        </w:rPr>
        <w:t>%；</w:t>
      </w:r>
      <w:r>
        <w:rPr>
          <w:rFonts w:hint="eastAsia" w:ascii="仿宋" w:hAnsi="仿宋" w:eastAsia="仿宋" w:cs="仿宋"/>
          <w:sz w:val="24"/>
        </w:rPr>
        <w:t>。所涉</w:t>
      </w:r>
      <w:r>
        <w:rPr>
          <w:rFonts w:hint="eastAsia" w:ascii="仿宋" w:hAnsi="仿宋" w:eastAsia="仿宋" w:cs="仿宋"/>
          <w:sz w:val="24"/>
          <w:lang w:eastAsia="zh-Hans"/>
        </w:rPr>
        <w:t>硬件设备</w:t>
      </w:r>
      <w:r>
        <w:rPr>
          <w:rFonts w:hint="eastAsia" w:ascii="仿宋" w:hAnsi="仿宋" w:eastAsia="仿宋" w:cs="仿宋"/>
          <w:sz w:val="24"/>
        </w:rPr>
        <w:t>和软件</w:t>
      </w:r>
      <w:r>
        <w:rPr>
          <w:rFonts w:hint="eastAsia" w:ascii="仿宋" w:hAnsi="仿宋" w:eastAsia="仿宋" w:cs="仿宋"/>
          <w:sz w:val="24"/>
          <w:lang w:eastAsia="zh-Hans"/>
        </w:rPr>
        <w:t>完成采购和安装部署调试</w:t>
      </w:r>
      <w:r>
        <w:rPr>
          <w:rFonts w:hint="eastAsia" w:ascii="仿宋" w:hAnsi="仿宋" w:eastAsia="仿宋" w:cs="仿宋"/>
          <w:sz w:val="24"/>
        </w:rPr>
        <w:t>，完成部分原有设备的搬迁、调试等工作，</w:t>
      </w:r>
      <w:r>
        <w:rPr>
          <w:rFonts w:hint="eastAsia" w:ascii="仿宋" w:hAnsi="仿宋" w:eastAsia="仿宋" w:cs="仿宋"/>
          <w:sz w:val="24"/>
          <w:lang w:eastAsia="zh-Hans"/>
        </w:rPr>
        <w:t>项目建成后，中标方需无条件配合支持后期各部门系统接入和子系统间的系统联调，且不产生任何费用。</w:t>
      </w:r>
    </w:p>
    <w:p>
      <w:pPr>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Hans"/>
        </w:rPr>
        <w:t>2</w:t>
      </w:r>
      <w:r>
        <w:rPr>
          <w:rFonts w:hint="eastAsia" w:ascii="仿宋" w:hAnsi="仿宋" w:eastAsia="仿宋" w:cs="仿宋"/>
          <w:sz w:val="24"/>
        </w:rPr>
        <w:t>、配备5G物联网专用卡（流量10GB/月）,2张</w:t>
      </w:r>
      <w:r>
        <w:rPr>
          <w:rFonts w:hint="eastAsia" w:ascii="仿宋" w:hAnsi="仿宋" w:eastAsia="仿宋" w:cs="仿宋"/>
          <w:sz w:val="24"/>
          <w:lang w:eastAsia="zh-Hans"/>
        </w:rPr>
        <w:t>。</w:t>
      </w:r>
    </w:p>
    <w:p>
      <w:pPr>
        <w:spacing w:line="360" w:lineRule="auto"/>
        <w:ind w:firstLine="480" w:firstLineChars="200"/>
        <w:rPr>
          <w:rFonts w:ascii="仿宋" w:hAnsi="仿宋" w:eastAsia="仿宋" w:cs="仿宋"/>
          <w:sz w:val="24"/>
          <w:lang w:eastAsia="zh-Hans"/>
        </w:rPr>
      </w:pPr>
      <w:r>
        <w:rPr>
          <w:rFonts w:ascii="仿宋" w:hAnsi="仿宋" w:eastAsia="仿宋" w:cs="仿宋"/>
          <w:sz w:val="24"/>
          <w:lang w:eastAsia="zh-Hans"/>
        </w:rPr>
        <w:t>3</w:t>
      </w:r>
      <w:r>
        <w:rPr>
          <w:rFonts w:hint="eastAsia" w:ascii="仿宋" w:hAnsi="仿宋" w:eastAsia="仿宋" w:cs="仿宋"/>
          <w:sz w:val="24"/>
          <w:lang w:eastAsia="zh-Hans"/>
        </w:rPr>
        <w:t>、为方便数据推送，包含1年的1条200M VPN线路和1条互联网宽带。</w:t>
      </w:r>
    </w:p>
    <w:p>
      <w:pPr>
        <w:spacing w:line="360" w:lineRule="auto"/>
        <w:rPr>
          <w:rFonts w:ascii="宋体" w:hAnsi="宋体"/>
          <w:b/>
          <w:bCs/>
          <w:sz w:val="28"/>
          <w:szCs w:val="28"/>
        </w:rPr>
      </w:pPr>
      <w:r>
        <w:rPr>
          <w:rFonts w:hint="eastAsia" w:ascii="宋体" w:hAnsi="宋体"/>
          <w:b/>
          <w:bCs/>
          <w:sz w:val="28"/>
          <w:szCs w:val="28"/>
        </w:rPr>
        <w:t>四、</w:t>
      </w:r>
      <w:r>
        <w:rPr>
          <w:rFonts w:hint="eastAsia" w:ascii="仿宋" w:hAnsi="仿宋" w:eastAsia="仿宋" w:cs="仿宋"/>
          <w:b/>
          <w:bCs/>
          <w:sz w:val="28"/>
          <w:szCs w:val="28"/>
          <w:lang w:eastAsia="zh-Hans"/>
        </w:rPr>
        <w:t>供货要求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1、供方所供的货物必须为全新的，符合国家标准的合格产品；</w:t>
      </w:r>
    </w:p>
    <w:p>
      <w:pPr>
        <w:spacing w:line="360" w:lineRule="auto"/>
        <w:ind w:firstLine="480" w:firstLineChars="200"/>
        <w:rPr>
          <w:rFonts w:ascii="仿宋" w:hAnsi="仿宋" w:eastAsia="仿宋" w:cs="仿宋"/>
          <w:sz w:val="24"/>
        </w:rPr>
      </w:pPr>
      <w:r>
        <w:rPr>
          <w:rFonts w:hint="eastAsia" w:ascii="仿宋" w:hAnsi="仿宋" w:eastAsia="仿宋" w:cs="仿宋"/>
          <w:sz w:val="24"/>
        </w:rPr>
        <w:t>2、所供货物不会侵犯任何第三方知识产权；</w:t>
      </w:r>
    </w:p>
    <w:p>
      <w:pPr>
        <w:spacing w:line="360" w:lineRule="auto"/>
        <w:ind w:firstLine="480" w:firstLineChars="200"/>
      </w:pPr>
      <w:r>
        <w:rPr>
          <w:rFonts w:hint="eastAsia" w:ascii="仿宋" w:hAnsi="仿宋" w:eastAsia="仿宋" w:cs="仿宋"/>
          <w:sz w:val="24"/>
        </w:rPr>
        <w:t>3、所供货物必须在合同签订后7</w:t>
      </w:r>
      <w:r>
        <w:rPr>
          <w:rFonts w:ascii="仿宋" w:hAnsi="仿宋" w:eastAsia="仿宋" w:cs="仿宋"/>
          <w:sz w:val="24"/>
        </w:rPr>
        <w:t>0</w:t>
      </w:r>
      <w:r>
        <w:rPr>
          <w:rFonts w:hint="eastAsia" w:ascii="仿宋" w:hAnsi="仿宋" w:eastAsia="仿宋" w:cs="仿宋"/>
          <w:sz w:val="24"/>
        </w:rPr>
        <w:t>天内安装调试到位。</w:t>
      </w:r>
    </w:p>
    <w:p>
      <w:pPr>
        <w:spacing w:line="360" w:lineRule="auto"/>
        <w:rPr>
          <w:rFonts w:ascii="宋体" w:hAnsi="宋体"/>
          <w:b/>
          <w:bCs/>
          <w:sz w:val="24"/>
        </w:rPr>
      </w:pPr>
      <w:r>
        <w:rPr>
          <w:rFonts w:hint="eastAsia" w:ascii="宋体" w:hAnsi="宋体"/>
          <w:b/>
          <w:bCs/>
          <w:sz w:val="24"/>
        </w:rPr>
        <w:t>五</w:t>
      </w:r>
      <w:r>
        <w:rPr>
          <w:rFonts w:hint="eastAsia" w:ascii="宋体" w:hAnsi="宋体"/>
          <w:b/>
          <w:bCs/>
          <w:sz w:val="28"/>
          <w:szCs w:val="28"/>
        </w:rPr>
        <w:t>、</w:t>
      </w:r>
      <w:r>
        <w:rPr>
          <w:rFonts w:hint="eastAsia" w:ascii="仿宋" w:hAnsi="仿宋" w:eastAsia="仿宋" w:cs="仿宋"/>
          <w:b/>
          <w:bCs/>
          <w:sz w:val="28"/>
          <w:szCs w:val="28"/>
          <w:lang w:eastAsia="zh-Hans"/>
        </w:rPr>
        <w:t>售后服务要求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1、合同服务期要求：项目维护期从项目验收通过之日开始计算，中标</w:t>
      </w:r>
      <w:r>
        <w:rPr>
          <w:rFonts w:hint="eastAsia" w:ascii="仿宋" w:hAnsi="仿宋" w:eastAsia="仿宋" w:cs="仿宋"/>
          <w:sz w:val="24"/>
          <w:lang w:eastAsia="zh-Hans"/>
        </w:rPr>
        <w:t>方</w:t>
      </w:r>
      <w:r>
        <w:rPr>
          <w:rFonts w:hint="eastAsia" w:ascii="仿宋" w:hAnsi="仿宋" w:eastAsia="仿宋" w:cs="仿宋"/>
          <w:sz w:val="24"/>
        </w:rPr>
        <w:t>应提供对本次投标的项目硬件</w:t>
      </w:r>
      <w:r>
        <w:rPr>
          <w:rFonts w:hint="eastAsia" w:ascii="仿宋" w:hAnsi="仿宋" w:eastAsia="仿宋" w:cs="仿宋"/>
          <w:sz w:val="24"/>
          <w:lang w:eastAsia="zh-Hans"/>
        </w:rPr>
        <w:t>至少</w:t>
      </w:r>
      <w:r>
        <w:rPr>
          <w:rFonts w:hint="eastAsia" w:ascii="仿宋" w:hAnsi="仿宋" w:eastAsia="仿宋" w:cs="仿宋"/>
          <w:sz w:val="24"/>
        </w:rPr>
        <w:t>提供1年质保，软件</w:t>
      </w:r>
      <w:r>
        <w:rPr>
          <w:rFonts w:hint="eastAsia" w:ascii="仿宋" w:hAnsi="仿宋" w:eastAsia="仿宋" w:cs="仿宋"/>
          <w:sz w:val="24"/>
          <w:lang w:eastAsia="zh-Hans"/>
        </w:rPr>
        <w:t>至少</w:t>
      </w:r>
      <w:r>
        <w:rPr>
          <w:rFonts w:hint="eastAsia" w:ascii="仿宋" w:hAnsi="仿宋" w:eastAsia="仿宋" w:cs="仿宋"/>
          <w:sz w:val="24"/>
        </w:rPr>
        <w:t>提供1年维护。在此期间，因产品质量问题而引起的维修费用（包括材料和人工费以及措施费等一切费用）均由中标</w:t>
      </w:r>
      <w:r>
        <w:rPr>
          <w:rFonts w:hint="eastAsia" w:ascii="仿宋" w:hAnsi="仿宋" w:eastAsia="仿宋" w:cs="仿宋"/>
          <w:sz w:val="24"/>
          <w:lang w:eastAsia="zh-Hans"/>
        </w:rPr>
        <w:t>方</w:t>
      </w:r>
      <w:r>
        <w:rPr>
          <w:rFonts w:hint="eastAsia" w:ascii="仿宋" w:hAnsi="仿宋" w:eastAsia="仿宋" w:cs="仿宋"/>
          <w:sz w:val="24"/>
        </w:rPr>
        <w:t>承担。</w:t>
      </w:r>
    </w:p>
    <w:p>
      <w:pPr>
        <w:spacing w:line="360" w:lineRule="auto"/>
        <w:ind w:firstLine="480" w:firstLineChars="200"/>
        <w:rPr>
          <w:rFonts w:ascii="仿宋" w:hAnsi="仿宋" w:eastAsia="仿宋" w:cs="仿宋"/>
          <w:sz w:val="24"/>
        </w:rPr>
      </w:pPr>
      <w:r>
        <w:rPr>
          <w:rFonts w:hint="eastAsia" w:ascii="仿宋" w:hAnsi="仿宋" w:eastAsia="仿宋" w:cs="仿宋"/>
          <w:sz w:val="24"/>
        </w:rPr>
        <w:t>2、技术支持要求：中标人提供上门安装、维护服务，软件工程师应能处理常规故障，提供7×24小时热线电话服务。合同服务期内出现问题，30分钟内响应，1小时内到达现场，4小时内解决问题，提供不间断的服务直到系统正常运行，合同期内，中标人应免费维护和正常保养。在维护期内，中标人须每季度对所提供系统进行巡检，以保证系统的完整、顺畅运行。</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3、合同服务期满后，若原有配件已不销售，中标单位应承诺为采购人提供升级配件（价格不得高于原设备、配件价格，需采购人另行付费采购），使系统正常稳定工作。 </w:t>
      </w:r>
    </w:p>
    <w:p>
      <w:pPr>
        <w:spacing w:line="360" w:lineRule="auto"/>
        <w:ind w:firstLine="480" w:firstLineChars="200"/>
        <w:rPr>
          <w:rFonts w:ascii="宋体" w:hAnsi="宋体"/>
          <w:sz w:val="24"/>
        </w:rPr>
      </w:pPr>
      <w:r>
        <w:rPr>
          <w:rFonts w:hint="eastAsia" w:ascii="仿宋" w:hAnsi="仿宋" w:eastAsia="仿宋" w:cs="仿宋"/>
          <w:sz w:val="24"/>
        </w:rPr>
        <w:t>4、在项目验收完成之日起提供维护人员具备独立承担日常维护的技术能力，及时响应服务需求，项目正式投入运行后一年内需提供至少一人驻场服务（7*24H），驻场运维人员具有相关运维经验；</w:t>
      </w:r>
    </w:p>
    <w:p>
      <w:pPr>
        <w:pStyle w:val="964"/>
        <w:numPr>
          <w:ilvl w:val="0"/>
          <w:numId w:val="2"/>
        </w:numPr>
        <w:ind w:firstLine="562" w:firstLineChars="200"/>
        <w:rPr>
          <w:b/>
          <w:bCs/>
          <w:kern w:val="2"/>
          <w:sz w:val="28"/>
          <w:szCs w:val="28"/>
          <w:lang w:val="en-US"/>
        </w:rPr>
      </w:pPr>
      <w:r>
        <w:rPr>
          <w:rFonts w:hint="eastAsia" w:ascii="仿宋" w:hAnsi="仿宋" w:eastAsia="仿宋" w:cs="仿宋"/>
          <w:b/>
          <w:bCs/>
          <w:sz w:val="28"/>
          <w:szCs w:val="28"/>
          <w:lang w:eastAsia="zh-Hans"/>
        </w:rPr>
        <w:t>培训要求</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为了使采购人相关人员掌握系统的使用、维护和管理，达到能独立进行使用和管理、故障处理、日常维护等工作目的，应进行系统性的技术培训，以保障系统能够正常、安全、平稳地运行，须提供以下几方面培训的描述： </w:t>
      </w:r>
    </w:p>
    <w:p>
      <w:pPr>
        <w:spacing w:line="360" w:lineRule="auto"/>
        <w:ind w:firstLine="480" w:firstLineChars="200"/>
        <w:rPr>
          <w:rFonts w:ascii="仿宋" w:hAnsi="仿宋" w:eastAsia="仿宋" w:cs="仿宋"/>
          <w:sz w:val="24"/>
        </w:rPr>
      </w:pPr>
      <w:r>
        <w:rPr>
          <w:rFonts w:hint="eastAsia" w:ascii="仿宋" w:hAnsi="仿宋" w:eastAsia="仿宋" w:cs="仿宋"/>
          <w:sz w:val="24"/>
        </w:rPr>
        <w:t>1、培训要求</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投标人委派的培训讲师必须对系统的使用和功能有着丰富的经验，投标人需提供具体的课程安排计划。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2、培训方式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包括现场实施应用操作、实际工作的参与和集体培训。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3、培训内容和有关对象描述 </w:t>
      </w:r>
    </w:p>
    <w:p>
      <w:pPr>
        <w:pStyle w:val="964"/>
        <w:spacing w:line="360" w:lineRule="auto"/>
        <w:rPr>
          <w:rFonts w:ascii="仿宋" w:hAnsi="仿宋" w:eastAsia="仿宋" w:cs="仿宋"/>
          <w:szCs w:val="24"/>
        </w:rPr>
      </w:pPr>
      <w:r>
        <w:rPr>
          <w:rFonts w:hint="eastAsia" w:ascii="仿宋" w:hAnsi="仿宋" w:eastAsia="仿宋" w:cs="仿宋"/>
          <w:szCs w:val="24"/>
        </w:rPr>
        <w:t>投标人应提供详细的培训内容和方案设计，保证培训内容符合采购人需要。</w:t>
      </w:r>
    </w:p>
    <w:p>
      <w:pPr>
        <w:pStyle w:val="964"/>
        <w:rPr>
          <w:rFonts w:ascii="仿宋" w:hAnsi="仿宋" w:eastAsia="仿宋" w:cs="仿宋"/>
          <w:b/>
          <w:bCs/>
          <w:sz w:val="28"/>
          <w:szCs w:val="28"/>
        </w:rPr>
      </w:pPr>
    </w:p>
    <w:p>
      <w:pPr>
        <w:spacing w:line="600" w:lineRule="exact"/>
        <w:rPr>
          <w:rFonts w:ascii="仿宋" w:hAnsi="仿宋" w:eastAsia="仿宋" w:cs="仿宋"/>
          <w:b/>
          <w:bCs/>
          <w:sz w:val="28"/>
          <w:szCs w:val="28"/>
        </w:rPr>
      </w:pPr>
      <w:r>
        <w:rPr>
          <w:rFonts w:hint="eastAsia" w:ascii="仿宋" w:hAnsi="仿宋" w:eastAsia="仿宋" w:cs="仿宋"/>
          <w:b/>
          <w:bCs/>
          <w:sz w:val="28"/>
          <w:szCs w:val="28"/>
        </w:rPr>
        <w:t>七、</w:t>
      </w:r>
      <w:r>
        <w:rPr>
          <w:rFonts w:hint="eastAsia" w:ascii="仿宋" w:hAnsi="仿宋" w:eastAsia="仿宋" w:cs="仿宋"/>
          <w:b/>
          <w:bCs/>
          <w:sz w:val="28"/>
          <w:szCs w:val="28"/>
          <w:lang w:eastAsia="zh-Hans"/>
        </w:rPr>
        <w:t>工期要求</w:t>
      </w:r>
      <w:r>
        <w:rPr>
          <w:rFonts w:hint="eastAsia" w:ascii="仿宋" w:hAnsi="仿宋" w:eastAsia="仿宋" w:cs="仿宋"/>
          <w:b/>
          <w:bCs/>
          <w:sz w:val="28"/>
          <w:szCs w:val="28"/>
        </w:rPr>
        <w:t>：</w:t>
      </w:r>
    </w:p>
    <w:p>
      <w:pPr>
        <w:pStyle w:val="964"/>
        <w:ind w:firstLine="480" w:firstLineChars="200"/>
        <w:rPr>
          <w:rFonts w:ascii="仿宋" w:hAnsi="仿宋" w:eastAsia="仿宋" w:cs="仿宋"/>
          <w:szCs w:val="24"/>
        </w:rPr>
      </w:pPr>
      <w:r>
        <w:rPr>
          <w:rFonts w:hint="eastAsia" w:ascii="仿宋" w:hAnsi="仿宋" w:eastAsia="仿宋" w:cs="仿宋"/>
          <w:szCs w:val="24"/>
          <w:lang w:eastAsia="zh-Hans"/>
        </w:rPr>
        <w:t>项目</w:t>
      </w:r>
      <w:r>
        <w:rPr>
          <w:rFonts w:hint="eastAsia" w:ascii="仿宋" w:hAnsi="仿宋" w:eastAsia="仿宋" w:cs="仿宋"/>
        </w:rPr>
        <w:t>合同签订后7</w:t>
      </w:r>
      <w:r>
        <w:rPr>
          <w:rFonts w:ascii="仿宋" w:hAnsi="仿宋" w:eastAsia="仿宋" w:cs="仿宋"/>
        </w:rPr>
        <w:t>0</w:t>
      </w:r>
      <w:r>
        <w:rPr>
          <w:rFonts w:hint="eastAsia" w:ascii="仿宋" w:hAnsi="仿宋" w:eastAsia="仿宋" w:cs="仿宋"/>
        </w:rPr>
        <w:t>天内</w:t>
      </w:r>
      <w:r>
        <w:rPr>
          <w:rFonts w:hint="eastAsia" w:ascii="仿宋" w:hAnsi="仿宋" w:eastAsia="仿宋" w:cs="仿宋"/>
          <w:szCs w:val="24"/>
          <w:lang w:eastAsia="zh-Hans"/>
        </w:rPr>
        <w:t>完成交付</w:t>
      </w:r>
      <w:r>
        <w:rPr>
          <w:rFonts w:hint="eastAsia" w:ascii="仿宋" w:hAnsi="仿宋" w:eastAsia="仿宋" w:cs="仿宋"/>
          <w:szCs w:val="24"/>
        </w:rPr>
        <w:t>。</w:t>
      </w:r>
    </w:p>
    <w:p>
      <w:pPr>
        <w:spacing w:line="600" w:lineRule="exact"/>
        <w:rPr>
          <w:rFonts w:ascii="仿宋" w:hAnsi="仿宋" w:eastAsia="仿宋" w:cs="仿宋"/>
          <w:b/>
          <w:bCs/>
          <w:sz w:val="28"/>
          <w:szCs w:val="28"/>
          <w:lang w:eastAsia="zh-Hans"/>
        </w:rPr>
      </w:pPr>
      <w:r>
        <w:rPr>
          <w:rFonts w:hint="eastAsia" w:ascii="仿宋" w:hAnsi="仿宋" w:eastAsia="仿宋" w:cs="仿宋"/>
          <w:b/>
          <w:bCs/>
          <w:sz w:val="28"/>
          <w:szCs w:val="28"/>
        </w:rPr>
        <w:t>八、</w:t>
      </w:r>
      <w:r>
        <w:rPr>
          <w:rFonts w:hint="eastAsia" w:ascii="仿宋" w:hAnsi="仿宋" w:eastAsia="仿宋" w:cs="仿宋"/>
          <w:b/>
          <w:bCs/>
          <w:sz w:val="28"/>
          <w:szCs w:val="28"/>
          <w:lang w:eastAsia="zh-Hans"/>
        </w:rPr>
        <w:t>货款支付：</w:t>
      </w:r>
    </w:p>
    <w:p>
      <w:pPr>
        <w:pStyle w:val="964"/>
        <w:spacing w:line="360" w:lineRule="auto"/>
        <w:ind w:firstLine="480" w:firstLineChars="200"/>
        <w:rPr>
          <w:rFonts w:ascii="仿宋" w:hAnsi="仿宋" w:eastAsia="仿宋" w:cs="仿宋"/>
          <w:kern w:val="2"/>
          <w:szCs w:val="24"/>
          <w:lang w:val="en-US"/>
        </w:rPr>
      </w:pPr>
      <w:r>
        <w:rPr>
          <w:rFonts w:hint="eastAsia" w:ascii="仿宋" w:hAnsi="仿宋" w:eastAsia="仿宋" w:cs="仿宋"/>
          <w:kern w:val="2"/>
          <w:szCs w:val="24"/>
          <w:lang w:val="en-US"/>
        </w:rPr>
        <w:t>合同签订</w:t>
      </w:r>
      <w:r>
        <w:rPr>
          <w:rFonts w:hint="eastAsia" w:ascii="仿宋" w:hAnsi="仿宋" w:eastAsia="仿宋" w:cs="仿宋"/>
          <w:kern w:val="2"/>
          <w:szCs w:val="24"/>
          <w:lang w:val="en-US" w:eastAsia="zh-Hans"/>
        </w:rPr>
        <w:t>后</w:t>
      </w:r>
      <w:r>
        <w:rPr>
          <w:rFonts w:hint="eastAsia" w:ascii="仿宋" w:hAnsi="仿宋" w:eastAsia="仿宋" w:cs="仿宋"/>
          <w:kern w:val="2"/>
          <w:szCs w:val="24"/>
          <w:lang w:val="en-US"/>
        </w:rPr>
        <w:t>，甲方支付乙方不超过合同金额的30%作为预付款，项目完成</w:t>
      </w:r>
      <w:r>
        <w:rPr>
          <w:rFonts w:hint="eastAsia" w:ascii="仿宋" w:hAnsi="仿宋" w:eastAsia="仿宋" w:cs="仿宋"/>
          <w:kern w:val="2"/>
          <w:szCs w:val="24"/>
          <w:lang w:val="en-US" w:eastAsia="zh-Hans"/>
        </w:rPr>
        <w:t>并</w:t>
      </w:r>
      <w:r>
        <w:rPr>
          <w:rFonts w:hint="eastAsia" w:ascii="仿宋" w:hAnsi="仿宋" w:eastAsia="仿宋" w:cs="仿宋"/>
          <w:kern w:val="2"/>
          <w:szCs w:val="24"/>
          <w:lang w:val="en-US"/>
        </w:rPr>
        <w:t>通过初验后支付至合同价的60%，项目通过终验后支付至合同价的95%</w:t>
      </w:r>
      <w:r>
        <w:rPr>
          <w:rFonts w:hint="eastAsia" w:ascii="仿宋" w:hAnsi="仿宋" w:eastAsia="仿宋" w:cs="仿宋"/>
          <w:kern w:val="2"/>
          <w:szCs w:val="24"/>
          <w:lang w:val="en-US" w:eastAsia="zh-Hans"/>
        </w:rPr>
        <w:t>，项目合同期满且无质量、服务等问题后支付实际结算价剩余的5%。</w:t>
      </w:r>
      <w:r>
        <w:rPr>
          <w:rFonts w:hint="eastAsia" w:ascii="仿宋" w:hAnsi="仿宋" w:eastAsia="仿宋" w:cs="仿宋"/>
          <w:kern w:val="2"/>
          <w:szCs w:val="24"/>
          <w:lang w:val="en-US"/>
        </w:rPr>
        <w:t>每次款项支付时分别开具相应发票。</w:t>
      </w:r>
    </w:p>
    <w:p>
      <w:pPr>
        <w:spacing w:line="360" w:lineRule="auto"/>
        <w:ind w:firstLine="241" w:firstLineChars="100"/>
        <w:rPr>
          <w:rFonts w:ascii="宋体" w:hAnsi="宋体"/>
          <w:b/>
          <w:bCs/>
          <w:sz w:val="24"/>
        </w:rPr>
      </w:pPr>
    </w:p>
    <w:p>
      <w:pPr>
        <w:pStyle w:val="964"/>
        <w:rPr>
          <w:lang w:val="en-US"/>
        </w:rPr>
      </w:pPr>
    </w:p>
    <w:p>
      <w:pPr>
        <w:rPr>
          <w:rFonts w:ascii="仿宋" w:hAnsi="仿宋" w:eastAsia="仿宋" w:cs="Arial"/>
          <w:snapToGrid w:val="0"/>
          <w:kern w:val="0"/>
          <w:sz w:val="24"/>
        </w:rPr>
      </w:pPr>
    </w:p>
    <w:p>
      <w:pPr>
        <w:snapToGrid w:val="0"/>
        <w:spacing w:line="360" w:lineRule="auto"/>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10334"/>
      <w:bookmarkEnd w:id="27"/>
      <w:bookmarkStart w:id="28" w:name="_Toc184313260"/>
      <w:bookmarkEnd w:id="28"/>
      <w:bookmarkStart w:id="29" w:name="_Toc184312075"/>
      <w:bookmarkEnd w:id="29"/>
      <w:bookmarkStart w:id="30" w:name="_Toc184310320"/>
      <w:bookmarkEnd w:id="30"/>
      <w:bookmarkStart w:id="31" w:name="_Toc184313310"/>
      <w:bookmarkEnd w:id="31"/>
      <w:bookmarkStart w:id="32" w:name="_Toc184314456"/>
      <w:bookmarkEnd w:id="32"/>
      <w:bookmarkStart w:id="33" w:name="_Toc184313302"/>
      <w:bookmarkEnd w:id="33"/>
      <w:bookmarkStart w:id="34" w:name="_Toc184308094"/>
      <w:bookmarkEnd w:id="34"/>
      <w:bookmarkStart w:id="35" w:name="_Toc184312080"/>
      <w:bookmarkEnd w:id="35"/>
      <w:bookmarkStart w:id="36" w:name="_Toc184314461"/>
      <w:bookmarkEnd w:id="36"/>
      <w:bookmarkStart w:id="37" w:name="_Toc184312079"/>
      <w:bookmarkEnd w:id="37"/>
      <w:bookmarkStart w:id="38" w:name="_Toc184308107"/>
      <w:bookmarkEnd w:id="38"/>
      <w:bookmarkStart w:id="39" w:name="_Toc184308078"/>
      <w:bookmarkEnd w:id="39"/>
      <w:bookmarkStart w:id="40" w:name="_Toc184310306"/>
      <w:bookmarkEnd w:id="40"/>
      <w:bookmarkStart w:id="41" w:name="_Toc184310272"/>
      <w:bookmarkEnd w:id="41"/>
      <w:bookmarkStart w:id="42" w:name="_Toc184314467"/>
      <w:bookmarkEnd w:id="42"/>
      <w:bookmarkStart w:id="43" w:name="_Toc184312109"/>
      <w:bookmarkEnd w:id="43"/>
      <w:bookmarkStart w:id="44" w:name="_Toc184312111"/>
      <w:bookmarkEnd w:id="44"/>
      <w:bookmarkStart w:id="45" w:name="_Toc184314441"/>
      <w:bookmarkEnd w:id="45"/>
      <w:bookmarkStart w:id="46" w:name="_Toc184308072"/>
      <w:bookmarkEnd w:id="46"/>
      <w:bookmarkStart w:id="47" w:name="_Toc184312076"/>
      <w:bookmarkEnd w:id="47"/>
      <w:bookmarkStart w:id="48" w:name="_Toc184312127"/>
      <w:bookmarkEnd w:id="48"/>
      <w:bookmarkStart w:id="49" w:name="_Toc184312092"/>
      <w:bookmarkEnd w:id="49"/>
      <w:bookmarkStart w:id="50" w:name="_Toc184313242"/>
      <w:bookmarkEnd w:id="50"/>
      <w:bookmarkStart w:id="51" w:name="_Toc184312082"/>
      <w:bookmarkEnd w:id="51"/>
      <w:bookmarkStart w:id="52" w:name="_Toc184312136"/>
      <w:bookmarkEnd w:id="52"/>
      <w:bookmarkStart w:id="53" w:name="_Toc184308086"/>
      <w:bookmarkEnd w:id="53"/>
      <w:bookmarkStart w:id="54" w:name="_Toc184312114"/>
      <w:bookmarkEnd w:id="54"/>
      <w:bookmarkStart w:id="55" w:name="_Toc184314433"/>
      <w:bookmarkEnd w:id="55"/>
      <w:bookmarkStart w:id="56" w:name="_Toc184314421"/>
      <w:bookmarkEnd w:id="56"/>
      <w:bookmarkStart w:id="57" w:name="_Toc184308038"/>
      <w:bookmarkEnd w:id="57"/>
      <w:bookmarkStart w:id="58" w:name="_Toc184310276"/>
      <w:bookmarkEnd w:id="58"/>
      <w:bookmarkStart w:id="59" w:name="_Toc184314423"/>
      <w:bookmarkEnd w:id="59"/>
      <w:bookmarkStart w:id="60" w:name="_Toc184314470"/>
      <w:bookmarkEnd w:id="60"/>
      <w:bookmarkStart w:id="61" w:name="_Toc184314420"/>
      <w:bookmarkEnd w:id="61"/>
      <w:bookmarkStart w:id="62" w:name="_Toc184314465"/>
      <w:bookmarkEnd w:id="62"/>
      <w:bookmarkStart w:id="63" w:name="_Toc184310280"/>
      <w:bookmarkEnd w:id="63"/>
      <w:bookmarkStart w:id="64" w:name="_Toc184314448"/>
      <w:bookmarkEnd w:id="64"/>
      <w:bookmarkStart w:id="65" w:name="_Toc184312119"/>
      <w:bookmarkEnd w:id="65"/>
      <w:bookmarkStart w:id="66" w:name="_Toc184312124"/>
      <w:bookmarkEnd w:id="66"/>
      <w:bookmarkStart w:id="67" w:name="_Toc184310303"/>
      <w:bookmarkEnd w:id="67"/>
      <w:bookmarkStart w:id="68" w:name="_Toc184308080"/>
      <w:bookmarkEnd w:id="68"/>
      <w:bookmarkStart w:id="69" w:name="_Toc184312126"/>
      <w:bookmarkEnd w:id="69"/>
      <w:bookmarkStart w:id="70" w:name="_Toc184312121"/>
      <w:bookmarkEnd w:id="70"/>
      <w:bookmarkStart w:id="71" w:name="_Toc184313289"/>
      <w:bookmarkEnd w:id="71"/>
      <w:bookmarkStart w:id="72" w:name="_Toc184312113"/>
      <w:bookmarkEnd w:id="72"/>
      <w:bookmarkStart w:id="73" w:name="_Toc184313245"/>
      <w:bookmarkEnd w:id="73"/>
      <w:bookmarkStart w:id="74" w:name="_Toc184310341"/>
      <w:bookmarkEnd w:id="74"/>
      <w:bookmarkStart w:id="75" w:name="_Toc184312118"/>
      <w:bookmarkEnd w:id="75"/>
      <w:bookmarkStart w:id="76" w:name="_Toc184313248"/>
      <w:bookmarkEnd w:id="76"/>
      <w:bookmarkStart w:id="77" w:name="_Toc184314466"/>
      <w:bookmarkEnd w:id="77"/>
      <w:bookmarkStart w:id="78" w:name="_Toc184313301"/>
      <w:bookmarkEnd w:id="78"/>
      <w:bookmarkStart w:id="79" w:name="_Toc184308044"/>
      <w:bookmarkEnd w:id="79"/>
      <w:bookmarkStart w:id="80" w:name="_Toc184314474"/>
      <w:bookmarkEnd w:id="80"/>
      <w:bookmarkStart w:id="81" w:name="_Toc184312077"/>
      <w:bookmarkEnd w:id="81"/>
      <w:bookmarkStart w:id="82" w:name="_Toc184313284"/>
      <w:bookmarkEnd w:id="82"/>
      <w:bookmarkStart w:id="83" w:name="_Toc184310335"/>
      <w:bookmarkEnd w:id="83"/>
      <w:bookmarkStart w:id="84" w:name="_Toc184310290"/>
      <w:bookmarkEnd w:id="84"/>
      <w:bookmarkStart w:id="85" w:name="_Toc184312090"/>
      <w:bookmarkEnd w:id="85"/>
      <w:bookmarkStart w:id="86" w:name="_Toc184313261"/>
      <w:bookmarkEnd w:id="86"/>
      <w:bookmarkStart w:id="87" w:name="_Toc184310279"/>
      <w:bookmarkEnd w:id="87"/>
      <w:bookmarkStart w:id="88" w:name="_Toc184312072"/>
      <w:bookmarkEnd w:id="88"/>
      <w:bookmarkStart w:id="89" w:name="_Toc184313276"/>
      <w:bookmarkEnd w:id="89"/>
      <w:bookmarkStart w:id="90" w:name="_Toc184314477"/>
      <w:bookmarkEnd w:id="90"/>
      <w:bookmarkStart w:id="91" w:name="_Toc184313282"/>
      <w:bookmarkEnd w:id="91"/>
      <w:bookmarkStart w:id="92" w:name="_Toc184310342"/>
      <w:bookmarkEnd w:id="92"/>
      <w:bookmarkStart w:id="93" w:name="_Toc184314464"/>
      <w:bookmarkEnd w:id="93"/>
      <w:bookmarkStart w:id="94" w:name="_Toc184308095"/>
      <w:bookmarkEnd w:id="94"/>
      <w:bookmarkStart w:id="95" w:name="_Toc184308060"/>
      <w:bookmarkEnd w:id="95"/>
      <w:bookmarkStart w:id="96" w:name="_Toc184310274"/>
      <w:bookmarkEnd w:id="96"/>
      <w:bookmarkStart w:id="97" w:name="_Toc184308106"/>
      <w:bookmarkEnd w:id="97"/>
      <w:bookmarkStart w:id="98" w:name="_Toc184310318"/>
      <w:bookmarkEnd w:id="98"/>
      <w:bookmarkStart w:id="99" w:name="_Toc184314418"/>
      <w:bookmarkEnd w:id="99"/>
      <w:bookmarkStart w:id="100" w:name="_Toc184308043"/>
      <w:bookmarkEnd w:id="100"/>
      <w:bookmarkStart w:id="101" w:name="_Toc184313297"/>
      <w:bookmarkEnd w:id="101"/>
      <w:bookmarkStart w:id="102" w:name="_Toc184310344"/>
      <w:bookmarkEnd w:id="102"/>
      <w:bookmarkStart w:id="103" w:name="_Toc184312133"/>
      <w:bookmarkEnd w:id="103"/>
      <w:bookmarkStart w:id="104" w:name="_Toc184312125"/>
      <w:bookmarkEnd w:id="104"/>
      <w:bookmarkStart w:id="105" w:name="_Toc184314472"/>
      <w:bookmarkEnd w:id="105"/>
      <w:bookmarkStart w:id="106" w:name="_Toc184310313"/>
      <w:bookmarkEnd w:id="106"/>
      <w:bookmarkStart w:id="107" w:name="_Toc184310339"/>
      <w:bookmarkEnd w:id="107"/>
      <w:bookmarkStart w:id="108" w:name="_Toc184313238"/>
      <w:bookmarkEnd w:id="108"/>
      <w:bookmarkStart w:id="109" w:name="_Toc184308075"/>
      <w:bookmarkEnd w:id="109"/>
      <w:bookmarkStart w:id="110" w:name="_Toc184308105"/>
      <w:bookmarkEnd w:id="110"/>
      <w:bookmarkStart w:id="111" w:name="_Toc184314416"/>
      <w:bookmarkEnd w:id="111"/>
      <w:bookmarkStart w:id="112" w:name="_Toc184310329"/>
      <w:bookmarkEnd w:id="112"/>
      <w:bookmarkStart w:id="113" w:name="_Toc184310278"/>
      <w:bookmarkEnd w:id="113"/>
      <w:bookmarkStart w:id="114" w:name="_Toc184312073"/>
      <w:bookmarkEnd w:id="114"/>
      <w:bookmarkStart w:id="115" w:name="_Toc184313309"/>
      <w:bookmarkEnd w:id="115"/>
      <w:bookmarkStart w:id="116" w:name="_Toc184313244"/>
      <w:bookmarkEnd w:id="116"/>
      <w:bookmarkStart w:id="117" w:name="_Toc184308042"/>
      <w:bookmarkEnd w:id="117"/>
      <w:bookmarkStart w:id="118" w:name="_Toc184313300"/>
      <w:bookmarkEnd w:id="118"/>
      <w:bookmarkStart w:id="119" w:name="_Toc184308096"/>
      <w:bookmarkEnd w:id="119"/>
      <w:bookmarkStart w:id="120" w:name="_Toc184314424"/>
      <w:bookmarkEnd w:id="120"/>
      <w:bookmarkStart w:id="121" w:name="_Toc184310332"/>
      <w:bookmarkEnd w:id="121"/>
      <w:bookmarkStart w:id="122" w:name="_Toc184310304"/>
      <w:bookmarkEnd w:id="122"/>
      <w:bookmarkStart w:id="123" w:name="_Toc184312074"/>
      <w:bookmarkEnd w:id="123"/>
      <w:bookmarkStart w:id="124" w:name="_Toc184313296"/>
      <w:bookmarkEnd w:id="124"/>
      <w:bookmarkStart w:id="125" w:name="_Toc184310294"/>
      <w:bookmarkEnd w:id="125"/>
      <w:bookmarkStart w:id="126" w:name="_Toc184308062"/>
      <w:bookmarkEnd w:id="126"/>
      <w:bookmarkStart w:id="127" w:name="_Toc184314471"/>
      <w:bookmarkEnd w:id="127"/>
      <w:bookmarkStart w:id="128" w:name="_Toc184312089"/>
      <w:bookmarkEnd w:id="128"/>
      <w:bookmarkStart w:id="129" w:name="_Toc184308104"/>
      <w:bookmarkEnd w:id="129"/>
      <w:bookmarkStart w:id="130" w:name="_Toc184312091"/>
      <w:bookmarkEnd w:id="130"/>
      <w:bookmarkStart w:id="131" w:name="_Toc184312101"/>
      <w:bookmarkEnd w:id="131"/>
      <w:bookmarkStart w:id="132" w:name="_Toc184314469"/>
      <w:bookmarkEnd w:id="132"/>
      <w:bookmarkStart w:id="133" w:name="_Toc184312110"/>
      <w:bookmarkEnd w:id="133"/>
      <w:bookmarkStart w:id="134" w:name="_Toc184314415"/>
      <w:bookmarkEnd w:id="134"/>
      <w:bookmarkStart w:id="135" w:name="_Toc184308036"/>
      <w:bookmarkEnd w:id="135"/>
      <w:bookmarkStart w:id="136" w:name="_Toc184313265"/>
      <w:bookmarkEnd w:id="136"/>
      <w:bookmarkStart w:id="137" w:name="_Toc184308041"/>
      <w:bookmarkEnd w:id="137"/>
      <w:bookmarkStart w:id="138" w:name="_Toc184314412"/>
      <w:bookmarkEnd w:id="138"/>
      <w:bookmarkStart w:id="139" w:name="_Toc184312129"/>
      <w:bookmarkEnd w:id="139"/>
      <w:bookmarkStart w:id="140" w:name="_Toc184310295"/>
      <w:bookmarkEnd w:id="140"/>
      <w:bookmarkStart w:id="141" w:name="_Toc184314427"/>
      <w:bookmarkEnd w:id="141"/>
      <w:bookmarkStart w:id="142" w:name="_Toc184312098"/>
      <w:bookmarkEnd w:id="142"/>
      <w:bookmarkStart w:id="143" w:name="_Toc184310312"/>
      <w:bookmarkEnd w:id="143"/>
      <w:bookmarkStart w:id="144" w:name="_Toc184308103"/>
      <w:bookmarkEnd w:id="144"/>
      <w:bookmarkStart w:id="145" w:name="_Toc184308037"/>
      <w:bookmarkEnd w:id="145"/>
      <w:bookmarkStart w:id="146" w:name="_Toc184313243"/>
      <w:bookmarkEnd w:id="146"/>
      <w:bookmarkStart w:id="147" w:name="_Toc184308089"/>
      <w:bookmarkEnd w:id="147"/>
      <w:bookmarkStart w:id="148" w:name="_Toc184308045"/>
      <w:bookmarkEnd w:id="148"/>
      <w:bookmarkStart w:id="149" w:name="_Toc184312134"/>
      <w:bookmarkEnd w:id="149"/>
      <w:bookmarkStart w:id="150" w:name="_Toc184314428"/>
      <w:bookmarkEnd w:id="150"/>
      <w:bookmarkStart w:id="151" w:name="_Toc184314411"/>
      <w:bookmarkEnd w:id="151"/>
      <w:bookmarkStart w:id="152" w:name="_Toc184314417"/>
      <w:bookmarkEnd w:id="152"/>
      <w:bookmarkStart w:id="153" w:name="_Toc184308099"/>
      <w:bookmarkEnd w:id="153"/>
      <w:bookmarkStart w:id="154" w:name="_Toc184314455"/>
      <w:bookmarkEnd w:id="154"/>
      <w:bookmarkStart w:id="155" w:name="_Toc184310273"/>
      <w:bookmarkEnd w:id="155"/>
      <w:bookmarkStart w:id="156" w:name="_Toc184313290"/>
      <w:bookmarkEnd w:id="156"/>
      <w:bookmarkStart w:id="157" w:name="_Toc184310321"/>
      <w:bookmarkEnd w:id="157"/>
      <w:bookmarkStart w:id="158" w:name="_Toc184312122"/>
      <w:bookmarkEnd w:id="158"/>
      <w:bookmarkStart w:id="159" w:name="_Toc184312088"/>
      <w:bookmarkEnd w:id="159"/>
      <w:bookmarkStart w:id="160" w:name="_Toc184312068"/>
      <w:bookmarkEnd w:id="160"/>
      <w:bookmarkStart w:id="161" w:name="_Toc184308097"/>
      <w:bookmarkEnd w:id="161"/>
      <w:bookmarkStart w:id="162" w:name="_Toc184314458"/>
      <w:bookmarkEnd w:id="162"/>
      <w:bookmarkStart w:id="163" w:name="_Toc184308050"/>
      <w:bookmarkEnd w:id="163"/>
      <w:bookmarkStart w:id="164" w:name="_Toc184308098"/>
      <w:bookmarkEnd w:id="164"/>
      <w:bookmarkStart w:id="165" w:name="_Toc184314468"/>
      <w:bookmarkEnd w:id="165"/>
      <w:bookmarkStart w:id="166" w:name="_Toc184313287"/>
      <w:bookmarkEnd w:id="166"/>
      <w:bookmarkStart w:id="167" w:name="_Toc184314432"/>
      <w:bookmarkEnd w:id="167"/>
      <w:bookmarkStart w:id="168" w:name="_Toc184314443"/>
      <w:bookmarkEnd w:id="168"/>
      <w:bookmarkStart w:id="169" w:name="_Toc184314426"/>
      <w:bookmarkEnd w:id="169"/>
      <w:bookmarkStart w:id="170" w:name="_Toc184312128"/>
      <w:bookmarkEnd w:id="170"/>
      <w:bookmarkStart w:id="171" w:name="_Toc184314481"/>
      <w:bookmarkEnd w:id="171"/>
      <w:bookmarkStart w:id="172" w:name="_Toc184314440"/>
      <w:bookmarkEnd w:id="172"/>
      <w:bookmarkStart w:id="173" w:name="_Toc184308077"/>
      <w:bookmarkEnd w:id="173"/>
      <w:bookmarkStart w:id="174" w:name="_Toc184314425"/>
      <w:bookmarkEnd w:id="174"/>
      <w:bookmarkStart w:id="175" w:name="_Toc184313307"/>
      <w:bookmarkEnd w:id="175"/>
      <w:bookmarkStart w:id="176" w:name="_Toc184310316"/>
      <w:bookmarkEnd w:id="176"/>
      <w:bookmarkStart w:id="177" w:name="_Toc184312137"/>
      <w:bookmarkEnd w:id="177"/>
      <w:bookmarkStart w:id="178" w:name="_Toc184310314"/>
      <w:bookmarkEnd w:id="178"/>
      <w:bookmarkStart w:id="179" w:name="_Toc184308085"/>
      <w:bookmarkEnd w:id="179"/>
      <w:bookmarkStart w:id="180" w:name="_Toc184313258"/>
      <w:bookmarkEnd w:id="180"/>
      <w:bookmarkStart w:id="181" w:name="_Toc184308059"/>
      <w:bookmarkEnd w:id="181"/>
      <w:bookmarkStart w:id="182" w:name="_Toc184310322"/>
      <w:bookmarkEnd w:id="182"/>
      <w:bookmarkStart w:id="183" w:name="_Toc184312138"/>
      <w:bookmarkEnd w:id="183"/>
      <w:bookmarkStart w:id="184" w:name="_Toc184308053"/>
      <w:bookmarkEnd w:id="184"/>
      <w:bookmarkStart w:id="185" w:name="_Toc184308079"/>
      <w:bookmarkEnd w:id="185"/>
      <w:bookmarkStart w:id="186" w:name="_Toc184308070"/>
      <w:bookmarkEnd w:id="186"/>
      <w:bookmarkStart w:id="187" w:name="_Toc184314473"/>
      <w:bookmarkEnd w:id="187"/>
      <w:bookmarkStart w:id="188" w:name="_Toc184313240"/>
      <w:bookmarkEnd w:id="188"/>
      <w:bookmarkStart w:id="189" w:name="_Toc184313308"/>
      <w:bookmarkEnd w:id="189"/>
      <w:bookmarkStart w:id="190" w:name="_Toc184313267"/>
      <w:bookmarkEnd w:id="190"/>
      <w:bookmarkStart w:id="191" w:name="_Toc184314459"/>
      <w:bookmarkEnd w:id="191"/>
      <w:bookmarkStart w:id="192" w:name="_Toc184308081"/>
      <w:bookmarkEnd w:id="192"/>
      <w:bookmarkStart w:id="193" w:name="_Toc184313295"/>
      <w:bookmarkEnd w:id="193"/>
      <w:bookmarkStart w:id="194" w:name="_Toc184310298"/>
      <w:bookmarkEnd w:id="194"/>
      <w:bookmarkStart w:id="195" w:name="_Toc184308071"/>
      <w:bookmarkEnd w:id="195"/>
      <w:bookmarkStart w:id="196" w:name="_Toc184314462"/>
      <w:bookmarkEnd w:id="196"/>
      <w:bookmarkStart w:id="197" w:name="_Toc184308048"/>
      <w:bookmarkEnd w:id="197"/>
      <w:bookmarkStart w:id="198" w:name="_Toc184313279"/>
      <w:bookmarkEnd w:id="198"/>
      <w:bookmarkStart w:id="199" w:name="_Toc184312104"/>
      <w:bookmarkEnd w:id="199"/>
      <w:bookmarkStart w:id="200" w:name="_Toc184313252"/>
      <w:bookmarkEnd w:id="200"/>
      <w:bookmarkStart w:id="201" w:name="_Toc184312070"/>
      <w:bookmarkEnd w:id="201"/>
      <w:bookmarkStart w:id="202" w:name="_Toc184310300"/>
      <w:bookmarkEnd w:id="202"/>
      <w:bookmarkStart w:id="203" w:name="_Toc184313275"/>
      <w:bookmarkEnd w:id="203"/>
      <w:bookmarkStart w:id="204" w:name="_Toc184314482"/>
      <w:bookmarkEnd w:id="204"/>
      <w:bookmarkStart w:id="205" w:name="_Toc184313268"/>
      <w:bookmarkEnd w:id="205"/>
      <w:bookmarkStart w:id="206" w:name="_Toc184310296"/>
      <w:bookmarkEnd w:id="206"/>
      <w:bookmarkStart w:id="207" w:name="_Toc184313283"/>
      <w:bookmarkEnd w:id="207"/>
      <w:bookmarkStart w:id="208" w:name="_Toc184310275"/>
      <w:bookmarkEnd w:id="208"/>
      <w:bookmarkStart w:id="209" w:name="_Toc184310283"/>
      <w:bookmarkEnd w:id="209"/>
      <w:bookmarkStart w:id="210" w:name="_Toc184313306"/>
      <w:bookmarkEnd w:id="210"/>
      <w:bookmarkStart w:id="211" w:name="_Toc184310282"/>
      <w:bookmarkEnd w:id="211"/>
      <w:bookmarkStart w:id="212" w:name="_Toc184314410"/>
      <w:bookmarkEnd w:id="212"/>
      <w:bookmarkStart w:id="213" w:name="_Toc184313253"/>
      <w:bookmarkEnd w:id="213"/>
      <w:bookmarkStart w:id="214" w:name="_Toc184313277"/>
      <w:bookmarkEnd w:id="214"/>
      <w:bookmarkStart w:id="215" w:name="_Toc184313262"/>
      <w:bookmarkEnd w:id="215"/>
      <w:bookmarkStart w:id="216" w:name="_Toc184310308"/>
      <w:bookmarkEnd w:id="216"/>
      <w:bookmarkStart w:id="217" w:name="_Toc184308056"/>
      <w:bookmarkEnd w:id="217"/>
      <w:bookmarkStart w:id="218" w:name="_Toc184310299"/>
      <w:bookmarkEnd w:id="218"/>
      <w:bookmarkStart w:id="219" w:name="_Toc184308040"/>
      <w:bookmarkEnd w:id="219"/>
      <w:bookmarkStart w:id="220" w:name="_Toc184314413"/>
      <w:bookmarkEnd w:id="220"/>
      <w:bookmarkStart w:id="221" w:name="_Toc184310285"/>
      <w:bookmarkEnd w:id="221"/>
      <w:bookmarkStart w:id="222" w:name="_Toc184308061"/>
      <w:bookmarkEnd w:id="222"/>
      <w:bookmarkStart w:id="223" w:name="_Toc184313292"/>
      <w:bookmarkEnd w:id="223"/>
      <w:bookmarkStart w:id="224" w:name="_Toc184308054"/>
      <w:bookmarkEnd w:id="224"/>
      <w:bookmarkStart w:id="225" w:name="_Toc184308058"/>
      <w:bookmarkEnd w:id="225"/>
      <w:bookmarkStart w:id="226" w:name="_Toc184308049"/>
      <w:bookmarkEnd w:id="226"/>
      <w:bookmarkStart w:id="227" w:name="_Toc184313251"/>
      <w:bookmarkEnd w:id="227"/>
      <w:bookmarkStart w:id="228" w:name="_Toc184308039"/>
      <w:bookmarkEnd w:id="228"/>
      <w:bookmarkStart w:id="229" w:name="_Toc184314454"/>
      <w:bookmarkEnd w:id="229"/>
      <w:bookmarkStart w:id="230" w:name="_Toc184310297"/>
      <w:bookmarkEnd w:id="230"/>
      <w:bookmarkStart w:id="231" w:name="_Toc184310289"/>
      <w:bookmarkEnd w:id="231"/>
      <w:bookmarkStart w:id="232" w:name="_Toc184313254"/>
      <w:bookmarkEnd w:id="232"/>
      <w:bookmarkStart w:id="233" w:name="_Toc184312117"/>
      <w:bookmarkEnd w:id="233"/>
      <w:bookmarkStart w:id="234" w:name="_Toc184312078"/>
      <w:bookmarkEnd w:id="234"/>
      <w:bookmarkStart w:id="235" w:name="_Toc184312087"/>
      <w:bookmarkEnd w:id="235"/>
      <w:bookmarkStart w:id="236" w:name="_Toc184314478"/>
      <w:bookmarkEnd w:id="236"/>
      <w:bookmarkStart w:id="237" w:name="_Toc184312086"/>
      <w:bookmarkEnd w:id="237"/>
      <w:bookmarkStart w:id="238" w:name="_Toc184310301"/>
      <w:bookmarkEnd w:id="238"/>
      <w:bookmarkStart w:id="239" w:name="_Toc184313281"/>
      <w:bookmarkEnd w:id="239"/>
      <w:bookmarkStart w:id="240" w:name="_Toc184314444"/>
      <w:bookmarkEnd w:id="240"/>
      <w:bookmarkStart w:id="241" w:name="_Toc184308082"/>
      <w:bookmarkEnd w:id="241"/>
      <w:bookmarkStart w:id="242" w:name="_Toc184312069"/>
      <w:bookmarkEnd w:id="242"/>
      <w:bookmarkStart w:id="243" w:name="_Toc184312085"/>
      <w:bookmarkEnd w:id="243"/>
      <w:bookmarkStart w:id="244" w:name="_Toc184313256"/>
      <w:bookmarkEnd w:id="244"/>
      <w:bookmarkStart w:id="245" w:name="_Toc184310336"/>
      <w:bookmarkEnd w:id="245"/>
      <w:bookmarkStart w:id="246" w:name="_Toc184310288"/>
      <w:bookmarkEnd w:id="246"/>
      <w:bookmarkStart w:id="247" w:name="_Toc184313271"/>
      <w:bookmarkEnd w:id="247"/>
      <w:bookmarkStart w:id="248" w:name="_Toc184310284"/>
      <w:bookmarkEnd w:id="248"/>
      <w:bookmarkStart w:id="249" w:name="_Toc184310317"/>
      <w:bookmarkEnd w:id="249"/>
      <w:bookmarkStart w:id="250" w:name="_Toc184308069"/>
      <w:bookmarkEnd w:id="250"/>
      <w:bookmarkStart w:id="251" w:name="_Toc184308057"/>
      <w:bookmarkEnd w:id="251"/>
      <w:bookmarkStart w:id="252" w:name="_Toc184314447"/>
      <w:bookmarkEnd w:id="252"/>
      <w:bookmarkStart w:id="253" w:name="_Toc184312081"/>
      <w:bookmarkEnd w:id="253"/>
      <w:bookmarkStart w:id="254" w:name="_Toc184313266"/>
      <w:bookmarkEnd w:id="254"/>
      <w:bookmarkStart w:id="255" w:name="_Toc184310281"/>
      <w:bookmarkEnd w:id="255"/>
      <w:bookmarkStart w:id="256" w:name="_Toc184314450"/>
      <w:bookmarkEnd w:id="256"/>
      <w:bookmarkStart w:id="257" w:name="_Toc184313264"/>
      <w:bookmarkEnd w:id="257"/>
      <w:bookmarkStart w:id="258" w:name="_Toc184312112"/>
      <w:bookmarkEnd w:id="258"/>
      <w:bookmarkStart w:id="259" w:name="_Toc184313272"/>
      <w:bookmarkEnd w:id="259"/>
      <w:bookmarkStart w:id="260" w:name="_Toc184314431"/>
      <w:bookmarkEnd w:id="260"/>
      <w:bookmarkStart w:id="261" w:name="_Toc184314445"/>
      <w:bookmarkEnd w:id="261"/>
      <w:bookmarkStart w:id="262" w:name="_Toc184313259"/>
      <w:bookmarkEnd w:id="262"/>
      <w:bookmarkStart w:id="263" w:name="_Toc184314460"/>
      <w:bookmarkEnd w:id="263"/>
      <w:bookmarkStart w:id="264" w:name="_Toc184314430"/>
      <w:bookmarkEnd w:id="264"/>
      <w:bookmarkStart w:id="265" w:name="_Toc184312115"/>
      <w:bookmarkEnd w:id="265"/>
      <w:bookmarkStart w:id="266" w:name="_Toc184310291"/>
      <w:bookmarkEnd w:id="266"/>
      <w:bookmarkStart w:id="267" w:name="_Toc184312084"/>
      <w:bookmarkEnd w:id="267"/>
      <w:bookmarkStart w:id="268" w:name="_Toc184312108"/>
      <w:bookmarkEnd w:id="268"/>
      <w:bookmarkStart w:id="269" w:name="_Toc184314475"/>
      <w:bookmarkEnd w:id="269"/>
      <w:bookmarkStart w:id="270" w:name="_Toc184313274"/>
      <w:bookmarkEnd w:id="270"/>
      <w:bookmarkStart w:id="271" w:name="_Toc184312096"/>
      <w:bookmarkEnd w:id="271"/>
      <w:bookmarkStart w:id="272" w:name="_Toc184308055"/>
      <w:bookmarkEnd w:id="272"/>
      <w:bookmarkStart w:id="273" w:name="_Toc184308084"/>
      <w:bookmarkEnd w:id="273"/>
      <w:bookmarkStart w:id="274" w:name="_Toc184312097"/>
      <w:bookmarkEnd w:id="274"/>
      <w:bookmarkStart w:id="275" w:name="_Toc184313293"/>
      <w:bookmarkEnd w:id="275"/>
      <w:bookmarkStart w:id="276" w:name="_Toc184313280"/>
      <w:bookmarkEnd w:id="276"/>
      <w:bookmarkStart w:id="277" w:name="_Toc184313291"/>
      <w:bookmarkEnd w:id="277"/>
      <w:bookmarkStart w:id="278" w:name="_Toc184312099"/>
      <w:bookmarkEnd w:id="278"/>
      <w:bookmarkStart w:id="279" w:name="_Toc184312083"/>
      <w:bookmarkEnd w:id="279"/>
      <w:bookmarkStart w:id="280" w:name="_Toc184310331"/>
      <w:bookmarkEnd w:id="280"/>
      <w:bookmarkStart w:id="281" w:name="_Toc184314439"/>
      <w:bookmarkEnd w:id="281"/>
      <w:bookmarkStart w:id="282" w:name="_Toc184308065"/>
      <w:bookmarkEnd w:id="282"/>
      <w:bookmarkStart w:id="283" w:name="_Toc184313257"/>
      <w:bookmarkEnd w:id="283"/>
      <w:bookmarkStart w:id="284" w:name="_Toc184308067"/>
      <w:bookmarkEnd w:id="284"/>
      <w:bookmarkStart w:id="285" w:name="_Toc184313239"/>
      <w:bookmarkEnd w:id="285"/>
      <w:bookmarkStart w:id="286" w:name="_Toc184310343"/>
      <w:bookmarkEnd w:id="286"/>
      <w:bookmarkStart w:id="287" w:name="_Toc184312106"/>
      <w:bookmarkEnd w:id="287"/>
      <w:bookmarkStart w:id="288" w:name="_Toc184314453"/>
      <w:bookmarkEnd w:id="288"/>
      <w:bookmarkStart w:id="289" w:name="_Toc184313273"/>
      <w:bookmarkEnd w:id="289"/>
      <w:bookmarkStart w:id="290" w:name="_Toc184313270"/>
      <w:bookmarkEnd w:id="290"/>
      <w:bookmarkStart w:id="291" w:name="_Toc184314434"/>
      <w:bookmarkEnd w:id="291"/>
      <w:bookmarkStart w:id="292" w:name="_Toc184313255"/>
      <w:bookmarkEnd w:id="292"/>
      <w:bookmarkStart w:id="293" w:name="_Toc184310328"/>
      <w:bookmarkEnd w:id="293"/>
      <w:bookmarkStart w:id="294" w:name="_Toc184310310"/>
      <w:bookmarkEnd w:id="294"/>
      <w:bookmarkStart w:id="295" w:name="_Toc184308066"/>
      <w:bookmarkEnd w:id="295"/>
      <w:bookmarkStart w:id="296" w:name="_Toc184310323"/>
      <w:bookmarkEnd w:id="296"/>
      <w:bookmarkStart w:id="297" w:name="_Toc184314442"/>
      <w:bookmarkEnd w:id="297"/>
      <w:bookmarkStart w:id="298" w:name="_Toc184310305"/>
      <w:bookmarkEnd w:id="298"/>
      <w:bookmarkStart w:id="299" w:name="_Toc184310286"/>
      <w:bookmarkEnd w:id="299"/>
      <w:bookmarkStart w:id="300" w:name="_Toc184312139"/>
      <w:bookmarkEnd w:id="300"/>
      <w:bookmarkStart w:id="301" w:name="_Toc184312116"/>
      <w:bookmarkEnd w:id="301"/>
      <w:bookmarkStart w:id="302" w:name="_Toc184310340"/>
      <w:bookmarkEnd w:id="302"/>
      <w:bookmarkStart w:id="303" w:name="_Toc184310302"/>
      <w:bookmarkEnd w:id="303"/>
      <w:bookmarkStart w:id="304" w:name="_Toc184310292"/>
      <w:bookmarkEnd w:id="304"/>
      <w:bookmarkStart w:id="305" w:name="_Toc184310330"/>
      <w:bookmarkEnd w:id="305"/>
      <w:bookmarkStart w:id="306" w:name="_Toc184310311"/>
      <w:bookmarkEnd w:id="306"/>
      <w:bookmarkStart w:id="307" w:name="_Toc184312095"/>
      <w:bookmarkEnd w:id="307"/>
      <w:bookmarkStart w:id="308" w:name="_Toc184312067"/>
      <w:bookmarkEnd w:id="308"/>
      <w:bookmarkStart w:id="309" w:name="_Toc184308047"/>
      <w:bookmarkEnd w:id="309"/>
      <w:bookmarkStart w:id="310" w:name="_Toc184308052"/>
      <w:bookmarkEnd w:id="310"/>
      <w:bookmarkStart w:id="311" w:name="_Toc184308074"/>
      <w:bookmarkEnd w:id="311"/>
      <w:bookmarkStart w:id="312" w:name="_Toc184312135"/>
      <w:bookmarkEnd w:id="312"/>
      <w:bookmarkStart w:id="313" w:name="_Toc184308064"/>
      <w:bookmarkEnd w:id="313"/>
      <w:bookmarkStart w:id="314" w:name="_Toc184310315"/>
      <w:bookmarkEnd w:id="314"/>
      <w:bookmarkStart w:id="315" w:name="_Toc184313288"/>
      <w:bookmarkEnd w:id="315"/>
      <w:bookmarkStart w:id="316" w:name="_Toc184312103"/>
      <w:bookmarkEnd w:id="316"/>
      <w:bookmarkStart w:id="317" w:name="_Toc184314449"/>
      <w:bookmarkEnd w:id="317"/>
      <w:bookmarkStart w:id="318" w:name="_Toc184312094"/>
      <w:bookmarkEnd w:id="318"/>
      <w:bookmarkStart w:id="319" w:name="_Toc184313263"/>
      <w:bookmarkEnd w:id="319"/>
      <w:bookmarkStart w:id="320" w:name="_Toc184314446"/>
      <w:bookmarkEnd w:id="320"/>
      <w:bookmarkStart w:id="321" w:name="_Toc184308101"/>
      <w:bookmarkEnd w:id="321"/>
      <w:bookmarkStart w:id="322" w:name="_Toc184310293"/>
      <w:bookmarkEnd w:id="322"/>
      <w:bookmarkStart w:id="323" w:name="_Toc184314435"/>
      <w:bookmarkEnd w:id="323"/>
      <w:bookmarkStart w:id="324" w:name="_Toc184312130"/>
      <w:bookmarkEnd w:id="324"/>
      <w:bookmarkStart w:id="325" w:name="_Toc184314429"/>
      <w:bookmarkEnd w:id="325"/>
      <w:bookmarkStart w:id="326" w:name="_Toc184313303"/>
      <w:bookmarkEnd w:id="326"/>
      <w:bookmarkStart w:id="327" w:name="_Toc184312100"/>
      <w:bookmarkEnd w:id="327"/>
      <w:bookmarkStart w:id="328" w:name="_Toc184313305"/>
      <w:bookmarkEnd w:id="328"/>
      <w:bookmarkStart w:id="329" w:name="_Toc184313278"/>
      <w:bookmarkEnd w:id="329"/>
      <w:bookmarkStart w:id="330" w:name="_Toc184310326"/>
      <w:bookmarkEnd w:id="330"/>
      <w:bookmarkStart w:id="331" w:name="_Toc184314463"/>
      <w:bookmarkEnd w:id="331"/>
      <w:bookmarkStart w:id="332" w:name="_Toc184314438"/>
      <w:bookmarkEnd w:id="332"/>
      <w:bookmarkStart w:id="333" w:name="_Toc184310307"/>
      <w:bookmarkEnd w:id="333"/>
      <w:bookmarkStart w:id="334" w:name="_Toc184308092"/>
      <w:bookmarkEnd w:id="334"/>
      <w:bookmarkStart w:id="335" w:name="_Toc184308102"/>
      <w:bookmarkEnd w:id="335"/>
      <w:bookmarkStart w:id="336" w:name="_Toc184310325"/>
      <w:bookmarkEnd w:id="336"/>
      <w:bookmarkStart w:id="337" w:name="_Toc184313304"/>
      <w:bookmarkEnd w:id="337"/>
      <w:bookmarkStart w:id="338" w:name="_Toc184314457"/>
      <w:bookmarkEnd w:id="338"/>
      <w:bookmarkStart w:id="339" w:name="_Toc184313299"/>
      <w:bookmarkEnd w:id="339"/>
      <w:bookmarkStart w:id="340" w:name="_Toc184308076"/>
      <w:bookmarkEnd w:id="340"/>
      <w:bookmarkStart w:id="341" w:name="_Toc184308093"/>
      <w:bookmarkEnd w:id="341"/>
      <w:bookmarkStart w:id="342" w:name="_Toc184310337"/>
      <w:bookmarkEnd w:id="342"/>
      <w:bookmarkStart w:id="343" w:name="_Toc184314436"/>
      <w:bookmarkEnd w:id="343"/>
      <w:bookmarkStart w:id="344" w:name="_Toc184314480"/>
      <w:bookmarkEnd w:id="344"/>
      <w:bookmarkStart w:id="345" w:name="_Toc184310309"/>
      <w:bookmarkEnd w:id="345"/>
      <w:bookmarkStart w:id="346" w:name="_Toc184312120"/>
      <w:bookmarkEnd w:id="346"/>
      <w:bookmarkStart w:id="347" w:name="_Toc184313294"/>
      <w:bookmarkEnd w:id="347"/>
      <w:bookmarkStart w:id="348" w:name="_Toc184308083"/>
      <w:bookmarkEnd w:id="348"/>
      <w:bookmarkStart w:id="349" w:name="_Toc184313249"/>
      <w:bookmarkEnd w:id="349"/>
      <w:bookmarkStart w:id="350" w:name="_Toc184314479"/>
      <w:bookmarkEnd w:id="350"/>
      <w:bookmarkStart w:id="351" w:name="_Toc184308108"/>
      <w:bookmarkEnd w:id="351"/>
      <w:bookmarkStart w:id="352" w:name="_Toc184314451"/>
      <w:bookmarkEnd w:id="352"/>
      <w:bookmarkStart w:id="353" w:name="_Toc184308068"/>
      <w:bookmarkEnd w:id="353"/>
      <w:bookmarkStart w:id="354" w:name="_Toc184310324"/>
      <w:bookmarkEnd w:id="354"/>
      <w:bookmarkStart w:id="355" w:name="_Toc184308090"/>
      <w:bookmarkEnd w:id="355"/>
      <w:bookmarkStart w:id="356" w:name="_Toc184308051"/>
      <w:bookmarkEnd w:id="356"/>
      <w:bookmarkStart w:id="357" w:name="_Toc184310327"/>
      <w:bookmarkEnd w:id="357"/>
      <w:bookmarkStart w:id="358" w:name="_Toc184314452"/>
      <w:bookmarkEnd w:id="358"/>
      <w:bookmarkStart w:id="359" w:name="_Toc184308091"/>
      <w:bookmarkEnd w:id="359"/>
      <w:bookmarkStart w:id="360" w:name="_Toc184308046"/>
      <w:bookmarkEnd w:id="360"/>
      <w:bookmarkStart w:id="361" w:name="_Toc184313286"/>
      <w:bookmarkEnd w:id="361"/>
      <w:bookmarkStart w:id="362" w:name="_Toc184308088"/>
      <w:bookmarkEnd w:id="362"/>
      <w:bookmarkStart w:id="363" w:name="_Toc184312132"/>
      <w:bookmarkEnd w:id="363"/>
      <w:bookmarkStart w:id="364" w:name="_Toc184308063"/>
      <w:bookmarkEnd w:id="364"/>
      <w:bookmarkStart w:id="365" w:name="_Toc184312107"/>
      <w:bookmarkEnd w:id="365"/>
      <w:bookmarkStart w:id="366" w:name="_Toc184312071"/>
      <w:bookmarkEnd w:id="366"/>
      <w:bookmarkStart w:id="367" w:name="_Toc184312123"/>
      <w:bookmarkEnd w:id="367"/>
      <w:bookmarkStart w:id="368" w:name="_Toc184308087"/>
      <w:bookmarkEnd w:id="368"/>
      <w:bookmarkStart w:id="369" w:name="_Toc184313298"/>
      <w:bookmarkEnd w:id="369"/>
      <w:bookmarkStart w:id="370" w:name="_Toc184310319"/>
      <w:bookmarkEnd w:id="370"/>
      <w:bookmarkStart w:id="371" w:name="_Toc184313241"/>
      <w:bookmarkEnd w:id="371"/>
      <w:bookmarkStart w:id="372" w:name="_Toc184312131"/>
      <w:bookmarkEnd w:id="372"/>
      <w:bookmarkStart w:id="373" w:name="_Toc184313285"/>
      <w:bookmarkEnd w:id="373"/>
      <w:bookmarkStart w:id="374" w:name="_Toc184312093"/>
      <w:bookmarkEnd w:id="374"/>
      <w:bookmarkStart w:id="375" w:name="_Toc184313246"/>
      <w:bookmarkEnd w:id="375"/>
      <w:bookmarkStart w:id="376" w:name="_Toc184308073"/>
      <w:bookmarkEnd w:id="376"/>
      <w:bookmarkStart w:id="377" w:name="_Toc184312105"/>
      <w:bookmarkEnd w:id="377"/>
      <w:bookmarkStart w:id="378" w:name="_Toc184312102"/>
      <w:bookmarkEnd w:id="378"/>
      <w:bookmarkStart w:id="379" w:name="_Toc184313250"/>
      <w:bookmarkEnd w:id="379"/>
      <w:bookmarkStart w:id="380" w:name="_Toc184314422"/>
      <w:bookmarkEnd w:id="380"/>
      <w:bookmarkStart w:id="381" w:name="_Toc184310338"/>
      <w:bookmarkEnd w:id="381"/>
      <w:bookmarkStart w:id="382" w:name="_Toc184308100"/>
      <w:bookmarkEnd w:id="382"/>
      <w:bookmarkStart w:id="383" w:name="_Toc184314476"/>
      <w:bookmarkEnd w:id="383"/>
      <w:bookmarkStart w:id="384" w:name="_Toc184310333"/>
      <w:bookmarkEnd w:id="384"/>
      <w:bookmarkStart w:id="385" w:name="_Toc184313269"/>
      <w:bookmarkEnd w:id="385"/>
      <w:bookmarkStart w:id="386" w:name="_Toc184310287"/>
      <w:bookmarkEnd w:id="386"/>
      <w:bookmarkStart w:id="387" w:name="_Toc184314419"/>
      <w:bookmarkEnd w:id="387"/>
      <w:bookmarkStart w:id="388" w:name="_Toc184313247"/>
      <w:bookmarkEnd w:id="388"/>
      <w:bookmarkStart w:id="389" w:name="_Toc184314437"/>
      <w:bookmarkEnd w:id="389"/>
      <w:bookmarkStart w:id="390" w:name="_Toc184314414"/>
      <w:bookmarkEnd w:id="390"/>
      <w:bookmarkStart w:id="391" w:name="_Toc184310277"/>
      <w:bookmarkEnd w:id="391"/>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p>
      <w:pPr>
        <w:spacing w:line="600" w:lineRule="exact"/>
        <w:rPr>
          <w:rFonts w:ascii="仿宋" w:hAnsi="仿宋" w:eastAsia="仿宋" w:cs="仿宋"/>
          <w:sz w:val="24"/>
        </w:rPr>
      </w:pPr>
      <w:r>
        <w:rPr>
          <w:rFonts w:hint="eastAsia" w:ascii="仿宋" w:hAnsi="仿宋" w:eastAsia="仿宋" w:cs="仿宋"/>
          <w:color w:val="000000"/>
          <w:sz w:val="24"/>
        </w:rPr>
        <w:t>一、技术分（</w:t>
      </w:r>
      <w:r>
        <w:rPr>
          <w:rFonts w:ascii="仿宋" w:hAnsi="仿宋" w:eastAsia="仿宋" w:cs="仿宋"/>
          <w:color w:val="000000"/>
          <w:sz w:val="24"/>
        </w:rPr>
        <w:t>58</w:t>
      </w:r>
      <w:r>
        <w:rPr>
          <w:rFonts w:hint="eastAsia" w:ascii="仿宋" w:hAnsi="仿宋" w:eastAsia="仿宋" w:cs="仿宋"/>
          <w:color w:val="000000"/>
          <w:sz w:val="24"/>
        </w:rPr>
        <w:t>分）：</w:t>
      </w:r>
    </w:p>
    <w:tbl>
      <w:tblPr>
        <w:tblStyle w:val="6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4"/>
        <w:gridCol w:w="6957"/>
        <w:gridCol w:w="1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0" w:type="auto"/>
            <w:vAlign w:val="center"/>
          </w:tcPr>
          <w:p>
            <w:pPr>
              <w:jc w:val="center"/>
              <w:rPr>
                <w:rFonts w:ascii="仿宋" w:hAnsi="仿宋" w:eastAsia="仿宋" w:cs="仿宋"/>
                <w:b/>
                <w:bCs/>
                <w:sz w:val="24"/>
              </w:rPr>
            </w:pPr>
            <w:r>
              <w:rPr>
                <w:rFonts w:hint="eastAsia" w:ascii="仿宋" w:hAnsi="仿宋" w:eastAsia="仿宋" w:cs="仿宋"/>
                <w:b/>
                <w:bCs/>
                <w:sz w:val="24"/>
              </w:rPr>
              <w:t>序号</w:t>
            </w:r>
          </w:p>
        </w:tc>
        <w:tc>
          <w:tcPr>
            <w:tcW w:w="0" w:type="auto"/>
            <w:vAlign w:val="center"/>
          </w:tcPr>
          <w:p>
            <w:pPr>
              <w:jc w:val="center"/>
              <w:rPr>
                <w:rFonts w:ascii="仿宋" w:hAnsi="仿宋" w:eastAsia="仿宋" w:cs="仿宋"/>
                <w:b/>
                <w:bCs/>
                <w:sz w:val="24"/>
              </w:rPr>
            </w:pPr>
            <w:r>
              <w:rPr>
                <w:rFonts w:hint="eastAsia" w:ascii="仿宋" w:hAnsi="仿宋" w:eastAsia="仿宋" w:cs="仿宋"/>
                <w:b/>
                <w:bCs/>
                <w:sz w:val="24"/>
              </w:rPr>
              <w:t>评分细则内容</w:t>
            </w:r>
          </w:p>
        </w:tc>
        <w:tc>
          <w:tcPr>
            <w:tcW w:w="0" w:type="auto"/>
            <w:vAlign w:val="center"/>
          </w:tcPr>
          <w:p>
            <w:pPr>
              <w:jc w:val="center"/>
              <w:rPr>
                <w:rFonts w:ascii="仿宋" w:hAnsi="仿宋" w:eastAsia="仿宋" w:cs="仿宋"/>
                <w:b/>
                <w:bCs/>
                <w:sz w:val="24"/>
              </w:rPr>
            </w:pPr>
            <w:r>
              <w:rPr>
                <w:rFonts w:hint="eastAsia" w:ascii="仿宋" w:hAnsi="仿宋" w:eastAsia="仿宋" w:cs="仿宋"/>
                <w:b/>
                <w:bCs/>
                <w:sz w:val="24"/>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0" w:type="auto"/>
            <w:vAlign w:val="center"/>
          </w:tcPr>
          <w:p>
            <w:pPr>
              <w:jc w:val="center"/>
              <w:rPr>
                <w:rFonts w:ascii="仿宋" w:hAnsi="仿宋" w:eastAsia="仿宋" w:cs="仿宋"/>
                <w:sz w:val="24"/>
              </w:rPr>
            </w:pPr>
            <w:r>
              <w:rPr>
                <w:rFonts w:hint="eastAsia" w:ascii="仿宋" w:hAnsi="仿宋" w:eastAsia="仿宋" w:cs="仿宋"/>
                <w:sz w:val="24"/>
              </w:rPr>
              <w:t>1</w:t>
            </w:r>
          </w:p>
        </w:tc>
        <w:tc>
          <w:tcPr>
            <w:tcW w:w="0" w:type="auto"/>
            <w:vAlign w:val="center"/>
          </w:tcPr>
          <w:p>
            <w:pPr>
              <w:spacing w:line="600" w:lineRule="exact"/>
              <w:jc w:val="left"/>
              <w:rPr>
                <w:rFonts w:ascii="仿宋" w:hAnsi="仿宋" w:eastAsia="仿宋" w:cs="仿宋"/>
                <w:sz w:val="24"/>
              </w:rPr>
            </w:pPr>
            <w:r>
              <w:rPr>
                <w:rFonts w:hint="eastAsia" w:ascii="仿宋" w:hAnsi="仿宋" w:eastAsia="仿宋" w:cs="仿宋"/>
                <w:sz w:val="24"/>
              </w:rPr>
              <w:t>技术指标：所有指标均满足采购文件技术参数等要求的得基本分40分；带“★”号技术参数负偏离或未响应的，每项扣3分，扣完为止；其它技术参数负偏离或未响应的，每项扣2分,扣完为止；</w:t>
            </w:r>
          </w:p>
          <w:p>
            <w:pPr>
              <w:spacing w:line="600" w:lineRule="exact"/>
              <w:jc w:val="left"/>
              <w:rPr>
                <w:rFonts w:ascii="仿宋" w:hAnsi="仿宋" w:eastAsia="仿宋" w:cs="仿宋"/>
                <w:sz w:val="24"/>
              </w:rPr>
            </w:pPr>
            <w:r>
              <w:rPr>
                <w:rFonts w:hint="eastAsia" w:ascii="仿宋" w:hAnsi="仿宋" w:eastAsia="仿宋" w:cs="仿宋"/>
                <w:b/>
                <w:bCs/>
                <w:sz w:val="24"/>
              </w:rPr>
              <w:t>注：采购需求中要求提供截图证明/证书/检测报告复印件等资料的，需在投标文件中提供相关证明材料复印件加盖原厂公章进行证明，否则视为不满足此项要求；</w:t>
            </w:r>
          </w:p>
        </w:tc>
        <w:tc>
          <w:tcPr>
            <w:tcW w:w="0" w:type="auto"/>
            <w:vAlign w:val="center"/>
          </w:tcPr>
          <w:p>
            <w:pPr>
              <w:jc w:val="center"/>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0" w:type="auto"/>
            <w:vAlign w:val="center"/>
          </w:tcPr>
          <w:p>
            <w:pPr>
              <w:jc w:val="center"/>
              <w:rPr>
                <w:rFonts w:ascii="仿宋" w:hAnsi="仿宋" w:eastAsia="仿宋" w:cs="仿宋"/>
                <w:sz w:val="24"/>
              </w:rPr>
            </w:pPr>
            <w:r>
              <w:rPr>
                <w:rFonts w:hint="eastAsia" w:ascii="仿宋" w:hAnsi="仿宋" w:eastAsia="仿宋" w:cs="仿宋"/>
                <w:sz w:val="24"/>
              </w:rPr>
              <w:t>2</w:t>
            </w:r>
          </w:p>
        </w:tc>
        <w:tc>
          <w:tcPr>
            <w:tcW w:w="0" w:type="auto"/>
            <w:vAlign w:val="center"/>
          </w:tcPr>
          <w:p>
            <w:pPr>
              <w:spacing w:line="600" w:lineRule="exact"/>
              <w:jc w:val="left"/>
              <w:rPr>
                <w:rFonts w:ascii="仿宋" w:hAnsi="仿宋" w:eastAsia="仿宋" w:cs="仿宋"/>
                <w:sz w:val="24"/>
              </w:rPr>
            </w:pPr>
            <w:r>
              <w:rPr>
                <w:rFonts w:hint="eastAsia" w:ascii="仿宋" w:hAnsi="仿宋" w:eastAsia="仿宋" w:cs="仿宋"/>
                <w:sz w:val="24"/>
              </w:rPr>
              <w:t>深化设计：针对此项目进行深化设计，涉及的区域（总计约500平方）提供不少于 5 张设计效果图等内容进行综合评分，未提供方案的不得分。（0-5 分）。</w:t>
            </w:r>
          </w:p>
          <w:p>
            <w:pPr>
              <w:spacing w:line="600" w:lineRule="exact"/>
              <w:jc w:val="left"/>
              <w:rPr>
                <w:rFonts w:ascii="仿宋" w:hAnsi="仿宋" w:eastAsia="仿宋" w:cs="仿宋"/>
                <w:sz w:val="24"/>
              </w:rPr>
            </w:pPr>
            <w:r>
              <w:rPr>
                <w:rFonts w:hint="eastAsia" w:ascii="仿宋" w:hAnsi="仿宋" w:eastAsia="仿宋" w:cs="仿宋"/>
                <w:sz w:val="24"/>
              </w:rPr>
              <w:t>实施方案：投标人提供的项目组织实施方案的科学性、合理性、规范性和可操作性，包括系统设计、设备供货、安装调试、试运行、测试、调优、系统管理培训、系统运行维护培训等内容，以及组织机构、工作时间进度表、工作程序和步骤、管理和协调方法、关键步骤的思路和要点等，比较打分（0-</w:t>
            </w:r>
            <w:r>
              <w:rPr>
                <w:rFonts w:ascii="仿宋" w:hAnsi="仿宋" w:eastAsia="仿宋" w:cs="仿宋"/>
                <w:sz w:val="24"/>
              </w:rPr>
              <w:t>2</w:t>
            </w:r>
            <w:r>
              <w:rPr>
                <w:rFonts w:hint="eastAsia" w:ascii="仿宋" w:hAnsi="仿宋" w:eastAsia="仿宋" w:cs="仿宋"/>
                <w:sz w:val="24"/>
              </w:rPr>
              <w:t>分）；</w:t>
            </w:r>
          </w:p>
        </w:tc>
        <w:tc>
          <w:tcPr>
            <w:tcW w:w="0" w:type="auto"/>
            <w:vAlign w:val="center"/>
          </w:tcPr>
          <w:p>
            <w:pPr>
              <w:jc w:val="center"/>
              <w:rPr>
                <w:rFonts w:ascii="仿宋" w:hAnsi="仿宋" w:eastAsia="仿宋" w:cs="仿宋"/>
                <w:sz w:val="24"/>
              </w:rPr>
            </w:pPr>
            <w:r>
              <w:rPr>
                <w:rFonts w:hint="eastAsia" w:ascii="仿宋" w:hAnsi="仿宋" w:eastAsia="仿宋" w:cs="仿宋"/>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0" w:type="auto"/>
            <w:vAlign w:val="center"/>
          </w:tcPr>
          <w:p>
            <w:pPr>
              <w:jc w:val="center"/>
              <w:rPr>
                <w:rFonts w:ascii="仿宋" w:hAnsi="仿宋" w:eastAsia="仿宋" w:cs="仿宋"/>
                <w:sz w:val="24"/>
              </w:rPr>
            </w:pPr>
            <w:r>
              <w:rPr>
                <w:rFonts w:hint="eastAsia" w:ascii="仿宋" w:hAnsi="仿宋" w:eastAsia="仿宋" w:cs="仿宋"/>
                <w:sz w:val="24"/>
              </w:rPr>
              <w:t>3</w:t>
            </w:r>
          </w:p>
        </w:tc>
        <w:tc>
          <w:tcPr>
            <w:tcW w:w="0" w:type="auto"/>
            <w:vAlign w:val="center"/>
          </w:tcPr>
          <w:p>
            <w:pPr>
              <w:spacing w:line="600" w:lineRule="exact"/>
              <w:jc w:val="left"/>
              <w:rPr>
                <w:rFonts w:ascii="仿宋" w:hAnsi="仿宋" w:eastAsia="仿宋" w:cs="仿宋"/>
                <w:sz w:val="24"/>
              </w:rPr>
            </w:pPr>
            <w:r>
              <w:rPr>
                <w:rFonts w:hint="eastAsia" w:ascii="仿宋" w:hAnsi="仿宋" w:eastAsia="仿宋" w:cs="仿宋"/>
                <w:sz w:val="24"/>
              </w:rPr>
              <w:t>投标人提出的功能测试、试运转及验收方案的合理性、可行性</w:t>
            </w:r>
          </w:p>
          <w:p>
            <w:pPr>
              <w:spacing w:line="600" w:lineRule="exact"/>
              <w:jc w:val="left"/>
              <w:rPr>
                <w:rFonts w:ascii="仿宋" w:hAnsi="仿宋" w:eastAsia="仿宋" w:cs="仿宋"/>
                <w:sz w:val="24"/>
              </w:rPr>
            </w:pPr>
            <w:r>
              <w:rPr>
                <w:rFonts w:hint="eastAsia" w:ascii="仿宋" w:hAnsi="仿宋" w:eastAsia="仿宋" w:cs="仿宋"/>
                <w:sz w:val="24"/>
              </w:rPr>
              <w:t>情况等；（0-</w:t>
            </w:r>
            <w:r>
              <w:rPr>
                <w:rFonts w:ascii="仿宋" w:hAnsi="仿宋" w:eastAsia="仿宋" w:cs="仿宋"/>
                <w:sz w:val="24"/>
              </w:rPr>
              <w:t>2</w:t>
            </w:r>
            <w:r>
              <w:rPr>
                <w:rFonts w:hint="eastAsia" w:ascii="仿宋" w:hAnsi="仿宋" w:eastAsia="仿宋" w:cs="仿宋"/>
                <w:sz w:val="24"/>
              </w:rPr>
              <w:t>分）</w:t>
            </w:r>
          </w:p>
        </w:tc>
        <w:tc>
          <w:tcPr>
            <w:tcW w:w="0" w:type="auto"/>
            <w:vAlign w:val="center"/>
          </w:tcPr>
          <w:p>
            <w:pPr>
              <w:jc w:val="center"/>
              <w:rPr>
                <w:rFonts w:ascii="仿宋" w:hAnsi="仿宋" w:eastAsia="仿宋" w:cs="仿宋"/>
                <w:sz w:val="24"/>
              </w:rPr>
            </w:pPr>
            <w:r>
              <w:rPr>
                <w:rFonts w:hint="eastAsia" w:ascii="仿宋" w:hAnsi="仿宋" w:eastAsia="仿宋" w:cs="仿宋"/>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0" w:type="auto"/>
            <w:vAlign w:val="center"/>
          </w:tcPr>
          <w:p>
            <w:pPr>
              <w:jc w:val="center"/>
              <w:rPr>
                <w:rFonts w:ascii="仿宋" w:hAnsi="仿宋" w:eastAsia="仿宋" w:cs="仿宋"/>
                <w:sz w:val="24"/>
              </w:rPr>
            </w:pPr>
            <w:r>
              <w:rPr>
                <w:rFonts w:ascii="仿宋" w:hAnsi="仿宋" w:eastAsia="仿宋" w:cs="仿宋"/>
                <w:sz w:val="24"/>
              </w:rPr>
              <w:t>4</w:t>
            </w:r>
          </w:p>
        </w:tc>
        <w:tc>
          <w:tcPr>
            <w:tcW w:w="0" w:type="auto"/>
            <w:vAlign w:val="center"/>
          </w:tcPr>
          <w:p>
            <w:pPr>
              <w:spacing w:line="600" w:lineRule="exact"/>
              <w:jc w:val="left"/>
              <w:rPr>
                <w:rFonts w:ascii="仿宋" w:hAnsi="仿宋" w:eastAsia="仿宋" w:cs="仿宋"/>
                <w:sz w:val="24"/>
              </w:rPr>
            </w:pPr>
            <w:r>
              <w:rPr>
                <w:rFonts w:hint="eastAsia" w:ascii="仿宋" w:hAnsi="仿宋" w:eastAsia="仿宋" w:cs="仿宋"/>
                <w:sz w:val="24"/>
              </w:rPr>
              <w:t>项目组人员情况：</w:t>
            </w:r>
          </w:p>
          <w:p>
            <w:pPr>
              <w:spacing w:line="600" w:lineRule="exact"/>
              <w:jc w:val="left"/>
              <w:rPr>
                <w:rFonts w:ascii="仿宋" w:hAnsi="仿宋" w:eastAsia="仿宋" w:cs="仿宋"/>
                <w:sz w:val="24"/>
              </w:rPr>
            </w:pPr>
            <w:r>
              <w:rPr>
                <w:rFonts w:hint="eastAsia" w:ascii="仿宋" w:hAnsi="仿宋" w:eastAsia="仿宋" w:cs="仿宋"/>
                <w:sz w:val="24"/>
              </w:rPr>
              <w:t>1.项目经理同时具有PMP资质认证、高级信息系统项目管理师证书和CISP认证的得3分。（证明材料：提供近三个的社保证明及相应证书材料，未按要求提供证明材料的不得分）</w:t>
            </w:r>
          </w:p>
          <w:p>
            <w:pPr>
              <w:spacing w:line="600" w:lineRule="exact"/>
              <w:jc w:val="left"/>
              <w:rPr>
                <w:rFonts w:ascii="仿宋" w:hAnsi="仿宋" w:eastAsia="仿宋" w:cs="仿宋"/>
                <w:sz w:val="24"/>
              </w:rPr>
            </w:pPr>
            <w:r>
              <w:rPr>
                <w:rFonts w:hint="eastAsia" w:ascii="仿宋" w:hAnsi="仿宋" w:eastAsia="仿宋" w:cs="仿宋"/>
                <w:sz w:val="24"/>
              </w:rPr>
              <w:t>2.项目团队中（不含项目负责人）有3名及以上人员具备PMP资质认证的得3分。（证明材料：提供近三个的社保证明及相应证书材料，未按要求提供证明材料的不得分）</w:t>
            </w:r>
          </w:p>
        </w:tc>
        <w:tc>
          <w:tcPr>
            <w:tcW w:w="0" w:type="auto"/>
            <w:vAlign w:val="center"/>
          </w:tcPr>
          <w:p>
            <w:pPr>
              <w:jc w:val="center"/>
              <w:rPr>
                <w:rFonts w:ascii="仿宋" w:hAnsi="仿宋" w:eastAsia="仿宋" w:cs="仿宋"/>
                <w:sz w:val="24"/>
              </w:rPr>
            </w:pPr>
            <w:r>
              <w:rPr>
                <w:rFonts w:hint="eastAsia" w:ascii="仿宋" w:hAnsi="仿宋" w:eastAsia="仿宋" w:cs="仿宋"/>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0" w:type="auto"/>
            <w:vAlign w:val="center"/>
          </w:tcPr>
          <w:p>
            <w:pPr>
              <w:jc w:val="center"/>
              <w:rPr>
                <w:rFonts w:ascii="仿宋" w:hAnsi="仿宋" w:eastAsia="仿宋" w:cs="仿宋"/>
                <w:sz w:val="24"/>
              </w:rPr>
            </w:pPr>
            <w:r>
              <w:rPr>
                <w:rFonts w:hint="eastAsia" w:ascii="仿宋" w:hAnsi="仿宋" w:eastAsia="仿宋" w:cs="仿宋"/>
                <w:sz w:val="24"/>
              </w:rPr>
              <w:t>5</w:t>
            </w:r>
          </w:p>
        </w:tc>
        <w:tc>
          <w:tcPr>
            <w:tcW w:w="0" w:type="auto"/>
            <w:vAlign w:val="center"/>
          </w:tcPr>
          <w:p>
            <w:pPr>
              <w:spacing w:line="600" w:lineRule="exact"/>
              <w:jc w:val="left"/>
              <w:rPr>
                <w:rFonts w:ascii="仿宋" w:hAnsi="仿宋" w:eastAsia="仿宋" w:cs="仿宋"/>
                <w:sz w:val="24"/>
              </w:rPr>
            </w:pPr>
            <w:r>
              <w:rPr>
                <w:rFonts w:hint="eastAsia" w:ascii="仿宋" w:hAnsi="仿宋" w:eastAsia="仿宋" w:cs="仿宋"/>
                <w:sz w:val="24"/>
              </w:rPr>
              <w:t>培训方案：投标人提供完善的培训方案，能够保障系统操作人员在短时间内熟悉系统性能及操作，能够简单掌握处理故障能力，针对本项目培训方案全面性、详细性和可操作性比较打分（0-2分）；</w:t>
            </w:r>
          </w:p>
        </w:tc>
        <w:tc>
          <w:tcPr>
            <w:tcW w:w="0" w:type="auto"/>
            <w:vAlign w:val="center"/>
          </w:tcPr>
          <w:p>
            <w:pPr>
              <w:jc w:val="center"/>
              <w:rPr>
                <w:rFonts w:ascii="仿宋" w:hAnsi="仿宋" w:eastAsia="仿宋" w:cs="仿宋"/>
                <w:sz w:val="24"/>
              </w:rPr>
            </w:pPr>
            <w:r>
              <w:rPr>
                <w:rFonts w:hint="eastAsia" w:ascii="仿宋" w:hAnsi="仿宋" w:eastAsia="仿宋" w:cs="仿宋"/>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0" w:type="auto"/>
            <w:vAlign w:val="center"/>
          </w:tcPr>
          <w:p>
            <w:pPr>
              <w:jc w:val="center"/>
              <w:rPr>
                <w:rFonts w:ascii="仿宋" w:hAnsi="仿宋" w:eastAsia="仿宋" w:cs="仿宋"/>
                <w:sz w:val="24"/>
              </w:rPr>
            </w:pPr>
            <w:r>
              <w:rPr>
                <w:rFonts w:hint="eastAsia" w:ascii="仿宋" w:hAnsi="仿宋" w:eastAsia="仿宋" w:cs="仿宋"/>
                <w:sz w:val="24"/>
              </w:rPr>
              <w:t>6</w:t>
            </w:r>
          </w:p>
        </w:tc>
        <w:tc>
          <w:tcPr>
            <w:tcW w:w="0" w:type="auto"/>
            <w:vAlign w:val="center"/>
          </w:tcPr>
          <w:p>
            <w:pPr>
              <w:spacing w:line="600" w:lineRule="exact"/>
              <w:jc w:val="left"/>
              <w:rPr>
                <w:rFonts w:ascii="仿宋" w:hAnsi="仿宋" w:eastAsia="仿宋" w:cs="仿宋"/>
                <w:sz w:val="24"/>
              </w:rPr>
            </w:pPr>
            <w:r>
              <w:rPr>
                <w:rFonts w:hint="eastAsia" w:ascii="仿宋" w:hAnsi="仿宋" w:eastAsia="仿宋" w:cs="仿宋"/>
                <w:sz w:val="24"/>
              </w:rPr>
              <w:t>售后保证能力：</w:t>
            </w:r>
          </w:p>
          <w:p>
            <w:pPr>
              <w:spacing w:line="600" w:lineRule="exact"/>
              <w:jc w:val="left"/>
              <w:rPr>
                <w:rFonts w:ascii="仿宋" w:hAnsi="仿宋" w:eastAsia="仿宋" w:cs="仿宋"/>
                <w:sz w:val="24"/>
              </w:rPr>
            </w:pPr>
            <w:r>
              <w:rPr>
                <w:rFonts w:hint="eastAsia" w:ascii="仿宋" w:hAnsi="仿宋" w:eastAsia="仿宋" w:cs="仿宋"/>
                <w:sz w:val="24"/>
              </w:rPr>
              <w:t>1.投标人提供的售后服务方案、售后维护机构、人员等情况，售后服务体系是否完善，是否具有较强的专业技术队伍，项目售后服务响应的及时性和可靠性。(0-</w:t>
            </w:r>
            <w:r>
              <w:rPr>
                <w:rFonts w:ascii="仿宋" w:hAnsi="仿宋" w:eastAsia="仿宋" w:cs="仿宋"/>
                <w:sz w:val="24"/>
              </w:rPr>
              <w:t>2</w:t>
            </w:r>
            <w:r>
              <w:rPr>
                <w:rFonts w:hint="eastAsia" w:ascii="仿宋" w:hAnsi="仿宋" w:eastAsia="仿宋" w:cs="仿宋"/>
                <w:sz w:val="24"/>
              </w:rPr>
              <w:t>分)</w:t>
            </w:r>
          </w:p>
          <w:p>
            <w:pPr>
              <w:spacing w:line="600" w:lineRule="exact"/>
              <w:jc w:val="left"/>
              <w:rPr>
                <w:rFonts w:ascii="仿宋" w:hAnsi="仿宋" w:eastAsia="仿宋" w:cs="仿宋"/>
                <w:sz w:val="24"/>
              </w:rPr>
            </w:pPr>
            <w:r>
              <w:rPr>
                <w:rFonts w:hint="eastAsia" w:ascii="仿宋" w:hAnsi="仿宋" w:eastAsia="仿宋" w:cs="仿宋"/>
                <w:sz w:val="24"/>
              </w:rPr>
              <w:t>2.车辆配备情况：投标人或其售后维护机构具有应急通信保障车（无线通信）的得1分；（0-</w:t>
            </w:r>
            <w:r>
              <w:rPr>
                <w:rFonts w:ascii="仿宋" w:hAnsi="仿宋" w:eastAsia="仿宋" w:cs="仿宋"/>
                <w:sz w:val="24"/>
              </w:rPr>
              <w:t>1</w:t>
            </w:r>
            <w:r>
              <w:rPr>
                <w:rFonts w:hint="eastAsia" w:ascii="仿宋" w:hAnsi="仿宋" w:eastAsia="仿宋" w:cs="仿宋"/>
                <w:sz w:val="24"/>
              </w:rPr>
              <w:t>分）；</w:t>
            </w:r>
            <w:r>
              <w:rPr>
                <w:rFonts w:hint="eastAsia" w:ascii="仿宋" w:hAnsi="仿宋" w:eastAsia="仿宋" w:cs="仿宋"/>
                <w:b/>
                <w:bCs/>
                <w:sz w:val="24"/>
              </w:rPr>
              <w:t>投标文件中提供车辆照片及与投标人或其售后维护机构一致的行驶证复印件或扫描件，否则不得分；</w:t>
            </w:r>
          </w:p>
        </w:tc>
        <w:tc>
          <w:tcPr>
            <w:tcW w:w="0" w:type="auto"/>
            <w:vAlign w:val="center"/>
          </w:tcPr>
          <w:p>
            <w:pPr>
              <w:jc w:val="center"/>
              <w:rPr>
                <w:rFonts w:ascii="仿宋" w:hAnsi="仿宋" w:eastAsia="仿宋" w:cs="仿宋"/>
                <w:sz w:val="24"/>
              </w:rPr>
            </w:pPr>
            <w:r>
              <w:rPr>
                <w:rFonts w:hint="eastAsia" w:ascii="仿宋" w:hAnsi="仿宋" w:eastAsia="仿宋" w:cs="仿宋"/>
                <w:sz w:val="24"/>
              </w:rPr>
              <w:t>3</w:t>
            </w:r>
          </w:p>
        </w:tc>
      </w:tr>
    </w:tbl>
    <w:p>
      <w:pPr>
        <w:snapToGrid w:val="0"/>
        <w:spacing w:line="360" w:lineRule="auto"/>
        <w:rPr>
          <w:rFonts w:ascii="Arial" w:hAnsi="Arial" w:cs="Arial"/>
          <w:sz w:val="20"/>
          <w:szCs w:val="20"/>
          <w:shd w:val="clear" w:color="auto" w:fill="FFFFFF"/>
        </w:rPr>
      </w:pPr>
    </w:p>
    <w:p>
      <w:pPr>
        <w:spacing w:line="600" w:lineRule="exact"/>
        <w:rPr>
          <w:rFonts w:ascii="仿宋" w:hAnsi="仿宋" w:eastAsia="仿宋" w:cs="仿宋"/>
          <w:color w:val="000000"/>
          <w:sz w:val="24"/>
        </w:rPr>
      </w:pPr>
      <w:r>
        <w:rPr>
          <w:rFonts w:hint="eastAsia" w:ascii="仿宋" w:hAnsi="仿宋" w:eastAsia="仿宋" w:cs="仿宋"/>
          <w:color w:val="000000"/>
          <w:sz w:val="24"/>
        </w:rPr>
        <w:t>二、商务分（1</w:t>
      </w:r>
      <w:r>
        <w:rPr>
          <w:rFonts w:ascii="仿宋" w:hAnsi="仿宋" w:eastAsia="仿宋" w:cs="仿宋"/>
          <w:color w:val="000000"/>
          <w:sz w:val="24"/>
        </w:rPr>
        <w:t>2</w:t>
      </w:r>
      <w:r>
        <w:rPr>
          <w:rFonts w:hint="eastAsia" w:ascii="仿宋" w:hAnsi="仿宋" w:eastAsia="仿宋" w:cs="仿宋"/>
          <w:color w:val="000000"/>
          <w:sz w:val="24"/>
        </w:rPr>
        <w:t>分）：</w:t>
      </w:r>
    </w:p>
    <w:tbl>
      <w:tblPr>
        <w:tblStyle w:val="65"/>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7"/>
        <w:gridCol w:w="6689"/>
        <w:gridCol w:w="1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22" w:type="pct"/>
            <w:vAlign w:val="center"/>
          </w:tcPr>
          <w:p>
            <w:pPr>
              <w:jc w:val="center"/>
              <w:rPr>
                <w:rFonts w:ascii="仿宋" w:hAnsi="仿宋" w:eastAsia="仿宋" w:cs="仿宋"/>
                <w:sz w:val="24"/>
              </w:rPr>
            </w:pPr>
            <w:r>
              <w:rPr>
                <w:rFonts w:hint="eastAsia" w:ascii="仿宋" w:hAnsi="仿宋" w:eastAsia="仿宋" w:cs="仿宋"/>
                <w:sz w:val="24"/>
              </w:rPr>
              <w:t>序号</w:t>
            </w:r>
          </w:p>
        </w:tc>
        <w:tc>
          <w:tcPr>
            <w:tcW w:w="3937" w:type="pct"/>
            <w:vAlign w:val="center"/>
          </w:tcPr>
          <w:p>
            <w:pPr>
              <w:jc w:val="center"/>
              <w:rPr>
                <w:rFonts w:ascii="仿宋" w:hAnsi="仿宋" w:eastAsia="仿宋" w:cs="仿宋"/>
                <w:sz w:val="24"/>
              </w:rPr>
            </w:pPr>
            <w:r>
              <w:rPr>
                <w:rFonts w:hint="eastAsia" w:ascii="仿宋" w:hAnsi="仿宋" w:eastAsia="仿宋" w:cs="仿宋"/>
                <w:sz w:val="24"/>
              </w:rPr>
              <w:t>评分细则内容</w:t>
            </w:r>
          </w:p>
        </w:tc>
        <w:tc>
          <w:tcPr>
            <w:tcW w:w="640" w:type="pct"/>
            <w:vAlign w:val="center"/>
          </w:tcPr>
          <w:p>
            <w:pPr>
              <w:jc w:val="center"/>
              <w:rPr>
                <w:rFonts w:ascii="仿宋" w:hAnsi="仿宋" w:eastAsia="仿宋" w:cs="仿宋"/>
                <w:sz w:val="24"/>
              </w:rPr>
            </w:pPr>
            <w:r>
              <w:rPr>
                <w:rFonts w:hint="eastAsia" w:ascii="仿宋" w:hAnsi="仿宋" w:eastAsia="仿宋" w:cs="仿宋"/>
                <w:sz w:val="24"/>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22" w:type="pct"/>
            <w:vAlign w:val="center"/>
          </w:tcPr>
          <w:p>
            <w:pPr>
              <w:jc w:val="center"/>
              <w:rPr>
                <w:rFonts w:ascii="仿宋" w:hAnsi="仿宋" w:eastAsia="仿宋" w:cs="仿宋"/>
                <w:sz w:val="24"/>
              </w:rPr>
            </w:pPr>
            <w:r>
              <w:rPr>
                <w:rFonts w:hint="eastAsia" w:ascii="仿宋" w:hAnsi="仿宋" w:eastAsia="仿宋" w:cs="仿宋"/>
                <w:sz w:val="24"/>
              </w:rPr>
              <w:t>1</w:t>
            </w:r>
          </w:p>
        </w:tc>
        <w:tc>
          <w:tcPr>
            <w:tcW w:w="3937" w:type="pct"/>
            <w:vAlign w:val="center"/>
          </w:tcPr>
          <w:p>
            <w:pPr>
              <w:spacing w:line="600" w:lineRule="exact"/>
              <w:rPr>
                <w:rFonts w:ascii="仿宋" w:hAnsi="仿宋" w:eastAsia="仿宋" w:cs="仿宋"/>
                <w:sz w:val="24"/>
              </w:rPr>
            </w:pPr>
            <w:r>
              <w:rPr>
                <w:rFonts w:hint="eastAsia" w:ascii="仿宋" w:hAnsi="仿宋" w:eastAsia="仿宋" w:cs="仿宋"/>
                <w:sz w:val="24"/>
              </w:rPr>
              <w:t>企业资质证书：</w:t>
            </w:r>
          </w:p>
          <w:p>
            <w:pPr>
              <w:spacing w:line="600" w:lineRule="exact"/>
              <w:rPr>
                <w:rFonts w:ascii="仿宋" w:hAnsi="仿宋" w:eastAsia="仿宋" w:cs="仿宋"/>
                <w:sz w:val="24"/>
              </w:rPr>
            </w:pPr>
            <w:r>
              <w:rPr>
                <w:rFonts w:hint="eastAsia" w:ascii="仿宋" w:hAnsi="仿宋" w:eastAsia="仿宋" w:cs="仿宋"/>
                <w:sz w:val="24"/>
              </w:rPr>
              <w:t>1.投标人或其母公司（总机构）具有质量管理体系认证证书的得1分，投标人具有环境管理体系认证证书的得1分。</w:t>
            </w:r>
          </w:p>
          <w:p>
            <w:pPr>
              <w:spacing w:line="600" w:lineRule="exact"/>
              <w:rPr>
                <w:rFonts w:ascii="仿宋" w:hAnsi="仿宋" w:eastAsia="仿宋" w:cs="仿宋"/>
                <w:sz w:val="24"/>
              </w:rPr>
            </w:pPr>
            <w:r>
              <w:rPr>
                <w:rFonts w:hint="eastAsia" w:ascii="仿宋" w:hAnsi="仿宋" w:eastAsia="仿宋" w:cs="仿宋"/>
                <w:sz w:val="24"/>
              </w:rPr>
              <w:t>2.投标人或其母公司（总机构）具有ITSS信息技术服务运行维护资质证书的得1分。</w:t>
            </w:r>
          </w:p>
          <w:p>
            <w:pPr>
              <w:spacing w:line="600" w:lineRule="exact"/>
              <w:rPr>
                <w:rFonts w:ascii="仿宋" w:hAnsi="仿宋" w:eastAsia="仿宋" w:cs="仿宋"/>
                <w:sz w:val="24"/>
              </w:rPr>
            </w:pPr>
            <w:r>
              <w:rPr>
                <w:rFonts w:hint="eastAsia" w:ascii="仿宋" w:hAnsi="仿宋" w:eastAsia="仿宋" w:cs="仿宋"/>
                <w:sz w:val="24"/>
              </w:rPr>
              <w:t>3.投标人或其母公司（总机构）具有增值电信业务许可证的得1分。</w:t>
            </w:r>
          </w:p>
          <w:p>
            <w:pPr>
              <w:spacing w:line="600" w:lineRule="exact"/>
              <w:rPr>
                <w:rFonts w:ascii="仿宋" w:hAnsi="仿宋" w:eastAsia="仿宋" w:cs="仿宋"/>
                <w:sz w:val="24"/>
              </w:rPr>
            </w:pPr>
            <w:r>
              <w:rPr>
                <w:rFonts w:hint="eastAsia" w:ascii="仿宋" w:hAnsi="仿宋" w:eastAsia="仿宋" w:cs="仿宋"/>
                <w:sz w:val="24"/>
              </w:rPr>
              <w:t>4.投标人或其母公司（总机构）具有基础电信业务许可证的，得1分。</w:t>
            </w:r>
          </w:p>
          <w:p>
            <w:pPr>
              <w:spacing w:line="600" w:lineRule="exact"/>
              <w:rPr>
                <w:rFonts w:ascii="仿宋" w:hAnsi="仿宋" w:eastAsia="仿宋" w:cs="仿宋"/>
                <w:sz w:val="24"/>
              </w:rPr>
            </w:pPr>
            <w:r>
              <w:rPr>
                <w:rFonts w:hint="eastAsia" w:ascii="仿宋" w:hAnsi="仿宋" w:eastAsia="仿宋" w:cs="仿宋"/>
                <w:sz w:val="24"/>
              </w:rPr>
              <w:t>5.投标人或其母公司（总机构）具有中国质量协会颁发的全国现场管理相关证书的，得2分。</w:t>
            </w:r>
          </w:p>
          <w:p>
            <w:pPr>
              <w:spacing w:line="600" w:lineRule="exact"/>
              <w:rPr>
                <w:rFonts w:ascii="仿宋" w:hAnsi="仿宋" w:eastAsia="仿宋" w:cs="仿宋"/>
                <w:sz w:val="24"/>
              </w:rPr>
            </w:pPr>
            <w:r>
              <w:rPr>
                <w:rFonts w:hint="eastAsia" w:ascii="仿宋" w:hAnsi="仿宋" w:eastAsia="仿宋" w:cs="仿宋"/>
                <w:sz w:val="24"/>
              </w:rPr>
              <w:t>6.投标人或其母公司（总机构）具有中国质量协会颁发的全国市场质量信用等级（AAA）证书，得2分。</w:t>
            </w:r>
          </w:p>
          <w:p>
            <w:pPr>
              <w:spacing w:line="600" w:lineRule="exact"/>
              <w:rPr>
                <w:rFonts w:ascii="仿宋" w:hAnsi="仿宋" w:eastAsia="仿宋" w:cs="仿宋"/>
                <w:sz w:val="24"/>
              </w:rPr>
            </w:pPr>
            <w:r>
              <w:rPr>
                <w:rFonts w:hint="eastAsia" w:ascii="仿宋" w:hAnsi="仿宋" w:eastAsia="仿宋" w:cs="仿宋"/>
                <w:sz w:val="24"/>
              </w:rPr>
              <w:t>（证明材料：投标文件中提供相应证书材料，证书须在有效期内，未按要求提供证明材料的不得分。）</w:t>
            </w:r>
          </w:p>
        </w:tc>
        <w:tc>
          <w:tcPr>
            <w:tcW w:w="640" w:type="pct"/>
            <w:vAlign w:val="center"/>
          </w:tcPr>
          <w:p>
            <w:pPr>
              <w:jc w:val="center"/>
              <w:rPr>
                <w:rFonts w:ascii="仿宋" w:hAnsi="仿宋" w:eastAsia="仿宋" w:cs="仿宋"/>
                <w:sz w:val="24"/>
              </w:rPr>
            </w:pPr>
            <w:r>
              <w:rPr>
                <w:rFonts w:hint="eastAsia" w:ascii="仿宋" w:hAnsi="仿宋" w:eastAsia="仿宋" w:cs="仿宋"/>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22" w:type="pct"/>
            <w:vAlign w:val="center"/>
          </w:tcPr>
          <w:p>
            <w:pPr>
              <w:jc w:val="center"/>
              <w:rPr>
                <w:rFonts w:ascii="仿宋" w:hAnsi="仿宋" w:eastAsia="仿宋" w:cs="仿宋"/>
                <w:sz w:val="24"/>
              </w:rPr>
            </w:pPr>
            <w:r>
              <w:rPr>
                <w:rFonts w:hint="eastAsia" w:ascii="仿宋" w:hAnsi="仿宋" w:eastAsia="仿宋" w:cs="仿宋"/>
                <w:sz w:val="24"/>
              </w:rPr>
              <w:t>2</w:t>
            </w:r>
          </w:p>
        </w:tc>
        <w:tc>
          <w:tcPr>
            <w:tcW w:w="3937" w:type="pct"/>
            <w:vAlign w:val="center"/>
          </w:tcPr>
          <w:p>
            <w:pPr>
              <w:spacing w:line="60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网络服务稳定情况：</w:t>
            </w:r>
          </w:p>
          <w:p>
            <w:pPr>
              <w:spacing w:line="600" w:lineRule="exact"/>
              <w:rPr>
                <w:rFonts w:ascii="仿宋" w:hAnsi="仿宋" w:eastAsia="仿宋" w:cs="仿宋"/>
                <w:b/>
                <w:bCs/>
                <w:color w:val="000000"/>
                <w:kern w:val="0"/>
                <w:sz w:val="24"/>
                <w:lang w:bidi="ar"/>
              </w:rPr>
            </w:pPr>
            <w:r>
              <w:rPr>
                <w:rFonts w:hint="eastAsia" w:ascii="仿宋" w:hAnsi="仿宋" w:eastAsia="仿宋" w:cs="仿宋"/>
                <w:color w:val="000000"/>
                <w:kern w:val="0"/>
                <w:sz w:val="24"/>
                <w:lang w:bidi="ar"/>
              </w:rPr>
              <w:t>1）投标人针对本项目所投产品涉及使用的网络（有线和无线），能够提供本地网络服务运营商的稳定性服务承诺书的得1分，没有不得分；</w:t>
            </w:r>
            <w:r>
              <w:rPr>
                <w:rFonts w:hint="eastAsia" w:ascii="仿宋" w:hAnsi="仿宋" w:eastAsia="仿宋" w:cs="仿宋"/>
                <w:b/>
                <w:bCs/>
                <w:color w:val="000000"/>
                <w:kern w:val="0"/>
                <w:sz w:val="24"/>
                <w:lang w:bidi="ar"/>
              </w:rPr>
              <w:t>投标文件中提供承诺书并加盖公章或业务章（格式自拟）；</w:t>
            </w:r>
          </w:p>
          <w:p>
            <w:pPr>
              <w:spacing w:line="600" w:lineRule="exact"/>
              <w:rPr>
                <w:rFonts w:ascii="仿宋" w:hAnsi="仿宋" w:eastAsia="仿宋" w:cs="仿宋"/>
                <w:b/>
                <w:bCs/>
                <w:kern w:val="0"/>
                <w:sz w:val="24"/>
                <w:highlight w:val="green"/>
              </w:rPr>
            </w:pPr>
            <w:r>
              <w:rPr>
                <w:rFonts w:hint="eastAsia" w:ascii="仿宋" w:hAnsi="仿宋" w:eastAsia="仿宋" w:cs="仿宋"/>
                <w:color w:val="000000"/>
                <w:kern w:val="0"/>
                <w:sz w:val="24"/>
                <w:lang w:bidi="ar"/>
              </w:rPr>
              <w:t>2）投标人能够提供5G网络服务运营商的信号稳定性服务承诺书的得1分，没有不得分；</w:t>
            </w:r>
            <w:r>
              <w:rPr>
                <w:rFonts w:hint="eastAsia" w:ascii="仿宋" w:hAnsi="仿宋" w:eastAsia="仿宋" w:cs="仿宋"/>
                <w:b/>
                <w:bCs/>
                <w:color w:val="000000"/>
                <w:kern w:val="0"/>
                <w:sz w:val="24"/>
                <w:lang w:bidi="ar"/>
              </w:rPr>
              <w:t>投标文件中提供承诺书复印件（格式自拟）；</w:t>
            </w:r>
          </w:p>
        </w:tc>
        <w:tc>
          <w:tcPr>
            <w:tcW w:w="640" w:type="pct"/>
            <w:vAlign w:val="center"/>
          </w:tcPr>
          <w:p>
            <w:pPr>
              <w:jc w:val="center"/>
              <w:rPr>
                <w:rFonts w:ascii="仿宋" w:hAnsi="仿宋" w:eastAsia="仿宋" w:cs="仿宋"/>
                <w:sz w:val="24"/>
              </w:rPr>
            </w:pPr>
            <w:r>
              <w:rPr>
                <w:rFonts w:hint="eastAsia" w:ascii="仿宋" w:hAnsi="仿宋" w:eastAsia="仿宋" w:cs="仿宋"/>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22" w:type="pct"/>
            <w:vAlign w:val="center"/>
          </w:tcPr>
          <w:p>
            <w:pPr>
              <w:jc w:val="center"/>
              <w:rPr>
                <w:rFonts w:ascii="仿宋" w:hAnsi="仿宋" w:eastAsia="仿宋" w:cs="仿宋"/>
                <w:sz w:val="24"/>
              </w:rPr>
            </w:pPr>
            <w:r>
              <w:rPr>
                <w:rFonts w:hint="eastAsia" w:ascii="仿宋" w:hAnsi="仿宋" w:eastAsia="仿宋" w:cs="仿宋"/>
                <w:sz w:val="24"/>
              </w:rPr>
              <w:t>3</w:t>
            </w:r>
          </w:p>
        </w:tc>
        <w:tc>
          <w:tcPr>
            <w:tcW w:w="3937" w:type="pct"/>
            <w:vAlign w:val="center"/>
          </w:tcPr>
          <w:p>
            <w:pPr>
              <w:spacing w:line="600" w:lineRule="exact"/>
              <w:jc w:val="left"/>
              <w:rPr>
                <w:rFonts w:ascii="仿宋" w:hAnsi="仿宋" w:eastAsia="仿宋" w:cs="仿宋"/>
                <w:color w:val="000000"/>
                <w:kern w:val="0"/>
                <w:sz w:val="24"/>
                <w:lang w:bidi="ar"/>
              </w:rPr>
            </w:pPr>
            <w:r>
              <w:rPr>
                <w:rFonts w:hint="eastAsia" w:ascii="仿宋" w:hAnsi="仿宋" w:eastAsia="仿宋" w:cs="仿宋"/>
                <w:sz w:val="24"/>
              </w:rPr>
              <w:t>企业类似业绩：</w:t>
            </w:r>
            <w:r>
              <w:rPr>
                <w:rFonts w:hint="eastAsia" w:ascii="仿宋" w:hAnsi="仿宋" w:eastAsia="仿宋" w:cs="仿宋"/>
                <w:color w:val="000000"/>
                <w:kern w:val="0"/>
                <w:sz w:val="24"/>
                <w:lang w:bidi="ar"/>
              </w:rPr>
              <w:t>投标人自2018年1月1日（含）（时间以合同签订时间为准）以来承接过类似项目的，每提供个合同得1分，最多得2分；</w:t>
            </w:r>
          </w:p>
          <w:p>
            <w:pPr>
              <w:spacing w:line="600" w:lineRule="exact"/>
              <w:jc w:val="left"/>
              <w:rPr>
                <w:rFonts w:ascii="仿宋" w:hAnsi="仿宋" w:eastAsia="仿宋" w:cs="仿宋"/>
                <w:sz w:val="24"/>
              </w:rPr>
            </w:pPr>
            <w:r>
              <w:rPr>
                <w:rFonts w:hint="eastAsia" w:ascii="仿宋" w:hAnsi="仿宋" w:eastAsia="仿宋" w:cs="仿宋"/>
                <w:b/>
                <w:bCs/>
                <w:color w:val="000000"/>
                <w:kern w:val="0"/>
                <w:sz w:val="24"/>
                <w:lang w:bidi="ar"/>
              </w:rPr>
              <w:t>投标文件中同时提供合同复印件</w:t>
            </w:r>
            <w:r>
              <w:rPr>
                <w:rFonts w:hint="eastAsia" w:ascii="仿宋" w:hAnsi="仿宋" w:eastAsia="仿宋" w:cs="仿宋"/>
                <w:b/>
                <w:bCs/>
                <w:sz w:val="24"/>
              </w:rPr>
              <w:t>或扫描件</w:t>
            </w:r>
            <w:r>
              <w:rPr>
                <w:rFonts w:hint="eastAsia" w:ascii="仿宋" w:hAnsi="仿宋" w:eastAsia="仿宋" w:cs="仿宋"/>
                <w:b/>
                <w:bCs/>
                <w:color w:val="000000"/>
                <w:kern w:val="0"/>
                <w:sz w:val="24"/>
                <w:lang w:bidi="ar"/>
              </w:rPr>
              <w:t>及用户方盖章的验收证明材料复印件</w:t>
            </w:r>
            <w:r>
              <w:rPr>
                <w:rFonts w:hint="eastAsia" w:ascii="仿宋" w:hAnsi="仿宋" w:eastAsia="仿宋" w:cs="仿宋"/>
                <w:b/>
                <w:bCs/>
                <w:sz w:val="24"/>
              </w:rPr>
              <w:t>或扫描件</w:t>
            </w:r>
            <w:r>
              <w:rPr>
                <w:rFonts w:hint="eastAsia" w:ascii="仿宋" w:hAnsi="仿宋" w:eastAsia="仿宋" w:cs="仿宋"/>
                <w:b/>
                <w:bCs/>
                <w:color w:val="000000"/>
                <w:kern w:val="0"/>
                <w:sz w:val="24"/>
                <w:lang w:bidi="ar"/>
              </w:rPr>
              <w:t>；</w:t>
            </w:r>
          </w:p>
        </w:tc>
        <w:tc>
          <w:tcPr>
            <w:tcW w:w="640" w:type="pct"/>
            <w:vAlign w:val="center"/>
          </w:tcPr>
          <w:p>
            <w:pPr>
              <w:jc w:val="center"/>
              <w:rPr>
                <w:rFonts w:ascii="仿宋" w:hAnsi="仿宋" w:eastAsia="仿宋" w:cs="仿宋"/>
                <w:sz w:val="24"/>
              </w:rPr>
            </w:pPr>
            <w:r>
              <w:rPr>
                <w:rFonts w:hint="eastAsia" w:ascii="仿宋" w:hAnsi="仿宋" w:eastAsia="仿宋" w:cs="仿宋"/>
                <w:sz w:val="24"/>
              </w:rPr>
              <w:t>2</w:t>
            </w:r>
          </w:p>
        </w:tc>
      </w:tr>
    </w:tbl>
    <w:p>
      <w:pPr>
        <w:snapToGrid w:val="0"/>
        <w:spacing w:line="360" w:lineRule="auto"/>
        <w:rPr>
          <w:rFonts w:ascii="Arial" w:hAnsi="Arial" w:cs="Arial"/>
          <w:sz w:val="20"/>
          <w:szCs w:val="20"/>
          <w:shd w:val="clear" w:color="auto" w:fill="FFFFFF"/>
        </w:rPr>
      </w:pPr>
    </w:p>
    <w:p>
      <w:pPr>
        <w:snapToGrid w:val="0"/>
        <w:spacing w:line="360" w:lineRule="auto"/>
        <w:rPr>
          <w:rFonts w:ascii="仿宋" w:hAnsi="仿宋" w:eastAsia="仿宋" w:cs="仿宋"/>
          <w:sz w:val="24"/>
          <w:shd w:val="clear" w:color="auto" w:fill="FFFFFF"/>
        </w:rPr>
      </w:pPr>
      <w:r>
        <w:rPr>
          <w:rFonts w:hint="eastAsia" w:ascii="仿宋" w:hAnsi="仿宋" w:eastAsia="仿宋" w:cs="仿宋"/>
          <w:sz w:val="24"/>
          <w:shd w:val="clear" w:color="auto" w:fill="FFFFFF"/>
        </w:rPr>
        <w:t>三、报价分（</w:t>
      </w:r>
      <w:r>
        <w:rPr>
          <w:rFonts w:ascii="仿宋" w:hAnsi="仿宋" w:eastAsia="仿宋" w:cs="仿宋"/>
          <w:sz w:val="24"/>
          <w:shd w:val="clear" w:color="auto" w:fill="FFFFFF"/>
        </w:rPr>
        <w:t>3</w:t>
      </w:r>
      <w:r>
        <w:rPr>
          <w:rFonts w:hint="eastAsia" w:ascii="仿宋" w:hAnsi="仿宋" w:eastAsia="仿宋" w:cs="仿宋"/>
          <w:sz w:val="24"/>
          <w:shd w:val="clear" w:color="auto" w:fill="FFFFFF"/>
        </w:rPr>
        <w:t>0分）</w:t>
      </w:r>
    </w:p>
    <w:tbl>
      <w:tblPr>
        <w:tblStyle w:val="65"/>
        <w:tblpPr w:leftFromText="180" w:rightFromText="180" w:vertAnchor="text" w:horzAnchor="page" w:tblpX="1845" w:tblpY="15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70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735" w:type="dxa"/>
            <w:vAlign w:val="center"/>
          </w:tcPr>
          <w:p>
            <w:pPr>
              <w:spacing w:line="320" w:lineRule="exact"/>
              <w:ind w:firstLine="240" w:firstLineChars="100"/>
              <w:jc w:val="center"/>
              <w:outlineLvl w:val="0"/>
              <w:rPr>
                <w:rFonts w:ascii="仿宋" w:hAnsi="仿宋" w:eastAsia="仿宋" w:cs="仿宋"/>
                <w:color w:val="000000" w:themeColor="text1"/>
                <w:sz w:val="24"/>
                <w14:textFill>
                  <w14:solidFill>
                    <w14:schemeClr w14:val="tx1"/>
                  </w14:solidFill>
                </w14:textFill>
              </w:rPr>
            </w:pPr>
          </w:p>
        </w:tc>
        <w:tc>
          <w:tcPr>
            <w:tcW w:w="6705" w:type="dxa"/>
          </w:tcPr>
          <w:p>
            <w:pPr>
              <w:widowControl/>
              <w:shd w:val="clear" w:color="auto" w:fill="FFFFFF"/>
              <w:adjustRightInd/>
              <w:spacing w:after="225" w:line="315" w:lineRule="atLeast"/>
              <w:jc w:val="left"/>
              <w:rPr>
                <w:rFonts w:ascii="仿宋" w:hAnsi="仿宋" w:eastAsia="仿宋" w:cs="仿宋"/>
                <w:b/>
                <w:bCs/>
                <w:sz w:val="24"/>
              </w:rPr>
            </w:pPr>
            <w:r>
              <w:rPr>
                <w:rFonts w:hint="eastAsia" w:ascii="仿宋" w:hAnsi="仿宋" w:eastAsia="仿宋" w:cs="仿宋"/>
                <w:b/>
                <w:bCs/>
                <w:sz w:val="24"/>
              </w:rPr>
              <w:t>1、（原有建筑的升级改造部分）价格分=（评标基准价/投标报价）×价格权重</w:t>
            </w:r>
            <w:r>
              <w:rPr>
                <w:rFonts w:ascii="仿宋" w:hAnsi="仿宋" w:eastAsia="仿宋" w:cs="仿宋"/>
                <w:b/>
                <w:bCs/>
                <w:sz w:val="24"/>
              </w:rPr>
              <w:t>8</w:t>
            </w:r>
            <w:r>
              <w:rPr>
                <w:rFonts w:hint="eastAsia" w:ascii="仿宋" w:hAnsi="仿宋" w:eastAsia="仿宋" w:cs="仿宋"/>
                <w:b/>
                <w:bCs/>
                <w:sz w:val="24"/>
              </w:rPr>
              <w:t>%×100；</w:t>
            </w:r>
          </w:p>
          <w:p>
            <w:pPr>
              <w:widowControl/>
              <w:shd w:val="clear" w:color="auto" w:fill="FFFFFF"/>
              <w:adjustRightInd/>
              <w:spacing w:after="225" w:line="315" w:lineRule="atLeast"/>
              <w:jc w:val="left"/>
              <w:rPr>
                <w:rFonts w:ascii="仿宋" w:hAnsi="仿宋" w:eastAsia="仿宋" w:cs="仿宋"/>
                <w:b/>
                <w:bCs/>
                <w:sz w:val="24"/>
              </w:rPr>
            </w:pPr>
            <w:r>
              <w:rPr>
                <w:rFonts w:hint="eastAsia" w:ascii="仿宋" w:hAnsi="仿宋" w:eastAsia="仿宋" w:cs="仿宋"/>
                <w:b/>
                <w:bCs/>
                <w:sz w:val="24"/>
              </w:rPr>
              <w:t>2、（设备等相关部分）价格分=（评标基准价/投标报价）×价格权重</w:t>
            </w:r>
            <w:r>
              <w:rPr>
                <w:rFonts w:ascii="仿宋" w:hAnsi="仿宋" w:eastAsia="仿宋" w:cs="仿宋"/>
                <w:b/>
                <w:bCs/>
                <w:sz w:val="24"/>
              </w:rPr>
              <w:t>22</w:t>
            </w:r>
            <w:r>
              <w:rPr>
                <w:rFonts w:hint="eastAsia" w:ascii="仿宋" w:hAnsi="仿宋" w:eastAsia="仿宋" w:cs="仿宋"/>
                <w:b/>
                <w:bCs/>
                <w:sz w:val="24"/>
              </w:rPr>
              <w:t>%×100；</w:t>
            </w:r>
          </w:p>
          <w:p>
            <w:pPr>
              <w:widowControl/>
              <w:shd w:val="clear" w:color="auto" w:fill="FFFFFF"/>
              <w:adjustRightInd/>
              <w:spacing w:after="225" w:line="320" w:lineRule="exact"/>
              <w:ind w:firstLine="420"/>
              <w:jc w:val="left"/>
              <w:rPr>
                <w:rFonts w:ascii="仿宋" w:hAnsi="仿宋" w:eastAsia="仿宋" w:cs="仿宋"/>
                <w:sz w:val="24"/>
              </w:rPr>
            </w:pPr>
            <w:r>
              <w:rPr>
                <w:rFonts w:hint="eastAsia" w:ascii="仿宋" w:hAnsi="仿宋" w:eastAsia="仿宋" w:cs="仿宋"/>
                <w:b/>
                <w:bCs/>
                <w:sz w:val="24"/>
              </w:rPr>
              <w:t>价格总分=（原有建筑的升级改造部分）价格分+（设备等相关部分）价格分</w:t>
            </w:r>
            <w:r>
              <w:rPr>
                <w:rFonts w:hint="eastAsia" w:ascii="仿宋" w:hAnsi="仿宋" w:eastAsia="仿宋" w:cs="仿宋"/>
                <w:sz w:val="24"/>
              </w:rPr>
              <w:t>。</w:t>
            </w:r>
          </w:p>
          <w:p>
            <w:pPr>
              <w:widowControl/>
              <w:shd w:val="clear" w:color="auto" w:fill="FFFFFF"/>
              <w:adjustRightInd/>
              <w:spacing w:after="225" w:line="320" w:lineRule="exact"/>
              <w:ind w:firstLine="42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评标过程中，不得去掉报价中的最高报价和最低报价。</w:t>
            </w:r>
          </w:p>
          <w:p>
            <w:pPr>
              <w:widowControl/>
              <w:shd w:val="clear" w:color="auto" w:fill="FFFFFF"/>
              <w:adjustRightInd/>
              <w:spacing w:after="225" w:line="320" w:lineRule="exact"/>
              <w:ind w:firstLine="42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因落实政府采购政策需要进行价格调整的，以调整后的价格计算评标基准价和投标报价。</w:t>
            </w:r>
          </w:p>
        </w:tc>
        <w:tc>
          <w:tcPr>
            <w:tcW w:w="1080" w:type="dxa"/>
            <w:vAlign w:val="center"/>
          </w:tcPr>
          <w:p>
            <w:pPr>
              <w:spacing w:line="360" w:lineRule="auto"/>
              <w:ind w:firstLine="360" w:firstLineChars="150"/>
              <w:outlineLvl w:val="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0</w:t>
            </w:r>
          </w:p>
        </w:tc>
      </w:tr>
    </w:tbl>
    <w:p>
      <w:pPr>
        <w:snapToGrid w:val="0"/>
        <w:spacing w:line="360" w:lineRule="auto"/>
        <w:rPr>
          <w:rFonts w:ascii="Arial" w:hAnsi="Arial" w:cs="Arial"/>
          <w:sz w:val="20"/>
          <w:szCs w:val="20"/>
          <w:shd w:val="clear" w:color="auto" w:fill="FFFFFF"/>
        </w:rPr>
      </w:pPr>
    </w:p>
    <w:p>
      <w:pPr>
        <w:snapToGrid w:val="0"/>
        <w:spacing w:line="360" w:lineRule="auto"/>
        <w:rPr>
          <w:rFonts w:ascii="仿宋" w:hAnsi="仿宋" w:eastAsia="仿宋" w:cs="仿宋_GB2312"/>
          <w:b/>
          <w:sz w:val="24"/>
        </w:rPr>
      </w:pPr>
      <w:r>
        <w:rPr>
          <w:rFonts w:ascii="Arial" w:hAnsi="Arial" w:cs="Arial"/>
          <w:sz w:val="20"/>
          <w:szCs w:val="20"/>
          <w:shd w:val="clear" w:color="auto" w:fill="FFFFFF"/>
        </w:rPr>
        <w:t>*</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投标人编制投标文件（商务技术文件部分）时，建议按此目录（序号和内容）提供评标标准相应的商务技术资料。所需提供的复印件必须加盖公章，否则不得分。</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88"/>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88"/>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88"/>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88"/>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88"/>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88"/>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88"/>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88"/>
        <w:spacing w:before="0"/>
        <w:ind w:firstLine="480"/>
        <w:rPr>
          <w:rFonts w:ascii="仿宋" w:hAnsi="仿宋" w:eastAsia="仿宋" w:cs="仿宋"/>
          <w:kern w:val="0"/>
          <w:szCs w:val="24"/>
        </w:rPr>
      </w:pPr>
      <w:r>
        <w:rPr>
          <w:rFonts w:ascii="仿宋" w:hAnsi="仿宋" w:eastAsia="仿宋" w:cs="仿宋"/>
          <w:kern w:val="0"/>
          <w:szCs w:val="24"/>
        </w:rPr>
        <w:t>3.4.</w:t>
      </w:r>
      <w:r>
        <w:rPr>
          <w:rFonts w:ascii="仿宋" w:hAnsi="仿宋" w:eastAsia="仿宋" w:cs="仿宋"/>
          <w:color w:val="000000" w:themeColor="text1"/>
          <w:kern w:val="0"/>
          <w:szCs w:val="24"/>
          <w14:textFill>
            <w14:solidFill>
              <w14:schemeClr w14:val="tx1"/>
            </w14:solidFill>
          </w14:textFill>
        </w:rPr>
        <w:t>5</w:t>
      </w:r>
      <w:r>
        <w:rPr>
          <w:rFonts w:hint="eastAsia" w:ascii="仿宋" w:hAnsi="仿宋" w:eastAsia="仿宋" w:cs="仿宋"/>
          <w:color w:val="000000" w:themeColor="text1"/>
          <w:kern w:val="0"/>
          <w:szCs w:val="24"/>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对于未预留份额专门面向中小企业的政府采购货物或服务项目，以及预留份额政府采购货物或服务项目中的非预留部分标项，对小型和微型企业的投标报价给予8</w:t>
      </w:r>
      <w:r>
        <w:rPr>
          <w:rFonts w:ascii="仿宋" w:hAnsi="仿宋" w:eastAsia="仿宋" w:cs="仿宋"/>
          <w:color w:val="000000" w:themeColor="text1"/>
          <w:kern w:val="0"/>
          <w:szCs w:val="24"/>
          <w14:textFill>
            <w14:solidFill>
              <w14:schemeClr w14:val="tx1"/>
            </w14:solidFill>
          </w14:textFill>
        </w:rPr>
        <w:t>%的扣除，用扣除后的价格参与评审。</w:t>
      </w:r>
      <w:r>
        <w:rPr>
          <w:rFonts w:ascii="仿宋" w:hAnsi="仿宋" w:eastAsia="仿宋" w:cs="仿宋"/>
          <w:kern w:val="0"/>
          <w:szCs w:val="24"/>
        </w:rPr>
        <w:t>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88"/>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7"/>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3"/>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3"/>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3"/>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3"/>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3"/>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3"/>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3"/>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3"/>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3"/>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3"/>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3"/>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2" w:name="第五部分"/>
      <w:bookmarkStart w:id="393"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outlineLvl w:val="0"/>
        <w:rPr>
          <w:rFonts w:ascii="仿宋_GB2312" w:hAnsi="仿宋" w:eastAsia="仿宋_GB2312" w:cs="仿宋_GB2312"/>
          <w:b/>
          <w:sz w:val="36"/>
          <w:szCs w:val="36"/>
        </w:rPr>
      </w:pPr>
    </w:p>
    <w:p>
      <w:pPr>
        <w:spacing w:line="360" w:lineRule="auto"/>
        <w:outlineLvl w:val="0"/>
        <w:rPr>
          <w:rFonts w:ascii="仿宋_GB2312" w:hAnsi="仿宋" w:eastAsia="仿宋_GB2312" w:cs="仿宋_GB2312"/>
          <w:b/>
          <w:sz w:val="36"/>
          <w:szCs w:val="36"/>
        </w:rPr>
      </w:pPr>
    </w:p>
    <w:p>
      <w:pPr>
        <w:pStyle w:val="64"/>
        <w:rPr>
          <w:rFonts w:ascii="仿宋_GB2312" w:hAnsi="仿宋" w:eastAsia="仿宋_GB2312" w:cs="仿宋_GB2312"/>
          <w:b/>
          <w:sz w:val="36"/>
          <w:szCs w:val="36"/>
        </w:rPr>
      </w:pPr>
    </w:p>
    <w:p>
      <w:pPr>
        <w:pStyle w:val="64"/>
      </w:pPr>
    </w:p>
    <w:p>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pPr>
        <w:pStyle w:val="5"/>
        <w:rPr>
          <w:rFonts w:ascii="仿宋" w:hAnsi="仿宋" w:eastAsia="仿宋"/>
          <w:szCs w:val="24"/>
        </w:rPr>
      </w:pPr>
    </w:p>
    <w:p>
      <w:pPr>
        <w:pStyle w:val="5"/>
        <w:rPr>
          <w:rFonts w:ascii="仿宋" w:hAnsi="仿宋" w:eastAsia="仿宋"/>
          <w:szCs w:val="24"/>
        </w:rPr>
      </w:pPr>
    </w:p>
    <w:p>
      <w:pPr>
        <w:pStyle w:val="5"/>
        <w:jc w:val="center"/>
        <w:rPr>
          <w:rFonts w:ascii="仿宋" w:hAnsi="仿宋" w:eastAsia="仿宋"/>
          <w:szCs w:val="24"/>
        </w:rPr>
      </w:pPr>
    </w:p>
    <w:p>
      <w:pPr>
        <w:pStyle w:val="5"/>
        <w:ind w:firstLine="2843" w:firstLineChars="1180"/>
        <w:rPr>
          <w:rFonts w:ascii="仿宋" w:hAnsi="仿宋" w:eastAsia="仿宋"/>
          <w:b/>
          <w:szCs w:val="24"/>
        </w:rPr>
      </w:pPr>
      <w:r>
        <w:rPr>
          <w:rFonts w:hint="eastAsia" w:ascii="仿宋" w:hAnsi="仿宋" w:eastAsia="仿宋"/>
          <w:b/>
          <w:szCs w:val="24"/>
        </w:rPr>
        <w:t>第一部分</w:t>
      </w:r>
      <w:r>
        <w:rPr>
          <w:rFonts w:ascii="仿宋" w:hAnsi="仿宋" w:eastAsia="仿宋"/>
          <w:b/>
          <w:szCs w:val="24"/>
        </w:rPr>
        <w:t xml:space="preserve"> </w:t>
      </w:r>
      <w:r>
        <w:rPr>
          <w:rFonts w:hint="eastAsia" w:ascii="仿宋" w:hAnsi="仿宋" w:eastAsia="仿宋"/>
          <w:b/>
          <w:szCs w:val="24"/>
        </w:rPr>
        <w:t>合同书</w:t>
      </w:r>
    </w:p>
    <w:p>
      <w:pPr>
        <w:pStyle w:val="5"/>
        <w:rPr>
          <w:rFonts w:ascii="仿宋" w:hAnsi="仿宋" w:eastAsia="仿宋"/>
          <w:szCs w:val="24"/>
        </w:rPr>
      </w:pPr>
    </w:p>
    <w:p>
      <w:pPr>
        <w:pStyle w:val="5"/>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鸬鸟镇社会治理综合服务中心提升项目：</w:t>
      </w:r>
      <w:r>
        <w:rPr>
          <w:rFonts w:ascii="仿宋" w:hAnsi="仿宋" w:eastAsia="仿宋"/>
          <w:sz w:val="24"/>
          <w:u w:val="single"/>
        </w:rPr>
        <w:t xml:space="preserve">                                   </w:t>
      </w:r>
    </w:p>
    <w:p>
      <w:pPr>
        <w:pStyle w:val="285"/>
        <w:spacing w:before="120" w:line="22" w:lineRule="atLeast"/>
        <w:rPr>
          <w:rFonts w:ascii="仿宋" w:hAnsi="仿宋" w:eastAsia="仿宋"/>
          <w:szCs w:val="24"/>
        </w:rPr>
      </w:pPr>
    </w:p>
    <w:p>
      <w:pPr>
        <w:pStyle w:val="285"/>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sz w:val="24"/>
        </w:rPr>
      </w:pPr>
      <w:r>
        <w:rPr>
          <w:rFonts w:ascii="仿宋" w:hAnsi="仿宋" w:eastAsia="仿宋"/>
          <w:sz w:val="24"/>
          <w:u w:val="single"/>
          <w:lang w:val="zh-CN"/>
        </w:rPr>
        <w:t xml:space="preserve">        </w:t>
      </w:r>
      <w:r>
        <w:rPr>
          <w:rFonts w:hint="eastAsia" w:ascii="仿宋" w:hAnsi="仿宋" w:eastAsia="仿宋"/>
          <w:sz w:val="24"/>
          <w:lang w:val="zh-CN"/>
        </w:rPr>
        <w:t>年</w:t>
      </w:r>
      <w:r>
        <w:rPr>
          <w:rFonts w:ascii="仿宋" w:hAnsi="仿宋" w:eastAsia="仿宋"/>
          <w:sz w:val="24"/>
          <w:u w:val="single"/>
          <w:lang w:val="zh-CN"/>
        </w:rPr>
        <w:t xml:space="preserve">    </w:t>
      </w:r>
      <w:r>
        <w:rPr>
          <w:rFonts w:hint="eastAsia" w:ascii="仿宋" w:hAnsi="仿宋" w:eastAsia="仿宋"/>
          <w:sz w:val="24"/>
          <w:lang w:val="zh-CN"/>
        </w:rPr>
        <w:t>月</w:t>
      </w:r>
      <w:r>
        <w:rPr>
          <w:rFonts w:ascii="仿宋" w:hAnsi="仿宋" w:eastAsia="仿宋"/>
          <w:sz w:val="24"/>
          <w:u w:val="single"/>
          <w:lang w:val="zh-CN"/>
        </w:rPr>
        <w:t xml:space="preserve">    </w:t>
      </w:r>
      <w:r>
        <w:rPr>
          <w:rFonts w:hint="eastAsia" w:ascii="仿宋" w:hAnsi="仿宋" w:eastAsia="仿宋"/>
          <w:sz w:val="24"/>
          <w:lang w:val="zh-CN"/>
        </w:rPr>
        <w:t>日</w:t>
      </w:r>
      <w:r>
        <w:rPr>
          <w:rFonts w:hint="eastAsia" w:ascii="仿宋" w:hAnsi="仿宋" w:eastAsia="仿宋"/>
          <w:sz w:val="24"/>
        </w:rPr>
        <w:t>，</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ascii="仿宋" w:hAnsi="仿宋" w:eastAsia="仿宋"/>
          <w:sz w:val="24"/>
          <w:u w:val="single"/>
        </w:rPr>
        <w:t xml:space="preserve">   （同前</w:t>
      </w:r>
      <w:r>
        <w:rPr>
          <w:rFonts w:hint="eastAsia" w:ascii="仿宋" w:hAnsi="仿宋" w:eastAsia="仿宋"/>
          <w:sz w:val="24"/>
          <w:u w:val="single"/>
        </w:rPr>
        <w:t>页鸬鸟镇社会治理综合服务中心提升项目）</w:t>
      </w:r>
      <w:r>
        <w:rPr>
          <w:rFonts w:ascii="仿宋" w:hAnsi="仿宋" w:eastAsia="仿宋"/>
          <w:sz w:val="24"/>
          <w:u w:val="single"/>
        </w:rPr>
        <w:t xml:space="preserve">   </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（中标供应商名称）</w:t>
      </w:r>
      <w:r>
        <w:rPr>
          <w:rFonts w:hint="eastAsia" w:ascii="仿宋" w:hAnsi="仿宋" w:eastAsia="仿宋"/>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ascii="仿宋" w:hAnsi="仿宋" w:eastAsia="仿宋"/>
          <w:sz w:val="24"/>
          <w:lang w:val="zh-CN"/>
        </w:rPr>
        <w:t>(以下简称：甲方)和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560" w:lineRule="exact"/>
        <w:ind w:firstLine="482" w:firstLineChars="200"/>
        <w:outlineLvl w:val="0"/>
        <w:rPr>
          <w:rFonts w:ascii="仿宋" w:hAnsi="仿宋" w:eastAsia="仿宋"/>
          <w:b/>
          <w:sz w:val="24"/>
        </w:rPr>
      </w:pPr>
      <w:bookmarkStart w:id="394" w:name="_Toc2232"/>
      <w:bookmarkStart w:id="395" w:name="_Toc24059"/>
      <w:bookmarkStart w:id="396" w:name="_Toc3029"/>
      <w:r>
        <w:rPr>
          <w:rFonts w:ascii="仿宋" w:hAnsi="仿宋" w:eastAsia="仿宋"/>
          <w:b/>
          <w:sz w:val="24"/>
        </w:rPr>
        <w:t xml:space="preserve">1.1 </w:t>
      </w:r>
      <w:r>
        <w:rPr>
          <w:rFonts w:hint="eastAsia" w:ascii="仿宋" w:hAnsi="仿宋" w:eastAsia="仿宋"/>
          <w:b/>
          <w:sz w:val="24"/>
        </w:rPr>
        <w:t>合同组成部分</w:t>
      </w:r>
      <w:bookmarkEnd w:id="394"/>
      <w:bookmarkEnd w:id="395"/>
      <w:bookmarkEnd w:id="396"/>
    </w:p>
    <w:p>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pPr>
        <w:spacing w:line="560" w:lineRule="exact"/>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pPr>
        <w:spacing w:line="560" w:lineRule="exact"/>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pPr>
        <w:spacing w:line="560" w:lineRule="exact"/>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pPr>
        <w:spacing w:line="560" w:lineRule="exact"/>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spacing w:line="560" w:lineRule="exact"/>
        <w:ind w:firstLine="482" w:firstLineChars="200"/>
        <w:outlineLvl w:val="0"/>
        <w:rPr>
          <w:rFonts w:ascii="仿宋" w:hAnsi="仿宋" w:eastAsia="仿宋"/>
          <w:b/>
          <w:sz w:val="24"/>
        </w:rPr>
      </w:pPr>
      <w:bookmarkStart w:id="397" w:name="_Toc27126"/>
      <w:bookmarkStart w:id="398" w:name="_Toc21295"/>
      <w:bookmarkStart w:id="399" w:name="_Toc24300"/>
      <w:r>
        <w:rPr>
          <w:rFonts w:ascii="仿宋" w:hAnsi="仿宋" w:eastAsia="仿宋"/>
          <w:b/>
          <w:sz w:val="24"/>
        </w:rPr>
        <w:t xml:space="preserve">1.2 </w:t>
      </w:r>
      <w:r>
        <w:rPr>
          <w:rFonts w:hint="eastAsia" w:ascii="仿宋" w:hAnsi="仿宋" w:eastAsia="仿宋"/>
          <w:b/>
          <w:sz w:val="24"/>
        </w:rPr>
        <w:t>货物</w:t>
      </w:r>
      <w:bookmarkEnd w:id="397"/>
      <w:bookmarkEnd w:id="398"/>
      <w:bookmarkEnd w:id="399"/>
    </w:p>
    <w:p>
      <w:pPr>
        <w:spacing w:line="560" w:lineRule="exact"/>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rPr>
        <w:t>货物名称：</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rPr>
        <w:t>货物数量：</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1.2.3 </w:t>
      </w:r>
      <w:r>
        <w:rPr>
          <w:rFonts w:hint="eastAsia" w:ascii="仿宋" w:hAnsi="仿宋" w:eastAsia="仿宋"/>
          <w:sz w:val="24"/>
        </w:rPr>
        <w:t>货物质量：</w:t>
      </w:r>
      <w:r>
        <w:rPr>
          <w:rFonts w:hint="eastAsia" w:ascii="仿宋" w:hAnsi="仿宋" w:eastAsia="仿宋"/>
          <w:sz w:val="24"/>
          <w:u w:val="single"/>
        </w:rPr>
        <w:t>　　　　　　　　　</w:t>
      </w:r>
      <w:r>
        <w:rPr>
          <w:rFonts w:ascii="仿宋" w:hAnsi="仿宋" w:eastAsia="仿宋"/>
          <w:sz w:val="24"/>
          <w:u w:val="single"/>
        </w:rPr>
        <w:t xml:space="preserve">                      　      </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00" w:name="_Toc21551"/>
      <w:bookmarkStart w:id="401" w:name="_Toc23292"/>
      <w:bookmarkStart w:id="402" w:name="_Toc21631"/>
      <w:r>
        <w:rPr>
          <w:rFonts w:ascii="仿宋" w:hAnsi="仿宋" w:eastAsia="仿宋"/>
          <w:b/>
          <w:sz w:val="24"/>
        </w:rPr>
        <w:t xml:space="preserve">1.3 </w:t>
      </w:r>
      <w:r>
        <w:rPr>
          <w:rFonts w:hint="eastAsia" w:ascii="仿宋" w:hAnsi="仿宋" w:eastAsia="仿宋"/>
          <w:b/>
          <w:sz w:val="24"/>
        </w:rPr>
        <w:t>价款</w:t>
      </w:r>
      <w:bookmarkEnd w:id="400"/>
      <w:bookmarkEnd w:id="401"/>
      <w:bookmarkEnd w:id="402"/>
    </w:p>
    <w:p>
      <w:pPr>
        <w:spacing w:line="560" w:lineRule="exact"/>
        <w:ind w:firstLine="480" w:firstLineChars="200"/>
        <w:rPr>
          <w:rFonts w:ascii="仿宋" w:hAnsi="仿宋" w:eastAsia="仿宋"/>
          <w:sz w:val="24"/>
        </w:rPr>
      </w:pPr>
      <w:r>
        <w:rPr>
          <w:rFonts w:hint="eastAsia" w:ascii="仿宋" w:hAnsi="仿宋" w:eastAsia="仿宋"/>
          <w:sz w:val="24"/>
        </w:rPr>
        <w:t>本合同总价为：￥</w:t>
      </w:r>
      <w:r>
        <w:rPr>
          <w:rFonts w:ascii="仿宋" w:hAnsi="仿宋" w:eastAsia="仿宋"/>
          <w:sz w:val="24"/>
          <w:u w:val="single"/>
        </w:rPr>
        <w:t xml:space="preserve">           </w:t>
      </w:r>
      <w:r>
        <w:rPr>
          <w:rFonts w:hint="eastAsia" w:ascii="仿宋" w:hAnsi="仿宋" w:eastAsia="仿宋"/>
          <w:sz w:val="24"/>
        </w:rPr>
        <w:t>元（大写：</w:t>
      </w:r>
      <w:r>
        <w:rPr>
          <w:rFonts w:ascii="仿宋" w:hAnsi="仿宋" w:eastAsia="仿宋"/>
          <w:sz w:val="24"/>
          <w:u w:val="single"/>
        </w:rPr>
        <w:t xml:space="preserve">                 </w:t>
      </w:r>
      <w:r>
        <w:rPr>
          <w:rFonts w:hint="eastAsia" w:ascii="仿宋" w:hAnsi="仿宋" w:eastAsia="仿宋"/>
          <w:sz w:val="24"/>
        </w:rPr>
        <w:t>元人民币）。</w:t>
      </w:r>
    </w:p>
    <w:p>
      <w:pPr>
        <w:spacing w:line="560" w:lineRule="exact"/>
        <w:ind w:firstLine="480" w:firstLineChars="200"/>
        <w:rPr>
          <w:rFonts w:ascii="仿宋" w:hAnsi="仿宋" w:eastAsia="仿宋"/>
          <w:sz w:val="24"/>
          <w:u w:val="single"/>
        </w:rPr>
      </w:pPr>
      <w:r>
        <w:rPr>
          <w:rFonts w:hint="eastAsia" w:ascii="仿宋" w:hAnsi="仿宋" w:eastAsia="仿宋"/>
          <w:sz w:val="24"/>
        </w:rPr>
        <w:t>分项价格：</w:t>
      </w:r>
    </w:p>
    <w:tbl>
      <w:tblPr>
        <w:tblStyle w:val="6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ascii="仿宋" w:hAnsi="仿宋" w:eastAsia="仿宋"/>
                <w:sz w:val="24"/>
                <w:szCs w:val="24"/>
              </w:rPr>
            </w:pPr>
          </w:p>
        </w:tc>
      </w:tr>
    </w:tbl>
    <w:p>
      <w:pPr>
        <w:spacing w:line="560" w:lineRule="exact"/>
        <w:ind w:firstLine="482" w:firstLineChars="200"/>
        <w:outlineLvl w:val="0"/>
        <w:rPr>
          <w:rFonts w:ascii="仿宋" w:hAnsi="仿宋" w:eastAsia="仿宋"/>
          <w:b/>
          <w:sz w:val="24"/>
        </w:rPr>
      </w:pPr>
      <w:bookmarkStart w:id="403" w:name="_Toc22618"/>
      <w:bookmarkStart w:id="404" w:name="_Toc10340"/>
      <w:bookmarkStart w:id="405" w:name="_Toc1814"/>
      <w:r>
        <w:rPr>
          <w:rFonts w:ascii="仿宋" w:hAnsi="仿宋" w:eastAsia="仿宋"/>
          <w:b/>
          <w:sz w:val="24"/>
        </w:rPr>
        <w:t xml:space="preserve">1.4 </w:t>
      </w:r>
      <w:r>
        <w:rPr>
          <w:rFonts w:hint="eastAsia" w:ascii="仿宋" w:hAnsi="仿宋" w:eastAsia="仿宋"/>
          <w:b/>
          <w:sz w:val="24"/>
        </w:rPr>
        <w:t>付款</w:t>
      </w:r>
      <w:bookmarkEnd w:id="403"/>
      <w:bookmarkEnd w:id="404"/>
      <w:bookmarkEnd w:id="405"/>
      <w:r>
        <w:rPr>
          <w:rFonts w:hint="eastAsia" w:ascii="仿宋" w:hAnsi="仿宋" w:eastAsia="仿宋"/>
          <w:b/>
          <w:sz w:val="24"/>
        </w:rPr>
        <w:t>方式、时间和条件</w:t>
      </w:r>
    </w:p>
    <w:p>
      <w:pPr>
        <w:pStyle w:val="619"/>
        <w:spacing w:before="0" w:beforeAutospacing="0" w:after="0" w:afterAutospacing="0" w:line="360" w:lineRule="auto"/>
        <w:ind w:firstLine="480"/>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1.4.1</w:t>
      </w:r>
      <w:r>
        <w:rPr>
          <w:rFonts w:hint="eastAsia" w:ascii="仿宋" w:hAnsi="仿宋" w:eastAsia="仿宋" w:cs="Times New Roman"/>
          <w:color w:val="000000" w:themeColor="text1"/>
          <w14:textFill>
            <w14:solidFill>
              <w14:schemeClr w14:val="tx1"/>
            </w14:solidFill>
          </w14:textFill>
        </w:rPr>
        <w:t>甲方应严格履行合同，及时组织验收，验收合格后及时将合同款支付完毕。对于满足合同约定支付条件的，甲方自收到发票后</w:t>
      </w:r>
      <w:r>
        <w:rPr>
          <w:rFonts w:ascii="仿宋" w:hAnsi="仿宋" w:eastAsia="仿宋" w:cs="Times New Roman"/>
          <w:color w:val="000000" w:themeColor="text1"/>
          <w14:textFill>
            <w14:solidFill>
              <w14:schemeClr w14:val="tx1"/>
            </w14:solidFill>
          </w14:textFill>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sz w:val="24"/>
        </w:rPr>
      </w:pPr>
      <w:r>
        <w:rPr>
          <w:rFonts w:ascii="仿宋" w:hAnsi="仿宋" w:eastAsia="仿宋"/>
          <w:color w:val="000000" w:themeColor="text1"/>
          <w:sz w:val="24"/>
          <w14:textFill>
            <w14:solidFill>
              <w14:schemeClr w14:val="tx1"/>
            </w14:solidFill>
          </w14:textFill>
        </w:rPr>
        <w:t>1.4.2甲方在政府采购合同中约定预付款，预付款比例</w:t>
      </w:r>
      <w:r>
        <w:rPr>
          <w:rFonts w:hint="eastAsia" w:ascii="仿宋" w:hAnsi="仿宋" w:eastAsia="仿宋"/>
          <w:color w:val="000000" w:themeColor="text1"/>
          <w:sz w:val="24"/>
          <w14:textFill>
            <w14:solidFill>
              <w14:schemeClr w14:val="tx1"/>
            </w14:solidFill>
          </w14:textFill>
        </w:rPr>
        <w:t>为</w:t>
      </w:r>
      <w:r>
        <w:rPr>
          <w:rFonts w:ascii="仿宋" w:hAnsi="仿宋" w:eastAsia="仿宋"/>
          <w:color w:val="000000" w:themeColor="text1"/>
          <w:sz w:val="24"/>
          <w14:textFill>
            <w14:solidFill>
              <w14:schemeClr w14:val="tx1"/>
            </w14:solidFill>
          </w14:textFill>
        </w:rPr>
        <w:t>合同金额的30％；项目分年安排预算的，每年预付款比例</w:t>
      </w:r>
      <w:r>
        <w:rPr>
          <w:rFonts w:hint="eastAsia" w:ascii="仿宋" w:hAnsi="仿宋" w:eastAsia="仿宋"/>
          <w:color w:val="000000" w:themeColor="text1"/>
          <w:sz w:val="24"/>
          <w14:textFill>
            <w14:solidFill>
              <w14:schemeClr w14:val="tx1"/>
            </w14:solidFill>
          </w14:textFill>
        </w:rPr>
        <w:t>为</w:t>
      </w:r>
      <w:r>
        <w:rPr>
          <w:rFonts w:ascii="仿宋" w:hAnsi="仿宋" w:eastAsia="仿宋"/>
          <w:color w:val="000000" w:themeColor="text1"/>
          <w:sz w:val="24"/>
          <w14:textFill>
            <w14:solidFill>
              <w14:schemeClr w14:val="tx1"/>
            </w14:solidFill>
          </w14:textFill>
        </w:rPr>
        <w:t>项目年度计划支付资金额的30％。采购项目实施以人工投入为主的，可适当降低预付款比例，但不低于10%。甲方可以根据项目特点、乙方信用等实际情况提高预付款比例，最高预付比例可以达到50%。</w:t>
      </w:r>
      <w:r>
        <w:rPr>
          <w:rFonts w:hint="eastAsia" w:ascii="仿宋" w:hAnsi="仿宋" w:eastAsia="仿宋"/>
          <w:color w:val="000000" w:themeColor="text1"/>
          <w:sz w:val="24"/>
          <w14:textFill>
            <w14:solidFill>
              <w14:schemeClr w14:val="tx1"/>
            </w14:solidFill>
          </w14:textFill>
        </w:rPr>
        <w:t>乙方可登录政采云前台大厅选择金融服务 - 【保函保险服务】出具预付款保函，具体步骤：选</w:t>
      </w:r>
      <w:r>
        <w:rPr>
          <w:rFonts w:hint="eastAsia" w:ascii="仿宋" w:hAnsi="仿宋" w:eastAsia="仿宋"/>
          <w:sz w:val="24"/>
        </w:rPr>
        <w:t>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560" w:lineRule="exact"/>
        <w:ind w:firstLine="480" w:firstLineChars="200"/>
        <w:outlineLvl w:val="0"/>
        <w:rPr>
          <w:rFonts w:ascii="仿宋" w:hAnsi="仿宋" w:eastAsia="仿宋"/>
          <w:sz w:val="24"/>
        </w:rPr>
      </w:pPr>
      <w:r>
        <w:rPr>
          <w:rFonts w:ascii="仿宋" w:hAnsi="仿宋" w:eastAsia="仿宋"/>
          <w:sz w:val="24"/>
        </w:rPr>
        <w:t>1.4.4资金支付的方式、时间和条件详见</w:t>
      </w:r>
      <w:r>
        <w:rPr>
          <w:rFonts w:hint="eastAsia" w:ascii="仿宋" w:hAnsi="仿宋" w:eastAsia="仿宋"/>
          <w:b/>
          <w:sz w:val="24"/>
          <w:u w:val="single"/>
        </w:rPr>
        <w:t>合同专用条款</w:t>
      </w:r>
      <w:r>
        <w:rPr>
          <w:rFonts w:hint="eastAsia" w:ascii="仿宋" w:hAnsi="仿宋" w:eastAsia="仿宋"/>
          <w:sz w:val="24"/>
        </w:rPr>
        <w:t>。</w:t>
      </w:r>
    </w:p>
    <w:p>
      <w:pPr>
        <w:spacing w:line="560" w:lineRule="exact"/>
        <w:ind w:firstLine="480" w:firstLineChars="200"/>
        <w:outlineLvl w:val="0"/>
        <w:rPr>
          <w:rFonts w:ascii="仿宋" w:hAnsi="仿宋" w:eastAsia="仿宋"/>
          <w:sz w:val="24"/>
        </w:rPr>
      </w:pPr>
      <w:r>
        <w:rPr>
          <w:rFonts w:ascii="仿宋" w:hAnsi="仿宋" w:eastAsia="仿宋"/>
          <w:sz w:val="24"/>
        </w:rPr>
        <w:t>1.4.5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spacing w:line="560" w:lineRule="exact"/>
        <w:ind w:firstLine="482" w:firstLineChars="200"/>
        <w:outlineLvl w:val="0"/>
        <w:rPr>
          <w:rFonts w:ascii="仿宋" w:hAnsi="仿宋" w:eastAsia="仿宋"/>
          <w:b/>
          <w:sz w:val="24"/>
        </w:rPr>
      </w:pPr>
      <w:bookmarkStart w:id="406" w:name="_Toc32071"/>
      <w:bookmarkStart w:id="407" w:name="_Toc19304"/>
      <w:bookmarkStart w:id="408" w:name="_Toc2846"/>
      <w:r>
        <w:rPr>
          <w:rFonts w:ascii="仿宋" w:hAnsi="仿宋" w:eastAsia="仿宋"/>
          <w:b/>
          <w:sz w:val="24"/>
        </w:rPr>
        <w:t xml:space="preserve">1.5 </w:t>
      </w:r>
      <w:r>
        <w:rPr>
          <w:rFonts w:hint="eastAsia" w:ascii="仿宋" w:hAnsi="仿宋" w:eastAsia="仿宋"/>
          <w:b/>
          <w:sz w:val="24"/>
        </w:rPr>
        <w:t>货物交付期限、地点和方式</w:t>
      </w:r>
      <w:bookmarkEnd w:id="406"/>
      <w:bookmarkEnd w:id="407"/>
      <w:bookmarkEnd w:id="408"/>
    </w:p>
    <w:p>
      <w:pPr>
        <w:spacing w:line="560" w:lineRule="exact"/>
        <w:ind w:firstLine="480" w:firstLineChars="200"/>
        <w:rPr>
          <w:rFonts w:ascii="仿宋" w:hAnsi="仿宋" w:eastAsia="仿宋"/>
          <w:sz w:val="24"/>
          <w:u w:val="single"/>
        </w:rPr>
      </w:pPr>
      <w:r>
        <w:rPr>
          <w:rFonts w:ascii="仿宋" w:hAnsi="仿宋" w:eastAsia="仿宋"/>
          <w:sz w:val="24"/>
        </w:rPr>
        <w:t xml:space="preserve">1.5.1 </w:t>
      </w:r>
      <w:r>
        <w:rPr>
          <w:rFonts w:hint="eastAsia" w:ascii="仿宋" w:hAnsi="仿宋" w:eastAsia="仿宋"/>
          <w:sz w:val="24"/>
        </w:rPr>
        <w:t>交付期限：</w:t>
      </w:r>
      <w:r>
        <w:rPr>
          <w:rFonts w:ascii="仿宋" w:hAnsi="仿宋" w:eastAsia="仿宋"/>
          <w:sz w:val="24"/>
        </w:rPr>
        <w:t>详见</w:t>
      </w:r>
      <w:r>
        <w:rPr>
          <w:rFonts w:hint="eastAsia" w:ascii="仿宋" w:hAnsi="仿宋" w:eastAsia="仿宋"/>
          <w:b/>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1.5.2 </w:t>
      </w:r>
      <w:r>
        <w:rPr>
          <w:rFonts w:hint="eastAsia" w:ascii="仿宋" w:hAnsi="仿宋" w:eastAsia="仿宋"/>
          <w:sz w:val="24"/>
        </w:rPr>
        <w:t>交付地点：</w:t>
      </w:r>
      <w:r>
        <w:rPr>
          <w:rFonts w:hint="eastAsia" w:ascii="仿宋" w:hAnsi="仿宋" w:eastAsia="仿宋"/>
          <w:b/>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1.5.3 </w:t>
      </w:r>
      <w:r>
        <w:rPr>
          <w:rFonts w:hint="eastAsia" w:ascii="仿宋" w:hAnsi="仿宋" w:eastAsia="仿宋"/>
          <w:sz w:val="24"/>
        </w:rPr>
        <w:t>交付方式：</w:t>
      </w:r>
      <w:r>
        <w:rPr>
          <w:rFonts w:hint="eastAsia" w:ascii="仿宋" w:hAnsi="仿宋" w:eastAsia="仿宋"/>
          <w:b/>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09" w:name="_Toc21423"/>
      <w:bookmarkStart w:id="410" w:name="_Toc27250"/>
      <w:bookmarkStart w:id="411" w:name="_Toc19554"/>
      <w:r>
        <w:rPr>
          <w:rFonts w:ascii="仿宋" w:hAnsi="仿宋" w:eastAsia="仿宋"/>
          <w:b/>
          <w:sz w:val="24"/>
        </w:rPr>
        <w:t xml:space="preserve">1.6 </w:t>
      </w:r>
      <w:r>
        <w:rPr>
          <w:rFonts w:hint="eastAsia" w:ascii="仿宋" w:hAnsi="仿宋" w:eastAsia="仿宋"/>
          <w:b/>
          <w:sz w:val="24"/>
        </w:rPr>
        <w:t>违约责任</w:t>
      </w:r>
      <w:bookmarkEnd w:id="409"/>
      <w:bookmarkEnd w:id="410"/>
      <w:bookmarkEnd w:id="411"/>
    </w:p>
    <w:p>
      <w:pPr>
        <w:spacing w:line="560" w:lineRule="exact"/>
        <w:ind w:firstLine="480" w:firstLineChars="200"/>
        <w:rPr>
          <w:rFonts w:ascii="仿宋" w:hAnsi="仿宋" w:eastAsia="仿宋"/>
          <w:sz w:val="24"/>
        </w:rPr>
      </w:pPr>
      <w:r>
        <w:rPr>
          <w:rFonts w:ascii="仿宋" w:hAnsi="仿宋" w:eastAsia="仿宋"/>
          <w:sz w:val="24"/>
        </w:rPr>
        <w:t xml:space="preserve">1.6.1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rPr>
      </w:pPr>
      <w:r>
        <w:rPr>
          <w:rFonts w:ascii="仿宋" w:hAnsi="仿宋" w:eastAsia="仿宋"/>
          <w:sz w:val="24"/>
        </w:rPr>
        <w:t xml:space="preserve">1.6.2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pPr>
      <w:r>
        <w:rPr>
          <w:rFonts w:hint="eastAsia" w:ascii="仿宋" w:hAnsi="仿宋" w:eastAsia="仿宋"/>
          <w:sz w:val="24"/>
        </w:rPr>
        <w:t>1.6.7违约责任</w:t>
      </w:r>
      <w:r>
        <w:rPr>
          <w:rFonts w:hint="eastAsia" w:ascii="仿宋" w:hAnsi="仿宋" w:eastAsia="仿宋"/>
          <w:b/>
          <w:sz w:val="24"/>
          <w:u w:val="single"/>
        </w:rPr>
        <w:t>合同专用条款</w:t>
      </w:r>
      <w:r>
        <w:rPr>
          <w:rFonts w:hint="eastAsia" w:ascii="仿宋" w:hAnsi="仿宋" w:eastAsia="仿宋"/>
          <w:sz w:val="24"/>
        </w:rPr>
        <w:t>另有约定的，从其约定。</w:t>
      </w:r>
    </w:p>
    <w:p>
      <w:pPr>
        <w:spacing w:line="560" w:lineRule="exact"/>
        <w:ind w:firstLine="482" w:firstLineChars="200"/>
        <w:outlineLvl w:val="0"/>
        <w:rPr>
          <w:rFonts w:ascii="仿宋" w:hAnsi="仿宋" w:eastAsia="仿宋"/>
          <w:b/>
          <w:sz w:val="24"/>
        </w:rPr>
      </w:pPr>
      <w:bookmarkStart w:id="412" w:name="_Toc16021"/>
      <w:bookmarkStart w:id="413" w:name="_Toc15583"/>
      <w:bookmarkStart w:id="414" w:name="_Toc28375"/>
      <w:r>
        <w:rPr>
          <w:rFonts w:ascii="仿宋" w:hAnsi="仿宋" w:eastAsia="仿宋"/>
          <w:b/>
          <w:sz w:val="24"/>
        </w:rPr>
        <w:t xml:space="preserve">1.7 </w:t>
      </w:r>
      <w:r>
        <w:rPr>
          <w:rFonts w:hint="eastAsia" w:ascii="仿宋" w:hAnsi="仿宋" w:eastAsia="仿宋"/>
          <w:b/>
          <w:sz w:val="24"/>
        </w:rPr>
        <w:t>合同争议的解决</w:t>
      </w:r>
      <w:bookmarkEnd w:id="412"/>
      <w:bookmarkEnd w:id="413"/>
      <w:bookmarkEnd w:id="414"/>
    </w:p>
    <w:p>
      <w:pPr>
        <w:spacing w:line="560" w:lineRule="exact"/>
        <w:ind w:left="-61" w:leftChars="-29" w:right="-420" w:rightChars="-200" w:firstLine="240" w:firstLineChars="100"/>
        <w:rPr>
          <w:rFonts w:ascii="仿宋" w:hAnsi="仿宋" w:eastAsia="仿宋"/>
          <w:sz w:val="24"/>
        </w:rPr>
      </w:pPr>
      <w:r>
        <w:rPr>
          <w:rFonts w:hint="eastAsia" w:ascii="仿宋" w:hAnsi="仿宋" w:eastAsia="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b/>
          <w:sz w:val="24"/>
          <w:u w:val="single"/>
        </w:rPr>
        <w:t xml:space="preserve"> 合同专用条款  </w:t>
      </w:r>
      <w:r>
        <w:rPr>
          <w:rFonts w:hint="eastAsia" w:ascii="仿宋" w:hAnsi="仿宋" w:eastAsia="仿宋"/>
          <w:sz w:val="24"/>
        </w:rPr>
        <w:t>条款规定的方式解决：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1.7.1 </w:t>
      </w:r>
      <w:r>
        <w:rPr>
          <w:rFonts w:hint="eastAsia" w:ascii="仿宋" w:hAnsi="仿宋" w:eastAsia="仿宋"/>
          <w:sz w:val="24"/>
        </w:rPr>
        <w:t>将争议提交</w:t>
      </w:r>
      <w:r>
        <w:rPr>
          <w:rFonts w:hint="eastAsia" w:ascii="仿宋" w:hAnsi="仿宋" w:eastAsia="仿宋"/>
          <w:b/>
          <w:sz w:val="24"/>
          <w:u w:val="single"/>
        </w:rPr>
        <w:t>合同专用条款</w:t>
      </w:r>
      <w:r>
        <w:rPr>
          <w:rFonts w:hint="eastAsia" w:ascii="仿宋" w:hAnsi="仿宋" w:eastAsia="仿宋"/>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sz w:val="24"/>
          <w:u w:val="single"/>
        </w:rPr>
        <w:t>合同专用条款</w:t>
      </w:r>
      <w:r>
        <w:rPr>
          <w:rFonts w:hint="eastAsia" w:ascii="仿宋" w:hAnsi="仿宋" w:eastAsia="仿宋"/>
          <w:sz w:val="24"/>
        </w:rPr>
        <w:t>人民法院起诉。</w:t>
      </w:r>
    </w:p>
    <w:p>
      <w:pPr>
        <w:spacing w:line="560" w:lineRule="exact"/>
        <w:ind w:firstLine="482" w:firstLineChars="200"/>
        <w:outlineLvl w:val="0"/>
        <w:rPr>
          <w:rFonts w:ascii="仿宋" w:hAnsi="仿宋" w:eastAsia="仿宋"/>
          <w:b/>
          <w:sz w:val="24"/>
        </w:rPr>
      </w:pPr>
      <w:bookmarkStart w:id="415" w:name="_Toc7245"/>
      <w:bookmarkStart w:id="416" w:name="_Toc11173"/>
      <w:bookmarkStart w:id="417" w:name="_Toc15322"/>
      <w:r>
        <w:rPr>
          <w:rFonts w:ascii="仿宋" w:hAnsi="仿宋" w:eastAsia="仿宋"/>
          <w:b/>
          <w:sz w:val="24"/>
        </w:rPr>
        <w:t xml:space="preserve">1.8 </w:t>
      </w:r>
      <w:r>
        <w:rPr>
          <w:rFonts w:hint="eastAsia" w:ascii="仿宋" w:hAnsi="仿宋" w:eastAsia="仿宋"/>
          <w:b/>
          <w:sz w:val="24"/>
        </w:rPr>
        <w:t>合同生效</w:t>
      </w:r>
      <w:bookmarkEnd w:id="415"/>
      <w:bookmarkEnd w:id="416"/>
      <w:bookmarkEnd w:id="417"/>
    </w:p>
    <w:p>
      <w:pPr>
        <w:spacing w:line="560" w:lineRule="exact"/>
        <w:ind w:firstLine="480"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本合同自双方当事人盖章或者签字时生效。</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sz w:val="24"/>
          <w:lang w:val="zh-CN"/>
        </w:rPr>
        <w:t xml:space="preserve">                             </w:t>
      </w:r>
      <w:r>
        <w:rPr>
          <w:rFonts w:ascii="仿宋" w:hAnsi="仿宋" w:eastAsia="仿宋"/>
          <w:b/>
          <w:sz w:val="24"/>
          <w:lang w:val="zh-CN"/>
        </w:rPr>
        <w:t xml:space="preserve">      乙方</w:t>
      </w:r>
      <w:r>
        <w:rPr>
          <w:rFonts w:hint="eastAsia" w:ascii="仿宋" w:hAnsi="仿宋" w:eastAsia="仿宋"/>
          <w:sz w:val="24"/>
          <w:lang w:val="zh-CN"/>
        </w:rPr>
        <w:t>：</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统一社会信用代码：</w:t>
      </w:r>
      <w:r>
        <w:rPr>
          <w:rFonts w:ascii="仿宋" w:hAnsi="仿宋" w:eastAsia="仿宋"/>
          <w:sz w:val="24"/>
          <w:lang w:val="zh-CN"/>
        </w:rPr>
        <w:t xml:space="preserve">                        </w:t>
      </w:r>
      <w:r>
        <w:rPr>
          <w:rFonts w:hint="eastAsia" w:ascii="仿宋" w:hAnsi="仿宋" w:eastAsia="仿宋"/>
          <w:sz w:val="24"/>
          <w:lang w:val="zh-CN"/>
        </w:rPr>
        <w:t>统一社会信用代码或身份证号码：</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住所：</w:t>
      </w:r>
      <w:r>
        <w:rPr>
          <w:rFonts w:ascii="仿宋" w:hAnsi="仿宋" w:eastAsia="仿宋"/>
          <w:sz w:val="24"/>
          <w:lang w:val="zh-CN"/>
        </w:rPr>
        <w:t xml:space="preserve">                                   </w:t>
      </w:r>
      <w:r>
        <w:rPr>
          <w:rFonts w:hint="eastAsia" w:ascii="仿宋" w:hAnsi="仿宋" w:eastAsia="仿宋"/>
          <w:sz w:val="24"/>
          <w:lang w:val="zh-CN"/>
        </w:rPr>
        <w:t>住所：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法定代表人或</w:t>
      </w:r>
      <w:r>
        <w:rPr>
          <w:rFonts w:ascii="仿宋" w:hAnsi="仿宋" w:eastAsia="仿宋"/>
          <w:sz w:val="24"/>
          <w:lang w:val="zh-CN"/>
        </w:rPr>
        <w:t xml:space="preserve">                             </w:t>
      </w:r>
      <w:r>
        <w:rPr>
          <w:rFonts w:hint="eastAsia" w:ascii="仿宋" w:hAnsi="仿宋" w:eastAsia="仿宋"/>
          <w:sz w:val="24"/>
          <w:lang w:val="zh-CN"/>
        </w:rPr>
        <w:t>法定代表人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或授权代表（签字）: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联系人：</w:t>
      </w:r>
      <w:r>
        <w:rPr>
          <w:rFonts w:ascii="仿宋" w:hAnsi="仿宋" w:eastAsia="仿宋"/>
          <w:sz w:val="24"/>
          <w:lang w:val="zh-CN"/>
        </w:rPr>
        <w:t xml:space="preserve">                                 </w:t>
      </w:r>
      <w:r>
        <w:rPr>
          <w:rFonts w:hint="eastAsia" w:ascii="仿宋" w:hAnsi="仿宋" w:eastAsia="仿宋"/>
          <w:sz w:val="24"/>
          <w:lang w:val="zh-CN"/>
        </w:rPr>
        <w:t>联系人：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约定送达地址：</w:t>
      </w:r>
      <w:r>
        <w:rPr>
          <w:rFonts w:ascii="仿宋" w:hAnsi="仿宋" w:eastAsia="仿宋"/>
          <w:sz w:val="24"/>
          <w:lang w:val="zh-CN"/>
        </w:rPr>
        <w:t xml:space="preserve">                           </w:t>
      </w:r>
      <w:r>
        <w:rPr>
          <w:rFonts w:hint="eastAsia" w:ascii="仿宋" w:hAnsi="仿宋" w:eastAsia="仿宋"/>
          <w:sz w:val="24"/>
          <w:lang w:val="zh-CN"/>
        </w:rPr>
        <w:t>约定送达地址：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邮政编码：</w:t>
      </w:r>
      <w:r>
        <w:rPr>
          <w:rFonts w:ascii="仿宋" w:hAnsi="仿宋" w:eastAsia="仿宋"/>
          <w:sz w:val="24"/>
          <w:lang w:val="zh-CN"/>
        </w:rPr>
        <w:t xml:space="preserve">                               </w:t>
      </w:r>
      <w:r>
        <w:rPr>
          <w:rFonts w:hint="eastAsia" w:ascii="仿宋" w:hAnsi="仿宋" w:eastAsia="仿宋"/>
          <w:sz w:val="24"/>
          <w:lang w:val="zh-CN"/>
        </w:rPr>
        <w:t>邮政编码：</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spacing w:line="560" w:lineRule="exact"/>
        <w:rPr>
          <w:rFonts w:ascii="仿宋" w:hAnsi="仿宋" w:eastAsia="仿宋"/>
          <w:sz w:val="24"/>
        </w:rPr>
      </w:pPr>
      <w:r>
        <w:rPr>
          <w:rFonts w:hint="eastAsia" w:ascii="仿宋" w:hAnsi="仿宋" w:eastAsia="仿宋"/>
          <w:sz w:val="24"/>
          <w:lang w:val="zh-CN"/>
        </w:rPr>
        <w:t>电子邮箱：</w:t>
      </w:r>
      <w:r>
        <w:rPr>
          <w:rFonts w:ascii="仿宋" w:hAnsi="仿宋" w:eastAsia="仿宋"/>
          <w:sz w:val="24"/>
          <w:lang w:val="zh-CN"/>
        </w:rPr>
        <w:t xml:space="preserve">                               </w:t>
      </w:r>
      <w:r>
        <w:rPr>
          <w:rFonts w:hint="eastAsia" w:ascii="仿宋" w:hAnsi="仿宋" w:eastAsia="仿宋"/>
          <w:sz w:val="24"/>
          <w:lang w:val="zh-CN"/>
        </w:rPr>
        <w:t>电子邮箱：</w:t>
      </w:r>
    </w:p>
    <w:p>
      <w:pPr>
        <w:autoSpaceDE w:val="0"/>
        <w:autoSpaceDN w:val="0"/>
        <w:spacing w:line="560" w:lineRule="exact"/>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pPr>
        <w:autoSpaceDE w:val="0"/>
        <w:autoSpaceDN w:val="0"/>
        <w:spacing w:line="560" w:lineRule="exact"/>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pPr>
        <w:autoSpaceDE w:val="0"/>
        <w:autoSpaceDN w:val="0"/>
        <w:spacing w:line="560" w:lineRule="exact"/>
        <w:rPr>
          <w:rFonts w:ascii="仿宋" w:hAnsi="仿宋" w:eastAsia="仿宋"/>
          <w:sz w:val="24"/>
        </w:rPr>
      </w:pPr>
      <w:r>
        <w:rPr>
          <w:rFonts w:hint="eastAsia" w:ascii="仿宋" w:hAnsi="仿宋" w:eastAsia="仿宋"/>
          <w:sz w:val="24"/>
        </w:rPr>
        <w:t>开户账号：</w:t>
      </w:r>
      <w:r>
        <w:rPr>
          <w:rFonts w:ascii="仿宋" w:hAnsi="仿宋" w:eastAsia="仿宋"/>
          <w:sz w:val="24"/>
          <w:lang w:val="zh-CN"/>
        </w:rPr>
        <w:t xml:space="preserve">                               </w:t>
      </w:r>
      <w:r>
        <w:rPr>
          <w:rFonts w:hint="eastAsia" w:ascii="仿宋" w:hAnsi="仿宋" w:eastAsia="仿宋"/>
          <w:sz w:val="24"/>
        </w:rPr>
        <w:t>开户账号：</w:t>
      </w:r>
    </w:p>
    <w:p>
      <w:pPr>
        <w:widowControl/>
        <w:spacing w:line="560" w:lineRule="exact"/>
        <w:jc w:val="left"/>
        <w:rPr>
          <w:rFonts w:ascii="仿宋" w:hAnsi="仿宋" w:eastAsia="仿宋"/>
          <w:b/>
          <w:sz w:val="24"/>
        </w:rPr>
      </w:pPr>
      <w:bookmarkStart w:id="418" w:name="_Toc331685783"/>
    </w:p>
    <w:p>
      <w:pPr>
        <w:pStyle w:val="5"/>
        <w:spacing w:line="560" w:lineRule="exact"/>
        <w:ind w:firstLine="482"/>
        <w:jc w:val="center"/>
        <w:rPr>
          <w:rFonts w:ascii="仿宋" w:hAnsi="仿宋" w:eastAsia="仿宋"/>
          <w:b/>
          <w:szCs w:val="24"/>
        </w:rPr>
      </w:pPr>
      <w:r>
        <w:rPr>
          <w:rFonts w:hint="eastAsia" w:ascii="仿宋" w:hAnsi="仿宋" w:eastAsia="仿宋"/>
          <w:b/>
          <w:szCs w:val="24"/>
        </w:rPr>
        <w:t>第二部分</w:t>
      </w:r>
      <w:r>
        <w:rPr>
          <w:rFonts w:ascii="仿宋" w:hAnsi="仿宋" w:eastAsia="仿宋"/>
          <w:b/>
          <w:szCs w:val="24"/>
        </w:rPr>
        <w:t xml:space="preserve"> </w:t>
      </w:r>
      <w:r>
        <w:rPr>
          <w:rFonts w:hint="eastAsia" w:ascii="仿宋" w:hAnsi="仿宋" w:eastAsia="仿宋"/>
          <w:b/>
          <w:szCs w:val="24"/>
        </w:rPr>
        <w:t>合同一般条款</w:t>
      </w:r>
      <w:bookmarkEnd w:id="418"/>
    </w:p>
    <w:p>
      <w:pPr>
        <w:spacing w:line="560" w:lineRule="exact"/>
        <w:ind w:firstLine="482" w:firstLineChars="200"/>
        <w:outlineLvl w:val="0"/>
        <w:rPr>
          <w:rFonts w:ascii="仿宋" w:hAnsi="仿宋" w:eastAsia="仿宋"/>
          <w:b/>
          <w:sz w:val="24"/>
        </w:rPr>
      </w:pPr>
      <w:bookmarkStart w:id="419" w:name="_Ref467379225"/>
      <w:bookmarkStart w:id="420" w:name="_Toc279701240"/>
      <w:bookmarkStart w:id="421" w:name="_Toc259093669"/>
      <w:bookmarkStart w:id="422" w:name="_Toc487900349"/>
      <w:bookmarkStart w:id="423" w:name="_Toc28763"/>
      <w:bookmarkStart w:id="424" w:name="_Ref467379101"/>
      <w:bookmarkStart w:id="425" w:name="_Ref467379195"/>
      <w:bookmarkStart w:id="426" w:name="_Ref467379205"/>
      <w:bookmarkStart w:id="427" w:name="_Ref467379109"/>
      <w:bookmarkStart w:id="428" w:name="_Ref467378404"/>
      <w:bookmarkStart w:id="429" w:name="_Ref467378463"/>
      <w:bookmarkStart w:id="430" w:name="_Toc16917"/>
      <w:bookmarkStart w:id="431" w:name="_Ref467379094"/>
      <w:bookmarkStart w:id="432" w:name="_Ref467378499"/>
      <w:bookmarkStart w:id="433" w:name="_Toc19614"/>
      <w:bookmarkStart w:id="434" w:name="_Ref467379214"/>
      <w:r>
        <w:rPr>
          <w:rFonts w:ascii="仿宋" w:hAnsi="仿宋" w:eastAsia="仿宋"/>
          <w:b/>
          <w:sz w:val="24"/>
        </w:rPr>
        <w:t xml:space="preserve">2.1 </w:t>
      </w:r>
      <w:r>
        <w:rPr>
          <w:rFonts w:hint="eastAsia" w:ascii="仿宋" w:hAnsi="仿宋" w:eastAsia="仿宋"/>
          <w:b/>
          <w:sz w:val="24"/>
        </w:rPr>
        <w:t>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spacing w:line="560" w:lineRule="exact"/>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560" w:lineRule="exact"/>
        <w:ind w:firstLine="480" w:firstLineChars="200"/>
        <w:rPr>
          <w:rFonts w:ascii="仿宋" w:hAnsi="仿宋" w:eastAsia="仿宋"/>
          <w:sz w:val="24"/>
        </w:rPr>
      </w:pPr>
      <w:r>
        <w:rPr>
          <w:rFonts w:ascii="仿宋" w:hAnsi="仿宋" w:eastAsia="仿宋"/>
          <w:sz w:val="24"/>
        </w:rPr>
        <w:t xml:space="preserve">2.1.1 </w:t>
      </w:r>
      <w:r>
        <w:rPr>
          <w:rFonts w:hint="eastAsia" w:ascii="仿宋" w:hAnsi="仿宋" w:eastAsia="仿宋"/>
          <w:sz w:val="24"/>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rPr>
      </w:pPr>
      <w:r>
        <w:rPr>
          <w:rFonts w:ascii="仿宋" w:hAnsi="仿宋" w:eastAsia="仿宋"/>
          <w:sz w:val="24"/>
        </w:rPr>
        <w:t xml:space="preserve">2.1.2 </w:t>
      </w:r>
      <w:r>
        <w:rPr>
          <w:rFonts w:hint="eastAsia" w:ascii="仿宋" w:hAnsi="仿宋" w:eastAsia="仿宋"/>
          <w:sz w:val="24"/>
        </w:rPr>
        <w:t>“合同价”系指根据合同约定，中标供应商在完全履行合同义务后，采购人应支付给中标供应商的价格。</w:t>
      </w:r>
    </w:p>
    <w:p>
      <w:pPr>
        <w:spacing w:line="560" w:lineRule="exact"/>
        <w:ind w:firstLine="480" w:firstLineChars="200"/>
        <w:rPr>
          <w:rFonts w:ascii="仿宋" w:hAnsi="仿宋" w:eastAsia="仿宋"/>
          <w:sz w:val="24"/>
        </w:rPr>
      </w:pPr>
      <w:r>
        <w:rPr>
          <w:rFonts w:ascii="仿宋" w:hAnsi="仿宋" w:eastAsia="仿宋"/>
          <w:sz w:val="24"/>
        </w:rPr>
        <w:t xml:space="preserve">2.1.3 </w:t>
      </w:r>
      <w:r>
        <w:rPr>
          <w:rFonts w:hint="eastAsia" w:ascii="仿宋" w:hAnsi="仿宋" w:eastAsia="仿宋"/>
          <w:sz w:val="24"/>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rPr>
      </w:pPr>
      <w:bookmarkStart w:id="435" w:name="_Ref467378840"/>
      <w:r>
        <w:rPr>
          <w:rFonts w:ascii="仿宋" w:hAnsi="仿宋" w:eastAsia="仿宋"/>
          <w:sz w:val="24"/>
        </w:rPr>
        <w:t xml:space="preserve">2.1.4 </w:t>
      </w:r>
      <w:r>
        <w:rPr>
          <w:rFonts w:hint="eastAsia" w:ascii="仿宋" w:hAnsi="仿宋" w:eastAsia="仿宋"/>
          <w:sz w:val="24"/>
        </w:rPr>
        <w:t>“甲方”系指与中标供应商签署合同的采购人</w:t>
      </w:r>
      <w:bookmarkEnd w:id="435"/>
      <w:r>
        <w:rPr>
          <w:rFonts w:hint="eastAsia" w:ascii="仿宋" w:hAnsi="仿宋" w:eastAsia="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sz w:val="24"/>
        </w:rPr>
      </w:pPr>
      <w:bookmarkStart w:id="436" w:name="_Ref467379400"/>
      <w:r>
        <w:rPr>
          <w:rFonts w:ascii="仿宋" w:hAnsi="仿宋" w:eastAsia="仿宋"/>
          <w:sz w:val="24"/>
        </w:rPr>
        <w:t xml:space="preserve">2.1.5 </w:t>
      </w:r>
      <w:r>
        <w:rPr>
          <w:rFonts w:hint="eastAsia" w:ascii="仿宋" w:hAnsi="仿宋" w:eastAsia="仿宋"/>
          <w:sz w:val="24"/>
        </w:rPr>
        <w:t>“乙方”系指根据合同约定交付货物的中标供应商</w:t>
      </w:r>
      <w:bookmarkEnd w:id="436"/>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rPr>
      </w:pPr>
      <w:bookmarkStart w:id="437" w:name="_Ref467379436"/>
      <w:r>
        <w:rPr>
          <w:rFonts w:ascii="仿宋" w:hAnsi="仿宋" w:eastAsia="仿宋"/>
          <w:sz w:val="24"/>
        </w:rPr>
        <w:t xml:space="preserve">2.1.6 </w:t>
      </w:r>
      <w:r>
        <w:rPr>
          <w:rFonts w:hint="eastAsia" w:ascii="仿宋" w:hAnsi="仿宋" w:eastAsia="仿宋"/>
          <w:sz w:val="24"/>
        </w:rPr>
        <w:t>“现场”系指合同约定货物将要运至或者安装的地点。</w:t>
      </w:r>
      <w:bookmarkEnd w:id="437"/>
    </w:p>
    <w:p>
      <w:pPr>
        <w:spacing w:line="560" w:lineRule="exact"/>
        <w:ind w:firstLine="482" w:firstLineChars="200"/>
        <w:outlineLvl w:val="0"/>
        <w:rPr>
          <w:rFonts w:ascii="仿宋" w:hAnsi="仿宋" w:eastAsia="仿宋"/>
          <w:b/>
          <w:sz w:val="24"/>
        </w:rPr>
      </w:pPr>
      <w:bookmarkStart w:id="438" w:name="_Toc487900350"/>
      <w:bookmarkStart w:id="439" w:name="_Toc32504"/>
      <w:bookmarkStart w:id="440" w:name="_Toc27635"/>
      <w:bookmarkStart w:id="441" w:name="_Toc13336"/>
      <w:bookmarkStart w:id="442" w:name="_Toc259093670"/>
      <w:bookmarkStart w:id="443" w:name="_Toc279701241"/>
      <w:r>
        <w:rPr>
          <w:rFonts w:ascii="仿宋" w:hAnsi="仿宋" w:eastAsia="仿宋"/>
          <w:b/>
          <w:sz w:val="24"/>
        </w:rPr>
        <w:t xml:space="preserve">2.2 </w:t>
      </w:r>
      <w:r>
        <w:rPr>
          <w:rFonts w:hint="eastAsia" w:ascii="仿宋" w:hAnsi="仿宋" w:eastAsia="仿宋"/>
          <w:b/>
          <w:sz w:val="24"/>
        </w:rPr>
        <w:t>技术规范</w:t>
      </w:r>
      <w:bookmarkEnd w:id="438"/>
      <w:bookmarkEnd w:id="439"/>
      <w:bookmarkEnd w:id="440"/>
      <w:bookmarkEnd w:id="441"/>
      <w:bookmarkEnd w:id="442"/>
      <w:bookmarkEnd w:id="443"/>
    </w:p>
    <w:p>
      <w:pPr>
        <w:spacing w:line="560" w:lineRule="exact"/>
        <w:ind w:firstLine="480" w:firstLineChars="200"/>
        <w:rPr>
          <w:rFonts w:ascii="仿宋" w:hAnsi="仿宋" w:eastAsia="仿宋"/>
          <w:sz w:val="24"/>
        </w:rPr>
      </w:pPr>
      <w:r>
        <w:rPr>
          <w:rFonts w:hint="eastAsia" w:ascii="仿宋" w:hAnsi="仿宋" w:eastAsia="仿宋"/>
          <w:sz w:val="24"/>
        </w:rPr>
        <w:t>货物所应遵守的技术规范应与采购文件规定的技术规范和技术规范附件</w:t>
      </w:r>
      <w:r>
        <w:rPr>
          <w:rFonts w:ascii="仿宋" w:hAnsi="仿宋" w:eastAsia="仿宋"/>
          <w:sz w:val="24"/>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sz w:val="24"/>
        </w:rPr>
      </w:pPr>
      <w:bookmarkStart w:id="444" w:name="_Toc9829"/>
      <w:bookmarkStart w:id="445" w:name="_Toc487900351"/>
      <w:bookmarkStart w:id="446" w:name="_Toc279701242"/>
      <w:bookmarkStart w:id="447" w:name="_Toc31634"/>
      <w:bookmarkStart w:id="448" w:name="_Toc27853"/>
      <w:bookmarkStart w:id="449" w:name="_Toc259093671"/>
      <w:r>
        <w:rPr>
          <w:rFonts w:ascii="仿宋" w:hAnsi="仿宋" w:eastAsia="仿宋"/>
          <w:b/>
          <w:sz w:val="24"/>
        </w:rPr>
        <w:t xml:space="preserve">2.3 </w:t>
      </w:r>
      <w:r>
        <w:rPr>
          <w:rFonts w:hint="eastAsia" w:ascii="仿宋" w:hAnsi="仿宋" w:eastAsia="仿宋"/>
          <w:b/>
          <w:sz w:val="24"/>
        </w:rPr>
        <w:t>知识产权</w:t>
      </w:r>
      <w:bookmarkEnd w:id="444"/>
      <w:bookmarkEnd w:id="445"/>
      <w:bookmarkEnd w:id="446"/>
      <w:bookmarkEnd w:id="447"/>
      <w:bookmarkEnd w:id="448"/>
      <w:bookmarkEnd w:id="449"/>
    </w:p>
    <w:p>
      <w:pPr>
        <w:spacing w:line="560" w:lineRule="exact"/>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rPr>
      </w:pPr>
      <w:r>
        <w:rPr>
          <w:rFonts w:ascii="仿宋" w:hAnsi="仿宋" w:eastAsia="仿宋"/>
          <w:sz w:val="24"/>
        </w:rPr>
        <w:t>2.3.2具有知识产权的计算机软件等货物的知识产权归属，详见</w:t>
      </w:r>
      <w:r>
        <w:rPr>
          <w:rFonts w:hint="eastAsia" w:ascii="仿宋" w:hAnsi="仿宋" w:eastAsia="仿宋"/>
          <w:b/>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50" w:name="_Toc11932"/>
      <w:bookmarkStart w:id="451" w:name="_Toc4194"/>
      <w:bookmarkStart w:id="452" w:name="_Toc29149"/>
      <w:r>
        <w:rPr>
          <w:rFonts w:ascii="仿宋" w:hAnsi="仿宋" w:eastAsia="仿宋"/>
          <w:b/>
          <w:sz w:val="24"/>
        </w:rPr>
        <w:t xml:space="preserve">2.4 </w:t>
      </w:r>
      <w:r>
        <w:rPr>
          <w:rFonts w:hint="eastAsia" w:ascii="仿宋" w:hAnsi="仿宋" w:eastAsia="仿宋"/>
          <w:b/>
          <w:sz w:val="24"/>
        </w:rPr>
        <w:t>包装和装运</w:t>
      </w:r>
      <w:bookmarkEnd w:id="450"/>
      <w:bookmarkEnd w:id="451"/>
      <w:bookmarkEnd w:id="452"/>
    </w:p>
    <w:p>
      <w:pPr>
        <w:spacing w:line="560" w:lineRule="exact"/>
        <w:ind w:firstLine="480" w:firstLineChars="200"/>
        <w:rPr>
          <w:rFonts w:ascii="仿宋" w:hAnsi="仿宋" w:eastAsia="仿宋"/>
          <w:sz w:val="24"/>
        </w:rPr>
      </w:pPr>
      <w:r>
        <w:rPr>
          <w:rFonts w:ascii="仿宋" w:hAnsi="仿宋" w:eastAsia="仿宋"/>
          <w:sz w:val="24"/>
        </w:rPr>
        <w:t>2.4.1除</w:t>
      </w:r>
      <w:r>
        <w:rPr>
          <w:rFonts w:hint="eastAsia" w:ascii="仿宋" w:hAnsi="仿宋" w:eastAsia="仿宋"/>
          <w:b/>
          <w:sz w:val="24"/>
          <w:u w:val="single"/>
        </w:rPr>
        <w:t>合同专用条款</w:t>
      </w:r>
      <w:r>
        <w:rPr>
          <w:rFonts w:hint="eastAsia" w:ascii="仿宋" w:hAnsi="仿宋" w:eastAsia="仿宋"/>
          <w:sz w:val="24"/>
        </w:rPr>
        <w:t>另有约定外</w:t>
      </w:r>
      <w:r>
        <w:rPr>
          <w:rFonts w:ascii="仿宋" w:hAnsi="仿宋" w:eastAsia="仿宋"/>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sz w:val="24"/>
        </w:rPr>
      </w:pPr>
      <w:r>
        <w:rPr>
          <w:rFonts w:ascii="仿宋" w:hAnsi="仿宋" w:eastAsia="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装运货物的要求和通知，详见</w:t>
      </w:r>
      <w:r>
        <w:rPr>
          <w:rFonts w:hint="eastAsia" w:ascii="仿宋" w:hAnsi="仿宋" w:eastAsia="仿宋"/>
          <w:b/>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53" w:name="_Toc279701245"/>
      <w:bookmarkStart w:id="454" w:name="_Ref467378541"/>
      <w:bookmarkStart w:id="455" w:name="_Toc487900354"/>
      <w:bookmarkStart w:id="456" w:name="_Toc259093674"/>
      <w:bookmarkStart w:id="457" w:name="_Ref467378591"/>
      <w:bookmarkStart w:id="458" w:name="_Ref467379527"/>
      <w:bookmarkStart w:id="459" w:name="_Ref467379536"/>
      <w:bookmarkStart w:id="460" w:name="_Ref467379542"/>
      <w:bookmarkStart w:id="461" w:name="_Toc30272"/>
      <w:bookmarkStart w:id="462" w:name="_Toc19074"/>
      <w:bookmarkStart w:id="463" w:name="_Toc26182"/>
      <w:r>
        <w:rPr>
          <w:rFonts w:ascii="仿宋" w:hAnsi="仿宋" w:eastAsia="仿宋"/>
          <w:b/>
          <w:sz w:val="24"/>
        </w:rPr>
        <w:t>2.</w:t>
      </w:r>
      <w:bookmarkEnd w:id="453"/>
      <w:bookmarkEnd w:id="454"/>
      <w:bookmarkEnd w:id="455"/>
      <w:bookmarkEnd w:id="456"/>
      <w:bookmarkEnd w:id="457"/>
      <w:bookmarkEnd w:id="458"/>
      <w:bookmarkEnd w:id="459"/>
      <w:bookmarkEnd w:id="460"/>
      <w:r>
        <w:rPr>
          <w:rFonts w:ascii="仿宋" w:hAnsi="仿宋" w:eastAsia="仿宋"/>
          <w:b/>
          <w:sz w:val="24"/>
        </w:rPr>
        <w:t xml:space="preserve">5 </w:t>
      </w:r>
      <w:r>
        <w:rPr>
          <w:rFonts w:hint="eastAsia" w:ascii="仿宋" w:hAnsi="仿宋" w:eastAsia="仿宋"/>
          <w:b/>
          <w:sz w:val="24"/>
        </w:rPr>
        <w:t>履约检查和问题反馈</w:t>
      </w:r>
      <w:bookmarkEnd w:id="461"/>
      <w:bookmarkEnd w:id="462"/>
      <w:bookmarkEnd w:id="463"/>
    </w:p>
    <w:p>
      <w:pPr>
        <w:spacing w:line="560" w:lineRule="exact"/>
        <w:ind w:firstLine="480" w:firstLineChars="200"/>
        <w:rPr>
          <w:rFonts w:ascii="仿宋" w:hAnsi="仿宋" w:eastAsia="仿宋"/>
          <w:sz w:val="24"/>
        </w:rPr>
      </w:pPr>
      <w:bookmarkStart w:id="464" w:name="_Ref467379657"/>
      <w:r>
        <w:rPr>
          <w:rFonts w:ascii="仿宋" w:hAnsi="仿宋" w:eastAsia="仿宋"/>
          <w:sz w:val="24"/>
        </w:rPr>
        <w:t>2.5.1</w:t>
      </w:r>
      <w:bookmarkEnd w:id="464"/>
      <w:bookmarkStart w:id="465" w:name="_Toc186431854"/>
      <w:bookmarkStart w:id="466" w:name="_Toc279701247"/>
      <w:bookmarkStart w:id="467" w:name="_Toc487900357"/>
      <w:bookmarkStart w:id="468" w:name="_Toc259093676"/>
      <w:bookmarkStart w:id="469" w:name="_Ref467379807"/>
      <w:bookmarkStart w:id="470" w:name="_Ref467379793"/>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rPr>
      </w:pPr>
      <w:r>
        <w:rPr>
          <w:rFonts w:ascii="仿宋" w:hAnsi="仿宋" w:eastAsia="仿宋"/>
          <w:sz w:val="24"/>
        </w:rPr>
        <w:t xml:space="preserve">2.5.2 </w:t>
      </w:r>
      <w:r>
        <w:rPr>
          <w:rFonts w:hint="eastAsia" w:ascii="仿宋" w:hAnsi="仿宋" w:eastAsia="仿宋"/>
          <w:sz w:val="24"/>
        </w:rPr>
        <w:t>合同履行期间，甲方有权将履行过程中出现的问题反馈给乙方，双方当事人应以书面形式约定需要完善和改进的内容</w:t>
      </w:r>
      <w:bookmarkEnd w:id="465"/>
      <w:bookmarkStart w:id="471" w:name="_Toc186431855"/>
      <w:r>
        <w:rPr>
          <w:rFonts w:hint="eastAsia" w:ascii="仿宋" w:hAnsi="仿宋" w:eastAsia="仿宋"/>
          <w:sz w:val="24"/>
        </w:rPr>
        <w:t>。</w:t>
      </w:r>
    </w:p>
    <w:bookmarkEnd w:id="466"/>
    <w:bookmarkEnd w:id="467"/>
    <w:bookmarkEnd w:id="468"/>
    <w:bookmarkEnd w:id="469"/>
    <w:bookmarkEnd w:id="470"/>
    <w:bookmarkEnd w:id="471"/>
    <w:p>
      <w:pPr>
        <w:spacing w:line="560" w:lineRule="exact"/>
        <w:ind w:firstLine="482" w:firstLineChars="200"/>
        <w:outlineLvl w:val="0"/>
        <w:rPr>
          <w:rFonts w:ascii="仿宋" w:hAnsi="仿宋" w:eastAsia="仿宋"/>
          <w:b/>
          <w:sz w:val="24"/>
        </w:rPr>
      </w:pPr>
      <w:bookmarkStart w:id="472" w:name="_Ref467379852"/>
      <w:bookmarkStart w:id="473" w:name="_Toc487900358"/>
      <w:bookmarkStart w:id="474" w:name="_Toc259093677"/>
      <w:bookmarkStart w:id="475" w:name="_Ref467379923"/>
      <w:bookmarkStart w:id="476" w:name="_Ref467379863"/>
      <w:bookmarkStart w:id="477" w:name="_Toc279701248"/>
      <w:bookmarkStart w:id="478" w:name="_Toc774"/>
      <w:bookmarkStart w:id="479" w:name="_Toc16110"/>
      <w:bookmarkStart w:id="480" w:name="_Toc3225"/>
      <w:r>
        <w:rPr>
          <w:rFonts w:ascii="仿宋" w:hAnsi="仿宋" w:eastAsia="仿宋"/>
          <w:b/>
          <w:sz w:val="24"/>
        </w:rPr>
        <w:t xml:space="preserve">2.6 </w:t>
      </w:r>
      <w:r>
        <w:rPr>
          <w:rFonts w:hint="eastAsia" w:ascii="仿宋" w:hAnsi="仿宋" w:eastAsia="仿宋"/>
          <w:b/>
          <w:sz w:val="24"/>
        </w:rPr>
        <w:t>技术资料</w:t>
      </w:r>
      <w:bookmarkEnd w:id="472"/>
      <w:bookmarkEnd w:id="473"/>
      <w:bookmarkEnd w:id="474"/>
      <w:bookmarkEnd w:id="475"/>
      <w:bookmarkEnd w:id="476"/>
      <w:bookmarkEnd w:id="477"/>
      <w:r>
        <w:rPr>
          <w:rFonts w:hint="eastAsia" w:ascii="仿宋" w:hAnsi="仿宋" w:eastAsia="仿宋"/>
          <w:b/>
          <w:sz w:val="24"/>
        </w:rPr>
        <w:t>和保密义务</w:t>
      </w:r>
      <w:bookmarkEnd w:id="478"/>
      <w:bookmarkEnd w:id="479"/>
      <w:bookmarkEnd w:id="480"/>
    </w:p>
    <w:p>
      <w:pPr>
        <w:spacing w:line="560" w:lineRule="exact"/>
        <w:ind w:firstLine="480" w:firstLineChars="200"/>
        <w:rPr>
          <w:rFonts w:ascii="仿宋" w:hAnsi="仿宋" w:eastAsia="仿宋"/>
          <w:sz w:val="24"/>
        </w:rPr>
      </w:pPr>
      <w:r>
        <w:rPr>
          <w:rFonts w:ascii="仿宋" w:hAnsi="仿宋" w:eastAsia="仿宋"/>
          <w:sz w:val="24"/>
        </w:rPr>
        <w:t xml:space="preserve">2.6.1 </w:t>
      </w:r>
      <w:r>
        <w:rPr>
          <w:rFonts w:hint="eastAsia" w:ascii="仿宋" w:hAnsi="仿宋" w:eastAsia="仿宋"/>
          <w:sz w:val="24"/>
        </w:rPr>
        <w:t>乙方有权依据合同约定和项目需要，向甲方了解有关情况，调阅有关资料等，甲方应予积极配合；</w:t>
      </w:r>
    </w:p>
    <w:p>
      <w:pPr>
        <w:spacing w:line="560" w:lineRule="exact"/>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pPr>
        <w:spacing w:line="560" w:lineRule="exact"/>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rPr>
      </w:pPr>
      <w:bookmarkStart w:id="481" w:name="_Toc7860"/>
      <w:r>
        <w:rPr>
          <w:rFonts w:ascii="仿宋" w:hAnsi="仿宋" w:eastAsia="仿宋"/>
          <w:b/>
          <w:sz w:val="24"/>
        </w:rPr>
        <w:t xml:space="preserve">2.7 </w:t>
      </w:r>
      <w:r>
        <w:rPr>
          <w:rFonts w:hint="eastAsia" w:ascii="仿宋" w:hAnsi="仿宋" w:eastAsia="仿宋"/>
          <w:b/>
          <w:sz w:val="24"/>
        </w:rPr>
        <w:t>质量保证</w:t>
      </w:r>
      <w:bookmarkEnd w:id="481"/>
    </w:p>
    <w:p>
      <w:pPr>
        <w:spacing w:line="560" w:lineRule="exact"/>
        <w:ind w:firstLine="480" w:firstLineChars="200"/>
        <w:rPr>
          <w:rFonts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sz w:val="24"/>
        </w:rPr>
      </w:pPr>
      <w:bookmarkStart w:id="482" w:name="_Toc17244"/>
      <w:bookmarkStart w:id="483" w:name="_Toc487900362"/>
      <w:bookmarkStart w:id="484" w:name="_Toc279701252"/>
      <w:bookmarkStart w:id="485" w:name="_Toc259093681"/>
      <w:r>
        <w:rPr>
          <w:rFonts w:ascii="仿宋" w:hAnsi="仿宋" w:eastAsia="仿宋"/>
          <w:b/>
          <w:sz w:val="24"/>
        </w:rPr>
        <w:t xml:space="preserve">2.8 </w:t>
      </w:r>
      <w:r>
        <w:rPr>
          <w:rFonts w:hint="eastAsia" w:ascii="仿宋" w:hAnsi="仿宋" w:eastAsia="仿宋"/>
          <w:b/>
          <w:sz w:val="24"/>
        </w:rPr>
        <w:t>货物的风险负担</w:t>
      </w:r>
      <w:bookmarkEnd w:id="482"/>
    </w:p>
    <w:p>
      <w:pPr>
        <w:spacing w:line="560" w:lineRule="exact"/>
        <w:ind w:firstLine="480" w:firstLineChars="200"/>
        <w:rPr>
          <w:rFonts w:ascii="仿宋" w:hAnsi="仿宋" w:eastAsia="仿宋"/>
          <w:b/>
          <w:sz w:val="24"/>
        </w:rPr>
      </w:pPr>
      <w:r>
        <w:rPr>
          <w:rFonts w:hint="eastAsia" w:ascii="仿宋" w:hAnsi="仿宋" w:eastAsia="仿宋"/>
          <w:sz w:val="24"/>
        </w:rPr>
        <w:t>货物或者在途货物或者交付给第一承运人后的货物毁损、灭失的风险负担详见</w:t>
      </w:r>
      <w:r>
        <w:rPr>
          <w:rFonts w:hint="eastAsia" w:ascii="仿宋" w:hAnsi="仿宋" w:eastAsia="仿宋"/>
          <w:b/>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86" w:name="_Toc14055"/>
      <w:r>
        <w:rPr>
          <w:rFonts w:ascii="仿宋" w:hAnsi="仿宋" w:eastAsia="仿宋"/>
          <w:b/>
          <w:sz w:val="24"/>
        </w:rPr>
        <w:t xml:space="preserve">2.9 </w:t>
      </w:r>
      <w:r>
        <w:rPr>
          <w:rFonts w:hint="eastAsia" w:ascii="仿宋" w:hAnsi="仿宋" w:eastAsia="仿宋"/>
          <w:b/>
          <w:sz w:val="24"/>
        </w:rPr>
        <w:t>延迟交货</w:t>
      </w:r>
      <w:bookmarkEnd w:id="483"/>
      <w:bookmarkEnd w:id="484"/>
      <w:bookmarkEnd w:id="485"/>
      <w:bookmarkEnd w:id="486"/>
    </w:p>
    <w:p>
      <w:pPr>
        <w:spacing w:line="560" w:lineRule="exact"/>
        <w:ind w:firstLine="480" w:firstLineChars="200"/>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sz w:val="24"/>
        </w:rPr>
      </w:pPr>
      <w:bookmarkStart w:id="487" w:name="_Toc7502"/>
      <w:bookmarkStart w:id="488" w:name="_Toc487900364"/>
      <w:bookmarkStart w:id="489" w:name="_Toc279701254"/>
      <w:bookmarkStart w:id="490" w:name="_Toc259093683"/>
      <w:bookmarkStart w:id="491" w:name="_Ref467378121"/>
      <w:r>
        <w:rPr>
          <w:rFonts w:ascii="仿宋" w:hAnsi="仿宋" w:eastAsia="仿宋"/>
          <w:b/>
          <w:sz w:val="24"/>
        </w:rPr>
        <w:t xml:space="preserve">2.10 </w:t>
      </w:r>
      <w:r>
        <w:rPr>
          <w:rFonts w:hint="eastAsia" w:ascii="仿宋" w:hAnsi="仿宋" w:eastAsia="仿宋"/>
          <w:b/>
          <w:sz w:val="24"/>
        </w:rPr>
        <w:t>合同变更</w:t>
      </w:r>
      <w:bookmarkEnd w:id="487"/>
    </w:p>
    <w:p>
      <w:pPr>
        <w:spacing w:line="560" w:lineRule="exact"/>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bookmarkStart w:id="492" w:name="_Toc279701259"/>
      <w:bookmarkStart w:id="493" w:name="_Toc487900369"/>
      <w:bookmarkStart w:id="494" w:name="_Toc259093688"/>
    </w:p>
    <w:p>
      <w:pPr>
        <w:spacing w:line="560" w:lineRule="exact"/>
        <w:ind w:firstLine="482" w:firstLineChars="200"/>
        <w:outlineLvl w:val="0"/>
        <w:rPr>
          <w:rFonts w:ascii="仿宋" w:hAnsi="仿宋" w:eastAsia="仿宋"/>
          <w:b/>
          <w:sz w:val="24"/>
        </w:rPr>
      </w:pPr>
      <w:bookmarkStart w:id="495" w:name="_Toc15237"/>
      <w:bookmarkStart w:id="496" w:name="_Toc10366"/>
      <w:bookmarkStart w:id="497" w:name="_Toc22955"/>
      <w:r>
        <w:rPr>
          <w:rFonts w:ascii="仿宋" w:hAnsi="仿宋" w:eastAsia="仿宋"/>
          <w:b/>
          <w:sz w:val="24"/>
        </w:rPr>
        <w:t xml:space="preserve">2.11 </w:t>
      </w:r>
      <w:r>
        <w:rPr>
          <w:rFonts w:hint="eastAsia" w:ascii="仿宋" w:hAnsi="仿宋" w:eastAsia="仿宋"/>
          <w:b/>
          <w:sz w:val="24"/>
        </w:rPr>
        <w:t>合同转让</w:t>
      </w:r>
      <w:bookmarkEnd w:id="492"/>
      <w:bookmarkEnd w:id="493"/>
      <w:bookmarkEnd w:id="494"/>
      <w:r>
        <w:rPr>
          <w:rFonts w:hint="eastAsia" w:ascii="仿宋" w:hAnsi="仿宋" w:eastAsia="仿宋"/>
          <w:b/>
          <w:sz w:val="24"/>
        </w:rPr>
        <w:t>和分包</w:t>
      </w:r>
      <w:bookmarkEnd w:id="495"/>
      <w:bookmarkEnd w:id="496"/>
      <w:bookmarkEnd w:id="497"/>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rPr>
      </w:pPr>
      <w:r>
        <w:rPr>
          <w:rFonts w:ascii="仿宋" w:hAnsi="仿宋" w:eastAsia="仿宋"/>
          <w:sz w:val="24"/>
        </w:rPr>
        <w:t>2.11.2乙方采取分包方式履行合同的，甲方可直接向分包供应商支付款项。</w:t>
      </w:r>
    </w:p>
    <w:p>
      <w:pPr>
        <w:spacing w:line="560" w:lineRule="exact"/>
        <w:ind w:firstLine="482" w:firstLineChars="200"/>
        <w:outlineLvl w:val="0"/>
        <w:rPr>
          <w:rFonts w:ascii="仿宋" w:hAnsi="仿宋" w:eastAsia="仿宋"/>
          <w:b/>
          <w:sz w:val="24"/>
        </w:rPr>
      </w:pPr>
      <w:bookmarkStart w:id="498" w:name="_Toc16508"/>
      <w:bookmarkStart w:id="499" w:name="_Toc13566"/>
      <w:bookmarkStart w:id="500" w:name="_Toc14066"/>
      <w:r>
        <w:rPr>
          <w:rFonts w:ascii="仿宋" w:hAnsi="仿宋" w:eastAsia="仿宋"/>
          <w:b/>
          <w:sz w:val="24"/>
        </w:rPr>
        <w:t xml:space="preserve">2.12 </w:t>
      </w:r>
      <w:r>
        <w:rPr>
          <w:rFonts w:hint="eastAsia" w:ascii="仿宋" w:hAnsi="仿宋" w:eastAsia="仿宋"/>
          <w:b/>
          <w:sz w:val="24"/>
        </w:rPr>
        <w:t>不可抗力</w:t>
      </w:r>
      <w:bookmarkEnd w:id="498"/>
      <w:bookmarkEnd w:id="499"/>
      <w:bookmarkEnd w:id="500"/>
    </w:p>
    <w:p>
      <w:pPr>
        <w:spacing w:line="560" w:lineRule="exact"/>
        <w:ind w:firstLine="480" w:firstLineChars="200"/>
        <w:rPr>
          <w:rFonts w:ascii="仿宋" w:hAnsi="仿宋" w:eastAsia="仿宋"/>
          <w:sz w:val="24"/>
        </w:rPr>
      </w:pPr>
      <w:r>
        <w:rPr>
          <w:rFonts w:ascii="仿宋" w:hAnsi="仿宋" w:eastAsia="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rPr>
      </w:pPr>
      <w:r>
        <w:rPr>
          <w:rFonts w:ascii="仿宋" w:hAnsi="仿宋" w:eastAsia="仿宋"/>
          <w:sz w:val="24"/>
        </w:rPr>
        <w:t xml:space="preserve">2.12.2 </w:t>
      </w:r>
      <w:r>
        <w:rPr>
          <w:rFonts w:hint="eastAsia" w:ascii="仿宋" w:hAnsi="仿宋" w:eastAsia="仿宋"/>
          <w:sz w:val="24"/>
        </w:rPr>
        <w:t>因不可抗力致使不能实现合同目的的，当事人可以解除合同；</w:t>
      </w:r>
    </w:p>
    <w:p>
      <w:pPr>
        <w:spacing w:line="560" w:lineRule="exact"/>
        <w:ind w:firstLine="480" w:firstLineChars="200"/>
        <w:rPr>
          <w:rFonts w:ascii="仿宋" w:hAnsi="仿宋" w:eastAsia="仿宋"/>
          <w:sz w:val="24"/>
        </w:rPr>
      </w:pPr>
      <w:r>
        <w:rPr>
          <w:rFonts w:ascii="仿宋" w:hAnsi="仿宋" w:eastAsia="仿宋"/>
          <w:sz w:val="24"/>
        </w:rPr>
        <w:t xml:space="preserve">2.12.3 </w:t>
      </w:r>
      <w:r>
        <w:rPr>
          <w:rFonts w:hint="eastAsia" w:ascii="仿宋" w:hAnsi="仿宋" w:eastAsia="仿宋"/>
          <w:sz w:val="24"/>
        </w:rPr>
        <w:t>因不可抗力致使合同有变更必要的，双方当事人应在</w:t>
      </w:r>
      <w:r>
        <w:rPr>
          <w:rFonts w:hint="eastAsia" w:ascii="仿宋" w:hAnsi="仿宋" w:eastAsia="仿宋"/>
          <w:b/>
          <w:sz w:val="24"/>
          <w:u w:val="single"/>
        </w:rPr>
        <w:t>合同专用条款</w:t>
      </w:r>
      <w:r>
        <w:rPr>
          <w:rFonts w:hint="eastAsia" w:ascii="仿宋" w:hAnsi="仿宋" w:eastAsia="仿宋"/>
          <w:sz w:val="24"/>
        </w:rPr>
        <w:t>约定时间内以书面形式变更合同；</w:t>
      </w:r>
    </w:p>
    <w:p>
      <w:pPr>
        <w:spacing w:line="560" w:lineRule="exact"/>
        <w:ind w:firstLine="480" w:firstLineChars="200"/>
        <w:rPr>
          <w:rFonts w:ascii="仿宋" w:hAnsi="仿宋" w:eastAsia="仿宋"/>
          <w:sz w:val="24"/>
        </w:rPr>
      </w:pPr>
      <w:r>
        <w:rPr>
          <w:rFonts w:ascii="仿宋" w:hAnsi="仿宋" w:eastAsia="仿宋"/>
          <w:sz w:val="24"/>
        </w:rPr>
        <w:t>2.12.4受不可抗力影响的一方在不可抗力发生后，应在</w:t>
      </w:r>
      <w:r>
        <w:rPr>
          <w:rFonts w:hint="eastAsia" w:ascii="仿宋" w:hAnsi="仿宋" w:eastAsia="仿宋"/>
          <w:b/>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sz w:val="24"/>
          <w:u w:val="single"/>
        </w:rPr>
        <w:t>合同专用条款</w:t>
      </w:r>
      <w:r>
        <w:rPr>
          <w:rFonts w:hint="eastAsia" w:ascii="仿宋" w:hAnsi="仿宋" w:eastAsia="仿宋"/>
          <w:sz w:val="24"/>
        </w:rPr>
        <w:t>约定时间内，将有关部门出具的证明文件送达对方当事人。</w:t>
      </w:r>
    </w:p>
    <w:p>
      <w:pPr>
        <w:spacing w:line="560" w:lineRule="exact"/>
        <w:ind w:firstLine="482" w:firstLineChars="200"/>
        <w:outlineLvl w:val="0"/>
        <w:rPr>
          <w:rFonts w:ascii="仿宋" w:hAnsi="仿宋" w:eastAsia="仿宋"/>
          <w:b/>
          <w:sz w:val="24"/>
        </w:rPr>
      </w:pPr>
      <w:bookmarkStart w:id="501" w:name="_Toc6969"/>
      <w:bookmarkStart w:id="502" w:name="_Toc30676"/>
      <w:bookmarkStart w:id="503" w:name="_Toc689"/>
      <w:bookmarkStart w:id="504" w:name="_Toc259093684"/>
      <w:bookmarkStart w:id="505" w:name="_Toc279701255"/>
      <w:bookmarkStart w:id="506" w:name="_Toc487900365"/>
      <w:r>
        <w:rPr>
          <w:rFonts w:ascii="仿宋" w:hAnsi="仿宋" w:eastAsia="仿宋"/>
          <w:b/>
          <w:sz w:val="24"/>
        </w:rPr>
        <w:t xml:space="preserve">2.13 </w:t>
      </w:r>
      <w:r>
        <w:rPr>
          <w:rFonts w:hint="eastAsia" w:ascii="仿宋" w:hAnsi="仿宋" w:eastAsia="仿宋"/>
          <w:b/>
          <w:sz w:val="24"/>
        </w:rPr>
        <w:t>税费</w:t>
      </w:r>
      <w:bookmarkEnd w:id="501"/>
      <w:bookmarkEnd w:id="502"/>
      <w:bookmarkEnd w:id="503"/>
      <w:bookmarkEnd w:id="504"/>
      <w:bookmarkEnd w:id="505"/>
      <w:bookmarkEnd w:id="506"/>
    </w:p>
    <w:p>
      <w:pPr>
        <w:spacing w:line="560" w:lineRule="exact"/>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spacing w:line="560" w:lineRule="exact"/>
        <w:ind w:firstLine="482" w:firstLineChars="200"/>
        <w:outlineLvl w:val="0"/>
        <w:rPr>
          <w:rFonts w:ascii="仿宋" w:hAnsi="仿宋" w:eastAsia="仿宋"/>
          <w:b/>
          <w:sz w:val="24"/>
        </w:rPr>
      </w:pPr>
      <w:bookmarkStart w:id="507" w:name="_Toc487900368"/>
      <w:bookmarkStart w:id="508" w:name="_Toc279701258"/>
      <w:bookmarkStart w:id="509" w:name="_Toc16959"/>
      <w:bookmarkStart w:id="510" w:name="_Toc7102"/>
      <w:bookmarkStart w:id="511" w:name="_Toc8298"/>
      <w:bookmarkStart w:id="512" w:name="_Toc259093687"/>
      <w:r>
        <w:rPr>
          <w:rFonts w:ascii="仿宋" w:hAnsi="仿宋" w:eastAsia="仿宋"/>
          <w:b/>
          <w:sz w:val="24"/>
        </w:rPr>
        <w:t>2.14乙方破产</w:t>
      </w:r>
      <w:bookmarkEnd w:id="507"/>
      <w:bookmarkEnd w:id="508"/>
      <w:bookmarkEnd w:id="509"/>
      <w:bookmarkEnd w:id="510"/>
      <w:bookmarkEnd w:id="511"/>
      <w:bookmarkEnd w:id="512"/>
    </w:p>
    <w:p>
      <w:pPr>
        <w:spacing w:line="560" w:lineRule="exact"/>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rPr>
      </w:pPr>
      <w:bookmarkStart w:id="513" w:name="_Toc29333"/>
      <w:bookmarkStart w:id="514" w:name="_Toc15387"/>
      <w:bookmarkStart w:id="515" w:name="_Toc6134"/>
      <w:r>
        <w:rPr>
          <w:rFonts w:ascii="仿宋" w:hAnsi="仿宋" w:eastAsia="仿宋"/>
          <w:b/>
          <w:sz w:val="24"/>
        </w:rPr>
        <w:t xml:space="preserve">2.15 </w:t>
      </w:r>
      <w:r>
        <w:rPr>
          <w:rFonts w:hint="eastAsia" w:ascii="仿宋" w:hAnsi="仿宋" w:eastAsia="仿宋"/>
          <w:b/>
          <w:sz w:val="24"/>
        </w:rPr>
        <w:t>合同中止、终止</w:t>
      </w:r>
      <w:bookmarkEnd w:id="513"/>
      <w:bookmarkEnd w:id="514"/>
      <w:bookmarkEnd w:id="515"/>
    </w:p>
    <w:p>
      <w:pPr>
        <w:spacing w:line="560" w:lineRule="exact"/>
        <w:ind w:firstLine="480" w:firstLineChars="200"/>
        <w:rPr>
          <w:rFonts w:ascii="仿宋" w:hAnsi="仿宋" w:eastAsia="仿宋"/>
          <w:sz w:val="24"/>
        </w:rPr>
      </w:pPr>
      <w:r>
        <w:rPr>
          <w:rFonts w:ascii="仿宋" w:hAnsi="仿宋" w:eastAsia="仿宋"/>
          <w:sz w:val="24"/>
        </w:rPr>
        <w:t xml:space="preserve">2.15.1 </w:t>
      </w:r>
      <w:r>
        <w:rPr>
          <w:rFonts w:hint="eastAsia" w:ascii="仿宋" w:hAnsi="仿宋" w:eastAsia="仿宋"/>
          <w:sz w:val="24"/>
        </w:rPr>
        <w:t>双方当事人不得擅自中止或者终止合同；</w:t>
      </w:r>
    </w:p>
    <w:p>
      <w:pPr>
        <w:spacing w:line="560" w:lineRule="exact"/>
        <w:ind w:firstLine="480" w:firstLineChars="200"/>
        <w:rPr>
          <w:rFonts w:ascii="仿宋" w:hAnsi="仿宋" w:eastAsia="仿宋"/>
          <w:sz w:val="24"/>
        </w:rPr>
      </w:pPr>
      <w:r>
        <w:rPr>
          <w:rFonts w:ascii="仿宋" w:hAnsi="仿宋" w:eastAsia="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rPr>
      </w:pPr>
      <w:bookmarkStart w:id="516" w:name="_Toc14563"/>
      <w:bookmarkStart w:id="517" w:name="_Toc1125"/>
      <w:bookmarkStart w:id="518" w:name="_Toc6596"/>
      <w:r>
        <w:rPr>
          <w:rFonts w:ascii="仿宋" w:hAnsi="仿宋" w:eastAsia="仿宋"/>
          <w:b/>
          <w:sz w:val="24"/>
        </w:rPr>
        <w:t>2.16检验和验收</w:t>
      </w:r>
      <w:bookmarkEnd w:id="516"/>
      <w:bookmarkEnd w:id="517"/>
      <w:bookmarkEnd w:id="518"/>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2.16.1货物交付前，乙方应对货物的质量、数量等方面进行详细、全面的检验，并向甲方出具证明货物符合合同约定的文件；货物交付时，乙方在</w:t>
      </w:r>
      <w:r>
        <w:rPr>
          <w:rFonts w:hint="eastAsia" w:ascii="仿宋" w:hAnsi="仿宋" w:eastAsia="仿宋"/>
          <w:b/>
          <w:sz w:val="24"/>
          <w:u w:val="single"/>
        </w:rPr>
        <w:t>合同专用条款</w:t>
      </w:r>
      <w:r>
        <w:rPr>
          <w:rFonts w:hint="eastAsia" w:ascii="仿宋" w:hAnsi="仿宋" w:eastAsia="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 xml:space="preserve">2.16.3 </w:t>
      </w:r>
      <w:r>
        <w:rPr>
          <w:rFonts w:hint="eastAsia" w:ascii="仿宋" w:hAnsi="仿宋" w:eastAsia="仿宋"/>
          <w:sz w:val="24"/>
        </w:rPr>
        <w:t>检验和验收标准、程序等具体内容以及前述验收书的效力详见</w:t>
      </w:r>
      <w:r>
        <w:rPr>
          <w:rFonts w:hint="eastAsia" w:ascii="仿宋" w:hAnsi="仿宋" w:eastAsia="仿宋"/>
          <w:b/>
          <w:sz w:val="24"/>
          <w:u w:val="single"/>
        </w:rPr>
        <w:t>合同专用条款</w:t>
      </w:r>
      <w:r>
        <w:rPr>
          <w:rFonts w:hint="eastAsia" w:ascii="仿宋" w:hAnsi="仿宋" w:eastAsia="仿宋"/>
          <w:sz w:val="24"/>
        </w:rPr>
        <w:t>。</w:t>
      </w:r>
    </w:p>
    <w:bookmarkEnd w:id="488"/>
    <w:bookmarkEnd w:id="489"/>
    <w:bookmarkEnd w:id="490"/>
    <w:bookmarkEnd w:id="491"/>
    <w:p>
      <w:pPr>
        <w:spacing w:line="560" w:lineRule="exact"/>
        <w:ind w:firstLine="482" w:firstLineChars="200"/>
        <w:outlineLvl w:val="0"/>
        <w:rPr>
          <w:rFonts w:ascii="仿宋" w:hAnsi="仿宋" w:eastAsia="仿宋"/>
          <w:b/>
          <w:sz w:val="24"/>
        </w:rPr>
      </w:pPr>
      <w:bookmarkStart w:id="519" w:name="_Toc259093690"/>
      <w:bookmarkStart w:id="520" w:name="_Toc279701261"/>
      <w:bookmarkStart w:id="521" w:name="_Toc487900371"/>
      <w:bookmarkStart w:id="522" w:name="_Toc25182"/>
      <w:bookmarkStart w:id="523" w:name="_Toc11284"/>
      <w:bookmarkStart w:id="524" w:name="_Toc19604"/>
      <w:r>
        <w:rPr>
          <w:rFonts w:ascii="仿宋" w:hAnsi="仿宋" w:eastAsia="仿宋"/>
          <w:b/>
          <w:sz w:val="24"/>
        </w:rPr>
        <w:t xml:space="preserve">2.17 </w:t>
      </w:r>
      <w:r>
        <w:rPr>
          <w:rFonts w:hint="eastAsia" w:ascii="仿宋" w:hAnsi="仿宋" w:eastAsia="仿宋"/>
          <w:b/>
          <w:sz w:val="24"/>
        </w:rPr>
        <w:t>通知</w:t>
      </w:r>
      <w:bookmarkEnd w:id="519"/>
      <w:bookmarkEnd w:id="520"/>
      <w:bookmarkEnd w:id="521"/>
      <w:r>
        <w:rPr>
          <w:rFonts w:hint="eastAsia" w:ascii="仿宋" w:hAnsi="仿宋" w:eastAsia="仿宋"/>
          <w:b/>
          <w:sz w:val="24"/>
        </w:rPr>
        <w:t>和送达</w:t>
      </w:r>
      <w:bookmarkEnd w:id="522"/>
      <w:bookmarkEnd w:id="523"/>
      <w:bookmarkEnd w:id="524"/>
    </w:p>
    <w:p>
      <w:pPr>
        <w:spacing w:line="560" w:lineRule="exact"/>
        <w:ind w:firstLine="480" w:firstLineChars="200"/>
        <w:rPr>
          <w:rFonts w:ascii="仿宋" w:hAnsi="仿宋" w:eastAsia="仿宋"/>
          <w:sz w:val="24"/>
        </w:rPr>
      </w:pPr>
      <w:bookmarkStart w:id="525" w:name="_Toc6698"/>
      <w:bookmarkStart w:id="526" w:name="_Toc3135"/>
      <w:bookmarkStart w:id="527" w:name="_Toc279701262"/>
      <w:bookmarkStart w:id="528" w:name="_Toc259093691"/>
      <w:bookmarkStart w:id="529" w:name="_Toc487900372"/>
      <w:r>
        <w:rPr>
          <w:rFonts w:ascii="仿宋" w:hAnsi="仿宋" w:eastAsia="仿宋"/>
          <w:sz w:val="24"/>
        </w:rPr>
        <w:t>2.17.1</w:t>
      </w:r>
      <w:r>
        <w:rPr>
          <w:rFonts w:hint="eastAsia" w:ascii="仿宋" w:hAnsi="仿宋" w:eastAsia="仿宋"/>
          <w:sz w:val="24"/>
        </w:rPr>
        <w:t>任何一方因履行合同而以合同第一部分尾部所列明的传真或电子邮件</w:t>
      </w:r>
      <w:r>
        <w:rPr>
          <w:rFonts w:ascii="仿宋" w:hAnsi="仿宋" w:eastAsia="仿宋"/>
          <w:sz w:val="24"/>
        </w:rPr>
        <w:t xml:space="preserve"> </w:t>
      </w:r>
      <w:r>
        <w:rPr>
          <w:rFonts w:ascii="仿宋" w:hAnsi="仿宋" w:eastAsia="仿宋"/>
          <w:sz w:val="24"/>
          <w:u w:val="single"/>
        </w:rPr>
        <w:t xml:space="preserve">       </w:t>
      </w:r>
      <w:r>
        <w:rPr>
          <w:rFonts w:hint="eastAsia" w:ascii="仿宋" w:hAnsi="仿宋" w:eastAsia="仿宋"/>
          <w:sz w:val="24"/>
        </w:rPr>
        <w:t>发出的所有通知、文件、材料，均视为已向对方当事人送达；任何一方变更上述送达方式或者地址的，应于</w:t>
      </w:r>
      <w:r>
        <w:rPr>
          <w:rFonts w:hint="eastAsia"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bookmarkEnd w:id="525"/>
      <w:bookmarkEnd w:id="526"/>
    </w:p>
    <w:p>
      <w:pPr>
        <w:spacing w:line="560" w:lineRule="exact"/>
        <w:ind w:firstLine="480" w:firstLineChars="200"/>
        <w:rPr>
          <w:rFonts w:ascii="仿宋" w:hAnsi="仿宋" w:eastAsia="仿宋"/>
          <w:sz w:val="24"/>
        </w:rPr>
      </w:pPr>
      <w:bookmarkStart w:id="530" w:name="_Toc23128"/>
      <w:bookmarkStart w:id="531" w:name="_Toc23294"/>
      <w:r>
        <w:rPr>
          <w:rFonts w:ascii="仿宋" w:hAnsi="仿宋" w:eastAsia="仿宋"/>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530"/>
      <w:bookmarkEnd w:id="531"/>
    </w:p>
    <w:p>
      <w:pPr>
        <w:spacing w:line="560" w:lineRule="exact"/>
        <w:ind w:firstLine="482" w:firstLineChars="200"/>
        <w:outlineLvl w:val="0"/>
        <w:rPr>
          <w:rFonts w:ascii="仿宋" w:hAnsi="仿宋" w:eastAsia="仿宋"/>
          <w:b/>
          <w:sz w:val="24"/>
        </w:rPr>
      </w:pPr>
      <w:bookmarkStart w:id="532" w:name="_Toc18540"/>
      <w:bookmarkStart w:id="533" w:name="_Toc4355"/>
      <w:bookmarkStart w:id="534" w:name="_Toc30599"/>
      <w:r>
        <w:rPr>
          <w:rFonts w:ascii="仿宋" w:hAnsi="仿宋" w:eastAsia="仿宋"/>
          <w:b/>
          <w:sz w:val="24"/>
        </w:rPr>
        <w:t xml:space="preserve">2.18 </w:t>
      </w:r>
      <w:r>
        <w:rPr>
          <w:rFonts w:hint="eastAsia" w:ascii="仿宋" w:hAnsi="仿宋" w:eastAsia="仿宋"/>
          <w:b/>
          <w:sz w:val="24"/>
        </w:rPr>
        <w:t>计量单位</w:t>
      </w:r>
      <w:bookmarkEnd w:id="527"/>
      <w:bookmarkEnd w:id="528"/>
      <w:bookmarkEnd w:id="529"/>
      <w:bookmarkEnd w:id="532"/>
      <w:bookmarkEnd w:id="533"/>
      <w:bookmarkEnd w:id="534"/>
    </w:p>
    <w:p>
      <w:pPr>
        <w:spacing w:line="560" w:lineRule="exact"/>
        <w:ind w:firstLine="480" w:firstLineChars="200"/>
        <w:rPr>
          <w:rFonts w:ascii="仿宋" w:hAnsi="仿宋" w:eastAsia="仿宋"/>
          <w:sz w:val="24"/>
        </w:rPr>
      </w:pPr>
      <w:r>
        <w:rPr>
          <w:rFonts w:hint="eastAsia" w:ascii="仿宋" w:hAnsi="仿宋" w:eastAsia="仿宋"/>
          <w:sz w:val="24"/>
        </w:rPr>
        <w:t>除技术规范中另有规定外</w:t>
      </w:r>
      <w:r>
        <w:rPr>
          <w:rFonts w:ascii="仿宋" w:hAnsi="仿宋" w:eastAsia="仿宋"/>
          <w:sz w:val="24"/>
        </w:rPr>
        <w:t>,合同的计量单位均使用国家法定计量单位。</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535" w:name="_Toc10330"/>
      <w:bookmarkStart w:id="536" w:name="_Toc279701263"/>
      <w:bookmarkStart w:id="537" w:name="_Toc12773"/>
      <w:bookmarkStart w:id="538" w:name="_Toc18567"/>
      <w:bookmarkStart w:id="539" w:name="_Toc259093692"/>
      <w:bookmarkStart w:id="540" w:name="_Toc487900373"/>
      <w:r>
        <w:rPr>
          <w:rFonts w:ascii="仿宋" w:hAnsi="仿宋" w:eastAsia="仿宋"/>
          <w:b/>
          <w:sz w:val="24"/>
        </w:rPr>
        <w:t>2.</w:t>
      </w:r>
      <w:r>
        <w:rPr>
          <w:rFonts w:ascii="仿宋" w:hAnsi="仿宋" w:eastAsia="仿宋"/>
          <w:b/>
          <w:color w:val="000000" w:themeColor="text1"/>
          <w:sz w:val="24"/>
          <w14:textFill>
            <w14:solidFill>
              <w14:schemeClr w14:val="tx1"/>
            </w14:solidFill>
          </w14:textFill>
        </w:rPr>
        <w:t xml:space="preserve">19 </w:t>
      </w:r>
      <w:r>
        <w:rPr>
          <w:rFonts w:hint="eastAsia" w:ascii="仿宋" w:hAnsi="仿宋" w:eastAsia="仿宋"/>
          <w:b/>
          <w:color w:val="000000" w:themeColor="text1"/>
          <w:sz w:val="24"/>
          <w14:textFill>
            <w14:solidFill>
              <w14:schemeClr w14:val="tx1"/>
            </w14:solidFill>
          </w14:textFill>
        </w:rPr>
        <w:t>合同使用的文字和适用的法律</w:t>
      </w:r>
      <w:bookmarkEnd w:id="535"/>
      <w:bookmarkEnd w:id="536"/>
      <w:bookmarkEnd w:id="537"/>
      <w:bookmarkEnd w:id="538"/>
      <w:bookmarkEnd w:id="539"/>
      <w:bookmarkEnd w:id="540"/>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2.19.1 </w:t>
      </w:r>
      <w:r>
        <w:rPr>
          <w:rFonts w:hint="eastAsia" w:ascii="仿宋" w:hAnsi="仿宋" w:eastAsia="仿宋"/>
          <w:color w:val="000000" w:themeColor="text1"/>
          <w:sz w:val="24"/>
          <w14:textFill>
            <w14:solidFill>
              <w14:schemeClr w14:val="tx1"/>
            </w14:solidFill>
          </w14:textFill>
        </w:rPr>
        <w:t>合同使用汉语书就、变更和解释；</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2.19.2 </w:t>
      </w:r>
      <w:r>
        <w:rPr>
          <w:rFonts w:hint="eastAsia" w:ascii="仿宋" w:hAnsi="仿宋" w:eastAsia="仿宋"/>
          <w:color w:val="000000" w:themeColor="text1"/>
          <w:sz w:val="24"/>
          <w14:textFill>
            <w14:solidFill>
              <w14:schemeClr w14:val="tx1"/>
            </w14:solidFill>
          </w14:textFill>
        </w:rPr>
        <w:t>合同适用中华人民共和国法律。</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541" w:name="_Toc279701264"/>
      <w:bookmarkStart w:id="542" w:name="_Toc3148"/>
      <w:bookmarkStart w:id="543" w:name="_Toc259093693"/>
      <w:bookmarkStart w:id="544" w:name="_Toc12004"/>
      <w:bookmarkStart w:id="545" w:name="_Toc16673"/>
      <w:bookmarkStart w:id="546" w:name="_Toc487900374"/>
      <w:r>
        <w:rPr>
          <w:rFonts w:ascii="仿宋" w:hAnsi="仿宋" w:eastAsia="仿宋"/>
          <w:b/>
          <w:color w:val="000000" w:themeColor="text1"/>
          <w:sz w:val="24"/>
          <w14:textFill>
            <w14:solidFill>
              <w14:schemeClr w14:val="tx1"/>
            </w14:solidFill>
          </w14:textFill>
        </w:rPr>
        <w:t xml:space="preserve">2.20 </w:t>
      </w:r>
      <w:r>
        <w:rPr>
          <w:rFonts w:hint="eastAsia" w:ascii="仿宋" w:hAnsi="仿宋" w:eastAsia="仿宋"/>
          <w:b/>
          <w:color w:val="000000" w:themeColor="text1"/>
          <w:sz w:val="24"/>
          <w14:textFill>
            <w14:solidFill>
              <w14:schemeClr w14:val="tx1"/>
            </w14:solidFill>
          </w14:textFill>
        </w:rPr>
        <w:t>履约保证金</w:t>
      </w:r>
      <w:bookmarkEnd w:id="541"/>
      <w:bookmarkEnd w:id="542"/>
      <w:bookmarkEnd w:id="543"/>
      <w:bookmarkEnd w:id="544"/>
      <w:bookmarkEnd w:id="545"/>
    </w:p>
    <w:p>
      <w:pPr>
        <w:pStyle w:val="619"/>
        <w:spacing w:before="0" w:beforeAutospacing="0" w:after="0" w:afterAutospacing="0" w:line="360" w:lineRule="auto"/>
        <w:ind w:firstLine="42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 xml:space="preserve">2.20.1 </w:t>
      </w:r>
      <w:r>
        <w:rPr>
          <w:rFonts w:hint="eastAsia" w:ascii="仿宋" w:hAnsi="仿宋" w:eastAsia="仿宋"/>
          <w:color w:val="000000" w:themeColor="text1"/>
          <w14:textFill>
            <w14:solidFill>
              <w14:schemeClr w14:val="tx1"/>
            </w14:solidFill>
          </w14:textFill>
        </w:rPr>
        <w:t>采购文件要求乙方提交履约保证金的，乙方应按</w:t>
      </w:r>
      <w:r>
        <w:rPr>
          <w:rFonts w:hint="eastAsia" w:ascii="仿宋" w:hAnsi="仿宋" w:eastAsia="仿宋"/>
          <w:b/>
          <w:color w:val="000000" w:themeColor="text1"/>
          <w:u w:val="single"/>
          <w14:textFill>
            <w14:solidFill>
              <w14:schemeClr w14:val="tx1"/>
            </w14:solidFill>
          </w14:textFill>
        </w:rPr>
        <w:t>合同专用条款</w:t>
      </w:r>
      <w:r>
        <w:rPr>
          <w:rFonts w:hint="eastAsia" w:ascii="仿宋" w:hAnsi="仿宋" w:eastAsia="仿宋"/>
          <w:color w:val="000000" w:themeColor="text1"/>
          <w14:textFill>
            <w14:solidFill>
              <w14:schemeClr w14:val="tx1"/>
            </w14:solidFill>
          </w14:textFill>
        </w:rPr>
        <w:t>约定的方式，以支票、汇票、本票或者金融机构、担保机构出具的保函等非现金形式，提交不超过合同金额</w:t>
      </w:r>
      <w:r>
        <w:rPr>
          <w:rFonts w:ascii="仿宋" w:hAnsi="仿宋" w:eastAsia="仿宋"/>
          <w:color w:val="000000" w:themeColor="text1"/>
          <w14:textFill>
            <w14:solidFill>
              <w14:schemeClr w14:val="tx1"/>
            </w14:solidFill>
          </w14:textFill>
        </w:rPr>
        <w:t>5%的履约保证金；鼓励和支持乙方以银行、保险公司出具的保函形式提供履约保证。</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2.20.2  </w:t>
      </w:r>
      <w:r>
        <w:rPr>
          <w:rFonts w:hint="eastAsia" w:ascii="仿宋" w:hAnsi="仿宋" w:eastAsia="仿宋"/>
          <w:color w:val="000000" w:themeColor="text1"/>
          <w:sz w:val="24"/>
          <w14:textFill>
            <w14:solidFill>
              <w14:schemeClr w14:val="tx1"/>
            </w14:solidFill>
          </w14:textFill>
        </w:rPr>
        <w:t>履约保证金在</w:t>
      </w:r>
      <w:r>
        <w:rPr>
          <w:rFonts w:hint="eastAsia" w:ascii="仿宋" w:hAnsi="仿宋" w:eastAsia="仿宋"/>
          <w:b/>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约定期间内不予退还。乙方在前述约定期间届满前能履行完合同约定义务事项的，甲方在前述约定期间届满之日起</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5</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个工作日内，按</w:t>
      </w:r>
      <w:r>
        <w:rPr>
          <w:rFonts w:hint="eastAsia" w:ascii="仿宋" w:hAnsi="仿宋" w:eastAsia="仿宋"/>
          <w:b/>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约定的方式将履约保证金退还乙方，逾期退还的，乙方可要求甲方支付违约金，违约金按每迟延退还一日的应退还而未退还金额的</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0.05</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%计算，最高限额为本合同履约保证金的</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20</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p>
    <w:p>
      <w:pPr>
        <w:spacing w:line="560" w:lineRule="exact"/>
        <w:ind w:firstLine="480" w:firstLineChars="200"/>
        <w:rPr>
          <w:rFonts w:ascii="仿宋" w:hAnsi="仿宋" w:eastAsia="仿宋"/>
          <w:sz w:val="24"/>
        </w:rPr>
      </w:pPr>
      <w:r>
        <w:rPr>
          <w:rFonts w:ascii="仿宋" w:hAnsi="仿宋" w:eastAsia="仿宋"/>
          <w:sz w:val="24"/>
        </w:rPr>
        <w:t xml:space="preserve">2.20.3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0</w:t>
      </w:r>
      <w:r>
        <w:rPr>
          <w:rFonts w:ascii="仿宋" w:hAnsi="仿宋" w:eastAsia="仿宋"/>
          <w:sz w:val="24"/>
        </w:rPr>
        <w:t>.4</w:t>
      </w:r>
      <w:r>
        <w:rPr>
          <w:rFonts w:hint="eastAsia" w:ascii="仿宋" w:hAnsi="仿宋" w:eastAsia="仿宋"/>
          <w:sz w:val="24"/>
        </w:rPr>
        <w:t> 甲方根据杭州市政府采购网公布的供应商履约评价情况减免履约保证金。乙方履约验收评价总分为</w:t>
      </w:r>
      <w:r>
        <w:rPr>
          <w:rFonts w:ascii="仿宋" w:hAnsi="仿宋" w:eastAsia="仿宋"/>
          <w:sz w:val="24"/>
        </w:rPr>
        <w:t>100分的，甲方免收履约保证金；评价总分在90分以上的，收取履约保证金</w:t>
      </w:r>
      <w:r>
        <w:rPr>
          <w:rFonts w:hint="eastAsia" w:ascii="仿宋" w:hAnsi="仿宋" w:eastAsia="仿宋"/>
          <w:sz w:val="24"/>
        </w:rPr>
        <w:t>为</w:t>
      </w:r>
      <w:r>
        <w:rPr>
          <w:rFonts w:ascii="仿宋" w:hAnsi="仿宋" w:eastAsia="仿宋"/>
          <w:sz w:val="24"/>
        </w:rPr>
        <w:t>合同金额2%；评价总分在不满90分或者暂无评分的，收取履约保证金</w:t>
      </w:r>
      <w:r>
        <w:rPr>
          <w:rFonts w:hint="eastAsia" w:ascii="仿宋" w:hAnsi="仿宋" w:eastAsia="仿宋"/>
          <w:sz w:val="24"/>
        </w:rPr>
        <w:t>为</w:t>
      </w:r>
      <w:r>
        <w:rPr>
          <w:rFonts w:ascii="仿宋" w:hAnsi="仿宋" w:eastAsia="仿宋"/>
          <w:sz w:val="24"/>
        </w:rPr>
        <w:t>合同金额5%。</w:t>
      </w:r>
    </w:p>
    <w:p>
      <w:pPr>
        <w:spacing w:line="560" w:lineRule="exact"/>
        <w:ind w:firstLine="480" w:firstLineChars="200"/>
      </w:pPr>
      <w:r>
        <w:rPr>
          <w:rFonts w:ascii="仿宋" w:hAnsi="仿宋" w:eastAsia="仿宋"/>
          <w:sz w:val="24"/>
        </w:rPr>
        <w:t>2.2</w:t>
      </w:r>
      <w:r>
        <w:rPr>
          <w:rFonts w:hint="eastAsia" w:ascii="仿宋" w:hAnsi="仿宋" w:eastAsia="仿宋"/>
          <w:sz w:val="24"/>
        </w:rPr>
        <w:t>0</w:t>
      </w:r>
      <w:r>
        <w:rPr>
          <w:rFonts w:ascii="仿宋" w:hAnsi="仿宋" w:eastAsia="仿宋"/>
          <w:sz w:val="24"/>
        </w:rPr>
        <w:t>.5</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560" w:lineRule="exact"/>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1</w:t>
      </w:r>
      <w:r>
        <w:rPr>
          <w:rFonts w:ascii="仿宋" w:hAnsi="仿宋" w:eastAsia="仿宋"/>
          <w:sz w:val="24"/>
        </w:rPr>
        <w:t>对于因甲方原因导致变更、中止或者终止政府采购合同的，甲方应当依照合同约定对供应商受到的损失予以赔偿或者补偿。</w:t>
      </w:r>
    </w:p>
    <w:bookmarkEnd w:id="546"/>
    <w:p>
      <w:pPr>
        <w:spacing w:line="560" w:lineRule="exact"/>
        <w:ind w:firstLine="482" w:firstLineChars="200"/>
        <w:outlineLvl w:val="0"/>
        <w:rPr>
          <w:rFonts w:ascii="仿宋" w:hAnsi="仿宋" w:eastAsia="仿宋"/>
          <w:b/>
          <w:sz w:val="24"/>
        </w:rPr>
      </w:pPr>
      <w:bookmarkStart w:id="547" w:name="_Toc14001"/>
      <w:bookmarkStart w:id="548" w:name="_Toc6885"/>
      <w:bookmarkStart w:id="549" w:name="_Toc19890"/>
      <w:r>
        <w:rPr>
          <w:rFonts w:ascii="仿宋" w:hAnsi="仿宋" w:eastAsia="仿宋"/>
          <w:b/>
          <w:sz w:val="24"/>
        </w:rPr>
        <w:t>2.2</w:t>
      </w:r>
      <w:r>
        <w:rPr>
          <w:rFonts w:hint="eastAsia" w:ascii="仿宋" w:hAnsi="仿宋" w:eastAsia="仿宋"/>
          <w:b/>
          <w:sz w:val="24"/>
        </w:rPr>
        <w:t>2合同份数</w:t>
      </w:r>
      <w:bookmarkEnd w:id="547"/>
      <w:bookmarkEnd w:id="548"/>
      <w:bookmarkEnd w:id="549"/>
    </w:p>
    <w:p>
      <w:pPr>
        <w:spacing w:line="560" w:lineRule="exact"/>
        <w:ind w:firstLine="480" w:firstLineChars="200"/>
        <w:rPr>
          <w:rFonts w:ascii="仿宋" w:hAnsi="仿宋" w:eastAsia="仿宋"/>
          <w:sz w:val="24"/>
        </w:rPr>
      </w:pPr>
      <w:r>
        <w:rPr>
          <w:rFonts w:hint="eastAsia" w:ascii="仿宋" w:hAnsi="仿宋" w:eastAsia="仿宋"/>
          <w:sz w:val="24"/>
        </w:rPr>
        <w:t>合同份数按</w:t>
      </w:r>
      <w:r>
        <w:rPr>
          <w:rFonts w:hint="eastAsia" w:ascii="仿宋" w:hAnsi="仿宋" w:eastAsia="仿宋"/>
          <w:b/>
          <w:sz w:val="24"/>
          <w:u w:val="single"/>
        </w:rPr>
        <w:t>合同专用条款</w:t>
      </w:r>
      <w:r>
        <w:rPr>
          <w:rFonts w:hint="eastAsia" w:ascii="仿宋" w:hAnsi="仿宋" w:eastAsia="仿宋"/>
          <w:sz w:val="24"/>
        </w:rPr>
        <w:t>规定，每份均具有同等法律效力。</w:t>
      </w:r>
    </w:p>
    <w:p>
      <w:pPr>
        <w:pStyle w:val="5"/>
        <w:spacing w:line="560" w:lineRule="exact"/>
        <w:jc w:val="center"/>
        <w:rPr>
          <w:rFonts w:ascii="仿宋" w:hAnsi="仿宋" w:eastAsia="仿宋"/>
          <w:b/>
          <w:szCs w:val="24"/>
        </w:rPr>
      </w:pPr>
      <w:r>
        <w:rPr>
          <w:rFonts w:ascii="仿宋" w:hAnsi="仿宋" w:eastAsia="仿宋" w:cs="黑体"/>
          <w:kern w:val="0"/>
          <w:szCs w:val="24"/>
        </w:rPr>
        <w:br w:type="page"/>
      </w:r>
      <w:bookmarkStart w:id="550" w:name="_Toc331685784"/>
      <w:r>
        <w:rPr>
          <w:rFonts w:hint="eastAsia" w:ascii="仿宋" w:hAnsi="仿宋" w:eastAsia="仿宋"/>
          <w:b/>
          <w:szCs w:val="24"/>
        </w:rPr>
        <w:t xml:space="preserve"> </w:t>
      </w:r>
      <w:bookmarkEnd w:id="550"/>
      <w:r>
        <w:rPr>
          <w:rFonts w:hint="eastAsia" w:ascii="仿宋" w:hAnsi="仿宋" w:eastAsia="仿宋"/>
          <w:b/>
          <w:szCs w:val="24"/>
        </w:rPr>
        <w:t>第三部分</w:t>
      </w:r>
      <w:r>
        <w:rPr>
          <w:rFonts w:ascii="仿宋" w:hAnsi="仿宋" w:eastAsia="仿宋"/>
          <w:b/>
          <w:szCs w:val="24"/>
        </w:rPr>
        <w:t xml:space="preserve">  </w:t>
      </w:r>
      <w:r>
        <w:rPr>
          <w:rFonts w:hint="eastAsia" w:ascii="仿宋" w:hAnsi="仿宋" w:eastAsia="仿宋"/>
          <w:b/>
          <w:szCs w:val="24"/>
        </w:rPr>
        <w:t>合同专用条款</w:t>
      </w:r>
    </w:p>
    <w:p>
      <w:pPr>
        <w:spacing w:line="560" w:lineRule="exact"/>
        <w:ind w:left="-420" w:leftChars="-200" w:right="-420" w:rightChars="-200" w:firstLine="480" w:firstLineChars="200"/>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条款号</w:t>
            </w:r>
          </w:p>
        </w:tc>
        <w:tc>
          <w:tcPr>
            <w:tcW w:w="8275" w:type="dxa"/>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1.4.4</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1.5.1 </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1.5.2</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1.5.3 </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1.6.7</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1.7.1</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1.7.2</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2.3.2</w:t>
            </w:r>
          </w:p>
        </w:tc>
        <w:tc>
          <w:tcPr>
            <w:tcW w:w="8275" w:type="dxa"/>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2.4.1</w:t>
            </w:r>
          </w:p>
        </w:tc>
        <w:tc>
          <w:tcPr>
            <w:tcW w:w="8275" w:type="dxa"/>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2.4.2</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ascii="仿宋" w:hAnsi="仿宋" w:eastAsia="仿宋"/>
                <w:sz w:val="24"/>
              </w:rPr>
            </w:pPr>
            <w:r>
              <w:rPr>
                <w:rFonts w:hint="eastAsia" w:ascii="仿宋" w:hAnsi="仿宋" w:eastAsia="仿宋"/>
                <w:sz w:val="24"/>
              </w:rPr>
              <w:t xml:space="preserve">2.8 </w:t>
            </w:r>
          </w:p>
        </w:tc>
        <w:tc>
          <w:tcPr>
            <w:tcW w:w="8275" w:type="dxa"/>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2.12.3</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2.12.4</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2.16.1</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2.16.3</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ascii="仿宋" w:hAnsi="仿宋" w:eastAsia="仿宋"/>
                <w:sz w:val="24"/>
              </w:rPr>
            </w:pPr>
            <w:r>
              <w:rPr>
                <w:rFonts w:hint="eastAsia" w:ascii="仿宋" w:hAnsi="仿宋" w:eastAsia="仿宋"/>
                <w:sz w:val="24"/>
              </w:rPr>
              <w:t>2.20.1</w:t>
            </w:r>
          </w:p>
        </w:tc>
        <w:tc>
          <w:tcPr>
            <w:tcW w:w="8275" w:type="dxa"/>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2.20.2 </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sz w:val="24"/>
              </w:rPr>
            </w:pPr>
            <w:r>
              <w:rPr>
                <w:rFonts w:ascii="仿宋" w:hAnsi="仿宋" w:eastAsia="仿宋"/>
                <w:sz w:val="24"/>
              </w:rPr>
              <w:t>2.2</w:t>
            </w:r>
            <w:r>
              <w:rPr>
                <w:rFonts w:hint="eastAsia" w:ascii="仿宋" w:hAnsi="仿宋" w:eastAsia="仿宋"/>
                <w:sz w:val="24"/>
              </w:rPr>
              <w:t>2</w:t>
            </w:r>
            <w:r>
              <w:rPr>
                <w:rFonts w:ascii="仿宋" w:hAnsi="仿宋" w:eastAsia="仿宋"/>
                <w:sz w:val="24"/>
              </w:rPr>
              <w:t xml:space="preserve"> </w:t>
            </w:r>
          </w:p>
        </w:tc>
        <w:tc>
          <w:tcPr>
            <w:tcW w:w="8275" w:type="dxa"/>
            <w:vAlign w:val="center"/>
          </w:tcPr>
          <w:p>
            <w:pPr>
              <w:spacing w:line="360" w:lineRule="auto"/>
              <w:rPr>
                <w:rFonts w:ascii="仿宋" w:hAnsi="仿宋" w:eastAsia="仿宋"/>
                <w:sz w:val="24"/>
              </w:rPr>
            </w:pPr>
          </w:p>
        </w:tc>
      </w:tr>
    </w:tbl>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r>
        <w:rPr>
          <w:rFonts w:ascii="仿宋" w:hAnsi="仿宋" w:eastAsia="仿宋" w:cs="仿宋_GB2312"/>
          <w:b/>
          <w:sz w:val="36"/>
          <w:szCs w:val="20"/>
        </w:rPr>
        <w:t xml:space="preserve"> </w:t>
      </w:r>
      <w:bookmarkEnd w:id="39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我方参与【鸬鸟镇社会治理综合服务中心提升项目】【招标编号：</w:t>
      </w:r>
      <w:r>
        <w:rPr>
          <w:rFonts w:hint="eastAsia" w:ascii="仿宋_GB2312" w:hAnsi="仿宋" w:eastAsia="仿宋_GB2312"/>
          <w:sz w:val="24"/>
        </w:rPr>
        <w:t>（</w:t>
      </w:r>
      <w:r>
        <w:rPr>
          <w:rFonts w:hint="eastAsia" w:ascii="仿宋_GB2312" w:hAnsi="仿宋" w:eastAsia="仿宋_GB2312"/>
          <w:sz w:val="24"/>
          <w:lang w:eastAsia="zh-CN"/>
        </w:rPr>
        <w:t>NYZFCG2022-003</w:t>
      </w:r>
      <w:r>
        <w:rPr>
          <w:rFonts w:hint="eastAsia" w:ascii="仿宋_GB2312" w:hAnsi="仿宋" w:eastAsia="仿宋_GB2312"/>
          <w:sz w:val="24"/>
        </w:rPr>
        <w:t>）</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（鸬鸟镇社会治理综合服务中心提升项目）【招标编号：</w:t>
      </w:r>
      <w:r>
        <w:rPr>
          <w:rFonts w:hint="eastAsia" w:ascii="仿宋_GB2312" w:hAnsi="仿宋" w:eastAsia="仿宋_GB2312"/>
          <w:sz w:val="24"/>
        </w:rPr>
        <w:t>（</w:t>
      </w:r>
      <w:r>
        <w:rPr>
          <w:rFonts w:hint="eastAsia" w:ascii="仿宋_GB2312" w:hAnsi="仿宋" w:eastAsia="仿宋_GB2312"/>
          <w:sz w:val="24"/>
          <w:lang w:eastAsia="zh-CN"/>
        </w:rPr>
        <w:t>NYZFCG2022-003</w:t>
      </w:r>
      <w:r>
        <w:rPr>
          <w:rFonts w:hint="eastAsia" w:ascii="仿宋_GB2312" w:hAnsi="仿宋" w:eastAsia="仿宋_GB2312"/>
          <w:sz w:val="24"/>
        </w:rPr>
        <w:t>）</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（鸬鸟镇社会治理综合服务中心提升项目）【招标编号：</w:t>
      </w:r>
      <w:r>
        <w:rPr>
          <w:rFonts w:hint="eastAsia" w:ascii="仿宋_GB2312" w:hAnsi="仿宋" w:eastAsia="仿宋_GB2312"/>
          <w:sz w:val="24"/>
        </w:rPr>
        <w:t>（</w:t>
      </w:r>
      <w:r>
        <w:rPr>
          <w:rFonts w:hint="eastAsia" w:ascii="仿宋_GB2312" w:hAnsi="仿宋" w:eastAsia="仿宋_GB2312"/>
          <w:sz w:val="24"/>
          <w:lang w:eastAsia="zh-CN"/>
        </w:rPr>
        <w:t>NYZFCG2022-003</w:t>
      </w:r>
      <w:r>
        <w:rPr>
          <w:rFonts w:hint="eastAsia" w:ascii="仿宋_GB2312" w:hAnsi="仿宋" w:eastAsia="仿宋_GB2312"/>
          <w:sz w:val="24"/>
        </w:rPr>
        <w:t>）</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7"/>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我方参加你方组织的（鸬鸟镇社会治理综合服务中心提升项目）【招标编号：</w:t>
      </w:r>
      <w:r>
        <w:rPr>
          <w:rFonts w:hint="eastAsia" w:ascii="仿宋_GB2312" w:hAnsi="仿宋" w:eastAsia="仿宋_GB2312"/>
          <w:sz w:val="24"/>
        </w:rPr>
        <w:t>（</w:t>
      </w:r>
      <w:r>
        <w:rPr>
          <w:rFonts w:hint="eastAsia" w:ascii="仿宋_GB2312" w:hAnsi="仿宋" w:eastAsia="仿宋_GB2312"/>
          <w:sz w:val="24"/>
          <w:lang w:eastAsia="zh-CN"/>
        </w:rPr>
        <w:t>NYZFCG2022-003</w:t>
      </w:r>
      <w:r>
        <w:rPr>
          <w:rFonts w:hint="eastAsia" w:ascii="仿宋_GB2312" w:hAnsi="仿宋" w:eastAsia="仿宋_GB2312"/>
          <w:sz w:val="24"/>
        </w:rPr>
        <w:t>）</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（鸬鸟镇社会治理综合服务中心提升项目）【招标编号：</w:t>
      </w:r>
      <w:r>
        <w:rPr>
          <w:rFonts w:hint="eastAsia" w:ascii="仿宋_GB2312" w:hAnsi="仿宋" w:eastAsia="仿宋_GB2312"/>
          <w:sz w:val="24"/>
        </w:rPr>
        <w:t>（</w:t>
      </w:r>
      <w:r>
        <w:rPr>
          <w:rFonts w:hint="eastAsia" w:ascii="仿宋_GB2312" w:hAnsi="仿宋" w:eastAsia="仿宋_GB2312"/>
          <w:sz w:val="24"/>
          <w:lang w:eastAsia="zh-CN"/>
        </w:rPr>
        <w:t>NYZFCG2022-003</w:t>
      </w:r>
      <w:r>
        <w:rPr>
          <w:rFonts w:hint="eastAsia" w:ascii="仿宋_GB2312" w:hAnsi="仿宋" w:eastAsia="仿宋_GB2312"/>
          <w:sz w:val="24"/>
        </w:rPr>
        <w:t>）</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（鸬鸟镇社会治理综合服务中心提升项目）【招标编号：</w:t>
      </w:r>
      <w:r>
        <w:rPr>
          <w:rFonts w:hint="eastAsia" w:ascii="仿宋_GB2312" w:hAnsi="仿宋" w:eastAsia="仿宋_GB2312"/>
          <w:sz w:val="24"/>
        </w:rPr>
        <w:t>（</w:t>
      </w:r>
      <w:r>
        <w:rPr>
          <w:rFonts w:hint="eastAsia" w:ascii="仿宋_GB2312" w:hAnsi="仿宋" w:eastAsia="仿宋_GB2312"/>
          <w:sz w:val="24"/>
          <w:lang w:eastAsia="zh-CN"/>
        </w:rPr>
        <w:t>NYZFCG2022-003</w:t>
      </w:r>
      <w:r>
        <w:rPr>
          <w:rFonts w:hint="eastAsia" w:ascii="仿宋_GB2312" w:hAnsi="仿宋" w:eastAsia="仿宋_GB2312"/>
          <w:sz w:val="24"/>
        </w:rPr>
        <w:t>）</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90"/>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90"/>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90"/>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（鸬鸟镇社会治理综合服务中心提升项目）【招标编号：</w:t>
      </w:r>
      <w:r>
        <w:rPr>
          <w:rFonts w:hint="eastAsia" w:ascii="仿宋_GB2312" w:hAnsi="仿宋" w:eastAsia="仿宋_GB2312"/>
          <w:sz w:val="24"/>
        </w:rPr>
        <w:t>（</w:t>
      </w:r>
      <w:r>
        <w:rPr>
          <w:rFonts w:hint="eastAsia" w:ascii="仿宋_GB2312" w:hAnsi="仿宋" w:eastAsia="仿宋_GB2312"/>
          <w:sz w:val="24"/>
          <w:lang w:eastAsia="zh-CN"/>
        </w:rPr>
        <w:t>NYZFCG2022-003</w:t>
      </w:r>
      <w:r>
        <w:rPr>
          <w:rFonts w:hint="eastAsia" w:ascii="仿宋_GB2312" w:hAnsi="仿宋" w:eastAsia="仿宋_GB2312"/>
          <w:sz w:val="24"/>
        </w:rPr>
        <w:t>）</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（鸬鸟镇社会治理综合服务中心提升项目）【招标编号：</w:t>
      </w:r>
      <w:r>
        <w:rPr>
          <w:rFonts w:hint="eastAsia" w:ascii="仿宋_GB2312" w:hAnsi="仿宋" w:eastAsia="仿宋_GB2312"/>
          <w:sz w:val="24"/>
        </w:rPr>
        <w:t>（</w:t>
      </w:r>
      <w:r>
        <w:rPr>
          <w:rFonts w:hint="eastAsia" w:ascii="仿宋_GB2312" w:hAnsi="仿宋" w:eastAsia="仿宋_GB2312"/>
          <w:sz w:val="24"/>
          <w:lang w:eastAsia="zh-CN"/>
        </w:rPr>
        <w:t>NYZFCG2022-003</w:t>
      </w:r>
      <w:r>
        <w:rPr>
          <w:rFonts w:hint="eastAsia" w:ascii="仿宋_GB2312" w:hAnsi="仿宋" w:eastAsia="仿宋_GB2312"/>
          <w:sz w:val="24"/>
        </w:rPr>
        <w:t>）</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7"/>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7"/>
              <w:rPr>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2"/>
        <w:ind w:firstLine="643"/>
        <w:rPr>
          <w:rFonts w:ascii="仿宋_GB2312" w:hAnsi="仿宋" w:eastAsia="仿宋_GB2312" w:cs="仿宋_GB2312"/>
          <w:b/>
          <w:kern w:val="0"/>
          <w:sz w:val="32"/>
          <w:szCs w:val="32"/>
        </w:rPr>
      </w:pPr>
    </w:p>
    <w:p>
      <w:pPr>
        <w:pStyle w:val="2"/>
        <w:ind w:firstLine="643"/>
        <w:rPr>
          <w:rFonts w:ascii="仿宋_GB2312" w:hAnsi="仿宋" w:eastAsia="仿宋_GB2312" w:cs="仿宋_GB2312"/>
          <w:b/>
          <w:kern w:val="0"/>
          <w:sz w:val="32"/>
          <w:szCs w:val="32"/>
        </w:rPr>
      </w:pPr>
    </w:p>
    <w:p>
      <w:pPr>
        <w:pStyle w:val="2"/>
        <w:ind w:firstLine="643"/>
        <w:rPr>
          <w:rFonts w:ascii="仿宋_GB2312" w:hAnsi="仿宋" w:eastAsia="仿宋_GB2312" w:cs="仿宋_GB2312"/>
          <w:b/>
          <w:kern w:val="0"/>
          <w:sz w:val="32"/>
          <w:szCs w:val="32"/>
        </w:rPr>
      </w:pPr>
    </w:p>
    <w:p>
      <w:pPr>
        <w:pStyle w:val="379"/>
        <w:tabs>
          <w:tab w:val="clear" w:pos="720"/>
        </w:tabs>
        <w:snapToGrid w:val="0"/>
        <w:spacing w:before="120" w:after="120"/>
        <w:jc w:val="both"/>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9"/>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pPr>
        <w:numPr>
          <w:ilvl w:val="0"/>
          <w:numId w:val="3"/>
        </w:numPr>
        <w:spacing w:line="360" w:lineRule="auto"/>
        <w:jc w:val="center"/>
        <w:rPr>
          <w:rFonts w:ascii="仿宋" w:hAnsi="仿宋" w:eastAsia="仿宋" w:cs="仿宋"/>
          <w:lang w:val="zh-CN"/>
        </w:rPr>
      </w:pPr>
      <w:r>
        <w:rPr>
          <w:rFonts w:hint="eastAsia" w:ascii="仿宋" w:hAnsi="仿宋" w:eastAsia="仿宋" w:cs="仿宋"/>
          <w:b/>
          <w:kern w:val="0"/>
          <w:sz w:val="24"/>
          <w:lang w:val="zh-CN"/>
        </w:rPr>
        <w:t>开标一览表(单位均为人民币元及</w:t>
      </w:r>
      <w:r>
        <w:rPr>
          <w:rFonts w:hint="eastAsia" w:ascii="仿宋" w:hAnsi="仿宋" w:eastAsia="仿宋" w:cs="仿宋"/>
          <w:b/>
          <w:kern w:val="0"/>
          <w:sz w:val="24"/>
        </w:rPr>
        <w:t>%</w:t>
      </w:r>
      <w:r>
        <w:rPr>
          <w:rFonts w:hint="eastAsia" w:ascii="仿宋" w:hAnsi="仿宋" w:eastAsia="仿宋" w:cs="仿宋"/>
          <w:b/>
          <w:kern w:val="0"/>
          <w:sz w:val="24"/>
          <w:lang w:val="zh-CN"/>
        </w:rPr>
        <w:t>)</w:t>
      </w:r>
    </w:p>
    <w:tbl>
      <w:tblPr>
        <w:tblStyle w:val="65"/>
        <w:tblW w:w="141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2072"/>
        <w:gridCol w:w="2072"/>
        <w:gridCol w:w="638"/>
        <w:gridCol w:w="543"/>
        <w:gridCol w:w="5875"/>
        <w:gridCol w:w="2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6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lang w:val="zh-CN"/>
              </w:rPr>
            </w:pPr>
            <w:r>
              <w:rPr>
                <w:rFonts w:hint="eastAsia" w:ascii="仿宋" w:hAnsi="仿宋" w:eastAsia="仿宋" w:cs="仿宋"/>
                <w:sz w:val="24"/>
                <w:lang w:val="zh-CN"/>
              </w:rPr>
              <w:t>序号</w:t>
            </w:r>
          </w:p>
        </w:tc>
        <w:tc>
          <w:tcPr>
            <w:tcW w:w="4144"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sz w:val="24"/>
                <w:lang w:val="zh-CN"/>
              </w:rPr>
            </w:pPr>
            <w:r>
              <w:rPr>
                <w:rFonts w:hint="eastAsia" w:ascii="仿宋" w:hAnsi="仿宋" w:eastAsia="仿宋" w:cs="仿宋"/>
                <w:sz w:val="24"/>
                <w:lang w:val="zh-CN"/>
              </w:rPr>
              <w:t>项目</w:t>
            </w:r>
          </w:p>
        </w:tc>
        <w:tc>
          <w:tcPr>
            <w:tcW w:w="63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单位</w:t>
            </w:r>
          </w:p>
        </w:tc>
        <w:tc>
          <w:tcPr>
            <w:tcW w:w="543"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sz w:val="24"/>
              </w:rPr>
            </w:pPr>
            <w:r>
              <w:rPr>
                <w:rFonts w:hint="eastAsia" w:ascii="仿宋" w:hAnsi="仿宋" w:eastAsia="仿宋" w:cs="仿宋"/>
                <w:sz w:val="24"/>
              </w:rPr>
              <w:t>数量</w:t>
            </w:r>
          </w:p>
        </w:tc>
        <w:tc>
          <w:tcPr>
            <w:tcW w:w="587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r>
              <w:rPr>
                <w:rFonts w:hint="eastAsia" w:ascii="仿宋" w:hAnsi="仿宋" w:eastAsia="仿宋" w:cs="仿宋"/>
                <w:sz w:val="24"/>
              </w:rPr>
              <w:t>合计（元）</w:t>
            </w:r>
          </w:p>
        </w:tc>
        <w:tc>
          <w:tcPr>
            <w:tcW w:w="239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lang w:val="zh-CN"/>
              </w:rPr>
            </w:pPr>
            <w:r>
              <w:rPr>
                <w:rFonts w:hint="eastAsia" w:ascii="仿宋" w:hAnsi="仿宋" w:eastAsia="仿宋" w:cs="仿宋"/>
                <w:sz w:val="24"/>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23" w:hRule="atLeast"/>
        </w:trPr>
        <w:tc>
          <w:tcPr>
            <w:tcW w:w="600" w:type="dxa"/>
            <w:vMerge w:val="restart"/>
            <w:tcBorders>
              <w:left w:val="single" w:color="000000" w:sz="4" w:space="0"/>
              <w:right w:val="single" w:color="000000" w:sz="4" w:space="0"/>
            </w:tcBorders>
            <w:vAlign w:val="center"/>
          </w:tcPr>
          <w:p>
            <w:pPr>
              <w:jc w:val="center"/>
              <w:rPr>
                <w:rFonts w:ascii="仿宋" w:hAnsi="仿宋" w:eastAsia="仿宋" w:cs="仿宋"/>
                <w:sz w:val="24"/>
              </w:rPr>
            </w:pPr>
            <w:r>
              <w:rPr>
                <w:rFonts w:hint="eastAsia" w:ascii="仿宋" w:hAnsi="仿宋" w:eastAsia="仿宋" w:cs="仿宋"/>
                <w:sz w:val="24"/>
              </w:rPr>
              <w:t>1</w:t>
            </w:r>
          </w:p>
        </w:tc>
        <w:tc>
          <w:tcPr>
            <w:tcW w:w="2072" w:type="dxa"/>
            <w:vMerge w:val="restart"/>
            <w:tcBorders>
              <w:left w:val="single" w:color="000000" w:sz="4" w:space="0"/>
              <w:right w:val="single" w:color="auto" w:sz="4" w:space="0"/>
            </w:tcBorders>
            <w:vAlign w:val="center"/>
          </w:tcPr>
          <w:p>
            <w:pPr>
              <w:jc w:val="left"/>
              <w:rPr>
                <w:rFonts w:ascii="仿宋" w:hAnsi="仿宋" w:eastAsia="仿宋" w:cs="仿宋"/>
                <w:sz w:val="24"/>
                <w:lang w:val="zh-CN"/>
              </w:rPr>
            </w:pPr>
            <w:r>
              <w:rPr>
                <w:rFonts w:hint="eastAsia" w:ascii="仿宋" w:hAnsi="仿宋" w:eastAsia="仿宋" w:cs="仿宋"/>
                <w:sz w:val="24"/>
              </w:rPr>
              <w:t>设备等相关部分</w:t>
            </w:r>
          </w:p>
        </w:tc>
        <w:tc>
          <w:tcPr>
            <w:tcW w:w="2072" w:type="dxa"/>
            <w:tcBorders>
              <w:left w:val="single" w:color="000000" w:sz="4" w:space="0"/>
              <w:bottom w:val="single" w:color="auto" w:sz="4" w:space="0"/>
              <w:right w:val="single" w:color="auto" w:sz="4" w:space="0"/>
            </w:tcBorders>
            <w:vAlign w:val="center"/>
          </w:tcPr>
          <w:p>
            <w:pPr>
              <w:jc w:val="left"/>
              <w:rPr>
                <w:rFonts w:ascii="仿宋" w:hAnsi="仿宋" w:eastAsia="仿宋" w:cs="仿宋"/>
                <w:sz w:val="24"/>
                <w:lang w:val="zh-CN"/>
              </w:rPr>
            </w:pPr>
            <w:r>
              <w:rPr>
                <w:rFonts w:hint="eastAsia" w:ascii="仿宋" w:hAnsi="仿宋" w:eastAsia="仿宋" w:cs="仿宋"/>
                <w:sz w:val="24"/>
                <w:lang w:val="zh-CN"/>
              </w:rPr>
              <w:t>设备费</w:t>
            </w:r>
          </w:p>
        </w:tc>
        <w:tc>
          <w:tcPr>
            <w:tcW w:w="638" w:type="dxa"/>
            <w:tcBorders>
              <w:left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项</w:t>
            </w:r>
          </w:p>
        </w:tc>
        <w:tc>
          <w:tcPr>
            <w:tcW w:w="543" w:type="dxa"/>
            <w:tcBorders>
              <w:left w:val="single" w:color="auto" w:sz="4" w:space="0"/>
              <w:right w:val="single" w:color="000000" w:sz="4" w:space="0"/>
            </w:tcBorders>
            <w:vAlign w:val="center"/>
          </w:tcPr>
          <w:p>
            <w:pPr>
              <w:jc w:val="center"/>
              <w:rPr>
                <w:rFonts w:ascii="仿宋" w:hAnsi="仿宋" w:eastAsia="仿宋" w:cs="仿宋"/>
                <w:sz w:val="24"/>
              </w:rPr>
            </w:pPr>
            <w:r>
              <w:rPr>
                <w:rFonts w:hint="eastAsia" w:ascii="仿宋" w:hAnsi="仿宋" w:eastAsia="仿宋" w:cs="仿宋"/>
                <w:sz w:val="24"/>
              </w:rPr>
              <w:t>1</w:t>
            </w:r>
          </w:p>
        </w:tc>
        <w:tc>
          <w:tcPr>
            <w:tcW w:w="5875" w:type="dxa"/>
            <w:tcBorders>
              <w:top w:val="single" w:color="000000" w:sz="4" w:space="0"/>
              <w:left w:val="single" w:color="000000" w:sz="4" w:space="0"/>
              <w:right w:val="single" w:color="000000" w:sz="4" w:space="0"/>
            </w:tcBorders>
            <w:vAlign w:val="center"/>
          </w:tcPr>
          <w:p>
            <w:pPr>
              <w:jc w:val="center"/>
              <w:rPr>
                <w:rFonts w:ascii="仿宋" w:hAnsi="仿宋" w:eastAsia="仿宋" w:cs="仿宋"/>
                <w:sz w:val="24"/>
                <w:lang w:val="zh-CN"/>
              </w:rPr>
            </w:pPr>
          </w:p>
        </w:tc>
        <w:tc>
          <w:tcPr>
            <w:tcW w:w="2394" w:type="dxa"/>
            <w:vMerge w:val="restart"/>
            <w:tcBorders>
              <w:top w:val="single" w:color="000000" w:sz="4" w:space="0"/>
              <w:left w:val="single" w:color="000000" w:sz="4" w:space="0"/>
              <w:right w:val="single" w:color="000000" w:sz="4" w:space="0"/>
            </w:tcBorders>
            <w:vAlign w:val="center"/>
          </w:tcPr>
          <w:p>
            <w:pPr>
              <w:pStyle w:val="525"/>
              <w:ind w:firstLine="0" w:firstLineChars="0"/>
              <w:rPr>
                <w:rFonts w:ascii="仿宋" w:hAnsi="仿宋" w:eastAsia="仿宋" w:cs="仿宋"/>
              </w:rPr>
            </w:pPr>
            <w:r>
              <w:rPr>
                <w:rFonts w:hint="eastAsia" w:ascii="仿宋" w:hAnsi="仿宋" w:eastAsia="仿宋" w:cs="仿宋"/>
                <w:snapToGrid w:val="0"/>
                <w:kern w:val="0"/>
                <w:lang w:val="zh-CN"/>
              </w:rPr>
              <w:t>最高限价</w:t>
            </w:r>
            <w:r>
              <w:rPr>
                <w:rFonts w:hint="eastAsia" w:ascii="仿宋" w:hAnsi="仿宋" w:eastAsia="仿宋" w:cs="仿宋"/>
                <w:snapToGrid w:val="0"/>
                <w:kern w:val="0"/>
              </w:rPr>
              <w:t>金额不得超过300万元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12" w:hRule="atLeast"/>
        </w:trPr>
        <w:tc>
          <w:tcPr>
            <w:tcW w:w="600" w:type="dxa"/>
            <w:vMerge w:val="continue"/>
            <w:tcBorders>
              <w:left w:val="single" w:color="000000" w:sz="4" w:space="0"/>
              <w:right w:val="single" w:color="000000" w:sz="4" w:space="0"/>
            </w:tcBorders>
            <w:vAlign w:val="center"/>
          </w:tcPr>
          <w:p>
            <w:pPr>
              <w:jc w:val="center"/>
              <w:rPr>
                <w:rFonts w:ascii="仿宋" w:hAnsi="仿宋" w:eastAsia="仿宋" w:cs="仿宋"/>
                <w:sz w:val="24"/>
              </w:rPr>
            </w:pPr>
          </w:p>
        </w:tc>
        <w:tc>
          <w:tcPr>
            <w:tcW w:w="2072" w:type="dxa"/>
            <w:vMerge w:val="continue"/>
            <w:tcBorders>
              <w:left w:val="single" w:color="000000" w:sz="4" w:space="0"/>
              <w:right w:val="single" w:color="auto" w:sz="4" w:space="0"/>
            </w:tcBorders>
            <w:vAlign w:val="center"/>
          </w:tcPr>
          <w:p>
            <w:pPr>
              <w:jc w:val="left"/>
              <w:rPr>
                <w:rFonts w:ascii="仿宋" w:hAnsi="仿宋" w:eastAsia="仿宋" w:cs="仿宋"/>
                <w:sz w:val="24"/>
              </w:rPr>
            </w:pPr>
          </w:p>
        </w:tc>
        <w:tc>
          <w:tcPr>
            <w:tcW w:w="2072" w:type="dxa"/>
            <w:tcBorders>
              <w:left w:val="single" w:color="000000" w:sz="4" w:space="0"/>
              <w:bottom w:val="single" w:color="auto" w:sz="4" w:space="0"/>
              <w:right w:val="single" w:color="auto" w:sz="4" w:space="0"/>
            </w:tcBorders>
            <w:vAlign w:val="center"/>
          </w:tcPr>
          <w:p>
            <w:pPr>
              <w:jc w:val="left"/>
              <w:rPr>
                <w:rFonts w:ascii="仿宋" w:hAnsi="仿宋" w:eastAsia="仿宋" w:cs="仿宋"/>
                <w:sz w:val="24"/>
                <w:lang w:val="zh-CN"/>
              </w:rPr>
            </w:pPr>
            <w:r>
              <w:rPr>
                <w:rFonts w:hint="eastAsia" w:ascii="仿宋" w:hAnsi="仿宋" w:eastAsia="仿宋" w:cs="仿宋"/>
                <w:sz w:val="24"/>
                <w:lang w:val="zh-CN"/>
              </w:rPr>
              <w:t>施工费</w:t>
            </w:r>
          </w:p>
        </w:tc>
        <w:tc>
          <w:tcPr>
            <w:tcW w:w="638" w:type="dxa"/>
            <w:tcBorders>
              <w:left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项</w:t>
            </w:r>
          </w:p>
        </w:tc>
        <w:tc>
          <w:tcPr>
            <w:tcW w:w="543" w:type="dxa"/>
            <w:tcBorders>
              <w:left w:val="single" w:color="auto" w:sz="4" w:space="0"/>
              <w:right w:val="single" w:color="000000" w:sz="4" w:space="0"/>
            </w:tcBorders>
            <w:vAlign w:val="center"/>
          </w:tcPr>
          <w:p>
            <w:pPr>
              <w:jc w:val="center"/>
              <w:rPr>
                <w:rFonts w:ascii="仿宋" w:hAnsi="仿宋" w:eastAsia="仿宋" w:cs="仿宋"/>
                <w:sz w:val="24"/>
              </w:rPr>
            </w:pPr>
            <w:r>
              <w:rPr>
                <w:rFonts w:hint="eastAsia" w:ascii="仿宋" w:hAnsi="仿宋" w:eastAsia="仿宋" w:cs="仿宋"/>
                <w:sz w:val="24"/>
              </w:rPr>
              <w:t>1</w:t>
            </w:r>
          </w:p>
        </w:tc>
        <w:tc>
          <w:tcPr>
            <w:tcW w:w="5875" w:type="dxa"/>
            <w:tcBorders>
              <w:top w:val="single" w:color="000000" w:sz="4" w:space="0"/>
              <w:left w:val="single" w:color="000000" w:sz="4" w:space="0"/>
              <w:right w:val="single" w:color="000000" w:sz="4" w:space="0"/>
            </w:tcBorders>
            <w:vAlign w:val="center"/>
          </w:tcPr>
          <w:p>
            <w:pPr>
              <w:jc w:val="center"/>
              <w:rPr>
                <w:rFonts w:ascii="仿宋" w:hAnsi="仿宋" w:eastAsia="仿宋" w:cs="仿宋"/>
                <w:sz w:val="24"/>
                <w:lang w:val="zh-CN"/>
              </w:rPr>
            </w:pPr>
          </w:p>
        </w:tc>
        <w:tc>
          <w:tcPr>
            <w:tcW w:w="2394" w:type="dxa"/>
            <w:vMerge w:val="continue"/>
            <w:tcBorders>
              <w:left w:val="single" w:color="000000" w:sz="4" w:space="0"/>
              <w:right w:val="single" w:color="000000" w:sz="4" w:space="0"/>
            </w:tcBorders>
            <w:vAlign w:val="center"/>
          </w:tcPr>
          <w:p>
            <w:pPr>
              <w:pStyle w:val="525"/>
              <w:ind w:firstLine="0" w:firstLineChars="0"/>
              <w:rPr>
                <w:rFonts w:ascii="仿宋" w:hAnsi="仿宋" w:eastAsia="仿宋" w:cs="仿宋"/>
                <w:snapToGrid w:val="0"/>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12" w:hRule="atLeast"/>
        </w:trPr>
        <w:tc>
          <w:tcPr>
            <w:tcW w:w="600" w:type="dxa"/>
            <w:vMerge w:val="continue"/>
            <w:tcBorders>
              <w:left w:val="single" w:color="000000" w:sz="4" w:space="0"/>
              <w:right w:val="single" w:color="000000" w:sz="4" w:space="0"/>
            </w:tcBorders>
            <w:vAlign w:val="center"/>
          </w:tcPr>
          <w:p>
            <w:pPr>
              <w:jc w:val="center"/>
              <w:rPr>
                <w:rFonts w:ascii="仿宋" w:hAnsi="仿宋" w:eastAsia="仿宋" w:cs="仿宋"/>
                <w:sz w:val="24"/>
              </w:rPr>
            </w:pPr>
          </w:p>
        </w:tc>
        <w:tc>
          <w:tcPr>
            <w:tcW w:w="2072" w:type="dxa"/>
            <w:vMerge w:val="continue"/>
            <w:tcBorders>
              <w:left w:val="single" w:color="000000" w:sz="4" w:space="0"/>
              <w:right w:val="single" w:color="auto" w:sz="4" w:space="0"/>
            </w:tcBorders>
            <w:vAlign w:val="center"/>
          </w:tcPr>
          <w:p>
            <w:pPr>
              <w:jc w:val="left"/>
              <w:rPr>
                <w:rFonts w:ascii="仿宋" w:hAnsi="仿宋" w:eastAsia="仿宋" w:cs="仿宋"/>
                <w:sz w:val="24"/>
              </w:rPr>
            </w:pPr>
          </w:p>
        </w:tc>
        <w:tc>
          <w:tcPr>
            <w:tcW w:w="2072" w:type="dxa"/>
            <w:tcBorders>
              <w:left w:val="single" w:color="000000" w:sz="4" w:space="0"/>
              <w:bottom w:val="single" w:color="auto" w:sz="4" w:space="0"/>
              <w:right w:val="single" w:color="auto" w:sz="4" w:space="0"/>
            </w:tcBorders>
            <w:vAlign w:val="center"/>
          </w:tcPr>
          <w:p>
            <w:pPr>
              <w:jc w:val="left"/>
              <w:rPr>
                <w:rFonts w:ascii="仿宋" w:hAnsi="仿宋" w:eastAsia="仿宋" w:cs="仿宋"/>
                <w:sz w:val="24"/>
                <w:lang w:val="zh-CN"/>
              </w:rPr>
            </w:pPr>
            <w:r>
              <w:rPr>
                <w:rFonts w:hint="eastAsia" w:ascii="仿宋" w:hAnsi="仿宋" w:eastAsia="仿宋" w:cs="仿宋"/>
                <w:sz w:val="24"/>
                <w:lang w:val="zh-CN"/>
              </w:rPr>
              <w:t>集成费</w:t>
            </w:r>
          </w:p>
        </w:tc>
        <w:tc>
          <w:tcPr>
            <w:tcW w:w="638" w:type="dxa"/>
            <w:tcBorders>
              <w:left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项</w:t>
            </w:r>
          </w:p>
        </w:tc>
        <w:tc>
          <w:tcPr>
            <w:tcW w:w="543" w:type="dxa"/>
            <w:tcBorders>
              <w:left w:val="single" w:color="auto" w:sz="4" w:space="0"/>
              <w:right w:val="single" w:color="000000" w:sz="4" w:space="0"/>
            </w:tcBorders>
            <w:vAlign w:val="center"/>
          </w:tcPr>
          <w:p>
            <w:pPr>
              <w:jc w:val="center"/>
              <w:rPr>
                <w:rFonts w:ascii="仿宋" w:hAnsi="仿宋" w:eastAsia="仿宋" w:cs="仿宋"/>
                <w:sz w:val="24"/>
              </w:rPr>
            </w:pPr>
            <w:r>
              <w:rPr>
                <w:rFonts w:hint="eastAsia" w:ascii="仿宋" w:hAnsi="仿宋" w:eastAsia="仿宋" w:cs="仿宋"/>
                <w:sz w:val="24"/>
              </w:rPr>
              <w:t>1</w:t>
            </w:r>
          </w:p>
        </w:tc>
        <w:tc>
          <w:tcPr>
            <w:tcW w:w="5875" w:type="dxa"/>
            <w:tcBorders>
              <w:top w:val="single" w:color="000000" w:sz="4" w:space="0"/>
              <w:left w:val="single" w:color="000000" w:sz="4" w:space="0"/>
              <w:right w:val="single" w:color="000000" w:sz="4" w:space="0"/>
            </w:tcBorders>
            <w:vAlign w:val="center"/>
          </w:tcPr>
          <w:p>
            <w:pPr>
              <w:jc w:val="center"/>
              <w:rPr>
                <w:rFonts w:ascii="仿宋" w:hAnsi="仿宋" w:eastAsia="仿宋" w:cs="仿宋"/>
                <w:sz w:val="24"/>
                <w:lang w:val="zh-CN"/>
              </w:rPr>
            </w:pPr>
          </w:p>
        </w:tc>
        <w:tc>
          <w:tcPr>
            <w:tcW w:w="2394" w:type="dxa"/>
            <w:vMerge w:val="continue"/>
            <w:tcBorders>
              <w:left w:val="single" w:color="000000" w:sz="4" w:space="0"/>
              <w:right w:val="single" w:color="000000" w:sz="4" w:space="0"/>
            </w:tcBorders>
            <w:vAlign w:val="center"/>
          </w:tcPr>
          <w:p>
            <w:pPr>
              <w:pStyle w:val="525"/>
              <w:ind w:firstLine="0" w:firstLineChars="0"/>
              <w:rPr>
                <w:rFonts w:ascii="仿宋" w:hAnsi="仿宋" w:eastAsia="仿宋" w:cs="仿宋"/>
                <w:snapToGrid w:val="0"/>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12" w:hRule="atLeast"/>
        </w:trPr>
        <w:tc>
          <w:tcPr>
            <w:tcW w:w="600" w:type="dxa"/>
            <w:vMerge w:val="continue"/>
            <w:tcBorders>
              <w:left w:val="single" w:color="000000" w:sz="4" w:space="0"/>
              <w:right w:val="single" w:color="000000" w:sz="4" w:space="0"/>
            </w:tcBorders>
            <w:vAlign w:val="center"/>
          </w:tcPr>
          <w:p>
            <w:pPr>
              <w:jc w:val="center"/>
              <w:rPr>
                <w:rFonts w:ascii="仿宋" w:hAnsi="仿宋" w:eastAsia="仿宋" w:cs="仿宋"/>
                <w:sz w:val="24"/>
              </w:rPr>
            </w:pPr>
          </w:p>
        </w:tc>
        <w:tc>
          <w:tcPr>
            <w:tcW w:w="2072" w:type="dxa"/>
            <w:vMerge w:val="continue"/>
            <w:tcBorders>
              <w:left w:val="single" w:color="000000" w:sz="4" w:space="0"/>
              <w:right w:val="single" w:color="auto" w:sz="4" w:space="0"/>
            </w:tcBorders>
            <w:vAlign w:val="center"/>
          </w:tcPr>
          <w:p>
            <w:pPr>
              <w:jc w:val="left"/>
              <w:rPr>
                <w:rFonts w:ascii="仿宋" w:hAnsi="仿宋" w:eastAsia="仿宋" w:cs="仿宋"/>
                <w:sz w:val="24"/>
              </w:rPr>
            </w:pPr>
          </w:p>
        </w:tc>
        <w:tc>
          <w:tcPr>
            <w:tcW w:w="2072" w:type="dxa"/>
            <w:tcBorders>
              <w:left w:val="single" w:color="000000" w:sz="4" w:space="0"/>
              <w:bottom w:val="single" w:color="auto" w:sz="4" w:space="0"/>
              <w:right w:val="single" w:color="auto" w:sz="4" w:space="0"/>
            </w:tcBorders>
            <w:vAlign w:val="center"/>
          </w:tcPr>
          <w:p>
            <w:pPr>
              <w:jc w:val="left"/>
              <w:rPr>
                <w:rFonts w:ascii="仿宋" w:hAnsi="仿宋" w:eastAsia="仿宋" w:cs="仿宋"/>
                <w:sz w:val="24"/>
                <w:lang w:val="zh-CN"/>
              </w:rPr>
            </w:pPr>
            <w:r>
              <w:rPr>
                <w:rFonts w:hint="eastAsia" w:ascii="仿宋" w:hAnsi="仿宋" w:eastAsia="仿宋" w:cs="仿宋"/>
                <w:sz w:val="24"/>
                <w:lang w:val="zh-CN"/>
              </w:rPr>
              <w:t>维护费</w:t>
            </w:r>
          </w:p>
        </w:tc>
        <w:tc>
          <w:tcPr>
            <w:tcW w:w="638" w:type="dxa"/>
            <w:tcBorders>
              <w:left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项</w:t>
            </w:r>
          </w:p>
        </w:tc>
        <w:tc>
          <w:tcPr>
            <w:tcW w:w="543" w:type="dxa"/>
            <w:tcBorders>
              <w:left w:val="single" w:color="auto" w:sz="4" w:space="0"/>
              <w:right w:val="single" w:color="000000" w:sz="4" w:space="0"/>
            </w:tcBorders>
            <w:vAlign w:val="center"/>
          </w:tcPr>
          <w:p>
            <w:pPr>
              <w:jc w:val="center"/>
              <w:rPr>
                <w:rFonts w:ascii="仿宋" w:hAnsi="仿宋" w:eastAsia="仿宋" w:cs="仿宋"/>
                <w:sz w:val="24"/>
              </w:rPr>
            </w:pPr>
            <w:r>
              <w:rPr>
                <w:rFonts w:hint="eastAsia" w:ascii="仿宋" w:hAnsi="仿宋" w:eastAsia="仿宋" w:cs="仿宋"/>
                <w:sz w:val="24"/>
              </w:rPr>
              <w:t>1</w:t>
            </w:r>
          </w:p>
        </w:tc>
        <w:tc>
          <w:tcPr>
            <w:tcW w:w="5875" w:type="dxa"/>
            <w:tcBorders>
              <w:top w:val="single" w:color="000000" w:sz="4" w:space="0"/>
              <w:left w:val="single" w:color="000000" w:sz="4" w:space="0"/>
              <w:right w:val="single" w:color="000000" w:sz="4" w:space="0"/>
            </w:tcBorders>
            <w:vAlign w:val="center"/>
          </w:tcPr>
          <w:p>
            <w:pPr>
              <w:jc w:val="center"/>
              <w:rPr>
                <w:rFonts w:ascii="仿宋" w:hAnsi="仿宋" w:eastAsia="仿宋" w:cs="仿宋"/>
                <w:sz w:val="24"/>
                <w:lang w:val="zh-CN"/>
              </w:rPr>
            </w:pPr>
          </w:p>
        </w:tc>
        <w:tc>
          <w:tcPr>
            <w:tcW w:w="2394" w:type="dxa"/>
            <w:vMerge w:val="continue"/>
            <w:tcBorders>
              <w:left w:val="single" w:color="000000" w:sz="4" w:space="0"/>
              <w:right w:val="single" w:color="000000" w:sz="4" w:space="0"/>
            </w:tcBorders>
            <w:vAlign w:val="center"/>
          </w:tcPr>
          <w:p>
            <w:pPr>
              <w:pStyle w:val="525"/>
              <w:ind w:firstLine="0" w:firstLineChars="0"/>
              <w:rPr>
                <w:rFonts w:ascii="仿宋" w:hAnsi="仿宋" w:eastAsia="仿宋" w:cs="仿宋"/>
                <w:snapToGrid w:val="0"/>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12" w:hRule="atLeast"/>
        </w:trPr>
        <w:tc>
          <w:tcPr>
            <w:tcW w:w="600" w:type="dxa"/>
            <w:vMerge w:val="continue"/>
            <w:tcBorders>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2072" w:type="dxa"/>
            <w:vMerge w:val="continue"/>
            <w:tcBorders>
              <w:left w:val="single" w:color="000000" w:sz="4" w:space="0"/>
              <w:bottom w:val="single" w:color="auto" w:sz="4" w:space="0"/>
              <w:right w:val="single" w:color="auto" w:sz="4" w:space="0"/>
            </w:tcBorders>
            <w:vAlign w:val="center"/>
          </w:tcPr>
          <w:p>
            <w:pPr>
              <w:jc w:val="left"/>
              <w:rPr>
                <w:rFonts w:ascii="仿宋" w:hAnsi="仿宋" w:eastAsia="仿宋" w:cs="仿宋"/>
                <w:sz w:val="24"/>
              </w:rPr>
            </w:pPr>
          </w:p>
        </w:tc>
        <w:tc>
          <w:tcPr>
            <w:tcW w:w="2072" w:type="dxa"/>
            <w:tcBorders>
              <w:left w:val="single" w:color="000000" w:sz="4" w:space="0"/>
              <w:bottom w:val="single" w:color="auto" w:sz="4" w:space="0"/>
              <w:right w:val="single" w:color="auto" w:sz="4" w:space="0"/>
            </w:tcBorders>
            <w:vAlign w:val="center"/>
          </w:tcPr>
          <w:p>
            <w:pPr>
              <w:jc w:val="left"/>
              <w:rPr>
                <w:rFonts w:ascii="仿宋" w:hAnsi="仿宋" w:eastAsia="仿宋" w:cs="仿宋"/>
                <w:sz w:val="24"/>
                <w:lang w:val="zh-CN"/>
              </w:rPr>
            </w:pPr>
            <w:r>
              <w:rPr>
                <w:rFonts w:hint="eastAsia" w:ascii="仿宋" w:hAnsi="仿宋" w:eastAsia="仿宋" w:cs="仿宋"/>
                <w:sz w:val="24"/>
                <w:lang w:val="zh-CN"/>
              </w:rPr>
              <w:t>链路费和物联网卡费用</w:t>
            </w:r>
          </w:p>
        </w:tc>
        <w:tc>
          <w:tcPr>
            <w:tcW w:w="638" w:type="dxa"/>
            <w:tcBorders>
              <w:left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项</w:t>
            </w:r>
          </w:p>
        </w:tc>
        <w:tc>
          <w:tcPr>
            <w:tcW w:w="543" w:type="dxa"/>
            <w:tcBorders>
              <w:left w:val="single" w:color="auto" w:sz="4" w:space="0"/>
              <w:right w:val="single" w:color="000000" w:sz="4" w:space="0"/>
            </w:tcBorders>
            <w:vAlign w:val="center"/>
          </w:tcPr>
          <w:p>
            <w:pPr>
              <w:jc w:val="center"/>
              <w:rPr>
                <w:rFonts w:ascii="仿宋" w:hAnsi="仿宋" w:eastAsia="仿宋" w:cs="仿宋"/>
                <w:sz w:val="24"/>
              </w:rPr>
            </w:pPr>
            <w:r>
              <w:rPr>
                <w:rFonts w:hint="eastAsia" w:ascii="仿宋" w:hAnsi="仿宋" w:eastAsia="仿宋" w:cs="仿宋"/>
                <w:sz w:val="24"/>
              </w:rPr>
              <w:t>1</w:t>
            </w:r>
          </w:p>
        </w:tc>
        <w:tc>
          <w:tcPr>
            <w:tcW w:w="5875" w:type="dxa"/>
            <w:tcBorders>
              <w:top w:val="single" w:color="000000" w:sz="4" w:space="0"/>
              <w:left w:val="single" w:color="000000" w:sz="4" w:space="0"/>
              <w:right w:val="single" w:color="000000" w:sz="4" w:space="0"/>
            </w:tcBorders>
            <w:vAlign w:val="center"/>
          </w:tcPr>
          <w:p>
            <w:pPr>
              <w:jc w:val="center"/>
              <w:rPr>
                <w:rFonts w:ascii="仿宋" w:hAnsi="仿宋" w:eastAsia="仿宋" w:cs="仿宋"/>
                <w:sz w:val="24"/>
                <w:lang w:val="zh-CN"/>
              </w:rPr>
            </w:pPr>
          </w:p>
        </w:tc>
        <w:tc>
          <w:tcPr>
            <w:tcW w:w="2394" w:type="dxa"/>
            <w:vMerge w:val="continue"/>
            <w:tcBorders>
              <w:left w:val="single" w:color="000000" w:sz="4" w:space="0"/>
              <w:bottom w:val="single" w:color="auto" w:sz="4" w:space="0"/>
              <w:right w:val="single" w:color="000000" w:sz="4" w:space="0"/>
            </w:tcBorders>
            <w:vAlign w:val="center"/>
          </w:tcPr>
          <w:p>
            <w:pPr>
              <w:pStyle w:val="525"/>
              <w:ind w:firstLine="0" w:firstLineChars="0"/>
              <w:rPr>
                <w:rFonts w:ascii="仿宋" w:hAnsi="仿宋" w:eastAsia="仿宋" w:cs="仿宋"/>
                <w:snapToGrid w:val="0"/>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6" w:hRule="atLeast"/>
        </w:trPr>
        <w:tc>
          <w:tcPr>
            <w:tcW w:w="600" w:type="dxa"/>
            <w:tcBorders>
              <w:left w:val="single" w:color="000000" w:sz="4" w:space="0"/>
              <w:bottom w:val="single" w:color="000000" w:sz="4" w:space="0"/>
              <w:right w:val="single" w:color="000000" w:sz="4" w:space="0"/>
            </w:tcBorders>
            <w:vAlign w:val="center"/>
          </w:tcPr>
          <w:p>
            <w:pPr>
              <w:jc w:val="center"/>
              <w:rPr>
                <w:rFonts w:ascii="仿宋" w:hAnsi="仿宋" w:eastAsia="仿宋" w:cs="仿宋"/>
                <w:sz w:val="24"/>
              </w:rPr>
            </w:pPr>
            <w:r>
              <w:rPr>
                <w:rFonts w:hint="eastAsia" w:ascii="仿宋" w:hAnsi="仿宋" w:eastAsia="仿宋" w:cs="仿宋"/>
                <w:sz w:val="24"/>
              </w:rPr>
              <w:t>2</w:t>
            </w:r>
          </w:p>
        </w:tc>
        <w:tc>
          <w:tcPr>
            <w:tcW w:w="4144" w:type="dxa"/>
            <w:gridSpan w:val="2"/>
            <w:tcBorders>
              <w:left w:val="single" w:color="000000" w:sz="4" w:space="0"/>
              <w:bottom w:val="single" w:color="000000" w:sz="4" w:space="0"/>
              <w:right w:val="single" w:color="auto" w:sz="4" w:space="0"/>
            </w:tcBorders>
            <w:vAlign w:val="center"/>
          </w:tcPr>
          <w:p>
            <w:pPr>
              <w:jc w:val="left"/>
              <w:rPr>
                <w:rFonts w:ascii="仿宋" w:hAnsi="仿宋" w:eastAsia="仿宋" w:cs="仿宋"/>
                <w:sz w:val="24"/>
              </w:rPr>
            </w:pPr>
            <w:r>
              <w:rPr>
                <w:rFonts w:hint="eastAsia" w:ascii="仿宋" w:hAnsi="仿宋" w:eastAsia="仿宋" w:cs="仿宋"/>
                <w:sz w:val="24"/>
              </w:rPr>
              <w:t>原有建筑的升级改造部分</w:t>
            </w:r>
          </w:p>
        </w:tc>
        <w:tc>
          <w:tcPr>
            <w:tcW w:w="638" w:type="dxa"/>
            <w:tcBorders>
              <w:left w:val="single" w:color="auto" w:sz="4" w:space="0"/>
              <w:bottom w:val="single" w:color="000000"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项</w:t>
            </w:r>
          </w:p>
        </w:tc>
        <w:tc>
          <w:tcPr>
            <w:tcW w:w="543" w:type="dxa"/>
            <w:tcBorders>
              <w:left w:val="single" w:color="auto" w:sz="4" w:space="0"/>
              <w:bottom w:val="single" w:color="000000" w:sz="4" w:space="0"/>
              <w:right w:val="single" w:color="000000" w:sz="4" w:space="0"/>
            </w:tcBorders>
            <w:vAlign w:val="center"/>
          </w:tcPr>
          <w:p>
            <w:pPr>
              <w:jc w:val="center"/>
              <w:rPr>
                <w:rFonts w:ascii="仿宋" w:hAnsi="仿宋" w:eastAsia="仿宋" w:cs="仿宋"/>
                <w:sz w:val="24"/>
              </w:rPr>
            </w:pPr>
            <w:r>
              <w:rPr>
                <w:rFonts w:hint="eastAsia" w:ascii="仿宋" w:hAnsi="仿宋" w:eastAsia="仿宋" w:cs="仿宋"/>
                <w:sz w:val="24"/>
              </w:rPr>
              <w:t>1</w:t>
            </w:r>
          </w:p>
        </w:tc>
        <w:tc>
          <w:tcPr>
            <w:tcW w:w="587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u w:val="single"/>
              </w:rPr>
            </w:pPr>
            <w:r>
              <w:rPr>
                <w:rFonts w:hint="eastAsia" w:ascii="仿宋" w:hAnsi="仿宋" w:eastAsia="仿宋" w:cs="仿宋"/>
                <w:sz w:val="24"/>
                <w:u w:val="single"/>
              </w:rPr>
              <w:t xml:space="preserve">      </w:t>
            </w:r>
            <w:r>
              <w:rPr>
                <w:rFonts w:hint="eastAsia" w:ascii="仿宋" w:hAnsi="仿宋" w:eastAsia="仿宋" w:cs="仿宋"/>
                <w:sz w:val="24"/>
                <w:lang w:val="zh-CN"/>
              </w:rPr>
              <w:t>%</w:t>
            </w:r>
          </w:p>
        </w:tc>
        <w:tc>
          <w:tcPr>
            <w:tcW w:w="2394" w:type="dxa"/>
            <w:tcBorders>
              <w:top w:val="single" w:color="000000" w:sz="4" w:space="0"/>
              <w:left w:val="single" w:color="000000" w:sz="4" w:space="0"/>
              <w:bottom w:val="single" w:color="000000" w:sz="4" w:space="0"/>
              <w:right w:val="single" w:color="000000" w:sz="4" w:space="0"/>
            </w:tcBorders>
            <w:vAlign w:val="center"/>
          </w:tcPr>
          <w:p>
            <w:pPr>
              <w:pStyle w:val="525"/>
              <w:ind w:firstLine="0" w:firstLineChars="0"/>
              <w:rPr>
                <w:rFonts w:ascii="仿宋" w:hAnsi="仿宋" w:eastAsia="仿宋" w:cs="仿宋"/>
              </w:rPr>
            </w:pPr>
            <w:r>
              <w:rPr>
                <w:rFonts w:hint="eastAsia" w:ascii="仿宋" w:hAnsi="仿宋" w:eastAsia="仿宋" w:cs="仿宋"/>
                <w:snapToGrid w:val="0"/>
                <w:kern w:val="0"/>
                <w:lang w:val="zh-CN"/>
              </w:rPr>
              <w:t>最高限价为</w:t>
            </w:r>
            <w:r>
              <w:rPr>
                <w:rFonts w:hint="eastAsia" w:ascii="仿宋" w:hAnsi="仿宋" w:eastAsia="仿宋" w:cs="仿宋"/>
                <w:snapToGrid w:val="0"/>
                <w:kern w:val="0"/>
              </w:rPr>
              <w:t>基准价</w:t>
            </w:r>
            <w:r>
              <w:rPr>
                <w:rFonts w:hint="eastAsia" w:ascii="仿宋" w:hAnsi="仿宋" w:eastAsia="仿宋" w:cs="仿宋"/>
                <w:snapToGrid w:val="0"/>
                <w:kern w:val="0"/>
                <w:lang w:val="zh-CN"/>
              </w:rPr>
              <w:t>的</w:t>
            </w:r>
            <w:r>
              <w:rPr>
                <w:rFonts w:hint="eastAsia" w:ascii="仿宋" w:hAnsi="仿宋" w:eastAsia="仿宋" w:cs="仿宋"/>
                <w:snapToGrid w:val="0"/>
                <w:kern w:val="0"/>
              </w:rPr>
              <w:t>90</w:t>
            </w:r>
            <w:r>
              <w:rPr>
                <w:rFonts w:hint="eastAsia" w:ascii="仿宋" w:hAnsi="仿宋" w:eastAsia="仿宋" w:cs="仿宋"/>
                <w:snapToGrid w:val="0"/>
                <w:kern w:val="0"/>
                <w:lang w:val="zh-CN"/>
              </w:rPr>
              <w:t>%，</w:t>
            </w:r>
            <w:r>
              <w:rPr>
                <w:rFonts w:hint="eastAsia" w:ascii="仿宋" w:hAnsi="仿宋" w:eastAsia="仿宋" w:cs="仿宋"/>
                <w:snapToGrid w:val="0"/>
                <w:kern w:val="0"/>
              </w:rPr>
              <w:t>累计合同金额不得超过90万元</w:t>
            </w:r>
          </w:p>
          <w:p>
            <w:pPr>
              <w:jc w:val="center"/>
              <w:rPr>
                <w:rFonts w:ascii="仿宋" w:hAnsi="仿宋" w:eastAsia="仿宋" w:cs="仿宋"/>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1" w:hRule="atLeast"/>
        </w:trPr>
        <w:tc>
          <w:tcPr>
            <w:tcW w:w="5925" w:type="dxa"/>
            <w:gridSpan w:val="5"/>
            <w:vMerge w:val="restart"/>
            <w:tcBorders>
              <w:top w:val="single" w:color="000000" w:sz="4" w:space="0"/>
              <w:left w:val="single" w:color="000000" w:sz="4" w:space="0"/>
              <w:bottom w:val="single" w:color="000000" w:sz="4" w:space="0"/>
              <w:right w:val="single" w:color="000000" w:sz="4" w:space="0"/>
            </w:tcBorders>
            <w:vAlign w:val="center"/>
          </w:tcPr>
          <w:p>
            <w:pPr>
              <w:ind w:firstLine="240" w:firstLineChars="100"/>
              <w:jc w:val="left"/>
              <w:rPr>
                <w:rFonts w:ascii="仿宋" w:hAnsi="仿宋" w:eastAsia="仿宋" w:cs="仿宋"/>
                <w:sz w:val="24"/>
                <w:lang w:val="zh-CN"/>
              </w:rPr>
            </w:pPr>
            <w:r>
              <w:rPr>
                <w:rFonts w:hint="eastAsia" w:ascii="仿宋" w:hAnsi="仿宋" w:eastAsia="仿宋" w:cs="仿宋"/>
                <w:sz w:val="24"/>
                <w:lang w:val="zh-CN"/>
              </w:rPr>
              <w:t>费用</w:t>
            </w:r>
            <w:r>
              <w:rPr>
                <w:rFonts w:hint="eastAsia" w:ascii="仿宋" w:hAnsi="仿宋" w:eastAsia="仿宋" w:cs="仿宋"/>
                <w:sz w:val="24"/>
              </w:rPr>
              <w:t>一</w:t>
            </w:r>
            <w:r>
              <w:rPr>
                <w:rFonts w:hint="eastAsia" w:ascii="仿宋" w:hAnsi="仿宋" w:eastAsia="仿宋" w:cs="仿宋"/>
                <w:sz w:val="24"/>
                <w:lang w:val="zh-CN"/>
              </w:rPr>
              <w:t>合计总价</w:t>
            </w:r>
          </w:p>
        </w:tc>
        <w:tc>
          <w:tcPr>
            <w:tcW w:w="5875"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sz w:val="24"/>
                <w:lang w:val="zh-CN"/>
              </w:rPr>
            </w:pPr>
            <w:r>
              <w:rPr>
                <w:rFonts w:hint="eastAsia" w:ascii="仿宋" w:hAnsi="仿宋" w:eastAsia="仿宋" w:cs="仿宋"/>
                <w:sz w:val="24"/>
                <w:lang w:val="zh-CN"/>
              </w:rPr>
              <w:t>小写（元）</w:t>
            </w:r>
          </w:p>
        </w:tc>
        <w:tc>
          <w:tcPr>
            <w:tcW w:w="2394" w:type="dxa"/>
            <w:tcBorders>
              <w:top w:val="single" w:color="000000" w:sz="4" w:space="0"/>
              <w:left w:val="single" w:color="000000" w:sz="4" w:space="0"/>
              <w:bottom w:val="single" w:color="auto" w:sz="4" w:space="0"/>
              <w:right w:val="single" w:color="000000" w:sz="4" w:space="0"/>
            </w:tcBorders>
            <w:vAlign w:val="center"/>
          </w:tcPr>
          <w:p>
            <w:pPr>
              <w:jc w:val="left"/>
              <w:rPr>
                <w:rFonts w:ascii="仿宋" w:hAnsi="仿宋" w:eastAsia="仿宋" w:cs="仿宋"/>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9" w:hRule="atLeast"/>
        </w:trPr>
        <w:tc>
          <w:tcPr>
            <w:tcW w:w="5925"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sz w:val="24"/>
                <w:lang w:val="zh-CN"/>
              </w:rPr>
            </w:pPr>
          </w:p>
        </w:tc>
        <w:tc>
          <w:tcPr>
            <w:tcW w:w="5875"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sz w:val="24"/>
                <w:lang w:val="zh-CN"/>
              </w:rPr>
            </w:pPr>
            <w:r>
              <w:rPr>
                <w:rFonts w:hint="eastAsia" w:ascii="仿宋" w:hAnsi="仿宋" w:eastAsia="仿宋" w:cs="仿宋"/>
                <w:sz w:val="24"/>
                <w:lang w:val="zh-CN"/>
              </w:rPr>
              <w:t>大写（元）</w:t>
            </w:r>
          </w:p>
        </w:tc>
        <w:tc>
          <w:tcPr>
            <w:tcW w:w="2394" w:type="dxa"/>
            <w:tcBorders>
              <w:top w:val="single" w:color="auto" w:sz="4" w:space="0"/>
              <w:left w:val="single" w:color="000000" w:sz="4" w:space="0"/>
              <w:right w:val="single" w:color="000000" w:sz="4" w:space="0"/>
            </w:tcBorders>
            <w:vAlign w:val="center"/>
          </w:tcPr>
          <w:p>
            <w:pPr>
              <w:jc w:val="left"/>
              <w:rPr>
                <w:rFonts w:ascii="仿宋" w:hAnsi="仿宋" w:eastAsia="仿宋" w:cs="仿宋"/>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9" w:hRule="atLeast"/>
        </w:trPr>
        <w:tc>
          <w:tcPr>
            <w:tcW w:w="5925" w:type="dxa"/>
            <w:gridSpan w:val="5"/>
            <w:tcBorders>
              <w:top w:val="single" w:color="000000" w:sz="4" w:space="0"/>
              <w:left w:val="single" w:color="000000" w:sz="4" w:space="0"/>
              <w:bottom w:val="single" w:color="000000" w:sz="4" w:space="0"/>
              <w:right w:val="single" w:color="000000" w:sz="4" w:space="0"/>
            </w:tcBorders>
            <w:vAlign w:val="center"/>
          </w:tcPr>
          <w:p>
            <w:pPr>
              <w:ind w:firstLine="240" w:firstLineChars="100"/>
              <w:jc w:val="left"/>
              <w:rPr>
                <w:rFonts w:ascii="仿宋" w:hAnsi="仿宋" w:eastAsia="仿宋" w:cs="仿宋"/>
                <w:sz w:val="24"/>
              </w:rPr>
            </w:pPr>
            <w:r>
              <w:rPr>
                <w:rFonts w:hint="eastAsia" w:ascii="仿宋" w:hAnsi="仿宋" w:eastAsia="仿宋" w:cs="仿宋"/>
                <w:sz w:val="24"/>
                <w:lang w:val="zh-CN"/>
              </w:rPr>
              <w:t>费用</w:t>
            </w:r>
            <w:r>
              <w:rPr>
                <w:rFonts w:hint="eastAsia" w:ascii="仿宋" w:hAnsi="仿宋" w:eastAsia="仿宋" w:cs="仿宋"/>
                <w:sz w:val="24"/>
              </w:rPr>
              <w:t>二合计总价</w:t>
            </w:r>
          </w:p>
        </w:tc>
        <w:tc>
          <w:tcPr>
            <w:tcW w:w="5875"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sz w:val="24"/>
                <w:lang w:val="zh-CN"/>
              </w:rPr>
            </w:pPr>
            <w:r>
              <w:rPr>
                <w:rFonts w:hint="eastAsia" w:ascii="仿宋" w:hAnsi="仿宋" w:eastAsia="仿宋" w:cs="仿宋"/>
                <w:sz w:val="24"/>
                <w:lang w:val="zh-CN"/>
              </w:rPr>
              <w:t>小写（</w:t>
            </w:r>
            <w:r>
              <w:rPr>
                <w:rFonts w:hint="eastAsia" w:ascii="仿宋" w:hAnsi="仿宋" w:eastAsia="仿宋" w:cs="仿宋"/>
                <w:sz w:val="24"/>
              </w:rPr>
              <w:t>%</w:t>
            </w:r>
            <w:r>
              <w:rPr>
                <w:rFonts w:hint="eastAsia" w:ascii="仿宋" w:hAnsi="仿宋" w:eastAsia="仿宋" w:cs="仿宋"/>
                <w:sz w:val="24"/>
                <w:lang w:val="zh-CN"/>
              </w:rPr>
              <w:t>）</w:t>
            </w:r>
          </w:p>
        </w:tc>
        <w:tc>
          <w:tcPr>
            <w:tcW w:w="2394" w:type="dxa"/>
            <w:tcBorders>
              <w:top w:val="single" w:color="auto" w:sz="4" w:space="0"/>
              <w:left w:val="single" w:color="000000" w:sz="4" w:space="0"/>
              <w:right w:val="single" w:color="000000" w:sz="4" w:space="0"/>
            </w:tcBorders>
            <w:vAlign w:val="center"/>
          </w:tcPr>
          <w:p>
            <w:pPr>
              <w:jc w:val="left"/>
              <w:rPr>
                <w:rFonts w:ascii="仿宋" w:hAnsi="仿宋" w:eastAsia="仿宋" w:cs="仿宋"/>
                <w:sz w:val="24"/>
                <w:lang w:val="zh-CN"/>
              </w:rPr>
            </w:pPr>
          </w:p>
        </w:tc>
      </w:tr>
    </w:tbl>
    <w:p>
      <w:pPr>
        <w:snapToGrid w:val="0"/>
        <w:spacing w:line="360" w:lineRule="auto"/>
        <w:ind w:left="480"/>
        <w:rPr>
          <w:rFonts w:ascii="仿宋" w:hAnsi="仿宋" w:eastAsia="仿宋" w:cs="仿宋"/>
          <w:b/>
          <w:bCs/>
          <w:kern w:val="0"/>
          <w:sz w:val="24"/>
          <w:lang w:val="zh-CN"/>
        </w:rPr>
      </w:pPr>
      <w:r>
        <w:rPr>
          <w:rFonts w:hint="eastAsia" w:ascii="仿宋" w:hAnsi="仿宋" w:eastAsia="仿宋" w:cs="仿宋"/>
          <w:b/>
          <w:bCs/>
          <w:kern w:val="0"/>
          <w:sz w:val="24"/>
          <w:lang w:val="zh-CN"/>
        </w:rPr>
        <w:t>注：</w:t>
      </w:r>
    </w:p>
    <w:p>
      <w:pPr>
        <w:spacing w:line="360" w:lineRule="auto"/>
        <w:ind w:left="-2"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1、投标人需按本表格式填写，不得自行更改。</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bCs/>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bCs/>
          <w:kern w:val="0"/>
          <w:sz w:val="24"/>
          <w:lang w:val="zh-CN"/>
        </w:rPr>
        <w:t>不得出现“0元”“免费赠送”等形式的无偿报价，</w:t>
      </w:r>
      <w:r>
        <w:rPr>
          <w:rFonts w:hint="eastAsia" w:ascii="仿宋" w:hAnsi="仿宋" w:eastAsia="仿宋" w:cs="仿宋"/>
          <w:b/>
          <w:bCs/>
          <w:kern w:val="0"/>
          <w:sz w:val="24"/>
        </w:rPr>
        <w:t>否则视为</w:t>
      </w:r>
      <w:r>
        <w:rPr>
          <w:rFonts w:hint="eastAsia" w:ascii="仿宋" w:hAnsi="仿宋" w:eastAsia="仿宋" w:cs="仿宋"/>
          <w:b/>
          <w:bCs/>
          <w:sz w:val="24"/>
        </w:rPr>
        <w:t>投标文件含有采购人不能接受的附加条件的，投标无效</w:t>
      </w:r>
      <w:r>
        <w:rPr>
          <w:rFonts w:hint="eastAsia" w:ascii="仿宋" w:hAnsi="仿宋" w:eastAsia="仿宋" w:cs="仿宋"/>
          <w:b/>
          <w:bCs/>
          <w:kern w:val="0"/>
          <w:sz w:val="24"/>
          <w:lang w:val="zh-CN"/>
        </w:rPr>
        <w:t>。</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仿宋_GB2312" w:hAnsi="仿宋" w:eastAsia="仿宋_GB2312" w:cs="仿宋_GB2312"/>
          <w:sz w:val="32"/>
          <w:szCs w:val="32"/>
        </w:rPr>
        <w:sectPr>
          <w:pgSz w:w="16838" w:h="11906" w:orient="landscape"/>
          <w:pgMar w:top="1417" w:right="1276" w:bottom="1417" w:left="1247" w:header="851" w:footer="992" w:gutter="0"/>
          <w:cols w:space="0" w:num="1"/>
          <w:titlePg/>
          <w:docGrid w:linePitch="312" w:charSpace="0"/>
        </w:sectPr>
      </w:pPr>
      <w:r>
        <w:rPr>
          <w:rFonts w:hint="eastAsia" w:ascii="仿宋" w:hAnsi="仿宋" w:eastAsia="仿宋" w:cs="仿宋"/>
          <w:kern w:val="0"/>
          <w:sz w:val="24"/>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79"/>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pStyle w:val="379"/>
        <w:tabs>
          <w:tab w:val="clear" w:pos="720"/>
        </w:tabs>
        <w:snapToGrid w:val="0"/>
        <w:spacing w:before="120" w:after="120"/>
        <w:ind w:firstLine="643"/>
        <w:outlineLvl w:val="9"/>
        <w:rPr>
          <w:rFonts w:ascii="仿宋_GB2312" w:hAnsi="宋体" w:eastAsia="仿宋_GB2312"/>
          <w:b w:val="0"/>
          <w:sz w:val="32"/>
          <w:szCs w:val="32"/>
        </w:rPr>
      </w:pPr>
    </w:p>
    <w:p>
      <w:pPr>
        <w:tabs>
          <w:tab w:val="left" w:pos="8085"/>
        </w:tabs>
        <w:spacing w:line="360" w:lineRule="auto"/>
        <w:jc w:val="center"/>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7"/>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7"/>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6"/>
        <w:pageBreakBefore/>
        <w:widowControl/>
        <w:spacing w:before="100" w:beforeAutospacing="1" w:after="100" w:afterAutospacing="1" w:line="360" w:lineRule="auto"/>
        <w:ind w:left="1290" w:firstLine="3092" w:firstLineChars="700"/>
        <w:rPr>
          <w:rFonts w:ascii="仿宋_GB2312" w:hAnsi="仿宋" w:eastAsia="仿宋_GB2312"/>
        </w:rPr>
      </w:pPr>
      <w:bookmarkStart w:id="551" w:name="_Toc465665161"/>
      <w:r>
        <w:rPr>
          <w:rFonts w:hint="eastAsia" w:ascii="仿宋_GB2312" w:hAnsi="仿宋" w:eastAsia="仿宋_GB2312"/>
        </w:rPr>
        <w:t>附件</w:t>
      </w:r>
      <w:bookmarkEnd w:id="551"/>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552" w:name="OLE_LINK13"/>
      <w:bookmarkStart w:id="553" w:name="OLE_LINK14"/>
      <w:r>
        <w:rPr>
          <w:rFonts w:hint="eastAsia" w:ascii="仿宋_GB2312" w:hAnsi="仿宋" w:eastAsia="仿宋_GB2312"/>
          <w:b/>
          <w:spacing w:val="6"/>
          <w:sz w:val="32"/>
          <w:szCs w:val="32"/>
        </w:rPr>
        <w:t>残疾人福利性单位声明函</w:t>
      </w:r>
    </w:p>
    <w:bookmarkEnd w:id="552"/>
    <w:bookmarkEnd w:id="553"/>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采购鸬鸟镇社会治理综合服务中心提升项目：</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（鸬鸟镇社会治理综合服务中心提升项目）项目</w:t>
      </w:r>
      <w:r>
        <w:rPr>
          <w:rFonts w:hint="eastAsia" w:ascii="仿宋" w:hAnsi="仿宋" w:eastAsia="仿宋" w:cs="仿宋_GB2312"/>
          <w:sz w:val="24"/>
        </w:rPr>
        <w:t>【招标编号：（</w:t>
      </w:r>
      <w:r>
        <w:rPr>
          <w:rFonts w:hint="eastAsia" w:ascii="仿宋" w:hAnsi="仿宋" w:eastAsia="仿宋" w:cs="仿宋_GB2312"/>
          <w:sz w:val="24"/>
          <w:lang w:eastAsia="zh-CN"/>
        </w:rPr>
        <w:t>NYZFCG2022-003</w:t>
      </w:r>
      <w:r>
        <w:rPr>
          <w:rFonts w:hint="eastAsia" w:ascii="仿宋" w:hAnsi="仿宋" w:eastAsia="仿宋" w:cs="仿宋_GB2312"/>
          <w:sz w:val="24"/>
        </w:rPr>
        <w:t>）</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（鸬鸟镇社会治理综合服务中心提升项目）</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（鸬鸟镇社会治理综合服务中心提升项目）</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7"/>
        <w:rPr>
          <w:lang w:val="en-US"/>
        </w:rPr>
      </w:pPr>
    </w:p>
    <w:p>
      <w:pPr>
        <w:spacing w:line="360" w:lineRule="auto"/>
        <w:ind w:right="420"/>
      </w:pPr>
    </w:p>
    <w:p>
      <w:pPr>
        <w:spacing w:line="360" w:lineRule="auto"/>
        <w:rPr>
          <w:rFonts w:ascii="仿宋" w:hAnsi="仿宋" w:eastAsia="仿宋"/>
          <w:bCs/>
          <w:sz w:val="24"/>
        </w:rPr>
      </w:pPr>
    </w:p>
    <w:sectPr>
      <w:headerReference r:id="rId21" w:type="first"/>
      <w:footerReference r:id="rId23" w:type="first"/>
      <w:headerReference r:id="rId20" w:type="default"/>
      <w:footerReference r:id="rId22" w:type="default"/>
      <w:pgSz w:w="11906" w:h="16838"/>
      <w:pgMar w:top="1276"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54" w:name="_Toc164085800"/>
    <w:bookmarkStart w:id="555" w:name="_Toc131845147"/>
    <w:bookmarkStart w:id="556" w:name="_Toc36110187"/>
    <w:bookmarkStart w:id="557" w:name="_Toc91899912"/>
    <w:r>
      <w:rPr>
        <w:rFonts w:hint="eastAsia" w:ascii="仿宋_GB2312" w:eastAsia="仿宋_GB2312"/>
        <w:kern w:val="0"/>
        <w:szCs w:val="21"/>
      </w:rPr>
      <w:t xml:space="preserve"> 页</w:t>
    </w:r>
    <w:bookmarkEnd w:id="554"/>
    <w:bookmarkEnd w:id="555"/>
    <w:bookmarkEnd w:id="556"/>
    <w:bookmarkEnd w:id="5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5"/>
      </w:rPr>
    </w:pPr>
    <w:r>
      <w:fldChar w:fldCharType="begin"/>
    </w:r>
    <w:r>
      <w:rPr>
        <w:rStyle w:val="75"/>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杭州市政府采购公开招标文件</w:t>
    </w:r>
  </w:p>
  <w:p>
    <w:pPr>
      <w:pStyle w:val="62"/>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6E30CD"/>
    <w:multiLevelType w:val="singleLevel"/>
    <w:tmpl w:val="E96E30CD"/>
    <w:lvl w:ilvl="0" w:tentative="0">
      <w:start w:val="6"/>
      <w:numFmt w:val="chineseCounting"/>
      <w:suff w:val="nothing"/>
      <w:lvlText w:val="%1、"/>
      <w:lvlJc w:val="left"/>
      <w:rPr>
        <w:rFonts w:hint="eastAsia"/>
      </w:rPr>
    </w:lvl>
  </w:abstractNum>
  <w:abstractNum w:abstractNumId="1">
    <w:nsid w:val="2EFE628C"/>
    <w:multiLevelType w:val="singleLevel"/>
    <w:tmpl w:val="2EFE628C"/>
    <w:lvl w:ilvl="0" w:tentative="0">
      <w:start w:val="2"/>
      <w:numFmt w:val="chineseCounting"/>
      <w:suff w:val="nothing"/>
      <w:lvlText w:val="%1、"/>
      <w:lvlJc w:val="left"/>
      <w:rPr>
        <w:rFonts w:hint="eastAsia"/>
      </w:rPr>
    </w:lvl>
  </w:abstractNum>
  <w:abstractNum w:abstractNumId="2">
    <w:nsid w:val="7AC06AF6"/>
    <w:multiLevelType w:val="singleLevel"/>
    <w:tmpl w:val="7AC06AF6"/>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YjRkNTI5ZTM1YmY2ZmQxOTYxNGM1MTViODAyMj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2AA"/>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42"/>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4FC2"/>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28F"/>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778"/>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2F62"/>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383"/>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9D2"/>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19C"/>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DC7"/>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61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0D1"/>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16A"/>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A1319"/>
    <w:rsid w:val="01D55165"/>
    <w:rsid w:val="01DF6BF8"/>
    <w:rsid w:val="01EC2C57"/>
    <w:rsid w:val="02583D44"/>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2219D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741A9A"/>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6132D0"/>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063BD5"/>
    <w:rsid w:val="172F2D79"/>
    <w:rsid w:val="17557BEF"/>
    <w:rsid w:val="17BF5F86"/>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BF0FF7"/>
    <w:rsid w:val="1AE4166C"/>
    <w:rsid w:val="1AF06CFB"/>
    <w:rsid w:val="1AF11B8D"/>
    <w:rsid w:val="1B11359C"/>
    <w:rsid w:val="1B2A271F"/>
    <w:rsid w:val="1B530544"/>
    <w:rsid w:val="1B713184"/>
    <w:rsid w:val="1BA209CF"/>
    <w:rsid w:val="1BB4777D"/>
    <w:rsid w:val="1BD75AB8"/>
    <w:rsid w:val="1C0459C2"/>
    <w:rsid w:val="1C1B3B4A"/>
    <w:rsid w:val="1C88086E"/>
    <w:rsid w:val="1CA25CAC"/>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EEB3685"/>
    <w:rsid w:val="1F0A0FF3"/>
    <w:rsid w:val="1F5771FF"/>
    <w:rsid w:val="1FD02C57"/>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0A2A6D"/>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994C08"/>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352A25"/>
    <w:rsid w:val="456D3CE4"/>
    <w:rsid w:val="4579042C"/>
    <w:rsid w:val="457F0571"/>
    <w:rsid w:val="45851176"/>
    <w:rsid w:val="45C63B94"/>
    <w:rsid w:val="460E7DA5"/>
    <w:rsid w:val="46422483"/>
    <w:rsid w:val="4659254A"/>
    <w:rsid w:val="465B0637"/>
    <w:rsid w:val="465E3F0D"/>
    <w:rsid w:val="466A16E6"/>
    <w:rsid w:val="46893F2B"/>
    <w:rsid w:val="46C4686E"/>
    <w:rsid w:val="47044DC2"/>
    <w:rsid w:val="477B778F"/>
    <w:rsid w:val="478203EC"/>
    <w:rsid w:val="47B025FA"/>
    <w:rsid w:val="47DD5340"/>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740D39"/>
    <w:rsid w:val="4D905305"/>
    <w:rsid w:val="4D964A72"/>
    <w:rsid w:val="4D9C1254"/>
    <w:rsid w:val="4E793892"/>
    <w:rsid w:val="4E800872"/>
    <w:rsid w:val="4E9D6AF4"/>
    <w:rsid w:val="4EC569ED"/>
    <w:rsid w:val="4ED50EA1"/>
    <w:rsid w:val="4EEC050C"/>
    <w:rsid w:val="4F104EC3"/>
    <w:rsid w:val="4F47354A"/>
    <w:rsid w:val="4F911C54"/>
    <w:rsid w:val="4FE625E0"/>
    <w:rsid w:val="5021480F"/>
    <w:rsid w:val="50750E8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2327A"/>
    <w:rsid w:val="597E3DD8"/>
    <w:rsid w:val="59F80043"/>
    <w:rsid w:val="5A09252F"/>
    <w:rsid w:val="5A0B2778"/>
    <w:rsid w:val="5A2A7C7B"/>
    <w:rsid w:val="5A3E2560"/>
    <w:rsid w:val="5A5D3B6E"/>
    <w:rsid w:val="5A637A76"/>
    <w:rsid w:val="5A6D33BA"/>
    <w:rsid w:val="5A792B1F"/>
    <w:rsid w:val="5A874767"/>
    <w:rsid w:val="5AAD6F28"/>
    <w:rsid w:val="5AD50114"/>
    <w:rsid w:val="5AD63A24"/>
    <w:rsid w:val="5B2E1A1D"/>
    <w:rsid w:val="5B843A1C"/>
    <w:rsid w:val="5B873E3F"/>
    <w:rsid w:val="5C02690E"/>
    <w:rsid w:val="5C196DA7"/>
    <w:rsid w:val="5C2A048C"/>
    <w:rsid w:val="5C80234E"/>
    <w:rsid w:val="5C8A680C"/>
    <w:rsid w:val="5CB046B2"/>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0152D8"/>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676D2D"/>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1733B5"/>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5238BE"/>
    <w:rsid w:val="777F31F2"/>
    <w:rsid w:val="77D1700D"/>
    <w:rsid w:val="77EC04CC"/>
    <w:rsid w:val="78775729"/>
    <w:rsid w:val="78A42DB0"/>
    <w:rsid w:val="78A656AB"/>
    <w:rsid w:val="78B2245C"/>
    <w:rsid w:val="78E172CC"/>
    <w:rsid w:val="78EA1D1F"/>
    <w:rsid w:val="7904172F"/>
    <w:rsid w:val="790B0551"/>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D912FF"/>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8">
    <w:name w:val="heading 3"/>
    <w:basedOn w:val="1"/>
    <w:next w:val="9"/>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54"/>
    <w:qFormat/>
    <w:uiPriority w:val="0"/>
    <w:pPr>
      <w:adjustRightInd/>
      <w:spacing w:after="120" w:line="240" w:lineRule="auto"/>
      <w:ind w:left="420" w:leftChars="200" w:firstLine="210"/>
    </w:pPr>
    <w:rPr>
      <w:sz w:val="21"/>
    </w:rPr>
  </w:style>
  <w:style w:type="paragraph" w:styleId="3">
    <w:name w:val="Body Text Indent"/>
    <w:basedOn w:val="1"/>
    <w:next w:val="4"/>
    <w:link w:val="782"/>
    <w:qFormat/>
    <w:uiPriority w:val="0"/>
    <w:pPr>
      <w:spacing w:line="480" w:lineRule="exact"/>
      <w:ind w:firstLine="480" w:firstLineChars="200"/>
    </w:pPr>
    <w:rPr>
      <w:rFonts w:ascii="宋体" w:hAnsi="宋体"/>
      <w:sz w:val="24"/>
    </w:rPr>
  </w:style>
  <w:style w:type="paragraph" w:customStyle="1" w:styleId="4">
    <w:name w:val="正文文本首行缩进 2"/>
    <w:basedOn w:val="5"/>
    <w:qFormat/>
    <w:uiPriority w:val="99"/>
    <w:pPr>
      <w:spacing w:line="200" w:lineRule="atLeast"/>
      <w:ind w:firstLine="420"/>
    </w:pPr>
    <w:rPr>
      <w:rFonts w:ascii="宋体" w:hAnsi="Courier New" w:cs="宋体"/>
      <w:spacing w:val="-4"/>
      <w:sz w:val="18"/>
      <w:szCs w:val="18"/>
    </w:rPr>
  </w:style>
  <w:style w:type="paragraph" w:customStyle="1" w:styleId="5">
    <w:name w:val="正文缩进1"/>
    <w:basedOn w:val="1"/>
    <w:next w:val="4"/>
    <w:qFormat/>
    <w:uiPriority w:val="0"/>
    <w:pPr>
      <w:autoSpaceDE w:val="0"/>
      <w:autoSpaceDN w:val="0"/>
      <w:snapToGrid w:val="0"/>
      <w:spacing w:after="120" w:line="360" w:lineRule="auto"/>
      <w:ind w:left="420" w:leftChars="200" w:firstLine="480" w:firstLineChars="200"/>
    </w:pPr>
    <w:rPr>
      <w:sz w:val="24"/>
      <w:szCs w:val="21"/>
    </w:rPr>
  </w:style>
  <w:style w:type="paragraph" w:styleId="9">
    <w:name w:val="Normal Indent"/>
    <w:basedOn w:val="1"/>
    <w:link w:val="719"/>
    <w:qFormat/>
    <w:uiPriority w:val="0"/>
    <w:pPr>
      <w:widowControl/>
      <w:snapToGrid w:val="0"/>
      <w:spacing w:line="480" w:lineRule="exact"/>
      <w:ind w:firstLine="567"/>
    </w:pPr>
    <w:rPr>
      <w:rFonts w:ascii="宋体"/>
      <w:snapToGrid w:val="0"/>
      <w:color w:val="000000"/>
      <w:kern w:val="28"/>
      <w:sz w:val="28"/>
      <w:szCs w:val="20"/>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751"/>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726"/>
    <w:qFormat/>
    <w:uiPriority w:val="0"/>
    <w:pPr>
      <w:shd w:val="clear" w:color="auto" w:fill="000080"/>
    </w:pPr>
  </w:style>
  <w:style w:type="paragraph" w:styleId="23">
    <w:name w:val="annotation text"/>
    <w:basedOn w:val="1"/>
    <w:link w:val="854"/>
    <w:qFormat/>
    <w:uiPriority w:val="99"/>
    <w:pPr>
      <w:jc w:val="left"/>
    </w:pPr>
  </w:style>
  <w:style w:type="paragraph" w:styleId="24">
    <w:name w:val="Salutation"/>
    <w:basedOn w:val="1"/>
    <w:next w:val="1"/>
    <w:link w:val="814"/>
    <w:qFormat/>
    <w:uiPriority w:val="0"/>
    <w:rPr>
      <w:rFonts w:ascii="仿宋_GB2312" w:eastAsia="仿宋_GB2312"/>
      <w:sz w:val="28"/>
      <w:szCs w:val="20"/>
    </w:rPr>
  </w:style>
  <w:style w:type="paragraph" w:styleId="25">
    <w:name w:val="Body Text 3"/>
    <w:basedOn w:val="1"/>
    <w:link w:val="842"/>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w:basedOn w:val="1"/>
    <w:next w:val="28"/>
    <w:link w:val="931"/>
    <w:qFormat/>
    <w:uiPriority w:val="0"/>
    <w:pPr>
      <w:autoSpaceDE w:val="0"/>
      <w:autoSpaceDN w:val="0"/>
      <w:spacing w:line="360" w:lineRule="auto"/>
    </w:pPr>
    <w:rPr>
      <w:rFonts w:ascii="宋体" w:hAnsi="Arial" w:cs="Arial"/>
      <w:snapToGrid w:val="0"/>
      <w:sz w:val="24"/>
      <w:szCs w:val="21"/>
      <w:lang w:val="zh-CN"/>
    </w:rPr>
  </w:style>
  <w:style w:type="paragraph" w:customStyle="1" w:styleId="28">
    <w:name w:val="_Style 2"/>
    <w:basedOn w:val="1"/>
    <w:next w:val="1"/>
    <w:qFormat/>
    <w:uiPriority w:val="0"/>
    <w:pPr>
      <w:pBdr>
        <w:bottom w:val="single" w:color="auto" w:sz="6" w:space="1"/>
      </w:pBdr>
      <w:jc w:val="center"/>
    </w:pPr>
    <w:rPr>
      <w:rFonts w:ascii="Arial" w:hAnsi="Calibri"/>
      <w:vanish/>
      <w:sz w:val="16"/>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743"/>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658"/>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708"/>
    <w:qFormat/>
    <w:uiPriority w:val="0"/>
    <w:pPr>
      <w:ind w:left="100" w:leftChars="2500"/>
    </w:pPr>
    <w:rPr>
      <w:rFonts w:ascii="宋体"/>
      <w:sz w:val="24"/>
      <w:szCs w:val="21"/>
      <w:lang w:val="zh-CN"/>
    </w:rPr>
  </w:style>
  <w:style w:type="paragraph" w:styleId="40">
    <w:name w:val="Body Text Indent 2"/>
    <w:basedOn w:val="1"/>
    <w:link w:val="822"/>
    <w:qFormat/>
    <w:uiPriority w:val="0"/>
    <w:pPr>
      <w:spacing w:line="360" w:lineRule="auto"/>
      <w:ind w:firstLine="601"/>
      <w:textAlignment w:val="baseline"/>
    </w:pPr>
    <w:rPr>
      <w:rFonts w:ascii="宋体"/>
      <w:kern w:val="0"/>
      <w:sz w:val="28"/>
      <w:szCs w:val="20"/>
    </w:rPr>
  </w:style>
  <w:style w:type="paragraph" w:styleId="41">
    <w:name w:val="endnote text"/>
    <w:basedOn w:val="1"/>
    <w:link w:val="939"/>
    <w:qFormat/>
    <w:uiPriority w:val="0"/>
    <w:rPr>
      <w:lang w:val="zh-CN"/>
    </w:rPr>
  </w:style>
  <w:style w:type="paragraph" w:styleId="42">
    <w:name w:val="Balloon Text"/>
    <w:basedOn w:val="1"/>
    <w:link w:val="715"/>
    <w:qFormat/>
    <w:uiPriority w:val="0"/>
    <w:rPr>
      <w:sz w:val="18"/>
      <w:szCs w:val="18"/>
    </w:rPr>
  </w:style>
  <w:style w:type="paragraph" w:styleId="43">
    <w:name w:val="footer"/>
    <w:basedOn w:val="1"/>
    <w:link w:val="890"/>
    <w:qFormat/>
    <w:uiPriority w:val="99"/>
    <w:pPr>
      <w:tabs>
        <w:tab w:val="center" w:pos="4153"/>
        <w:tab w:val="right" w:pos="8306"/>
      </w:tabs>
      <w:snapToGrid w:val="0"/>
      <w:jc w:val="left"/>
    </w:pPr>
    <w:rPr>
      <w:sz w:val="18"/>
      <w:szCs w:val="18"/>
    </w:rPr>
  </w:style>
  <w:style w:type="paragraph" w:styleId="44">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6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9"/>
    <w:link w:val="824"/>
    <w:qFormat/>
    <w:uiPriority w:val="0"/>
    <w:pPr>
      <w:adjustRightInd/>
      <w:snapToGrid/>
      <w:spacing w:before="60" w:after="60" w:line="300" w:lineRule="exact"/>
      <w:ind w:firstLine="0"/>
    </w:pPr>
    <w:rPr>
      <w:rFonts w:ascii="Calibri"/>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883"/>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818"/>
    <w:qFormat/>
    <w:uiPriority w:val="0"/>
    <w:pPr>
      <w:spacing w:after="120" w:line="480" w:lineRule="auto"/>
    </w:pPr>
  </w:style>
  <w:style w:type="paragraph" w:styleId="60">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802"/>
    <w:qFormat/>
    <w:uiPriority w:val="10"/>
    <w:pPr>
      <w:widowControl/>
      <w:overflowPunct w:val="0"/>
      <w:autoSpaceDE w:val="0"/>
      <w:autoSpaceDN w:val="0"/>
      <w:jc w:val="center"/>
      <w:textAlignment w:val="baseline"/>
    </w:pPr>
    <w:rPr>
      <w:b/>
      <w:kern w:val="0"/>
      <w:sz w:val="24"/>
      <w:szCs w:val="20"/>
    </w:rPr>
  </w:style>
  <w:style w:type="paragraph" w:styleId="63">
    <w:name w:val="annotation subject"/>
    <w:basedOn w:val="23"/>
    <w:next w:val="23"/>
    <w:link w:val="631"/>
    <w:qFormat/>
    <w:uiPriority w:val="0"/>
    <w:rPr>
      <w:b/>
      <w:bCs/>
    </w:rPr>
  </w:style>
  <w:style w:type="paragraph" w:styleId="64">
    <w:name w:val="Body Text First Indent"/>
    <w:basedOn w:val="27"/>
    <w:next w:val="1"/>
    <w:link w:val="833"/>
    <w:qFormat/>
    <w:uiPriority w:val="0"/>
    <w:pPr>
      <w:ind w:firstLine="420"/>
    </w:pPr>
    <w:rPr>
      <w:rFonts w:hAnsi="Calibri" w:cs="Times New Roman"/>
      <w:szCs w:val="20"/>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正文文本首行缩进 21"/>
    <w:basedOn w:val="5"/>
    <w:qFormat/>
    <w:uiPriority w:val="99"/>
    <w:pPr>
      <w:spacing w:line="200" w:lineRule="atLeast"/>
      <w:ind w:firstLine="420"/>
    </w:pPr>
    <w:rPr>
      <w:rFonts w:ascii="宋体" w:hAnsi="Courier New" w:cs="宋体"/>
      <w:spacing w:val="-4"/>
      <w:sz w:val="18"/>
      <w:szCs w:val="18"/>
    </w:rPr>
  </w:style>
  <w:style w:type="paragraph" w:customStyle="1" w:styleId="83">
    <w:name w:val="表格非标题文字"/>
    <w:link w:val="62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1"/>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29"/>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36"/>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4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3"/>
    <w:qFormat/>
    <w:uiPriority w:val="0"/>
    <w:pPr>
      <w:spacing w:before="156" w:line="360" w:lineRule="auto"/>
      <w:ind w:firstLine="510" w:firstLineChars="200"/>
    </w:pPr>
    <w:rPr>
      <w:sz w:val="24"/>
      <w:szCs w:val="20"/>
    </w:rPr>
  </w:style>
  <w:style w:type="paragraph" w:customStyle="1" w:styleId="89">
    <w:name w:val="无间隔1"/>
    <w:link w:val="671"/>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79"/>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89"/>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7"/>
    <w:link w:val="69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18"/>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4"/>
    <w:qFormat/>
    <w:uiPriority w:val="0"/>
    <w:pPr>
      <w:ind w:left="0" w:right="466" w:firstLine="288"/>
    </w:pPr>
    <w:rPr>
      <w:rFonts w:hAnsi="宋体"/>
    </w:rPr>
  </w:style>
  <w:style w:type="paragraph" w:customStyle="1" w:styleId="96">
    <w:name w:val="样式 标题 3h33rd level3BOD 0H3l3CTHeading 3 - oldLevel 3 He..."/>
    <w:basedOn w:val="8"/>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10"/>
    <w:link w:val="7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48"/>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66"/>
    <w:qFormat/>
    <w:uiPriority w:val="0"/>
    <w:pPr>
      <w:adjustRightInd/>
      <w:spacing w:line="360" w:lineRule="auto"/>
      <w:ind w:firstLine="480" w:firstLineChars="200"/>
    </w:pPr>
    <w:rPr>
      <w:kern w:val="0"/>
      <w:sz w:val="24"/>
    </w:rPr>
  </w:style>
  <w:style w:type="paragraph" w:customStyle="1" w:styleId="101">
    <w:name w:val="gf正文1"/>
    <w:basedOn w:val="1"/>
    <w:link w:val="77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列表段落1"/>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797"/>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19"/>
    <w:qFormat/>
    <w:uiPriority w:val="0"/>
    <w:pPr>
      <w:tabs>
        <w:tab w:val="left" w:pos="2356"/>
      </w:tabs>
    </w:pPr>
  </w:style>
  <w:style w:type="paragraph" w:customStyle="1" w:styleId="106">
    <w:name w:val="样式 标题 4h4H4Fab-4T5Ref Heading 1rh1Heading sqlsect 1.2.3...."/>
    <w:basedOn w:val="10"/>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2"/>
    <w:qFormat/>
    <w:uiPriority w:val="0"/>
    <w:pPr>
      <w:adjustRightInd/>
    </w:pPr>
    <w:rPr>
      <w:rFonts w:ascii="宋体" w:hAnsi="Courier New"/>
      <w:kern w:val="0"/>
      <w:sz w:val="20"/>
      <w:szCs w:val="20"/>
    </w:rPr>
  </w:style>
  <w:style w:type="paragraph" w:customStyle="1" w:styleId="109">
    <w:name w:val="正文说明"/>
    <w:basedOn w:val="1"/>
    <w:link w:val="844"/>
    <w:qFormat/>
    <w:uiPriority w:val="0"/>
    <w:pPr>
      <w:adjustRightInd/>
      <w:spacing w:line="360" w:lineRule="auto"/>
    </w:pPr>
    <w:rPr>
      <w:kern w:val="0"/>
      <w:sz w:val="24"/>
    </w:rPr>
  </w:style>
  <w:style w:type="paragraph" w:customStyle="1" w:styleId="110">
    <w:name w:val="Table Text"/>
    <w:basedOn w:val="1"/>
    <w:link w:val="850"/>
    <w:qFormat/>
    <w:uiPriority w:val="0"/>
    <w:pPr>
      <w:widowControl/>
      <w:spacing w:before="60" w:after="60"/>
      <w:jc w:val="left"/>
    </w:pPr>
    <w:rPr>
      <w:kern w:val="0"/>
      <w:sz w:val="24"/>
    </w:rPr>
  </w:style>
  <w:style w:type="paragraph" w:customStyle="1" w:styleId="111">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2"/>
    <w:qFormat/>
    <w:uiPriority w:val="0"/>
    <w:pPr>
      <w:widowControl/>
      <w:snapToGrid w:val="0"/>
      <w:spacing w:after="156" w:afterLines="50"/>
      <w:ind w:firstLine="200" w:firstLineChars="200"/>
    </w:pPr>
    <w:rPr>
      <w:kern w:val="0"/>
      <w:sz w:val="24"/>
      <w:szCs w:val="20"/>
    </w:rPr>
  </w:style>
  <w:style w:type="paragraph" w:customStyle="1" w:styleId="116">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9"/>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10"/>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312"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7"/>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qFormat/>
    <w:uiPriority w:val="0"/>
    <w:pPr>
      <w:keepNext/>
      <w:tabs>
        <w:tab w:val="left" w:pos="360"/>
      </w:tabs>
      <w:spacing w:before="0" w:after="0"/>
      <w:outlineLvl w:val="5"/>
    </w:pPr>
  </w:style>
  <w:style w:type="paragraph" w:customStyle="1" w:styleId="160">
    <w:name w:val="5级标题"/>
    <w:basedOn w:val="161"/>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1">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qFormat/>
    <w:uiPriority w:val="0"/>
    <w:pPr>
      <w:adjustRightInd/>
      <w:ind w:left="420" w:leftChars="200"/>
      <w:jc w:val="left"/>
    </w:pPr>
    <w:rPr>
      <w:sz w:val="28"/>
      <w:szCs w:val="20"/>
      <w:lang w:eastAsia="zh-TW"/>
    </w:rPr>
  </w:style>
  <w:style w:type="paragraph" w:customStyle="1" w:styleId="163">
    <w:name w:val="Char2 Char Char"/>
    <w:basedOn w:val="1"/>
    <w:qFormat/>
    <w:uiPriority w:val="0"/>
    <w:pPr>
      <w:adjustRightInd/>
    </w:pPr>
    <w:rPr>
      <w:rFonts w:ascii="Tahoma" w:hAnsi="Tahoma"/>
      <w:sz w:val="24"/>
      <w:szCs w:val="20"/>
    </w:rPr>
  </w:style>
  <w:style w:type="paragraph" w:customStyle="1" w:styleId="164">
    <w:name w:val="_Style 11"/>
    <w:basedOn w:val="1"/>
    <w:qFormat/>
    <w:uiPriority w:val="34"/>
    <w:pPr>
      <w:adjustRightInd/>
      <w:ind w:firstLine="420" w:firstLineChars="200"/>
    </w:pPr>
    <w:rPr>
      <w:rFonts w:eastAsia="仿宋_GB2312"/>
      <w:sz w:val="28"/>
    </w:rPr>
  </w:style>
  <w:style w:type="paragraph" w:customStyle="1" w:styleId="16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qFormat/>
    <w:uiPriority w:val="0"/>
    <w:rPr>
      <w:rFonts w:ascii="Tahoma" w:hAnsi="Tahoma"/>
      <w:sz w:val="24"/>
      <w:szCs w:val="20"/>
    </w:rPr>
  </w:style>
  <w:style w:type="paragraph" w:customStyle="1" w:styleId="167">
    <w:name w:val="数字标题6"/>
    <w:basedOn w:val="12"/>
    <w:next w:val="1"/>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无间隔2"/>
    <w:basedOn w:val="1"/>
    <w:link w:val="940"/>
    <w:qFormat/>
    <w:uiPriority w:val="99"/>
    <w:rPr>
      <w:szCs w:val="22"/>
    </w:rPr>
  </w:style>
  <w:style w:type="paragraph" w:customStyle="1" w:styleId="17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qFormat/>
    <w:uiPriority w:val="6"/>
    <w:rPr>
      <w:rFonts w:ascii="Tahoma" w:hAnsi="Tahoma" w:cs="仿宋_GB2312"/>
      <w:sz w:val="24"/>
      <w:szCs w:val="20"/>
    </w:rPr>
  </w:style>
  <w:style w:type="paragraph" w:customStyle="1" w:styleId="17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7"/>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qFormat/>
    <w:uiPriority w:val="0"/>
    <w:pPr>
      <w:adjustRightInd/>
    </w:pPr>
  </w:style>
  <w:style w:type="paragraph" w:customStyle="1" w:styleId="177">
    <w:name w:val="Char5"/>
    <w:basedOn w:val="1"/>
    <w:qFormat/>
    <w:uiPriority w:val="0"/>
    <w:rPr>
      <w:rFonts w:ascii="仿宋_GB2312" w:eastAsia="仿宋_GB2312"/>
      <w:b/>
      <w:sz w:val="32"/>
      <w:szCs w:val="32"/>
    </w:rPr>
  </w:style>
  <w:style w:type="paragraph" w:customStyle="1" w:styleId="178">
    <w:name w:val="TOC 标题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qFormat/>
    <w:uiPriority w:val="0"/>
    <w:rPr>
      <w:rFonts w:ascii="仿宋_GB2312" w:eastAsia="仿宋_GB2312"/>
      <w:b/>
      <w:sz w:val="32"/>
      <w:szCs w:val="32"/>
    </w:rPr>
  </w:style>
  <w:style w:type="paragraph" w:customStyle="1" w:styleId="182">
    <w:name w:val="数字标题3"/>
    <w:basedOn w:val="8"/>
    <w:next w:val="1"/>
    <w:qFormat/>
    <w:uiPriority w:val="0"/>
    <w:pPr>
      <w:spacing w:line="240" w:lineRule="auto"/>
    </w:pPr>
    <w:rPr>
      <w:sz w:val="28"/>
      <w:szCs w:val="28"/>
    </w:rPr>
  </w:style>
  <w:style w:type="paragraph" w:customStyle="1" w:styleId="183">
    <w:name w:val="FA正文"/>
    <w:basedOn w:val="1"/>
    <w:qFormat/>
    <w:uiPriority w:val="0"/>
    <w:pPr>
      <w:spacing w:line="360" w:lineRule="auto"/>
      <w:ind w:firstLine="480" w:firstLineChars="200"/>
    </w:pPr>
    <w:rPr>
      <w:rFonts w:hAnsi="宋体"/>
      <w:sz w:val="24"/>
      <w:szCs w:val="20"/>
    </w:rPr>
  </w:style>
  <w:style w:type="paragraph" w:customStyle="1" w:styleId="184">
    <w:name w:val="MM Topic 5"/>
    <w:basedOn w:val="11"/>
    <w:qFormat/>
    <w:uiPriority w:val="0"/>
    <w:pPr>
      <w:tabs>
        <w:tab w:val="left" w:pos="2520"/>
        <w:tab w:val="clear" w:pos="1008"/>
      </w:tabs>
      <w:adjustRightInd/>
      <w:ind w:left="2520" w:hanging="420"/>
    </w:pPr>
  </w:style>
  <w:style w:type="paragraph" w:customStyle="1" w:styleId="185">
    <w:name w:val="Char Char Char Char Char Char Char Char Char Char1"/>
    <w:basedOn w:val="1"/>
    <w:qFormat/>
    <w:uiPriority w:val="0"/>
    <w:rPr>
      <w:rFonts w:ascii="仿宋_GB2312" w:eastAsia="仿宋_GB2312"/>
      <w:b/>
      <w:sz w:val="32"/>
      <w:szCs w:val="32"/>
    </w:rPr>
  </w:style>
  <w:style w:type="paragraph" w:customStyle="1" w:styleId="18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qFormat/>
    <w:uiPriority w:val="0"/>
    <w:rPr>
      <w:rFonts w:ascii="仿宋_GB2312" w:eastAsia="仿宋_GB2312"/>
      <w:b/>
      <w:sz w:val="32"/>
      <w:szCs w:val="32"/>
    </w:rPr>
  </w:style>
  <w:style w:type="paragraph" w:customStyle="1" w:styleId="189">
    <w:name w:val="Char2 Char Char Char1"/>
    <w:basedOn w:val="1"/>
    <w:qFormat/>
    <w:uiPriority w:val="6"/>
    <w:rPr>
      <w:rFonts w:ascii="仿宋_GB2312" w:eastAsia="仿宋_GB2312"/>
      <w:b/>
      <w:sz w:val="32"/>
      <w:szCs w:val="32"/>
    </w:rPr>
  </w:style>
  <w:style w:type="paragraph" w:customStyle="1" w:styleId="190">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qFormat/>
    <w:uiPriority w:val="0"/>
    <w:pPr>
      <w:snapToGrid w:val="0"/>
      <w:spacing w:line="0" w:lineRule="atLeast"/>
      <w:ind w:firstLine="200" w:firstLineChars="200"/>
      <w:jc w:val="center"/>
    </w:pPr>
    <w:rPr>
      <w:sz w:val="24"/>
      <w:szCs w:val="20"/>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8"/>
    <w:qFormat/>
    <w:uiPriority w:val="0"/>
    <w:pPr>
      <w:tabs>
        <w:tab w:val="left" w:pos="1680"/>
        <w:tab w:val="clear" w:pos="900"/>
      </w:tabs>
      <w:adjustRightInd/>
      <w:ind w:left="1680" w:hanging="420"/>
    </w:p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7"/>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qFormat/>
    <w:uiPriority w:val="0"/>
    <w:pPr>
      <w:adjustRightInd/>
      <w:snapToGrid w:val="0"/>
      <w:spacing w:line="300" w:lineRule="auto"/>
    </w:pPr>
    <w:rPr>
      <w:rFonts w:eastAsia="仿宋"/>
      <w:szCs w:val="21"/>
    </w:rPr>
  </w:style>
  <w:style w:type="paragraph" w:customStyle="1" w:styleId="1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qFormat/>
    <w:uiPriority w:val="6"/>
    <w:pPr>
      <w:adjustRightInd/>
    </w:pPr>
    <w:rPr>
      <w:rFonts w:ascii="Tahoma" w:hAnsi="Tahoma"/>
      <w:sz w:val="24"/>
      <w:szCs w:val="20"/>
    </w:rPr>
  </w:style>
  <w:style w:type="paragraph" w:customStyle="1" w:styleId="199">
    <w:name w:val="列出段落5"/>
    <w:basedOn w:val="1"/>
    <w:qFormat/>
    <w:uiPriority w:val="0"/>
    <w:pPr>
      <w:spacing w:line="360" w:lineRule="auto"/>
      <w:ind w:firstLine="200" w:firstLineChars="200"/>
    </w:pPr>
    <w:rPr>
      <w:rFonts w:eastAsia="楷体_GB2312" w:cs="Lucida Sans"/>
      <w:sz w:val="24"/>
    </w:rPr>
  </w:style>
  <w:style w:type="paragraph" w:customStyle="1" w:styleId="20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9"/>
    <w:qFormat/>
    <w:uiPriority w:val="0"/>
    <w:pPr>
      <w:adjustRightInd/>
      <w:ind w:firstLine="200" w:firstLineChars="200"/>
    </w:pPr>
    <w:rPr>
      <w:rFonts w:ascii="Arial" w:hAnsi="Arial"/>
      <w:spacing w:val="-5"/>
      <w:kern w:val="0"/>
      <w:sz w:val="24"/>
      <w:szCs w:val="20"/>
    </w:rPr>
  </w:style>
  <w:style w:type="paragraph" w:customStyle="1" w:styleId="20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6"/>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qFormat/>
    <w:uiPriority w:val="0"/>
    <w:pPr>
      <w:adjustRightInd/>
      <w:ind w:firstLine="420" w:firstLineChars="200"/>
    </w:pPr>
    <w:rPr>
      <w:rFonts w:eastAsia="仿宋_GB2312"/>
      <w:sz w:val="28"/>
    </w:rPr>
  </w:style>
  <w:style w:type="paragraph" w:customStyle="1" w:styleId="2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6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qFormat/>
    <w:uiPriority w:val="0"/>
    <w:pPr>
      <w:adjustRightInd/>
      <w:ind w:firstLine="200" w:firstLineChars="200"/>
      <w:jc w:val="right"/>
    </w:p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正文1.25"/>
    <w:basedOn w:val="1"/>
    <w:qFormat/>
    <w:uiPriority w:val="0"/>
    <w:pPr>
      <w:adjustRightInd/>
      <w:spacing w:line="300" w:lineRule="auto"/>
      <w:ind w:firstLine="480" w:firstLineChars="200"/>
    </w:pPr>
    <w:rPr>
      <w:sz w:val="24"/>
      <w:szCs w:val="20"/>
    </w:rPr>
  </w:style>
  <w:style w:type="paragraph" w:customStyle="1" w:styleId="2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qFormat/>
    <w:uiPriority w:val="6"/>
    <w:rPr>
      <w:rFonts w:ascii="仿宋_GB2312" w:eastAsia="仿宋_GB2312"/>
      <w:b/>
      <w:sz w:val="32"/>
      <w:szCs w:val="20"/>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qFormat/>
    <w:uiPriority w:val="0"/>
    <w:rPr>
      <w:rFonts w:eastAsia="仿宋_GB2312"/>
      <w:sz w:val="28"/>
      <w:szCs w:val="20"/>
    </w:rPr>
  </w:style>
  <w:style w:type="paragraph" w:customStyle="1" w:styleId="21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10"/>
    <w:qFormat/>
    <w:uiPriority w:val="0"/>
    <w:pPr>
      <w:widowControl/>
      <w:jc w:val="left"/>
    </w:pPr>
    <w:rPr>
      <w:rFonts w:cs="宋体"/>
      <w:sz w:val="24"/>
      <w:szCs w:val="20"/>
    </w:rPr>
  </w:style>
  <w:style w:type="paragraph" w:customStyle="1" w:styleId="221">
    <w:name w:val="彩色列表 - 强调文字颜色 11"/>
    <w:basedOn w:val="1"/>
    <w:qFormat/>
    <w:uiPriority w:val="0"/>
    <w:pPr>
      <w:adjustRightInd/>
      <w:ind w:firstLine="420" w:firstLineChars="200"/>
    </w:pPr>
    <w:rPr>
      <w:rFonts w:ascii="Calibri" w:hAnsi="Calibri"/>
      <w:szCs w:val="22"/>
    </w:rPr>
  </w:style>
  <w:style w:type="paragraph" w:customStyle="1" w:styleId="22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qFormat/>
    <w:uiPriority w:val="6"/>
    <w:rPr>
      <w:szCs w:val="20"/>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7"/>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99"/>
    <w:next w:val="99"/>
    <w:qFormat/>
    <w:uiPriority w:val="0"/>
    <w:pPr>
      <w:spacing w:after="68"/>
    </w:pPr>
    <w:rPr>
      <w:rFonts w:ascii="FHLHE E+ Futura Bk" w:eastAsia="FHLHE E+ Futura Bk" w:cs="Times New Roman"/>
      <w:color w:val="auto"/>
    </w:rPr>
  </w:style>
  <w:style w:type="paragraph" w:customStyle="1" w:styleId="23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99"/>
    <w:next w:val="99"/>
    <w:qFormat/>
    <w:uiPriority w:val="0"/>
    <w:rPr>
      <w:rFonts w:ascii="宋体" w:eastAsia="宋体" w:cs="Times New Roman"/>
      <w:color w:val="auto"/>
    </w:rPr>
  </w:style>
  <w:style w:type="paragraph" w:customStyle="1" w:styleId="2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qFormat/>
    <w:uiPriority w:val="0"/>
    <w:rPr>
      <w:rFonts w:ascii="仿宋_GB2312" w:eastAsia="仿宋_GB2312"/>
      <w:b/>
      <w:sz w:val="32"/>
      <w:szCs w:val="32"/>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qFormat/>
    <w:uiPriority w:val="0"/>
    <w:pPr>
      <w:spacing w:line="360" w:lineRule="auto"/>
    </w:pPr>
    <w:rPr>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qFormat/>
    <w:uiPriority w:val="0"/>
    <w:rPr>
      <w:szCs w:val="20"/>
    </w:rPr>
  </w:style>
  <w:style w:type="paragraph" w:customStyle="1" w:styleId="245">
    <w:name w:val="正文标准"/>
    <w:basedOn w:val="1"/>
    <w:qFormat/>
    <w:uiPriority w:val="0"/>
    <w:pPr>
      <w:adjustRightInd/>
      <w:spacing w:line="360" w:lineRule="auto"/>
      <w:ind w:firstLine="200" w:firstLineChars="200"/>
    </w:pPr>
    <w:rPr>
      <w:rFonts w:ascii="宋体" w:hAnsi="Calibri"/>
      <w:sz w:val="24"/>
    </w:rPr>
  </w:style>
  <w:style w:type="paragraph" w:customStyle="1" w:styleId="24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9"/>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156"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7"/>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9"/>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2">
    <w:name w:val="小节"/>
    <w:basedOn w:val="8"/>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7"/>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8"/>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6"/>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10"/>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32"/>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7"/>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156"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0" w:beforeLines="0" w:after="0" w:afterLines="0"/>
      <w:ind w:left="1680"/>
      <w:outlineLvl w:val="2"/>
    </w:pPr>
  </w:style>
  <w:style w:type="paragraph" w:customStyle="1" w:styleId="344">
    <w:name w:val="章标题"/>
    <w:next w:val="32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7"/>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6"/>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6"/>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10"/>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7"/>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7"/>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40"/>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8"/>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7"/>
    <w:qFormat/>
    <w:uiPriority w:val="0"/>
    <w:pPr>
      <w:snapToGrid w:val="0"/>
      <w:ind w:firstLine="480" w:firstLineChars="200"/>
    </w:pPr>
    <w:rPr>
      <w:rFonts w:ascii="Times New Roman"/>
      <w:szCs w:val="24"/>
      <w:lang w:val="en-US"/>
    </w:rPr>
  </w:style>
  <w:style w:type="paragraph" w:customStyle="1" w:styleId="45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62"/>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9"/>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8"/>
    <w:next w:val="56"/>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6"/>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6"/>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1"/>
    <w:next w:val="326"/>
    <w:qFormat/>
    <w:uiPriority w:val="0"/>
    <w:pPr>
      <w:tabs>
        <w:tab w:val="left" w:pos="294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10"/>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7"/>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正文1"/>
    <w:basedOn w:val="35"/>
    <w:next w:val="1"/>
    <w:qFormat/>
    <w:uiPriority w:val="0"/>
    <w:pPr>
      <w:ind w:left="0" w:leftChars="0" w:firstLine="480" w:firstLineChars="200"/>
    </w:pPr>
    <w:rPr>
      <w:rFonts w:ascii="仿宋_GB2312" w:hAnsi="Courier New" w:eastAsia="仿宋_GB2312"/>
      <w:kern w:val="28"/>
      <w:sz w:val="24"/>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22"/>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8"/>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4"/>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8"/>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6"/>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4"/>
    <w:qFormat/>
    <w:uiPriority w:val="0"/>
    <w:rPr>
      <w:b w:val="0"/>
      <w:sz w:val="20"/>
    </w:rPr>
  </w:style>
  <w:style w:type="paragraph" w:customStyle="1" w:styleId="579">
    <w:name w:val="正文首行缩进1"/>
    <w:basedOn w:val="27"/>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11"/>
    <w:next w:val="1"/>
    <w:qFormat/>
    <w:uiPriority w:val="0"/>
    <w:pPr>
      <w:tabs>
        <w:tab w:val="left" w:pos="1080"/>
        <w:tab w:val="clear" w:pos="1008"/>
      </w:tabs>
      <w:ind w:left="1080" w:hanging="1080"/>
    </w:pPr>
  </w:style>
  <w:style w:type="paragraph" w:customStyle="1" w:styleId="582">
    <w:name w:val="数字标题1"/>
    <w:basedOn w:val="6"/>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29"/>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8"/>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8">
    <w:name w:val="_Style 947"/>
    <w:basedOn w:val="1"/>
    <w:next w:val="103"/>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7"/>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20">
    <w:name w:val="表格非标题文字 Char"/>
    <w:link w:val="83"/>
    <w:qFormat/>
    <w:uiPriority w:val="0"/>
    <w:rPr>
      <w:rFonts w:ascii="Futura Bk" w:hAnsi="Futura Bk"/>
      <w:kern w:val="2"/>
      <w:sz w:val="18"/>
      <w:szCs w:val="21"/>
      <w:lang w:val="en-US" w:eastAsia="zh-CN" w:bidi="ar-SA"/>
    </w:rPr>
  </w:style>
  <w:style w:type="character" w:customStyle="1" w:styleId="621">
    <w:name w:val="*正文 Char"/>
    <w:link w:val="84"/>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5"/>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字符"/>
    <w:link w:val="63"/>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6"/>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87"/>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文本首行缩进 2 字符"/>
    <w:link w:val="2"/>
    <w:qFormat/>
    <w:uiPriority w:val="0"/>
    <w:rPr>
      <w:rFonts w:ascii="宋体" w:hAnsi="宋体"/>
      <w:kern w:val="2"/>
      <w:sz w:val="21"/>
      <w:szCs w:val="24"/>
    </w:rPr>
  </w:style>
  <w:style w:type="character" w:customStyle="1" w:styleId="655">
    <w:name w:val="font11"/>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72"/>
    <w:qFormat/>
    <w:uiPriority w:val="0"/>
    <w:rPr>
      <w:rFonts w:ascii="Arial" w:hAnsi="Arial" w:eastAsia="黑体" w:cs="Arial"/>
      <w:snapToGrid w:val="0"/>
      <w:kern w:val="0"/>
      <w:szCs w:val="21"/>
    </w:rPr>
  </w:style>
  <w:style w:type="character" w:customStyle="1" w:styleId="658">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8"/>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字符"/>
    <w:link w:val="50"/>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9"/>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qFormat/>
    <w:uiPriority w:val="0"/>
    <w:rPr>
      <w:rFonts w:hint="eastAsia" w:ascii="仿宋_GB2312" w:eastAsia="仿宋_GB2312" w:cs="仿宋_GB2312"/>
      <w:color w:val="000000"/>
      <w:sz w:val="22"/>
      <w:szCs w:val="22"/>
      <w:u w:val="none"/>
    </w:rPr>
  </w:style>
  <w:style w:type="character" w:customStyle="1" w:styleId="678">
    <w:name w:val="标题 6 字符"/>
    <w:link w:val="12"/>
    <w:qFormat/>
    <w:uiPriority w:val="0"/>
    <w:rPr>
      <w:rFonts w:ascii="Arial" w:hAnsi="Arial" w:eastAsia="黑体"/>
      <w:b/>
      <w:bCs/>
      <w:kern w:val="2"/>
      <w:sz w:val="24"/>
      <w:szCs w:val="24"/>
    </w:rPr>
  </w:style>
  <w:style w:type="character" w:customStyle="1" w:styleId="679">
    <w:name w:val="纯文本 Char_0"/>
    <w:link w:val="90"/>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92"/>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3"/>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字符"/>
    <w:link w:val="39"/>
    <w:qFormat/>
    <w:uiPriority w:val="0"/>
    <w:rPr>
      <w:rFonts w:ascii="宋体"/>
      <w:kern w:val="2"/>
      <w:sz w:val="24"/>
      <w:szCs w:val="21"/>
      <w:lang w:val="zh-CN"/>
    </w:rPr>
  </w:style>
  <w:style w:type="character" w:customStyle="1" w:styleId="709">
    <w:name w:val="标题 9 字符"/>
    <w:link w:val="15"/>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99"/>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字符1"/>
    <w:link w:val="42"/>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4"/>
    <w:qFormat/>
    <w:locked/>
    <w:uiPriority w:val="0"/>
    <w:rPr>
      <w:rFonts w:ascii="Tahoma" w:hAnsi="Tahoma"/>
      <w:sz w:val="24"/>
      <w:szCs w:val="24"/>
    </w:rPr>
  </w:style>
  <w:style w:type="character" w:customStyle="1" w:styleId="719">
    <w:name w:val="正文缩进 字符2"/>
    <w:link w:val="9"/>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5"/>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字符"/>
    <w:link w:val="22"/>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72"/>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字符"/>
    <w:link w:val="33"/>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7"/>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8"/>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字符"/>
    <w:link w:val="20"/>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9"/>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100"/>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101"/>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102"/>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字符1"/>
    <w:link w:val="3"/>
    <w:qFormat/>
    <w:uiPriority w:val="0"/>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4"/>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字符1"/>
    <w:link w:val="6"/>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字符"/>
    <w:link w:val="62"/>
    <w:qFormat/>
    <w:uiPriority w:val="10"/>
    <w:rPr>
      <w:b/>
      <w:sz w:val="24"/>
    </w:rPr>
  </w:style>
  <w:style w:type="character" w:customStyle="1" w:styleId="803">
    <w:name w:val="font81"/>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字符"/>
    <w:link w:val="11"/>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字符"/>
    <w:link w:val="24"/>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字符"/>
    <w:link w:val="60"/>
    <w:qFormat/>
    <w:uiPriority w:val="0"/>
    <w:rPr>
      <w:rFonts w:ascii="黑体" w:hAnsi="Courier New" w:eastAsia="黑体"/>
    </w:rPr>
  </w:style>
  <w:style w:type="character" w:customStyle="1" w:styleId="818">
    <w:name w:val="正文文本 2 字符1"/>
    <w:link w:val="59"/>
    <w:qFormat/>
    <w:uiPriority w:val="0"/>
    <w:rPr>
      <w:kern w:val="2"/>
      <w:sz w:val="21"/>
      <w:szCs w:val="24"/>
    </w:rPr>
  </w:style>
  <w:style w:type="character" w:customStyle="1" w:styleId="819">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字符"/>
    <w:link w:val="13"/>
    <w:qFormat/>
    <w:uiPriority w:val="0"/>
    <w:rPr>
      <w:b/>
      <w:bCs/>
      <w:kern w:val="2"/>
      <w:sz w:val="24"/>
      <w:szCs w:val="24"/>
    </w:rPr>
  </w:style>
  <w:style w:type="character" w:customStyle="1" w:styleId="822">
    <w:name w:val="正文文本缩进 2 字符"/>
    <w:link w:val="40"/>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字符"/>
    <w:link w:val="53"/>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basedOn w:val="72"/>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7"/>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8"/>
    <w:qFormat/>
    <w:uiPriority w:val="0"/>
    <w:rPr>
      <w:rFonts w:ascii="宋体" w:hAnsi="Courier New"/>
    </w:rPr>
  </w:style>
  <w:style w:type="character" w:customStyle="1" w:styleId="833">
    <w:name w:val="正文文本首行缩进 字符"/>
    <w:link w:val="64"/>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字符1"/>
    <w:link w:val="10"/>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字符"/>
    <w:link w:val="25"/>
    <w:qFormat/>
    <w:uiPriority w:val="0"/>
    <w:rPr>
      <w:kern w:val="2"/>
      <w:sz w:val="21"/>
    </w:rPr>
  </w:style>
  <w:style w:type="character" w:customStyle="1" w:styleId="843">
    <w:name w:val="font31"/>
    <w:qFormat/>
    <w:uiPriority w:val="0"/>
    <w:rPr>
      <w:rFonts w:hint="eastAsia" w:ascii="仿宋" w:hAnsi="仿宋" w:eastAsia="仿宋" w:cs="仿宋"/>
      <w:color w:val="000000"/>
      <w:sz w:val="20"/>
      <w:szCs w:val="20"/>
      <w:u w:val="none"/>
    </w:rPr>
  </w:style>
  <w:style w:type="character" w:customStyle="1" w:styleId="844">
    <w:name w:val="正文说明 Char"/>
    <w:link w:val="109"/>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10"/>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字符1"/>
    <w:link w:val="23"/>
    <w:qFormat/>
    <w:uiPriority w:val="0"/>
    <w:rPr>
      <w:kern w:val="2"/>
      <w:sz w:val="21"/>
      <w:szCs w:val="24"/>
    </w:rPr>
  </w:style>
  <w:style w:type="character" w:customStyle="1" w:styleId="855">
    <w:name w:val="签名 字符"/>
    <w:link w:val="45"/>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11"/>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qFormat/>
    <w:uiPriority w:val="0"/>
    <w:rPr>
      <w:rFonts w:hint="eastAsia" w:ascii="宋体" w:hAnsi="宋体" w:eastAsia="宋体"/>
      <w:b/>
      <w:spacing w:val="-2"/>
      <w:sz w:val="24"/>
      <w:lang w:val="en-US" w:eastAsia="zh-CN" w:bidi="ar-SA"/>
    </w:rPr>
  </w:style>
  <w:style w:type="character" w:customStyle="1" w:styleId="865">
    <w:name w:val="正文（缩进2汉字） Char"/>
    <w:link w:val="112"/>
    <w:qFormat/>
    <w:uiPriority w:val="0"/>
    <w:rPr>
      <w:rFonts w:ascii="宋体"/>
    </w:rPr>
  </w:style>
  <w:style w:type="character" w:customStyle="1" w:styleId="866">
    <w:name w:val="标题 8 字符"/>
    <w:link w:val="14"/>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字符"/>
    <w:link w:val="56"/>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3"/>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字符2"/>
    <w:link w:val="43"/>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4"/>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字符2"/>
    <w:link w:val="44"/>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5"/>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6"/>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7"/>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8"/>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72"/>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9"/>
    <w:qFormat/>
    <w:uiPriority w:val="0"/>
    <w:rPr>
      <w:rFonts w:cs="宋体"/>
      <w:kern w:val="2"/>
      <w:sz w:val="24"/>
    </w:rPr>
  </w:style>
  <w:style w:type="character" w:customStyle="1" w:styleId="931">
    <w:name w:val="正文文本 字符"/>
    <w:link w:val="27"/>
    <w:qFormat/>
    <w:uiPriority w:val="0"/>
    <w:rPr>
      <w:rFonts w:ascii="宋体" w:hAnsi="Arial" w:eastAsia="宋体" w:cs="Arial"/>
      <w:snapToGrid w:val="0"/>
      <w:kern w:val="2"/>
      <w:sz w:val="24"/>
      <w:szCs w:val="21"/>
      <w:lang w:val="zh-CN" w:eastAsia="zh-CN" w:bidi="ar-SA"/>
    </w:rPr>
  </w:style>
  <w:style w:type="character" w:customStyle="1" w:styleId="932">
    <w:name w:val="gray6"/>
    <w:basedOn w:val="72"/>
    <w:qFormat/>
    <w:uiPriority w:val="0"/>
    <w:rPr>
      <w:rFonts w:ascii="Arial" w:hAnsi="Arial" w:eastAsia="黑体" w:cs="Arial"/>
      <w:snapToGrid w:val="0"/>
      <w:kern w:val="0"/>
      <w:szCs w:val="21"/>
    </w:rPr>
  </w:style>
  <w:style w:type="character" w:customStyle="1" w:styleId="933">
    <w:name w:val="hui"/>
    <w:basedOn w:val="72"/>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字符"/>
    <w:link w:val="41"/>
    <w:qFormat/>
    <w:uiPriority w:val="0"/>
    <w:rPr>
      <w:kern w:val="2"/>
      <w:sz w:val="21"/>
      <w:szCs w:val="24"/>
      <w:lang w:val="zh-CN"/>
    </w:rPr>
  </w:style>
  <w:style w:type="character" w:customStyle="1" w:styleId="940">
    <w:name w:val="无间隔 Char"/>
    <w:link w:val="169"/>
    <w:qFormat/>
    <w:uiPriority w:val="99"/>
    <w:rPr>
      <w:kern w:val="2"/>
      <w:sz w:val="21"/>
      <w:szCs w:val="22"/>
    </w:rPr>
  </w:style>
  <w:style w:type="character" w:customStyle="1" w:styleId="941">
    <w:name w:val="标准文本 Char Char"/>
    <w:link w:val="607"/>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72"/>
    <w:qFormat/>
    <w:uiPriority w:val="0"/>
    <w:rPr>
      <w:color w:val="000000"/>
      <w:shd w:val="clear" w:color="auto" w:fill="EFD200"/>
    </w:rPr>
  </w:style>
  <w:style w:type="character" w:customStyle="1" w:styleId="956">
    <w:name w:val="font71"/>
    <w:qFormat/>
    <w:uiPriority w:val="0"/>
    <w:rPr>
      <w:rFonts w:hint="eastAsia" w:ascii="宋体" w:hAnsi="宋体" w:eastAsia="宋体" w:cs="宋体"/>
      <w:color w:val="000000"/>
      <w:sz w:val="22"/>
      <w:szCs w:val="22"/>
      <w:u w:val="none"/>
    </w:rPr>
  </w:style>
  <w:style w:type="character" w:customStyle="1" w:styleId="957">
    <w:name w:val="font91"/>
    <w:qFormat/>
    <w:uiPriority w:val="0"/>
    <w:rPr>
      <w:rFonts w:hint="eastAsia" w:ascii="仿宋" w:hAnsi="仿宋" w:eastAsia="仿宋" w:cs="仿宋"/>
      <w:color w:val="000000"/>
      <w:sz w:val="22"/>
      <w:szCs w:val="22"/>
      <w:u w:val="none"/>
    </w:rPr>
  </w:style>
  <w:style w:type="table" w:customStyle="1" w:styleId="958">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4">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4D5AC4-5156-4F67-9992-DA08D868D2E1}">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95</Pages>
  <Words>46927</Words>
  <Characters>53104</Characters>
  <Lines>448</Lines>
  <Paragraphs>126</Paragraphs>
  <TotalTime>44</TotalTime>
  <ScaleCrop>false</ScaleCrop>
  <LinksUpToDate>false</LinksUpToDate>
  <CharactersWithSpaces>60579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fyq1414237484</cp:lastModifiedBy>
  <cp:lastPrinted>2021-12-27T03:06:00Z</cp:lastPrinted>
  <dcterms:modified xsi:type="dcterms:W3CDTF">2022-05-23T07:38:41Z</dcterms:modified>
  <dc:title>杭州市市民卡扩大发卡工程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B6CBEBCE1B344E5D803CB7868875430F</vt:lpwstr>
  </property>
</Properties>
</file>